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2EBB0">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南宁市政府采购</w:t>
      </w:r>
    </w:p>
    <w:p w14:paraId="33A994A3">
      <w:pPr>
        <w:spacing w:before="165"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公开招标文件（货物类）</w:t>
      </w:r>
    </w:p>
    <w:p w14:paraId="4F305E63">
      <w:pPr>
        <w:spacing w:before="165" w:beforeLines="50" w:line="360" w:lineRule="auto"/>
        <w:ind w:firstLine="964"/>
        <w:jc w:val="center"/>
        <w:rPr>
          <w:rFonts w:ascii="宋体" w:hAnsi="宋体"/>
          <w:b/>
          <w:color w:val="auto"/>
          <w:sz w:val="48"/>
          <w:szCs w:val="48"/>
          <w:highlight w:val="none"/>
        </w:rPr>
      </w:pPr>
    </w:p>
    <w:p w14:paraId="6866532A">
      <w:pPr>
        <w:spacing w:before="165" w:beforeLines="50" w:line="360" w:lineRule="auto"/>
        <w:ind w:firstLine="964"/>
        <w:jc w:val="center"/>
        <w:rPr>
          <w:rFonts w:ascii="宋体" w:hAnsi="宋体"/>
          <w:b/>
          <w:color w:val="auto"/>
          <w:sz w:val="48"/>
          <w:szCs w:val="48"/>
          <w:highlight w:val="none"/>
        </w:rPr>
      </w:pPr>
    </w:p>
    <w:p w14:paraId="08289E9B">
      <w:pPr>
        <w:snapToGrid w:val="0"/>
        <w:spacing w:before="165" w:beforeLines="50" w:line="360" w:lineRule="auto"/>
        <w:jc w:val="center"/>
        <w:rPr>
          <w:rFonts w:ascii="宋体" w:hAnsi="宋体"/>
          <w:color w:val="auto"/>
          <w:sz w:val="72"/>
          <w:szCs w:val="72"/>
          <w:highlight w:val="none"/>
        </w:rPr>
      </w:pPr>
      <w:r>
        <w:rPr>
          <w:rFonts w:hint="eastAsia" w:ascii="宋体" w:hAnsi="宋体"/>
          <w:color w:val="auto"/>
          <w:sz w:val="72"/>
          <w:szCs w:val="72"/>
          <w:highlight w:val="none"/>
        </w:rPr>
        <w:t>招 标 文 件</w:t>
      </w:r>
    </w:p>
    <w:p w14:paraId="4CECC70C">
      <w:pPr>
        <w:snapToGrid w:val="0"/>
        <w:spacing w:before="165" w:beforeLines="50" w:line="360" w:lineRule="auto"/>
        <w:jc w:val="center"/>
        <w:rPr>
          <w:rFonts w:ascii="宋体" w:hAnsi="宋体"/>
          <w:color w:val="auto"/>
          <w:sz w:val="30"/>
          <w:szCs w:val="72"/>
          <w:highlight w:val="none"/>
        </w:rPr>
      </w:pPr>
      <w:r>
        <w:rPr>
          <w:rFonts w:hint="eastAsia" w:ascii="宋体" w:hAnsi="宋体"/>
          <w:color w:val="auto"/>
          <w:sz w:val="30"/>
          <w:szCs w:val="72"/>
          <w:highlight w:val="none"/>
        </w:rPr>
        <w:t>（全流程电子化评标）</w:t>
      </w:r>
    </w:p>
    <w:p w14:paraId="4D7DD012">
      <w:pPr>
        <w:snapToGrid w:val="0"/>
        <w:spacing w:before="165" w:beforeLines="50" w:line="360" w:lineRule="auto"/>
        <w:ind w:firstLine="600"/>
        <w:rPr>
          <w:rFonts w:ascii="宋体" w:hAnsi="宋体"/>
          <w:color w:val="auto"/>
          <w:sz w:val="30"/>
          <w:szCs w:val="72"/>
          <w:highlight w:val="none"/>
        </w:rPr>
      </w:pPr>
    </w:p>
    <w:p w14:paraId="3577D0AE">
      <w:pPr>
        <w:pStyle w:val="33"/>
        <w:rPr>
          <w:color w:val="auto"/>
          <w:highlight w:val="none"/>
        </w:rPr>
      </w:pPr>
    </w:p>
    <w:p w14:paraId="0AA83770">
      <w:pPr>
        <w:pStyle w:val="33"/>
        <w:rPr>
          <w:color w:val="auto"/>
          <w:highlight w:val="none"/>
        </w:rPr>
      </w:pPr>
    </w:p>
    <w:p w14:paraId="1482C903">
      <w:pPr>
        <w:pStyle w:val="33"/>
        <w:rPr>
          <w:color w:val="auto"/>
          <w:highlight w:val="none"/>
        </w:rPr>
      </w:pPr>
    </w:p>
    <w:p w14:paraId="17E78D52">
      <w:pPr>
        <w:pStyle w:val="15"/>
        <w:snapToGrid w:val="0"/>
        <w:spacing w:before="50" w:after="120" w:line="360" w:lineRule="auto"/>
        <w:jc w:val="center"/>
        <w:rPr>
          <w:rFonts w:hAnsi="宋体"/>
          <w:b/>
          <w:bCs/>
          <w:color w:val="auto"/>
          <w:sz w:val="30"/>
          <w:szCs w:val="30"/>
          <w:highlight w:val="none"/>
        </w:rPr>
      </w:pPr>
      <w:r>
        <w:rPr>
          <w:rFonts w:hint="eastAsia" w:hAnsi="宋体"/>
          <w:b/>
          <w:bCs/>
          <w:color w:val="auto"/>
          <w:sz w:val="30"/>
          <w:szCs w:val="30"/>
          <w:highlight w:val="none"/>
          <w:lang w:val="en-US" w:eastAsia="zh-CN"/>
        </w:rPr>
        <w:t xml:space="preserve">      </w:t>
      </w:r>
      <w:r>
        <w:rPr>
          <w:rFonts w:hint="eastAsia" w:hAnsi="宋体"/>
          <w:b/>
          <w:bCs/>
          <w:color w:val="auto"/>
          <w:sz w:val="30"/>
          <w:szCs w:val="30"/>
          <w:highlight w:val="none"/>
        </w:rPr>
        <w:t>项目</w:t>
      </w:r>
      <w:r>
        <w:rPr>
          <w:rFonts w:hint="eastAsia" w:hAnsi="宋体" w:cs="Courier New"/>
          <w:b/>
          <w:bCs/>
          <w:color w:val="auto"/>
          <w:w w:val="95"/>
          <w:sz w:val="30"/>
          <w:szCs w:val="30"/>
          <w:highlight w:val="none"/>
        </w:rPr>
        <w:t>名称</w:t>
      </w:r>
      <w:r>
        <w:rPr>
          <w:rFonts w:hint="eastAsia" w:hAnsi="宋体"/>
          <w:b/>
          <w:bCs/>
          <w:color w:val="auto"/>
          <w:sz w:val="30"/>
          <w:szCs w:val="30"/>
          <w:highlight w:val="none"/>
        </w:rPr>
        <w:t>：南宁职业技术大学跨境电子商务专业群实训室建设项目</w:t>
      </w:r>
    </w:p>
    <w:p w14:paraId="1619FA3A">
      <w:pPr>
        <w:snapToGrid w:val="0"/>
        <w:spacing w:before="165" w:beforeLines="50" w:line="360" w:lineRule="auto"/>
        <w:ind w:firstLine="1145" w:firstLineChars="400"/>
        <w:rPr>
          <w:rFonts w:hint="eastAsia" w:ascii="宋体" w:hAnsi="宋体" w:eastAsia="宋体"/>
          <w:b/>
          <w:color w:val="auto"/>
          <w:sz w:val="30"/>
          <w:szCs w:val="48"/>
          <w:highlight w:val="none"/>
          <w:lang w:eastAsia="zh-CN"/>
        </w:rPr>
      </w:pPr>
      <w:r>
        <w:rPr>
          <w:rFonts w:hint="eastAsia" w:ascii="宋体" w:hAnsi="宋体" w:cs="Courier New"/>
          <w:b/>
          <w:bCs/>
          <w:color w:val="auto"/>
          <w:w w:val="95"/>
          <w:sz w:val="30"/>
          <w:szCs w:val="30"/>
          <w:highlight w:val="none"/>
        </w:rPr>
        <w:t>项目</w:t>
      </w:r>
      <w:r>
        <w:rPr>
          <w:rFonts w:hint="eastAsia" w:ascii="宋体" w:hAnsi="宋体"/>
          <w:b/>
          <w:bCs/>
          <w:color w:val="auto"/>
          <w:sz w:val="30"/>
          <w:szCs w:val="30"/>
          <w:highlight w:val="none"/>
        </w:rPr>
        <w:t>编号</w:t>
      </w:r>
      <w:r>
        <w:rPr>
          <w:rFonts w:hint="eastAsia" w:ascii="宋体" w:hAnsi="宋体" w:cs="Courier New"/>
          <w:b/>
          <w:bCs/>
          <w:color w:val="auto"/>
          <w:w w:val="95"/>
          <w:sz w:val="30"/>
          <w:szCs w:val="30"/>
          <w:highlight w:val="none"/>
        </w:rPr>
        <w:t>：</w:t>
      </w:r>
      <w:r>
        <w:rPr>
          <w:rFonts w:hint="eastAsia" w:ascii="宋体" w:hAnsi="宋体"/>
          <w:b/>
          <w:color w:val="auto"/>
          <w:sz w:val="30"/>
          <w:szCs w:val="48"/>
          <w:highlight w:val="none"/>
          <w:lang w:eastAsia="zh-CN"/>
        </w:rPr>
        <w:t>NNZC2024-G1-991788-JDZB</w:t>
      </w:r>
    </w:p>
    <w:p w14:paraId="0052C5D0">
      <w:pPr>
        <w:snapToGrid w:val="0"/>
        <w:spacing w:before="165" w:beforeLines="50" w:line="360" w:lineRule="auto"/>
        <w:ind w:firstLine="1205" w:firstLineChars="400"/>
        <w:rPr>
          <w:rFonts w:ascii="宋体" w:hAnsi="宋体"/>
          <w:color w:val="auto"/>
          <w:sz w:val="30"/>
          <w:szCs w:val="72"/>
          <w:highlight w:val="none"/>
          <w:u w:val="single"/>
        </w:rPr>
      </w:pPr>
      <w:r>
        <w:rPr>
          <w:rFonts w:hint="eastAsia" w:ascii="宋体" w:hAnsi="宋体"/>
          <w:b/>
          <w:color w:val="auto"/>
          <w:sz w:val="30"/>
          <w:szCs w:val="48"/>
          <w:highlight w:val="none"/>
        </w:rPr>
        <w:t>所属行政区划：</w:t>
      </w:r>
      <w:r>
        <w:rPr>
          <w:rFonts w:hint="eastAsia" w:ascii="宋体" w:hAnsi="宋体"/>
          <w:b/>
          <w:bCs/>
          <w:color w:val="auto"/>
          <w:w w:val="95"/>
          <w:sz w:val="30"/>
          <w:szCs w:val="30"/>
          <w:highlight w:val="none"/>
          <w:u w:val="single"/>
        </w:rPr>
        <w:t>南宁市本级</w:t>
      </w:r>
    </w:p>
    <w:p w14:paraId="75A0079C">
      <w:pPr>
        <w:pStyle w:val="15"/>
        <w:snapToGrid w:val="0"/>
        <w:spacing w:before="50" w:after="120" w:line="360" w:lineRule="auto"/>
        <w:ind w:firstLine="1125" w:firstLineChars="393"/>
        <w:rPr>
          <w:rFonts w:hAnsi="宋体"/>
          <w:b/>
          <w:bCs/>
          <w:color w:val="auto"/>
          <w:w w:val="95"/>
          <w:sz w:val="30"/>
          <w:szCs w:val="30"/>
          <w:highlight w:val="none"/>
        </w:rPr>
      </w:pPr>
      <w:r>
        <w:rPr>
          <w:rFonts w:hint="eastAsia" w:hAnsi="宋体"/>
          <w:b/>
          <w:bCs/>
          <w:color w:val="auto"/>
          <w:w w:val="95"/>
          <w:sz w:val="30"/>
          <w:szCs w:val="30"/>
          <w:highlight w:val="none"/>
        </w:rPr>
        <w:t xml:space="preserve">采 购 人：南宁职业技术大学 </w:t>
      </w:r>
    </w:p>
    <w:p w14:paraId="6774A085">
      <w:pPr>
        <w:pStyle w:val="15"/>
        <w:snapToGrid w:val="0"/>
        <w:spacing w:before="50" w:after="120" w:line="360" w:lineRule="auto"/>
        <w:ind w:firstLine="1125" w:firstLineChars="393"/>
        <w:rPr>
          <w:rFonts w:hAnsi="宋体"/>
          <w:b/>
          <w:bCs/>
          <w:color w:val="auto"/>
          <w:w w:val="95"/>
          <w:sz w:val="30"/>
          <w:szCs w:val="30"/>
          <w:highlight w:val="none"/>
        </w:rPr>
      </w:pPr>
      <w:r>
        <w:rPr>
          <w:rFonts w:hint="eastAsia" w:hAnsi="宋体"/>
          <w:b/>
          <w:bCs/>
          <w:color w:val="auto"/>
          <w:w w:val="95"/>
          <w:sz w:val="30"/>
          <w:szCs w:val="30"/>
          <w:highlight w:val="none"/>
        </w:rPr>
        <w:t>采购代理机构：广西机电设备招标有限公司</w:t>
      </w:r>
    </w:p>
    <w:p w14:paraId="498045EB">
      <w:pPr>
        <w:pStyle w:val="15"/>
        <w:snapToGrid w:val="0"/>
        <w:spacing w:before="50" w:after="120" w:line="360" w:lineRule="auto"/>
        <w:jc w:val="center"/>
        <w:rPr>
          <w:rFonts w:hAnsi="宋体"/>
          <w:b/>
          <w:bCs/>
          <w:color w:val="auto"/>
          <w:w w:val="95"/>
          <w:sz w:val="30"/>
          <w:szCs w:val="30"/>
          <w:highlight w:val="none"/>
        </w:rPr>
      </w:pPr>
      <w:r>
        <w:rPr>
          <w:rFonts w:hint="eastAsia" w:hAnsi="宋体"/>
          <w:b/>
          <w:bCs/>
          <w:color w:val="auto"/>
          <w:w w:val="95"/>
          <w:sz w:val="30"/>
          <w:szCs w:val="30"/>
          <w:highlight w:val="none"/>
        </w:rPr>
        <w:t>2024年</w:t>
      </w:r>
      <w:r>
        <w:rPr>
          <w:rFonts w:hint="eastAsia" w:hAnsi="宋体"/>
          <w:b/>
          <w:bCs/>
          <w:color w:val="auto"/>
          <w:w w:val="95"/>
          <w:sz w:val="30"/>
          <w:szCs w:val="30"/>
          <w:highlight w:val="none"/>
          <w:lang w:val="en-US" w:eastAsia="zh-CN"/>
        </w:rPr>
        <w:t>12</w:t>
      </w:r>
      <w:r>
        <w:rPr>
          <w:rFonts w:hint="eastAsia" w:hAnsi="宋体"/>
          <w:b/>
          <w:bCs/>
          <w:color w:val="auto"/>
          <w:w w:val="95"/>
          <w:sz w:val="30"/>
          <w:szCs w:val="30"/>
          <w:highlight w:val="none"/>
        </w:rPr>
        <w:t>月</w:t>
      </w:r>
      <w:r>
        <w:rPr>
          <w:rFonts w:hint="eastAsia" w:hAnsi="宋体"/>
          <w:b/>
          <w:bCs/>
          <w:color w:val="auto"/>
          <w:w w:val="95"/>
          <w:sz w:val="30"/>
          <w:szCs w:val="30"/>
          <w:highlight w:val="none"/>
          <w:lang w:val="en-US" w:eastAsia="zh-CN"/>
        </w:rPr>
        <w:t>11</w:t>
      </w:r>
      <w:r>
        <w:rPr>
          <w:rFonts w:hint="eastAsia" w:hAnsi="宋体"/>
          <w:b/>
          <w:bCs/>
          <w:color w:val="auto"/>
          <w:w w:val="95"/>
          <w:sz w:val="30"/>
          <w:szCs w:val="30"/>
          <w:highlight w:val="none"/>
        </w:rPr>
        <w:t>日</w:t>
      </w:r>
    </w:p>
    <w:p w14:paraId="5FF3AFA9">
      <w:pPr>
        <w:widowControl/>
        <w:ind w:firstLine="574"/>
        <w:jc w:val="left"/>
        <w:rPr>
          <w:rFonts w:ascii="宋体" w:hAnsi="宋体"/>
          <w:b/>
          <w:bCs/>
          <w:color w:val="auto"/>
          <w:w w:val="95"/>
          <w:sz w:val="30"/>
          <w:szCs w:val="30"/>
          <w:highlight w:val="none"/>
        </w:rPr>
      </w:pPr>
      <w:r>
        <w:rPr>
          <w:rFonts w:ascii="宋体" w:hAnsi="宋体"/>
          <w:b/>
          <w:bCs/>
          <w:color w:val="auto"/>
          <w:w w:val="95"/>
          <w:sz w:val="30"/>
          <w:szCs w:val="30"/>
          <w:highlight w:val="none"/>
        </w:rPr>
        <w:br w:type="page"/>
      </w:r>
    </w:p>
    <w:p w14:paraId="18214276">
      <w:pPr>
        <w:widowControl/>
        <w:spacing w:line="360" w:lineRule="auto"/>
        <w:ind w:firstLine="574"/>
        <w:jc w:val="left"/>
        <w:rPr>
          <w:rFonts w:ascii="宋体" w:hAnsi="宋体"/>
          <w:b/>
          <w:bCs/>
          <w:color w:val="auto"/>
          <w:w w:val="95"/>
          <w:sz w:val="30"/>
          <w:szCs w:val="30"/>
          <w:highlight w:val="none"/>
        </w:rPr>
        <w:sectPr>
          <w:headerReference r:id="rId3" w:type="default"/>
          <w:footerReference r:id="rId4" w:type="default"/>
          <w:pgSz w:w="11906" w:h="16838"/>
          <w:pgMar w:top="1134" w:right="1134" w:bottom="1134" w:left="1134" w:header="720" w:footer="720" w:gutter="0"/>
          <w:pgNumType w:start="1"/>
          <w:cols w:space="720" w:num="1"/>
          <w:docGrid w:type="lines" w:linePitch="331" w:charSpace="0"/>
        </w:sectPr>
      </w:pPr>
    </w:p>
    <w:p w14:paraId="4819C4A7">
      <w:pPr>
        <w:pStyle w:val="15"/>
        <w:ind w:firstLine="964"/>
        <w:jc w:val="center"/>
        <w:rPr>
          <w:rFonts w:hAnsi="宋体"/>
          <w:b/>
          <w:color w:val="auto"/>
          <w:sz w:val="48"/>
          <w:szCs w:val="48"/>
          <w:highlight w:val="none"/>
        </w:rPr>
      </w:pPr>
      <w:r>
        <w:rPr>
          <w:rFonts w:hint="eastAsia" w:hAnsi="宋体"/>
          <w:b/>
          <w:color w:val="auto"/>
          <w:sz w:val="48"/>
          <w:szCs w:val="48"/>
          <w:highlight w:val="none"/>
        </w:rPr>
        <w:t>目</w:t>
      </w:r>
      <w:r>
        <w:rPr>
          <w:rFonts w:hAnsi="宋体"/>
          <w:b/>
          <w:color w:val="auto"/>
          <w:sz w:val="48"/>
          <w:szCs w:val="48"/>
          <w:highlight w:val="none"/>
        </w:rPr>
        <w:t xml:space="preserve">     </w:t>
      </w:r>
      <w:r>
        <w:rPr>
          <w:rFonts w:hint="eastAsia" w:hAnsi="宋体"/>
          <w:b/>
          <w:color w:val="auto"/>
          <w:sz w:val="48"/>
          <w:szCs w:val="48"/>
          <w:highlight w:val="none"/>
        </w:rPr>
        <w:t>录</w:t>
      </w:r>
    </w:p>
    <w:p w14:paraId="48D05E42">
      <w:pPr>
        <w:pStyle w:val="19"/>
        <w:tabs>
          <w:tab w:val="right" w:leader="dot" w:pos="9628"/>
        </w:tabs>
        <w:spacing w:before="0" w:after="0"/>
        <w:ind w:firstLine="560"/>
        <w:rPr>
          <w:rFonts w:ascii="宋体" w:hAnsi="宋体"/>
          <w:b w:val="0"/>
          <w:bCs w:val="0"/>
          <w:caps w:val="0"/>
          <w:color w:val="auto"/>
          <w:sz w:val="21"/>
          <w:highlight w:val="none"/>
          <w:u w:val="none"/>
        </w:rPr>
      </w:pPr>
      <w:r>
        <w:rPr>
          <w:rFonts w:ascii="宋体" w:hAnsi="宋体"/>
          <w:b w:val="0"/>
          <w:bCs w:val="0"/>
          <w:caps w:val="0"/>
          <w:color w:val="auto"/>
          <w:sz w:val="28"/>
          <w:szCs w:val="28"/>
          <w:highlight w:val="none"/>
        </w:rPr>
        <w:fldChar w:fldCharType="begin"/>
      </w:r>
      <w:r>
        <w:rPr>
          <w:rFonts w:ascii="宋体" w:hAnsi="宋体"/>
          <w:b w:val="0"/>
          <w:bCs w:val="0"/>
          <w:caps w:val="0"/>
          <w:color w:val="auto"/>
          <w:sz w:val="28"/>
          <w:szCs w:val="28"/>
          <w:highlight w:val="none"/>
        </w:rPr>
        <w:instrText xml:space="preserve"> TOC \o "1-3" \h \z \u </w:instrText>
      </w:r>
      <w:r>
        <w:rPr>
          <w:rFonts w:ascii="宋体" w:hAnsi="宋体"/>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"_Toc118383674" </w:instrText>
      </w:r>
      <w:r>
        <w:rPr>
          <w:color w:val="auto"/>
          <w:highlight w:val="none"/>
        </w:rPr>
        <w:fldChar w:fldCharType="separate"/>
      </w:r>
      <w:r>
        <w:rPr>
          <w:rStyle w:val="31"/>
          <w:rFonts w:ascii="宋体" w:hAnsi="宋体"/>
          <w:color w:val="auto"/>
          <w:highlight w:val="none"/>
          <w:u w:val="none"/>
        </w:rPr>
        <w:t>第一章  招标公告</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_Toc118383674 \h </w:instrText>
      </w:r>
      <w:r>
        <w:rPr>
          <w:rFonts w:ascii="宋体" w:hAnsi="宋体"/>
          <w:color w:val="auto"/>
          <w:highlight w:val="none"/>
          <w:u w:val="none"/>
        </w:rPr>
        <w:fldChar w:fldCharType="separate"/>
      </w:r>
      <w:r>
        <w:rPr>
          <w:rFonts w:ascii="宋体" w:hAnsi="宋体"/>
          <w:color w:val="auto"/>
          <w:highlight w:val="none"/>
          <w:u w:val="none"/>
        </w:rPr>
        <w:t>1</w:t>
      </w:r>
      <w:r>
        <w:rPr>
          <w:rFonts w:ascii="宋体" w:hAnsi="宋体"/>
          <w:color w:val="auto"/>
          <w:highlight w:val="none"/>
          <w:u w:val="none"/>
        </w:rPr>
        <w:fldChar w:fldCharType="end"/>
      </w:r>
      <w:r>
        <w:rPr>
          <w:rFonts w:ascii="宋体" w:hAnsi="宋体"/>
          <w:color w:val="auto"/>
          <w:highlight w:val="none"/>
          <w:u w:val="none"/>
        </w:rPr>
        <w:fldChar w:fldCharType="end"/>
      </w:r>
    </w:p>
    <w:p w14:paraId="4D99EA12">
      <w:pPr>
        <w:pStyle w:val="19"/>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"_Toc118383675" </w:instrText>
      </w:r>
      <w:r>
        <w:rPr>
          <w:color w:val="auto"/>
          <w:highlight w:val="none"/>
        </w:rPr>
        <w:fldChar w:fldCharType="separate"/>
      </w:r>
      <w:r>
        <w:rPr>
          <w:rStyle w:val="31"/>
          <w:rFonts w:ascii="宋体" w:hAnsi="宋体"/>
          <w:color w:val="auto"/>
          <w:highlight w:val="none"/>
          <w:u w:val="none"/>
        </w:rPr>
        <w:t>第二章  采购需求</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_Toc118383675 \h </w:instrText>
      </w:r>
      <w:r>
        <w:rPr>
          <w:rFonts w:ascii="宋体" w:hAnsi="宋体"/>
          <w:color w:val="auto"/>
          <w:highlight w:val="none"/>
          <w:u w:val="none"/>
        </w:rPr>
        <w:fldChar w:fldCharType="separate"/>
      </w:r>
      <w:r>
        <w:rPr>
          <w:rFonts w:ascii="宋体" w:hAnsi="宋体"/>
          <w:color w:val="auto"/>
          <w:highlight w:val="none"/>
          <w:u w:val="none"/>
        </w:rPr>
        <w:t>7</w:t>
      </w:r>
      <w:r>
        <w:rPr>
          <w:rFonts w:ascii="宋体" w:hAnsi="宋体"/>
          <w:color w:val="auto"/>
          <w:highlight w:val="none"/>
          <w:u w:val="none"/>
        </w:rPr>
        <w:fldChar w:fldCharType="end"/>
      </w:r>
      <w:r>
        <w:rPr>
          <w:rFonts w:ascii="宋体" w:hAnsi="宋体"/>
          <w:color w:val="auto"/>
          <w:highlight w:val="none"/>
          <w:u w:val="none"/>
        </w:rPr>
        <w:fldChar w:fldCharType="end"/>
      </w:r>
    </w:p>
    <w:p w14:paraId="77772EE8">
      <w:pPr>
        <w:pStyle w:val="19"/>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"_Toc118383676" </w:instrText>
      </w:r>
      <w:r>
        <w:rPr>
          <w:color w:val="auto"/>
          <w:highlight w:val="none"/>
        </w:rPr>
        <w:fldChar w:fldCharType="separate"/>
      </w:r>
      <w:r>
        <w:rPr>
          <w:rStyle w:val="31"/>
          <w:rFonts w:ascii="宋体" w:hAnsi="宋体"/>
          <w:color w:val="auto"/>
          <w:highlight w:val="none"/>
          <w:u w:val="none"/>
        </w:rPr>
        <w:t>第三章  投标人须知</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_Toc118383676 \h </w:instrText>
      </w:r>
      <w:r>
        <w:rPr>
          <w:rFonts w:ascii="宋体" w:hAnsi="宋体"/>
          <w:color w:val="auto"/>
          <w:highlight w:val="none"/>
          <w:u w:val="none"/>
        </w:rPr>
        <w:fldChar w:fldCharType="separate"/>
      </w:r>
      <w:r>
        <w:rPr>
          <w:rFonts w:ascii="宋体" w:hAnsi="宋体"/>
          <w:color w:val="auto"/>
          <w:highlight w:val="none"/>
          <w:u w:val="none"/>
        </w:rPr>
        <w:t>55</w:t>
      </w:r>
      <w:r>
        <w:rPr>
          <w:rFonts w:ascii="宋体" w:hAnsi="宋体"/>
          <w:color w:val="auto"/>
          <w:highlight w:val="none"/>
          <w:u w:val="none"/>
        </w:rPr>
        <w:fldChar w:fldCharType="end"/>
      </w:r>
      <w:r>
        <w:rPr>
          <w:rFonts w:ascii="宋体" w:hAnsi="宋体"/>
          <w:color w:val="auto"/>
          <w:highlight w:val="none"/>
          <w:u w:val="none"/>
        </w:rPr>
        <w:fldChar w:fldCharType="end"/>
      </w:r>
    </w:p>
    <w:p w14:paraId="01A91F7A">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"_Toc118383677" </w:instrText>
      </w:r>
      <w:r>
        <w:rPr>
          <w:color w:val="auto"/>
          <w:highlight w:val="none"/>
        </w:rPr>
        <w:fldChar w:fldCharType="separate"/>
      </w:r>
      <w:r>
        <w:rPr>
          <w:rStyle w:val="31"/>
          <w:rFonts w:ascii="宋体" w:hAnsi="宋体"/>
          <w:color w:val="auto"/>
          <w:highlight w:val="none"/>
        </w:rPr>
        <w:t>第一节 投标人须知前附表</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_Toc118383677 \h </w:instrText>
      </w:r>
      <w:r>
        <w:rPr>
          <w:rFonts w:ascii="宋体" w:hAnsi="宋体"/>
          <w:color w:val="auto"/>
          <w:highlight w:val="none"/>
        </w:rPr>
        <w:fldChar w:fldCharType="separate"/>
      </w:r>
      <w:r>
        <w:rPr>
          <w:rFonts w:ascii="宋体" w:hAnsi="宋体"/>
          <w:color w:val="auto"/>
          <w:highlight w:val="none"/>
        </w:rPr>
        <w:t>55</w:t>
      </w:r>
      <w:r>
        <w:rPr>
          <w:rFonts w:ascii="宋体" w:hAnsi="宋体"/>
          <w:color w:val="auto"/>
          <w:highlight w:val="none"/>
        </w:rPr>
        <w:fldChar w:fldCharType="end"/>
      </w:r>
      <w:r>
        <w:rPr>
          <w:rFonts w:ascii="宋体" w:hAnsi="宋体"/>
          <w:color w:val="auto"/>
          <w:highlight w:val="none"/>
        </w:rPr>
        <w:fldChar w:fldCharType="end"/>
      </w:r>
    </w:p>
    <w:p w14:paraId="67C0872E">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"_Toc118383678" </w:instrText>
      </w:r>
      <w:r>
        <w:rPr>
          <w:color w:val="auto"/>
          <w:highlight w:val="none"/>
        </w:rPr>
        <w:fldChar w:fldCharType="separate"/>
      </w:r>
      <w:r>
        <w:rPr>
          <w:rStyle w:val="31"/>
          <w:rFonts w:ascii="宋体" w:hAnsi="宋体"/>
          <w:color w:val="auto"/>
          <w:highlight w:val="none"/>
        </w:rPr>
        <w:t>第二节 投标人须知正文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_Toc118383678 \h </w:instrText>
      </w:r>
      <w:r>
        <w:rPr>
          <w:rFonts w:ascii="宋体" w:hAnsi="宋体"/>
          <w:color w:val="auto"/>
          <w:highlight w:val="none"/>
        </w:rPr>
        <w:fldChar w:fldCharType="separate"/>
      </w:r>
      <w:r>
        <w:rPr>
          <w:rFonts w:ascii="宋体" w:hAnsi="宋体"/>
          <w:color w:val="auto"/>
          <w:highlight w:val="none"/>
        </w:rPr>
        <w:t>60</w:t>
      </w:r>
      <w:r>
        <w:rPr>
          <w:rFonts w:ascii="宋体" w:hAnsi="宋体"/>
          <w:color w:val="auto"/>
          <w:highlight w:val="none"/>
        </w:rPr>
        <w:fldChar w:fldCharType="end"/>
      </w:r>
      <w:r>
        <w:rPr>
          <w:rFonts w:ascii="宋体" w:hAnsi="宋体"/>
          <w:color w:val="auto"/>
          <w:highlight w:val="none"/>
        </w:rPr>
        <w:fldChar w:fldCharType="end"/>
      </w:r>
    </w:p>
    <w:p w14:paraId="5ECA76EF">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"_Toc118383679" </w:instrText>
      </w:r>
      <w:r>
        <w:rPr>
          <w:color w:val="auto"/>
          <w:highlight w:val="none"/>
        </w:rPr>
        <w:fldChar w:fldCharType="separate"/>
      </w:r>
      <w:r>
        <w:rPr>
          <w:rStyle w:val="31"/>
          <w:rFonts w:ascii="宋体" w:hAnsi="宋体"/>
          <w:color w:val="auto"/>
          <w:highlight w:val="none"/>
        </w:rPr>
        <w:t>一、总  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_Toc118383679 \h </w:instrText>
      </w:r>
      <w:r>
        <w:rPr>
          <w:rFonts w:ascii="宋体" w:hAnsi="宋体"/>
          <w:color w:val="auto"/>
          <w:highlight w:val="none"/>
        </w:rPr>
        <w:fldChar w:fldCharType="separate"/>
      </w:r>
      <w:r>
        <w:rPr>
          <w:rFonts w:ascii="宋体" w:hAnsi="宋体"/>
          <w:color w:val="auto"/>
          <w:highlight w:val="none"/>
        </w:rPr>
        <w:t>60</w:t>
      </w:r>
      <w:r>
        <w:rPr>
          <w:rFonts w:ascii="宋体" w:hAnsi="宋体"/>
          <w:color w:val="auto"/>
          <w:highlight w:val="none"/>
        </w:rPr>
        <w:fldChar w:fldCharType="end"/>
      </w:r>
      <w:r>
        <w:rPr>
          <w:rFonts w:ascii="宋体" w:hAnsi="宋体"/>
          <w:color w:val="auto"/>
          <w:highlight w:val="none"/>
        </w:rPr>
        <w:fldChar w:fldCharType="end"/>
      </w:r>
    </w:p>
    <w:p w14:paraId="35BC594F">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"_Toc118383680" </w:instrText>
      </w:r>
      <w:r>
        <w:rPr>
          <w:color w:val="auto"/>
          <w:highlight w:val="none"/>
        </w:rPr>
        <w:fldChar w:fldCharType="separate"/>
      </w:r>
      <w:r>
        <w:rPr>
          <w:rStyle w:val="31"/>
          <w:rFonts w:ascii="宋体" w:hAnsi="宋体"/>
          <w:color w:val="auto"/>
          <w:highlight w:val="none"/>
        </w:rPr>
        <w:t>二、招标文件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_Toc118383680 \h </w:instrText>
      </w:r>
      <w:r>
        <w:rPr>
          <w:rFonts w:ascii="宋体" w:hAnsi="宋体"/>
          <w:color w:val="auto"/>
          <w:highlight w:val="none"/>
        </w:rPr>
        <w:fldChar w:fldCharType="separate"/>
      </w:r>
      <w:r>
        <w:rPr>
          <w:rFonts w:ascii="宋体" w:hAnsi="宋体"/>
          <w:color w:val="auto"/>
          <w:highlight w:val="none"/>
        </w:rPr>
        <w:t>63</w:t>
      </w:r>
      <w:r>
        <w:rPr>
          <w:rFonts w:ascii="宋体" w:hAnsi="宋体"/>
          <w:color w:val="auto"/>
          <w:highlight w:val="none"/>
        </w:rPr>
        <w:fldChar w:fldCharType="end"/>
      </w:r>
      <w:r>
        <w:rPr>
          <w:rFonts w:ascii="宋体" w:hAnsi="宋体"/>
          <w:color w:val="auto"/>
          <w:highlight w:val="none"/>
        </w:rPr>
        <w:fldChar w:fldCharType="end"/>
      </w:r>
    </w:p>
    <w:p w14:paraId="5EA40876">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"_Toc118383681" </w:instrText>
      </w:r>
      <w:r>
        <w:rPr>
          <w:color w:val="auto"/>
          <w:highlight w:val="none"/>
        </w:rPr>
        <w:fldChar w:fldCharType="separate"/>
      </w:r>
      <w:r>
        <w:rPr>
          <w:rStyle w:val="31"/>
          <w:rFonts w:ascii="宋体" w:hAnsi="宋体"/>
          <w:color w:val="auto"/>
          <w:highlight w:val="none"/>
        </w:rPr>
        <w:t>三、投标文件的编制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_Toc118383681 \h </w:instrText>
      </w:r>
      <w:r>
        <w:rPr>
          <w:rFonts w:ascii="宋体" w:hAnsi="宋体"/>
          <w:color w:val="auto"/>
          <w:highlight w:val="none"/>
        </w:rPr>
        <w:fldChar w:fldCharType="separate"/>
      </w:r>
      <w:r>
        <w:rPr>
          <w:rFonts w:ascii="宋体" w:hAnsi="宋体"/>
          <w:color w:val="auto"/>
          <w:highlight w:val="none"/>
        </w:rPr>
        <w:t>64</w:t>
      </w:r>
      <w:r>
        <w:rPr>
          <w:rFonts w:ascii="宋体" w:hAnsi="宋体"/>
          <w:color w:val="auto"/>
          <w:highlight w:val="none"/>
        </w:rPr>
        <w:fldChar w:fldCharType="end"/>
      </w:r>
      <w:r>
        <w:rPr>
          <w:rFonts w:ascii="宋体" w:hAnsi="宋体"/>
          <w:color w:val="auto"/>
          <w:highlight w:val="none"/>
        </w:rPr>
        <w:fldChar w:fldCharType="end"/>
      </w:r>
    </w:p>
    <w:p w14:paraId="71104BCE">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"_Toc118383682" </w:instrText>
      </w:r>
      <w:r>
        <w:rPr>
          <w:color w:val="auto"/>
          <w:highlight w:val="none"/>
        </w:rPr>
        <w:fldChar w:fldCharType="separate"/>
      </w:r>
      <w:r>
        <w:rPr>
          <w:rStyle w:val="31"/>
          <w:rFonts w:ascii="宋体" w:hAnsi="宋体"/>
          <w:color w:val="auto"/>
          <w:highlight w:val="none"/>
        </w:rPr>
        <w:t>四、开    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_Toc118383682 \h </w:instrText>
      </w:r>
      <w:r>
        <w:rPr>
          <w:rFonts w:ascii="宋体" w:hAnsi="宋体"/>
          <w:color w:val="auto"/>
          <w:highlight w:val="none"/>
        </w:rPr>
        <w:fldChar w:fldCharType="separate"/>
      </w:r>
      <w:r>
        <w:rPr>
          <w:rFonts w:ascii="宋体" w:hAnsi="宋体"/>
          <w:color w:val="auto"/>
          <w:highlight w:val="none"/>
        </w:rPr>
        <w:t>66</w:t>
      </w:r>
      <w:r>
        <w:rPr>
          <w:rFonts w:ascii="宋体" w:hAnsi="宋体"/>
          <w:color w:val="auto"/>
          <w:highlight w:val="none"/>
        </w:rPr>
        <w:fldChar w:fldCharType="end"/>
      </w:r>
      <w:r>
        <w:rPr>
          <w:rFonts w:ascii="宋体" w:hAnsi="宋体"/>
          <w:color w:val="auto"/>
          <w:highlight w:val="none"/>
        </w:rPr>
        <w:fldChar w:fldCharType="end"/>
      </w:r>
    </w:p>
    <w:p w14:paraId="30EC6DDD">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"_Toc118383683" </w:instrText>
      </w:r>
      <w:r>
        <w:rPr>
          <w:color w:val="auto"/>
          <w:highlight w:val="none"/>
        </w:rPr>
        <w:fldChar w:fldCharType="separate"/>
      </w:r>
      <w:r>
        <w:rPr>
          <w:rStyle w:val="31"/>
          <w:rFonts w:ascii="宋体" w:hAnsi="宋体"/>
          <w:color w:val="auto"/>
          <w:highlight w:val="none"/>
        </w:rPr>
        <w:t>五、资格审查</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_Toc118383683 \h </w:instrText>
      </w:r>
      <w:r>
        <w:rPr>
          <w:rFonts w:ascii="宋体" w:hAnsi="宋体"/>
          <w:color w:val="auto"/>
          <w:highlight w:val="none"/>
        </w:rPr>
        <w:fldChar w:fldCharType="separate"/>
      </w:r>
      <w:r>
        <w:rPr>
          <w:rFonts w:ascii="宋体" w:hAnsi="宋体"/>
          <w:color w:val="auto"/>
          <w:highlight w:val="none"/>
        </w:rPr>
        <w:t>67</w:t>
      </w:r>
      <w:r>
        <w:rPr>
          <w:rFonts w:ascii="宋体" w:hAnsi="宋体"/>
          <w:color w:val="auto"/>
          <w:highlight w:val="none"/>
        </w:rPr>
        <w:fldChar w:fldCharType="end"/>
      </w:r>
      <w:r>
        <w:rPr>
          <w:rFonts w:ascii="宋体" w:hAnsi="宋体"/>
          <w:color w:val="auto"/>
          <w:highlight w:val="none"/>
        </w:rPr>
        <w:fldChar w:fldCharType="end"/>
      </w:r>
    </w:p>
    <w:p w14:paraId="3E0D9CC3">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"_Toc118383684" </w:instrText>
      </w:r>
      <w:r>
        <w:rPr>
          <w:color w:val="auto"/>
          <w:highlight w:val="none"/>
        </w:rPr>
        <w:fldChar w:fldCharType="separate"/>
      </w:r>
      <w:r>
        <w:rPr>
          <w:rStyle w:val="31"/>
          <w:rFonts w:ascii="宋体" w:hAnsi="宋体"/>
          <w:color w:val="auto"/>
          <w:highlight w:val="none"/>
        </w:rPr>
        <w:t>六、评   标</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_Toc118383684 \h </w:instrText>
      </w:r>
      <w:r>
        <w:rPr>
          <w:rFonts w:ascii="宋体" w:hAnsi="宋体"/>
          <w:color w:val="auto"/>
          <w:highlight w:val="none"/>
        </w:rPr>
        <w:fldChar w:fldCharType="separate"/>
      </w:r>
      <w:r>
        <w:rPr>
          <w:rFonts w:ascii="宋体" w:hAnsi="宋体"/>
          <w:color w:val="auto"/>
          <w:highlight w:val="none"/>
        </w:rPr>
        <w:t>68</w:t>
      </w:r>
      <w:r>
        <w:rPr>
          <w:rFonts w:ascii="宋体" w:hAnsi="宋体"/>
          <w:color w:val="auto"/>
          <w:highlight w:val="none"/>
        </w:rPr>
        <w:fldChar w:fldCharType="end"/>
      </w:r>
      <w:r>
        <w:rPr>
          <w:rFonts w:ascii="宋体" w:hAnsi="宋体"/>
          <w:color w:val="auto"/>
          <w:highlight w:val="none"/>
        </w:rPr>
        <w:fldChar w:fldCharType="end"/>
      </w:r>
    </w:p>
    <w:p w14:paraId="4725C8D8">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"_Toc118383685" </w:instrText>
      </w:r>
      <w:r>
        <w:rPr>
          <w:color w:val="auto"/>
          <w:highlight w:val="none"/>
        </w:rPr>
        <w:fldChar w:fldCharType="separate"/>
      </w:r>
      <w:r>
        <w:rPr>
          <w:rStyle w:val="31"/>
          <w:rFonts w:ascii="宋体" w:hAnsi="宋体"/>
          <w:color w:val="auto"/>
          <w:highlight w:val="none"/>
        </w:rPr>
        <w:t>七、中标和合同</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_Toc118383685 \h </w:instrText>
      </w:r>
      <w:r>
        <w:rPr>
          <w:rFonts w:ascii="宋体" w:hAnsi="宋体"/>
          <w:color w:val="auto"/>
          <w:highlight w:val="none"/>
        </w:rPr>
        <w:fldChar w:fldCharType="separate"/>
      </w:r>
      <w:r>
        <w:rPr>
          <w:rFonts w:ascii="宋体" w:hAnsi="宋体"/>
          <w:color w:val="auto"/>
          <w:highlight w:val="none"/>
        </w:rPr>
        <w:t>69</w:t>
      </w:r>
      <w:r>
        <w:rPr>
          <w:rFonts w:ascii="宋体" w:hAnsi="宋体"/>
          <w:color w:val="auto"/>
          <w:highlight w:val="none"/>
        </w:rPr>
        <w:fldChar w:fldCharType="end"/>
      </w:r>
      <w:r>
        <w:rPr>
          <w:rFonts w:ascii="宋体" w:hAnsi="宋体"/>
          <w:color w:val="auto"/>
          <w:highlight w:val="none"/>
        </w:rPr>
        <w:fldChar w:fldCharType="end"/>
      </w:r>
    </w:p>
    <w:p w14:paraId="7B55205D">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"_Toc118383686" </w:instrText>
      </w:r>
      <w:r>
        <w:rPr>
          <w:color w:val="auto"/>
          <w:highlight w:val="none"/>
        </w:rPr>
        <w:fldChar w:fldCharType="separate"/>
      </w:r>
      <w:r>
        <w:rPr>
          <w:rStyle w:val="31"/>
          <w:rFonts w:ascii="宋体" w:hAnsi="宋体"/>
          <w:b/>
          <w:bCs/>
          <w:color w:val="auto"/>
          <w:highlight w:val="none"/>
        </w:rPr>
        <w:t>八、验收</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_Toc118383686 \h </w:instrText>
      </w:r>
      <w:r>
        <w:rPr>
          <w:rFonts w:ascii="宋体" w:hAnsi="宋体"/>
          <w:color w:val="auto"/>
          <w:highlight w:val="none"/>
        </w:rPr>
        <w:fldChar w:fldCharType="separate"/>
      </w:r>
      <w:r>
        <w:rPr>
          <w:rFonts w:ascii="宋体" w:hAnsi="宋体"/>
          <w:color w:val="auto"/>
          <w:highlight w:val="none"/>
        </w:rPr>
        <w:t>74</w:t>
      </w:r>
      <w:r>
        <w:rPr>
          <w:rFonts w:ascii="宋体" w:hAnsi="宋体"/>
          <w:color w:val="auto"/>
          <w:highlight w:val="none"/>
        </w:rPr>
        <w:fldChar w:fldCharType="end"/>
      </w:r>
      <w:r>
        <w:rPr>
          <w:rFonts w:ascii="宋体" w:hAnsi="宋体"/>
          <w:color w:val="auto"/>
          <w:highlight w:val="none"/>
        </w:rPr>
        <w:fldChar w:fldCharType="end"/>
      </w:r>
    </w:p>
    <w:p w14:paraId="2E181D87">
      <w:pPr>
        <w:pStyle w:val="14"/>
        <w:tabs>
          <w:tab w:val="right" w:leader="dot" w:pos="9628"/>
        </w:tabs>
        <w:ind w:firstLine="440"/>
        <w:rPr>
          <w:rFonts w:ascii="宋体" w:hAnsi="宋体"/>
          <w:smallCaps w:val="0"/>
          <w:color w:val="auto"/>
          <w:sz w:val="21"/>
          <w:highlight w:val="none"/>
        </w:rPr>
      </w:pPr>
      <w:r>
        <w:rPr>
          <w:color w:val="auto"/>
          <w:highlight w:val="none"/>
        </w:rPr>
        <w:fldChar w:fldCharType="begin"/>
      </w:r>
      <w:r>
        <w:rPr>
          <w:color w:val="auto"/>
          <w:highlight w:val="none"/>
        </w:rPr>
        <w:instrText xml:space="preserve"> HYPERLINK \l "_Toc118383687" </w:instrText>
      </w:r>
      <w:r>
        <w:rPr>
          <w:color w:val="auto"/>
          <w:highlight w:val="none"/>
        </w:rPr>
        <w:fldChar w:fldCharType="separate"/>
      </w:r>
      <w:r>
        <w:rPr>
          <w:rStyle w:val="31"/>
          <w:rFonts w:ascii="宋体" w:hAnsi="宋体"/>
          <w:color w:val="auto"/>
          <w:highlight w:val="none"/>
        </w:rPr>
        <w:t>九、其他事项</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_Toc118383687 \h </w:instrText>
      </w:r>
      <w:r>
        <w:rPr>
          <w:rFonts w:ascii="宋体" w:hAnsi="宋体"/>
          <w:color w:val="auto"/>
          <w:highlight w:val="none"/>
        </w:rPr>
        <w:fldChar w:fldCharType="separate"/>
      </w:r>
      <w:r>
        <w:rPr>
          <w:rFonts w:ascii="宋体" w:hAnsi="宋体"/>
          <w:color w:val="auto"/>
          <w:highlight w:val="none"/>
        </w:rPr>
        <w:t>75</w:t>
      </w:r>
      <w:r>
        <w:rPr>
          <w:rFonts w:ascii="宋体" w:hAnsi="宋体"/>
          <w:color w:val="auto"/>
          <w:highlight w:val="none"/>
        </w:rPr>
        <w:fldChar w:fldCharType="end"/>
      </w:r>
      <w:r>
        <w:rPr>
          <w:rFonts w:ascii="宋体" w:hAnsi="宋体"/>
          <w:color w:val="auto"/>
          <w:highlight w:val="none"/>
        </w:rPr>
        <w:fldChar w:fldCharType="end"/>
      </w:r>
    </w:p>
    <w:p w14:paraId="0FC9288A">
      <w:pPr>
        <w:pStyle w:val="19"/>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"_Toc118383688" </w:instrText>
      </w:r>
      <w:r>
        <w:rPr>
          <w:color w:val="auto"/>
          <w:highlight w:val="none"/>
        </w:rPr>
        <w:fldChar w:fldCharType="separate"/>
      </w:r>
      <w:r>
        <w:rPr>
          <w:rStyle w:val="31"/>
          <w:rFonts w:ascii="宋体" w:hAnsi="宋体"/>
          <w:color w:val="auto"/>
          <w:highlight w:val="none"/>
          <w:u w:val="none"/>
        </w:rPr>
        <w:t>第四章  评标方法及评分标准</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_Toc118383688 \h </w:instrText>
      </w:r>
      <w:r>
        <w:rPr>
          <w:rFonts w:ascii="宋体" w:hAnsi="宋体"/>
          <w:color w:val="auto"/>
          <w:highlight w:val="none"/>
          <w:u w:val="none"/>
        </w:rPr>
        <w:fldChar w:fldCharType="separate"/>
      </w:r>
      <w:r>
        <w:rPr>
          <w:rFonts w:ascii="宋体" w:hAnsi="宋体"/>
          <w:color w:val="auto"/>
          <w:highlight w:val="none"/>
          <w:u w:val="none"/>
        </w:rPr>
        <w:t>77</w:t>
      </w:r>
      <w:r>
        <w:rPr>
          <w:rFonts w:ascii="宋体" w:hAnsi="宋体"/>
          <w:color w:val="auto"/>
          <w:highlight w:val="none"/>
          <w:u w:val="none"/>
        </w:rPr>
        <w:fldChar w:fldCharType="end"/>
      </w:r>
      <w:r>
        <w:rPr>
          <w:rFonts w:ascii="宋体" w:hAnsi="宋体"/>
          <w:color w:val="auto"/>
          <w:highlight w:val="none"/>
          <w:u w:val="none"/>
        </w:rPr>
        <w:fldChar w:fldCharType="end"/>
      </w:r>
    </w:p>
    <w:p w14:paraId="7722E232">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"_Toc118383689" </w:instrText>
      </w:r>
      <w:r>
        <w:rPr>
          <w:color w:val="auto"/>
          <w:highlight w:val="none"/>
        </w:rPr>
        <w:fldChar w:fldCharType="separate"/>
      </w:r>
      <w:r>
        <w:rPr>
          <w:rStyle w:val="31"/>
          <w:rFonts w:ascii="宋体" w:hAnsi="宋体"/>
          <w:color w:val="auto"/>
          <w:highlight w:val="none"/>
        </w:rPr>
        <w:t>第一节 评标方法</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_Toc118383689 \h </w:instrText>
      </w:r>
      <w:r>
        <w:rPr>
          <w:rFonts w:ascii="宋体" w:hAnsi="宋体"/>
          <w:color w:val="auto"/>
          <w:highlight w:val="none"/>
        </w:rPr>
        <w:fldChar w:fldCharType="separate"/>
      </w:r>
      <w:r>
        <w:rPr>
          <w:rFonts w:ascii="宋体" w:hAnsi="宋体"/>
          <w:color w:val="auto"/>
          <w:highlight w:val="none"/>
        </w:rPr>
        <w:t>77</w:t>
      </w:r>
      <w:r>
        <w:rPr>
          <w:rFonts w:ascii="宋体" w:hAnsi="宋体"/>
          <w:color w:val="auto"/>
          <w:highlight w:val="none"/>
        </w:rPr>
        <w:fldChar w:fldCharType="end"/>
      </w:r>
      <w:r>
        <w:rPr>
          <w:rFonts w:ascii="宋体" w:hAnsi="宋体"/>
          <w:color w:val="auto"/>
          <w:highlight w:val="none"/>
        </w:rPr>
        <w:fldChar w:fldCharType="end"/>
      </w:r>
    </w:p>
    <w:p w14:paraId="015B8248">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"_Toc118383690" </w:instrText>
      </w:r>
      <w:r>
        <w:rPr>
          <w:color w:val="auto"/>
          <w:highlight w:val="none"/>
        </w:rPr>
        <w:fldChar w:fldCharType="separate"/>
      </w:r>
      <w:r>
        <w:rPr>
          <w:rStyle w:val="31"/>
          <w:rFonts w:ascii="宋体" w:hAnsi="宋体"/>
          <w:color w:val="auto"/>
          <w:highlight w:val="none"/>
        </w:rPr>
        <w:t>第二节 评标程序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_Toc118383690 \h </w:instrText>
      </w:r>
      <w:r>
        <w:rPr>
          <w:rFonts w:ascii="宋体" w:hAnsi="宋体"/>
          <w:color w:val="auto"/>
          <w:highlight w:val="none"/>
        </w:rPr>
        <w:fldChar w:fldCharType="separate"/>
      </w:r>
      <w:r>
        <w:rPr>
          <w:rFonts w:ascii="宋体" w:hAnsi="宋体"/>
          <w:color w:val="auto"/>
          <w:highlight w:val="none"/>
        </w:rPr>
        <w:t>77</w:t>
      </w:r>
      <w:r>
        <w:rPr>
          <w:rFonts w:ascii="宋体" w:hAnsi="宋体"/>
          <w:color w:val="auto"/>
          <w:highlight w:val="none"/>
        </w:rPr>
        <w:fldChar w:fldCharType="end"/>
      </w:r>
      <w:r>
        <w:rPr>
          <w:rFonts w:ascii="宋体" w:hAnsi="宋体"/>
          <w:color w:val="auto"/>
          <w:highlight w:val="none"/>
        </w:rPr>
        <w:fldChar w:fldCharType="end"/>
      </w:r>
    </w:p>
    <w:p w14:paraId="552DCC63">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"_Toc118383691" </w:instrText>
      </w:r>
      <w:r>
        <w:rPr>
          <w:color w:val="auto"/>
          <w:highlight w:val="none"/>
        </w:rPr>
        <w:fldChar w:fldCharType="separate"/>
      </w:r>
      <w:r>
        <w:rPr>
          <w:rStyle w:val="31"/>
          <w:rFonts w:ascii="宋体" w:hAnsi="宋体"/>
          <w:color w:val="auto"/>
          <w:highlight w:val="none"/>
        </w:rPr>
        <w:t>第三节 评分标准</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_Toc118383691 \h </w:instrText>
      </w:r>
      <w:r>
        <w:rPr>
          <w:rFonts w:ascii="宋体" w:hAnsi="宋体"/>
          <w:color w:val="auto"/>
          <w:highlight w:val="none"/>
        </w:rPr>
        <w:fldChar w:fldCharType="separate"/>
      </w:r>
      <w:r>
        <w:rPr>
          <w:rFonts w:ascii="宋体" w:hAnsi="宋体"/>
          <w:color w:val="auto"/>
          <w:highlight w:val="none"/>
        </w:rPr>
        <w:t>80</w:t>
      </w:r>
      <w:r>
        <w:rPr>
          <w:rFonts w:ascii="宋体" w:hAnsi="宋体"/>
          <w:color w:val="auto"/>
          <w:highlight w:val="none"/>
        </w:rPr>
        <w:fldChar w:fldCharType="end"/>
      </w:r>
      <w:r>
        <w:rPr>
          <w:rFonts w:ascii="宋体" w:hAnsi="宋体"/>
          <w:color w:val="auto"/>
          <w:highlight w:val="none"/>
        </w:rPr>
        <w:fldChar w:fldCharType="end"/>
      </w:r>
    </w:p>
    <w:p w14:paraId="3A8E2550">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"_Toc118383692" </w:instrText>
      </w:r>
      <w:r>
        <w:rPr>
          <w:color w:val="auto"/>
          <w:highlight w:val="none"/>
        </w:rPr>
        <w:fldChar w:fldCharType="separate"/>
      </w:r>
      <w:r>
        <w:rPr>
          <w:rStyle w:val="31"/>
          <w:rFonts w:ascii="宋体" w:hAnsi="宋体"/>
          <w:color w:val="auto"/>
          <w:highlight w:val="none"/>
        </w:rPr>
        <w:t>第四节 中标候选人推荐原则</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_Toc118383692 \h </w:instrText>
      </w:r>
      <w:r>
        <w:rPr>
          <w:rFonts w:ascii="宋体" w:hAnsi="宋体"/>
          <w:color w:val="auto"/>
          <w:highlight w:val="none"/>
        </w:rPr>
        <w:fldChar w:fldCharType="separate"/>
      </w:r>
      <w:r>
        <w:rPr>
          <w:rFonts w:ascii="宋体" w:hAnsi="宋体"/>
          <w:color w:val="auto"/>
          <w:highlight w:val="none"/>
        </w:rPr>
        <w:t>91</w:t>
      </w:r>
      <w:r>
        <w:rPr>
          <w:rFonts w:ascii="宋体" w:hAnsi="宋体"/>
          <w:color w:val="auto"/>
          <w:highlight w:val="none"/>
        </w:rPr>
        <w:fldChar w:fldCharType="end"/>
      </w:r>
      <w:r>
        <w:rPr>
          <w:rFonts w:ascii="宋体" w:hAnsi="宋体"/>
          <w:color w:val="auto"/>
          <w:highlight w:val="none"/>
        </w:rPr>
        <w:fldChar w:fldCharType="end"/>
      </w:r>
    </w:p>
    <w:p w14:paraId="4FDBE423">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"_Toc118383693" </w:instrText>
      </w:r>
      <w:r>
        <w:rPr>
          <w:color w:val="auto"/>
          <w:highlight w:val="none"/>
        </w:rPr>
        <w:fldChar w:fldCharType="separate"/>
      </w:r>
      <w:r>
        <w:rPr>
          <w:rStyle w:val="31"/>
          <w:rFonts w:ascii="宋体" w:hAnsi="宋体"/>
          <w:color w:val="auto"/>
          <w:highlight w:val="none"/>
        </w:rPr>
        <w:t>第五节 评标报告</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_Toc118383693 \h </w:instrText>
      </w:r>
      <w:r>
        <w:rPr>
          <w:rFonts w:ascii="宋体" w:hAnsi="宋体"/>
          <w:color w:val="auto"/>
          <w:highlight w:val="none"/>
        </w:rPr>
        <w:fldChar w:fldCharType="separate"/>
      </w:r>
      <w:r>
        <w:rPr>
          <w:rFonts w:ascii="宋体" w:hAnsi="宋体"/>
          <w:color w:val="auto"/>
          <w:highlight w:val="none"/>
        </w:rPr>
        <w:t>91</w:t>
      </w:r>
      <w:r>
        <w:rPr>
          <w:rFonts w:ascii="宋体" w:hAnsi="宋体"/>
          <w:color w:val="auto"/>
          <w:highlight w:val="none"/>
        </w:rPr>
        <w:fldChar w:fldCharType="end"/>
      </w:r>
      <w:r>
        <w:rPr>
          <w:rFonts w:ascii="宋体" w:hAnsi="宋体"/>
          <w:color w:val="auto"/>
          <w:highlight w:val="none"/>
        </w:rPr>
        <w:fldChar w:fldCharType="end"/>
      </w:r>
    </w:p>
    <w:p w14:paraId="34182000">
      <w:pPr>
        <w:pStyle w:val="19"/>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"_Toc118383694" </w:instrText>
      </w:r>
      <w:r>
        <w:rPr>
          <w:color w:val="auto"/>
          <w:highlight w:val="none"/>
        </w:rPr>
        <w:fldChar w:fldCharType="separate"/>
      </w:r>
      <w:r>
        <w:rPr>
          <w:rStyle w:val="31"/>
          <w:rFonts w:ascii="宋体" w:hAnsi="宋体"/>
          <w:color w:val="auto"/>
          <w:highlight w:val="none"/>
          <w:u w:val="none"/>
        </w:rPr>
        <w:t>第五章 拟签订的合同文本</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_Toc118383694 \h </w:instrText>
      </w:r>
      <w:r>
        <w:rPr>
          <w:rFonts w:ascii="宋体" w:hAnsi="宋体"/>
          <w:color w:val="auto"/>
          <w:highlight w:val="none"/>
          <w:u w:val="none"/>
        </w:rPr>
        <w:fldChar w:fldCharType="separate"/>
      </w:r>
      <w:r>
        <w:rPr>
          <w:rFonts w:ascii="宋体" w:hAnsi="宋体"/>
          <w:color w:val="auto"/>
          <w:highlight w:val="none"/>
          <w:u w:val="none"/>
        </w:rPr>
        <w:t>92</w:t>
      </w:r>
      <w:r>
        <w:rPr>
          <w:rFonts w:ascii="宋体" w:hAnsi="宋体"/>
          <w:color w:val="auto"/>
          <w:highlight w:val="none"/>
          <w:u w:val="none"/>
        </w:rPr>
        <w:fldChar w:fldCharType="end"/>
      </w:r>
      <w:r>
        <w:rPr>
          <w:rFonts w:ascii="宋体" w:hAnsi="宋体"/>
          <w:color w:val="auto"/>
          <w:highlight w:val="none"/>
          <w:u w:val="none"/>
        </w:rPr>
        <w:fldChar w:fldCharType="end"/>
      </w:r>
    </w:p>
    <w:p w14:paraId="57074E1D">
      <w:pPr>
        <w:pStyle w:val="19"/>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"_Toc118383695" </w:instrText>
      </w:r>
      <w:r>
        <w:rPr>
          <w:color w:val="auto"/>
          <w:highlight w:val="none"/>
        </w:rPr>
        <w:fldChar w:fldCharType="separate"/>
      </w:r>
      <w:r>
        <w:rPr>
          <w:rStyle w:val="31"/>
          <w:rFonts w:ascii="宋体" w:hAnsi="宋体"/>
          <w:color w:val="auto"/>
          <w:highlight w:val="none"/>
          <w:u w:val="none"/>
        </w:rPr>
        <w:t>第六章 投标文件格式</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_Toc118383695 \h </w:instrText>
      </w:r>
      <w:r>
        <w:rPr>
          <w:rFonts w:ascii="宋体" w:hAnsi="宋体"/>
          <w:color w:val="auto"/>
          <w:highlight w:val="none"/>
          <w:u w:val="none"/>
        </w:rPr>
        <w:fldChar w:fldCharType="separate"/>
      </w:r>
      <w:r>
        <w:rPr>
          <w:rFonts w:ascii="宋体" w:hAnsi="宋体"/>
          <w:color w:val="auto"/>
          <w:highlight w:val="none"/>
          <w:u w:val="none"/>
        </w:rPr>
        <w:t>107</w:t>
      </w:r>
      <w:r>
        <w:rPr>
          <w:rFonts w:ascii="宋体" w:hAnsi="宋体"/>
          <w:color w:val="auto"/>
          <w:highlight w:val="none"/>
          <w:u w:val="none"/>
        </w:rPr>
        <w:fldChar w:fldCharType="end"/>
      </w:r>
      <w:r>
        <w:rPr>
          <w:rFonts w:ascii="宋体" w:hAnsi="宋体"/>
          <w:color w:val="auto"/>
          <w:highlight w:val="none"/>
          <w:u w:val="none"/>
        </w:rPr>
        <w:fldChar w:fldCharType="end"/>
      </w:r>
    </w:p>
    <w:p w14:paraId="173CB997">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"_Toc118383696" </w:instrText>
      </w:r>
      <w:r>
        <w:rPr>
          <w:color w:val="auto"/>
          <w:highlight w:val="none"/>
        </w:rPr>
        <w:fldChar w:fldCharType="separate"/>
      </w:r>
      <w:r>
        <w:rPr>
          <w:rStyle w:val="31"/>
          <w:rFonts w:ascii="宋体" w:hAnsi="宋体"/>
          <w:color w:val="auto"/>
          <w:highlight w:val="none"/>
        </w:rPr>
        <w:t>第一节 投标文件外层包装封面</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_Toc118383696 \h </w:instrText>
      </w:r>
      <w:r>
        <w:rPr>
          <w:rFonts w:ascii="宋体" w:hAnsi="宋体"/>
          <w:color w:val="auto"/>
          <w:highlight w:val="none"/>
        </w:rPr>
        <w:fldChar w:fldCharType="separate"/>
      </w:r>
      <w:r>
        <w:rPr>
          <w:rFonts w:ascii="宋体" w:hAnsi="宋体"/>
          <w:color w:val="auto"/>
          <w:highlight w:val="none"/>
        </w:rPr>
        <w:t>108</w:t>
      </w:r>
      <w:r>
        <w:rPr>
          <w:rFonts w:ascii="宋体" w:hAnsi="宋体"/>
          <w:color w:val="auto"/>
          <w:highlight w:val="none"/>
        </w:rPr>
        <w:fldChar w:fldCharType="end"/>
      </w:r>
      <w:r>
        <w:rPr>
          <w:rFonts w:ascii="宋体" w:hAnsi="宋体"/>
          <w:color w:val="auto"/>
          <w:highlight w:val="none"/>
        </w:rPr>
        <w:fldChar w:fldCharType="end"/>
      </w:r>
    </w:p>
    <w:p w14:paraId="1A81A031">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"_Toc118383697" </w:instrText>
      </w:r>
      <w:r>
        <w:rPr>
          <w:color w:val="auto"/>
          <w:highlight w:val="none"/>
        </w:rPr>
        <w:fldChar w:fldCharType="separate"/>
      </w:r>
      <w:r>
        <w:rPr>
          <w:rStyle w:val="31"/>
          <w:rFonts w:ascii="宋体" w:hAnsi="宋体"/>
          <w:color w:val="auto"/>
          <w:highlight w:val="none"/>
        </w:rPr>
        <w:t>第二节 资格证明文件格式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_Toc118383697 \h </w:instrText>
      </w:r>
      <w:r>
        <w:rPr>
          <w:rFonts w:ascii="宋体" w:hAnsi="宋体"/>
          <w:color w:val="auto"/>
          <w:highlight w:val="none"/>
        </w:rPr>
        <w:fldChar w:fldCharType="separate"/>
      </w:r>
      <w:r>
        <w:rPr>
          <w:rFonts w:ascii="宋体" w:hAnsi="宋体"/>
          <w:color w:val="auto"/>
          <w:highlight w:val="none"/>
        </w:rPr>
        <w:t>109</w:t>
      </w:r>
      <w:r>
        <w:rPr>
          <w:rFonts w:ascii="宋体" w:hAnsi="宋体"/>
          <w:color w:val="auto"/>
          <w:highlight w:val="none"/>
        </w:rPr>
        <w:fldChar w:fldCharType="end"/>
      </w:r>
      <w:r>
        <w:rPr>
          <w:rFonts w:ascii="宋体" w:hAnsi="宋体"/>
          <w:color w:val="auto"/>
          <w:highlight w:val="none"/>
        </w:rPr>
        <w:fldChar w:fldCharType="end"/>
      </w:r>
    </w:p>
    <w:p w14:paraId="5E678A4D">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"_Toc118383698" </w:instrText>
      </w:r>
      <w:r>
        <w:rPr>
          <w:color w:val="auto"/>
          <w:highlight w:val="none"/>
        </w:rPr>
        <w:fldChar w:fldCharType="separate"/>
      </w:r>
      <w:r>
        <w:rPr>
          <w:rStyle w:val="31"/>
          <w:rFonts w:ascii="宋体" w:hAnsi="宋体"/>
          <w:color w:val="auto"/>
          <w:highlight w:val="none"/>
        </w:rPr>
        <w:t>第三节 商务文件格式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_Toc118383698 \h </w:instrText>
      </w:r>
      <w:r>
        <w:rPr>
          <w:rFonts w:ascii="宋体" w:hAnsi="宋体"/>
          <w:color w:val="auto"/>
          <w:highlight w:val="none"/>
        </w:rPr>
        <w:fldChar w:fldCharType="separate"/>
      </w:r>
      <w:r>
        <w:rPr>
          <w:rFonts w:ascii="宋体" w:hAnsi="宋体"/>
          <w:color w:val="auto"/>
          <w:highlight w:val="none"/>
        </w:rPr>
        <w:t>117</w:t>
      </w:r>
      <w:r>
        <w:rPr>
          <w:rFonts w:ascii="宋体" w:hAnsi="宋体"/>
          <w:color w:val="auto"/>
          <w:highlight w:val="none"/>
        </w:rPr>
        <w:fldChar w:fldCharType="end"/>
      </w:r>
      <w:r>
        <w:rPr>
          <w:rFonts w:ascii="宋体" w:hAnsi="宋体"/>
          <w:color w:val="auto"/>
          <w:highlight w:val="none"/>
        </w:rPr>
        <w:fldChar w:fldCharType="end"/>
      </w:r>
    </w:p>
    <w:p w14:paraId="6A30A7AF">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"_Toc118383699" </w:instrText>
      </w:r>
      <w:r>
        <w:rPr>
          <w:color w:val="auto"/>
          <w:highlight w:val="none"/>
        </w:rPr>
        <w:fldChar w:fldCharType="separate"/>
      </w:r>
      <w:r>
        <w:rPr>
          <w:rStyle w:val="31"/>
          <w:rFonts w:ascii="宋体" w:hAnsi="宋体"/>
          <w:color w:val="auto"/>
          <w:highlight w:val="none"/>
        </w:rPr>
        <w:t>第四节 技术文件格式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_Toc118383699 \h </w:instrText>
      </w:r>
      <w:r>
        <w:rPr>
          <w:rFonts w:ascii="宋体" w:hAnsi="宋体"/>
          <w:color w:val="auto"/>
          <w:highlight w:val="none"/>
        </w:rPr>
        <w:fldChar w:fldCharType="separate"/>
      </w:r>
      <w:r>
        <w:rPr>
          <w:rFonts w:ascii="宋体" w:hAnsi="宋体"/>
          <w:color w:val="auto"/>
          <w:highlight w:val="none"/>
        </w:rPr>
        <w:t>128</w:t>
      </w:r>
      <w:r>
        <w:rPr>
          <w:rFonts w:ascii="宋体" w:hAnsi="宋体"/>
          <w:color w:val="auto"/>
          <w:highlight w:val="none"/>
        </w:rPr>
        <w:fldChar w:fldCharType="end"/>
      </w:r>
      <w:r>
        <w:rPr>
          <w:rFonts w:ascii="宋体" w:hAnsi="宋体"/>
          <w:color w:val="auto"/>
          <w:highlight w:val="none"/>
        </w:rPr>
        <w:fldChar w:fldCharType="end"/>
      </w:r>
    </w:p>
    <w:p w14:paraId="3BFF8D90">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"_Toc118383700" </w:instrText>
      </w:r>
      <w:r>
        <w:rPr>
          <w:color w:val="auto"/>
          <w:highlight w:val="none"/>
        </w:rPr>
        <w:fldChar w:fldCharType="separate"/>
      </w:r>
      <w:r>
        <w:rPr>
          <w:rStyle w:val="31"/>
          <w:rFonts w:ascii="宋体" w:hAnsi="宋体"/>
          <w:color w:val="auto"/>
          <w:highlight w:val="none"/>
        </w:rPr>
        <w:t>第五节 报价文件格式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_Toc118383700 \h </w:instrText>
      </w:r>
      <w:r>
        <w:rPr>
          <w:rFonts w:ascii="宋体" w:hAnsi="宋体"/>
          <w:color w:val="auto"/>
          <w:highlight w:val="none"/>
        </w:rPr>
        <w:fldChar w:fldCharType="separate"/>
      </w:r>
      <w:r>
        <w:rPr>
          <w:rFonts w:ascii="宋体" w:hAnsi="宋体"/>
          <w:color w:val="auto"/>
          <w:highlight w:val="none"/>
        </w:rPr>
        <w:t>138</w:t>
      </w:r>
      <w:r>
        <w:rPr>
          <w:rFonts w:ascii="宋体" w:hAnsi="宋体"/>
          <w:color w:val="auto"/>
          <w:highlight w:val="none"/>
        </w:rPr>
        <w:fldChar w:fldCharType="end"/>
      </w:r>
      <w:r>
        <w:rPr>
          <w:rFonts w:ascii="宋体" w:hAnsi="宋体"/>
          <w:color w:val="auto"/>
          <w:highlight w:val="none"/>
        </w:rPr>
        <w:fldChar w:fldCharType="end"/>
      </w:r>
    </w:p>
    <w:p w14:paraId="6BFB7784">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"_Toc118383701" </w:instrText>
      </w:r>
      <w:r>
        <w:rPr>
          <w:color w:val="auto"/>
          <w:highlight w:val="none"/>
        </w:rPr>
        <w:fldChar w:fldCharType="separate"/>
      </w:r>
      <w:r>
        <w:rPr>
          <w:rStyle w:val="31"/>
          <w:rFonts w:ascii="宋体" w:hAnsi="宋体"/>
          <w:color w:val="auto"/>
          <w:highlight w:val="none"/>
        </w:rPr>
        <w:t>第六节 其他文书、文件格式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_Toc118383701 \h </w:instrText>
      </w:r>
      <w:r>
        <w:rPr>
          <w:rFonts w:ascii="宋体" w:hAnsi="宋体"/>
          <w:color w:val="auto"/>
          <w:highlight w:val="none"/>
        </w:rPr>
        <w:fldChar w:fldCharType="separate"/>
      </w:r>
      <w:r>
        <w:rPr>
          <w:rFonts w:ascii="宋体" w:hAnsi="宋体"/>
          <w:color w:val="auto"/>
          <w:highlight w:val="none"/>
        </w:rPr>
        <w:t>144</w:t>
      </w:r>
      <w:r>
        <w:rPr>
          <w:rFonts w:ascii="宋体" w:hAnsi="宋体"/>
          <w:color w:val="auto"/>
          <w:highlight w:val="none"/>
        </w:rPr>
        <w:fldChar w:fldCharType="end"/>
      </w:r>
      <w:r>
        <w:rPr>
          <w:rFonts w:ascii="宋体" w:hAnsi="宋体"/>
          <w:color w:val="auto"/>
          <w:highlight w:val="none"/>
        </w:rPr>
        <w:fldChar w:fldCharType="end"/>
      </w:r>
    </w:p>
    <w:p w14:paraId="0E27E82B">
      <w:pPr>
        <w:pStyle w:val="19"/>
        <w:tabs>
          <w:tab w:val="right" w:leader="dot" w:pos="9628"/>
        </w:tabs>
        <w:spacing w:before="0" w:after="0"/>
        <w:ind w:firstLine="442"/>
        <w:rPr>
          <w:rFonts w:ascii="宋体" w:hAnsi="宋体"/>
          <w:b w:val="0"/>
          <w:bCs w:val="0"/>
          <w:caps w:val="0"/>
          <w:color w:val="auto"/>
          <w:sz w:val="21"/>
          <w:highlight w:val="none"/>
          <w:u w:val="none"/>
        </w:rPr>
      </w:pPr>
      <w:r>
        <w:rPr>
          <w:color w:val="auto"/>
          <w:highlight w:val="none"/>
        </w:rPr>
        <w:fldChar w:fldCharType="begin"/>
      </w:r>
      <w:r>
        <w:rPr>
          <w:color w:val="auto"/>
          <w:highlight w:val="none"/>
        </w:rPr>
        <w:instrText xml:space="preserve"> HYPERLINK \l "_Toc118383702" </w:instrText>
      </w:r>
      <w:r>
        <w:rPr>
          <w:color w:val="auto"/>
          <w:highlight w:val="none"/>
        </w:rPr>
        <w:fldChar w:fldCharType="separate"/>
      </w:r>
      <w:r>
        <w:rPr>
          <w:rStyle w:val="31"/>
          <w:rFonts w:ascii="宋体" w:hAnsi="宋体"/>
          <w:color w:val="auto"/>
          <w:highlight w:val="none"/>
          <w:u w:val="none"/>
        </w:rPr>
        <w:t>第七章 质疑、投诉证明材料格式</w:t>
      </w:r>
      <w:r>
        <w:rPr>
          <w:rFonts w:ascii="宋体" w:hAnsi="宋体"/>
          <w:color w:val="auto"/>
          <w:highlight w:val="none"/>
          <w:u w:val="none"/>
        </w:rPr>
        <w:tab/>
      </w:r>
      <w:r>
        <w:rPr>
          <w:rFonts w:ascii="宋体" w:hAnsi="宋体"/>
          <w:color w:val="auto"/>
          <w:highlight w:val="none"/>
          <w:u w:val="none"/>
        </w:rPr>
        <w:fldChar w:fldCharType="begin"/>
      </w:r>
      <w:r>
        <w:rPr>
          <w:rFonts w:ascii="宋体" w:hAnsi="宋体"/>
          <w:color w:val="auto"/>
          <w:highlight w:val="none"/>
          <w:u w:val="none"/>
        </w:rPr>
        <w:instrText xml:space="preserve"> PAGEREF _Toc118383702 \h </w:instrText>
      </w:r>
      <w:r>
        <w:rPr>
          <w:rFonts w:ascii="宋体" w:hAnsi="宋体"/>
          <w:color w:val="auto"/>
          <w:highlight w:val="none"/>
          <w:u w:val="none"/>
        </w:rPr>
        <w:fldChar w:fldCharType="separate"/>
      </w:r>
      <w:r>
        <w:rPr>
          <w:rFonts w:ascii="宋体" w:hAnsi="宋体"/>
          <w:color w:val="auto"/>
          <w:highlight w:val="none"/>
          <w:u w:val="none"/>
        </w:rPr>
        <w:t>146</w:t>
      </w:r>
      <w:r>
        <w:rPr>
          <w:rFonts w:ascii="宋体" w:hAnsi="宋体"/>
          <w:color w:val="auto"/>
          <w:highlight w:val="none"/>
          <w:u w:val="none"/>
        </w:rPr>
        <w:fldChar w:fldCharType="end"/>
      </w:r>
      <w:r>
        <w:rPr>
          <w:rFonts w:ascii="宋体" w:hAnsi="宋体"/>
          <w:color w:val="auto"/>
          <w:highlight w:val="none"/>
          <w:u w:val="none"/>
        </w:rPr>
        <w:fldChar w:fldCharType="end"/>
      </w:r>
    </w:p>
    <w:p w14:paraId="4D67901C">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"_Toc118383703" </w:instrText>
      </w:r>
      <w:r>
        <w:rPr>
          <w:color w:val="auto"/>
          <w:highlight w:val="none"/>
        </w:rPr>
        <w:fldChar w:fldCharType="separate"/>
      </w:r>
      <w:r>
        <w:rPr>
          <w:rStyle w:val="31"/>
          <w:rFonts w:ascii="宋体" w:hAnsi="宋体"/>
          <w:color w:val="auto"/>
          <w:highlight w:val="none"/>
        </w:rPr>
        <w:t>第一节 质疑函（格式）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_Toc118383703 \h </w:instrText>
      </w:r>
      <w:r>
        <w:rPr>
          <w:rFonts w:ascii="宋体" w:hAnsi="宋体"/>
          <w:color w:val="auto"/>
          <w:highlight w:val="none"/>
        </w:rPr>
        <w:fldChar w:fldCharType="separate"/>
      </w:r>
      <w:r>
        <w:rPr>
          <w:rFonts w:ascii="宋体" w:hAnsi="宋体"/>
          <w:color w:val="auto"/>
          <w:highlight w:val="none"/>
        </w:rPr>
        <w:t>147</w:t>
      </w:r>
      <w:r>
        <w:rPr>
          <w:rFonts w:ascii="宋体" w:hAnsi="宋体"/>
          <w:color w:val="auto"/>
          <w:highlight w:val="none"/>
        </w:rPr>
        <w:fldChar w:fldCharType="end"/>
      </w:r>
      <w:r>
        <w:rPr>
          <w:rFonts w:ascii="宋体" w:hAnsi="宋体"/>
          <w:color w:val="auto"/>
          <w:highlight w:val="none"/>
        </w:rPr>
        <w:fldChar w:fldCharType="end"/>
      </w:r>
    </w:p>
    <w:p w14:paraId="40836A67">
      <w:pPr>
        <w:pStyle w:val="21"/>
        <w:tabs>
          <w:tab w:val="right" w:leader="dot" w:pos="9628"/>
        </w:tabs>
        <w:ind w:firstLine="442"/>
        <w:rPr>
          <w:rFonts w:ascii="宋体" w:hAnsi="宋体"/>
          <w:b w:val="0"/>
          <w:bCs w:val="0"/>
          <w:smallCaps w:val="0"/>
          <w:color w:val="auto"/>
          <w:sz w:val="21"/>
          <w:highlight w:val="none"/>
        </w:rPr>
      </w:pPr>
      <w:r>
        <w:rPr>
          <w:color w:val="auto"/>
          <w:highlight w:val="none"/>
        </w:rPr>
        <w:fldChar w:fldCharType="begin"/>
      </w:r>
      <w:r>
        <w:rPr>
          <w:color w:val="auto"/>
          <w:highlight w:val="none"/>
        </w:rPr>
        <w:instrText xml:space="preserve"> HYPERLINK \l "_Toc118383704" </w:instrText>
      </w:r>
      <w:r>
        <w:rPr>
          <w:color w:val="auto"/>
          <w:highlight w:val="none"/>
        </w:rPr>
        <w:fldChar w:fldCharType="separate"/>
      </w:r>
      <w:r>
        <w:rPr>
          <w:rStyle w:val="31"/>
          <w:rFonts w:ascii="宋体" w:hAnsi="宋体"/>
          <w:color w:val="auto"/>
          <w:highlight w:val="none"/>
        </w:rPr>
        <w:t>第二节 投诉书（格式）</w:t>
      </w:r>
      <w:r>
        <w:rPr>
          <w:rFonts w:ascii="宋体" w:hAnsi="宋体"/>
          <w:color w:val="auto"/>
          <w:highlight w:val="none"/>
        </w:rPr>
        <w:tab/>
      </w:r>
      <w:r>
        <w:rPr>
          <w:rFonts w:ascii="宋体" w:hAnsi="宋体"/>
          <w:color w:val="auto"/>
          <w:highlight w:val="none"/>
        </w:rPr>
        <w:fldChar w:fldCharType="begin"/>
      </w:r>
      <w:r>
        <w:rPr>
          <w:rFonts w:ascii="宋体" w:hAnsi="宋体"/>
          <w:color w:val="auto"/>
          <w:highlight w:val="none"/>
        </w:rPr>
        <w:instrText xml:space="preserve"> PAGEREF _Toc118383704 \h </w:instrText>
      </w:r>
      <w:r>
        <w:rPr>
          <w:rFonts w:ascii="宋体" w:hAnsi="宋体"/>
          <w:color w:val="auto"/>
          <w:highlight w:val="none"/>
        </w:rPr>
        <w:fldChar w:fldCharType="separate"/>
      </w:r>
      <w:r>
        <w:rPr>
          <w:rFonts w:ascii="宋体" w:hAnsi="宋体"/>
          <w:color w:val="auto"/>
          <w:highlight w:val="none"/>
        </w:rPr>
        <w:t>150</w:t>
      </w:r>
      <w:r>
        <w:rPr>
          <w:rFonts w:ascii="宋体" w:hAnsi="宋体"/>
          <w:color w:val="auto"/>
          <w:highlight w:val="none"/>
        </w:rPr>
        <w:fldChar w:fldCharType="end"/>
      </w:r>
      <w:r>
        <w:rPr>
          <w:rFonts w:ascii="宋体" w:hAnsi="宋体"/>
          <w:color w:val="auto"/>
          <w:highlight w:val="none"/>
        </w:rPr>
        <w:fldChar w:fldCharType="end"/>
      </w:r>
    </w:p>
    <w:p w14:paraId="0E4D2D9D">
      <w:pPr>
        <w:pStyle w:val="15"/>
        <w:rPr>
          <w:rFonts w:hAnsi="宋体"/>
          <w:color w:val="auto"/>
          <w:highlight w:val="none"/>
        </w:rPr>
      </w:pPr>
      <w:r>
        <w:rPr>
          <w:rFonts w:hAnsi="宋体"/>
          <w:bCs/>
          <w:caps/>
          <w:color w:val="auto"/>
          <w:szCs w:val="28"/>
          <w:highlight w:val="none"/>
          <w:u w:val="single"/>
        </w:rPr>
        <w:fldChar w:fldCharType="end"/>
      </w:r>
      <w:bookmarkStart w:id="0" w:name="_Toc532545041"/>
    </w:p>
    <w:p w14:paraId="10228695">
      <w:pPr>
        <w:widowControl/>
        <w:jc w:val="left"/>
        <w:rPr>
          <w:rFonts w:ascii="宋体" w:hAnsi="宋体"/>
          <w:color w:val="auto"/>
          <w:szCs w:val="20"/>
          <w:highlight w:val="none"/>
        </w:rPr>
        <w:sectPr>
          <w:pgSz w:w="11906" w:h="16838"/>
          <w:pgMar w:top="1134" w:right="1134" w:bottom="1134" w:left="1134" w:header="720" w:footer="720" w:gutter="0"/>
          <w:pgNumType w:start="1"/>
          <w:cols w:space="720" w:num="1"/>
          <w:docGrid w:type="lines" w:linePitch="331" w:charSpace="0"/>
        </w:sectPr>
      </w:pPr>
    </w:p>
    <w:p w14:paraId="2D64ACF8">
      <w:pPr>
        <w:pStyle w:val="15"/>
        <w:ind w:firstLine="723"/>
        <w:jc w:val="center"/>
        <w:outlineLvl w:val="0"/>
        <w:rPr>
          <w:rFonts w:hAnsi="宋体"/>
          <w:b/>
          <w:color w:val="auto"/>
          <w:sz w:val="36"/>
          <w:highlight w:val="none"/>
        </w:rPr>
      </w:pPr>
      <w:bookmarkStart w:id="1" w:name="_Toc118383674"/>
      <w:r>
        <w:rPr>
          <w:rFonts w:hint="eastAsia" w:hAnsi="宋体"/>
          <w:b/>
          <w:color w:val="auto"/>
          <w:sz w:val="36"/>
          <w:highlight w:val="none"/>
        </w:rPr>
        <w:t>第一章</w:t>
      </w:r>
      <w:r>
        <w:rPr>
          <w:rFonts w:hAnsi="宋体"/>
          <w:b/>
          <w:color w:val="auto"/>
          <w:sz w:val="36"/>
          <w:highlight w:val="none"/>
        </w:rPr>
        <w:t xml:space="preserve">  </w:t>
      </w:r>
      <w:r>
        <w:rPr>
          <w:rFonts w:hint="eastAsia" w:hAnsi="宋体"/>
          <w:b/>
          <w:color w:val="auto"/>
          <w:sz w:val="36"/>
          <w:highlight w:val="none"/>
        </w:rPr>
        <w:t>招标公告</w:t>
      </w:r>
      <w:bookmarkEnd w:id="0"/>
      <w:bookmarkEnd w:id="1"/>
    </w:p>
    <w:p w14:paraId="6C97486D">
      <w:pPr>
        <w:pStyle w:val="15"/>
        <w:ind w:firstLine="602"/>
        <w:jc w:val="center"/>
        <w:rPr>
          <w:rFonts w:hAnsi="宋体"/>
          <w:b/>
          <w:color w:val="auto"/>
          <w:sz w:val="30"/>
          <w:szCs w:val="30"/>
          <w:highlight w:val="none"/>
        </w:rPr>
      </w:pPr>
      <w:r>
        <w:rPr>
          <w:rFonts w:hint="eastAsia" w:hAnsi="宋体"/>
          <w:b/>
          <w:color w:val="auto"/>
          <w:sz w:val="30"/>
          <w:szCs w:val="30"/>
          <w:highlight w:val="none"/>
        </w:rPr>
        <w:t>广西机电设备招标有限公司关于南宁职业技术大学跨境电子商务专业群实训室建设项目（</w:t>
      </w:r>
      <w:r>
        <w:rPr>
          <w:rFonts w:hint="eastAsia" w:hAnsi="宋体"/>
          <w:b/>
          <w:color w:val="auto"/>
          <w:sz w:val="30"/>
          <w:szCs w:val="30"/>
          <w:highlight w:val="none"/>
          <w:lang w:eastAsia="zh-CN"/>
        </w:rPr>
        <w:t>NNZC2024-G1-991788-JDZB</w:t>
      </w:r>
      <w:r>
        <w:rPr>
          <w:rFonts w:hint="eastAsia" w:hAnsi="宋体"/>
          <w:b/>
          <w:color w:val="auto"/>
          <w:sz w:val="30"/>
          <w:szCs w:val="30"/>
          <w:highlight w:val="none"/>
        </w:rPr>
        <w:t>）公开招标公告</w:t>
      </w:r>
    </w:p>
    <w:p w14:paraId="6EB3E677">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14:paraId="7246A73A">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 xml:space="preserve">  南宁职业技术大学跨境电子商务专业群实训室建设项目招标项目的潜在投标人应在广西政府采购云平台（https://www.gcy.zfcg.gxzf.gov.cn/）获取（下载）招标文件，并于202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1</w:t>
      </w:r>
      <w:r>
        <w:rPr>
          <w:rFonts w:hint="eastAsia" w:ascii="宋体" w:hAnsi="宋体"/>
          <w:color w:val="auto"/>
          <w:szCs w:val="21"/>
          <w:highlight w:val="none"/>
        </w:rPr>
        <w:t>月</w:t>
      </w:r>
      <w:bookmarkStart w:id="2" w:name="PO_3000001867_PM015"/>
      <w:r>
        <w:rPr>
          <w:rFonts w:hint="eastAsia" w:ascii="宋体" w:hAnsi="宋体"/>
          <w:color w:val="auto"/>
          <w:szCs w:val="21"/>
          <w:highlight w:val="none"/>
          <w:lang w:val="en-US" w:eastAsia="zh-CN"/>
        </w:rPr>
        <w:t>2</w:t>
      </w:r>
      <w:r>
        <w:rPr>
          <w:rFonts w:hint="eastAsia" w:ascii="宋体" w:hAnsi="宋体"/>
          <w:color w:val="auto"/>
          <w:szCs w:val="21"/>
          <w:highlight w:val="none"/>
        </w:rPr>
        <w:t>日09:30:00</w:t>
      </w:r>
      <w:bookmarkEnd w:id="2"/>
      <w:r>
        <w:rPr>
          <w:rFonts w:hint="eastAsia" w:ascii="宋体" w:hAnsi="宋体"/>
          <w:bCs/>
          <w:color w:val="auto"/>
          <w:szCs w:val="21"/>
          <w:highlight w:val="none"/>
        </w:rPr>
        <w:t>（北京时间）前</w:t>
      </w:r>
      <w:r>
        <w:rPr>
          <w:rFonts w:hint="eastAsia" w:ascii="宋体" w:hAnsi="宋体"/>
          <w:color w:val="auto"/>
          <w:szCs w:val="21"/>
          <w:highlight w:val="none"/>
        </w:rPr>
        <w:t>递交（上传）投标文件。</w:t>
      </w:r>
    </w:p>
    <w:p w14:paraId="2D9640D5">
      <w:pPr>
        <w:spacing w:line="360" w:lineRule="auto"/>
        <w:ind w:firstLine="482"/>
        <w:rPr>
          <w:rFonts w:ascii="宋体" w:hAnsi="宋体"/>
          <w:b/>
          <w:bCs/>
          <w:color w:val="auto"/>
          <w:sz w:val="24"/>
          <w:highlight w:val="none"/>
        </w:rPr>
      </w:pPr>
      <w:bookmarkStart w:id="3" w:name="_Toc28359002"/>
      <w:bookmarkStart w:id="4" w:name="_Toc28359079"/>
      <w:bookmarkStart w:id="5" w:name="_Toc35393621"/>
      <w:bookmarkStart w:id="6" w:name="_Toc35393790"/>
      <w:bookmarkStart w:id="7" w:name="_Hlk24379207"/>
      <w:r>
        <w:rPr>
          <w:rFonts w:hint="eastAsia" w:ascii="宋体" w:hAnsi="宋体"/>
          <w:b/>
          <w:bCs/>
          <w:color w:val="auto"/>
          <w:sz w:val="24"/>
          <w:highlight w:val="none"/>
        </w:rPr>
        <w:t>一、项目基本情况</w:t>
      </w:r>
      <w:bookmarkEnd w:id="3"/>
      <w:bookmarkEnd w:id="4"/>
      <w:bookmarkEnd w:id="5"/>
      <w:bookmarkEnd w:id="6"/>
    </w:p>
    <w:p w14:paraId="6FD092E1">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NNZC2024-G1-991788-JDZB</w:t>
      </w:r>
    </w:p>
    <w:p w14:paraId="3E3193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项目名称：</w:t>
      </w:r>
      <w:bookmarkStart w:id="8" w:name="OLE_LINK1"/>
      <w:r>
        <w:rPr>
          <w:rFonts w:hint="eastAsia" w:ascii="宋体" w:hAnsi="宋体"/>
          <w:color w:val="auto"/>
          <w:szCs w:val="21"/>
          <w:highlight w:val="none"/>
        </w:rPr>
        <w:t>南宁职业技术大学跨境电子商务专业群实训室建设项目</w:t>
      </w:r>
      <w:bookmarkEnd w:id="8"/>
    </w:p>
    <w:bookmarkEnd w:id="7"/>
    <w:p w14:paraId="68AFDF7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预算总金额（元）：</w:t>
      </w:r>
      <w:r>
        <w:rPr>
          <w:rFonts w:ascii="宋体" w:hAnsi="宋体"/>
          <w:color w:val="auto"/>
          <w:szCs w:val="21"/>
          <w:highlight w:val="none"/>
        </w:rPr>
        <w:t>1</w:t>
      </w:r>
      <w:r>
        <w:rPr>
          <w:rFonts w:hint="eastAsia" w:ascii="宋体" w:hAnsi="宋体"/>
          <w:color w:val="auto"/>
          <w:szCs w:val="21"/>
          <w:highlight w:val="none"/>
        </w:rPr>
        <w:t>227235</w:t>
      </w:r>
    </w:p>
    <w:p w14:paraId="3F2D6590">
      <w:pPr>
        <w:spacing w:line="360" w:lineRule="auto"/>
        <w:ind w:firstLine="420" w:firstLineChars="200"/>
        <w:rPr>
          <w:rFonts w:ascii="宋体" w:hAnsi="宋体" w:cs="宋体"/>
          <w:color w:val="auto"/>
          <w:szCs w:val="21"/>
          <w:highlight w:val="none"/>
          <w:lang w:bidi="ar"/>
        </w:rPr>
      </w:pPr>
      <w:r>
        <w:rPr>
          <w:rFonts w:hint="eastAsia" w:ascii="宋体" w:hAnsi="宋体"/>
          <w:color w:val="auto"/>
          <w:szCs w:val="21"/>
          <w:highlight w:val="none"/>
        </w:rPr>
        <w:t>采购需求：</w:t>
      </w:r>
    </w:p>
    <w:p w14:paraId="7B0000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标项一</w:t>
      </w:r>
    </w:p>
    <w:p w14:paraId="5A0077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标项名称：</w:t>
      </w:r>
      <w:r>
        <w:rPr>
          <w:rFonts w:hint="eastAsia" w:ascii="宋体" w:hAnsi="宋体" w:cs="宋体"/>
          <w:color w:val="auto"/>
          <w:szCs w:val="21"/>
          <w:highlight w:val="none"/>
        </w:rPr>
        <w:t>1分标：RCEP智慧关务产学研创实践中心</w:t>
      </w:r>
    </w:p>
    <w:p w14:paraId="4FF767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数量：1</w:t>
      </w:r>
    </w:p>
    <w:p w14:paraId="5C2848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预算金额（元）：</w:t>
      </w:r>
      <w:r>
        <w:rPr>
          <w:rFonts w:hint="eastAsia" w:ascii="宋体" w:hAnsi="宋体"/>
          <w:color w:val="auto"/>
          <w:szCs w:val="21"/>
          <w:highlight w:val="none"/>
          <w:lang w:bidi="ar"/>
        </w:rPr>
        <w:t>100000</w:t>
      </w:r>
    </w:p>
    <w:p w14:paraId="34BCC4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简要规格描述或项目基本概况介绍、用途：采购跨境电商通关实训系统1套，具体内容详见采购需求。</w:t>
      </w:r>
    </w:p>
    <w:p w14:paraId="625C87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最高限价（如有）：</w:t>
      </w:r>
      <w:r>
        <w:rPr>
          <w:rFonts w:hint="eastAsia" w:ascii="宋体" w:hAnsi="宋体"/>
          <w:color w:val="auto"/>
          <w:szCs w:val="21"/>
          <w:highlight w:val="none"/>
          <w:lang w:bidi="ar"/>
        </w:rPr>
        <w:t>100000</w:t>
      </w:r>
    </w:p>
    <w:p w14:paraId="4824E3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合同履约期限：合同签订后10个工作日。</w:t>
      </w:r>
    </w:p>
    <w:p w14:paraId="259EEB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本标项不接受联合体投标。</w:t>
      </w:r>
    </w:p>
    <w:p w14:paraId="7A23F789">
      <w:pPr>
        <w:widowControl/>
        <w:ind w:firstLine="420" w:firstLineChars="200"/>
        <w:jc w:val="left"/>
        <w:rPr>
          <w:rFonts w:ascii="宋体" w:hAnsi="宋体" w:cs="宋体"/>
          <w:color w:val="auto"/>
          <w:sz w:val="24"/>
          <w:highlight w:val="none"/>
          <w:lang w:bidi="ar"/>
        </w:rPr>
      </w:pPr>
      <w:r>
        <w:rPr>
          <w:rFonts w:hint="eastAsia" w:ascii="宋体" w:hAnsi="宋体"/>
          <w:color w:val="auto"/>
          <w:szCs w:val="21"/>
          <w:highlight w:val="none"/>
          <w:lang w:bidi="ar"/>
        </w:rPr>
        <w:t>备注：采购计划号：NNZC[2024]8931号-001</w:t>
      </w:r>
      <w:r>
        <w:rPr>
          <w:rFonts w:hint="eastAsia" w:ascii="宋体" w:hAnsi="宋体" w:cs="宋体"/>
          <w:color w:val="auto"/>
          <w:szCs w:val="21"/>
          <w:highlight w:val="none"/>
          <w:lang w:bidi="ar"/>
        </w:rPr>
        <w:t>。</w:t>
      </w:r>
      <w:r>
        <w:rPr>
          <w:rFonts w:ascii="宋体" w:hAnsi="宋体" w:cs="宋体"/>
          <w:color w:val="auto"/>
          <w:sz w:val="24"/>
          <w:highlight w:val="none"/>
          <w:lang w:bidi="ar"/>
        </w:rPr>
        <w:t xml:space="preserve"> </w:t>
      </w:r>
    </w:p>
    <w:p w14:paraId="0DD18630">
      <w:pPr>
        <w:spacing w:line="360" w:lineRule="auto"/>
        <w:ind w:firstLine="420" w:firstLineChars="200"/>
        <w:rPr>
          <w:rFonts w:ascii="宋体" w:hAnsi="宋体" w:cs="宋体"/>
          <w:color w:val="auto"/>
          <w:szCs w:val="21"/>
          <w:highlight w:val="none"/>
          <w:lang w:bidi="ar"/>
        </w:rPr>
      </w:pPr>
    </w:p>
    <w:p w14:paraId="7BD404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标项二</w:t>
      </w:r>
    </w:p>
    <w:p w14:paraId="1BCF93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标项名称：</w:t>
      </w:r>
      <w:r>
        <w:rPr>
          <w:rFonts w:hint="eastAsia" w:ascii="宋体" w:hAnsi="宋体" w:cs="宋体"/>
          <w:color w:val="auto"/>
          <w:szCs w:val="21"/>
          <w:highlight w:val="none"/>
        </w:rPr>
        <w:t>2分标：先进制造业产业链财经大数据中心</w:t>
      </w:r>
    </w:p>
    <w:p w14:paraId="7F183A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数量：1</w:t>
      </w:r>
    </w:p>
    <w:p w14:paraId="45CEEC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预算金额（元）：</w:t>
      </w:r>
      <w:r>
        <w:rPr>
          <w:rFonts w:hint="eastAsia" w:ascii="宋体" w:hAnsi="宋体"/>
          <w:color w:val="auto"/>
          <w:szCs w:val="21"/>
          <w:highlight w:val="none"/>
          <w:lang w:bidi="ar"/>
        </w:rPr>
        <w:t>500000</w:t>
      </w:r>
    </w:p>
    <w:p w14:paraId="2122B1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简要规格描述或项目基本概况介绍、用途：采购财务大数据分析实训平台1套、产业链大数据平台软件1套，具体内容详见采购需求。</w:t>
      </w:r>
    </w:p>
    <w:p w14:paraId="3BC3E3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最高限价（如有）：</w:t>
      </w:r>
      <w:r>
        <w:rPr>
          <w:rFonts w:hint="eastAsia" w:ascii="宋体" w:hAnsi="宋体"/>
          <w:color w:val="auto"/>
          <w:szCs w:val="21"/>
          <w:highlight w:val="none"/>
          <w:lang w:bidi="ar"/>
        </w:rPr>
        <w:t>500000</w:t>
      </w:r>
    </w:p>
    <w:p w14:paraId="6C3CE9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合同履约期限：自合同签订之日后接到采购人通知起90日内交付并安装验收完毕。</w:t>
      </w:r>
    </w:p>
    <w:p w14:paraId="28390D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本标项不接受联合体投标。</w:t>
      </w:r>
    </w:p>
    <w:p w14:paraId="516E8DBF">
      <w:pPr>
        <w:pStyle w:val="33"/>
        <w:ind w:firstLine="420" w:firstLineChars="200"/>
        <w:rPr>
          <w:rFonts w:ascii="宋体" w:hAnsi="宋体" w:cs="宋体"/>
          <w:color w:val="auto"/>
          <w:kern w:val="2"/>
          <w:sz w:val="21"/>
          <w:szCs w:val="21"/>
          <w:highlight w:val="none"/>
          <w:lang w:bidi="ar"/>
        </w:rPr>
      </w:pPr>
      <w:r>
        <w:rPr>
          <w:rFonts w:hint="eastAsia" w:ascii="宋体" w:hAnsi="宋体" w:cs="Times New Roman"/>
          <w:color w:val="auto"/>
          <w:kern w:val="2"/>
          <w:sz w:val="21"/>
          <w:szCs w:val="21"/>
          <w:highlight w:val="none"/>
          <w:lang w:bidi="ar"/>
        </w:rPr>
        <w:t>备注：采购计划号：NNZC[2024]8931号-002</w:t>
      </w:r>
      <w:r>
        <w:rPr>
          <w:rFonts w:hint="eastAsia" w:ascii="宋体" w:hAnsi="宋体" w:cs="宋体"/>
          <w:color w:val="auto"/>
          <w:kern w:val="2"/>
          <w:sz w:val="21"/>
          <w:szCs w:val="21"/>
          <w:highlight w:val="none"/>
          <w:lang w:bidi="ar"/>
        </w:rPr>
        <w:t>。</w:t>
      </w:r>
    </w:p>
    <w:p w14:paraId="743D3C68">
      <w:pPr>
        <w:spacing w:line="360" w:lineRule="auto"/>
        <w:ind w:firstLine="420" w:firstLineChars="200"/>
        <w:rPr>
          <w:rFonts w:ascii="宋体" w:hAnsi="宋体" w:cs="宋体"/>
          <w:color w:val="auto"/>
          <w:szCs w:val="21"/>
          <w:highlight w:val="none"/>
          <w:lang w:bidi="ar"/>
        </w:rPr>
      </w:pPr>
    </w:p>
    <w:p w14:paraId="6F9061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标项三</w:t>
      </w:r>
    </w:p>
    <w:p w14:paraId="17D91D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标项名称：</w:t>
      </w:r>
      <w:r>
        <w:rPr>
          <w:rFonts w:hint="eastAsia" w:ascii="宋体" w:hAnsi="宋体" w:cs="宋体"/>
          <w:color w:val="auto"/>
          <w:szCs w:val="21"/>
          <w:highlight w:val="none"/>
        </w:rPr>
        <w:t>3分标：中国-东盟数字商贸产教融合实践中心</w:t>
      </w:r>
    </w:p>
    <w:p w14:paraId="520CD8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数量：1</w:t>
      </w:r>
    </w:p>
    <w:p w14:paraId="7DD6A0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预算金额（元）：</w:t>
      </w:r>
      <w:r>
        <w:rPr>
          <w:rFonts w:hint="eastAsia" w:ascii="宋体" w:hAnsi="宋体"/>
          <w:color w:val="auto"/>
          <w:szCs w:val="21"/>
          <w:highlight w:val="none"/>
          <w:lang w:bidi="ar"/>
        </w:rPr>
        <w:t>530000</w:t>
      </w:r>
    </w:p>
    <w:p w14:paraId="4D9FBE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简要规格描述或项目基本概况介绍、用途：采购中国-东盟数字商贸产教融合实践中心设备1批，具体内容详见采购需求。</w:t>
      </w:r>
    </w:p>
    <w:p w14:paraId="3D7506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最高限价（如有）：</w:t>
      </w:r>
      <w:r>
        <w:rPr>
          <w:rFonts w:hint="eastAsia" w:ascii="宋体" w:hAnsi="宋体"/>
          <w:color w:val="auto"/>
          <w:szCs w:val="21"/>
          <w:highlight w:val="none"/>
          <w:lang w:bidi="ar"/>
        </w:rPr>
        <w:t>530000</w:t>
      </w:r>
    </w:p>
    <w:p w14:paraId="4AE226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合同履约期限：自合同签订之日后接到采购人通知起90日内交付并安装验收完毕。</w:t>
      </w:r>
    </w:p>
    <w:p w14:paraId="5F915F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本标项不接受联合体投标。</w:t>
      </w:r>
    </w:p>
    <w:p w14:paraId="6DBF77D6">
      <w:pPr>
        <w:pStyle w:val="33"/>
        <w:ind w:firstLine="420" w:firstLineChars="200"/>
        <w:rPr>
          <w:rFonts w:ascii="宋体" w:hAnsi="宋体" w:cs="宋体"/>
          <w:color w:val="auto"/>
          <w:kern w:val="2"/>
          <w:sz w:val="21"/>
          <w:szCs w:val="21"/>
          <w:highlight w:val="none"/>
          <w:lang w:bidi="ar"/>
        </w:rPr>
      </w:pPr>
      <w:r>
        <w:rPr>
          <w:rFonts w:hint="eastAsia" w:ascii="宋体" w:hAnsi="宋体" w:cs="Times New Roman"/>
          <w:color w:val="auto"/>
          <w:kern w:val="2"/>
          <w:sz w:val="21"/>
          <w:szCs w:val="21"/>
          <w:highlight w:val="none"/>
          <w:lang w:bidi="ar"/>
        </w:rPr>
        <w:t>备注：采购计划号：NNZC[2024]8931号-003</w:t>
      </w:r>
      <w:r>
        <w:rPr>
          <w:rFonts w:hint="eastAsia" w:ascii="宋体" w:hAnsi="宋体" w:cs="宋体"/>
          <w:color w:val="auto"/>
          <w:kern w:val="2"/>
          <w:sz w:val="21"/>
          <w:szCs w:val="21"/>
          <w:highlight w:val="none"/>
          <w:lang w:bidi="ar"/>
        </w:rPr>
        <w:t>。</w:t>
      </w:r>
    </w:p>
    <w:p w14:paraId="2E451D01">
      <w:pPr>
        <w:spacing w:line="360" w:lineRule="auto"/>
        <w:ind w:firstLine="420" w:firstLineChars="200"/>
        <w:rPr>
          <w:rFonts w:ascii="宋体" w:hAnsi="宋体" w:cs="宋体"/>
          <w:color w:val="auto"/>
          <w:szCs w:val="21"/>
          <w:highlight w:val="none"/>
          <w:lang w:bidi="ar"/>
        </w:rPr>
      </w:pPr>
    </w:p>
    <w:p w14:paraId="456F24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标项四</w:t>
      </w:r>
    </w:p>
    <w:p w14:paraId="5F7CA1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标项名称：</w:t>
      </w:r>
      <w:r>
        <w:rPr>
          <w:rFonts w:hint="eastAsia" w:ascii="宋体" w:hAnsi="宋体" w:cs="宋体"/>
          <w:color w:val="auto"/>
          <w:szCs w:val="21"/>
          <w:highlight w:val="none"/>
        </w:rPr>
        <w:t>4分标：全国开放型跨境电商跨国双创示范基地跨境电商直播基地货物部分</w:t>
      </w:r>
    </w:p>
    <w:p w14:paraId="29B6B5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数量：1</w:t>
      </w:r>
    </w:p>
    <w:p w14:paraId="72E1D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预算金额（元）：</w:t>
      </w:r>
      <w:r>
        <w:rPr>
          <w:rFonts w:hint="eastAsia" w:ascii="宋体" w:hAnsi="宋体"/>
          <w:color w:val="auto"/>
          <w:szCs w:val="21"/>
          <w:highlight w:val="none"/>
          <w:lang w:bidi="ar"/>
        </w:rPr>
        <w:t>97235</w:t>
      </w:r>
    </w:p>
    <w:p w14:paraId="77F047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简要规格描述或项目基本概况介绍、用途：全国开放型跨境电商跨国双创示范基地跨境电商直播基地设备1批，具体内容详见采购需求。</w:t>
      </w:r>
    </w:p>
    <w:p w14:paraId="1B4C50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最高限价（如有）：</w:t>
      </w:r>
      <w:r>
        <w:rPr>
          <w:rFonts w:hint="eastAsia" w:ascii="宋体" w:hAnsi="宋体"/>
          <w:color w:val="auto"/>
          <w:szCs w:val="21"/>
          <w:highlight w:val="none"/>
          <w:lang w:bidi="ar"/>
        </w:rPr>
        <w:t>97235</w:t>
      </w:r>
    </w:p>
    <w:p w14:paraId="32A1E1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合同履约期限：合同签订后45天内交货（含安装调试）。</w:t>
      </w:r>
    </w:p>
    <w:p w14:paraId="34E0F1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bidi="ar"/>
        </w:rPr>
        <w:t>本标项不接受联合体投标。</w:t>
      </w:r>
    </w:p>
    <w:p w14:paraId="2484B3E0">
      <w:pPr>
        <w:pStyle w:val="33"/>
        <w:ind w:firstLine="420" w:firstLineChars="200"/>
        <w:rPr>
          <w:rFonts w:ascii="宋体" w:hAnsi="宋体" w:cs="宋体"/>
          <w:color w:val="auto"/>
          <w:kern w:val="2"/>
          <w:sz w:val="21"/>
          <w:szCs w:val="21"/>
          <w:highlight w:val="none"/>
          <w:lang w:bidi="ar"/>
        </w:rPr>
      </w:pPr>
      <w:r>
        <w:rPr>
          <w:rFonts w:hint="eastAsia" w:ascii="宋体" w:hAnsi="宋体" w:cs="Times New Roman"/>
          <w:color w:val="auto"/>
          <w:kern w:val="2"/>
          <w:sz w:val="21"/>
          <w:szCs w:val="21"/>
          <w:highlight w:val="none"/>
          <w:lang w:bidi="ar"/>
        </w:rPr>
        <w:t>备注：采购计划号：NNZC[2024]8931号-004</w:t>
      </w:r>
      <w:r>
        <w:rPr>
          <w:rFonts w:hint="eastAsia" w:ascii="宋体" w:hAnsi="宋体" w:cs="宋体"/>
          <w:color w:val="auto"/>
          <w:kern w:val="2"/>
          <w:sz w:val="21"/>
          <w:szCs w:val="21"/>
          <w:highlight w:val="none"/>
          <w:lang w:bidi="ar"/>
        </w:rPr>
        <w:t>。</w:t>
      </w:r>
    </w:p>
    <w:p w14:paraId="4BFF8EFD">
      <w:pPr>
        <w:pStyle w:val="33"/>
        <w:ind w:firstLine="420" w:firstLineChars="200"/>
        <w:rPr>
          <w:rFonts w:ascii="宋体" w:hAnsi="宋体" w:cs="宋体"/>
          <w:color w:val="auto"/>
          <w:kern w:val="2"/>
          <w:sz w:val="21"/>
          <w:szCs w:val="21"/>
          <w:highlight w:val="none"/>
          <w:lang w:bidi="ar"/>
        </w:rPr>
      </w:pPr>
    </w:p>
    <w:p w14:paraId="29B86FD2">
      <w:pPr>
        <w:spacing w:line="360" w:lineRule="auto"/>
        <w:ind w:firstLine="482"/>
        <w:rPr>
          <w:rFonts w:ascii="宋体" w:hAnsi="宋体"/>
          <w:b/>
          <w:bCs/>
          <w:color w:val="auto"/>
          <w:sz w:val="24"/>
          <w:highlight w:val="none"/>
        </w:rPr>
      </w:pPr>
      <w:bookmarkStart w:id="9" w:name="_Toc28359003"/>
      <w:bookmarkStart w:id="10" w:name="_Toc35393791"/>
      <w:bookmarkStart w:id="11" w:name="_Toc28359080"/>
      <w:bookmarkStart w:id="12" w:name="_Toc35393622"/>
      <w:r>
        <w:rPr>
          <w:rFonts w:hint="eastAsia" w:ascii="宋体" w:hAnsi="宋体"/>
          <w:b/>
          <w:bCs/>
          <w:color w:val="auto"/>
          <w:sz w:val="24"/>
          <w:highlight w:val="none"/>
        </w:rPr>
        <w:t>二、投标人的资格要求：</w:t>
      </w:r>
      <w:bookmarkEnd w:id="9"/>
      <w:bookmarkEnd w:id="10"/>
      <w:bookmarkEnd w:id="11"/>
      <w:bookmarkEnd w:id="12"/>
    </w:p>
    <w:p w14:paraId="504EB6F1">
      <w:pPr>
        <w:spacing w:line="360" w:lineRule="auto"/>
        <w:ind w:firstLine="420" w:firstLineChars="200"/>
        <w:rPr>
          <w:rFonts w:ascii="宋体" w:hAnsi="宋体"/>
          <w:color w:val="auto"/>
          <w:szCs w:val="21"/>
          <w:highlight w:val="none"/>
        </w:rPr>
      </w:pPr>
      <w:bookmarkStart w:id="13" w:name="_Toc28359004"/>
      <w:bookmarkStart w:id="14" w:name="_Toc28359081"/>
      <w:r>
        <w:rPr>
          <w:rFonts w:hint="eastAsia" w:ascii="宋体" w:hAnsi="宋体"/>
          <w:color w:val="auto"/>
          <w:szCs w:val="21"/>
          <w:highlight w:val="none"/>
        </w:rPr>
        <w:t>1.满足《中华人民共和国政府采购法》第二十二条规定；</w:t>
      </w:r>
    </w:p>
    <w:p w14:paraId="1FCBA8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w:t>
      </w:r>
    </w:p>
    <w:p w14:paraId="0BDF08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专门面向中小企业采购的项目（供应商应为中小微企业、监狱企业、残疾人福利性单位)</w:t>
      </w:r>
    </w:p>
    <w:p w14:paraId="04C78FAA">
      <w:pPr>
        <w:pStyle w:val="25"/>
        <w:ind w:firstLine="482"/>
        <w:rPr>
          <w:rFonts w:ascii="宋体" w:hAnsi="宋体"/>
          <w:b/>
          <w:bCs/>
          <w:color w:val="auto"/>
          <w:highlight w:val="none"/>
        </w:rPr>
      </w:pPr>
      <w:r>
        <w:rPr>
          <w:rFonts w:hint="eastAsia" w:ascii="宋体" w:hAnsi="宋体"/>
          <w:b/>
          <w:bCs/>
          <w:color w:val="auto"/>
          <w:sz w:val="24"/>
          <w:highlight w:val="none"/>
        </w:rPr>
        <w:sym w:font="Wingdings 2" w:char="0052"/>
      </w:r>
      <w:r>
        <w:rPr>
          <w:rFonts w:hint="eastAsia" w:ascii="宋体" w:hAnsi="宋体"/>
          <w:b/>
          <w:bCs/>
          <w:color w:val="auto"/>
          <w:szCs w:val="21"/>
          <w:highlight w:val="none"/>
        </w:rPr>
        <w:t>非专门面向中小企业采购的项目</w:t>
      </w:r>
    </w:p>
    <w:p w14:paraId="2768E0E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3.本项目的特定资格要求：无。</w:t>
      </w:r>
    </w:p>
    <w:p w14:paraId="3B9864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4.本项目的特定条件：无。</w:t>
      </w:r>
    </w:p>
    <w:p w14:paraId="12B6EDBF">
      <w:pPr>
        <w:snapToGrid w:val="0"/>
        <w:spacing w:line="360" w:lineRule="auto"/>
        <w:ind w:firstLine="420"/>
        <w:jc w:val="left"/>
        <w:rPr>
          <w:rFonts w:ascii="宋体" w:hAnsi="宋体"/>
          <w:color w:val="auto"/>
          <w:szCs w:val="21"/>
          <w:highlight w:val="none"/>
        </w:rPr>
      </w:pPr>
      <w:r>
        <w:rPr>
          <w:rFonts w:hint="eastAsia" w:ascii="宋体" w:hAnsi="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9EFBA5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7244E51">
      <w:pPr>
        <w:spacing w:line="360" w:lineRule="auto"/>
        <w:ind w:firstLine="482"/>
        <w:rPr>
          <w:rFonts w:ascii="宋体" w:hAnsi="宋体"/>
          <w:b/>
          <w:bCs/>
          <w:color w:val="auto"/>
          <w:sz w:val="24"/>
          <w:highlight w:val="none"/>
        </w:rPr>
      </w:pPr>
      <w:bookmarkStart w:id="15" w:name="_Toc35393792"/>
      <w:bookmarkStart w:id="16" w:name="_Toc35393623"/>
      <w:r>
        <w:rPr>
          <w:rFonts w:hint="eastAsia" w:ascii="宋体" w:hAnsi="宋体"/>
          <w:b/>
          <w:bCs/>
          <w:color w:val="auto"/>
          <w:sz w:val="24"/>
          <w:highlight w:val="none"/>
        </w:rPr>
        <w:t>三、获取招标文件</w:t>
      </w:r>
      <w:bookmarkEnd w:id="13"/>
      <w:bookmarkEnd w:id="14"/>
      <w:bookmarkEnd w:id="15"/>
      <w:bookmarkEnd w:id="16"/>
    </w:p>
    <w:p w14:paraId="5423D886">
      <w:pPr>
        <w:snapToGrid w:val="0"/>
        <w:spacing w:line="360" w:lineRule="auto"/>
        <w:ind w:firstLine="472" w:firstLineChars="225"/>
        <w:rPr>
          <w:rFonts w:ascii="宋体" w:hAnsi="宋体"/>
          <w:color w:val="auto"/>
          <w:szCs w:val="21"/>
          <w:highlight w:val="none"/>
        </w:rPr>
      </w:pPr>
      <w:bookmarkStart w:id="17" w:name="_Toc28359005"/>
      <w:bookmarkStart w:id="18" w:name="_Toc28359082"/>
      <w:bookmarkStart w:id="19" w:name="_Toc35393793"/>
      <w:bookmarkStart w:id="20" w:name="_Toc35393624"/>
      <w:r>
        <w:rPr>
          <w:rFonts w:hint="eastAsia" w:ascii="宋体" w:hAnsi="宋体"/>
          <w:color w:val="auto"/>
          <w:szCs w:val="21"/>
          <w:highlight w:val="none"/>
        </w:rPr>
        <w:t>时间：自公告发布之日起。</w:t>
      </w:r>
    </w:p>
    <w:p w14:paraId="1DBFEB7A">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 xml:space="preserve">地点（网址）：广西政府采购云平台（https://www.gcy.zfcg.gxzf.gov.cn/） </w:t>
      </w:r>
    </w:p>
    <w:p w14:paraId="1DFE0536">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 xml:space="preserve">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 </w:t>
      </w:r>
    </w:p>
    <w:p w14:paraId="6352DD84">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售价（元）：0。</w:t>
      </w:r>
    </w:p>
    <w:p w14:paraId="7CDF8114">
      <w:pPr>
        <w:spacing w:line="360" w:lineRule="auto"/>
        <w:ind w:firstLine="482"/>
        <w:rPr>
          <w:rFonts w:ascii="宋体" w:hAnsi="宋体"/>
          <w:b/>
          <w:bCs/>
          <w:color w:val="auto"/>
          <w:sz w:val="24"/>
          <w:highlight w:val="none"/>
        </w:rPr>
      </w:pPr>
      <w:r>
        <w:rPr>
          <w:rFonts w:hint="eastAsia" w:ascii="宋体" w:hAnsi="宋体"/>
          <w:b/>
          <w:bCs/>
          <w:color w:val="auto"/>
          <w:sz w:val="24"/>
          <w:highlight w:val="none"/>
        </w:rPr>
        <w:t>四、提交投标文件</w:t>
      </w:r>
      <w:bookmarkEnd w:id="17"/>
      <w:bookmarkEnd w:id="18"/>
      <w:r>
        <w:rPr>
          <w:rFonts w:hint="eastAsia" w:ascii="宋体" w:hAnsi="宋体"/>
          <w:b/>
          <w:bCs/>
          <w:color w:val="auto"/>
          <w:sz w:val="24"/>
          <w:highlight w:val="none"/>
        </w:rPr>
        <w:t>截止时间、开标时间和地点</w:t>
      </w:r>
      <w:bookmarkEnd w:id="19"/>
      <w:bookmarkEnd w:id="20"/>
    </w:p>
    <w:p w14:paraId="4AF6C1C3">
      <w:pPr>
        <w:spacing w:line="360" w:lineRule="auto"/>
        <w:ind w:firstLine="420" w:firstLineChars="200"/>
        <w:rPr>
          <w:rFonts w:ascii="宋体" w:hAnsi="宋体" w:cs="宋体"/>
          <w:color w:val="auto"/>
          <w:szCs w:val="21"/>
          <w:highlight w:val="none"/>
          <w:u w:val="single"/>
        </w:rPr>
      </w:pPr>
      <w:r>
        <w:rPr>
          <w:rFonts w:hint="eastAsia" w:ascii="宋体" w:hAnsi="宋体"/>
          <w:bCs/>
          <w:color w:val="auto"/>
          <w:szCs w:val="21"/>
          <w:highlight w:val="none"/>
        </w:rPr>
        <w:t>1、提交投标文件截止时间和开标时间：</w:t>
      </w:r>
      <w:bookmarkStart w:id="21" w:name="PO_3000001867_PM015_1"/>
      <w:r>
        <w:rPr>
          <w:rFonts w:hint="eastAsia"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日09:30:00</w:t>
      </w:r>
      <w:bookmarkEnd w:id="21"/>
      <w:r>
        <w:rPr>
          <w:rFonts w:hint="eastAsia" w:ascii="宋体" w:hAnsi="宋体"/>
          <w:bCs/>
          <w:color w:val="auto"/>
          <w:szCs w:val="21"/>
          <w:highlight w:val="none"/>
        </w:rPr>
        <w:t>（北京时间）</w:t>
      </w:r>
    </w:p>
    <w:p w14:paraId="686049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2、投标和开标地点：</w:t>
      </w:r>
    </w:p>
    <w:p w14:paraId="4281EC63">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文件提交方式：本项目为南宁市全流程电子化项目，通过广西政府采购云平台（https://www.gcy.zfcg.gxzf.gov.cn/）实行在线电子投标，供应商应先安装“广西政府采购云平台电子交易客户端”（请自行前往“广西政府采购云平台”平台进行下载），并按照本项目招标文件和“广西政府采购云平台”平台的要求编制、加密后在投标截止时间前通过网络上传至南宁市“广西政府采购云平台”平台，</w:t>
      </w:r>
      <w:r>
        <w:rPr>
          <w:rFonts w:hint="eastAsia" w:ascii="宋体" w:hAnsi="宋体"/>
          <w:b/>
          <w:color w:val="auto"/>
          <w:szCs w:val="21"/>
          <w:highlight w:val="none"/>
        </w:rPr>
        <w:t>供应商在“广西政府采购云平台”平台提交电子版投标文件时，请填写参加远程开标活动经办人联系方式，</w:t>
      </w:r>
      <w:r>
        <w:rPr>
          <w:rFonts w:hint="eastAsia" w:ascii="宋体" w:hAnsi="宋体"/>
          <w:color w:val="auto"/>
          <w:szCs w:val="21"/>
          <w:highlight w:val="none"/>
        </w:rPr>
        <w:t>电子投标具体操作流程详见本公告附件。</w:t>
      </w:r>
    </w:p>
    <w:p w14:paraId="730B8B68">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及投标文件的提交。完成CA数字证书办理预计7日左右，</w:t>
      </w:r>
      <w:r>
        <w:rPr>
          <w:rFonts w:hint="eastAsia" w:ascii="宋体" w:hAnsi="宋体" w:cs="宋体"/>
          <w:color w:val="auto"/>
          <w:szCs w:val="21"/>
          <w:highlight w:val="none"/>
        </w:rPr>
        <w:t>投标人只需办理其中一家CA数字证书及签章，</w:t>
      </w:r>
      <w:r>
        <w:rPr>
          <w:rFonts w:hint="eastAsia" w:ascii="宋体" w:hAnsi="宋体"/>
          <w:color w:val="auto"/>
          <w:szCs w:val="21"/>
          <w:highlight w:val="none"/>
        </w:rPr>
        <w:t>建议各投标人抓紧时间办理。</w:t>
      </w:r>
    </w:p>
    <w:p w14:paraId="72EDF533">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14:paraId="56EA62A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平台将予以拒收。</w:t>
      </w:r>
    </w:p>
    <w:p w14:paraId="680B6760">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（4）开标地点：本次招标将</w:t>
      </w:r>
      <w:r>
        <w:rPr>
          <w:rFonts w:hint="eastAsia" w:ascii="宋体" w:hAnsi="宋体"/>
          <w:color w:val="auto"/>
          <w:szCs w:val="21"/>
          <w:highlight w:val="none"/>
          <w:u w:val="single"/>
        </w:rPr>
        <w:t>于</w:t>
      </w:r>
      <w:bookmarkStart w:id="22" w:name="PO_3000001867_PM015_2"/>
      <w:r>
        <w:rPr>
          <w:rFonts w:hint="eastAsia" w:ascii="宋体" w:hAnsi="宋体"/>
          <w:bCs/>
          <w:color w:val="auto"/>
          <w:szCs w:val="21"/>
          <w:highlight w:val="none"/>
          <w:u w:val="single"/>
        </w:rPr>
        <w:t>202</w:t>
      </w:r>
      <w:r>
        <w:rPr>
          <w:rFonts w:hint="eastAsia" w:ascii="宋体" w:hAnsi="宋体"/>
          <w:bCs/>
          <w:color w:val="auto"/>
          <w:szCs w:val="21"/>
          <w:highlight w:val="none"/>
          <w:u w:val="single"/>
          <w:lang w:val="en-US" w:eastAsia="zh-CN"/>
        </w:rPr>
        <w:t>5</w:t>
      </w:r>
      <w:r>
        <w:rPr>
          <w:rFonts w:hint="eastAsia" w:ascii="宋体" w:hAnsi="宋体"/>
          <w:bCs/>
          <w:color w:val="auto"/>
          <w:szCs w:val="21"/>
          <w:highlight w:val="none"/>
          <w:u w:val="single"/>
        </w:rPr>
        <w:t>年</w:t>
      </w:r>
      <w:r>
        <w:rPr>
          <w:rFonts w:hint="eastAsia" w:ascii="宋体" w:hAnsi="宋体"/>
          <w:bCs/>
          <w:color w:val="auto"/>
          <w:szCs w:val="21"/>
          <w:highlight w:val="none"/>
          <w:u w:val="single"/>
          <w:lang w:val="en-US" w:eastAsia="zh-CN"/>
        </w:rPr>
        <w:t>1</w:t>
      </w:r>
      <w:r>
        <w:rPr>
          <w:rFonts w:hint="eastAsia" w:ascii="宋体" w:hAnsi="宋体"/>
          <w:bCs/>
          <w:color w:val="auto"/>
          <w:szCs w:val="21"/>
          <w:highlight w:val="none"/>
          <w:u w:val="single"/>
        </w:rPr>
        <w:t>月</w:t>
      </w:r>
      <w:r>
        <w:rPr>
          <w:rFonts w:hint="eastAsia" w:ascii="宋体" w:hAnsi="宋体"/>
          <w:bCs/>
          <w:color w:val="auto"/>
          <w:szCs w:val="21"/>
          <w:highlight w:val="none"/>
          <w:u w:val="single"/>
          <w:lang w:val="en-US" w:eastAsia="zh-CN"/>
        </w:rPr>
        <w:t>2</w:t>
      </w:r>
      <w:r>
        <w:rPr>
          <w:rFonts w:hint="eastAsia" w:ascii="宋体" w:hAnsi="宋体"/>
          <w:bCs/>
          <w:color w:val="auto"/>
          <w:szCs w:val="21"/>
          <w:highlight w:val="none"/>
          <w:u w:val="single"/>
        </w:rPr>
        <w:t>日</w:t>
      </w:r>
      <w:r>
        <w:rPr>
          <w:rFonts w:hint="eastAsia" w:ascii="宋体" w:hAnsi="宋体"/>
          <w:color w:val="auto"/>
          <w:szCs w:val="21"/>
          <w:highlight w:val="none"/>
          <w:u w:val="single"/>
        </w:rPr>
        <w:t>09:30:00</w:t>
      </w:r>
      <w:bookmarkEnd w:id="22"/>
      <w:r>
        <w:rPr>
          <w:rFonts w:hint="eastAsia" w:ascii="宋体" w:hAnsi="宋体"/>
          <w:color w:val="auto"/>
          <w:szCs w:val="21"/>
          <w:highlight w:val="none"/>
        </w:rPr>
        <w:t>在“广西政府采购云平台”平台电子开标大厅开标。</w:t>
      </w:r>
    </w:p>
    <w:p w14:paraId="46DACCCC">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（5）CA证书在线解密：供应商投标时，需携带制作投标文件时用来加密的有效数字证书（CA认证）登录“广西政府采购云平台”平台电子开标大厅现场按规定时间对加密的投标文件进行解密，否则后果自负。</w:t>
      </w:r>
    </w:p>
    <w:p w14:paraId="4B3F2513">
      <w:pPr>
        <w:spacing w:line="360" w:lineRule="auto"/>
        <w:ind w:firstLine="482"/>
        <w:rPr>
          <w:rFonts w:ascii="宋体" w:hAnsi="宋体"/>
          <w:b/>
          <w:bCs/>
          <w:color w:val="auto"/>
          <w:sz w:val="24"/>
          <w:highlight w:val="none"/>
        </w:rPr>
      </w:pPr>
      <w:bookmarkStart w:id="23" w:name="_Toc35393625"/>
      <w:bookmarkStart w:id="24" w:name="_Toc35393794"/>
      <w:bookmarkStart w:id="25" w:name="_Toc28359007"/>
      <w:bookmarkStart w:id="26" w:name="_Toc28359084"/>
      <w:r>
        <w:rPr>
          <w:rFonts w:hint="eastAsia" w:ascii="宋体" w:hAnsi="宋体"/>
          <w:b/>
          <w:bCs/>
          <w:color w:val="auto"/>
          <w:sz w:val="24"/>
          <w:highlight w:val="none"/>
        </w:rPr>
        <w:t>五、公告期限</w:t>
      </w:r>
      <w:bookmarkEnd w:id="23"/>
      <w:bookmarkEnd w:id="24"/>
      <w:bookmarkEnd w:id="25"/>
      <w:bookmarkEnd w:id="26"/>
    </w:p>
    <w:p w14:paraId="5C58386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A0F8604">
      <w:pPr>
        <w:spacing w:line="360" w:lineRule="auto"/>
        <w:ind w:firstLine="482"/>
        <w:rPr>
          <w:rFonts w:ascii="宋体" w:hAnsi="宋体"/>
          <w:b/>
          <w:bCs/>
          <w:color w:val="auto"/>
          <w:sz w:val="24"/>
          <w:highlight w:val="none"/>
        </w:rPr>
      </w:pPr>
      <w:bookmarkStart w:id="27" w:name="_Toc35393795"/>
      <w:bookmarkStart w:id="28" w:name="_Toc35393626"/>
      <w:r>
        <w:rPr>
          <w:rFonts w:hint="eastAsia" w:ascii="宋体" w:hAnsi="宋体"/>
          <w:b/>
          <w:bCs/>
          <w:color w:val="auto"/>
          <w:sz w:val="24"/>
          <w:highlight w:val="none"/>
        </w:rPr>
        <w:t>六、其他补充事宜</w:t>
      </w:r>
      <w:bookmarkEnd w:id="27"/>
      <w:bookmarkEnd w:id="28"/>
    </w:p>
    <w:p w14:paraId="09F78329">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1.投标保证金：本项目不收取投标保证金。</w:t>
      </w:r>
    </w:p>
    <w:p w14:paraId="3E9ADF29">
      <w:pPr>
        <w:spacing w:line="360" w:lineRule="auto"/>
        <w:ind w:firstLine="315" w:firstLineChars="1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2.采购意向公开链接：</w:t>
      </w:r>
      <w:bookmarkStart w:id="29" w:name="PO_3000001867_PM100"/>
      <w:r>
        <w:rPr>
          <w:rFonts w:hint="eastAsia" w:ascii="宋体" w:hAnsi="宋体" w:cs="宋体"/>
          <w:color w:val="auto"/>
          <w:kern w:val="0"/>
          <w:szCs w:val="21"/>
          <w:highlight w:val="none"/>
        </w:rPr>
        <w:t>http://zfcg.gxzf.gov.cn/site/detail?parentId=66601&amp;articleId=45DyztX00OyX1PwwdAPKbA==</w:t>
      </w:r>
    </w:p>
    <w:bookmarkEnd w:id="29"/>
    <w:p w14:paraId="47421AE1">
      <w:pPr>
        <w:spacing w:line="360" w:lineRule="auto"/>
        <w:ind w:firstLine="315" w:firstLineChars="150"/>
        <w:rPr>
          <w:rFonts w:ascii="宋体" w:hAnsi="宋体" w:cs="宋体"/>
          <w:color w:val="auto"/>
          <w:kern w:val="0"/>
          <w:szCs w:val="21"/>
          <w:highlight w:val="none"/>
        </w:rPr>
      </w:pPr>
      <w:bookmarkStart w:id="30" w:name="_Hlk37429585"/>
      <w:r>
        <w:rPr>
          <w:rFonts w:hint="eastAsia" w:ascii="宋体" w:hAnsi="宋体" w:cs="宋体"/>
          <w:color w:val="auto"/>
          <w:kern w:val="0"/>
          <w:szCs w:val="21"/>
          <w:highlight w:val="none"/>
        </w:rPr>
        <w:t>3.</w:t>
      </w:r>
      <w:r>
        <w:rPr>
          <w:rFonts w:hint="eastAsia" w:ascii="宋体" w:hAnsi="宋体"/>
          <w:color w:val="auto"/>
          <w:szCs w:val="21"/>
          <w:highlight w:val="none"/>
        </w:rPr>
        <w:t xml:space="preserve"> </w:t>
      </w:r>
      <w:bookmarkStart w:id="31" w:name="_Hlk37429595"/>
      <w:r>
        <w:rPr>
          <w:rFonts w:hint="eastAsia" w:ascii="宋体" w:hAnsi="宋体" w:cs="宋体"/>
          <w:color w:val="auto"/>
          <w:kern w:val="0"/>
          <w:szCs w:val="21"/>
          <w:highlight w:val="none"/>
        </w:rPr>
        <w:t>网上查询地址</w:t>
      </w:r>
    </w:p>
    <w:bookmarkEnd w:id="30"/>
    <w:bookmarkEnd w:id="31"/>
    <w:p w14:paraId="10AADD15">
      <w:pPr>
        <w:spacing w:line="360" w:lineRule="auto"/>
        <w:ind w:firstLine="315" w:firstLineChars="150"/>
        <w:rPr>
          <w:rFonts w:ascii="宋体" w:hAnsi="宋体" w:cs="宋体"/>
          <w:color w:val="auto"/>
          <w:kern w:val="0"/>
          <w:szCs w:val="21"/>
          <w:highlight w:val="none"/>
        </w:rPr>
      </w:pPr>
      <w:bookmarkStart w:id="32" w:name="_Hlk37429674"/>
      <w:r>
        <w:rPr>
          <w:rFonts w:hint="eastAsia" w:ascii="宋体" w:hAnsi="宋体" w:cs="宋体"/>
          <w:color w:val="auto"/>
          <w:kern w:val="0"/>
          <w:szCs w:val="21"/>
          <w:highlight w:val="none"/>
        </w:rPr>
        <w:t xml:space="preserve">http://www.ccgp.gov.cn(中国政府采购网)，http://zfcg.gxzf.gov.cn(广西政府采购网) , </w:t>
      </w:r>
      <w:r>
        <w:rPr>
          <w:color w:val="auto"/>
          <w:highlight w:val="none"/>
        </w:rPr>
        <w:fldChar w:fldCharType="begin"/>
      </w:r>
      <w:r>
        <w:rPr>
          <w:color w:val="auto"/>
          <w:highlight w:val="none"/>
        </w:rPr>
        <w:instrText xml:space="preserve"> HYPERLINK "https://ggzy.nanning.gov.cn/gxnnzbw/(南宁市公共资源交易中心网）。" </w:instrText>
      </w:r>
      <w:r>
        <w:rPr>
          <w:color w:val="auto"/>
          <w:highlight w:val="none"/>
        </w:rPr>
        <w:fldChar w:fldCharType="separate"/>
      </w:r>
      <w:r>
        <w:rPr>
          <w:rStyle w:val="31"/>
          <w:rFonts w:hint="eastAsia" w:ascii="宋体" w:hAnsi="宋体" w:cs="宋体"/>
          <w:color w:val="auto"/>
          <w:kern w:val="0"/>
          <w:szCs w:val="21"/>
          <w:highlight w:val="none"/>
          <w:u w:val="none"/>
        </w:rPr>
        <w:t>全国公共资源交易平台(广西·南宁)http://ggzy.jgswj.gxzf.gov.cn/nnggzy/。</w:t>
      </w:r>
      <w:r>
        <w:rPr>
          <w:rStyle w:val="31"/>
          <w:rFonts w:hint="eastAsia" w:ascii="宋体" w:hAnsi="宋体" w:cs="宋体"/>
          <w:color w:val="auto"/>
          <w:kern w:val="0"/>
          <w:szCs w:val="21"/>
          <w:highlight w:val="none"/>
          <w:u w:val="none"/>
        </w:rPr>
        <w:fldChar w:fldCharType="end"/>
      </w:r>
    </w:p>
    <w:p w14:paraId="3C11CBA9">
      <w:pPr>
        <w:spacing w:line="360" w:lineRule="auto"/>
        <w:ind w:firstLine="315" w:firstLineChars="150"/>
        <w:rPr>
          <w:rFonts w:ascii="宋体" w:hAnsi="宋体" w:cs="宋体"/>
          <w:color w:val="auto"/>
          <w:kern w:val="0"/>
          <w:szCs w:val="21"/>
          <w:highlight w:val="none"/>
        </w:rPr>
      </w:pPr>
      <w:r>
        <w:rPr>
          <w:rFonts w:hint="eastAsia" w:ascii="宋体" w:hAnsi="宋体"/>
          <w:color w:val="auto"/>
          <w:szCs w:val="21"/>
          <w:highlight w:val="none"/>
        </w:rPr>
        <w:t xml:space="preserve">4. </w:t>
      </w:r>
      <w:r>
        <w:rPr>
          <w:rFonts w:hint="eastAsia" w:ascii="宋体" w:hAnsi="宋体" w:cs="宋体"/>
          <w:color w:val="auto"/>
          <w:kern w:val="0"/>
          <w:szCs w:val="21"/>
          <w:highlight w:val="none"/>
        </w:rPr>
        <w:t>本项目需要落实的政府采购政策：</w:t>
      </w:r>
      <w:bookmarkStart w:id="33" w:name="PO_3000001866_PM023_1"/>
      <w:r>
        <w:rPr>
          <w:rFonts w:hint="eastAsia" w:ascii="宋体" w:hAnsi="宋体" w:cs="宋体"/>
          <w:color w:val="auto"/>
          <w:kern w:val="0"/>
          <w:szCs w:val="21"/>
          <w:highlight w:val="none"/>
        </w:rPr>
        <w:t xml:space="preserve"> </w:t>
      </w:r>
      <w:bookmarkEnd w:id="33"/>
    </w:p>
    <w:p w14:paraId="38F7B936">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05486A7A">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66026BDE">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3281DBC3">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77258BB0">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32"/>
    <w:p w14:paraId="486FFC2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5.投标人投标注意事项</w:t>
      </w:r>
    </w:p>
    <w:p w14:paraId="3DE2A05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03EA1C0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50ABB5E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p>
    <w:p w14:paraId="507E91E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0C0D7ED9">
      <w:pPr>
        <w:spacing w:line="360" w:lineRule="auto"/>
        <w:ind w:firstLine="482"/>
        <w:rPr>
          <w:rFonts w:ascii="宋体" w:hAnsi="宋体"/>
          <w:b/>
          <w:bCs/>
          <w:color w:val="auto"/>
          <w:sz w:val="24"/>
          <w:highlight w:val="none"/>
        </w:rPr>
      </w:pPr>
      <w:bookmarkStart w:id="34" w:name="_Toc35393627"/>
      <w:bookmarkStart w:id="35" w:name="_Toc28359085"/>
      <w:bookmarkStart w:id="36" w:name="_Toc35393796"/>
      <w:bookmarkStart w:id="37" w:name="_Toc28359008"/>
      <w:r>
        <w:rPr>
          <w:rFonts w:hint="eastAsia" w:ascii="宋体" w:hAnsi="宋体"/>
          <w:b/>
          <w:bCs/>
          <w:color w:val="auto"/>
          <w:sz w:val="24"/>
          <w:highlight w:val="none"/>
        </w:rPr>
        <w:t>七、对本次招标提出询问，请按以下方式联系。</w:t>
      </w:r>
      <w:bookmarkEnd w:id="34"/>
      <w:bookmarkEnd w:id="35"/>
      <w:bookmarkEnd w:id="36"/>
      <w:bookmarkEnd w:id="37"/>
    </w:p>
    <w:p w14:paraId="725E41C3">
      <w:pPr>
        <w:spacing w:line="360" w:lineRule="auto"/>
        <w:jc w:val="left"/>
        <w:rPr>
          <w:rFonts w:ascii="宋体" w:hAnsi="宋体"/>
          <w:color w:val="auto"/>
          <w:szCs w:val="21"/>
          <w:highlight w:val="none"/>
        </w:rPr>
      </w:pPr>
      <w:r>
        <w:rPr>
          <w:rFonts w:hint="eastAsia" w:ascii="宋体" w:hAnsi="宋体" w:cs="宋体"/>
          <w:color w:val="auto"/>
          <w:szCs w:val="21"/>
          <w:highlight w:val="none"/>
        </w:rPr>
        <w:t>　　　1.采购人信息</w:t>
      </w:r>
    </w:p>
    <w:p w14:paraId="4119E946">
      <w:pPr>
        <w:spacing w:line="360" w:lineRule="auto"/>
        <w:ind w:left="1041" w:leftChars="371" w:hanging="262" w:hangingChars="125"/>
        <w:jc w:val="left"/>
        <w:rPr>
          <w:rFonts w:ascii="宋体" w:hAnsi="宋体"/>
          <w:color w:val="auto"/>
          <w:szCs w:val="21"/>
          <w:highlight w:val="none"/>
          <w:u w:val="single"/>
        </w:rPr>
      </w:pPr>
      <w:r>
        <w:rPr>
          <w:rFonts w:hint="eastAsia" w:ascii="宋体" w:hAnsi="宋体"/>
          <w:color w:val="auto"/>
          <w:szCs w:val="21"/>
          <w:highlight w:val="none"/>
        </w:rPr>
        <w:t>名 称：</w:t>
      </w:r>
      <w:bookmarkStart w:id="38" w:name="OLE_LINK9"/>
      <w:r>
        <w:rPr>
          <w:rFonts w:hint="eastAsia" w:ascii="宋体" w:hAnsi="宋体"/>
          <w:color w:val="auto"/>
          <w:szCs w:val="21"/>
          <w:highlight w:val="none"/>
        </w:rPr>
        <w:t>南宁职业技术大学</w:t>
      </w:r>
      <w:bookmarkEnd w:id="38"/>
      <w:r>
        <w:rPr>
          <w:rFonts w:hint="eastAsia" w:ascii="宋体" w:hAnsi="宋体"/>
          <w:color w:val="auto"/>
          <w:szCs w:val="21"/>
          <w:highlight w:val="none"/>
        </w:rPr>
        <w:t xml:space="preserve"> </w:t>
      </w:r>
    </w:p>
    <w:p w14:paraId="6B59B713">
      <w:pPr>
        <w:spacing w:line="360" w:lineRule="auto"/>
        <w:ind w:left="1041" w:leftChars="371" w:hanging="262" w:hangingChars="125"/>
        <w:jc w:val="left"/>
        <w:rPr>
          <w:rFonts w:ascii="宋体" w:hAnsi="宋体"/>
          <w:color w:val="auto"/>
          <w:szCs w:val="21"/>
          <w:highlight w:val="none"/>
        </w:rPr>
      </w:pPr>
      <w:r>
        <w:rPr>
          <w:rFonts w:hint="eastAsia" w:ascii="宋体" w:hAnsi="宋体"/>
          <w:color w:val="auto"/>
          <w:szCs w:val="21"/>
          <w:highlight w:val="none"/>
        </w:rPr>
        <w:t>地址：广西南宁市大学西路169号</w:t>
      </w:r>
    </w:p>
    <w:p w14:paraId="41E12A4F">
      <w:pPr>
        <w:spacing w:line="360" w:lineRule="auto"/>
        <w:ind w:left="1041" w:leftChars="371" w:hanging="262" w:hangingChars="125"/>
        <w:jc w:val="left"/>
        <w:rPr>
          <w:rFonts w:ascii="宋体" w:hAnsi="宋体" w:cs="宋体"/>
          <w:color w:val="auto"/>
          <w:szCs w:val="21"/>
          <w:highlight w:val="none"/>
        </w:rPr>
      </w:pPr>
      <w:r>
        <w:rPr>
          <w:rFonts w:hint="eastAsia" w:ascii="宋体" w:hAnsi="宋体" w:cs="宋体"/>
          <w:color w:val="auto"/>
          <w:szCs w:val="21"/>
          <w:highlight w:val="none"/>
        </w:rPr>
        <w:t xml:space="preserve">项目联系人：孔老师 </w:t>
      </w:r>
    </w:p>
    <w:p w14:paraId="0332B36C">
      <w:pPr>
        <w:spacing w:line="360" w:lineRule="auto"/>
        <w:ind w:left="1041" w:leftChars="371" w:hanging="262" w:hangingChars="125"/>
        <w:jc w:val="left"/>
        <w:rPr>
          <w:rFonts w:ascii="宋体" w:hAnsi="宋体"/>
          <w:color w:val="auto"/>
          <w:szCs w:val="21"/>
          <w:highlight w:val="none"/>
          <w:u w:val="single"/>
        </w:rPr>
      </w:pPr>
      <w:r>
        <w:rPr>
          <w:rFonts w:hint="eastAsia" w:ascii="宋体" w:hAnsi="宋体" w:cs="宋体"/>
          <w:color w:val="auto"/>
          <w:szCs w:val="21"/>
          <w:highlight w:val="none"/>
        </w:rPr>
        <w:t>联系电话：0771-2029355</w:t>
      </w:r>
    </w:p>
    <w:p w14:paraId="4697D0AA">
      <w:pPr>
        <w:spacing w:line="360" w:lineRule="auto"/>
        <w:ind w:left="1041" w:leftChars="371" w:hanging="262" w:hangingChars="125"/>
        <w:jc w:val="left"/>
        <w:rPr>
          <w:rFonts w:ascii="宋体" w:hAnsi="宋体"/>
          <w:color w:val="auto"/>
          <w:szCs w:val="21"/>
          <w:highlight w:val="none"/>
        </w:rPr>
      </w:pPr>
      <w:r>
        <w:rPr>
          <w:rFonts w:hint="eastAsia" w:ascii="宋体" w:hAnsi="宋体" w:cs="宋体"/>
          <w:color w:val="auto"/>
          <w:szCs w:val="21"/>
          <w:highlight w:val="none"/>
        </w:rPr>
        <w:t>2.采购代理机构信息</w:t>
      </w:r>
    </w:p>
    <w:p w14:paraId="679DE209">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名 称：广西机电设备招标有限公司</w:t>
      </w:r>
    </w:p>
    <w:p w14:paraId="330ED567">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地　址：广西南宁市金湖路63号金源CBD现代城B座7层</w:t>
      </w:r>
    </w:p>
    <w:p w14:paraId="0D901D9F">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联系电话：0771-2808981</w:t>
      </w:r>
    </w:p>
    <w:p w14:paraId="711DCB51">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3.项目联系方式</w:t>
      </w:r>
    </w:p>
    <w:p w14:paraId="181CC684">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项目联系人：周蓉、彭瑶、梅莹</w:t>
      </w:r>
    </w:p>
    <w:p w14:paraId="2EEBC276">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电    话： 0771-2808981</w:t>
      </w:r>
      <w:r>
        <w:rPr>
          <w:rFonts w:hint="eastAsia" w:ascii="宋体" w:hAnsi="宋体"/>
          <w:color w:val="auto"/>
          <w:szCs w:val="21"/>
          <w:highlight w:val="none"/>
          <w:u w:val="single"/>
        </w:rPr>
        <w:t xml:space="preserve">      </w:t>
      </w:r>
    </w:p>
    <w:p w14:paraId="5F031E5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附件： 1.CA证书申请方式及操作指南下载地址（现场申请方式见网址：http://www.ccgp-guangxi.gov.cn/OfficeService/DownloadArea/8354055.html?utm=a0003.39a112b4.cmp001.d0002.f0464b20ff2a11eb873141bf9e381949（广西政府采购网）/网上申请方式见网址： http://nncz.nanning.gov.cn/（南宁市财政局官网）-下载专区-南宁市政采云CA证书办理操作指南）</w:t>
      </w:r>
    </w:p>
    <w:p w14:paraId="75F0212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2.电子投标文件制作与投送教程（在此网址下载：http://nncz.nanning.gov.cn/（南宁市财政局官网）-下载专区）</w:t>
      </w:r>
    </w:p>
    <w:p w14:paraId="139BC00E">
      <w:pPr>
        <w:spacing w:line="360" w:lineRule="auto"/>
        <w:ind w:firstLine="210" w:firstLineChars="100"/>
        <w:jc w:val="right"/>
        <w:rPr>
          <w:rFonts w:ascii="宋体" w:hAnsi="宋体"/>
          <w:color w:val="auto"/>
          <w:szCs w:val="21"/>
          <w:highlight w:val="none"/>
        </w:rPr>
      </w:pPr>
      <w:r>
        <w:rPr>
          <w:rFonts w:hint="eastAsia" w:ascii="宋体" w:hAnsi="宋体"/>
          <w:color w:val="auto"/>
          <w:szCs w:val="21"/>
          <w:highlight w:val="none"/>
        </w:rPr>
        <w:t>广西机电设备招标有限公司</w:t>
      </w:r>
    </w:p>
    <w:p w14:paraId="02B6FD3C">
      <w:pPr>
        <w:spacing w:line="360" w:lineRule="auto"/>
        <w:ind w:firstLine="210" w:firstLineChars="100"/>
        <w:jc w:val="right"/>
        <w:rPr>
          <w:rFonts w:ascii="宋体" w:hAnsi="宋体"/>
          <w:color w:val="auto"/>
          <w:highlight w:val="none"/>
        </w:rPr>
      </w:pPr>
      <w:r>
        <w:rPr>
          <w:rFonts w:hint="eastAsia" w:ascii="宋体" w:hAnsi="宋体"/>
          <w:color w:val="auto"/>
          <w:szCs w:val="21"/>
          <w:highlight w:val="none"/>
        </w:rPr>
        <w:t xml:space="preserve"> 2024年</w:t>
      </w:r>
      <w:r>
        <w:rPr>
          <w:rFonts w:hint="eastAsia" w:ascii="宋体" w:hAnsi="宋体"/>
          <w:color w:val="auto"/>
          <w:szCs w:val="21"/>
          <w:highlight w:val="none"/>
          <w:lang w:val="en-US" w:eastAsia="zh-CN"/>
        </w:rPr>
        <w:t>12</w:t>
      </w:r>
      <w:r>
        <w:rPr>
          <w:rFonts w:hint="eastAsia" w:ascii="宋体" w:hAnsi="宋体"/>
          <w:color w:val="auto"/>
          <w:szCs w:val="21"/>
          <w:highlight w:val="none"/>
        </w:rPr>
        <w:t>月</w:t>
      </w:r>
      <w:r>
        <w:rPr>
          <w:rFonts w:hint="eastAsia" w:ascii="宋体" w:hAnsi="宋体"/>
          <w:color w:val="auto"/>
          <w:szCs w:val="21"/>
          <w:highlight w:val="none"/>
          <w:lang w:val="en-US" w:eastAsia="zh-CN"/>
        </w:rPr>
        <w:t>11</w:t>
      </w:r>
      <w:r>
        <w:rPr>
          <w:rFonts w:hint="eastAsia" w:ascii="宋体" w:hAnsi="宋体"/>
          <w:color w:val="auto"/>
          <w:szCs w:val="21"/>
          <w:highlight w:val="none"/>
        </w:rPr>
        <w:t>日</w:t>
      </w:r>
    </w:p>
    <w:p w14:paraId="059A09F5">
      <w:pPr>
        <w:widowControl/>
        <w:spacing w:line="360" w:lineRule="auto"/>
        <w:ind w:firstLine="480"/>
        <w:jc w:val="left"/>
        <w:rPr>
          <w:rFonts w:ascii="宋体" w:hAnsi="宋体" w:cs="宋体"/>
          <w:color w:val="auto"/>
          <w:sz w:val="24"/>
          <w:highlight w:val="none"/>
          <w:lang w:val="zh-CN"/>
        </w:rPr>
        <w:sectPr>
          <w:footerReference r:id="rId5" w:type="default"/>
          <w:pgSz w:w="11906" w:h="16838"/>
          <w:pgMar w:top="1134" w:right="1134" w:bottom="1134" w:left="1134" w:header="720" w:footer="720" w:gutter="0"/>
          <w:pgNumType w:start="1"/>
          <w:cols w:space="720" w:num="1"/>
          <w:docGrid w:type="lines" w:linePitch="331" w:charSpace="0"/>
        </w:sectPr>
      </w:pPr>
    </w:p>
    <w:p w14:paraId="38A34F8B">
      <w:pPr>
        <w:pStyle w:val="15"/>
        <w:ind w:firstLine="723"/>
        <w:jc w:val="center"/>
        <w:outlineLvl w:val="0"/>
        <w:rPr>
          <w:rFonts w:hAnsi="宋体"/>
          <w:b/>
          <w:color w:val="auto"/>
          <w:sz w:val="36"/>
          <w:highlight w:val="none"/>
        </w:rPr>
      </w:pPr>
      <w:bookmarkStart w:id="39" w:name="_Toc532545042"/>
      <w:bookmarkStart w:id="40" w:name="_Toc118383675"/>
      <w:r>
        <w:rPr>
          <w:rFonts w:hint="eastAsia" w:hAnsi="宋体"/>
          <w:b/>
          <w:color w:val="auto"/>
          <w:sz w:val="36"/>
          <w:highlight w:val="none"/>
        </w:rPr>
        <w:t>第二章</w:t>
      </w:r>
      <w:r>
        <w:rPr>
          <w:rFonts w:hAnsi="宋体"/>
          <w:b/>
          <w:color w:val="auto"/>
          <w:sz w:val="36"/>
          <w:highlight w:val="none"/>
        </w:rPr>
        <w:t xml:space="preserve">  </w:t>
      </w:r>
      <w:bookmarkEnd w:id="39"/>
      <w:r>
        <w:rPr>
          <w:rFonts w:hint="eastAsia" w:hAnsi="宋体"/>
          <w:b/>
          <w:color w:val="auto"/>
          <w:sz w:val="36"/>
          <w:highlight w:val="none"/>
        </w:rPr>
        <w:t>采购需求</w:t>
      </w:r>
      <w:bookmarkEnd w:id="40"/>
    </w:p>
    <w:p w14:paraId="321041AC">
      <w:pPr>
        <w:adjustRightInd w:val="0"/>
        <w:spacing w:line="340" w:lineRule="exact"/>
        <w:ind w:firstLine="422"/>
        <w:rPr>
          <w:rFonts w:ascii="宋体" w:hAnsi="宋体"/>
          <w:b/>
          <w:color w:val="auto"/>
          <w:szCs w:val="21"/>
          <w:highlight w:val="none"/>
        </w:rPr>
      </w:pPr>
    </w:p>
    <w:p w14:paraId="6C975F12">
      <w:pPr>
        <w:adjustRightInd w:val="0"/>
        <w:spacing w:line="340" w:lineRule="exact"/>
        <w:ind w:firstLine="422"/>
        <w:rPr>
          <w:rFonts w:ascii="宋体" w:hAnsi="宋体" w:cs="宋体"/>
          <w:b/>
          <w:color w:val="auto"/>
          <w:szCs w:val="21"/>
          <w:highlight w:val="none"/>
        </w:rPr>
      </w:pPr>
      <w:r>
        <w:rPr>
          <w:rFonts w:hint="eastAsia" w:ascii="宋体" w:hAnsi="宋体" w:cs="宋体"/>
          <w:b/>
          <w:color w:val="auto"/>
          <w:szCs w:val="21"/>
          <w:highlight w:val="none"/>
        </w:rPr>
        <w:t>说明：</w:t>
      </w:r>
    </w:p>
    <w:p w14:paraId="0733FDD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1.为落实政府采购政策需满足的要求</w:t>
      </w:r>
    </w:p>
    <w:p w14:paraId="7F815E9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w:t>
      </w:r>
    </w:p>
    <w:p w14:paraId="080BA58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公章），否则投标文件作无效处理。如本项目包含的货物属于品目清单内非标注“★”的产品时，应优先采购，具体详见“第四章 评标方法及评标标准”。</w:t>
      </w:r>
    </w:p>
    <w:p w14:paraId="523B158C">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 xml:space="preserve">（3）服务项目中伴随的货物包含列入《网络关键设备和网络安全专用产品目录》的网络安全专用产品，应当按照《信息安全技术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 </w:t>
      </w:r>
    </w:p>
    <w:p w14:paraId="4E540954">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4）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3141A355">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2.“实质性要求”是指招标文件中已经指明不满足则投标无效的条款，或者不能负偏离的条款，或带“</w:t>
      </w:r>
      <w:r>
        <w:rPr>
          <w:rFonts w:hint="eastAsia" w:ascii="宋体" w:hAnsi="宋体" w:cs="宋体"/>
          <w:color w:val="auto"/>
          <w:szCs w:val="21"/>
          <w:highlight w:val="none"/>
          <w:lang w:bidi="ar"/>
        </w:rPr>
        <w:t>▲</w:t>
      </w:r>
      <w:r>
        <w:rPr>
          <w:rFonts w:hint="eastAsia" w:ascii="宋体" w:hAnsi="宋体" w:cs="宋体"/>
          <w:color w:val="auto"/>
          <w:highlight w:val="none"/>
        </w:rPr>
        <w:t>”的条款。</w:t>
      </w:r>
    </w:p>
    <w:p w14:paraId="171F391B">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3.如投标人投标产品存在侵犯他人的知识产权或者专利成果行为的，应承担相应法律责任。。</w:t>
      </w:r>
    </w:p>
    <w:p w14:paraId="037A7D4F">
      <w:pPr>
        <w:pStyle w:val="25"/>
        <w:rPr>
          <w:rFonts w:ascii="宋体" w:hAnsi="宋体"/>
          <w:color w:val="auto"/>
          <w:highlight w:val="none"/>
        </w:rPr>
      </w:pPr>
      <w:r>
        <w:rPr>
          <w:rFonts w:hint="eastAsia" w:ascii="宋体" w:hAnsi="宋体"/>
          <w:color w:val="auto"/>
          <w:highlight w:val="none"/>
        </w:rPr>
        <w:t>4.</w:t>
      </w:r>
      <w:r>
        <w:rPr>
          <w:rFonts w:hint="eastAsia" w:ascii="宋体" w:hAnsi="宋体"/>
          <w:color w:val="auto"/>
          <w:szCs w:val="21"/>
          <w:highlight w:val="none"/>
        </w:rPr>
        <w:t>所属行业依照《中小企业划型标准规定》（工信部联企业〔2011〕300号）及《国民经济行业分类》（GB/T4754-2017）的有关规定执行。</w:t>
      </w:r>
    </w:p>
    <w:p w14:paraId="00D9ABF1">
      <w:pPr>
        <w:pStyle w:val="25"/>
        <w:rPr>
          <w:rFonts w:ascii="宋体" w:hAnsi="宋体"/>
          <w:color w:val="auto"/>
          <w:highlight w:val="none"/>
        </w:rPr>
      </w:pPr>
    </w:p>
    <w:p w14:paraId="1203161E">
      <w:pPr>
        <w:pStyle w:val="17"/>
        <w:ind w:firstLine="360"/>
        <w:rPr>
          <w:rFonts w:ascii="宋体" w:hAnsi="宋体" w:cs="宋体"/>
          <w:color w:val="auto"/>
          <w:szCs w:val="21"/>
          <w:highlight w:val="none"/>
        </w:rPr>
      </w:pPr>
    </w:p>
    <w:p w14:paraId="678D9000">
      <w:pPr>
        <w:pStyle w:val="17"/>
        <w:ind w:firstLine="360"/>
        <w:rPr>
          <w:rFonts w:ascii="宋体" w:hAnsi="宋体" w:cs="宋体"/>
          <w:color w:val="auto"/>
          <w:szCs w:val="21"/>
          <w:highlight w:val="none"/>
        </w:rPr>
      </w:pPr>
    </w:p>
    <w:p w14:paraId="7DF360D3">
      <w:pPr>
        <w:pStyle w:val="17"/>
        <w:ind w:firstLine="360"/>
        <w:rPr>
          <w:rFonts w:ascii="宋体" w:hAnsi="宋体" w:cs="宋体"/>
          <w:color w:val="auto"/>
          <w:szCs w:val="21"/>
          <w:highlight w:val="none"/>
        </w:rPr>
      </w:pPr>
    </w:p>
    <w:p w14:paraId="4A42EB57">
      <w:pPr>
        <w:pStyle w:val="17"/>
        <w:ind w:firstLine="360"/>
        <w:rPr>
          <w:rFonts w:ascii="宋体" w:hAnsi="宋体" w:cs="宋体"/>
          <w:color w:val="auto"/>
          <w:szCs w:val="21"/>
          <w:highlight w:val="none"/>
        </w:rPr>
      </w:pPr>
    </w:p>
    <w:p w14:paraId="7FF493FF">
      <w:pPr>
        <w:pStyle w:val="17"/>
        <w:ind w:firstLine="360"/>
        <w:rPr>
          <w:rFonts w:ascii="宋体" w:hAnsi="宋体" w:cs="宋体"/>
          <w:color w:val="auto"/>
          <w:szCs w:val="21"/>
          <w:highlight w:val="none"/>
        </w:rPr>
      </w:pPr>
    </w:p>
    <w:p w14:paraId="4E57FFB4">
      <w:pPr>
        <w:pStyle w:val="17"/>
        <w:ind w:firstLine="360"/>
        <w:rPr>
          <w:rFonts w:ascii="宋体" w:hAnsi="宋体" w:cs="宋体"/>
          <w:color w:val="auto"/>
          <w:szCs w:val="21"/>
          <w:highlight w:val="none"/>
        </w:rPr>
      </w:pPr>
    </w:p>
    <w:p w14:paraId="432B72DF">
      <w:pPr>
        <w:pStyle w:val="17"/>
        <w:ind w:firstLine="360"/>
        <w:rPr>
          <w:rFonts w:ascii="宋体" w:hAnsi="宋体" w:cs="宋体"/>
          <w:color w:val="auto"/>
          <w:szCs w:val="21"/>
          <w:highlight w:val="none"/>
        </w:rPr>
      </w:pPr>
    </w:p>
    <w:p w14:paraId="72AD3EEF">
      <w:pPr>
        <w:pStyle w:val="17"/>
        <w:ind w:firstLine="360"/>
        <w:rPr>
          <w:rFonts w:ascii="宋体" w:hAnsi="宋体" w:cs="宋体"/>
          <w:color w:val="auto"/>
          <w:szCs w:val="21"/>
          <w:highlight w:val="none"/>
        </w:rPr>
      </w:pPr>
    </w:p>
    <w:p w14:paraId="48907153">
      <w:pPr>
        <w:pStyle w:val="17"/>
        <w:ind w:firstLine="360"/>
        <w:rPr>
          <w:rFonts w:ascii="宋体" w:hAnsi="宋体" w:cs="宋体"/>
          <w:color w:val="auto"/>
          <w:szCs w:val="21"/>
          <w:highlight w:val="none"/>
        </w:rPr>
      </w:pPr>
    </w:p>
    <w:p w14:paraId="67ADC36C">
      <w:pPr>
        <w:pStyle w:val="17"/>
        <w:ind w:firstLine="360"/>
        <w:rPr>
          <w:rFonts w:ascii="宋体" w:hAnsi="宋体" w:cs="宋体"/>
          <w:color w:val="auto"/>
          <w:szCs w:val="21"/>
          <w:highlight w:val="none"/>
        </w:rPr>
      </w:pP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486"/>
        <w:gridCol w:w="672"/>
        <w:gridCol w:w="674"/>
        <w:gridCol w:w="5408"/>
        <w:gridCol w:w="1080"/>
      </w:tblGrid>
      <w:tr w14:paraId="4F51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shd w:val="clear" w:color="auto" w:fill="auto"/>
            <w:vAlign w:val="center"/>
          </w:tcPr>
          <w:p w14:paraId="26C31701">
            <w:pPr>
              <w:keepNext w:val="0"/>
              <w:keepLines w:val="0"/>
              <w:suppressLineNumbers w:val="0"/>
              <w:spacing w:before="0" w:beforeAutospacing="0" w:after="0" w:afterAutospacing="0" w:line="340" w:lineRule="exact"/>
              <w:ind w:left="0" w:right="0" w:firstLine="422"/>
              <w:jc w:val="center"/>
              <w:rPr>
                <w:rFonts w:hint="default" w:ascii="宋体" w:hAnsi="宋体" w:cs="宋体"/>
                <w:color w:val="auto"/>
                <w:szCs w:val="21"/>
                <w:highlight w:val="none"/>
              </w:rPr>
            </w:pPr>
            <w:r>
              <w:rPr>
                <w:rFonts w:hint="eastAsia" w:ascii="宋体" w:hAnsi="宋体" w:cs="宋体"/>
                <w:b/>
                <w:color w:val="auto"/>
                <w:szCs w:val="21"/>
                <w:highlight w:val="none"/>
              </w:rPr>
              <w:t>货物需求一览表</w:t>
            </w:r>
          </w:p>
        </w:tc>
      </w:tr>
      <w:tr w14:paraId="1178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5" w:type="pct"/>
            <w:gridSpan w:val="2"/>
            <w:shd w:val="clear" w:color="auto" w:fill="auto"/>
            <w:vAlign w:val="center"/>
          </w:tcPr>
          <w:p w14:paraId="6E0E4A4B">
            <w:pPr>
              <w:keepNext w:val="0"/>
              <w:keepLines w:val="0"/>
              <w:suppressLineNumbers w:val="0"/>
              <w:spacing w:before="0" w:beforeAutospacing="0" w:after="0" w:afterAutospacing="0" w:line="340" w:lineRule="exact"/>
              <w:ind w:left="0" w:right="0" w:firstLine="422"/>
              <w:jc w:val="center"/>
              <w:rPr>
                <w:rFonts w:hint="default" w:ascii="宋体" w:hAnsi="宋体" w:cs="宋体"/>
                <w:color w:val="auto"/>
                <w:szCs w:val="21"/>
                <w:highlight w:val="none"/>
              </w:rPr>
            </w:pPr>
            <w:r>
              <w:rPr>
                <w:rFonts w:hint="eastAsia" w:ascii="宋体" w:hAnsi="宋体" w:cs="宋体"/>
                <w:b/>
                <w:bCs/>
                <w:color w:val="auto"/>
                <w:szCs w:val="21"/>
                <w:highlight w:val="none"/>
              </w:rPr>
              <w:t>标段</w:t>
            </w:r>
          </w:p>
        </w:tc>
        <w:tc>
          <w:tcPr>
            <w:tcW w:w="3974" w:type="pct"/>
            <w:gridSpan w:val="4"/>
            <w:shd w:val="clear" w:color="auto" w:fill="auto"/>
            <w:vAlign w:val="center"/>
          </w:tcPr>
          <w:p w14:paraId="25387177">
            <w:pPr>
              <w:keepNext w:val="0"/>
              <w:keepLines w:val="0"/>
              <w:suppressLineNumbers w:val="0"/>
              <w:spacing w:before="0" w:beforeAutospacing="0" w:after="0" w:afterAutospacing="0" w:line="340" w:lineRule="exact"/>
              <w:ind w:left="0" w:right="0" w:firstLine="422"/>
              <w:jc w:val="left"/>
              <w:rPr>
                <w:rFonts w:hint="default" w:ascii="宋体" w:hAnsi="宋体" w:cs="宋体"/>
                <w:color w:val="auto"/>
                <w:szCs w:val="21"/>
                <w:highlight w:val="none"/>
              </w:rPr>
            </w:pPr>
            <w:r>
              <w:rPr>
                <w:rFonts w:hint="eastAsia" w:ascii="宋体" w:hAnsi="宋体" w:cs="宋体"/>
                <w:b/>
                <w:bCs/>
                <w:color w:val="auto"/>
                <w:szCs w:val="21"/>
                <w:highlight w:val="none"/>
              </w:rPr>
              <w:t>1分标：RCEP智慧关务产学研创实践中心</w:t>
            </w:r>
          </w:p>
        </w:tc>
      </w:tr>
      <w:tr w14:paraId="6B31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14:paraId="41DE9AFA">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754" w:type="pct"/>
            <w:shd w:val="clear" w:color="auto" w:fill="auto"/>
            <w:vAlign w:val="center"/>
          </w:tcPr>
          <w:p w14:paraId="51C6BE16">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采购货物名称</w:t>
            </w:r>
          </w:p>
        </w:tc>
        <w:tc>
          <w:tcPr>
            <w:tcW w:w="341" w:type="pct"/>
            <w:shd w:val="clear" w:color="auto" w:fill="auto"/>
            <w:vAlign w:val="center"/>
          </w:tcPr>
          <w:p w14:paraId="7414FC0B">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单位</w:t>
            </w:r>
          </w:p>
        </w:tc>
        <w:tc>
          <w:tcPr>
            <w:tcW w:w="342" w:type="pct"/>
            <w:shd w:val="clear" w:color="auto" w:fill="auto"/>
            <w:vAlign w:val="center"/>
          </w:tcPr>
          <w:p w14:paraId="75AE11C2">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数量</w:t>
            </w:r>
          </w:p>
        </w:tc>
        <w:tc>
          <w:tcPr>
            <w:tcW w:w="2744" w:type="pct"/>
            <w:shd w:val="clear" w:color="auto" w:fill="auto"/>
            <w:vAlign w:val="center"/>
          </w:tcPr>
          <w:p w14:paraId="0DF367C3">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货物参数</w:t>
            </w:r>
          </w:p>
        </w:tc>
        <w:tc>
          <w:tcPr>
            <w:tcW w:w="545" w:type="pct"/>
            <w:shd w:val="clear" w:color="auto" w:fill="auto"/>
            <w:vAlign w:val="center"/>
          </w:tcPr>
          <w:p w14:paraId="42B393F0">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分项预算合计（元）</w:t>
            </w:r>
          </w:p>
        </w:tc>
      </w:tr>
      <w:tr w14:paraId="01FD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68C863A7">
            <w:pPr>
              <w:pStyle w:val="25"/>
              <w:keepNext w:val="0"/>
              <w:keepLines w:val="0"/>
              <w:suppressLineNumbers w:val="0"/>
              <w:spacing w:before="0" w:beforeAutospacing="0" w:after="0" w:afterAutospacing="0" w:line="340" w:lineRule="exact"/>
              <w:ind w:left="0" w:right="0" w:firstLine="0"/>
              <w:jc w:val="center"/>
              <w:rPr>
                <w:rFonts w:hint="default" w:ascii="宋体" w:hAnsi="宋体"/>
                <w:color w:val="auto"/>
                <w:szCs w:val="21"/>
                <w:highlight w:val="none"/>
              </w:rPr>
            </w:pPr>
            <w:r>
              <w:rPr>
                <w:rFonts w:hint="eastAsia" w:ascii="宋体" w:hAnsi="宋体" w:cs="宋体"/>
                <w:color w:val="auto"/>
                <w:szCs w:val="21"/>
                <w:highlight w:val="none"/>
              </w:rPr>
              <w:t>1</w:t>
            </w:r>
          </w:p>
        </w:tc>
        <w:tc>
          <w:tcPr>
            <w:tcW w:w="754" w:type="pct"/>
            <w:shd w:val="clear" w:color="auto" w:fill="auto"/>
            <w:vAlign w:val="center"/>
          </w:tcPr>
          <w:p w14:paraId="12756A25">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Arial" w:hAnsi="Arial" w:cs="Arial"/>
                <w:bCs/>
                <w:color w:val="auto"/>
                <w:kern w:val="0"/>
                <w:szCs w:val="21"/>
                <w:highlight w:val="none"/>
                <w:lang w:bidi="ar"/>
              </w:rPr>
              <w:t>跨境电商通关实训系统</w:t>
            </w:r>
          </w:p>
        </w:tc>
        <w:tc>
          <w:tcPr>
            <w:tcW w:w="341" w:type="pct"/>
            <w:shd w:val="clear" w:color="auto" w:fill="auto"/>
            <w:vAlign w:val="center"/>
          </w:tcPr>
          <w:p w14:paraId="6C82580F">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套</w:t>
            </w:r>
          </w:p>
        </w:tc>
        <w:tc>
          <w:tcPr>
            <w:tcW w:w="342" w:type="pct"/>
            <w:shd w:val="clear" w:color="auto" w:fill="auto"/>
            <w:vAlign w:val="center"/>
          </w:tcPr>
          <w:p w14:paraId="6455F174">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tcPr>
          <w:p w14:paraId="038A3F08">
            <w:pPr>
              <w:keepNext w:val="0"/>
              <w:keepLines w:val="0"/>
              <w:suppressLineNumbers w:val="0"/>
              <w:spacing w:before="0" w:beforeAutospacing="0" w:after="0" w:afterAutospacing="0" w:line="340" w:lineRule="exact"/>
              <w:ind w:left="0" w:right="0"/>
              <w:jc w:val="left"/>
              <w:rPr>
                <w:rFonts w:hint="default" w:ascii="宋体" w:hAnsi="宋体" w:cs="宋体"/>
                <w:b/>
                <w:bCs/>
                <w:color w:val="auto"/>
                <w:szCs w:val="21"/>
                <w:highlight w:val="none"/>
              </w:rPr>
            </w:pPr>
            <w:r>
              <w:rPr>
                <w:rFonts w:hint="eastAsia" w:ascii="宋体" w:hAnsi="宋体" w:cs="宋体"/>
                <w:b/>
                <w:bCs/>
                <w:color w:val="auto"/>
                <w:szCs w:val="21"/>
                <w:highlight w:val="none"/>
                <w:lang w:bidi="ar"/>
              </w:rPr>
              <w:t>一、平台整体要求</w:t>
            </w:r>
          </w:p>
          <w:p w14:paraId="7E181B58">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1.平台采用B/S架构，支持网页界面操作方式，使用动态网页技术标准JSP技术开发，支持 Microsoft Windows Server的应用环境。</w:t>
            </w:r>
          </w:p>
          <w:p w14:paraId="1A2E5DE4">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2.平台要求模拟跨境电商通关中不同角色的真实工作场景、流程以及岗位技能，设置有电商平台（速卖通、亚马逊、天猫国际、阿里巴巴国际站）、电商企业、物流企业、担保企业、支付企业、报关行、快递公司、消费者、海关、监管场所等虚拟角色和机构。（投标时需提供功能截图并加盖供应商电子签章）</w:t>
            </w:r>
          </w:p>
          <w:p w14:paraId="3700E2CA">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3.系统要求内置跨境电商进出口通关业务5种监管方式包括：9610清单简化申报、9610清单汇总申报、9710清单简化申报、9710报关单申报、9810清单简化申报、9810报关单申报、1210申报、9610进口申报和1239申报等。（投标时需提供功能截图并加盖供应商电子签章）</w:t>
            </w:r>
          </w:p>
          <w:p w14:paraId="055EAD13">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4.系统内置了单证模板库包括：合同、箱单、发票、代理报关委托书、原产地证、国际货运托运书、进口报关单、出口报关单、海运提单、空运提单、RECP原产地证、跨境电商业务清单、跨境电商业务订单、跨境电商业务运抵单和离境单等36种单证模板。</w:t>
            </w:r>
          </w:p>
          <w:p w14:paraId="54402D35">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5.系统要求可以按项目化教学的逻辑组织教学，并且可以对项目的时间、任务、学生人数分组进行控制，可以支持单人和分组团队模式教学，并且可以系统自动评分。</w:t>
            </w:r>
          </w:p>
          <w:p w14:paraId="141DC4BE">
            <w:pPr>
              <w:keepNext w:val="0"/>
              <w:keepLines w:val="0"/>
              <w:suppressLineNumbers w:val="0"/>
              <w:spacing w:before="0" w:beforeAutospacing="0" w:after="0" w:afterAutospacing="0" w:line="340" w:lineRule="exact"/>
              <w:ind w:left="0" w:right="0"/>
              <w:jc w:val="left"/>
              <w:rPr>
                <w:rFonts w:hint="default" w:ascii="宋体" w:hAnsi="宋体" w:cs="宋体"/>
                <w:b/>
                <w:bCs/>
                <w:color w:val="auto"/>
                <w:szCs w:val="21"/>
                <w:highlight w:val="none"/>
              </w:rPr>
            </w:pPr>
            <w:r>
              <w:rPr>
                <w:rFonts w:hint="eastAsia" w:ascii="宋体" w:hAnsi="宋体" w:cs="宋体"/>
                <w:b/>
                <w:bCs/>
                <w:color w:val="auto"/>
                <w:szCs w:val="21"/>
                <w:highlight w:val="none"/>
                <w:lang w:bidi="ar"/>
              </w:rPr>
              <w:t>二、学生端要求</w:t>
            </w:r>
          </w:p>
          <w:p w14:paraId="26270D5C">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学生由教师分配任务角色，其中包括电商平台、电商企业、物流企业、海外仓、支付企业、报关行、消费者、海关监管场所等。学生可查看当前项目详情、任务列表、任务角色、任务进度、电商平台、实用工具等内容。并且可以根据角色要求以个人模式和团队模式进行实训操作。（投标时需提供功能截图并加盖供应商电子签章）</w:t>
            </w:r>
          </w:p>
          <w:p w14:paraId="57CDDDD3">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1.教学任务列表：支持查看教师发布的训练或竞赛任务等功能。</w:t>
            </w:r>
          </w:p>
          <w:p w14:paraId="6F22976A">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2.教育项目列表：支持查看当前项目的项目时长、项目用时、学生成绩、学生排名等。</w:t>
            </w:r>
          </w:p>
          <w:p w14:paraId="333432F6">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3.当前任务：支持查看任务详情、电商订单的下载和模拟下单等操作。</w:t>
            </w:r>
          </w:p>
          <w:p w14:paraId="03DA895B">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4.任务角色：支持显示当前用户授权的操作角色，点击不同的角色会进行相对应的操作功能。</w:t>
            </w:r>
          </w:p>
          <w:p w14:paraId="6A1B9EAA">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5.任务进度提醒：支持查看任务完成的具体内容，并且当学生完成一项任务时，支持任务进度条呈现出颜色变化做到实训提示和指引。</w:t>
            </w:r>
          </w:p>
          <w:p w14:paraId="2B25EA26">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6.实用工具：系统内置《正面清单》、《跨境电子商务零售进口商品清单》、《商品归类手册》以及2024版税则和汇率。</w:t>
            </w:r>
          </w:p>
          <w:p w14:paraId="446EF53C">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▲7.系统要求模拟速卖通、亚马逊、天猫国际、阿里巴巴国际站下单流程，方便学生熟悉跨境电商通关的全流程。</w:t>
            </w:r>
          </w:p>
          <w:p w14:paraId="70D58FE4">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▲8.系统要求内置国际贸易单一窗口系统的货物申报和跨境电商申报业务功能。</w:t>
            </w:r>
          </w:p>
          <w:p w14:paraId="28B89D78">
            <w:pPr>
              <w:keepNext w:val="0"/>
              <w:keepLines w:val="0"/>
              <w:numPr>
                <w:ilvl w:val="0"/>
                <w:numId w:val="1"/>
              </w:numPr>
              <w:suppressLineNumbers w:val="0"/>
              <w:spacing w:before="0" w:beforeAutospacing="0" w:after="0" w:afterAutospacing="0" w:line="340" w:lineRule="exact"/>
              <w:ind w:right="0"/>
              <w:jc w:val="left"/>
              <w:rPr>
                <w:rFonts w:hint="default" w:ascii="宋体" w:hAnsi="宋体" w:cs="宋体"/>
                <w:b/>
                <w:bCs/>
                <w:color w:val="auto"/>
                <w:szCs w:val="21"/>
                <w:highlight w:val="none"/>
              </w:rPr>
            </w:pPr>
            <w:r>
              <w:rPr>
                <w:rFonts w:hint="eastAsia" w:ascii="宋体" w:hAnsi="宋体" w:cs="宋体"/>
                <w:b/>
                <w:bCs/>
                <w:color w:val="auto"/>
                <w:szCs w:val="21"/>
                <w:highlight w:val="none"/>
                <w:lang w:bidi="ar"/>
              </w:rPr>
              <w:t>教师端要求</w:t>
            </w:r>
          </w:p>
          <w:p w14:paraId="3E38A34D">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教师端功能模块主要包括：基础数据管理、项目管理、用户管理、系统管理等功能。</w:t>
            </w:r>
          </w:p>
          <w:p w14:paraId="5A6BE85B">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1.基础数据管理包括：市场数据、报关数据、货代数据和商品库等功能的数据的设置和编辑。</w:t>
            </w:r>
          </w:p>
          <w:p w14:paraId="58C21672">
            <w:pPr>
              <w:pStyle w:val="55"/>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1.1系统需支持市场有关数据的管理，为模拟真实的业务处理场景提供支撑。市场数据包括国家库：韩国、日本、巴西、美国、加拿大、澳大利亚、中国香港、俄罗斯、白俄罗斯、墨西哥、西班牙、法国，东盟十国：文莱、柬埔寨、印度尼西亚、老挝、马来西亚、菲律宾、新加坡、泰国、缅甸、越南（每个国家含地区代码和相关港口信息并含优惠/普通税率标记、船舶吨税优/普标记）等；币种库：不同的币种及汇率；公司库：模拟经营公司的运营情况；保险率库：模拟市场运输方式以及货物类型定制的保险费率。系统需支持对这些数据进行单个新增、修改、删除等操作。</w:t>
            </w:r>
          </w:p>
          <w:p w14:paraId="4B7D87AC">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▲1.2系统需支持有关报关数据的管理功能，为模拟真实的报关业务流程提供支撑。如成交方式、贸易方式、监管条件，系统需支持对这些数据进行单个新增、修改、删除等操作。</w:t>
            </w:r>
          </w:p>
          <w:p w14:paraId="6C1F90B0">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1.3系统需支持有关货代数据的管理功能，为模拟真实的货运代理业务流程提供支撑，包括集装箱参数、货物外包装的管理。系统需支持对这些数据进行单个新增、修改、删除等操作。（投标时需提供功能截图并加盖供应商电子签章）</w:t>
            </w:r>
          </w:p>
          <w:p w14:paraId="633D79C6">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▲1.4系统需支持有关商品库的管理功能，商品信息包含基本信息、包装信息、报关信息、商品属性，可实现添加、修改、删除功能。（投标时需提供功能截图并加盖供应商电子签章）</w:t>
            </w:r>
          </w:p>
          <w:p w14:paraId="53D6FF06">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2.项目管理功能包括：任务管理、组建任务、项目设置、项目控制等功能。</w:t>
            </w:r>
          </w:p>
          <w:p w14:paraId="7D5FC4C1">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2.1任务管理功能：系统支持按照跨境电商进口（备货、直购）、出口（清单模式、报关单模式）、备案3种业务类型，以及“9610”、“1210”、“9710”、“9810”“1239”5种监管方式设置任务。</w:t>
            </w:r>
          </w:p>
          <w:p w14:paraId="04D07D76">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2.2组建任务功能：系统支持随意组装任务流程，支持任务组名称、任务时长的编辑，支持竞赛和实训两种模式。</w:t>
            </w:r>
          </w:p>
          <w:p w14:paraId="27762233">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2.3项目设置功能：系统支持竞赛和实训两种模式，支持授权用户，允许设置“单人任务、多人协作任务”的方式进行任务操作。</w:t>
            </w:r>
          </w:p>
          <w:p w14:paraId="6FD96F9D">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2.4项目控制功能：系统支持项目开始时间、结束时间、项目说明、注意事项的编辑。</w:t>
            </w:r>
          </w:p>
          <w:p w14:paraId="58216E13">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3.用户管理功能包括：学校管理和用户管理等功能，系统支持单个添加、批量添加学生的管理操作。</w:t>
            </w:r>
          </w:p>
          <w:p w14:paraId="77EA4E8B">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4.项目统计功能：支持查看、导出学生训练成绩，支持查看获得任务分、错误触发的考点分析等。</w:t>
            </w:r>
          </w:p>
          <w:p w14:paraId="5441E4CE">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四、</w:t>
            </w:r>
            <w:r>
              <w:rPr>
                <w:rFonts w:hint="eastAsia"/>
                <w:color w:val="auto"/>
                <w:highlight w:val="none"/>
              </w:rPr>
              <w:t>其他要求</w:t>
            </w:r>
          </w:p>
          <w:p w14:paraId="3B7B4C2E">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1.提供相应软件的著作权证书。</w:t>
            </w:r>
          </w:p>
          <w:p w14:paraId="2561B3BC">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color w:val="auto"/>
                <w:szCs w:val="21"/>
                <w:highlight w:val="none"/>
                <w:lang w:bidi="ar"/>
              </w:rPr>
              <w:t>2.标▲的功能条款，提供功能截图并加盖供应商电子公章。</w:t>
            </w:r>
          </w:p>
        </w:tc>
        <w:tc>
          <w:tcPr>
            <w:tcW w:w="545" w:type="pct"/>
            <w:shd w:val="clear" w:color="auto" w:fill="auto"/>
            <w:vAlign w:val="center"/>
          </w:tcPr>
          <w:p w14:paraId="763E913A">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100000</w:t>
            </w:r>
          </w:p>
        </w:tc>
      </w:tr>
      <w:tr w14:paraId="4F18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1" w:type="pct"/>
            <w:shd w:val="clear" w:color="auto" w:fill="auto"/>
            <w:vAlign w:val="center"/>
          </w:tcPr>
          <w:p w14:paraId="47125E1F">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商务条款</w:t>
            </w:r>
          </w:p>
        </w:tc>
        <w:tc>
          <w:tcPr>
            <w:tcW w:w="4728" w:type="pct"/>
            <w:gridSpan w:val="5"/>
            <w:shd w:val="clear" w:color="auto" w:fill="auto"/>
            <w:vAlign w:val="center"/>
          </w:tcPr>
          <w:p w14:paraId="0375743B">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▲一、合同签订期：自中标通知书发出之日起</w:t>
            </w:r>
            <w:r>
              <w:rPr>
                <w:rFonts w:hint="default" w:ascii="Calibri" w:hAnsi="Calibri"/>
                <w:color w:val="auto"/>
                <w:szCs w:val="22"/>
                <w:highlight w:val="none"/>
                <w:shd w:val="clear" w:color="auto" w:fill="FFFFFF"/>
                <w:lang w:bidi="ar"/>
              </w:rPr>
              <w:t>25</w:t>
            </w:r>
            <w:r>
              <w:rPr>
                <w:rFonts w:hint="eastAsia" w:ascii="宋体" w:hAnsi="宋体" w:cs="宋体"/>
                <w:color w:val="auto"/>
                <w:szCs w:val="21"/>
                <w:highlight w:val="none"/>
                <w:shd w:val="clear" w:color="auto" w:fill="FFFFFF"/>
                <w:lang w:bidi="ar"/>
              </w:rPr>
              <w:t>日内（注：</w:t>
            </w:r>
            <w:r>
              <w:rPr>
                <w:rFonts w:hint="eastAsia" w:ascii="Calibri" w:hAnsi="Calibri" w:cs="宋体"/>
                <w:color w:val="auto"/>
                <w:szCs w:val="22"/>
                <w:highlight w:val="none"/>
                <w:shd w:val="clear" w:color="auto" w:fill="FFFFFF"/>
                <w:lang w:bidi="ar"/>
              </w:rPr>
              <w:t>中标通知书发出之日起</w:t>
            </w:r>
            <w:r>
              <w:rPr>
                <w:rFonts w:hint="default" w:ascii="Calibri" w:hAnsi="Calibri"/>
                <w:color w:val="auto"/>
                <w:szCs w:val="22"/>
                <w:highlight w:val="none"/>
                <w:shd w:val="clear" w:color="auto" w:fill="FFFFFF"/>
                <w:lang w:bidi="ar"/>
              </w:rPr>
              <w:t>25</w:t>
            </w:r>
            <w:r>
              <w:rPr>
                <w:rFonts w:hint="eastAsia" w:ascii="Calibri" w:hAnsi="Calibri" w:cs="宋体"/>
                <w:color w:val="auto"/>
                <w:szCs w:val="22"/>
                <w:highlight w:val="none"/>
                <w:shd w:val="clear" w:color="auto" w:fill="FFFFFF"/>
                <w:lang w:bidi="ar"/>
              </w:rPr>
              <w:t>日内必须签订合同。</w:t>
            </w:r>
            <w:r>
              <w:rPr>
                <w:rFonts w:hint="eastAsia" w:ascii="宋体" w:hAnsi="宋体" w:cs="宋体"/>
                <w:color w:val="auto"/>
                <w:szCs w:val="21"/>
                <w:highlight w:val="none"/>
                <w:shd w:val="clear" w:color="auto" w:fill="FFFFFF"/>
                <w:lang w:bidi="ar"/>
              </w:rPr>
              <w:t>）</w:t>
            </w:r>
          </w:p>
          <w:p w14:paraId="78759566">
            <w:pPr>
              <w:keepNext w:val="0"/>
              <w:keepLines w:val="0"/>
              <w:widowControl/>
              <w:suppressLineNumbers w:val="0"/>
              <w:shd w:val="clear" w:color="auto" w:fill="FFFFFF"/>
              <w:spacing w:before="0" w:beforeAutospacing="0" w:after="0" w:afterAutospacing="0" w:line="340" w:lineRule="exact"/>
              <w:ind w:left="0" w:right="0"/>
              <w:rPr>
                <w:rFonts w:hint="default"/>
                <w:color w:val="auto"/>
                <w:highlight w:val="none"/>
                <w:shd w:val="clear" w:color="auto" w:fill="FFFFFF"/>
              </w:rPr>
            </w:pPr>
            <w:r>
              <w:rPr>
                <w:rFonts w:hint="eastAsia" w:ascii="宋体" w:hAnsi="宋体" w:cs="宋体"/>
                <w:color w:val="auto"/>
                <w:szCs w:val="21"/>
                <w:highlight w:val="none"/>
                <w:shd w:val="clear" w:color="auto" w:fill="FFFFFF"/>
                <w:lang w:bidi="ar"/>
              </w:rPr>
              <w:t>二、</w:t>
            </w:r>
            <w:r>
              <w:rPr>
                <w:rFonts w:hint="eastAsia" w:ascii="宋体" w:hAnsi="宋体" w:cs="宋体"/>
                <w:bCs/>
                <w:color w:val="auto"/>
                <w:szCs w:val="21"/>
                <w:highlight w:val="none"/>
                <w:shd w:val="clear" w:color="auto" w:fill="FFFFFF"/>
                <w:lang w:bidi="ar"/>
              </w:rPr>
              <w:t>货物期限或者货物时间：合同签订后10个工作日。</w:t>
            </w:r>
          </w:p>
          <w:p w14:paraId="10C63335">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bCs/>
                <w:color w:val="auto"/>
                <w:szCs w:val="21"/>
                <w:highlight w:val="none"/>
                <w:u w:val="single"/>
                <w:shd w:val="clear" w:color="auto" w:fill="FFFFFF"/>
              </w:rPr>
            </w:pPr>
            <w:r>
              <w:rPr>
                <w:rFonts w:hint="eastAsia" w:ascii="宋体" w:hAnsi="宋体" w:cs="宋体"/>
                <w:color w:val="auto"/>
                <w:szCs w:val="21"/>
                <w:highlight w:val="none"/>
                <w:shd w:val="clear" w:color="auto" w:fill="FFFFFF"/>
                <w:lang w:bidi="ar"/>
              </w:rPr>
              <w:t>三、货物地点：广西南宁市大学西路169号南宁职业技术大学</w:t>
            </w:r>
          </w:p>
          <w:p w14:paraId="25F12C5F">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bCs/>
                <w:color w:val="auto"/>
                <w:szCs w:val="21"/>
                <w:highlight w:val="none"/>
                <w:shd w:val="clear" w:color="auto" w:fill="FFFFFF"/>
                <w:lang w:bidi="ar"/>
              </w:rPr>
              <w:t>四、</w:t>
            </w:r>
            <w:r>
              <w:rPr>
                <w:rFonts w:hint="eastAsia" w:ascii="宋体" w:hAnsi="宋体" w:cs="宋体"/>
                <w:color w:val="auto"/>
                <w:szCs w:val="21"/>
                <w:highlight w:val="none"/>
                <w:shd w:val="clear" w:color="auto" w:fill="FFFFFF"/>
                <w:lang w:bidi="ar"/>
              </w:rPr>
              <w:t>验收标准、规范：</w:t>
            </w:r>
          </w:p>
          <w:p w14:paraId="7FF82D56">
            <w:pPr>
              <w:keepNext w:val="0"/>
              <w:keepLines w:val="0"/>
              <w:suppressLineNumbers w:val="0"/>
              <w:spacing w:before="0" w:beforeAutospacing="0" w:after="0" w:afterAutospacing="0" w:line="340" w:lineRule="exact"/>
              <w:ind w:left="0" w:right="0"/>
              <w:rPr>
                <w:rFonts w:hint="default"/>
                <w:color w:val="auto"/>
                <w:highlight w:val="none"/>
              </w:rPr>
            </w:pPr>
            <w:r>
              <w:rPr>
                <w:rFonts w:hint="eastAsia" w:ascii="宋体" w:hAnsi="宋体" w:cs="宋体"/>
                <w:color w:val="auto"/>
                <w:szCs w:val="21"/>
                <w:highlight w:val="none"/>
                <w:shd w:val="clear" w:color="auto" w:fill="FFFFFF"/>
                <w:lang w:bidi="ar"/>
              </w:rPr>
              <w:t>中标人完成全部产品安装后5个工作日内采购人组织验收，采购人根据招标文件要求、投标文件承诺以及合同条款进行验收，中标人须在验收时进行演示，经采购人对演示情况进行审查后，确认符合采购需求，予以验收通过。如演示采购需求不一致，采购人出具书面异议给中标人</w:t>
            </w:r>
            <w:r>
              <w:rPr>
                <w:rFonts w:hint="eastAsia" w:ascii="宋体" w:hAnsi="宋体" w:cs="宋体"/>
                <w:color w:val="auto"/>
                <w:szCs w:val="21"/>
                <w:highlight w:val="none"/>
                <w:shd w:val="clear" w:color="auto" w:fill="FFFFFF"/>
                <w:lang w:eastAsia="zh-CN" w:bidi="ar"/>
              </w:rPr>
              <w:t>，</w:t>
            </w:r>
            <w:r>
              <w:rPr>
                <w:rFonts w:hint="eastAsia" w:ascii="宋体" w:hAnsi="宋体" w:cs="宋体"/>
                <w:color w:val="auto"/>
                <w:szCs w:val="21"/>
                <w:highlight w:val="none"/>
                <w:shd w:val="clear" w:color="auto" w:fill="FFFFFF"/>
                <w:lang w:bidi="ar"/>
              </w:rPr>
              <w:t>中标人应当自收到书面异议后10个工作日内进行整改，整改后仍不通过的，不予验收，由此造成的一切不利后果及经济损失由中标人自行承担。验收通过后方可完成交付。</w:t>
            </w:r>
          </w:p>
          <w:p w14:paraId="457E8B93">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b/>
                <w:bCs/>
                <w:color w:val="auto"/>
                <w:szCs w:val="21"/>
                <w:highlight w:val="none"/>
                <w:shd w:val="clear" w:color="auto" w:fill="FFFFFF"/>
                <w:lang w:bidi="ar"/>
              </w:rPr>
              <w:t>▲</w:t>
            </w:r>
            <w:r>
              <w:rPr>
                <w:rFonts w:hint="eastAsia" w:ascii="宋体" w:hAnsi="宋体" w:cs="宋体"/>
                <w:color w:val="auto"/>
                <w:szCs w:val="21"/>
                <w:highlight w:val="none"/>
                <w:shd w:val="clear" w:color="auto" w:fill="FFFFFF"/>
                <w:lang w:bidi="ar"/>
              </w:rPr>
              <w:t>五、售后服务要求：</w:t>
            </w:r>
          </w:p>
          <w:p w14:paraId="74196FBA">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1、质量保证期3年（自提交成果并验收合格之日起计）</w:t>
            </w:r>
          </w:p>
          <w:p w14:paraId="31FE6A4C">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2、响应时间：接到采购人处理问题通知后2小时内到达采购人指定现场</w:t>
            </w:r>
          </w:p>
          <w:p w14:paraId="36EF2937">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3、售后服务技术人员要求：</w:t>
            </w:r>
            <w:r>
              <w:rPr>
                <w:rFonts w:hint="eastAsia" w:ascii="宋体" w:hAnsi="宋体" w:cs="宋体"/>
                <w:color w:val="auto"/>
                <w:szCs w:val="21"/>
                <w:highlight w:val="none"/>
                <w:u w:val="single"/>
                <w:shd w:val="clear" w:color="auto" w:fill="FFFFFF"/>
                <w:lang w:bidi="ar"/>
              </w:rPr>
              <w:t>专职人员</w:t>
            </w:r>
          </w:p>
          <w:p w14:paraId="63437631">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5、备品备件要求：无</w:t>
            </w:r>
          </w:p>
          <w:p w14:paraId="149B847D">
            <w:pPr>
              <w:keepNext w:val="0"/>
              <w:keepLines w:val="0"/>
              <w:widowControl/>
              <w:suppressLineNumbers w:val="0"/>
              <w:shd w:val="clear" w:color="auto" w:fill="FFFFFF"/>
              <w:tabs>
                <w:tab w:val="left" w:pos="3580"/>
              </w:tabs>
              <w:spacing w:before="0" w:beforeAutospacing="0" w:after="0" w:afterAutospacing="0" w:line="340" w:lineRule="exact"/>
              <w:ind w:left="0" w:right="0"/>
              <w:rPr>
                <w:rFonts w:hint="default" w:ascii="宋体" w:hAnsi="宋体" w:cs="宋体"/>
                <w:bCs/>
                <w:color w:val="auto"/>
                <w:szCs w:val="21"/>
                <w:highlight w:val="none"/>
                <w:u w:val="single"/>
                <w:shd w:val="clear" w:color="auto" w:fill="FFFFFF"/>
              </w:rPr>
            </w:pPr>
            <w:r>
              <w:rPr>
                <w:rFonts w:hint="eastAsia" w:ascii="宋体" w:hAnsi="宋体" w:cs="宋体"/>
                <w:color w:val="auto"/>
                <w:szCs w:val="21"/>
                <w:highlight w:val="none"/>
                <w:shd w:val="clear" w:color="auto" w:fill="FFFFFF"/>
                <w:lang w:bidi="ar"/>
              </w:rPr>
              <w:t>6、其他：无</w:t>
            </w:r>
          </w:p>
          <w:p w14:paraId="50DAF40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六、其他要求：</w:t>
            </w:r>
          </w:p>
          <w:p w14:paraId="4AB9104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1、报价必须含以下部分，包括：</w:t>
            </w:r>
          </w:p>
          <w:p w14:paraId="2E002A8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（1）货物的价格；</w:t>
            </w:r>
          </w:p>
          <w:p w14:paraId="0D8D8F9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（2）必要的保险费用和各项税金；</w:t>
            </w:r>
          </w:p>
          <w:p w14:paraId="6CF4B5E4">
            <w:pPr>
              <w:keepNext w:val="0"/>
              <w:keepLines w:val="0"/>
              <w:suppressLineNumbers w:val="0"/>
              <w:tabs>
                <w:tab w:val="left" w:pos="3490"/>
                <w:tab w:val="left" w:pos="3670"/>
                <w:tab w:val="left" w:pos="3895"/>
              </w:tabs>
              <w:spacing w:before="0" w:beforeAutospacing="0" w:after="0" w:afterAutospacing="0" w:line="34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lang w:bidi="ar"/>
              </w:rPr>
              <w:t>（3）其他（如运输、装卸、安装、调试、培训、技术支持、售后货物、更新升级等费用，根据项目具体情况填写）：</w:t>
            </w:r>
          </w:p>
          <w:p w14:paraId="19EC35D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b/>
                <w:bCs/>
                <w:color w:val="auto"/>
                <w:szCs w:val="21"/>
                <w:highlight w:val="none"/>
                <w:lang w:bidi="ar"/>
              </w:rPr>
              <w:t>▲</w:t>
            </w:r>
            <w:r>
              <w:rPr>
                <w:rFonts w:hint="eastAsia" w:ascii="宋体" w:hAnsi="宋体" w:cs="宋体"/>
                <w:color w:val="auto"/>
                <w:szCs w:val="21"/>
                <w:highlight w:val="none"/>
                <w:lang w:bidi="ar"/>
              </w:rPr>
              <w:t>2、付款方式：选择以下第（2）种方式</w:t>
            </w:r>
          </w:p>
          <w:p w14:paraId="2CDAF685">
            <w:pPr>
              <w:keepNext w:val="0"/>
              <w:keepLines w:val="0"/>
              <w:suppressLineNumbers w:val="0"/>
              <w:spacing w:before="0" w:beforeAutospacing="0" w:after="0" w:afterAutospacing="0" w:line="34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bidi="ar"/>
              </w:rPr>
              <w:t>本项目无预付款，合同签订后，设备完成硬件建设，甲方向乙方支付合同总价30%进度款，乙方按合同要培训交货完毕并验收合格后，甲方向乙方支付合同总价的70%，支付前由乙方按规定向甲方开具正式发票。</w:t>
            </w:r>
          </w:p>
          <w:p w14:paraId="552F2C8B">
            <w:pPr>
              <w:keepNext w:val="0"/>
              <w:keepLines w:val="0"/>
              <w:suppressLineNumbers w:val="0"/>
              <w:spacing w:before="0" w:beforeAutospacing="0" w:after="0" w:afterAutospacing="0" w:line="340" w:lineRule="exact"/>
              <w:ind w:left="0" w:right="0" w:firstLine="420" w:firstLineChars="200"/>
              <w:rPr>
                <w:rFonts w:hint="default" w:ascii="宋体" w:hAnsi="宋体" w:cs="宋体"/>
                <w:color w:val="auto"/>
                <w:szCs w:val="21"/>
                <w:highlight w:val="none"/>
                <w:u w:val="single"/>
              </w:rPr>
            </w:pPr>
            <w:r>
              <w:rPr>
                <w:rFonts w:hint="eastAsia" w:ascii="宋体" w:hAnsi="宋体" w:cs="宋体"/>
                <w:color w:val="auto"/>
                <w:szCs w:val="21"/>
                <w:highlight w:val="none"/>
                <w:lang w:bidi="ar"/>
              </w:rPr>
              <w:t>（2）本项目采取预付款形式，预付形式为</w:t>
            </w:r>
            <w:r>
              <w:rPr>
                <w:rFonts w:hint="eastAsia" w:ascii="宋体" w:hAnsi="宋体" w:cs="宋体"/>
                <w:color w:val="auto"/>
                <w:szCs w:val="21"/>
                <w:highlight w:val="none"/>
                <w:u w:val="single"/>
                <w:lang w:bidi="ar"/>
              </w:rPr>
              <w:t>：第一期付款：合同签订后，在担保措施生效及具备实施条件后10个工作日内采购人向中标人支付合同总价30%预付款，支付前由中标人按规定向采购人开具正式发票。</w:t>
            </w:r>
          </w:p>
          <w:p w14:paraId="4740E3AD">
            <w:pPr>
              <w:keepNext w:val="0"/>
              <w:keepLines w:val="0"/>
              <w:suppressLineNumbers w:val="0"/>
              <w:spacing w:before="0" w:beforeAutospacing="0" w:after="0" w:afterAutospacing="0" w:line="340" w:lineRule="exact"/>
              <w:ind w:left="0" w:right="0" w:firstLine="420" w:firstLineChars="200"/>
              <w:rPr>
                <w:rFonts w:hint="default" w:ascii="宋体" w:hAnsi="宋体" w:cs="宋体"/>
                <w:color w:val="auto"/>
                <w:szCs w:val="21"/>
                <w:highlight w:val="none"/>
                <w:u w:val="single"/>
              </w:rPr>
            </w:pPr>
            <w:r>
              <w:rPr>
                <w:rFonts w:hint="eastAsia" w:ascii="宋体" w:hAnsi="宋体" w:cs="宋体"/>
                <w:color w:val="auto"/>
                <w:szCs w:val="21"/>
                <w:highlight w:val="none"/>
                <w:u w:val="single"/>
                <w:lang w:bidi="ar"/>
              </w:rPr>
              <w:t>第二期付款：中标人交货完毕并验收合格后，采购人向中标人支付合同总价的70%，支付前由中标人按规定向甲方开具正式发票。</w:t>
            </w:r>
          </w:p>
          <w:p w14:paraId="406334F5">
            <w:pPr>
              <w:keepNext w:val="0"/>
              <w:keepLines w:val="0"/>
              <w:widowControl/>
              <w:suppressLineNumbers w:val="0"/>
              <w:spacing w:before="0" w:beforeAutospacing="0" w:after="0" w:afterAutospacing="0" w:line="340" w:lineRule="exact"/>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3、对合同条款的调整（如对验收、违约责任等有特殊要求的）</w:t>
            </w:r>
          </w:p>
          <w:p w14:paraId="54BBFA82">
            <w:pPr>
              <w:keepNext w:val="0"/>
              <w:keepLines w:val="0"/>
              <w:widowControl/>
              <w:suppressLineNumbers w:val="0"/>
              <w:spacing w:before="0" w:beforeAutospacing="0" w:after="0" w:afterAutospacing="0" w:line="340" w:lineRule="exact"/>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无</w:t>
            </w:r>
          </w:p>
        </w:tc>
      </w:tr>
      <w:tr w14:paraId="58202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1" w:type="pct"/>
            <w:shd w:val="clear" w:color="auto" w:fill="auto"/>
            <w:vAlign w:val="center"/>
          </w:tcPr>
          <w:p w14:paraId="5CB021D8">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olor w:val="auto"/>
                <w:highlight w:val="none"/>
              </w:rPr>
              <w:t>其他说明</w:t>
            </w:r>
          </w:p>
        </w:tc>
        <w:tc>
          <w:tcPr>
            <w:tcW w:w="4728" w:type="pct"/>
            <w:gridSpan w:val="5"/>
            <w:shd w:val="clear" w:color="auto" w:fill="auto"/>
          </w:tcPr>
          <w:p w14:paraId="6C56088E">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olor w:val="auto"/>
                <w:highlight w:val="none"/>
              </w:rPr>
            </w:pPr>
            <w:r>
              <w:rPr>
                <w:rFonts w:hint="eastAsia" w:ascii="宋体" w:hAnsi="宋体"/>
                <w:color w:val="auto"/>
                <w:highlight w:val="none"/>
              </w:rPr>
              <w:t>一、进口产品说明</w:t>
            </w:r>
          </w:p>
          <w:p w14:paraId="3A4F9198">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□本表的第</w:t>
            </w:r>
            <w:r>
              <w:rPr>
                <w:rFonts w:hint="default"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项货物所涉及的货物已按规定办妥进口产品采购审核手续，投标产品可选用进口产</w:t>
            </w:r>
          </w:p>
          <w:p w14:paraId="4732749A">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46993FEE">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b/>
                <w:bCs/>
                <w:color w:val="auto"/>
                <w:szCs w:val="21"/>
                <w:highlight w:val="none"/>
              </w:rPr>
            </w:pPr>
            <w:r>
              <w:rPr>
                <w:rFonts w:hint="eastAsia" w:ascii="宋体" w:hAnsi="宋体" w:cs="宋体"/>
                <w:b/>
                <w:bCs/>
                <w:color w:val="auto"/>
                <w:kern w:val="0"/>
                <w:sz w:val="24"/>
                <w:highlight w:val="none"/>
              </w:rPr>
              <w:sym w:font="Wingdings 2" w:char="F052"/>
            </w:r>
            <w:r>
              <w:rPr>
                <w:rFonts w:hint="eastAsia" w:ascii="宋体" w:hAnsi="宋体" w:cs="宋体"/>
                <w:b/>
                <w:bCs/>
                <w:color w:val="auto"/>
                <w:kern w:val="0"/>
                <w:szCs w:val="21"/>
                <w:highlight w:val="none"/>
              </w:rPr>
              <w:t>本分标货物所涉及的货物不接受进口产品（即通过中国海关报关验放进入中国境内且产自关境外的产品）参与投标，如有进口产品参与投标的作无效标处理</w:t>
            </w:r>
          </w:p>
          <w:p w14:paraId="26034B27">
            <w:pPr>
              <w:keepNext w:val="0"/>
              <w:keepLines w:val="0"/>
              <w:suppressLineNumbers w:val="0"/>
              <w:tabs>
                <w:tab w:val="left" w:pos="180"/>
                <w:tab w:val="left" w:pos="1620"/>
              </w:tabs>
              <w:spacing w:before="0" w:beforeAutospacing="0" w:after="0" w:afterAutospacing="0" w:line="340" w:lineRule="exact"/>
              <w:ind w:left="0" w:right="0"/>
              <w:rPr>
                <w:rFonts w:hint="default" w:ascii="宋体" w:hAnsi="宋体"/>
                <w:bCs/>
                <w:color w:val="auto"/>
                <w:szCs w:val="21"/>
                <w:highlight w:val="none"/>
              </w:rPr>
            </w:pPr>
            <w:r>
              <w:rPr>
                <w:rFonts w:hint="eastAsia" w:ascii="宋体" w:hAnsi="宋体"/>
                <w:bCs/>
                <w:color w:val="auto"/>
                <w:szCs w:val="21"/>
                <w:highlight w:val="none"/>
              </w:rPr>
              <w:t>二、与本项目有关的设计图纸、技术规范、文件等附件资料及其获取方式：无</w:t>
            </w:r>
          </w:p>
          <w:p w14:paraId="59B004CF">
            <w:pPr>
              <w:keepNext w:val="0"/>
              <w:keepLines w:val="0"/>
              <w:suppressLineNumbers w:val="0"/>
              <w:tabs>
                <w:tab w:val="left" w:pos="180"/>
                <w:tab w:val="left" w:pos="1620"/>
              </w:tabs>
              <w:spacing w:before="0" w:beforeAutospacing="0" w:after="0" w:afterAutospacing="0" w:line="340" w:lineRule="exact"/>
              <w:ind w:left="0" w:right="0"/>
              <w:rPr>
                <w:rFonts w:hint="default" w:ascii="宋体" w:hAnsi="宋体"/>
                <w:b/>
                <w:bCs/>
                <w:color w:val="auto"/>
                <w:highlight w:val="none"/>
              </w:rPr>
            </w:pPr>
            <w:r>
              <w:rPr>
                <w:rFonts w:hint="eastAsia" w:ascii="宋体" w:hAnsi="宋体"/>
                <w:b/>
                <w:bCs/>
                <w:color w:val="auto"/>
                <w:szCs w:val="21"/>
                <w:highlight w:val="none"/>
              </w:rPr>
              <w:t>三、</w:t>
            </w:r>
            <w:r>
              <w:rPr>
                <w:rFonts w:hint="eastAsia" w:ascii="宋体" w:hAnsi="宋体"/>
                <w:b/>
                <w:bCs/>
                <w:color w:val="auto"/>
                <w:highlight w:val="none"/>
              </w:rPr>
              <w:t>核心产品</w:t>
            </w:r>
          </w:p>
          <w:p w14:paraId="0E655A5D">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olor w:val="auto"/>
                <w:szCs w:val="21"/>
                <w:highlight w:val="none"/>
              </w:rPr>
            </w:pPr>
            <w:r>
              <w:rPr>
                <w:rFonts w:hint="eastAsia" w:ascii="宋体" w:hAnsi="宋体" w:cs="宋体"/>
                <w:b/>
                <w:bCs/>
                <w:color w:val="auto"/>
                <w:kern w:val="0"/>
                <w:szCs w:val="21"/>
                <w:highlight w:val="none"/>
              </w:rPr>
              <w:t>“采购清单及技术参数”表中的核心产品：第1项：跨境电商通关实训系统。</w:t>
            </w:r>
          </w:p>
          <w:p w14:paraId="54497725">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五、其他</w:t>
            </w:r>
          </w:p>
          <w:p w14:paraId="2EB9B896">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1、本项目采购标的对应的中小企业划分标准所属行业：软件和信息技术服务业。</w:t>
            </w:r>
          </w:p>
          <w:p w14:paraId="57B293A0">
            <w:pPr>
              <w:keepNext w:val="0"/>
              <w:keepLines w:val="0"/>
              <w:suppressLineNumbers w:val="0"/>
              <w:autoSpaceDE w:val="0"/>
              <w:autoSpaceDN w:val="0"/>
              <w:adjustRightInd w:val="0"/>
              <w:spacing w:before="0" w:beforeAutospacing="0" w:after="0" w:afterAutospacing="0" w:line="340" w:lineRule="exact"/>
              <w:ind w:left="0" w:right="0"/>
              <w:jc w:val="left"/>
              <w:rPr>
                <w:rFonts w:hint="default"/>
                <w:color w:val="auto"/>
                <w:highlight w:val="none"/>
              </w:rPr>
            </w:pPr>
            <w:r>
              <w:rPr>
                <w:rFonts w:hint="eastAsia" w:ascii="宋体" w:hAnsi="宋体" w:cs="宋体"/>
                <w:color w:val="auto"/>
                <w:kern w:val="0"/>
                <w:szCs w:val="21"/>
                <w:highlight w:val="none"/>
              </w:rPr>
              <w:t>2、是否进行演示：否。</w:t>
            </w:r>
            <w:r>
              <w:rPr>
                <w:rFonts w:hint="eastAsia"/>
                <w:color w:val="auto"/>
                <w:highlight w:val="none"/>
              </w:rPr>
              <w:t xml:space="preserve"> </w:t>
            </w:r>
          </w:p>
          <w:p w14:paraId="7797EEAA">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3、是否要求提供样品：否</w:t>
            </w:r>
          </w:p>
          <w:p w14:paraId="21E53352">
            <w:pPr>
              <w:keepNext w:val="0"/>
              <w:keepLines w:val="0"/>
              <w:widowControl/>
              <w:suppressLineNumbers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4、是否现场踏勘：否</w:t>
            </w:r>
          </w:p>
        </w:tc>
      </w:tr>
    </w:tbl>
    <w:p w14:paraId="621B6171">
      <w:pPr>
        <w:pStyle w:val="25"/>
        <w:rPr>
          <w:rFonts w:ascii="宋体" w:hAnsi="宋体"/>
          <w:color w:val="auto"/>
          <w:highlight w:val="none"/>
        </w:rPr>
      </w:pPr>
    </w:p>
    <w:p w14:paraId="5C7FCBD1">
      <w:pPr>
        <w:rPr>
          <w:rFonts w:ascii="宋体" w:hAnsi="宋体"/>
          <w:color w:val="auto"/>
          <w:highlight w:val="none"/>
        </w:rPr>
      </w:pPr>
      <w:r>
        <w:rPr>
          <w:rFonts w:ascii="宋体" w:hAnsi="宋体"/>
          <w:color w:val="auto"/>
          <w:highlight w:val="none"/>
        </w:rPr>
        <w:br w:type="page"/>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486"/>
        <w:gridCol w:w="672"/>
        <w:gridCol w:w="674"/>
        <w:gridCol w:w="5408"/>
        <w:gridCol w:w="1080"/>
      </w:tblGrid>
      <w:tr w14:paraId="5943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shd w:val="clear" w:color="auto" w:fill="auto"/>
            <w:vAlign w:val="center"/>
          </w:tcPr>
          <w:p w14:paraId="200C62BC">
            <w:pPr>
              <w:keepNext w:val="0"/>
              <w:keepLines w:val="0"/>
              <w:suppressLineNumbers w:val="0"/>
              <w:spacing w:before="0" w:beforeAutospacing="0" w:after="0" w:afterAutospacing="0" w:line="340" w:lineRule="exact"/>
              <w:ind w:left="0" w:right="0" w:firstLine="422"/>
              <w:jc w:val="center"/>
              <w:rPr>
                <w:rFonts w:hint="default" w:ascii="宋体" w:hAnsi="宋体" w:cs="宋体"/>
                <w:color w:val="auto"/>
                <w:szCs w:val="21"/>
                <w:highlight w:val="none"/>
              </w:rPr>
            </w:pPr>
            <w:r>
              <w:rPr>
                <w:rFonts w:hint="eastAsia" w:ascii="宋体" w:hAnsi="宋体" w:cs="宋体"/>
                <w:b/>
                <w:color w:val="auto"/>
                <w:szCs w:val="21"/>
                <w:highlight w:val="none"/>
              </w:rPr>
              <w:t>货物需求一览表</w:t>
            </w:r>
          </w:p>
        </w:tc>
      </w:tr>
      <w:tr w14:paraId="0A2D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5" w:type="pct"/>
            <w:gridSpan w:val="2"/>
            <w:shd w:val="clear" w:color="auto" w:fill="auto"/>
            <w:vAlign w:val="center"/>
          </w:tcPr>
          <w:p w14:paraId="68A86FCA">
            <w:pPr>
              <w:keepNext w:val="0"/>
              <w:keepLines w:val="0"/>
              <w:suppressLineNumbers w:val="0"/>
              <w:spacing w:before="0" w:beforeAutospacing="0" w:after="0" w:afterAutospacing="0" w:line="340" w:lineRule="exact"/>
              <w:ind w:left="0" w:right="0" w:firstLine="422"/>
              <w:jc w:val="center"/>
              <w:rPr>
                <w:rFonts w:hint="default" w:ascii="宋体" w:hAnsi="宋体" w:cs="宋体"/>
                <w:color w:val="auto"/>
                <w:szCs w:val="21"/>
                <w:highlight w:val="none"/>
              </w:rPr>
            </w:pPr>
            <w:r>
              <w:rPr>
                <w:rFonts w:hint="eastAsia" w:ascii="宋体" w:hAnsi="宋体" w:cs="宋体"/>
                <w:b/>
                <w:bCs/>
                <w:color w:val="auto"/>
                <w:szCs w:val="21"/>
                <w:highlight w:val="none"/>
              </w:rPr>
              <w:t>标段</w:t>
            </w:r>
          </w:p>
        </w:tc>
        <w:tc>
          <w:tcPr>
            <w:tcW w:w="3974" w:type="pct"/>
            <w:gridSpan w:val="4"/>
            <w:shd w:val="clear" w:color="auto" w:fill="auto"/>
            <w:vAlign w:val="center"/>
          </w:tcPr>
          <w:p w14:paraId="028C0BEE">
            <w:pPr>
              <w:keepNext w:val="0"/>
              <w:keepLines w:val="0"/>
              <w:suppressLineNumbers w:val="0"/>
              <w:spacing w:before="0" w:beforeAutospacing="0" w:after="0" w:afterAutospacing="0" w:line="340" w:lineRule="exact"/>
              <w:ind w:left="0" w:right="0" w:firstLine="422"/>
              <w:jc w:val="left"/>
              <w:rPr>
                <w:rFonts w:hint="default" w:ascii="宋体" w:hAnsi="宋体" w:cs="宋体"/>
                <w:color w:val="auto"/>
                <w:szCs w:val="21"/>
                <w:highlight w:val="none"/>
              </w:rPr>
            </w:pPr>
            <w:r>
              <w:rPr>
                <w:rFonts w:hint="eastAsia" w:ascii="宋体" w:hAnsi="宋体" w:cs="宋体"/>
                <w:b/>
                <w:bCs/>
                <w:color w:val="auto"/>
                <w:szCs w:val="21"/>
                <w:highlight w:val="none"/>
              </w:rPr>
              <w:t>2分标：先进制造业产业链财经大数据中心</w:t>
            </w:r>
          </w:p>
        </w:tc>
      </w:tr>
      <w:tr w14:paraId="232B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14:paraId="4DA1BF4D">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754" w:type="pct"/>
            <w:shd w:val="clear" w:color="auto" w:fill="auto"/>
            <w:vAlign w:val="center"/>
          </w:tcPr>
          <w:p w14:paraId="32AA9B35">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采购货物名称</w:t>
            </w:r>
          </w:p>
        </w:tc>
        <w:tc>
          <w:tcPr>
            <w:tcW w:w="341" w:type="pct"/>
            <w:shd w:val="clear" w:color="auto" w:fill="auto"/>
            <w:vAlign w:val="center"/>
          </w:tcPr>
          <w:p w14:paraId="077DA4A3">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单位</w:t>
            </w:r>
          </w:p>
        </w:tc>
        <w:tc>
          <w:tcPr>
            <w:tcW w:w="342" w:type="pct"/>
            <w:shd w:val="clear" w:color="auto" w:fill="auto"/>
            <w:vAlign w:val="center"/>
          </w:tcPr>
          <w:p w14:paraId="285E6FE9">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数量</w:t>
            </w:r>
          </w:p>
        </w:tc>
        <w:tc>
          <w:tcPr>
            <w:tcW w:w="2744" w:type="pct"/>
            <w:shd w:val="clear" w:color="auto" w:fill="auto"/>
            <w:vAlign w:val="center"/>
          </w:tcPr>
          <w:p w14:paraId="08835943">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货物参数</w:t>
            </w:r>
          </w:p>
        </w:tc>
        <w:tc>
          <w:tcPr>
            <w:tcW w:w="545" w:type="pct"/>
            <w:shd w:val="clear" w:color="auto" w:fill="auto"/>
            <w:vAlign w:val="center"/>
          </w:tcPr>
          <w:p w14:paraId="48478B00">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分项预算合计（元）</w:t>
            </w:r>
          </w:p>
        </w:tc>
      </w:tr>
      <w:tr w14:paraId="688A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5E88FB32">
            <w:pPr>
              <w:pStyle w:val="25"/>
              <w:keepNext w:val="0"/>
              <w:keepLines w:val="0"/>
              <w:suppressLineNumbers w:val="0"/>
              <w:spacing w:before="0" w:beforeAutospacing="0" w:after="0" w:afterAutospacing="0" w:line="340" w:lineRule="exact"/>
              <w:ind w:left="0" w:right="0" w:firstLine="0"/>
              <w:jc w:val="center"/>
              <w:rPr>
                <w:rFonts w:hint="default" w:ascii="宋体" w:hAnsi="宋体"/>
                <w:color w:val="auto"/>
                <w:szCs w:val="21"/>
                <w:highlight w:val="none"/>
              </w:rPr>
            </w:pPr>
            <w:r>
              <w:rPr>
                <w:rFonts w:hint="eastAsia" w:ascii="宋体" w:hAnsi="宋体" w:cs="宋体"/>
                <w:color w:val="auto"/>
                <w:szCs w:val="21"/>
                <w:highlight w:val="none"/>
              </w:rPr>
              <w:t>1</w:t>
            </w:r>
          </w:p>
        </w:tc>
        <w:tc>
          <w:tcPr>
            <w:tcW w:w="1486" w:type="dxa"/>
            <w:shd w:val="clear" w:color="auto" w:fill="auto"/>
            <w:vAlign w:val="center"/>
          </w:tcPr>
          <w:p w14:paraId="3B087296">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财务大数据分析实训平台</w:t>
            </w:r>
          </w:p>
        </w:tc>
        <w:tc>
          <w:tcPr>
            <w:tcW w:w="672" w:type="dxa"/>
            <w:shd w:val="clear" w:color="auto" w:fill="auto"/>
            <w:vAlign w:val="center"/>
          </w:tcPr>
          <w:p w14:paraId="45D72ED3">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套</w:t>
            </w:r>
          </w:p>
        </w:tc>
        <w:tc>
          <w:tcPr>
            <w:tcW w:w="674" w:type="dxa"/>
            <w:shd w:val="clear" w:color="auto" w:fill="auto"/>
            <w:vAlign w:val="center"/>
          </w:tcPr>
          <w:p w14:paraId="341157AA">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5408" w:type="dxa"/>
            <w:shd w:val="clear" w:color="auto" w:fill="auto"/>
            <w:vAlign w:val="center"/>
          </w:tcPr>
          <w:p w14:paraId="5F2411A5">
            <w:pPr>
              <w:pStyle w:val="2"/>
              <w:widowControl/>
              <w:suppressLineNumbers w:val="0"/>
              <w:adjustRightInd w:val="0"/>
              <w:snapToGrid w:val="0"/>
              <w:spacing w:before="0" w:beforeAutospacing="0" w:after="0" w:afterAutospacing="0" w:line="340" w:lineRule="exact"/>
              <w:ind w:left="0" w:right="0"/>
              <w:rPr>
                <w:rFonts w:hint="default" w:ascii="宋体" w:hAnsi="宋体" w:cs="宋体"/>
                <w:bCs/>
                <w:color w:val="auto"/>
                <w:sz w:val="21"/>
                <w:szCs w:val="21"/>
                <w:highlight w:val="none"/>
              </w:rPr>
            </w:pPr>
            <w:r>
              <w:rPr>
                <w:rFonts w:hint="eastAsia" w:ascii="宋体" w:hAnsi="宋体" w:cs="宋体"/>
                <w:bCs/>
                <w:color w:val="auto"/>
                <w:sz w:val="21"/>
                <w:szCs w:val="21"/>
                <w:highlight w:val="none"/>
              </w:rPr>
              <w:t>一、总体要求</w:t>
            </w:r>
          </w:p>
          <w:p w14:paraId="7A5669B2">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1.要求系统架构按照大型分布式架构设计，支持高并发，高可用的业务需求。使用微服务框架，支持专业建设开课要求：Windows7 32位/64位，Windows10 32位/64位，Mac OS 10.10，Mac OS 10.11，Mac OS 10.12。</w:t>
            </w:r>
          </w:p>
          <w:p w14:paraId="12A6CBF9">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2.要求系统采用B/S架构，无需安装客户端，使用时只要打开IE、chrome、火狐、360等任意一款浏览器即可操作。</w:t>
            </w:r>
          </w:p>
          <w:p w14:paraId="7F44597D">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3.要求使用mysql开源数据库，可通过水平扩展来达到其性能。</w:t>
            </w:r>
          </w:p>
          <w:p w14:paraId="6331B70E">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要求采用当前流行的SpringBoot，SpringCloud，Mybatis技术框架，展现层需要通过vue和相关标签实现，实现前后端分离；与数据库的接口采用轻量级封装Mybatis提供的接口；系统所有操作都具备系统日志与业务日志级别。</w:t>
            </w:r>
          </w:p>
          <w:p w14:paraId="3532A836">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5.要求系统可以抵御常用攻击手段，如sql注入，CSRF、XSS等。</w:t>
            </w:r>
          </w:p>
          <w:p w14:paraId="35E8E388">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6.要求使用redis缓存数据库来进行用户数据的缓存，增加系统响应速度并优化用户的体验。</w:t>
            </w:r>
          </w:p>
          <w:p w14:paraId="78D18886">
            <w:pPr>
              <w:pStyle w:val="22"/>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7.要求使用多用户的统一登录口，系统管理员、教师、学生统一登陆口，只需输入各自的用户名及密码即可登录。</w:t>
            </w:r>
          </w:p>
          <w:p w14:paraId="3260C4B6">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8.系统可在线升级，在联网情况下支持系统功能远程升级。</w:t>
            </w:r>
          </w:p>
          <w:p w14:paraId="4B7208E9">
            <w:pPr>
              <w:pStyle w:val="22"/>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9.系统采用混合云服务器部署。赠送云服务三年。</w:t>
            </w:r>
          </w:p>
          <w:p w14:paraId="7997473D">
            <w:pPr>
              <w:pStyle w:val="2"/>
              <w:widowControl/>
              <w:suppressLineNumbers w:val="0"/>
              <w:adjustRightInd w:val="0"/>
              <w:snapToGrid w:val="0"/>
              <w:spacing w:before="0" w:beforeAutospacing="0" w:after="0" w:afterAutospacing="0" w:line="340" w:lineRule="exact"/>
              <w:ind w:left="0" w:right="0"/>
              <w:rPr>
                <w:rFonts w:hint="default" w:ascii="宋体" w:hAnsi="宋体" w:cs="宋体"/>
                <w:bCs/>
                <w:color w:val="auto"/>
                <w:sz w:val="21"/>
                <w:szCs w:val="21"/>
                <w:highlight w:val="none"/>
              </w:rPr>
            </w:pPr>
            <w:r>
              <w:rPr>
                <w:rFonts w:hint="eastAsia" w:ascii="宋体" w:hAnsi="宋体" w:cs="宋体"/>
                <w:bCs/>
                <w:color w:val="auto"/>
                <w:sz w:val="21"/>
                <w:szCs w:val="21"/>
                <w:highlight w:val="none"/>
              </w:rPr>
              <w:t>二、教学平台</w:t>
            </w:r>
          </w:p>
          <w:p w14:paraId="147CA4BF">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（一）教务管理</w:t>
            </w:r>
          </w:p>
          <w:p w14:paraId="087B6EDE">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1.教师管理。</w:t>
            </w:r>
          </w:p>
          <w:p w14:paraId="35069C6D">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系统管理员可创建管理教师账号，可进行查询、添加、批量导入、批量删除等操作。系统可记录教师姓名、身份证号、手机号等信息，便于管理员进行教师信息管理。</w:t>
            </w:r>
          </w:p>
          <w:p w14:paraId="4C9D3603">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2.学生管理</w:t>
            </w:r>
          </w:p>
          <w:p w14:paraId="00F5D709">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系统管理员可创建管理学生账号，可进行查询、添加、批量导入、批量导出、批量删除等操作。系统可记录学生姓名、身份证号、入学年份、手机号、班级等信息，便于管理员进行学生管理。</w:t>
            </w:r>
          </w:p>
          <w:p w14:paraId="32EEB87D">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3.组织管理</w:t>
            </w:r>
          </w:p>
          <w:p w14:paraId="62AEBB83">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▲3.1组织机构。可以在组织机构内创建一级和二级组织，可以设置每个组织开通哪些产品。</w:t>
            </w:r>
          </w:p>
          <w:p w14:paraId="2BD2113E">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3.2班级管理。可以创建管理行政班，并可以进行班级内学生的创建管理。支持学生账号的批量导入和导出等操作。</w:t>
            </w:r>
          </w:p>
          <w:p w14:paraId="7EB52663">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3.3角色权限。可以创建编辑管理员角色，每个角色的权限可以不同。</w:t>
            </w:r>
          </w:p>
          <w:p w14:paraId="29FAC822">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3.4设置管理员。可以进行管理员账号的创建、编辑、重置密码等操作。</w:t>
            </w:r>
          </w:p>
          <w:p w14:paraId="478F8CA0">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▲4.整体数据：</w:t>
            </w:r>
          </w:p>
          <w:p w14:paraId="1CD1C727">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4.1运营数据：机构开通天数、教学班、行政班、管理员、教师、学生数量以及按时间查看新增注册用户数；</w:t>
            </w:r>
          </w:p>
          <w:p w14:paraId="207CCBC1">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4.2专业人数统计：查看课程未学人数、在学人数和已学人数，也可查看学生选课量排行和教师授课学员数排行；</w:t>
            </w:r>
          </w:p>
          <w:p w14:paraId="6714FD4F">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4.3学习时长统计：查看课程的学习时长趋势，教学班平均学习时长排行和学生学习时长排行；</w:t>
            </w:r>
          </w:p>
          <w:p w14:paraId="78B33251">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4.4测验统计：可查看历次测验平均分，以及班级最低分、最高分、平均分。</w:t>
            </w:r>
          </w:p>
          <w:p w14:paraId="407EBAE8">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5.资源统计：</w:t>
            </w:r>
          </w:p>
          <w:p w14:paraId="3A4C3C67">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5.1产品统计：开通产品数，课程资源数，试卷资源数；</w:t>
            </w:r>
          </w:p>
          <w:p w14:paraId="5C5A9810">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5.2素材统计：素材总数、总量、视频总时长、媒体类型分类及活跃资源占比；</w:t>
            </w:r>
          </w:p>
          <w:p w14:paraId="7AE73D45">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5.3题目统计：题库总量及分类（按主客观、题型、难度）。</w:t>
            </w:r>
          </w:p>
          <w:p w14:paraId="433BA6E9">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（二）课程管理</w:t>
            </w:r>
          </w:p>
          <w:p w14:paraId="1D8201CE">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1.备课</w:t>
            </w:r>
          </w:p>
          <w:p w14:paraId="1AB3D037">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教师可在课程目录中上传自己的课件素材，可创建作业任务。添加的素材可设置是否允许下载，创建的作业支持上传附件。</w:t>
            </w:r>
          </w:p>
          <w:p w14:paraId="6122168B">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2.开课管理</w:t>
            </w:r>
          </w:p>
          <w:p w14:paraId="774831F9">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老师可用编辑好的课程进行开班课操作。开班后可以把学生添加到班课中，支持直接在系统中导入学生。</w:t>
            </w:r>
          </w:p>
          <w:p w14:paraId="079FF61C">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3.班级设置</w:t>
            </w:r>
          </w:p>
          <w:p w14:paraId="06A00635">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3.1导航设置。可以设置教师端和学生端开启的功能栏目，并可以拖动进行排序。</w:t>
            </w:r>
          </w:p>
          <w:p w14:paraId="47FBE097">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3.2助教设置。可以在班级里添加多个助教，可以设置助教的权限范围。</w:t>
            </w:r>
          </w:p>
          <w:p w14:paraId="2A142C5C">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3.3实训设置。可以批量设置实训目录内实训题的答案状态，可选择开放或隐藏。</w:t>
            </w:r>
          </w:p>
          <w:p w14:paraId="3717E638">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（三）教学工具</w:t>
            </w:r>
          </w:p>
          <w:p w14:paraId="70D00F35">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1.讨论答疑</w:t>
            </w:r>
          </w:p>
          <w:p w14:paraId="3AB57717">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话题讨论功能模块，让老师与学生频繁互动，项目进行过程中遇到问题、难点及时交流、反馈，让问题落地解决。</w:t>
            </w:r>
          </w:p>
          <w:p w14:paraId="07CEE113">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2.课程笔记</w:t>
            </w:r>
          </w:p>
          <w:p w14:paraId="52FAB15A">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学生在学习过程中随时可以记录想法、问题等，可根据章节目录进行查询。老师可以查看学生笔记，学生之间、师生之间可以互评笔记。</w:t>
            </w:r>
          </w:p>
          <w:p w14:paraId="3B8ABE40">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3.班课通知</w:t>
            </w:r>
          </w:p>
          <w:p w14:paraId="0C71A73A">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教师在课程教学当中可以向所教班级发布课程通知，学生可查看课程通知，达到师生之间信息互通的目的。</w:t>
            </w:r>
          </w:p>
          <w:p w14:paraId="15BA9883">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4.课后作业</w:t>
            </w:r>
          </w:p>
          <w:p w14:paraId="7DF1C7CC">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教师可以下发作业给学生，并可以对上交的作业进行批阅打分。学生可在线提交作业，作业支持在线书写并可上传附件。</w:t>
            </w:r>
          </w:p>
          <w:p w14:paraId="3CBB6ACB">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5.板书记录</w:t>
            </w:r>
          </w:p>
          <w:p w14:paraId="07446726">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老师在上课模式保存的板书，会以目录分类的方式进行存储，在板书记录中可以进行查看、添加、删除、修改等操作，学生也可以在板书记录中进行查看。</w:t>
            </w:r>
          </w:p>
          <w:p w14:paraId="6D72BB76">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（四）实训</w:t>
            </w:r>
          </w:p>
          <w:p w14:paraId="0142B8F0">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1.实训</w:t>
            </w:r>
          </w:p>
          <w:p w14:paraId="1A965B59">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教师可使用实训课程进行学生培训，通过实训课程可进入业务实操系统进行实操训练。</w:t>
            </w:r>
          </w:p>
          <w:p w14:paraId="0C11F2CD">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▲2.答案对比</w:t>
            </w:r>
          </w:p>
          <w:p w14:paraId="67A86C93">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支持学生端答案显示与否的教学控制，配合老师对于课堂的教学管理。学生完成任务后可查看任务答案，和自己操作的数据进行对比。</w:t>
            </w:r>
          </w:p>
          <w:p w14:paraId="3036BD29">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（五）数据统计</w:t>
            </w:r>
          </w:p>
          <w:p w14:paraId="739C102F">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1.基础统计</w:t>
            </w:r>
          </w:p>
          <w:p w14:paraId="255CD6E6">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1.1可查看班级人数、在学人数、未学人数。</w:t>
            </w:r>
          </w:p>
          <w:p w14:paraId="6DFCC402">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1.2可查看最近学习人数统计图，可按照周、月两个维度进行展示。</w:t>
            </w:r>
          </w:p>
          <w:p w14:paraId="008E3F7E">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1.3讨论统计，包含班课内讨论总条数、主题数、回复和评论数，以及本人发布的讨论统计。</w:t>
            </w:r>
          </w:p>
          <w:p w14:paraId="7BDEE021">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1.4学生公开笔记条数统计。</w:t>
            </w:r>
          </w:p>
          <w:p w14:paraId="588E24BA">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▲2.课程进度统计</w:t>
            </w:r>
          </w:p>
          <w:p w14:paraId="695DAA37">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2.1任务统计。可查看班级整体进度、任务总数。可查询每个学生的学习进度，并可查看详情，查看每个任务的完成情况。任务统计支持导出记录。</w:t>
            </w:r>
          </w:p>
          <w:p w14:paraId="04F782F8">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2.2实操练习统计。可按学员维度和试题维度查询学生的学习情况。学员维度可查看每个学生的完成数量、完成率、正确率，可进行排序。试题维度可查看每个学员的提交数量、提交率、正确率，可进行排序。</w:t>
            </w:r>
          </w:p>
          <w:p w14:paraId="1F32A104">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2.3章节测验统计。可按照学员维度及测验维度进行统计查询。学员维度可以查询每个学员的完成数量、完成率、平均分，并可查看每个学生每一个测验的作答详情及得分。测验维度可查询每个章节测验提交数量、提交率、平均分，并可查看每个学生的作答详情及分数。</w:t>
            </w:r>
          </w:p>
          <w:p w14:paraId="38BC7932">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bidi="ar"/>
              </w:rPr>
              <w:t>三、训练平台</w:t>
            </w:r>
          </w:p>
          <w:p w14:paraId="69959B1F">
            <w:pPr>
              <w:pStyle w:val="22"/>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提供在线训练，供学生实务训练使用。学生采用个人测评训练方式，以企业真实财务数据为基础，通过贴近实务的实践课程训练，培养学生数据采集、数据清洗、标杆企业选择、行业企业财务大数据分析能力、财税风险预警、经营分析等相关动手操作能力。与教学系统、测评系统深度集成，并能进行试题自动评分，适用于《财务大数据分析》课程的教学和学生训练。</w:t>
            </w:r>
          </w:p>
          <w:p w14:paraId="19CAD59C">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大数据分析平台</w:t>
            </w:r>
          </w:p>
          <w:p w14:paraId="6073DA87">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▲1.大数据分析平台采用云端操作，无需本地安装。</w:t>
            </w:r>
          </w:p>
          <w:p w14:paraId="0C85CB2C">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▲2.内置财务数据</w:t>
            </w:r>
          </w:p>
          <w:p w14:paraId="4927215E">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数据资源库已预置常用的A股上市公司近五年的财务数据源，包括资产负债表、利润表、现金流量表、报表附注，并可持续更新数据。无需本地安装大数据分析工具，支持各种数据分析等相关学习任务。</w:t>
            </w:r>
          </w:p>
          <w:p w14:paraId="0BD40693">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3.数据集</w:t>
            </w:r>
          </w:p>
          <w:p w14:paraId="13F51BC9">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数据集设计器分为四大区域，分别为菜单栏、数据源列表区、数据集编辑区以及预览区域。用于创建仪表板或报表，数据集创建完成后支持刷新缓存数据。</w:t>
            </w:r>
          </w:p>
          <w:p w14:paraId="2C6D90B4">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3.1多表关联</w:t>
            </w:r>
          </w:p>
          <w:p w14:paraId="55579E89">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系统支持将多个数据表拼接成一张表使用的情况。提供了联合（Union）和连接（Join）功能来实现数据表的左右拼接和上下拼接。</w:t>
            </w:r>
          </w:p>
          <w:p w14:paraId="198E1E9A">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▲3.2分组视图</w:t>
            </w:r>
          </w:p>
          <w:p w14:paraId="550F4230">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将字段拖拽到聚合区域即可对其进行聚合运算。对于数值型的字段支持的聚合运算有Sum、Average、Max、Min；而对于非数值型字段则可以进行Count和Distinct Count运算。</w:t>
            </w:r>
          </w:p>
          <w:p w14:paraId="24FAD678">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3.3添加自定义字段</w:t>
            </w:r>
          </w:p>
          <w:p w14:paraId="59EA3FEF">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添加自定义字段可以在不影响原数据的情况下通过对现有数据进行计算而得到一个新的数据字段。</w:t>
            </w:r>
          </w:p>
          <w:p w14:paraId="708291B1">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4.仪表板</w:t>
            </w:r>
          </w:p>
          <w:p w14:paraId="42B34801">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以拖拽方式快速设计仪表板，而且支持多页面仪表板功能,可以在一个仪表板中分配展示不同的数据页面。</w:t>
            </w:r>
          </w:p>
          <w:p w14:paraId="004DF906">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4.1计算图表</w:t>
            </w:r>
          </w:p>
          <w:p w14:paraId="5C644B64">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支持 Excel 的数据分析方式和 450+ 计算公式完整的集成到仪表板设计器中，为BI仪表板提供增强型计算分析能力。重要使用场景包括：</w:t>
            </w:r>
          </w:p>
          <w:p w14:paraId="3689819B">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（1）跨数据集的计算分析，计划、执行和完成率分析等。</w:t>
            </w:r>
          </w:p>
          <w:p w14:paraId="0AFD3A79">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（2）各种比例计算分析，例如：当月销售收入、当月销售预算、累计销售收入、累计预算、当月销售完成率、累计销售完成率等。</w:t>
            </w:r>
          </w:p>
          <w:p w14:paraId="69035F91">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▲4.2丰富的数据可视化效果</w:t>
            </w:r>
          </w:p>
          <w:p w14:paraId="36B61283">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仪表板内置20种以上数据可视化效果，包括：条形图、柱状图、折线图、面积图、饼图、玫瑰图、旭日图、雷达图、散点图、气泡图、树形图、组合图、KPI指标卡、2D地图、3D地图、表格、透视表、迷你图等。同时，完全开放的可视化插件机制，可以将Echarts、D3.js、ChartJS、G2、3D模型等集成到仪表板中，满足任何可视化效果的需要。</w:t>
            </w:r>
          </w:p>
          <w:p w14:paraId="1C949E51">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4.3全程自动化：在仪表板设计阶段，您可以配置仪表板的自动换页周期、数据自动刷新的时间等。</w:t>
            </w:r>
          </w:p>
          <w:p w14:paraId="0A80B2EB">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▲4.4 3D动画特效：提供3D旋转KPI、3D旋转图片、3D地图等可视化效果，3D模型等。</w:t>
            </w:r>
          </w:p>
          <w:p w14:paraId="6C359C57">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4.5数据切片、联动分析与钻取分析</w:t>
            </w:r>
          </w:p>
          <w:p w14:paraId="02B5CCA7">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在仪表板中，可以添加多种数据切片器，包括：日期范围、相对日期、列表、树形列表、文本标签等。在使用仪表板时，支持通过切片器筛选数据，支持联动分析，支持钻取分析。</w:t>
            </w:r>
          </w:p>
          <w:p w14:paraId="0FA156A7">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4.6运行时数据探索分析</w:t>
            </w:r>
          </w:p>
          <w:p w14:paraId="34D150AD">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仪表板提供运行时的高级数据探索分析功能，可以对数据进行实时分析。</w:t>
            </w:r>
          </w:p>
          <w:p w14:paraId="512D5F3F">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5.报表</w:t>
            </w:r>
          </w:p>
          <w:p w14:paraId="50F771D7">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基于HTML5的在线报表设计器，可自定义报表设计，快速搭建分析报表。可跨桌面电脑、平板电脑及手持设备等平台显示设计报表。在设计时即可预览最终效果，随时修改设计。</w:t>
            </w:r>
          </w:p>
          <w:p w14:paraId="5C808F99">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5.1支持多数据源查询、计算公式</w:t>
            </w:r>
          </w:p>
          <w:p w14:paraId="317358FD">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设计器中提供了日期、文本、数学、逻辑运算、数据聚合、数据转换等函数，便于在报表内进行数据的二次运算。</w:t>
            </w:r>
          </w:p>
          <w:p w14:paraId="7D3D163D">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5.2可创建各种样式的报表</w:t>
            </w:r>
          </w:p>
          <w:p w14:paraId="582DEF56">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设计器中提供表格、矩表、图表、迷你图、数据条、图片、条码(37种)、子报表、文档目录、文本框、复选框等报表元素，可创建二维表格、自由表格、交叉表、主子/主从报表、Excel数据透视表、Word聚合文档报告、图表可视化等类型的报表。</w:t>
            </w:r>
          </w:p>
          <w:p w14:paraId="385BB4FD">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（1）矩表功能</w:t>
            </w:r>
          </w:p>
          <w:p w14:paraId="7FCC01A5">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矩表功能，可快速设计各种表格类型的报表，满足复杂报表的需要。</w:t>
            </w:r>
          </w:p>
          <w:p w14:paraId="59EF5CAA">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 xml:space="preserve">（2）图表功能 </w:t>
            </w:r>
          </w:p>
          <w:p w14:paraId="52B44434">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图表可进行数据绑定。可进行颜色、形状和大小调整，并提供切换坐标系、旋转角度等样式选项。</w:t>
            </w:r>
          </w:p>
          <w:p w14:paraId="1ACC82D6">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（3）数据查询面板</w:t>
            </w:r>
          </w:p>
          <w:p w14:paraId="370897AA">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自定义查询面板功能，无需任何编码便可创建复杂的查询条件。</w:t>
            </w:r>
          </w:p>
          <w:p w14:paraId="705A992F">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（4）交互式报表功能</w:t>
            </w:r>
          </w:p>
          <w:p w14:paraId="5488AC94">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在查看报表时，可以使用交互功能，包括：数据查询过滤、报表下钻/上卷、图表联动、跳转至URL、表格排序、表格行列的折叠/展开、翻页导航、历史回退等。</w:t>
            </w:r>
          </w:p>
          <w:p w14:paraId="46345E46">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 xml:space="preserve">（5）内置报表主题和样式 </w:t>
            </w:r>
          </w:p>
          <w:p w14:paraId="135A0F4D">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内置的报表主题可以控制整个报表中图表和表格元素的配色风格，还能针对单个元素设置不同的外观样式。</w:t>
            </w:r>
          </w:p>
          <w:p w14:paraId="04DFE08E">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6.文档分享</w:t>
            </w:r>
          </w:p>
          <w:p w14:paraId="1755E0E9">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仪表板、报表文档可以分享，分享文档可设置“只读”或“读写”权限。</w:t>
            </w:r>
          </w:p>
          <w:p w14:paraId="1193DAE7">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7.多屏适配可视化方案</w:t>
            </w:r>
            <w:r>
              <w:rPr>
                <w:rFonts w:hint="eastAsia" w:ascii="宋体" w:hAnsi="宋体" w:cs="宋体"/>
                <w:color w:val="auto"/>
                <w:spacing w:val="-4"/>
                <w:kern w:val="0"/>
                <w:sz w:val="21"/>
                <w:szCs w:val="21"/>
                <w:highlight w:val="none"/>
                <w:lang w:bidi="ar"/>
              </w:rPr>
              <w:tab/>
            </w:r>
          </w:p>
          <w:p w14:paraId="685DE707">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PC端运行，并提供多种屏幕自适应方式，原始大小、高度自适应、宽度自适应和全屏自适应。</w:t>
            </w:r>
          </w:p>
          <w:p w14:paraId="69A50F28">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移动端运行，每个仪表板默认具有响应式能力，无需二次设计便能自适应移动设备，同时，也可单独定制移动端的布局。</w:t>
            </w:r>
          </w:p>
          <w:p w14:paraId="33B2BE68">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bidi="ar"/>
              </w:rPr>
              <w:t>四、测评系统</w:t>
            </w:r>
          </w:p>
          <w:p w14:paraId="257DCE79">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测评系统包含随堂测验、课程考试两个模块，可以全方位检测学生学习效果，并及时查漏补缺。</w:t>
            </w:r>
          </w:p>
          <w:p w14:paraId="09D02761">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1.随堂测验</w:t>
            </w:r>
          </w:p>
          <w:p w14:paraId="32288470">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完成每一个课程单元的学习后，学生可进行随堂测验，支持练习模式，每次提交后都显示答题正误和答题总分。随堂测验支持重复作答，不限次数。</w:t>
            </w:r>
          </w:p>
          <w:p w14:paraId="131C9838">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▲2.课程考试</w:t>
            </w:r>
          </w:p>
          <w:p w14:paraId="4E8B59C2">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教师可对所教班级设置课程考试，可单独或批量进行设置。可手动触发公布答案，也可以在考试时间结束后自动公布答案。教师发布考试信息后，学生即可在规定的考试时间内完成作答。教师公布答案后，学生可查看个人得分以及每一题的正误情况。</w:t>
            </w:r>
          </w:p>
          <w:p w14:paraId="6E1FC9E3">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教师可看到学生考试提交情况，包括班级交卷人数、班级最高分、平均分，每一位学生的答题得分、正误情况以及每一题的班级整体正误情况。</w:t>
            </w:r>
          </w:p>
          <w:p w14:paraId="5DC60A77">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bidi="ar"/>
              </w:rPr>
              <w:t>五、数字课程</w:t>
            </w:r>
          </w:p>
          <w:p w14:paraId="47D7EE4D">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（一）课程简介</w:t>
            </w:r>
          </w:p>
          <w:p w14:paraId="4D639BA1">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财务大数据分析》课程是以大数据工具平台为载体，按照财经领域职业场景和大数据分析的工作流程设计教学单元和工作任务，使学生认识财务大数据和基本工具，养成财务数据采集、数据预处理、数据可视化分析和数据洞察的能力。该平台集教学、训练、测评等功能于一体，对接智能财税国赛和“1+X”职业技能等级高级证书。</w:t>
            </w:r>
          </w:p>
          <w:p w14:paraId="7123D6A6">
            <w:pPr>
              <w:pStyle w:val="22"/>
              <w:keepNext w:val="0"/>
              <w:keepLines w:val="0"/>
              <w:numPr>
                <w:ilvl w:val="0"/>
                <w:numId w:val="2"/>
              </w:numPr>
              <w:suppressLineNumbers w:val="0"/>
              <w:spacing w:before="0" w:beforeAutospacing="0" w:after="0" w:afterAutospacing="0" w:line="340" w:lineRule="exact"/>
              <w:ind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课程内容：</w:t>
            </w:r>
          </w:p>
          <w:p w14:paraId="24E81216">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《财务大数据分析》课程主要包括8个单元，共24个任务，具体如下：</w:t>
            </w:r>
          </w:p>
          <w:p w14:paraId="4721AB81">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1.财务大数据认知</w:t>
            </w:r>
          </w:p>
          <w:p w14:paraId="01D34148">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1.1走进财务大数据</w:t>
            </w:r>
          </w:p>
          <w:p w14:paraId="42353A5E">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1.2财务大数据分析环境搭建</w:t>
            </w:r>
          </w:p>
          <w:p w14:paraId="75E59122">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2.财务数据采集</w:t>
            </w:r>
          </w:p>
          <w:p w14:paraId="0366070F">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2.1直连数据源获取</w:t>
            </w:r>
          </w:p>
          <w:p w14:paraId="50BBB4BF">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2.2网络数据源获取</w:t>
            </w:r>
          </w:p>
          <w:p w14:paraId="1FF5A6E9">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3.财务数据预处理</w:t>
            </w:r>
          </w:p>
          <w:p w14:paraId="3A1A74A3">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3.1数据清洗</w:t>
            </w:r>
          </w:p>
          <w:p w14:paraId="082C94CC">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3.2数据集成</w:t>
            </w:r>
          </w:p>
          <w:p w14:paraId="0C9D41BE">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4.企业经营数据分析</w:t>
            </w:r>
          </w:p>
          <w:p w14:paraId="203C5F9E">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4.1采购分析</w:t>
            </w:r>
          </w:p>
          <w:p w14:paraId="3B33E17C">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4.2销售分析</w:t>
            </w:r>
          </w:p>
          <w:p w14:paraId="7D2ECBC4">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4.3应收账款质量分析</w:t>
            </w:r>
          </w:p>
          <w:p w14:paraId="201A9F18">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4.4货币资金质量分析</w:t>
            </w:r>
          </w:p>
          <w:p w14:paraId="79F7A0B5">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4.5现金流量质量分析</w:t>
            </w:r>
          </w:p>
          <w:p w14:paraId="59ED9991">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5.企业财务报表分析</w:t>
            </w:r>
          </w:p>
          <w:p w14:paraId="7D578990">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4.1资产负债表分析</w:t>
            </w:r>
          </w:p>
          <w:p w14:paraId="45DC54AB">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4.2利润表分析</w:t>
            </w:r>
          </w:p>
          <w:p w14:paraId="0357F406">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 xml:space="preserve">4.3现金流量表分析 </w:t>
            </w:r>
          </w:p>
          <w:p w14:paraId="1B0683C0">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6.企业财务指标分析</w:t>
            </w:r>
          </w:p>
          <w:p w14:paraId="72F746CF">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6.1偿债能力分析</w:t>
            </w:r>
          </w:p>
          <w:p w14:paraId="6C24D5B1">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6.2营运能力分析</w:t>
            </w:r>
          </w:p>
          <w:p w14:paraId="5AC058BB">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6.3盈利能力分析</w:t>
            </w:r>
          </w:p>
          <w:p w14:paraId="7BD96B20">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6.4发展能力分析</w:t>
            </w:r>
          </w:p>
          <w:p w14:paraId="61045B5C">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6.5综合能力分析</w:t>
            </w:r>
          </w:p>
          <w:p w14:paraId="16EA1EE0">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6.6行业竞争力分析</w:t>
            </w:r>
          </w:p>
          <w:p w14:paraId="1F7A15B7">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7.大数据财税风险预警</w:t>
            </w:r>
          </w:p>
          <w:p w14:paraId="49E38CEF">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7.1税务风险预警分析</w:t>
            </w:r>
          </w:p>
          <w:p w14:paraId="04BD1DD6">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7.2财务风险预警分析</w:t>
            </w:r>
          </w:p>
          <w:p w14:paraId="71F4A4B1">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8.财务分析报告撰写</w:t>
            </w:r>
          </w:p>
          <w:p w14:paraId="76043DF1">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8.1 外部环境分析报告</w:t>
            </w:r>
          </w:p>
          <w:p w14:paraId="65303583">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8.2 企业财务分析报告</w:t>
            </w:r>
          </w:p>
          <w:p w14:paraId="1EE095DD">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（三）课程资源</w:t>
            </w:r>
          </w:p>
          <w:p w14:paraId="1DA7B0A0">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财务大数据分析课程资源丰富，包含PPT、动画、视频等课程资源：</w:t>
            </w:r>
          </w:p>
          <w:p w14:paraId="1CB1880C">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电子教案PPT数量不少于21个；</w:t>
            </w:r>
          </w:p>
          <w:p w14:paraId="249C04EC">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情景动画数量不少于20个；</w:t>
            </w:r>
          </w:p>
          <w:p w14:paraId="4E4AFC4A">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视频微课数量不少于50个，每个微课时长5-15分钟；</w:t>
            </w:r>
          </w:p>
          <w:p w14:paraId="6C1D2719">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富媒体、PDF、EXCEL等文件资源数量若干；</w:t>
            </w:r>
          </w:p>
          <w:p w14:paraId="24727A27">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随堂练习客观题数量不少于120道；</w:t>
            </w:r>
          </w:p>
          <w:p w14:paraId="34D9A84A">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提供课程简介、课程大纲、课时安排等教学文件及参考资料。</w:t>
            </w:r>
          </w:p>
          <w:p w14:paraId="3A2F4822">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bidi="ar"/>
              </w:rPr>
              <w:t>六、训练包</w:t>
            </w:r>
          </w:p>
          <w:p w14:paraId="291FD113">
            <w:pPr>
              <w:pStyle w:val="22"/>
              <w:keepNext w:val="0"/>
              <w:keepLines w:val="0"/>
              <w:suppressLineNumbers w:val="0"/>
              <w:adjustRightInd w:val="0"/>
              <w:snapToGrid w:val="0"/>
              <w:spacing w:before="0" w:beforeAutospacing="0" w:after="0" w:afterAutospacing="0" w:line="340" w:lineRule="exact"/>
              <w:ind w:left="0" w:right="0"/>
              <w:rPr>
                <w:rFonts w:hint="default" w:ascii="宋体" w:hAnsi="宋体" w:cs="宋体"/>
                <w:b/>
                <w:bCs/>
                <w:color w:val="auto"/>
                <w:sz w:val="21"/>
                <w:szCs w:val="21"/>
                <w:highlight w:val="none"/>
              </w:rPr>
            </w:pPr>
            <w:r>
              <w:rPr>
                <w:rFonts w:hint="eastAsia" w:ascii="宋体" w:hAnsi="宋体" w:cs="宋体"/>
                <w:color w:val="auto"/>
                <w:sz w:val="21"/>
                <w:szCs w:val="21"/>
                <w:highlight w:val="none"/>
                <w:lang w:bidi="ar"/>
              </w:rPr>
              <w:t>提供一套完整的基于真实业务场景的在线训练包，供学生实务训练使用，学生采用个人测评训练方式，通过单项实训，以企业真实财务分析需求为基础，旨在帮助学生建立大数据技术在财务分析中运用的思维体系，掌握财务大数据分析的一般流程和主流方法，培养学生使用大数据分析工具进行数据采集、数据预处理、数据分析及进行可视化呈现，并最终帮助企业发现问题、解决问题的动手操作能力。</w:t>
            </w:r>
          </w:p>
          <w:p w14:paraId="78D74D6B">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1.训练内容</w:t>
            </w:r>
          </w:p>
          <w:p w14:paraId="244693FB">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训练1：直连数据源获取</w:t>
            </w:r>
          </w:p>
          <w:p w14:paraId="6C6D46CF">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▲训练2：网络数据源获取</w:t>
            </w:r>
          </w:p>
          <w:p w14:paraId="4CED56CB">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训练3：数据清洗</w:t>
            </w:r>
          </w:p>
          <w:p w14:paraId="6263A59D">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训练4：数据集成</w:t>
            </w:r>
          </w:p>
          <w:p w14:paraId="482F0E4B">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训练5：采购分析</w:t>
            </w:r>
          </w:p>
          <w:p w14:paraId="28420F7F">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训练6：销售分析</w:t>
            </w:r>
          </w:p>
          <w:p w14:paraId="0A92D1A8">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训练7：应收账款质量分析</w:t>
            </w:r>
          </w:p>
          <w:p w14:paraId="44F5B998">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训练8：货币资金质量分析</w:t>
            </w:r>
          </w:p>
          <w:p w14:paraId="5055113B">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训练9：现金流量质量分析</w:t>
            </w:r>
          </w:p>
          <w:p w14:paraId="324FE9A4">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训练10：资产负债表分析</w:t>
            </w:r>
          </w:p>
          <w:p w14:paraId="2245D201">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训练11：利润表分析</w:t>
            </w:r>
          </w:p>
          <w:p w14:paraId="683E0A54">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训练12：现金流量表分析</w:t>
            </w:r>
          </w:p>
          <w:p w14:paraId="1DF10959">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训练13：偿债能力分析</w:t>
            </w:r>
          </w:p>
          <w:p w14:paraId="2D1599A9">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训练14：营运能力分析</w:t>
            </w:r>
          </w:p>
          <w:p w14:paraId="289B831A">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训练15：盈利能力分析</w:t>
            </w:r>
          </w:p>
          <w:p w14:paraId="5CAE25C8">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训练16：发展能力分析</w:t>
            </w:r>
          </w:p>
          <w:p w14:paraId="36061A5D">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训练17：综合能力分析</w:t>
            </w:r>
          </w:p>
          <w:p w14:paraId="3DC4D6E0">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▲训练18：行业竞争力分析</w:t>
            </w:r>
          </w:p>
          <w:p w14:paraId="53810EDC">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▲训练19：税务风险预警分析</w:t>
            </w:r>
          </w:p>
          <w:p w14:paraId="1A4F0AC7">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▲训练20：财务风险预警分析</w:t>
            </w:r>
          </w:p>
          <w:p w14:paraId="5A72F945">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训练21：外部环境分析报告</w:t>
            </w:r>
          </w:p>
          <w:p w14:paraId="514329C8">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训练22：企业财务分析报告</w:t>
            </w:r>
          </w:p>
          <w:p w14:paraId="2DD17E09">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2.训练包容量</w:t>
            </w:r>
          </w:p>
          <w:p w14:paraId="5BC0C07C">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训练包不少于20项训练试题。</w:t>
            </w:r>
          </w:p>
          <w:p w14:paraId="3CD07193">
            <w:pPr>
              <w:pStyle w:val="22"/>
              <w:keepNext w:val="0"/>
              <w:keepLines w:val="0"/>
              <w:suppressLineNumbers w:val="0"/>
              <w:adjustRightInd w:val="0"/>
              <w:snapToGrid w:val="0"/>
              <w:spacing w:before="0" w:beforeAutospacing="0" w:after="0" w:afterAutospacing="0" w:line="340" w:lineRule="exact"/>
              <w:ind w:left="0" w:right="0"/>
              <w:outlineLvl w:val="0"/>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bidi="ar"/>
              </w:rPr>
              <w:t>七、试题包</w:t>
            </w:r>
          </w:p>
          <w:p w14:paraId="444FF7C2">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试题包题目紧密结合教学内容，试题包与大数据分析工具深度集成，能够做到平台自动跳转，学生答题进度跟踪，答题结果自动评分。通过训练测评，提高学生应用大数据分析工具进行财经大数据分析的能力，灵活运用新工具、新方法，适应新技术、新业态背景下的岗位工作内容。</w:t>
            </w:r>
          </w:p>
          <w:p w14:paraId="2E431523">
            <w:pPr>
              <w:pStyle w:val="22"/>
              <w:keepNext w:val="0"/>
              <w:keepLines w:val="0"/>
              <w:suppressLineNumbers w:val="0"/>
              <w:adjustRightInd w:val="0"/>
              <w:snapToGrid w:val="0"/>
              <w:spacing w:before="0" w:beforeAutospacing="0" w:after="0" w:afterAutospacing="0" w:line="340" w:lineRule="exact"/>
              <w:ind w:left="0" w:right="0"/>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bidi="ar"/>
              </w:rPr>
              <w:t>▲</w:t>
            </w:r>
            <w:r>
              <w:rPr>
                <w:rFonts w:hint="eastAsia" w:ascii="宋体" w:hAnsi="宋体" w:cs="宋体"/>
                <w:color w:val="auto"/>
                <w:sz w:val="21"/>
                <w:szCs w:val="21"/>
                <w:highlight w:val="none"/>
                <w:lang w:bidi="ar"/>
              </w:rPr>
              <w:t>提供3套试题包，每套试题题量大约在120-150分钟之间。</w:t>
            </w:r>
          </w:p>
          <w:p w14:paraId="148DDE3F">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1.试题包内容</w:t>
            </w:r>
          </w:p>
          <w:p w14:paraId="352A986D">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（1）财务大数据认知</w:t>
            </w:r>
          </w:p>
          <w:p w14:paraId="15895F1E">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（2）财务数据采集</w:t>
            </w:r>
          </w:p>
          <w:p w14:paraId="3C95DE8C">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（3）财务数据预处理</w:t>
            </w:r>
          </w:p>
          <w:p w14:paraId="3569754D">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（4）企业经营数据分析</w:t>
            </w:r>
          </w:p>
          <w:p w14:paraId="5956CD9C">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（5）企业财务报表分析</w:t>
            </w:r>
          </w:p>
          <w:p w14:paraId="033D9D3D">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（6）企业财务指标分析</w:t>
            </w:r>
          </w:p>
          <w:p w14:paraId="613819C1">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（7）大数据财税风险预警分析</w:t>
            </w:r>
          </w:p>
          <w:p w14:paraId="40A26953">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（8）财务分析报告撰写</w:t>
            </w:r>
          </w:p>
          <w:p w14:paraId="25A621A2">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2.试题包容量</w:t>
            </w:r>
          </w:p>
          <w:p w14:paraId="4C6918BE">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（1）客观题类型与数量</w:t>
            </w:r>
          </w:p>
          <w:p w14:paraId="5D1249A4">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客观题分为单选题10道、多选题5道、判断题10道。</w:t>
            </w:r>
          </w:p>
          <w:p w14:paraId="02006EBB">
            <w:pPr>
              <w:pStyle w:val="22"/>
              <w:keepNext w:val="0"/>
              <w:keepLines w:val="0"/>
              <w:suppressLineNumbers w:val="0"/>
              <w:spacing w:before="0" w:beforeAutospacing="0" w:after="0" w:afterAutospacing="0" w:line="340" w:lineRule="exact"/>
              <w:ind w:left="0" w:right="0"/>
              <w:rPr>
                <w:rFonts w:hint="default" w:hAnsi="宋体" w:cs="宋体"/>
                <w:color w:val="auto"/>
                <w:kern w:val="0"/>
                <w:sz w:val="21"/>
                <w:szCs w:val="21"/>
                <w:highlight w:val="none"/>
              </w:rPr>
            </w:pPr>
            <w:r>
              <w:rPr>
                <w:rFonts w:hint="eastAsia" w:ascii="宋体" w:hAnsi="宋体" w:cs="宋体"/>
                <w:color w:val="auto"/>
                <w:spacing w:val="-4"/>
                <w:kern w:val="0"/>
                <w:sz w:val="21"/>
                <w:szCs w:val="21"/>
                <w:highlight w:val="none"/>
                <w:lang w:bidi="ar"/>
              </w:rPr>
              <w:t>（2）实操题类型与数量</w:t>
            </w:r>
          </w:p>
          <w:p w14:paraId="39FE702C">
            <w:pPr>
              <w:pStyle w:val="22"/>
              <w:keepNext w:val="0"/>
              <w:keepLines w:val="0"/>
              <w:suppressLineNumbers w:val="0"/>
              <w:spacing w:before="0" w:beforeAutospacing="0" w:after="0" w:afterAutospacing="0" w:line="340" w:lineRule="exact"/>
              <w:ind w:left="0" w:right="0"/>
              <w:rPr>
                <w:rFonts w:hint="default"/>
                <w:color w:val="auto"/>
                <w:sz w:val="21"/>
                <w:szCs w:val="21"/>
                <w:highlight w:val="none"/>
              </w:rPr>
            </w:pPr>
            <w:r>
              <w:rPr>
                <w:rFonts w:hint="eastAsia" w:ascii="宋体" w:hAnsi="宋体" w:cs="宋体"/>
                <w:color w:val="auto"/>
                <w:spacing w:val="-4"/>
                <w:kern w:val="0"/>
                <w:sz w:val="21"/>
                <w:szCs w:val="21"/>
                <w:highlight w:val="none"/>
                <w:lang w:bidi="ar"/>
              </w:rPr>
              <w:t>综合实操题1道。</w:t>
            </w:r>
          </w:p>
        </w:tc>
        <w:tc>
          <w:tcPr>
            <w:tcW w:w="1080" w:type="dxa"/>
            <w:shd w:val="clear" w:color="auto" w:fill="auto"/>
            <w:vAlign w:val="center"/>
          </w:tcPr>
          <w:p w14:paraId="3AD67FE8">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250000</w:t>
            </w:r>
          </w:p>
        </w:tc>
      </w:tr>
      <w:tr w14:paraId="4545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58200A63">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1486" w:type="dxa"/>
            <w:shd w:val="clear" w:color="auto" w:fill="auto"/>
            <w:vAlign w:val="center"/>
          </w:tcPr>
          <w:p w14:paraId="3B43FA59">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产业链大数据平台软件</w:t>
            </w:r>
          </w:p>
        </w:tc>
        <w:tc>
          <w:tcPr>
            <w:tcW w:w="672" w:type="dxa"/>
            <w:shd w:val="clear" w:color="auto" w:fill="auto"/>
            <w:vAlign w:val="center"/>
          </w:tcPr>
          <w:p w14:paraId="7322D16C">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套</w:t>
            </w:r>
          </w:p>
        </w:tc>
        <w:tc>
          <w:tcPr>
            <w:tcW w:w="674" w:type="dxa"/>
            <w:shd w:val="clear" w:color="auto" w:fill="auto"/>
            <w:vAlign w:val="center"/>
          </w:tcPr>
          <w:p w14:paraId="5799BA4B">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5408" w:type="dxa"/>
            <w:shd w:val="clear" w:color="auto" w:fill="auto"/>
            <w:vAlign w:val="center"/>
          </w:tcPr>
          <w:p w14:paraId="6EE1CC5C">
            <w:pPr>
              <w:pStyle w:val="2"/>
              <w:widowControl/>
              <w:suppressLineNumbers w:val="0"/>
              <w:spacing w:before="0" w:beforeAutospacing="0" w:after="0" w:afterAutospacing="0" w:line="34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一、总体要求</w:t>
            </w:r>
          </w:p>
          <w:p w14:paraId="511683B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1.要求系统架构按照大型分布式架构设计，支持高并发，高可用的业务需求。使用微服务框架，实现系统模块灵活配置，数据动静分离；支撑大范围专业建设开课要求：Windows7 32位/64位，Windows8 32位/64位，Windows10 32位/64位，Mac OS 10.10，Mac OS 10.11，Mac OS 10.12。</w:t>
            </w:r>
          </w:p>
          <w:p w14:paraId="57EECE7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2.要求系统采用B/S架构，无需安装客户端，使用chrome浏览器即可实现所有操作。</w:t>
            </w:r>
          </w:p>
          <w:p w14:paraId="54E2DA9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3.要求使用Mysql开源数据库，可通过水平扩展来达到高可用性和高性能。</w:t>
            </w:r>
          </w:p>
          <w:p w14:paraId="67ABFA2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要求采用当前流行的SpringBoot，SpringCloud，Mybatis技术框架，展现层需要通过vue和相关标签实现，实现前后端分离；模型层通过Java接口及实现类来实现；与数据库的接口采用轻量级封装Mybatis提供的接口；系统所有操作都具备系统日志与业务日志级别。</w:t>
            </w:r>
          </w:p>
          <w:p w14:paraId="76209D5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5.要求系统可以抵御常用攻击手段，如sql注入，CSRF、XSS等。</w:t>
            </w:r>
          </w:p>
          <w:p w14:paraId="6883473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6.要求使用redis缓存数据库来进行用户数据的缓存，增加系统响应速度并优化用户的体验。</w:t>
            </w:r>
          </w:p>
          <w:p w14:paraId="5FFFBB70">
            <w:pPr>
              <w:pStyle w:val="22"/>
              <w:keepNext w:val="0"/>
              <w:keepLines w:val="0"/>
              <w:suppressLineNumbers w:val="0"/>
              <w:spacing w:before="0" w:beforeAutospacing="0" w:after="0" w:afterAutospacing="0" w:line="34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7.要求使用多用户的统一登录口，系统管理员、教师、学生统一登陆口，只需输入各自的用户名及密码即可登录。</w:t>
            </w:r>
          </w:p>
          <w:p w14:paraId="56203275">
            <w:pPr>
              <w:pStyle w:val="2"/>
              <w:widowControl/>
              <w:suppressLineNumbers w:val="0"/>
              <w:spacing w:before="0" w:beforeAutospacing="0" w:after="0" w:afterAutospacing="0" w:line="34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二、软件平台</w:t>
            </w:r>
          </w:p>
          <w:p w14:paraId="07E999B7">
            <w:pPr>
              <w:pStyle w:val="3"/>
              <w:widowControl/>
              <w:suppressLineNumbers w:val="0"/>
              <w:spacing w:before="0" w:beforeAutospacing="0" w:after="0" w:afterAutospacing="0" w:line="340" w:lineRule="exact"/>
              <w:ind w:left="0" w:right="0"/>
              <w:rPr>
                <w:rFonts w:hint="default"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（一）产业大数据开发与应用技术平台</w:t>
            </w:r>
          </w:p>
          <w:p w14:paraId="7948B55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采用云端操作，无需本地安装。提供在线训练，供学生实务训练使用。学生采用个人测评训练方式，以企业真实财务数据为基础，通过贴近实务的实践课程训练，培养学生数据采集、数据预处理、运用大数据分析技术-智能技术-可视化技术解决大数据分析的能力。与教学系统、测评系统深度集成，并能进行试题自动评分。</w:t>
            </w:r>
          </w:p>
          <w:p w14:paraId="6BC409F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1.数据采集系统</w:t>
            </w:r>
          </w:p>
          <w:p w14:paraId="7E38A5B6">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1.1 原始数据采集</w:t>
            </w:r>
          </w:p>
          <w:p w14:paraId="140BFE34">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支持从各种来源获取和收集海量数据，支持上传用户自己的数据。包括但不限于Excel、csv、图片、word、pdf、txt等结构化、非结构化的数据采集。</w:t>
            </w:r>
          </w:p>
          <w:p w14:paraId="15A9518D">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1.2 数据库接入</w:t>
            </w:r>
          </w:p>
          <w:p w14:paraId="327EFD27">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支持多种数据库接入，关系型数据库类型 Oracle、SQL Server、MySQL、Postgres、SQLite等；程序数据源 JSON、Odata； NoSQL 数据源 MongoDB；以及提供 ODBC 连接的数据源类型。</w:t>
            </w:r>
          </w:p>
          <w:p w14:paraId="64C3858C">
            <w:pPr>
              <w:pStyle w:val="22"/>
              <w:keepNext w:val="0"/>
              <w:keepLines w:val="0"/>
              <w:suppressLineNumbers w:val="0"/>
              <w:spacing w:before="0" w:beforeAutospacing="0" w:after="0" w:afterAutospacing="0" w:line="34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1.3 网络爬虫</w:t>
            </w:r>
          </w:p>
          <w:p w14:paraId="7024CDD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支持python爬虫库</w:t>
            </w:r>
          </w:p>
          <w:p w14:paraId="56557FD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2.数据预处理系统</w:t>
            </w:r>
          </w:p>
          <w:p w14:paraId="70CB7D65">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2.1 数据抽取</w:t>
            </w:r>
          </w:p>
          <w:p w14:paraId="25F0DFAB">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数据连接、数据增量添加、数据关联</w:t>
            </w:r>
          </w:p>
          <w:p w14:paraId="32A62DF1">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2.2 数据转换</w:t>
            </w:r>
          </w:p>
          <w:p w14:paraId="54CD862A">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数据/表拆分、行列转换、计算列</w:t>
            </w:r>
          </w:p>
          <w:p w14:paraId="3F9C7B6D">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2.3 数据加载</w:t>
            </w:r>
          </w:p>
          <w:p w14:paraId="52764BB0">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全量加载、数据比对</w:t>
            </w:r>
          </w:p>
          <w:p w14:paraId="72CDC041">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2.4 数据清洗</w:t>
            </w:r>
          </w:p>
          <w:p w14:paraId="0C42F2D9">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支持低代码工具及代码模式，数据补齐、数据过滤、类型转换、前后对比</w:t>
            </w:r>
          </w:p>
          <w:p w14:paraId="425BC31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2.5 数据脱敏</w:t>
            </w:r>
          </w:p>
          <w:p w14:paraId="541B1F7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3.数据分析系统</w:t>
            </w:r>
          </w:p>
          <w:p w14:paraId="056AF39F">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3.1即席分析</w:t>
            </w:r>
          </w:p>
          <w:p w14:paraId="4A7F7EA2">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数据透视表、分析表达式、数据分组、数据筛选、聚合运算等。</w:t>
            </w:r>
          </w:p>
          <w:p w14:paraId="19EA099B">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3.2数据模型</w:t>
            </w:r>
          </w:p>
          <w:p w14:paraId="6C234C2C">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平台支持跨源抽取、整合数据，建立数据模型，支持数据转换、添加计算列、添加度量值等，同时提供大数据审计多种模型。</w:t>
            </w:r>
          </w:p>
          <w:p w14:paraId="780D8D32">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3.3数据集</w:t>
            </w:r>
          </w:p>
          <w:p w14:paraId="31AC7B59">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数据集功能以可视化的方式创建数据集，将数据源添加到数据集设计器中，设计器分为四大区域，分别为菜单栏、数据源列表区、数据集编辑区以及预览区域。用于创建仪表板或报表，数据集创建完成后支持刷新缓存数据。</w:t>
            </w:r>
          </w:p>
          <w:p w14:paraId="67EFDA9C">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3.3.1多表关联</w:t>
            </w:r>
          </w:p>
          <w:p w14:paraId="14166E39">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系统支持将多个数据表拼接成一张表使用的情况。提供了联合（Union）和连接（Join）功能来实现数据表的左右拼接和上下拼接。</w:t>
            </w:r>
          </w:p>
          <w:p w14:paraId="376DA7D5">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3.3.2分组视图</w:t>
            </w:r>
          </w:p>
          <w:p w14:paraId="35D467E9">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可对原数据进行分组、聚合处理后的数据集结构简单，数据可用性更高，更加方便后续在仪表板或报表中使用。</w:t>
            </w:r>
          </w:p>
          <w:p w14:paraId="7235DE61">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将字段拖拽到分组区域即可按照该字段进行分组。</w:t>
            </w:r>
          </w:p>
          <w:p w14:paraId="0623452F">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将字段拖拽到聚合区域即可对其进行聚合运算。对于数值型的字段支持的聚合运算有Sum、Average、Max、Min；而对于非数值型字段则可以进行Count和Distinct Count运算。</w:t>
            </w:r>
          </w:p>
          <w:p w14:paraId="50A7638B">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3.3.3添加自定义字段</w:t>
            </w:r>
          </w:p>
          <w:p w14:paraId="7E932A6D">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添加自定义字段可以在不影响原数据的情况下通过对现有数据进行计算而得到一个新的数据字段。</w:t>
            </w:r>
          </w:p>
          <w:p w14:paraId="0C545FD6">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3.3.4缓存数据集</w:t>
            </w:r>
          </w:p>
          <w:p w14:paraId="5920C48F">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缓存数据集可以同时被仪表板和报表引用，方便用户在不同的可视化模块中建立分析文件。</w:t>
            </w:r>
          </w:p>
          <w:p w14:paraId="1417E980">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3.4 数据分析指标</w:t>
            </w:r>
          </w:p>
          <w:p w14:paraId="07D6BF95">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财务分析指标、税务分析指标、金融分析指标等。</w:t>
            </w:r>
          </w:p>
          <w:p w14:paraId="149B2F3E">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3.5 统计分析库</w:t>
            </w:r>
          </w:p>
          <w:p w14:paraId="50DD2D8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提供python编程语言在线开发平台，该系统采用最新的python3.9版本，环境已安装Numpy、Pandas、Matplotlib、Pyecharts等数据分析库，Tensorflow、Paddle等深度学习库，与教学系统、测评系统深度集成，将教学代码自动带入开发环境，并能进行用户登录管理、试题自动评分。</w:t>
            </w:r>
          </w:p>
          <w:p w14:paraId="63D83EF9">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▲3.5.1 开发平台采用云端操作，已预置常用的开发库，无需本地安装开发环境，支持各种数据分析、机器学习任务。</w:t>
            </w:r>
          </w:p>
          <w:p w14:paraId="48A8943D">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3.5.2 与本地无差异的编程体验，所见即所得。分布操作、界面友好，支持代码高亮、补全，逐步调试、数据可视化。</w:t>
            </w:r>
          </w:p>
          <w:p w14:paraId="7BEE0A4A">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3.5.3 方便数据文件导入，集成MySQL数据库，无需安装数据库，可方便直接连接数据库进行操作。</w:t>
            </w:r>
          </w:p>
          <w:p w14:paraId="7AEB3676">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3.5.4 提供本地数据采集方法</w:t>
            </w:r>
          </w:p>
          <w:p w14:paraId="181E89B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▲3.5.5操作数据云存储，可永久保留个人数据。</w:t>
            </w:r>
          </w:p>
          <w:p w14:paraId="766A45C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4.数据可视化系统</w:t>
            </w:r>
          </w:p>
          <w:p w14:paraId="09B19D30">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4.1 仪表板</w:t>
            </w:r>
          </w:p>
          <w:p w14:paraId="2FC9E3B7">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以拖拽方式快速设计仪表板，而且支持多页面仪表板功能,可以在一个仪表板中分配展示不同的数据页面。</w:t>
            </w:r>
          </w:p>
          <w:p w14:paraId="2960A9D4">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4.1.1 计算图表</w:t>
            </w:r>
          </w:p>
          <w:p w14:paraId="51538A48">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支持 Excel 的数据分析方式和 450+ 计算公式完整的集成到仪表板设计器中，为BI仪表板提供增强型计算分析能力。重要使用场景包括：</w:t>
            </w:r>
          </w:p>
          <w:p w14:paraId="22B888A1">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4.1.2跨数据集的计算分析，例如：销售、预算与回款分析；现金流、资产和利润分析；计划、执行和完成率分析等。</w:t>
            </w:r>
          </w:p>
          <w:p w14:paraId="0ECEC3A8">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4.1.3系统数据和录入数据联合分析，例如：基于系统中2010-2019历史数据，进行2020年的预算制定与分析的需要。</w:t>
            </w:r>
          </w:p>
          <w:p w14:paraId="445C46F0">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4.1.4各种比例计算分析，例如：当月销售收入、当月销售预算、累计销售收入、累计预算、当月销售完成率、累计销售完成率等。</w:t>
            </w:r>
          </w:p>
          <w:p w14:paraId="1563DC36">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4.1.5行业特殊计算公式，例如：财务、日期和时间、统计、文本、逻辑、信息、工程、Web等领域需要提供了计算公式。</w:t>
            </w:r>
          </w:p>
          <w:p w14:paraId="0CB1F99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▲4.1.6 丰富的数据可视化效果</w:t>
            </w:r>
          </w:p>
          <w:p w14:paraId="3F58282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仪表板内置30种以上数据可视化效果，包括：条形图、柱状图、折线图、面积图、饼图、玫瑰图、旭日图、雷达图、散点图、气泡图、树形图、组合图、KPI指标卡、2D地图、3D地图、表格、透视表、迷你图等。同时，完全开放的可视化插件机制，可以将Echarts、D3.js、ChartJS、G2、3D模型等集成到仪表板中，满足任何可视化效果的需要。</w:t>
            </w:r>
          </w:p>
          <w:p w14:paraId="1ADC5D1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4.1.7 全程自动化：在仪表板设计阶段，您可以配置仪表板的自动换页周期、数据自动刷新的时间等。</w:t>
            </w:r>
          </w:p>
          <w:p w14:paraId="668D260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▲4.1.8 3D动画特效：提供3D旋转KPI、3D旋转图片、动画数字、3D地图等可视化效果，同时，还能集成视频/摄像头、3D模型等。</w:t>
            </w:r>
          </w:p>
          <w:p w14:paraId="2720214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4.1.9  数据切片、联动分析与钻取分析。在使用仪表板时，支持通过切片器筛选数据，支持联动分析，支持钻取分析。</w:t>
            </w:r>
          </w:p>
          <w:p w14:paraId="3B8EB96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4.1.10  运行时数据探索分析</w:t>
            </w:r>
          </w:p>
          <w:p w14:paraId="4E6F604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仪表板提供运行时的高级数据探索分析功能，可以对数据进行实时分析。</w:t>
            </w:r>
          </w:p>
          <w:p w14:paraId="78708A50">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4.2  报表</w:t>
            </w:r>
          </w:p>
          <w:p w14:paraId="49C8772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基于HTML5的在线报表设计器，可自定义报表设计，快速搭建分析报表。可可跨桌面电脑、平板电脑及手持设备等平台显示设计报表。</w:t>
            </w:r>
          </w:p>
          <w:p w14:paraId="28CAF88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4.2.1 支持多数据源查询、计算公式</w:t>
            </w:r>
          </w:p>
          <w:p w14:paraId="7188CEF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同一张报表可以连接到多个数据源进行查询。报表支持添加多数据集、跨数据集运算功能。</w:t>
            </w:r>
          </w:p>
          <w:p w14:paraId="3232707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4.2.2 可创建各种样式的报表</w:t>
            </w:r>
          </w:p>
          <w:p w14:paraId="08391E5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设计器中提供表格、矩表、图表、迷你图、数据条、图片、条码(37种)、子报表、文档目录、文本框、复选框等报表元素，可创建二维表格、自由表格、交叉表、主子/主从报表、Excel数据透视表、Word聚合文档报告、图表可视化等类型的报表。</w:t>
            </w:r>
          </w:p>
          <w:p w14:paraId="28A8B2A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▲4.2.3 矩表功能</w:t>
            </w:r>
          </w:p>
          <w:p w14:paraId="010409C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矩表功能，可快速设计各种表格类型的报表，满足复杂报表的需要。比如：表单、二维表格、主从报表、多行布局表格、行列交叉表、数据透视表、多维度动态行列表格、树形表格、可折叠透视表等。而且提供Excel报表中的冻结行列、条件格式化、富文本单元格、进度条、迷你图等数据可视化功能。</w:t>
            </w:r>
          </w:p>
          <w:p w14:paraId="0FF8E90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4.2.4 图表功能 </w:t>
            </w:r>
          </w:p>
          <w:p w14:paraId="0A6701A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图表可进行数据绑定。可进行颜色、形状和大小调整，并提供切换坐标系、旋转角度等样式选项。</w:t>
            </w:r>
          </w:p>
          <w:p w14:paraId="28B9082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4.2.5 数据查询面板</w:t>
            </w:r>
          </w:p>
          <w:p w14:paraId="3D305EA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内置提供组织结构树、日期、日期范围、下拉框、列表框、数值、数值范围、单选、复选等 12 种控件。</w:t>
            </w:r>
          </w:p>
          <w:p w14:paraId="4838584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4.2.6 交互式报表功能</w:t>
            </w:r>
          </w:p>
          <w:p w14:paraId="7F81C4E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在查看报表时，可以使用交互功能，包括：数据查询过滤、报表下钻/上卷、图表联动、跳转至URL、表格排序、表格行列的折叠/展开、翻页导航、历史回退等。</w:t>
            </w:r>
          </w:p>
          <w:p w14:paraId="5D2444B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4.2.7 内置报表主题和样式 </w:t>
            </w:r>
          </w:p>
          <w:p w14:paraId="6F87DC8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内置的报表主题可以控制整个报表中图表和表格元素的配色风格，还能针对单个元素设置不同的外观样式。</w:t>
            </w:r>
          </w:p>
          <w:p w14:paraId="498814F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4.2.8 报表分层设计实现报表套打功能</w:t>
            </w:r>
          </w:p>
          <w:p w14:paraId="128E510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报表分层设计功能，可对每个报表层单独设置是否显示和透明度属性，还能控制每层中的元素是否需要在报表预览、打印时显示。</w:t>
            </w:r>
          </w:p>
          <w:p w14:paraId="346412F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▲4.2.9 报表导出格式和高级选项设置</w:t>
            </w:r>
          </w:p>
          <w:p w14:paraId="5443DCAA">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报表支持导出为Excel、Word、PDF、图片、网页、CSV、Txt纯文本、JSON 格式，并支持导出的高级选项设置，比如：Excel加密、是否拆分为多个工作表，PDF版本、嵌入字体等。</w:t>
            </w:r>
          </w:p>
          <w:p w14:paraId="5F9FF567">
            <w:pPr>
              <w:pStyle w:val="61"/>
              <w:keepNext w:val="0"/>
              <w:keepLines w:val="0"/>
              <w:widowControl/>
              <w:suppressLineNumbers w:val="0"/>
              <w:spacing w:before="0" w:beforeAutospacing="0" w:after="0" w:afterAutospacing="0" w:line="340" w:lineRule="exact"/>
              <w:ind w:left="0" w:right="0" w:firstLine="0" w:firstLineChars="0"/>
              <w:rPr>
                <w:rFonts w:hint="default" w:ascii="宋体" w:hAnsi="宋体" w:cs="宋体"/>
                <w:color w:val="auto"/>
                <w:szCs w:val="21"/>
                <w:highlight w:val="none"/>
              </w:rPr>
            </w:pPr>
            <w:r>
              <w:rPr>
                <w:rFonts w:hint="eastAsia" w:ascii="宋体" w:hAnsi="宋体" w:cs="宋体"/>
                <w:color w:val="auto"/>
                <w:szCs w:val="21"/>
                <w:highlight w:val="none"/>
              </w:rPr>
              <w:t>4.3多屏适配可视化方案</w:t>
            </w:r>
            <w:r>
              <w:rPr>
                <w:rFonts w:hint="eastAsia" w:ascii="宋体" w:hAnsi="宋体" w:cs="宋体"/>
                <w:color w:val="auto"/>
                <w:szCs w:val="21"/>
                <w:highlight w:val="none"/>
              </w:rPr>
              <w:tab/>
            </w:r>
          </w:p>
          <w:p w14:paraId="653A233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PC端运行，并提供多种屏幕自适应方式，原始大小、高度自适应、宽度自适应和全屏自适应。</w:t>
            </w:r>
          </w:p>
          <w:p w14:paraId="28BBCF3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移动端运行，每个仪表板默认具有响应式能力，无需二次设计便能自适应移动设备，同时，也可单独定制移动端的布局。</w:t>
            </w:r>
          </w:p>
          <w:p w14:paraId="067A694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大屏展示，支持任意比例的大屏展示，同时，支持自动轮播，数据自动刷新等动态效果。</w:t>
            </w:r>
          </w:p>
          <w:p w14:paraId="0FE0085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▲4.4 权限管理</w:t>
            </w:r>
          </w:p>
          <w:p w14:paraId="2F76BE3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系统中的权限管理分为两个方面：一是对用户的权限管理；二是对文档的权限管理。</w:t>
            </w:r>
          </w:p>
          <w:p w14:paraId="3546CA1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用户的权限管理：管理用户权限，是否可以查看仪表板、查看报表、创建数据源、创建仪表板、创建报表等。</w:t>
            </w:r>
          </w:p>
          <w:p w14:paraId="65D914B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文档的权限管理：控制文档的用户查看或编辑权限。分享时，可以分享文档的“只读”或“读写”权限。</w:t>
            </w:r>
          </w:p>
          <w:p w14:paraId="0C11FAD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5.数据报告系统</w:t>
            </w:r>
          </w:p>
          <w:p w14:paraId="45C31D8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智能分析报告、报告标签、AIGC文字生成、PPT生成。</w:t>
            </w:r>
          </w:p>
          <w:p w14:paraId="7DA06CBE">
            <w:pPr>
              <w:pStyle w:val="3"/>
              <w:widowControl/>
              <w:suppressLineNumbers w:val="0"/>
              <w:spacing w:before="0" w:beforeAutospacing="0" w:after="0" w:afterAutospacing="0" w:line="340" w:lineRule="exact"/>
              <w:ind w:left="0" w:right="0"/>
              <w:rPr>
                <w:rFonts w:hint="default" w:ascii="宋体" w:hAnsi="宋体" w:eastAsia="宋体" w:cs="宋体"/>
                <w:color w:val="auto"/>
                <w:sz w:val="21"/>
                <w:szCs w:val="21"/>
                <w:highlight w:val="none"/>
              </w:rPr>
            </w:pPr>
            <w:r>
              <w:rPr>
                <w:rFonts w:hint="eastAsia" w:ascii="宋体" w:hAnsi="宋体" w:eastAsia="宋体" w:cs="宋体"/>
                <w:b w:val="0"/>
                <w:color w:val="auto"/>
                <w:sz w:val="21"/>
                <w:szCs w:val="21"/>
                <w:highlight w:val="none"/>
              </w:rPr>
              <w:t>（二）数模港</w:t>
            </w:r>
          </w:p>
          <w:p w14:paraId="76B9C46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1.数据港</w:t>
            </w:r>
          </w:p>
          <w:p w14:paraId="52CEAB9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1.1原始数据库</w:t>
            </w:r>
          </w:p>
          <w:p w14:paraId="0BA6AB3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支持对脱敏数据进行规则查看，并可将数据一键推送到项目中使用。具体数据详见下方“数据仓库-产业大数据库”</w:t>
            </w:r>
          </w:p>
          <w:p w14:paraId="4BED465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1.2标准数据库</w:t>
            </w:r>
          </w:p>
          <w:p w14:paraId="5F234E8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支持通过规则与代码模式查看、检索和调用数据资源，并可将数据一键推送到项目中使用。具体数据详见下方“数据仓库”</w:t>
            </w:r>
          </w:p>
          <w:p w14:paraId="4B2D3A7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2.模型港</w:t>
            </w:r>
          </w:p>
          <w:p w14:paraId="6EC1B96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支持查看模型文档介绍、算法说明和应用场景。支持将所需模型移植到项目中，实现模型与项目的无缝对接和调用。具体模型详见下方“数据模型”</w:t>
            </w:r>
          </w:p>
          <w:p w14:paraId="1AC45151">
            <w:pPr>
              <w:pStyle w:val="2"/>
              <w:widowControl/>
              <w:suppressLineNumbers w:val="0"/>
              <w:spacing w:before="0" w:beforeAutospacing="0" w:after="0" w:afterAutospacing="0" w:line="34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rPr>
              <w:t>三、数据仓库</w:t>
            </w:r>
          </w:p>
          <w:p w14:paraId="0E055BC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（一）宏观经济大数据库</w:t>
            </w:r>
          </w:p>
          <w:p w14:paraId="2FD3107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提供世界经济、全球经济、中国经济、中国区域经济、行业经济、利率走势等数据。</w:t>
            </w:r>
          </w:p>
          <w:p w14:paraId="4A39550C">
            <w:pPr>
              <w:keepNext w:val="0"/>
              <w:keepLines w:val="0"/>
              <w:suppressLineNumbers w:val="0"/>
              <w:spacing w:before="0" w:beforeAutospacing="0" w:after="0" w:afterAutospacing="0" w:line="340" w:lineRule="exact"/>
              <w:ind w:left="0" w:right="0"/>
              <w:rPr>
                <w:rFonts w:hint="default" w:ascii="宋体" w:hAnsi="宋体" w:cs="宋体"/>
                <w:color w:val="auto"/>
                <w:kern w:val="0"/>
                <w:szCs w:val="21"/>
                <w:highlight w:val="none"/>
              </w:rPr>
            </w:pPr>
            <w:r>
              <w:rPr>
                <w:rFonts w:hint="eastAsia" w:ascii="宋体" w:hAnsi="宋体" w:cs="宋体"/>
                <w:color w:val="auto"/>
                <w:szCs w:val="21"/>
                <w:highlight w:val="none"/>
                <w:lang w:bidi="ar"/>
              </w:rPr>
              <w:t>（二）</w:t>
            </w:r>
            <w:r>
              <w:rPr>
                <w:rFonts w:hint="eastAsia" w:ascii="宋体" w:hAnsi="宋体" w:cs="宋体"/>
                <w:color w:val="auto"/>
                <w:kern w:val="0"/>
                <w:szCs w:val="21"/>
                <w:highlight w:val="none"/>
                <w:lang w:bidi="ar"/>
              </w:rPr>
              <w:t>中国上市公司大数据库</w:t>
            </w:r>
          </w:p>
          <w:p w14:paraId="50182D8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1.中国A股数据库</w:t>
            </w:r>
          </w:p>
          <w:p w14:paraId="368731D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1.1中国A股财务数据</w:t>
            </w:r>
          </w:p>
          <w:p w14:paraId="63C9C8E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5000多家A股上市公司2000-2023年财务数据，包括A股上市公司资产负债表（新准测）、A股上市公司利润表（新准测）、A股上市公司现金流量表（新准则）、单季度现金流量表（新准则）、上市公司公布财务指标、A股审计意见、A股券商月报、保险公司专项指标、银行特殊财务指标、证券公司主要指标、非上市公司主要财务数据，并可持续更新数据。</w:t>
            </w:r>
          </w:p>
          <w:p w14:paraId="042F455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1.2中国A股财务附注数据</w:t>
            </w:r>
          </w:p>
          <w:p w14:paraId="6C28AA9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5000多家A股上市公司2000-2023年财务报表附注数据，包括A股营业收入和营业成本、财务费用、财务附注明细（管理费用）、财务附注明细（销售费用）、成本分析表、存货明细、公司税率明细、公司员工情况、固定资产明细、商誉明细、上市公司主要客户和供应商（明细）、研发费用明细、主营业务构成，并可持续更新数据。</w:t>
            </w:r>
          </w:p>
          <w:p w14:paraId="16FDAD6F">
            <w:pPr>
              <w:pStyle w:val="22"/>
              <w:keepNext w:val="0"/>
              <w:keepLines w:val="0"/>
              <w:suppressLineNumbers w:val="0"/>
              <w:spacing w:before="0" w:beforeAutospacing="0" w:after="0" w:afterAutospacing="0" w:line="34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1.3中国A股财务分析数据</w:t>
            </w:r>
          </w:p>
          <w:p w14:paraId="736D1510">
            <w:pPr>
              <w:pStyle w:val="22"/>
              <w:keepNext w:val="0"/>
              <w:keepLines w:val="0"/>
              <w:suppressLineNumbers w:val="0"/>
              <w:spacing w:before="0" w:beforeAutospacing="0" w:after="0" w:afterAutospacing="0" w:line="34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财务分析（单季度）、财务诊断。</w:t>
            </w:r>
          </w:p>
          <w:p w14:paraId="700242B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1.4中国A股并购重组数据</w:t>
            </w:r>
          </w:p>
          <w:p w14:paraId="1E44877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5000多家A股上市公司2000-2023年并购重组数据，包括A股公司股权转让、A股公司资产交易参与方、A股公司资产交易基本资料、并购业绩承诺、产业并购基金、产业并购基金合作方承诺履行情况、公司出售资产、客户约定购回式证券交易融资情况、上市公司资产交易，并可持续更新数据。</w:t>
            </w:r>
          </w:p>
          <w:p w14:paraId="6EBB743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1.5中国A股第三方数据</w:t>
            </w:r>
          </w:p>
          <w:p w14:paraId="28F5ED1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申万-指数日收盘行情、中心标普-指数日收盘行情。</w:t>
            </w:r>
          </w:p>
          <w:p w14:paraId="7E651BA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1.6中国A股发行上市数据</w:t>
            </w:r>
          </w:p>
          <w:p w14:paraId="488ADD1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A股IPO申报企业基本信息、A股增发信息、IPO预披露企业情况表、初步询价机构报价结果表、发审委审核基本资料、股票配股信息、股票首发信息、首发询价及网下发行资料。</w:t>
            </w:r>
          </w:p>
          <w:p w14:paraId="3EE1A7C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1.7中国A股公司经营情况数据</w:t>
            </w:r>
          </w:p>
          <w:p w14:paraId="5315F30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公司经营分析表、公司业务数据、募集资金来源情况表、募集资金项目变更信息表、募集资金项目计划表、银行存款结构、银行贷款结构。</w:t>
            </w:r>
          </w:p>
          <w:p w14:paraId="2919CAA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1.8中国A股公司治理数据</w:t>
            </w:r>
          </w:p>
          <w:p w14:paraId="7372A57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A股公司管理人员任职情况、个人基本资料、公司员工结构、公司员工情况、股权激励对象获授情况、股权激励分年度成本摊销情况、</w:t>
            </w: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股权激励基本资料、股权激励期权数量、股权激励期权行权价格、</w:t>
            </w: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股权激励实施明细、股权激励业绩指标、上市公司控股层级关系、</w:t>
            </w: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研发人员、员工持股计划持有人认购份额明细、员工持股计划基本资料。</w:t>
            </w:r>
          </w:p>
          <w:p w14:paraId="0E51EE8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1.9中国A股公司基础信息</w:t>
            </w:r>
          </w:p>
          <w:p w14:paraId="4FBDD07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A股公司基本资料、A股公司所有制性质、A股基本资料、</w:t>
            </w: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A股简称变动表、公司更名列表、机构分类监管评价表。</w:t>
            </w:r>
          </w:p>
          <w:p w14:paraId="5E39A5F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1.10中国A股交易数据</w:t>
            </w:r>
            <w:r>
              <w:rPr>
                <w:rFonts w:hint="eastAsia" w:ascii="宋体" w:hAnsi="宋体" w:cs="宋体"/>
                <w:color w:val="auto"/>
                <w:szCs w:val="21"/>
                <w:highlight w:val="none"/>
                <w:lang w:bidi="ar"/>
              </w:rPr>
              <w:tab/>
            </w:r>
          </w:p>
          <w:p w14:paraId="1CDA929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A股个股大单买卖、大宗交易成交记录、交易所市场日统计指标、融资融券标的证券、融资融券交易汇总、融资融券交易明细、证券市场统计指标（月）、重要股东交易记录、重要股东增减持计划。</w:t>
            </w:r>
          </w:p>
          <w:p w14:paraId="592AFDD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1.11中国A股科创板数据</w:t>
            </w:r>
          </w:p>
          <w:p w14:paraId="1F6F3D7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A股注册制上市委会议记录、A股注册制申报企业进度、A股注册制审核问询记录、A股注册制审核问询明细、科创板打标企业信息、科创板盘后固定价格交易信息、拟申报在A股上市企业记录表。</w:t>
            </w:r>
          </w:p>
          <w:p w14:paraId="15D66F1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1.12中国A股权益数据</w:t>
            </w:r>
          </w:p>
          <w:p w14:paraId="57B67EA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A股分红衍生数据、A股上市公司分红转增、A股自由流通股本、公司股东股份质押、公司股东户数表、股东名单、股改限售股份上市时间表、上市公司分红转增、上市公司实际控制人。</w:t>
            </w:r>
          </w:p>
          <w:p w14:paraId="71EE416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1.13中国A股日行情数据</w:t>
            </w:r>
          </w:p>
          <w:p w14:paraId="2EE2669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A股股票日收盘行情、停牌提示信息。</w:t>
            </w:r>
          </w:p>
          <w:p w14:paraId="0E95D14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1.14中国A股日行情衍生数据</w:t>
            </w:r>
          </w:p>
          <w:p w14:paraId="2CFFDB2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股票TTM估值指标、沪深交易所股票日收盘行情估值指标。</w:t>
            </w:r>
          </w:p>
          <w:p w14:paraId="7EE4117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1.15中国A股行业相关数据</w:t>
            </w:r>
          </w:p>
          <w:p w14:paraId="35F6803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A股全球行业分类、公司历史申万行业分类、公司历史证监会行业分类、</w:t>
            </w: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公司历史中信行业分类</w:t>
            </w:r>
          </w:p>
          <w:p w14:paraId="68AA890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1.16中国A股优先股数据</w:t>
            </w:r>
          </w:p>
          <w:p w14:paraId="016DE74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优先股成交明细、优先股发行、优先股发行预案、优先股股本、优先股配售明细。</w:t>
            </w:r>
          </w:p>
          <w:p w14:paraId="164AF24F">
            <w:pPr>
              <w:pStyle w:val="22"/>
              <w:keepNext w:val="0"/>
              <w:keepLines w:val="0"/>
              <w:suppressLineNumbers w:val="0"/>
              <w:spacing w:before="0" w:beforeAutospacing="0" w:after="0" w:afterAutospacing="0" w:line="34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1.17中国A股指数数据</w:t>
            </w:r>
          </w:p>
          <w:p w14:paraId="1875018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股票指数估值指标、指数日收盘行情、指数月收盘行情、指数周收盘行情、中国指数基本资料。</w:t>
            </w:r>
          </w:p>
          <w:p w14:paraId="2E89EF26">
            <w:pPr>
              <w:pStyle w:val="22"/>
              <w:keepNext w:val="0"/>
              <w:keepLines w:val="0"/>
              <w:suppressLineNumbers w:val="0"/>
              <w:spacing w:before="0" w:beforeAutospacing="0" w:after="0" w:afterAutospacing="0" w:line="340" w:lineRule="exact"/>
              <w:ind w:left="0" w:right="0"/>
              <w:rPr>
                <w:rFonts w:hint="default" w:ascii="宋体" w:hAnsi="宋体" w:cs="宋体"/>
                <w:color w:val="auto"/>
                <w:sz w:val="21"/>
                <w:szCs w:val="21"/>
                <w:highlight w:val="none"/>
              </w:rPr>
            </w:pPr>
            <w:r>
              <w:rPr>
                <w:rFonts w:hint="eastAsia" w:ascii="宋体" w:hAnsi="宋体" w:cs="宋体"/>
                <w:color w:val="auto"/>
                <w:sz w:val="21"/>
                <w:szCs w:val="21"/>
                <w:highlight w:val="none"/>
                <w:lang w:bidi="ar"/>
              </w:rPr>
              <w:t>1.18中国A股重大事件</w:t>
            </w:r>
          </w:p>
          <w:p w14:paraId="3B78FDF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股公司报告期担保情况、A股股份回购方案、A股股份回购实施明细、A股回购方案调整、A股要约收购、风险警示证券调整明细、公司报告期担保明细、关联交易、立案调查、上市状态变动表、诉讼仲裁、退市整理证券明细、违规。</w:t>
            </w:r>
          </w:p>
          <w:p w14:paraId="6B89689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1.19中国A股盈利预测数据</w:t>
            </w:r>
          </w:p>
          <w:p w14:paraId="4A422C6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A股个股盈利预测明细、新股定价预测、研究报告表、研究机构表、研究人员表、预测综合信息表。</w:t>
            </w:r>
          </w:p>
          <w:p w14:paraId="7B59DF1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2.中国B股数据库</w:t>
            </w:r>
          </w:p>
          <w:p w14:paraId="79F439C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2.1中国B股财务数据</w:t>
            </w:r>
          </w:p>
          <w:p w14:paraId="1EB0E65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B股上市公司资产负债表（新准测）、</w:t>
            </w: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B股上市公司利润表（新准测）、B股上市公司现金流量表（新准则）、</w:t>
            </w: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单季度现金流量表（新准则）上市公司公布财务指标、主营业务构成。</w:t>
            </w:r>
          </w:p>
          <w:p w14:paraId="4B9F9DE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2.2中国B股发行上市数据</w:t>
            </w:r>
          </w:p>
          <w:p w14:paraId="5881B14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B股增发信息、股票配股信息、股票首发信息。</w:t>
            </w:r>
          </w:p>
          <w:p w14:paraId="519FF40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2.3中国B股基础信息</w:t>
            </w: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数据</w:t>
            </w:r>
          </w:p>
          <w:p w14:paraId="289100C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B股公司基本资料、B股基本资料、B股简称变动表。</w:t>
            </w:r>
          </w:p>
          <w:p w14:paraId="02F4849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2.4中国B股权益数据</w:t>
            </w:r>
          </w:p>
          <w:p w14:paraId="3D729C6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B股上市公司分红转增、公司股东户数表、</w:t>
            </w: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股东名单、募集资金项目计划表、上市公司控股层级关系。</w:t>
            </w:r>
          </w:p>
          <w:p w14:paraId="66461CC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2.5中国B股日行情数据</w:t>
            </w:r>
          </w:p>
          <w:p w14:paraId="50A7344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B股股票日收盘行情、B股个股大单买卖。</w:t>
            </w:r>
          </w:p>
          <w:p w14:paraId="2005E23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2.6中国B股财务分析数据</w:t>
            </w:r>
          </w:p>
          <w:p w14:paraId="5D0210B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财务分析（单季度）、财务诊断。</w:t>
            </w:r>
          </w:p>
          <w:p w14:paraId="334DF41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2.7中国B股重大事件</w:t>
            </w:r>
          </w:p>
          <w:p w14:paraId="12340AF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B股股份回购方案、上市状态变动表、诉讼仲裁、违规。</w:t>
            </w:r>
          </w:p>
          <w:p w14:paraId="04797A3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3.股转系统数据库</w:t>
            </w:r>
          </w:p>
          <w:p w14:paraId="1CFB061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3.1股转系统财务数据</w:t>
            </w:r>
          </w:p>
          <w:p w14:paraId="55F1540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股转系统公司资产负债表（新准则）、股转系统公司利润表（新准测）、股转系统公司现金流量表（新准则）、单季度现金流量表（新准则）、上市公司公布财务指标、证券公司主要指标。</w:t>
            </w:r>
          </w:p>
          <w:p w14:paraId="4989029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3.2股转系统财务附注数据</w:t>
            </w:r>
            <w:r>
              <w:rPr>
                <w:rFonts w:hint="eastAsia" w:ascii="宋体" w:hAnsi="宋体" w:cs="宋体"/>
                <w:color w:val="auto"/>
                <w:szCs w:val="21"/>
                <w:highlight w:val="none"/>
                <w:lang w:bidi="ar"/>
              </w:rPr>
              <w:tab/>
            </w:r>
          </w:p>
          <w:p w14:paraId="73F4D84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财务费用、财务附注明细（管理费用）、财务附注明细（销售费用）、成本分析表、存货明细、公司税率明细、公司员工情况、固定资产明细、上市公司主要客户和供应商（明细）、研发费用明细、主营业务构成。</w:t>
            </w:r>
          </w:p>
          <w:p w14:paraId="35FF435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3.3股转系统财务分析数据</w:t>
            </w:r>
            <w:r>
              <w:rPr>
                <w:rFonts w:hint="eastAsia" w:ascii="宋体" w:hAnsi="宋体" w:cs="宋体"/>
                <w:color w:val="auto"/>
                <w:szCs w:val="21"/>
                <w:highlight w:val="none"/>
                <w:lang w:bidi="ar"/>
              </w:rPr>
              <w:tab/>
            </w:r>
          </w:p>
          <w:p w14:paraId="39A327E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财务分析（单季度）。</w:t>
            </w:r>
          </w:p>
          <w:p w14:paraId="3BC7B5D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3.4股转系统并购重组数据</w:t>
            </w:r>
          </w:p>
          <w:p w14:paraId="53E18A7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股转系统资产交易参与方、A股公司资产交易基本资料。</w:t>
            </w:r>
          </w:p>
          <w:p w14:paraId="7999419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3.5股转系统发行上市数据</w:t>
            </w:r>
          </w:p>
          <w:p w14:paraId="0755480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股票配股信息、股转系统股票增发信息。</w:t>
            </w:r>
          </w:p>
          <w:p w14:paraId="30F5152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3.6股转系统公司治理数据</w:t>
            </w:r>
          </w:p>
          <w:p w14:paraId="7D97A99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个人基本资料、股转系统公司管理人员任职情况、员工持股计划基本资料。</w:t>
            </w:r>
          </w:p>
          <w:p w14:paraId="5579A8B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3.7股转系统基础信息</w:t>
            </w:r>
          </w:p>
          <w:p w14:paraId="6E111CC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股转系统公司基本资料、股转系统股票简称变动表。</w:t>
            </w:r>
          </w:p>
          <w:p w14:paraId="1299999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3.8股转系统权益数据</w:t>
            </w:r>
          </w:p>
          <w:p w14:paraId="068B999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公司股东户数表、股东名单、股转系统股票分红转增。</w:t>
            </w:r>
          </w:p>
          <w:p w14:paraId="43E8627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3.9股转系统日行情数据</w:t>
            </w:r>
          </w:p>
          <w:p w14:paraId="4BF00FD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股转系统股票日收盘行情、停牌提示信息。</w:t>
            </w:r>
          </w:p>
          <w:p w14:paraId="0AB9182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3.10股转系统行业相关数据</w:t>
            </w:r>
          </w:p>
          <w:p w14:paraId="4953B3A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公司历史申万行业分类、公司历史证监会行业分类、股转系统股票全球行业分类。</w:t>
            </w:r>
          </w:p>
          <w:p w14:paraId="1F890DD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3.11股转系统重大事件</w:t>
            </w:r>
          </w:p>
          <w:p w14:paraId="327837B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公司报告期担保明细、关联交易、立案调查、诉讼仲裁、违规。</w:t>
            </w:r>
          </w:p>
          <w:p w14:paraId="5D76820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4.公共数据</w:t>
            </w:r>
          </w:p>
          <w:p w14:paraId="5194EEA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公共编码表、公司董监事及高管职务表、公司股本变动原因表、国家或地区表、全国县及县以上行政区划代码表、所有制性质代码等、行业分类标准表、学历表、证券分类公共编码表、中国内地以外国家或地区行政区划表。</w:t>
            </w:r>
          </w:p>
          <w:p w14:paraId="5DEC196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（三）产业大数据库</w:t>
            </w:r>
          </w:p>
          <w:p w14:paraId="2EC546D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▲1.分行业企业经营数据库</w:t>
            </w:r>
          </w:p>
          <w:p w14:paraId="61C949F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非公开上市20个行业以上的企业原材料数据（至少包含物料编码、名称及规格型号、计量单位、数量、单价、金额）；</w:t>
            </w:r>
          </w:p>
          <w:p w14:paraId="4407D57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产成品数据（至少包含物料编码、名称及规格型号、计量单位、数量、单价、金额）；</w:t>
            </w:r>
          </w:p>
          <w:p w14:paraId="0A9F091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▲2.分行业企业财务数据库</w:t>
            </w:r>
          </w:p>
          <w:p w14:paraId="5C3BC1E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非公开上市20个行业以上的企业财务数据（至少包含资产负债表、利润表、应收账款、应付账款、其他应收款、其他应付款等）；</w:t>
            </w:r>
          </w:p>
          <w:p w14:paraId="5256075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收入数据（至少包含按产品划分的收入、成本、毛利等数据）；</w:t>
            </w:r>
          </w:p>
          <w:p w14:paraId="2AECE9D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税务数据（至少包含增值税、附加税费、房产税、土地税、印花税等数据）；</w:t>
            </w:r>
          </w:p>
          <w:p w14:paraId="566B359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销售费用数据、管理费用数据、研发费用数据（每类数据至少包含三种不同的数据字段）等。</w:t>
            </w:r>
          </w:p>
          <w:p w14:paraId="7E3CDDD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▲3.分行业企业资产数据库</w:t>
            </w:r>
          </w:p>
          <w:p w14:paraId="2DC3A08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非公开上市20个行业以上的企业机器设备数据（至少包含设备编号、设备名称、规格型号、生产厂家、计量单位、数量、金额）；</w:t>
            </w:r>
          </w:p>
          <w:p w14:paraId="08745B3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电子设备数据（至少包含设备编号、设备名称、规格型号、生产厂家、计量单位、数量、金额）；</w:t>
            </w:r>
          </w:p>
          <w:p w14:paraId="7F632E1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房产数据（至少包含建筑物名称、结构、建成年月、建筑面积/容积、成本单价、金额）；</w:t>
            </w:r>
          </w:p>
          <w:p w14:paraId="3284141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无形资产数据（至少包含土地数据、软件著作权数据、专利数据）等</w:t>
            </w:r>
          </w:p>
          <w:p w14:paraId="7890F115">
            <w:pPr>
              <w:keepNext w:val="0"/>
              <w:keepLines w:val="0"/>
              <w:suppressLineNumbers w:val="0"/>
              <w:spacing w:before="0" w:beforeAutospacing="0" w:after="0" w:afterAutospacing="0" w:line="340" w:lineRule="exact"/>
              <w:ind w:left="0" w:right="0"/>
              <w:rPr>
                <w:rFonts w:hint="default" w:ascii="宋体" w:hAnsi="宋体" w:cs="宋体"/>
                <w:b/>
                <w:bCs/>
                <w:color w:val="auto"/>
                <w:szCs w:val="21"/>
                <w:highlight w:val="none"/>
              </w:rPr>
            </w:pPr>
            <w:r>
              <w:rPr>
                <w:rFonts w:hint="eastAsia" w:ascii="宋体" w:hAnsi="宋体" w:cs="宋体"/>
                <w:b/>
                <w:bCs/>
                <w:color w:val="auto"/>
                <w:szCs w:val="21"/>
                <w:highlight w:val="none"/>
                <w:lang w:bidi="ar"/>
              </w:rPr>
              <w:t>四、实践教学</w:t>
            </w:r>
          </w:p>
          <w:p w14:paraId="4458DF6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（一）课程简介</w:t>
            </w:r>
          </w:p>
          <w:p w14:paraId="610A786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产业链大数据平台软件内含财经大数据应用综合实践课程资源，面向汽车制造业、机械制造业、通用设备制造业、软件开发、采矿业等多个产业，依托大数据平台软件及企业真实脱敏数据，按照典型财经业务场景，培养学生数据采集、数据预处理、数据建模、数据分析与可视化及缮写数据分析报告等能力。该课程可作为大数据与会计、大数据与财务管理等专业的综合实践或财经大数据应用社会服务真实任务岗前培训课程。</w:t>
            </w:r>
          </w:p>
          <w:p w14:paraId="1F8A7A9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（二）课程内容</w:t>
            </w:r>
          </w:p>
          <w:p w14:paraId="2537618C">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课程主要包括7个单元，具体如下：</w:t>
            </w:r>
          </w:p>
          <w:p w14:paraId="7E801386">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1.认知产业大数据</w:t>
            </w:r>
          </w:p>
          <w:p w14:paraId="6C92D3DC">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1.1认知产业大数据</w:t>
            </w:r>
          </w:p>
          <w:p w14:paraId="1BFC965E">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1.2了解产业大数据应用创新中心</w:t>
            </w:r>
          </w:p>
          <w:p w14:paraId="7E546E12">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2.数据采集与存储</w:t>
            </w:r>
          </w:p>
          <w:p w14:paraId="7AD3DCD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2.1数据采集</w:t>
            </w:r>
          </w:p>
          <w:p w14:paraId="6E5551C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2.2数据库数据采集</w:t>
            </w:r>
          </w:p>
          <w:p w14:paraId="0CD6AA2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2.3网页数据采集</w:t>
            </w:r>
          </w:p>
          <w:p w14:paraId="5F88591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2.4数据存储</w:t>
            </w:r>
          </w:p>
          <w:p w14:paraId="1904466C">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3.数据预处理与数据聚合</w:t>
            </w:r>
          </w:p>
          <w:p w14:paraId="2222B01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3.1数据抽取</w:t>
            </w:r>
          </w:p>
          <w:p w14:paraId="0D82CA7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3.2数据转换</w:t>
            </w:r>
          </w:p>
          <w:p w14:paraId="61FA9E6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3.3数据清洗</w:t>
            </w:r>
          </w:p>
          <w:p w14:paraId="4A1BB27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3.4数据聚合</w:t>
            </w:r>
          </w:p>
          <w:p w14:paraId="1CD07BA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4.数据分析与挖掘</w:t>
            </w:r>
          </w:p>
          <w:p w14:paraId="2E25848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4.1数据应用需求分析</w:t>
            </w:r>
          </w:p>
          <w:p w14:paraId="3F70AEF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4.2数据建模</w:t>
            </w:r>
          </w:p>
          <w:p w14:paraId="04D01BC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4.3数据分析</w:t>
            </w:r>
          </w:p>
          <w:p w14:paraId="29CCA3E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4.4数据算法</w:t>
            </w:r>
          </w:p>
          <w:p w14:paraId="29172C0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4.5数据挖掘</w:t>
            </w:r>
          </w:p>
          <w:p w14:paraId="62C6E2D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▲5.财务数据模型开发与应用</w:t>
            </w:r>
          </w:p>
          <w:p w14:paraId="62C68AD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5.1企业经营分析模型</w:t>
            </w:r>
          </w:p>
          <w:p w14:paraId="57AF0F4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营业收入预测模型、多产品成本预测模型、本量利分析模型、客户评价分析模型等</w:t>
            </w:r>
          </w:p>
          <w:p w14:paraId="63CE165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5.2企业资产分析模型</w:t>
            </w:r>
          </w:p>
          <w:p w14:paraId="060F5FF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固定资产分析模型、存货分析模型、固定资产需求预测模型等</w:t>
            </w:r>
          </w:p>
          <w:p w14:paraId="5C0D3AE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5.3企业财务分析模型</w:t>
            </w:r>
          </w:p>
          <w:p w14:paraId="6588A7E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企业财务综合分析模型、企业业绩评价模型、财务风险预警模型、现金流画像模型等</w:t>
            </w:r>
          </w:p>
          <w:p w14:paraId="0754C0F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5.4企业税务分析模型</w:t>
            </w:r>
          </w:p>
          <w:p w14:paraId="1F08DB3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固定资产折旧税收筹划模型、企业税务风险预警模型等</w:t>
            </w:r>
          </w:p>
          <w:p w14:paraId="25521EC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6.数据可视化</w:t>
            </w:r>
          </w:p>
          <w:p w14:paraId="11DEE2C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6.1数据可视化概述</w:t>
            </w:r>
          </w:p>
          <w:p w14:paraId="75622B4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6.2可视化基本图形制作</w:t>
            </w:r>
          </w:p>
          <w:p w14:paraId="016CBF3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6.3可视化综合大屏设计</w:t>
            </w:r>
          </w:p>
          <w:p w14:paraId="3FABD06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▲7.财务报告自动生成</w:t>
            </w:r>
          </w:p>
          <w:p w14:paraId="4594A93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7.1财务报告概述</w:t>
            </w:r>
          </w:p>
          <w:p w14:paraId="6F0BF48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7.2财务报告基本框架</w:t>
            </w:r>
          </w:p>
          <w:p w14:paraId="7539ABF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7.3生成式AI自动生成财务报告</w:t>
            </w:r>
          </w:p>
          <w:p w14:paraId="5DF21B4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（三）实践课程资源</w:t>
            </w:r>
          </w:p>
          <w:p w14:paraId="73132857">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课程资源包含操作视频、真实产业数据、数据模型等；</w:t>
            </w:r>
          </w:p>
          <w:p w14:paraId="4467DD39">
            <w:pPr>
              <w:keepNext w:val="0"/>
              <w:keepLines w:val="0"/>
              <w:suppressLineNumbers w:val="0"/>
              <w:adjustRightInd w:val="0"/>
              <w:snapToGrid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操作视频不少于30个，每个微课时长3-15分钟；</w:t>
            </w:r>
          </w:p>
          <w:p w14:paraId="15E2A5F8">
            <w:pPr>
              <w:pStyle w:val="22"/>
              <w:keepNext w:val="0"/>
              <w:keepLines w:val="0"/>
              <w:suppressLineNumbers w:val="0"/>
              <w:spacing w:before="0" w:beforeAutospacing="0" w:after="0" w:afterAutospacing="0" w:line="340" w:lineRule="exact"/>
              <w:ind w:left="0" w:right="0"/>
              <w:rPr>
                <w:rFonts w:hint="default"/>
                <w:color w:val="auto"/>
                <w:sz w:val="21"/>
                <w:szCs w:val="21"/>
                <w:highlight w:val="none"/>
              </w:rPr>
            </w:pPr>
            <w:r>
              <w:rPr>
                <w:rFonts w:hint="eastAsia" w:ascii="宋体" w:hAnsi="宋体" w:cs="宋体"/>
                <w:color w:val="auto"/>
                <w:sz w:val="21"/>
                <w:szCs w:val="21"/>
                <w:highlight w:val="none"/>
                <w:lang w:bidi="ar"/>
              </w:rPr>
              <w:t>1套完整案例；50家企业真实数据。</w:t>
            </w:r>
          </w:p>
        </w:tc>
        <w:tc>
          <w:tcPr>
            <w:tcW w:w="1080" w:type="dxa"/>
            <w:shd w:val="clear" w:color="auto" w:fill="auto"/>
            <w:vAlign w:val="center"/>
          </w:tcPr>
          <w:p w14:paraId="671C5EAE">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250000</w:t>
            </w:r>
          </w:p>
        </w:tc>
      </w:tr>
      <w:tr w14:paraId="0F128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1" w:type="pct"/>
            <w:shd w:val="clear" w:color="auto" w:fill="auto"/>
            <w:vAlign w:val="center"/>
          </w:tcPr>
          <w:p w14:paraId="2A5D079D">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商务条款</w:t>
            </w:r>
          </w:p>
        </w:tc>
        <w:tc>
          <w:tcPr>
            <w:tcW w:w="4728" w:type="pct"/>
            <w:gridSpan w:val="5"/>
            <w:shd w:val="clear" w:color="auto" w:fill="auto"/>
            <w:vAlign w:val="center"/>
          </w:tcPr>
          <w:p w14:paraId="332C330A">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▲一、合同签订期：自中标通知书发出之日起</w:t>
            </w:r>
            <w:r>
              <w:rPr>
                <w:rFonts w:hint="default" w:ascii="Calibri" w:hAnsi="Calibri"/>
                <w:color w:val="auto"/>
                <w:szCs w:val="22"/>
                <w:highlight w:val="none"/>
                <w:shd w:val="clear" w:color="auto" w:fill="FFFFFF"/>
                <w:lang w:bidi="ar"/>
              </w:rPr>
              <w:t>25</w:t>
            </w:r>
            <w:r>
              <w:rPr>
                <w:rFonts w:hint="eastAsia" w:ascii="宋体" w:hAnsi="宋体" w:cs="宋体"/>
                <w:color w:val="auto"/>
                <w:szCs w:val="21"/>
                <w:highlight w:val="none"/>
                <w:shd w:val="clear" w:color="auto" w:fill="FFFFFF"/>
                <w:lang w:bidi="ar"/>
              </w:rPr>
              <w:t>日内（注：</w:t>
            </w:r>
            <w:r>
              <w:rPr>
                <w:rFonts w:hint="eastAsia" w:ascii="Calibri" w:hAnsi="Calibri" w:cs="宋体"/>
                <w:color w:val="auto"/>
                <w:szCs w:val="22"/>
                <w:highlight w:val="none"/>
                <w:shd w:val="clear" w:color="auto" w:fill="FFFFFF"/>
                <w:lang w:bidi="ar"/>
              </w:rPr>
              <w:t>中标通知书发出之日起</w:t>
            </w:r>
            <w:r>
              <w:rPr>
                <w:rFonts w:hint="default" w:ascii="Calibri" w:hAnsi="Calibri"/>
                <w:color w:val="auto"/>
                <w:szCs w:val="22"/>
                <w:highlight w:val="none"/>
                <w:shd w:val="clear" w:color="auto" w:fill="FFFFFF"/>
                <w:lang w:bidi="ar"/>
              </w:rPr>
              <w:t>25</w:t>
            </w:r>
            <w:r>
              <w:rPr>
                <w:rFonts w:hint="eastAsia" w:ascii="Calibri" w:hAnsi="Calibri" w:cs="宋体"/>
                <w:color w:val="auto"/>
                <w:szCs w:val="22"/>
                <w:highlight w:val="none"/>
                <w:shd w:val="clear" w:color="auto" w:fill="FFFFFF"/>
                <w:lang w:bidi="ar"/>
              </w:rPr>
              <w:t>日内必须签订合同。</w:t>
            </w:r>
            <w:r>
              <w:rPr>
                <w:rFonts w:hint="eastAsia" w:ascii="宋体" w:hAnsi="宋体" w:cs="宋体"/>
                <w:color w:val="auto"/>
                <w:szCs w:val="21"/>
                <w:highlight w:val="none"/>
                <w:shd w:val="clear" w:color="auto" w:fill="FFFFFF"/>
                <w:lang w:bidi="ar"/>
              </w:rPr>
              <w:t>）</w:t>
            </w:r>
          </w:p>
          <w:p w14:paraId="1EA90E1B">
            <w:pPr>
              <w:keepNext w:val="0"/>
              <w:keepLines w:val="0"/>
              <w:widowControl/>
              <w:suppressLineNumbers w:val="0"/>
              <w:shd w:val="clear" w:color="auto" w:fill="FFFFFF"/>
              <w:spacing w:before="0" w:beforeAutospacing="0" w:after="0" w:afterAutospacing="0" w:line="340" w:lineRule="exact"/>
              <w:ind w:left="0" w:right="0"/>
              <w:rPr>
                <w:rFonts w:hint="default"/>
                <w:color w:val="auto"/>
                <w:highlight w:val="none"/>
                <w:shd w:val="clear" w:color="auto" w:fill="FFFFFF"/>
              </w:rPr>
            </w:pPr>
            <w:r>
              <w:rPr>
                <w:rFonts w:hint="eastAsia" w:ascii="宋体" w:hAnsi="宋体" w:cs="宋体"/>
                <w:color w:val="auto"/>
                <w:szCs w:val="21"/>
                <w:highlight w:val="none"/>
                <w:shd w:val="clear" w:color="auto" w:fill="FFFFFF"/>
                <w:lang w:bidi="ar"/>
              </w:rPr>
              <w:t>二、</w:t>
            </w:r>
            <w:r>
              <w:rPr>
                <w:rFonts w:hint="eastAsia" w:ascii="宋体" w:hAnsi="宋体" w:cs="宋体"/>
                <w:bCs/>
                <w:color w:val="auto"/>
                <w:szCs w:val="21"/>
                <w:highlight w:val="none"/>
                <w:shd w:val="clear" w:color="auto" w:fill="FFFFFF"/>
                <w:lang w:bidi="ar"/>
              </w:rPr>
              <w:t>货物期限或者货物时间：自合同签订之日后接到采购人通知起90日内交付并安装验收完毕。</w:t>
            </w:r>
          </w:p>
          <w:p w14:paraId="69A22D1D">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bCs/>
                <w:color w:val="auto"/>
                <w:szCs w:val="21"/>
                <w:highlight w:val="none"/>
                <w:u w:val="single"/>
                <w:shd w:val="clear" w:color="auto" w:fill="FFFFFF"/>
              </w:rPr>
            </w:pPr>
            <w:r>
              <w:rPr>
                <w:rFonts w:hint="eastAsia" w:ascii="宋体" w:hAnsi="宋体" w:cs="宋体"/>
                <w:color w:val="auto"/>
                <w:szCs w:val="21"/>
                <w:highlight w:val="none"/>
                <w:shd w:val="clear" w:color="auto" w:fill="FFFFFF"/>
                <w:lang w:bidi="ar"/>
              </w:rPr>
              <w:t>三、货物地点：广西南宁市大学西路169号南宁职业技术大学</w:t>
            </w:r>
          </w:p>
          <w:p w14:paraId="3F9E34C5">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bCs/>
                <w:color w:val="auto"/>
                <w:szCs w:val="21"/>
                <w:highlight w:val="none"/>
                <w:shd w:val="clear" w:color="auto" w:fill="FFFFFF"/>
                <w:lang w:bidi="ar"/>
              </w:rPr>
              <w:t>四、</w:t>
            </w:r>
            <w:r>
              <w:rPr>
                <w:rFonts w:hint="eastAsia" w:ascii="宋体" w:hAnsi="宋体" w:cs="宋体"/>
                <w:color w:val="auto"/>
                <w:szCs w:val="21"/>
                <w:highlight w:val="none"/>
                <w:shd w:val="clear" w:color="auto" w:fill="FFFFFF"/>
                <w:lang w:bidi="ar"/>
              </w:rPr>
              <w:t>验收标准、规范：</w:t>
            </w:r>
          </w:p>
          <w:p w14:paraId="300A0C2B">
            <w:pPr>
              <w:keepNext w:val="0"/>
              <w:keepLines w:val="0"/>
              <w:suppressLineNumbers w:val="0"/>
              <w:spacing w:before="0" w:beforeAutospacing="0" w:after="0" w:afterAutospacing="0" w:line="340" w:lineRule="exact"/>
              <w:ind w:left="0" w:right="0"/>
              <w:rPr>
                <w:rFonts w:hint="default"/>
                <w:color w:val="auto"/>
                <w:highlight w:val="none"/>
              </w:rPr>
            </w:pPr>
            <w:r>
              <w:rPr>
                <w:rFonts w:hint="eastAsia"/>
                <w:color w:val="auto"/>
                <w:highlight w:val="none"/>
              </w:rPr>
              <w:t>中标人</w:t>
            </w:r>
            <w:r>
              <w:rPr>
                <w:rFonts w:hint="default"/>
                <w:color w:val="auto"/>
                <w:highlight w:val="none"/>
              </w:rPr>
              <w:t>完成全部产品安装后5个工作日内采购人组织验收，采购人根据</w:t>
            </w:r>
            <w:r>
              <w:rPr>
                <w:rFonts w:hint="eastAsia"/>
                <w:color w:val="auto"/>
                <w:highlight w:val="none"/>
              </w:rPr>
              <w:t>招标</w:t>
            </w:r>
            <w:r>
              <w:rPr>
                <w:rFonts w:hint="default"/>
                <w:color w:val="auto"/>
                <w:highlight w:val="none"/>
              </w:rPr>
              <w:t>文件要求、</w:t>
            </w:r>
            <w:r>
              <w:rPr>
                <w:rFonts w:hint="eastAsia"/>
                <w:color w:val="auto"/>
                <w:highlight w:val="none"/>
              </w:rPr>
              <w:t>投标</w:t>
            </w:r>
            <w:r>
              <w:rPr>
                <w:rFonts w:hint="default"/>
                <w:color w:val="auto"/>
                <w:highlight w:val="none"/>
              </w:rPr>
              <w:t>文件承诺以及合同条款进行验收，</w:t>
            </w:r>
            <w:r>
              <w:rPr>
                <w:rFonts w:hint="eastAsia"/>
                <w:color w:val="auto"/>
                <w:highlight w:val="none"/>
              </w:rPr>
              <w:t>中标人</w:t>
            </w:r>
            <w:r>
              <w:rPr>
                <w:rFonts w:hint="default"/>
                <w:color w:val="auto"/>
                <w:highlight w:val="none"/>
              </w:rPr>
              <w:t>须在验收时进行演示，经采购人对演示情况进行审查后，确认符合采购需求，予以验收通过。如演示采购需求不一致，采购人出具书面异议给</w:t>
            </w:r>
            <w:r>
              <w:rPr>
                <w:rFonts w:hint="eastAsia"/>
                <w:color w:val="auto"/>
                <w:highlight w:val="none"/>
              </w:rPr>
              <w:t>中标人</w:t>
            </w:r>
            <w:r>
              <w:rPr>
                <w:rFonts w:hint="default"/>
                <w:color w:val="auto"/>
                <w:highlight w:val="none"/>
              </w:rPr>
              <w:t>，</w:t>
            </w:r>
            <w:r>
              <w:rPr>
                <w:rFonts w:hint="eastAsia"/>
                <w:color w:val="auto"/>
                <w:highlight w:val="none"/>
              </w:rPr>
              <w:t>中标人</w:t>
            </w:r>
            <w:r>
              <w:rPr>
                <w:rFonts w:hint="default"/>
                <w:color w:val="auto"/>
                <w:highlight w:val="none"/>
              </w:rPr>
              <w:t>应当自收到书面异议后10个工作日内进行整改，整改后仍不通过的，不予验收，由此造成的一切不利后果及经济损失由</w:t>
            </w:r>
            <w:r>
              <w:rPr>
                <w:rFonts w:hint="eastAsia"/>
                <w:color w:val="auto"/>
                <w:highlight w:val="none"/>
              </w:rPr>
              <w:t>中标人</w:t>
            </w:r>
            <w:r>
              <w:rPr>
                <w:rFonts w:hint="default"/>
                <w:color w:val="auto"/>
                <w:highlight w:val="none"/>
              </w:rPr>
              <w:t>自行承担。验收通过后方可完成交付。</w:t>
            </w:r>
          </w:p>
          <w:p w14:paraId="488F3A7A">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lang w:bidi="ar"/>
              </w:rPr>
            </w:pPr>
            <w:r>
              <w:rPr>
                <w:rFonts w:hint="eastAsia" w:ascii="宋体" w:hAnsi="宋体" w:cs="宋体"/>
                <w:b/>
                <w:bCs/>
                <w:color w:val="auto"/>
                <w:szCs w:val="21"/>
                <w:highlight w:val="none"/>
                <w:shd w:val="clear" w:color="auto" w:fill="FFFFFF"/>
                <w:lang w:bidi="ar"/>
              </w:rPr>
              <w:t>▲</w:t>
            </w:r>
            <w:r>
              <w:rPr>
                <w:rFonts w:hint="eastAsia" w:ascii="宋体" w:hAnsi="宋体" w:cs="宋体"/>
                <w:color w:val="auto"/>
                <w:szCs w:val="21"/>
                <w:highlight w:val="none"/>
                <w:shd w:val="clear" w:color="auto" w:fill="FFFFFF"/>
                <w:lang w:bidi="ar"/>
              </w:rPr>
              <w:t>五、售后服务要求：</w:t>
            </w:r>
          </w:p>
          <w:p w14:paraId="05DE2D47">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1、质量保证期：3年（自提交成果并验收合格之日起计）</w:t>
            </w:r>
          </w:p>
          <w:p w14:paraId="61EB3E5C">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2、响应时间：接到采购人处理问题通知后4小时内到达采购人指定现场</w:t>
            </w:r>
          </w:p>
          <w:p w14:paraId="411654DA">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3、售后服务技术人员要求：</w:t>
            </w:r>
            <w:r>
              <w:rPr>
                <w:rFonts w:hint="eastAsia" w:ascii="宋体" w:hAnsi="宋体" w:cs="宋体"/>
                <w:color w:val="auto"/>
                <w:szCs w:val="21"/>
                <w:highlight w:val="none"/>
                <w:u w:val="single"/>
                <w:shd w:val="clear" w:color="auto" w:fill="FFFFFF"/>
                <w:lang w:bidi="ar"/>
              </w:rPr>
              <w:t>专职人员</w:t>
            </w:r>
          </w:p>
          <w:p w14:paraId="399FD827">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4、备品备件要求：无</w:t>
            </w:r>
          </w:p>
          <w:p w14:paraId="3813D2AD">
            <w:pPr>
              <w:keepNext w:val="0"/>
              <w:keepLines w:val="0"/>
              <w:widowControl/>
              <w:suppressLineNumbers w:val="0"/>
              <w:shd w:val="clear" w:color="auto" w:fill="FFFFFF"/>
              <w:tabs>
                <w:tab w:val="left" w:pos="3580"/>
              </w:tabs>
              <w:spacing w:before="0" w:beforeAutospacing="0" w:after="0" w:afterAutospacing="0" w:line="340" w:lineRule="exact"/>
              <w:ind w:left="0" w:right="0"/>
              <w:rPr>
                <w:rFonts w:hint="default" w:ascii="宋体" w:hAnsi="宋体" w:cs="宋体"/>
                <w:bCs/>
                <w:color w:val="auto"/>
                <w:szCs w:val="21"/>
                <w:highlight w:val="none"/>
                <w:u w:val="single"/>
                <w:shd w:val="clear" w:color="auto" w:fill="FFFFFF"/>
              </w:rPr>
            </w:pPr>
            <w:r>
              <w:rPr>
                <w:rFonts w:hint="eastAsia" w:ascii="宋体" w:hAnsi="宋体" w:cs="宋体"/>
                <w:color w:val="auto"/>
                <w:szCs w:val="21"/>
                <w:highlight w:val="none"/>
                <w:shd w:val="clear" w:color="auto" w:fill="FFFFFF"/>
                <w:lang w:bidi="ar"/>
              </w:rPr>
              <w:t>5、其 他：无</w:t>
            </w:r>
          </w:p>
          <w:p w14:paraId="56A33AB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六、其他要求：</w:t>
            </w:r>
          </w:p>
          <w:p w14:paraId="256111B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1、报价必须含以下部分，包括：</w:t>
            </w:r>
          </w:p>
          <w:p w14:paraId="4459889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（1）货物的价格；</w:t>
            </w:r>
          </w:p>
          <w:p w14:paraId="3982429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（2）必要的保险费用和各项税金；</w:t>
            </w:r>
          </w:p>
          <w:p w14:paraId="62EBBD7C">
            <w:pPr>
              <w:keepNext w:val="0"/>
              <w:keepLines w:val="0"/>
              <w:suppressLineNumbers w:val="0"/>
              <w:tabs>
                <w:tab w:val="left" w:pos="3490"/>
                <w:tab w:val="left" w:pos="3670"/>
                <w:tab w:val="left" w:pos="3895"/>
              </w:tabs>
              <w:spacing w:before="0" w:beforeAutospacing="0" w:after="0" w:afterAutospacing="0" w:line="34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lang w:bidi="ar"/>
              </w:rPr>
              <w:t>（3）其他（如运输、装卸、安装、调试、培训、技术支持、售后货物、更新升级等费用，根据项目具体情况填写）：</w:t>
            </w:r>
          </w:p>
          <w:p w14:paraId="49103E9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b/>
                <w:bCs/>
                <w:color w:val="auto"/>
                <w:szCs w:val="21"/>
                <w:highlight w:val="none"/>
                <w:lang w:bidi="ar"/>
              </w:rPr>
              <w:t>▲</w:t>
            </w:r>
            <w:r>
              <w:rPr>
                <w:rFonts w:hint="eastAsia" w:ascii="宋体" w:hAnsi="宋体" w:cs="宋体"/>
                <w:color w:val="auto"/>
                <w:szCs w:val="21"/>
                <w:highlight w:val="none"/>
                <w:lang w:bidi="ar"/>
              </w:rPr>
              <w:t>2、付款方式：选择以下第（2）种方式</w:t>
            </w:r>
          </w:p>
          <w:p w14:paraId="00155786">
            <w:pPr>
              <w:keepNext w:val="0"/>
              <w:keepLines w:val="0"/>
              <w:suppressLineNumbers w:val="0"/>
              <w:spacing w:before="0" w:beforeAutospacing="0" w:after="0" w:afterAutospacing="0" w:line="34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lang w:bidi="ar"/>
              </w:rPr>
              <w:t>（1）本项目无预付款，合同签订后，设备完成硬件建设，甲方向乙方支付合同总价30%进度款，乙方按合同要培训交货完毕并验收合格后，甲方向乙方支付合同总价的70%，支付前由乙方按规定向甲方开具正式发票。</w:t>
            </w:r>
          </w:p>
          <w:p w14:paraId="77D8DEDE">
            <w:pPr>
              <w:keepNext w:val="0"/>
              <w:keepLines w:val="0"/>
              <w:suppressLineNumbers w:val="0"/>
              <w:spacing w:before="0" w:beforeAutospacing="0" w:after="0" w:afterAutospacing="0" w:line="340" w:lineRule="exact"/>
              <w:ind w:left="0" w:right="0" w:firstLine="420" w:firstLineChars="200"/>
              <w:rPr>
                <w:rFonts w:hint="default" w:ascii="宋体" w:hAnsi="宋体" w:cs="宋体"/>
                <w:color w:val="auto"/>
                <w:szCs w:val="21"/>
                <w:highlight w:val="none"/>
                <w:u w:val="single"/>
              </w:rPr>
            </w:pPr>
            <w:r>
              <w:rPr>
                <w:rFonts w:hint="eastAsia" w:ascii="宋体" w:hAnsi="宋体" w:cs="宋体"/>
                <w:color w:val="auto"/>
                <w:szCs w:val="21"/>
                <w:highlight w:val="none"/>
                <w:lang w:bidi="ar"/>
              </w:rPr>
              <w:t>（2）本项目采取预付款形式，预付形式为</w:t>
            </w:r>
            <w:r>
              <w:rPr>
                <w:rFonts w:hint="eastAsia" w:ascii="宋体" w:hAnsi="宋体" w:cs="宋体"/>
                <w:color w:val="auto"/>
                <w:szCs w:val="21"/>
                <w:highlight w:val="none"/>
                <w:u w:val="single"/>
                <w:lang w:bidi="ar"/>
              </w:rPr>
              <w:t>：第一期付款：合同签订后，在担保措施生效及具备实施条件后10个工作日内采购人向中标人支付合同总价30%预付款，支付前由中标人按规定向采购人开具正式发票</w:t>
            </w:r>
          </w:p>
          <w:p w14:paraId="7203EE4F">
            <w:pPr>
              <w:keepNext w:val="0"/>
              <w:keepLines w:val="0"/>
              <w:widowControl/>
              <w:suppressLineNumbers w:val="0"/>
              <w:spacing w:before="0" w:beforeAutospacing="0" w:after="0" w:afterAutospacing="0" w:line="340" w:lineRule="exact"/>
              <w:ind w:left="0" w:right="0" w:firstLine="420" w:firstLineChars="200"/>
              <w:jc w:val="left"/>
              <w:rPr>
                <w:rFonts w:hint="default"/>
                <w:color w:val="auto"/>
                <w:highlight w:val="none"/>
              </w:rPr>
            </w:pPr>
            <w:r>
              <w:rPr>
                <w:rFonts w:hint="eastAsia" w:ascii="宋体" w:hAnsi="宋体" w:cs="宋体"/>
                <w:color w:val="auto"/>
                <w:szCs w:val="21"/>
                <w:highlight w:val="none"/>
                <w:u w:val="single"/>
                <w:lang w:bidi="ar"/>
              </w:rPr>
              <w:t>第二期付款：中标人交货完毕并验收合格后，采购人向中标人支付合同总价的70%，支付前由中标人按规定向甲方开具正式发票。</w:t>
            </w:r>
          </w:p>
          <w:p w14:paraId="771D2822">
            <w:pPr>
              <w:keepNext w:val="0"/>
              <w:keepLines w:val="0"/>
              <w:widowControl/>
              <w:suppressLineNumbers w:val="0"/>
              <w:spacing w:before="0" w:beforeAutospacing="0" w:after="0" w:afterAutospacing="0" w:line="340" w:lineRule="exact"/>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3、对合同条款的调整（如对验收、违约责任等有特殊要求的）</w:t>
            </w:r>
          </w:p>
          <w:p w14:paraId="2717C917">
            <w:pPr>
              <w:keepNext w:val="0"/>
              <w:keepLines w:val="0"/>
              <w:widowControl/>
              <w:suppressLineNumbers w:val="0"/>
              <w:spacing w:before="0" w:beforeAutospacing="0" w:after="0" w:afterAutospacing="0" w:line="340" w:lineRule="exact"/>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无</w:t>
            </w:r>
          </w:p>
        </w:tc>
      </w:tr>
      <w:tr w14:paraId="14C7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1" w:type="pct"/>
            <w:shd w:val="clear" w:color="auto" w:fill="auto"/>
            <w:vAlign w:val="center"/>
          </w:tcPr>
          <w:p w14:paraId="1730C8FC">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olor w:val="auto"/>
                <w:highlight w:val="none"/>
              </w:rPr>
              <w:t>其他说明</w:t>
            </w:r>
          </w:p>
        </w:tc>
        <w:tc>
          <w:tcPr>
            <w:tcW w:w="4728" w:type="pct"/>
            <w:gridSpan w:val="5"/>
            <w:shd w:val="clear" w:color="auto" w:fill="auto"/>
          </w:tcPr>
          <w:p w14:paraId="4F99E7CF">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olor w:val="auto"/>
                <w:highlight w:val="none"/>
              </w:rPr>
            </w:pPr>
            <w:r>
              <w:rPr>
                <w:rFonts w:hint="eastAsia" w:ascii="宋体" w:hAnsi="宋体"/>
                <w:color w:val="auto"/>
                <w:highlight w:val="none"/>
              </w:rPr>
              <w:t>一、进口产品说明</w:t>
            </w:r>
          </w:p>
          <w:p w14:paraId="0FE7132B">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□本表的第</w:t>
            </w:r>
            <w:r>
              <w:rPr>
                <w:rFonts w:hint="default"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项货物所涉及的货物已按规定办妥进口产品采购审核手续，投标产品可选用进口产</w:t>
            </w:r>
          </w:p>
          <w:p w14:paraId="4372E14A">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61EE5D63">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b/>
                <w:bCs/>
                <w:color w:val="auto"/>
                <w:szCs w:val="21"/>
                <w:highlight w:val="none"/>
              </w:rPr>
            </w:pPr>
            <w:r>
              <w:rPr>
                <w:rFonts w:hint="eastAsia" w:ascii="宋体" w:hAnsi="宋体" w:cs="宋体"/>
                <w:b/>
                <w:bCs/>
                <w:color w:val="auto"/>
                <w:kern w:val="0"/>
                <w:sz w:val="24"/>
                <w:highlight w:val="none"/>
              </w:rPr>
              <w:sym w:font="Wingdings 2" w:char="F052"/>
            </w:r>
            <w:r>
              <w:rPr>
                <w:rFonts w:hint="eastAsia" w:ascii="宋体" w:hAnsi="宋体" w:cs="宋体"/>
                <w:b/>
                <w:bCs/>
                <w:color w:val="auto"/>
                <w:kern w:val="0"/>
                <w:szCs w:val="21"/>
                <w:highlight w:val="none"/>
              </w:rPr>
              <w:t>本分标货物所涉及的货物不接受进口产品（即通过中国海关报关验放进入中国境内且产自关境外的产品）参与投标，如有进口产品参与投标的作无效标处理</w:t>
            </w:r>
          </w:p>
          <w:p w14:paraId="1744D661">
            <w:pPr>
              <w:keepNext w:val="0"/>
              <w:keepLines w:val="0"/>
              <w:suppressLineNumbers w:val="0"/>
              <w:tabs>
                <w:tab w:val="left" w:pos="180"/>
                <w:tab w:val="left" w:pos="1620"/>
              </w:tabs>
              <w:spacing w:before="0" w:beforeAutospacing="0" w:after="0" w:afterAutospacing="0" w:line="340" w:lineRule="exact"/>
              <w:ind w:left="0" w:right="0"/>
              <w:rPr>
                <w:rFonts w:hint="default" w:ascii="宋体" w:hAnsi="宋体"/>
                <w:bCs/>
                <w:color w:val="auto"/>
                <w:szCs w:val="21"/>
                <w:highlight w:val="none"/>
              </w:rPr>
            </w:pPr>
            <w:r>
              <w:rPr>
                <w:rFonts w:hint="eastAsia" w:ascii="宋体" w:hAnsi="宋体"/>
                <w:bCs/>
                <w:color w:val="auto"/>
                <w:szCs w:val="21"/>
                <w:highlight w:val="none"/>
              </w:rPr>
              <w:t>二、与本项目有关的设计图纸、技术规范、文件等附件资料及其获取方式：无</w:t>
            </w:r>
          </w:p>
          <w:p w14:paraId="511F8668">
            <w:pPr>
              <w:keepNext w:val="0"/>
              <w:keepLines w:val="0"/>
              <w:suppressLineNumbers w:val="0"/>
              <w:tabs>
                <w:tab w:val="left" w:pos="180"/>
                <w:tab w:val="left" w:pos="1620"/>
              </w:tabs>
              <w:spacing w:before="0" w:beforeAutospacing="0" w:after="0" w:afterAutospacing="0" w:line="340" w:lineRule="exact"/>
              <w:ind w:left="0" w:right="0"/>
              <w:rPr>
                <w:rFonts w:hint="default" w:ascii="宋体" w:hAnsi="宋体"/>
                <w:b/>
                <w:bCs/>
                <w:color w:val="auto"/>
                <w:highlight w:val="none"/>
              </w:rPr>
            </w:pPr>
            <w:r>
              <w:rPr>
                <w:rFonts w:hint="eastAsia" w:ascii="宋体" w:hAnsi="宋体"/>
                <w:b/>
                <w:bCs/>
                <w:color w:val="auto"/>
                <w:szCs w:val="21"/>
                <w:highlight w:val="none"/>
              </w:rPr>
              <w:t>三、</w:t>
            </w:r>
            <w:r>
              <w:rPr>
                <w:rFonts w:hint="eastAsia" w:ascii="宋体" w:hAnsi="宋体"/>
                <w:b/>
                <w:bCs/>
                <w:color w:val="auto"/>
                <w:highlight w:val="none"/>
              </w:rPr>
              <w:t>核心产品</w:t>
            </w:r>
          </w:p>
          <w:p w14:paraId="0DC6BDBB">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olor w:val="auto"/>
                <w:szCs w:val="21"/>
                <w:highlight w:val="none"/>
              </w:rPr>
            </w:pPr>
            <w:r>
              <w:rPr>
                <w:rFonts w:hint="eastAsia" w:ascii="宋体" w:hAnsi="宋体" w:cs="宋体"/>
                <w:b/>
                <w:bCs/>
                <w:color w:val="auto"/>
                <w:kern w:val="0"/>
                <w:szCs w:val="21"/>
                <w:highlight w:val="none"/>
              </w:rPr>
              <w:t>“采购清单及技术参数”表中的核心产品</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第1项：财务大数据分析实训平台。</w:t>
            </w:r>
          </w:p>
          <w:p w14:paraId="422FEF46">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五、其他</w:t>
            </w:r>
          </w:p>
          <w:p w14:paraId="5E827FB7">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1、本项目采购标的对应的中小企业划分标准所属行业：软件和信息技术服务业。</w:t>
            </w:r>
          </w:p>
          <w:p w14:paraId="67AAFF64">
            <w:pPr>
              <w:keepNext w:val="0"/>
              <w:keepLines w:val="0"/>
              <w:suppressLineNumbers w:val="0"/>
              <w:autoSpaceDE w:val="0"/>
              <w:autoSpaceDN w:val="0"/>
              <w:adjustRightInd w:val="0"/>
              <w:spacing w:before="0" w:beforeAutospacing="0" w:after="0" w:afterAutospacing="0" w:line="340" w:lineRule="exact"/>
              <w:ind w:left="0" w:right="0"/>
              <w:jc w:val="left"/>
              <w:rPr>
                <w:rFonts w:hint="default"/>
                <w:color w:val="auto"/>
                <w:highlight w:val="none"/>
              </w:rPr>
            </w:pPr>
            <w:r>
              <w:rPr>
                <w:rFonts w:hint="eastAsia" w:ascii="宋体" w:hAnsi="宋体" w:cs="宋体"/>
                <w:color w:val="auto"/>
                <w:kern w:val="0"/>
                <w:szCs w:val="21"/>
                <w:highlight w:val="none"/>
              </w:rPr>
              <w:t>2、是否进行演示：否。</w:t>
            </w:r>
            <w:r>
              <w:rPr>
                <w:rFonts w:hint="eastAsia"/>
                <w:color w:val="auto"/>
                <w:highlight w:val="none"/>
              </w:rPr>
              <w:t xml:space="preserve"> </w:t>
            </w:r>
          </w:p>
          <w:p w14:paraId="5F0B55CD">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3、是否要求提供样品：否</w:t>
            </w:r>
          </w:p>
          <w:p w14:paraId="16521027">
            <w:pPr>
              <w:keepNext w:val="0"/>
              <w:keepLines w:val="0"/>
              <w:widowControl/>
              <w:suppressLineNumbers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4、是否现场踏勘：否</w:t>
            </w:r>
          </w:p>
        </w:tc>
      </w:tr>
    </w:tbl>
    <w:p w14:paraId="73839CF3">
      <w:pPr>
        <w:rPr>
          <w:rFonts w:ascii="宋体" w:hAnsi="宋体"/>
          <w:color w:val="auto"/>
          <w:highlight w:val="none"/>
        </w:rPr>
      </w:pPr>
      <w:r>
        <w:rPr>
          <w:rFonts w:ascii="宋体" w:hAnsi="宋体"/>
          <w:color w:val="auto"/>
          <w:highlight w:val="none"/>
        </w:rPr>
        <w:br w:type="page"/>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486"/>
        <w:gridCol w:w="672"/>
        <w:gridCol w:w="674"/>
        <w:gridCol w:w="5408"/>
        <w:gridCol w:w="1080"/>
      </w:tblGrid>
      <w:tr w14:paraId="69D0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shd w:val="clear" w:color="auto" w:fill="auto"/>
            <w:vAlign w:val="center"/>
          </w:tcPr>
          <w:p w14:paraId="6436FB8C">
            <w:pPr>
              <w:keepNext w:val="0"/>
              <w:keepLines w:val="0"/>
              <w:suppressLineNumbers w:val="0"/>
              <w:spacing w:before="0" w:beforeAutospacing="0" w:after="0" w:afterAutospacing="0" w:line="340" w:lineRule="exact"/>
              <w:ind w:left="0" w:right="0" w:firstLine="422"/>
              <w:jc w:val="center"/>
              <w:rPr>
                <w:rFonts w:hint="default" w:ascii="宋体" w:hAnsi="宋体" w:cs="宋体"/>
                <w:color w:val="auto"/>
                <w:szCs w:val="21"/>
                <w:highlight w:val="none"/>
              </w:rPr>
            </w:pPr>
            <w:r>
              <w:rPr>
                <w:rFonts w:hint="eastAsia" w:ascii="宋体" w:hAnsi="宋体" w:cs="宋体"/>
                <w:b/>
                <w:color w:val="auto"/>
                <w:szCs w:val="21"/>
                <w:highlight w:val="none"/>
              </w:rPr>
              <w:t>货物需求一览表</w:t>
            </w:r>
          </w:p>
        </w:tc>
      </w:tr>
      <w:tr w14:paraId="2BB4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5" w:type="pct"/>
            <w:gridSpan w:val="2"/>
            <w:shd w:val="clear" w:color="auto" w:fill="auto"/>
            <w:vAlign w:val="center"/>
          </w:tcPr>
          <w:p w14:paraId="0C19EAB5">
            <w:pPr>
              <w:keepNext w:val="0"/>
              <w:keepLines w:val="0"/>
              <w:suppressLineNumbers w:val="0"/>
              <w:spacing w:before="0" w:beforeAutospacing="0" w:after="0" w:afterAutospacing="0" w:line="340" w:lineRule="exact"/>
              <w:ind w:left="0" w:right="0" w:firstLine="422"/>
              <w:jc w:val="center"/>
              <w:rPr>
                <w:rFonts w:hint="default" w:ascii="宋体" w:hAnsi="宋体" w:cs="宋体"/>
                <w:color w:val="auto"/>
                <w:szCs w:val="21"/>
                <w:highlight w:val="none"/>
              </w:rPr>
            </w:pPr>
            <w:r>
              <w:rPr>
                <w:rFonts w:hint="eastAsia" w:ascii="宋体" w:hAnsi="宋体" w:cs="宋体"/>
                <w:b/>
                <w:bCs/>
                <w:color w:val="auto"/>
                <w:szCs w:val="21"/>
                <w:highlight w:val="none"/>
              </w:rPr>
              <w:t>标段</w:t>
            </w:r>
          </w:p>
        </w:tc>
        <w:tc>
          <w:tcPr>
            <w:tcW w:w="3974" w:type="pct"/>
            <w:gridSpan w:val="4"/>
            <w:shd w:val="clear" w:color="auto" w:fill="auto"/>
            <w:vAlign w:val="center"/>
          </w:tcPr>
          <w:p w14:paraId="32DCE9F3">
            <w:pPr>
              <w:keepNext w:val="0"/>
              <w:keepLines w:val="0"/>
              <w:suppressLineNumbers w:val="0"/>
              <w:spacing w:before="0" w:beforeAutospacing="0" w:after="0" w:afterAutospacing="0" w:line="340" w:lineRule="exact"/>
              <w:ind w:left="0" w:right="0" w:firstLine="422"/>
              <w:jc w:val="left"/>
              <w:rPr>
                <w:rFonts w:hint="default" w:ascii="宋体" w:hAnsi="宋体" w:cs="宋体"/>
                <w:color w:val="auto"/>
                <w:szCs w:val="21"/>
                <w:highlight w:val="none"/>
              </w:rPr>
            </w:pPr>
            <w:r>
              <w:rPr>
                <w:rFonts w:hint="eastAsia" w:ascii="宋体" w:hAnsi="宋体" w:cs="宋体"/>
                <w:b/>
                <w:bCs/>
                <w:color w:val="auto"/>
                <w:szCs w:val="21"/>
                <w:highlight w:val="none"/>
              </w:rPr>
              <w:t>3分标：中国-东盟数字商贸产教融合实践中心</w:t>
            </w:r>
          </w:p>
        </w:tc>
      </w:tr>
      <w:tr w14:paraId="4949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14:paraId="1C575D3D">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754" w:type="pct"/>
            <w:shd w:val="clear" w:color="auto" w:fill="auto"/>
            <w:vAlign w:val="center"/>
          </w:tcPr>
          <w:p w14:paraId="3E403FE9">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采购货物名称</w:t>
            </w:r>
          </w:p>
        </w:tc>
        <w:tc>
          <w:tcPr>
            <w:tcW w:w="341" w:type="pct"/>
            <w:shd w:val="clear" w:color="auto" w:fill="auto"/>
            <w:vAlign w:val="center"/>
          </w:tcPr>
          <w:p w14:paraId="772E7ED6">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单位</w:t>
            </w:r>
          </w:p>
        </w:tc>
        <w:tc>
          <w:tcPr>
            <w:tcW w:w="342" w:type="pct"/>
            <w:shd w:val="clear" w:color="auto" w:fill="auto"/>
            <w:vAlign w:val="center"/>
          </w:tcPr>
          <w:p w14:paraId="62635756">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数量</w:t>
            </w:r>
          </w:p>
        </w:tc>
        <w:tc>
          <w:tcPr>
            <w:tcW w:w="2744" w:type="pct"/>
            <w:shd w:val="clear" w:color="auto" w:fill="auto"/>
            <w:vAlign w:val="center"/>
          </w:tcPr>
          <w:p w14:paraId="0C578DE0">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货物参数</w:t>
            </w:r>
          </w:p>
        </w:tc>
        <w:tc>
          <w:tcPr>
            <w:tcW w:w="545" w:type="pct"/>
            <w:shd w:val="clear" w:color="auto" w:fill="auto"/>
            <w:vAlign w:val="center"/>
          </w:tcPr>
          <w:p w14:paraId="1C6CB204">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分项预算合计（元）</w:t>
            </w:r>
          </w:p>
        </w:tc>
      </w:tr>
      <w:tr w14:paraId="1826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401BD36F">
            <w:pPr>
              <w:pStyle w:val="25"/>
              <w:keepNext w:val="0"/>
              <w:keepLines w:val="0"/>
              <w:suppressLineNumbers w:val="0"/>
              <w:spacing w:before="0" w:beforeAutospacing="0" w:after="0" w:afterAutospacing="0" w:line="340" w:lineRule="exact"/>
              <w:ind w:left="0" w:right="0" w:firstLine="0"/>
              <w:jc w:val="center"/>
              <w:rPr>
                <w:rFonts w:hint="default" w:ascii="宋体" w:hAnsi="宋体"/>
                <w:color w:val="auto"/>
                <w:szCs w:val="21"/>
                <w:highlight w:val="none"/>
              </w:rPr>
            </w:pPr>
            <w:r>
              <w:rPr>
                <w:rFonts w:hint="eastAsia" w:ascii="宋体" w:hAnsi="宋体" w:cs="宋体"/>
                <w:color w:val="auto"/>
                <w:szCs w:val="21"/>
                <w:highlight w:val="none"/>
              </w:rPr>
              <w:t>1</w:t>
            </w:r>
          </w:p>
        </w:tc>
        <w:tc>
          <w:tcPr>
            <w:tcW w:w="754" w:type="pct"/>
            <w:shd w:val="clear" w:color="auto" w:fill="auto"/>
            <w:vAlign w:val="center"/>
          </w:tcPr>
          <w:p w14:paraId="3444DDC5">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color w:val="auto"/>
                <w:sz w:val="20"/>
                <w:szCs w:val="20"/>
                <w:highlight w:val="none"/>
                <w:lang w:bidi="ar"/>
              </w:rPr>
              <w:t>基于自研大模型的</w:t>
            </w:r>
            <w:r>
              <w:rPr>
                <w:rFonts w:hint="default"/>
                <w:color w:val="auto"/>
                <w:sz w:val="20"/>
                <w:szCs w:val="20"/>
                <w:highlight w:val="none"/>
                <w:lang w:bidi="ar"/>
              </w:rPr>
              <w:t>Ai</w:t>
            </w:r>
            <w:r>
              <w:rPr>
                <w:rFonts w:hint="eastAsia"/>
                <w:color w:val="auto"/>
                <w:sz w:val="20"/>
                <w:szCs w:val="20"/>
                <w:highlight w:val="none"/>
                <w:lang w:bidi="ar"/>
              </w:rPr>
              <w:t>终端</w:t>
            </w:r>
          </w:p>
        </w:tc>
        <w:tc>
          <w:tcPr>
            <w:tcW w:w="341" w:type="pct"/>
            <w:shd w:val="clear" w:color="auto" w:fill="auto"/>
            <w:vAlign w:val="center"/>
          </w:tcPr>
          <w:p w14:paraId="667CB46E">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台</w:t>
            </w:r>
          </w:p>
        </w:tc>
        <w:tc>
          <w:tcPr>
            <w:tcW w:w="342" w:type="pct"/>
            <w:shd w:val="clear" w:color="auto" w:fill="auto"/>
            <w:vAlign w:val="center"/>
          </w:tcPr>
          <w:p w14:paraId="111C7BED">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vAlign w:val="center"/>
          </w:tcPr>
          <w:p w14:paraId="742405BD">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1.CPU：Intel i9-14900KF，24核32线程或同档次及以上CPU；</w:t>
            </w:r>
          </w:p>
          <w:p w14:paraId="631BD15A">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2.CPU散热器</w:t>
            </w:r>
            <w:r>
              <w:rPr>
                <w:rFonts w:hint="eastAsia" w:ascii="宋体" w:hAnsi="宋体" w:cs="宋体"/>
                <w:bCs/>
                <w:color w:val="auto"/>
                <w:szCs w:val="21"/>
                <w:highlight w:val="none"/>
                <w:lang w:bidi="ar"/>
              </w:rPr>
              <w:tab/>
            </w:r>
            <w:r>
              <w:rPr>
                <w:rFonts w:hint="eastAsia" w:ascii="宋体" w:hAnsi="宋体" w:cs="宋体"/>
                <w:bCs/>
                <w:color w:val="auto"/>
                <w:szCs w:val="21"/>
                <w:highlight w:val="none"/>
                <w:lang w:bidi="ar"/>
              </w:rPr>
              <w:t>水冷散热，12V工作电压，风量最大66.17CFM</w:t>
            </w:r>
          </w:p>
          <w:p w14:paraId="33F99DD3">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3.内存：总64G，DDR5 6400Hz，1.4V；</w:t>
            </w:r>
          </w:p>
          <w:p w14:paraId="5A448DEA">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4.固态硬盘：1TB（M.2接口，读取速度7300MB/s，写入速度6300MB/s）；</w:t>
            </w:r>
          </w:p>
          <w:p w14:paraId="21DD6273">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5.机械硬盘：8TB，STAT/SAS接口，7200RPM转速；</w:t>
            </w:r>
          </w:p>
          <w:p w14:paraId="1CA0D1D6">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color w:val="auto"/>
                <w:szCs w:val="21"/>
                <w:highlight w:val="none"/>
                <w:lang w:bidi="ar"/>
              </w:rPr>
              <w:t>▲6.</w:t>
            </w:r>
            <w:r>
              <w:rPr>
                <w:rFonts w:hint="eastAsia" w:ascii="宋体" w:hAnsi="宋体" w:cs="宋体"/>
                <w:bCs/>
                <w:color w:val="auto"/>
                <w:szCs w:val="21"/>
                <w:highlight w:val="none"/>
                <w:lang w:bidi="ar"/>
              </w:rPr>
              <w:t>GPU：</w:t>
            </w:r>
            <w:r>
              <w:rPr>
                <w:rFonts w:hint="eastAsia" w:ascii="宋体" w:hAnsi="宋体" w:cs="宋体"/>
                <w:bCs/>
                <w:color w:val="auto"/>
                <w:szCs w:val="21"/>
                <w:highlight w:val="none"/>
              </w:rPr>
              <w:t>RTX4090</w:t>
            </w:r>
            <w:r>
              <w:rPr>
                <w:rFonts w:hint="eastAsia" w:ascii="Calibri" w:hAnsi="Calibri" w:cs="宋体"/>
                <w:color w:val="auto"/>
                <w:szCs w:val="21"/>
                <w:highlight w:val="none"/>
              </w:rPr>
              <w:t>或同档次及以上</w:t>
            </w:r>
            <w:r>
              <w:rPr>
                <w:rFonts w:hint="eastAsia" w:ascii="宋体" w:hAnsi="宋体" w:cs="宋体"/>
                <w:bCs/>
                <w:color w:val="auto"/>
                <w:szCs w:val="21"/>
                <w:highlight w:val="none"/>
              </w:rPr>
              <w:t>，核心数量16384，显存24G GDDR6X，功率450W或同档次及以上GPU；</w:t>
            </w:r>
          </w:p>
          <w:p w14:paraId="194DA7F7">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7.主板：</w:t>
            </w:r>
            <w:r>
              <w:rPr>
                <w:rFonts w:hint="eastAsia" w:ascii="宋体" w:hAnsi="宋体" w:cs="宋体"/>
                <w:bCs/>
                <w:color w:val="auto"/>
                <w:szCs w:val="21"/>
                <w:highlight w:val="none"/>
              </w:rPr>
              <w:t>LGA1700插槽</w:t>
            </w:r>
            <w:r>
              <w:rPr>
                <w:rFonts w:hint="eastAsia" w:ascii="Calibri" w:hAnsi="Calibri" w:cs="宋体"/>
                <w:color w:val="auto"/>
                <w:szCs w:val="21"/>
                <w:highlight w:val="none"/>
              </w:rPr>
              <w:t>或同档次及以上</w:t>
            </w:r>
            <w:r>
              <w:rPr>
                <w:rFonts w:hint="eastAsia" w:ascii="宋体" w:hAnsi="宋体" w:cs="宋体"/>
                <w:bCs/>
                <w:color w:val="auto"/>
                <w:szCs w:val="21"/>
                <w:highlight w:val="none"/>
              </w:rPr>
              <w:t>，1×PCIe 5.0×16 SafeSlot（×16），1×PCIe 3.0×1 插槽，1×PCIe 3.0×16 插槽（×4），16+1供电模组，DDR5 6400Hz × 4，M.2 ×4；</w:t>
            </w:r>
          </w:p>
          <w:p w14:paraId="407FB7BA">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8.电源：1000W；</w:t>
            </w:r>
          </w:p>
          <w:p w14:paraId="2AD808AA">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bCs/>
                <w:color w:val="auto"/>
                <w:szCs w:val="21"/>
                <w:highlight w:val="none"/>
                <w:lang w:bidi="ar"/>
              </w:rPr>
              <w:t>9.操作系统：Ubuntu 24.04 LTS。</w:t>
            </w:r>
          </w:p>
        </w:tc>
        <w:tc>
          <w:tcPr>
            <w:tcW w:w="545" w:type="pct"/>
            <w:shd w:val="clear" w:color="auto" w:fill="auto"/>
            <w:vAlign w:val="center"/>
          </w:tcPr>
          <w:p w14:paraId="58F98E5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150000</w:t>
            </w:r>
          </w:p>
        </w:tc>
      </w:tr>
      <w:tr w14:paraId="15A0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1B6A99E6">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2</w:t>
            </w:r>
          </w:p>
        </w:tc>
        <w:tc>
          <w:tcPr>
            <w:tcW w:w="754" w:type="pct"/>
            <w:shd w:val="clear" w:color="auto" w:fill="auto"/>
            <w:vAlign w:val="center"/>
          </w:tcPr>
          <w:p w14:paraId="662CA174">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基于自研大模型的ChatBot系统</w:t>
            </w:r>
          </w:p>
          <w:p w14:paraId="2C91CC78">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（Cuber ChatBot）</w:t>
            </w:r>
          </w:p>
        </w:tc>
        <w:tc>
          <w:tcPr>
            <w:tcW w:w="341" w:type="pct"/>
            <w:shd w:val="clear" w:color="auto" w:fill="auto"/>
            <w:vAlign w:val="center"/>
          </w:tcPr>
          <w:p w14:paraId="7EBA3F4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套</w:t>
            </w:r>
          </w:p>
        </w:tc>
        <w:tc>
          <w:tcPr>
            <w:tcW w:w="342" w:type="pct"/>
            <w:shd w:val="clear" w:color="auto" w:fill="auto"/>
            <w:vAlign w:val="center"/>
          </w:tcPr>
          <w:p w14:paraId="70C620AA">
            <w:pPr>
              <w:keepNext w:val="0"/>
              <w:keepLines w:val="0"/>
              <w:suppressLineNumbers w:val="0"/>
              <w:spacing w:before="0" w:beforeAutospacing="0" w:after="0" w:afterAutospacing="0" w:line="340" w:lineRule="exact"/>
              <w:ind w:left="0" w:right="0"/>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vAlign w:val="center"/>
          </w:tcPr>
          <w:p w14:paraId="1D1E08D9">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1.运行环境：python3.8以上，Node.js，npm；</w:t>
            </w:r>
          </w:p>
          <w:p w14:paraId="499C481F">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2.配套数据库：MySQL；</w:t>
            </w:r>
          </w:p>
          <w:p w14:paraId="5FBEDD68">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3.系统功能：</w:t>
            </w:r>
          </w:p>
          <w:p w14:paraId="3D01FE32">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3.1用户管理模块：用户注册、登录、权限管理，支持多角色用户管理；</w:t>
            </w:r>
          </w:p>
          <w:p w14:paraId="6985EB09">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color w:val="auto"/>
                <w:sz w:val="21"/>
                <w:szCs w:val="21"/>
                <w:highlight w:val="none"/>
                <w:lang w:bidi="ar"/>
              </w:rPr>
              <w:t>▲</w:t>
            </w:r>
            <w:r>
              <w:rPr>
                <w:rFonts w:hint="eastAsia" w:ascii="宋体" w:hAnsi="宋体" w:cs="宋体"/>
                <w:bCs/>
                <w:color w:val="auto"/>
                <w:sz w:val="21"/>
                <w:szCs w:val="21"/>
                <w:highlight w:val="none"/>
                <w:lang w:bidi="ar"/>
              </w:rPr>
              <w:t>3.2语言模型管理模块:默认为跨境电商专业教学72b模型，支持其他不同格式模型的导入、导出、更新，模型的加载、卸载和运行状态监控，支持模型微调，提供Web端的大模型微调界面；</w:t>
            </w:r>
          </w:p>
          <w:p w14:paraId="111B4CBA">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color w:val="auto"/>
                <w:sz w:val="21"/>
                <w:szCs w:val="21"/>
                <w:highlight w:val="none"/>
                <w:lang w:bidi="ar"/>
              </w:rPr>
              <w:t>▲</w:t>
            </w:r>
            <w:r>
              <w:rPr>
                <w:rFonts w:hint="eastAsia" w:ascii="宋体" w:hAnsi="宋体" w:cs="宋体"/>
                <w:bCs/>
                <w:color w:val="auto"/>
                <w:sz w:val="21"/>
                <w:szCs w:val="21"/>
                <w:highlight w:val="none"/>
                <w:lang w:bidi="ar"/>
              </w:rPr>
              <w:t>3.3跨境电商专业知识问答:内置预训练的跨境电商专业大模型，可为教师、学生提供专业知识解答，可协助进行跨境电商平台运营，提供营销策划方案、Listing优化、短视频拍摄脚本生成、小语种翻译功能；</w:t>
            </w:r>
          </w:p>
          <w:p w14:paraId="2435A69F">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3.4实时翻译模块:支持多语言实时翻译，语言模型自动选择和切换；</w:t>
            </w:r>
          </w:p>
          <w:p w14:paraId="4AEB0261">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3.5内容审核模块:实时内容审核和过滤，审核规则配置和管理；</w:t>
            </w:r>
          </w:p>
          <w:p w14:paraId="7848A25F">
            <w:pPr>
              <w:pStyle w:val="22"/>
              <w:keepNext w:val="0"/>
              <w:keepLines w:val="0"/>
              <w:suppressLineNumbers w:val="0"/>
              <w:spacing w:before="0" w:beforeAutospacing="0" w:after="0" w:afterAutospacing="0" w:line="340" w:lineRule="exact"/>
              <w:ind w:left="0" w:right="0"/>
              <w:jc w:val="left"/>
              <w:rPr>
                <w:rFonts w:hint="default" w:ascii="宋体" w:hAnsi="宋体" w:cs="宋体"/>
                <w:bCs/>
                <w:color w:val="auto"/>
                <w:sz w:val="21"/>
                <w:szCs w:val="21"/>
                <w:highlight w:val="none"/>
              </w:rPr>
            </w:pPr>
            <w:r>
              <w:rPr>
                <w:rFonts w:hint="eastAsia" w:ascii="宋体" w:hAnsi="宋体" w:cs="宋体"/>
                <w:bCs/>
                <w:color w:val="auto"/>
                <w:sz w:val="21"/>
                <w:szCs w:val="21"/>
                <w:highlight w:val="none"/>
                <w:lang w:bidi="ar"/>
              </w:rPr>
              <w:t>3.6自动记忆模块:对话历史记录和检索，自动学习和知识库更新；</w:t>
            </w:r>
          </w:p>
          <w:p w14:paraId="3BFBAE56">
            <w:pPr>
              <w:keepNext w:val="0"/>
              <w:keepLines w:val="0"/>
              <w:suppressLineNumbers w:val="0"/>
              <w:spacing w:before="0" w:beforeAutospacing="0" w:after="0" w:afterAutospacing="0" w:line="340" w:lineRule="exact"/>
              <w:ind w:left="0" w:right="0"/>
              <w:jc w:val="left"/>
              <w:rPr>
                <w:rFonts w:hint="default"/>
                <w:color w:val="auto"/>
                <w:szCs w:val="21"/>
                <w:highlight w:val="none"/>
              </w:rPr>
            </w:pPr>
            <w:r>
              <w:rPr>
                <w:rFonts w:hint="eastAsia" w:ascii="宋体" w:hAnsi="宋体" w:cs="宋体"/>
                <w:bCs/>
                <w:color w:val="auto"/>
                <w:szCs w:val="21"/>
                <w:highlight w:val="none"/>
                <w:lang w:bidi="ar"/>
              </w:rPr>
              <w:t>3.7日志和监控模块:系统操作日志记录，实时监控和报警；</w:t>
            </w:r>
          </w:p>
        </w:tc>
        <w:tc>
          <w:tcPr>
            <w:tcW w:w="545" w:type="pct"/>
            <w:shd w:val="clear" w:color="auto" w:fill="auto"/>
            <w:vAlign w:val="center"/>
          </w:tcPr>
          <w:p w14:paraId="73881C37">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50000</w:t>
            </w:r>
          </w:p>
        </w:tc>
      </w:tr>
      <w:tr w14:paraId="7747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2A255CE3">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3</w:t>
            </w:r>
          </w:p>
        </w:tc>
        <w:tc>
          <w:tcPr>
            <w:tcW w:w="754" w:type="pct"/>
            <w:shd w:val="clear" w:color="auto" w:fill="auto"/>
            <w:vAlign w:val="center"/>
          </w:tcPr>
          <w:p w14:paraId="01BCBA95">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基于自研大模型的短视频智能创作系统（Cuber Director）</w:t>
            </w:r>
          </w:p>
        </w:tc>
        <w:tc>
          <w:tcPr>
            <w:tcW w:w="341" w:type="pct"/>
            <w:shd w:val="clear" w:color="auto" w:fill="auto"/>
            <w:vAlign w:val="center"/>
          </w:tcPr>
          <w:p w14:paraId="24D77287">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套</w:t>
            </w:r>
          </w:p>
        </w:tc>
        <w:tc>
          <w:tcPr>
            <w:tcW w:w="342" w:type="pct"/>
            <w:shd w:val="clear" w:color="auto" w:fill="auto"/>
            <w:vAlign w:val="center"/>
          </w:tcPr>
          <w:p w14:paraId="18C3C44D">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tcPr>
          <w:p w14:paraId="53DEB85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系统功能：</w:t>
            </w:r>
          </w:p>
          <w:p w14:paraId="136392D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 视频文案生成：AI自动生成视频文案，支持自定义文案；</w:t>
            </w:r>
          </w:p>
          <w:p w14:paraId="51E541C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 视频尺寸支持支持多种高清视频尺寸：竖屏（9:16，1080x1920）、横屏（16:9，1920x1080）；</w:t>
            </w:r>
          </w:p>
          <w:p w14:paraId="00C498A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 批量视频生成：支持批量视频生成，可以一次生成多个视频，选择一个进行保存导出；</w:t>
            </w:r>
          </w:p>
          <w:p w14:paraId="58A6836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 视频片段时长设置：支持视频片段时长设置，方便调节素材切换频率；</w:t>
            </w:r>
          </w:p>
          <w:p w14:paraId="3CA8F26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 视频文案语言支持：支持中文和英文视频文案；</w:t>
            </w:r>
          </w:p>
          <w:p w14:paraId="560A6CD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 语音合成：支持多种语音合成，可实时试听效果；</w:t>
            </w:r>
          </w:p>
          <w:p w14:paraId="6E70163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7. 字幕生成：支持字幕生成，可调整字体、位置、颜色、大小，支持字幕描边设置；</w:t>
            </w:r>
          </w:p>
          <w:p w14:paraId="7478C2D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8. 背景音乐：支持背景音乐，随机或者指定音乐文件，可设置背景音乐音量；</w:t>
            </w:r>
          </w:p>
          <w:p w14:paraId="324D157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9. 视频素材来源：高清视频素材，无版权问题，支持使用本地素材；</w:t>
            </w:r>
          </w:p>
          <w:p w14:paraId="3BD30C7F">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color w:val="auto"/>
                <w:szCs w:val="21"/>
                <w:highlight w:val="none"/>
                <w:lang w:bidi="ar"/>
              </w:rPr>
              <w:t>10. 核心功能：只需提供一个视频主题或关键词 ，即可利用本地大模型及本地素材生成视频文案、视频素材、视频字幕、视频背景音乐，并合成高清的短视频。</w:t>
            </w:r>
          </w:p>
        </w:tc>
        <w:tc>
          <w:tcPr>
            <w:tcW w:w="545" w:type="pct"/>
            <w:shd w:val="clear" w:color="auto" w:fill="auto"/>
            <w:vAlign w:val="center"/>
          </w:tcPr>
          <w:p w14:paraId="060E68A9">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50000</w:t>
            </w:r>
          </w:p>
        </w:tc>
      </w:tr>
      <w:tr w14:paraId="59FD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55A94D96">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4</w:t>
            </w:r>
          </w:p>
        </w:tc>
        <w:tc>
          <w:tcPr>
            <w:tcW w:w="754" w:type="pct"/>
            <w:shd w:val="clear" w:color="auto" w:fill="auto"/>
            <w:vAlign w:val="center"/>
          </w:tcPr>
          <w:p w14:paraId="507492A6">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基于GFPGAN、CodeFormer的人像智能处理系统</w:t>
            </w:r>
          </w:p>
        </w:tc>
        <w:tc>
          <w:tcPr>
            <w:tcW w:w="341" w:type="pct"/>
            <w:shd w:val="clear" w:color="auto" w:fill="auto"/>
            <w:vAlign w:val="center"/>
          </w:tcPr>
          <w:p w14:paraId="61A4620F">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套</w:t>
            </w:r>
          </w:p>
        </w:tc>
        <w:tc>
          <w:tcPr>
            <w:tcW w:w="342" w:type="pct"/>
            <w:shd w:val="clear" w:color="auto" w:fill="auto"/>
            <w:vAlign w:val="center"/>
          </w:tcPr>
          <w:p w14:paraId="0C0934AF">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tcPr>
          <w:p w14:paraId="6D6882E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1.系统架构</w:t>
            </w:r>
          </w:p>
          <w:p w14:paraId="6EE0241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（1）多功能设计：系统应支持面部交换和增强功能，能够在图像和视频中实现高质量的面部替换。</w:t>
            </w:r>
          </w:p>
          <w:p w14:paraId="4D83D97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（2）兼容性：支持Windows、Linux和macOS操作系统，确保广泛的适用性。</w:t>
            </w:r>
          </w:p>
          <w:p w14:paraId="26C9D45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（3）高效运行：优化系统以确保在GPU上高效运行，并提供低VRAM使用的选项。</w:t>
            </w:r>
          </w:p>
          <w:p w14:paraId="6CA304C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2.核心功能</w:t>
            </w:r>
          </w:p>
          <w:p w14:paraId="10C5310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▲（1）面部处理模块</w:t>
            </w:r>
          </w:p>
          <w:p w14:paraId="087BD89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面部交换器（face_swapper）：支持多种面部交换模型（如inswapper_128_fp16）。</w:t>
            </w:r>
          </w:p>
          <w:p w14:paraId="108C8AC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面部增强器（face_enhancer）：支持多种面部增强模型（如GFPGAN 1.4），并允许调整增强混合比例。</w:t>
            </w:r>
          </w:p>
          <w:p w14:paraId="5FDC7B9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其他处理器：支持调试（face_debugger）、上色（frame_colorizer）和同步（lip_syncer）等功能。</w:t>
            </w:r>
          </w:p>
          <w:p w14:paraId="6625F1B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（2）源文件和目标文件</w:t>
            </w:r>
          </w:p>
          <w:p w14:paraId="42CFEAC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支持单一或多个源图像或音频文件的选择（source）。</w:t>
            </w:r>
          </w:p>
          <w:p w14:paraId="16A0790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支持单一目标图像或视频文件的选择（target）。</w:t>
            </w:r>
          </w:p>
          <w:p w14:paraId="261E666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提供预览功能，允许用户选择预览帧，并支持视频帧的裁剪。</w:t>
            </w:r>
          </w:p>
          <w:p w14:paraId="4698366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（3）执行和内存管理</w:t>
            </w:r>
          </w:p>
          <w:p w14:paraId="49BAA4A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执行设备：允许用户指定处理设备ID，支持CUDA、Azure和CPU等多种执行提供者。</w:t>
            </w:r>
          </w:p>
          <w:p w14:paraId="0F26549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执行线程和队列：支持调整并行处理线程数和处理队列数，以提高处理效率。</w:t>
            </w:r>
          </w:p>
          <w:p w14:paraId="6BB9843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内存策略：提供严格（strict）、适中（moderate）和宽容（tolerant）三种视频内存策略，并允许设置系统内存限制。</w:t>
            </w:r>
          </w:p>
          <w:p w14:paraId="60E84F5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▲（4）面部分析和选择</w:t>
            </w:r>
          </w:p>
          <w:p w14:paraId="28D0B98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面部检测：支持多种面部检测模型（如retinaface、scrfd、yoloface、yunet），并允许设置检测帧大小和分数过滤。</w:t>
            </w:r>
          </w:p>
          <w:p w14:paraId="4EF0DD5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面部选择：提供多种面部选择模式（如单一、参考），允许用户指定参考面部位置和相似度。</w:t>
            </w:r>
          </w:p>
          <w:p w14:paraId="177BA26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▲（5）面部掩码和框架提取</w:t>
            </w:r>
          </w:p>
          <w:p w14:paraId="6945CB9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面部掩码：支持盒型（box）、遮挡（occlusion）和区域（region）三种掩码类型，并允许设置模糊程度和边界扩展。</w:t>
            </w:r>
          </w:p>
          <w:p w14:paraId="038812E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帧提取：支持指定视频的起始帧和结束帧，并允许选择临时资源格式（如bmp、jpg、png）。</w:t>
            </w:r>
          </w:p>
          <w:p w14:paraId="509B4CD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▲（6）输出创建</w:t>
            </w:r>
          </w:p>
          <w:p w14:paraId="0D4D8AB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输出路径：允许用户指定输出文件或目录。</w:t>
            </w:r>
          </w:p>
          <w:p w14:paraId="7DAC88F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视频编码器：支持多种视频编码器（如libx264、libx265、libvpx-vp9）。</w:t>
            </w:r>
          </w:p>
          <w:p w14:paraId="698E3D3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视频预设：提供多种视频处理预设（如超快、快速、中等、慢等）。</w:t>
            </w:r>
          </w:p>
          <w:p w14:paraId="7D3D09B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ab/>
            </w:r>
            <w:r>
              <w:rPr>
                <w:rFonts w:hint="eastAsia" w:ascii="宋体" w:hAnsi="宋体" w:cs="宋体"/>
                <w:color w:val="auto"/>
                <w:szCs w:val="21"/>
                <w:highlight w:val="none"/>
                <w:lang w:bidi="ar"/>
              </w:rPr>
              <w:t>图像和视频质量：允许用户设置输出图像和视频的质量和分辨率。</w:t>
            </w:r>
          </w:p>
          <w:p w14:paraId="5F13C92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3.用户体验</w:t>
            </w:r>
          </w:p>
          <w:p w14:paraId="52378DB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（1）图形用户界面：界面设计应简洁直观，便于用户操作和上手。</w:t>
            </w:r>
          </w:p>
          <w:p w14:paraId="7455934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（2）快捷键支持：支持常用快捷键操作，提高用户工作效率。</w:t>
            </w:r>
          </w:p>
          <w:p w14:paraId="6D4CC30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（3）文档和教程：提供详细的用户手册和操作教程，帮助用户快速掌握系统使用方法。</w:t>
            </w:r>
          </w:p>
          <w:p w14:paraId="3FC7F95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4.技术支持与维护</w:t>
            </w:r>
          </w:p>
          <w:p w14:paraId="66C4AAB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（1）技术支持：提供专业的技术支持服务，响应时间不超过24小时。</w:t>
            </w:r>
          </w:p>
          <w:p w14:paraId="0F4D3FA8">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color w:val="auto"/>
                <w:szCs w:val="21"/>
                <w:highlight w:val="none"/>
                <w:lang w:bidi="ar"/>
              </w:rPr>
              <w:t>（2）系统更新：定期提供系统更新和新功能发布，确保系统的持续优化和功能扩展。</w:t>
            </w:r>
          </w:p>
        </w:tc>
        <w:tc>
          <w:tcPr>
            <w:tcW w:w="545" w:type="pct"/>
            <w:shd w:val="clear" w:color="auto" w:fill="auto"/>
            <w:vAlign w:val="center"/>
          </w:tcPr>
          <w:p w14:paraId="0A93286B">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50000</w:t>
            </w:r>
          </w:p>
        </w:tc>
      </w:tr>
      <w:tr w14:paraId="790F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5EA41D6A">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5</w:t>
            </w:r>
          </w:p>
        </w:tc>
        <w:tc>
          <w:tcPr>
            <w:tcW w:w="754" w:type="pct"/>
            <w:shd w:val="clear" w:color="auto" w:fill="auto"/>
            <w:vAlign w:val="center"/>
          </w:tcPr>
          <w:p w14:paraId="01FF2CD3">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基于Stable Diffusion的文/图生图工作流系统（Cuber Creator）</w:t>
            </w:r>
          </w:p>
        </w:tc>
        <w:tc>
          <w:tcPr>
            <w:tcW w:w="341" w:type="pct"/>
            <w:shd w:val="clear" w:color="auto" w:fill="auto"/>
            <w:vAlign w:val="center"/>
          </w:tcPr>
          <w:p w14:paraId="5533BAEC">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套</w:t>
            </w:r>
          </w:p>
        </w:tc>
        <w:tc>
          <w:tcPr>
            <w:tcW w:w="342" w:type="pct"/>
            <w:shd w:val="clear" w:color="auto" w:fill="auto"/>
            <w:vAlign w:val="center"/>
          </w:tcPr>
          <w:p w14:paraId="22E40B2C">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tcPr>
          <w:p w14:paraId="4CE7E92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1.系统架构</w:t>
            </w:r>
          </w:p>
          <w:p w14:paraId="257748B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bidi="ar"/>
              </w:rPr>
              <w:t>）模块化设计：系统应采用节点式图形用户界面（GUI），每个节点代表一个独立的功能模块，可以自由组合。</w:t>
            </w:r>
          </w:p>
          <w:p w14:paraId="034ECAC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（2）兼容性：支持Windows、Linux和macOS操作系统。</w:t>
            </w:r>
          </w:p>
          <w:p w14:paraId="3587BC1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▲（3）独立运行：系统应能完全离线本地化运行，不依赖公网服务器，且不会自动下载任何内容。</w:t>
            </w:r>
          </w:p>
          <w:p w14:paraId="54C0F6E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2.核心功能</w:t>
            </w:r>
          </w:p>
          <w:p w14:paraId="696BDC4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（1）图像生成：基于Stable Diffusion模型的文本到图像生成功能。</w:t>
            </w:r>
          </w:p>
          <w:p w14:paraId="0696D17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（2）节点管理：提供图形化的节点管理界面，包括节点的添加、删除、复制、粘贴、连接等操作。</w:t>
            </w:r>
          </w:p>
          <w:p w14:paraId="46DD6B0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▲（3）模型支持：兼容多种模型和插件，包括但不限于ControlNet、ESRGAN、SwinIR等，且模型与插件均已部署，不需要额外下载，总容量超过100GB。</w:t>
            </w:r>
          </w:p>
          <w:p w14:paraId="2BF4F2C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工作流保存与加载：支持工作流的保存和加载，便于用户管理和重用不同的图像生成工作流。内置跨境电商专业相关工作流10个，用户可直接使用，包括不限于图片去文字，图片自动生成、图片扩展、图片生成视频等。</w:t>
            </w:r>
          </w:p>
          <w:p w14:paraId="59A8CB4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（5）预览功能：提供实时预览功能，用户可以在生成图像前查看节点的中间结果。</w:t>
            </w:r>
          </w:p>
          <w:p w14:paraId="1C9F6EC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（6）历史记录：记录用户操作历史，支持撤销和重做操作。</w:t>
            </w:r>
          </w:p>
          <w:p w14:paraId="3A17D93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3.性能要求</w:t>
            </w:r>
          </w:p>
          <w:p w14:paraId="09233CA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（1）启动速度：系统启动时间不超过30秒。</w:t>
            </w:r>
          </w:p>
          <w:p w14:paraId="197EFA0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（2）运行效率：在生成图像时，系统应能充分利用GPU资源，提高图像生成速度。</w:t>
            </w:r>
          </w:p>
          <w:p w14:paraId="08CDBE6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4.用户体验</w:t>
            </w:r>
          </w:p>
          <w:p w14:paraId="570D37A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（1）快捷键支持：支持常用快捷键操作，提高用户工作效率。</w:t>
            </w:r>
          </w:p>
          <w:p w14:paraId="48E4671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（2）文档和教程：提供详细的用户手册和操作教程，帮助用户快速掌握系统使用方法。</w:t>
            </w:r>
          </w:p>
          <w:p w14:paraId="4B22432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5.技术支持与维护</w:t>
            </w:r>
          </w:p>
          <w:p w14:paraId="6AD67A0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（1）技术支持：提供专业的技术支持服务，响应时间不超过24小时。</w:t>
            </w:r>
          </w:p>
          <w:p w14:paraId="5C437C87">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color w:val="auto"/>
                <w:szCs w:val="21"/>
                <w:highlight w:val="none"/>
                <w:lang w:bidi="ar"/>
              </w:rPr>
              <w:t>▲（2）系统更新：定期提供系统更新和新功能发布，确保系统的持续优化和功能扩展。</w:t>
            </w:r>
          </w:p>
        </w:tc>
        <w:tc>
          <w:tcPr>
            <w:tcW w:w="545" w:type="pct"/>
            <w:shd w:val="clear" w:color="auto" w:fill="auto"/>
            <w:vAlign w:val="center"/>
          </w:tcPr>
          <w:p w14:paraId="2CFC1DEA">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50000</w:t>
            </w:r>
          </w:p>
        </w:tc>
      </w:tr>
      <w:tr w14:paraId="14F0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40A5464C">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6</w:t>
            </w:r>
          </w:p>
        </w:tc>
        <w:tc>
          <w:tcPr>
            <w:tcW w:w="754" w:type="pct"/>
            <w:shd w:val="clear" w:color="auto" w:fill="auto"/>
            <w:vAlign w:val="center"/>
          </w:tcPr>
          <w:p w14:paraId="4BBD5CFE">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“人工智能+”跨境电商大数据管理系统</w:t>
            </w:r>
          </w:p>
        </w:tc>
        <w:tc>
          <w:tcPr>
            <w:tcW w:w="341" w:type="pct"/>
            <w:shd w:val="clear" w:color="auto" w:fill="auto"/>
            <w:vAlign w:val="center"/>
          </w:tcPr>
          <w:p w14:paraId="5B4E2662">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套</w:t>
            </w:r>
          </w:p>
        </w:tc>
        <w:tc>
          <w:tcPr>
            <w:tcW w:w="342" w:type="pct"/>
            <w:shd w:val="clear" w:color="auto" w:fill="auto"/>
            <w:vAlign w:val="center"/>
          </w:tcPr>
          <w:p w14:paraId="2F5660CC">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tcPr>
          <w:p w14:paraId="2D8E226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该系统旨在构建高效的大数据管理中台系统，实现数据的集中管理和处理。建立大数据可视化展示客户端，提供直观的数据展示和分析。同时搭配一套教学管理系统配套东盟跨境电商教学产品。</w:t>
            </w:r>
          </w:p>
          <w:p w14:paraId="492A52C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主要功能模块：</w:t>
            </w:r>
          </w:p>
          <w:p w14:paraId="5858B34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 大数据中台管理模块：</w:t>
            </w:r>
          </w:p>
          <w:p w14:paraId="72546F2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（1）数据采集：收集东南亚各国跨境电商数据。采集广西产品在各个国家的销售数据。收集跨境电商人才需求数据。</w:t>
            </w:r>
          </w:p>
          <w:p w14:paraId="554DDF4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（2）数据清洗和存储：构建数据清洗机制，确保数据准确性。实现实时数据存储，保证数据的实时性。</w:t>
            </w:r>
          </w:p>
          <w:p w14:paraId="3D2B85D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（3）数据处理：提供高效的数据处理能力。支持数据分析与报告生成。</w:t>
            </w:r>
          </w:p>
          <w:p w14:paraId="23EFF7D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（4）数据支持:为上层应用提供稳定的数据支持。为企业和政府决策提供数据依据。</w:t>
            </w:r>
          </w:p>
          <w:p w14:paraId="1319093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 大数据可视化展示客户端</w:t>
            </w:r>
          </w:p>
          <w:p w14:paraId="0797626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多屏展示：设置五个竖屏，分辨率1920*1080，分别展示泰国、马来西亚、菲律宾、印度尼西亚和越南的跨境电商平台数据。每个竖屏展示电商交易量、用户活跃度、商品销售趋势等关键指标。展示广西商品在这些国家市场的销售情况，包括销售额、市场份额和热门商品类别。</w:t>
            </w:r>
          </w:p>
          <w:p w14:paraId="4816802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（2）人才需求展示：</w:t>
            </w:r>
          </w:p>
          <w:p w14:paraId="3EABE3E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设置一个独立大屏，展示广西区域内跨境电商人才需求情况。展示岗位数量、技能要求、薪资水平等信息。</w:t>
            </w:r>
          </w:p>
          <w:p w14:paraId="4AA4FA54">
            <w:pPr>
              <w:keepNext w:val="0"/>
              <w:keepLines w:val="0"/>
              <w:numPr>
                <w:ilvl w:val="0"/>
                <w:numId w:val="3"/>
              </w:numPr>
              <w:suppressLineNumbers w:val="0"/>
              <w:spacing w:before="0" w:beforeAutospacing="0" w:after="0" w:afterAutospacing="0" w:line="340" w:lineRule="exact"/>
              <w:ind w:right="0"/>
              <w:rPr>
                <w:rFonts w:hint="default" w:ascii="宋体" w:hAnsi="宋体" w:cs="宋体"/>
                <w:color w:val="auto"/>
                <w:szCs w:val="21"/>
                <w:highlight w:val="none"/>
              </w:rPr>
            </w:pPr>
            <w:r>
              <w:rPr>
                <w:rFonts w:hint="eastAsia" w:ascii="宋体" w:hAnsi="宋体" w:cs="宋体"/>
                <w:color w:val="auto"/>
                <w:szCs w:val="21"/>
                <w:highlight w:val="none"/>
                <w:lang w:bidi="ar"/>
              </w:rPr>
              <w:t>配套跨境电商教学系统</w:t>
            </w:r>
          </w:p>
          <w:p w14:paraId="6B42B17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依托教学管理系统实现课程的全流程管理，教师角色可按模块化调整课程任务内容、追踪学生任务完成情况、添加作业、设置考试测验试卷、管理在线文件资源、发布公告、线上讨论互动等功能。此外，管理员角色还具有班级管理、教师管理、学生管理功能。具体如下： </w:t>
            </w:r>
          </w:p>
          <w:p w14:paraId="079190A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▲（1）模块化任务设置：教师可根据具体上课需求，在课程设置页面进行课程下任务列表的自定义设定，任务列表可根据需要，自定义添加新的内容；  </w:t>
            </w:r>
          </w:p>
          <w:p w14:paraId="5F4B32C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（2）任务追踪：教师可在后台页面看到班级内所有学生的各项任务学习情况，并统计学习结果；  </w:t>
            </w:r>
          </w:p>
          <w:p w14:paraId="6A0215D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（3）添加作业：教师可在课程授课期间，随时添加作业，作业内容来源于系统试卷管理，教师可从习题库中任意组合形成试卷。 </w:t>
            </w:r>
          </w:p>
          <w:p w14:paraId="59CB0E3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（4）设置考试测验：教师可在课程授课期间，设定考试测验，内容来源于系统试卷管理，并同时可设置考试、测验的起止时间。其中，主观题部分系统将根据教师设定的评分标准，用 Ai 教学助教大模型进行综合评分，模型可离线本地部署； </w:t>
            </w:r>
          </w:p>
          <w:p w14:paraId="3406B66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▲（5）管理在线文件资源：教师可上传、下载、删除课程下的文件资源，学生可进行查看和下载； </w:t>
            </w:r>
          </w:p>
          <w:p w14:paraId="387D2DE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（6）发布公告：教师可线上发布公告通知，通过系统推送到各学生端； </w:t>
            </w:r>
          </w:p>
          <w:p w14:paraId="7DF4D81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（7）线上讨论：所有角色可在线上发布讨论主题，并具备回复、点赞功能，教师可管理讨论内容。 </w:t>
            </w:r>
          </w:p>
          <w:p w14:paraId="1D8C1F97">
            <w:pPr>
              <w:keepNext w:val="0"/>
              <w:keepLines w:val="0"/>
              <w:numPr>
                <w:ilvl w:val="0"/>
                <w:numId w:val="3"/>
              </w:numPr>
              <w:suppressLineNumbers w:val="0"/>
              <w:spacing w:before="0" w:beforeAutospacing="0" w:after="0" w:afterAutospacing="0" w:line="340" w:lineRule="exact"/>
              <w:ind w:right="0"/>
              <w:rPr>
                <w:rFonts w:hint="default" w:ascii="宋体" w:hAnsi="宋体" w:cs="宋体"/>
                <w:color w:val="auto"/>
                <w:szCs w:val="21"/>
                <w:highlight w:val="none"/>
              </w:rPr>
            </w:pPr>
            <w:r>
              <w:rPr>
                <w:rFonts w:hint="eastAsia" w:ascii="宋体" w:hAnsi="宋体" w:cs="宋体"/>
                <w:color w:val="auto"/>
                <w:szCs w:val="21"/>
                <w:highlight w:val="none"/>
                <w:lang w:bidi="ar"/>
              </w:rPr>
              <w:t>▲虚拟仿真实操任务</w:t>
            </w:r>
          </w:p>
          <w:p w14:paraId="774C30C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（1）Shopee虚拟仿真平台：</w:t>
            </w:r>
          </w:p>
          <w:p w14:paraId="5B9706C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1】Shopee 平台店铺入驻指导 </w:t>
            </w:r>
          </w:p>
          <w:p w14:paraId="4741CD9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2】shopee 平台卖家端功能介绍 </w:t>
            </w:r>
          </w:p>
          <w:p w14:paraId="7590B11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3】Shopee 平台店铺基础设置 </w:t>
            </w:r>
          </w:p>
          <w:p w14:paraId="4745332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4】Shopee 平台物流设置指导 </w:t>
            </w:r>
          </w:p>
          <w:p w14:paraId="1B80336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5】如何在 Shopee 平台进行商品上架 </w:t>
            </w:r>
          </w:p>
          <w:p w14:paraId="1BEFB10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6】Shopee 平台商品优化技巧(标题、类目、属性) </w:t>
            </w:r>
          </w:p>
          <w:p w14:paraId="15D65B6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7】Shopee 平台商品优化技巧(描述、图片、视频) </w:t>
            </w:r>
          </w:p>
          <w:p w14:paraId="21202F0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8】Shopee 平台商店介绍设置流程 </w:t>
            </w:r>
          </w:p>
          <w:p w14:paraId="580D362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9】Shopee 平台店铺装修指南 </w:t>
            </w:r>
          </w:p>
          <w:p w14:paraId="32728B0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10】Shopee 平台店铺装修:装饰组件的运用 </w:t>
            </w:r>
          </w:p>
          <w:p w14:paraId="125F605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11】Shopee 平台如何设置优惠券 </w:t>
            </w:r>
          </w:p>
          <w:p w14:paraId="572034F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12】Shopee 平台折扣活动设置流程.pdf </w:t>
            </w:r>
          </w:p>
          <w:p w14:paraId="3DFD157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13】Shopee 平台套装优惠设置流程(Bundle Deal) </w:t>
            </w:r>
          </w:p>
          <w:p w14:paraId="0DF3D1F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14】Shopee 平台设置限时选购使用方法(Flash Deal) </w:t>
            </w:r>
          </w:p>
          <w:p w14:paraId="2B52794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15】Shopee 平台广告(Ads)投放流程 </w:t>
            </w:r>
          </w:p>
          <w:p w14:paraId="168FF2F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16】Shopee 平台站外渠道广告功能介绍 </w:t>
            </w:r>
          </w:p>
          <w:p w14:paraId="7210B51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17】Shopee 平台订单发货流程 </w:t>
            </w:r>
          </w:p>
          <w:p w14:paraId="70BF935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18】Shopee 平台退货退款处理流程 </w:t>
            </w:r>
          </w:p>
          <w:p w14:paraId="6017D2B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19】关于 shopee 平台售前、售中、售后咨询服务 </w:t>
            </w:r>
          </w:p>
          <w:p w14:paraId="5587CDA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【任务 20】Shopee 平台如何使用运费测算工具</w:t>
            </w:r>
          </w:p>
          <w:p w14:paraId="225FAAE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（2）Lazada虚拟仿真平台：</w:t>
            </w:r>
          </w:p>
          <w:p w14:paraId="2BD68E6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1】注册成为 Lazada 平台卖家 </w:t>
            </w:r>
          </w:p>
          <w:p w14:paraId="06DAAE1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2】Lazada 平台店铺基础设置 </w:t>
            </w:r>
          </w:p>
          <w:p w14:paraId="30C7A58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3】Lazada 平台聊天设置指南 </w:t>
            </w:r>
          </w:p>
          <w:p w14:paraId="25E99616">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4】Lazada 平台运费计费及包邮设置 </w:t>
            </w:r>
          </w:p>
          <w:p w14:paraId="406127E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5】如何在 Lazada 平台进行商品上架 </w:t>
            </w:r>
          </w:p>
          <w:p w14:paraId="1FA9221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6】了解 Lazada 平台商品管理功能 </w:t>
            </w:r>
          </w:p>
          <w:p w14:paraId="32BD04F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7】如何进行商品优化来提升商品质量分 </w:t>
            </w:r>
          </w:p>
          <w:p w14:paraId="7C1ED55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8】Lazada 平台店铺装饰基本指南 </w:t>
            </w:r>
          </w:p>
          <w:p w14:paraId="1358349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9】Lazada 平台商店装饰模块(类目、横幅、媒体) </w:t>
            </w:r>
          </w:p>
          <w:p w14:paraId="339AFBC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10】Lazada 平台商店装饰模块(商品、促销、高级) </w:t>
            </w:r>
          </w:p>
          <w:p w14:paraId="282A499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11】Lazada 平台如何设置优惠券 </w:t>
            </w:r>
          </w:p>
          <w:p w14:paraId="63C685A2">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12】Lazada 平台如何设置商店闪购(SFS) </w:t>
            </w:r>
          </w:p>
          <w:p w14:paraId="677DACC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13 】 Lazada 平台超级推广 (Sponsored Discovery) </w:t>
            </w:r>
          </w:p>
          <w:p w14:paraId="296B03B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14】Lazada 平台折扣促销设置流程 </w:t>
            </w:r>
          </w:p>
          <w:p w14:paraId="60B94865">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15】Lazada 平台订单发货流程 </w:t>
            </w:r>
          </w:p>
          <w:p w14:paraId="7B212088">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16】Lazada 平台退货退款处理 </w:t>
            </w:r>
          </w:p>
          <w:p w14:paraId="7F72AC7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17】Lazada 平台数据分析(生意参谋) </w:t>
            </w:r>
          </w:p>
          <w:p w14:paraId="69BD5CF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 xml:space="preserve">【任务 18】如何在 LazLive 中设置你的直播 </w:t>
            </w:r>
          </w:p>
          <w:p w14:paraId="490203C6">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color w:val="auto"/>
                <w:szCs w:val="21"/>
                <w:highlight w:val="none"/>
                <w:lang w:bidi="ar"/>
              </w:rPr>
              <w:t>【任务 19】如何策划 Lazada 平台直播内容</w:t>
            </w:r>
          </w:p>
        </w:tc>
        <w:tc>
          <w:tcPr>
            <w:tcW w:w="545" w:type="pct"/>
            <w:shd w:val="clear" w:color="auto" w:fill="auto"/>
            <w:vAlign w:val="center"/>
          </w:tcPr>
          <w:p w14:paraId="28895012">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100000</w:t>
            </w:r>
          </w:p>
        </w:tc>
      </w:tr>
      <w:tr w14:paraId="2493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7" w:hRule="atLeast"/>
          <w:jc w:val="center"/>
        </w:trPr>
        <w:tc>
          <w:tcPr>
            <w:tcW w:w="271" w:type="pct"/>
            <w:shd w:val="clear" w:color="auto" w:fill="auto"/>
            <w:vAlign w:val="center"/>
          </w:tcPr>
          <w:p w14:paraId="20469F71">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7</w:t>
            </w:r>
          </w:p>
        </w:tc>
        <w:tc>
          <w:tcPr>
            <w:tcW w:w="754" w:type="pct"/>
            <w:shd w:val="clear" w:color="auto" w:fill="auto"/>
            <w:vAlign w:val="center"/>
          </w:tcPr>
          <w:p w14:paraId="0F5733A1">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坭兴陶非遗电动拉坯机</w:t>
            </w:r>
          </w:p>
        </w:tc>
        <w:tc>
          <w:tcPr>
            <w:tcW w:w="341" w:type="pct"/>
            <w:shd w:val="clear" w:color="auto" w:fill="auto"/>
            <w:vAlign w:val="center"/>
          </w:tcPr>
          <w:p w14:paraId="4CF73BAB">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台</w:t>
            </w:r>
          </w:p>
        </w:tc>
        <w:tc>
          <w:tcPr>
            <w:tcW w:w="342" w:type="pct"/>
            <w:shd w:val="clear" w:color="auto" w:fill="auto"/>
            <w:vAlign w:val="center"/>
          </w:tcPr>
          <w:p w14:paraId="6863F221">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5</w:t>
            </w:r>
          </w:p>
        </w:tc>
        <w:tc>
          <w:tcPr>
            <w:tcW w:w="2744" w:type="pct"/>
            <w:shd w:val="clear" w:color="auto" w:fill="auto"/>
            <w:vAlign w:val="center"/>
          </w:tcPr>
          <w:p w14:paraId="24357E45">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1.功能：拉配塑形；</w:t>
            </w:r>
          </w:p>
          <w:p w14:paraId="2457EC06">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2.转速：0-300转/分钟；</w:t>
            </w:r>
          </w:p>
          <w:p w14:paraId="353CE58B">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3.转盘方向：正反转可调；</w:t>
            </w:r>
          </w:p>
          <w:p w14:paraId="5F98EF5B">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4.控制方式：无级变速；</w:t>
            </w:r>
          </w:p>
          <w:p w14:paraId="063723E7">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5.功率：350W；</w:t>
            </w:r>
          </w:p>
          <w:p w14:paraId="47F0D6DC">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6.电压：220V；</w:t>
            </w:r>
          </w:p>
          <w:p w14:paraId="597C186E">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7.转盘材质：铝合金材质；</w:t>
            </w:r>
          </w:p>
          <w:p w14:paraId="49AF672C">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8.转盘尺寸：直径30CM；</w:t>
            </w:r>
          </w:p>
          <w:p w14:paraId="028E989D">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bCs/>
                <w:color w:val="auto"/>
                <w:szCs w:val="21"/>
                <w:highlight w:val="none"/>
                <w:lang w:bidi="ar"/>
              </w:rPr>
              <w:t>9.水盆：ABS强化可拆卸。</w:t>
            </w:r>
          </w:p>
        </w:tc>
        <w:tc>
          <w:tcPr>
            <w:tcW w:w="545" w:type="pct"/>
            <w:shd w:val="clear" w:color="auto" w:fill="auto"/>
            <w:vAlign w:val="center"/>
          </w:tcPr>
          <w:p w14:paraId="2D8268E8">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5000</w:t>
            </w:r>
          </w:p>
        </w:tc>
      </w:tr>
      <w:tr w14:paraId="5C0A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57EB64AF">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8</w:t>
            </w:r>
          </w:p>
        </w:tc>
        <w:tc>
          <w:tcPr>
            <w:tcW w:w="754" w:type="pct"/>
            <w:shd w:val="clear" w:color="auto" w:fill="auto"/>
            <w:vAlign w:val="center"/>
          </w:tcPr>
          <w:p w14:paraId="799478E7">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坭兴陶非遗烧制电窑炉</w:t>
            </w:r>
          </w:p>
        </w:tc>
        <w:tc>
          <w:tcPr>
            <w:tcW w:w="341" w:type="pct"/>
            <w:shd w:val="clear" w:color="auto" w:fill="auto"/>
            <w:vAlign w:val="center"/>
          </w:tcPr>
          <w:p w14:paraId="496FCC7E">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个</w:t>
            </w:r>
          </w:p>
        </w:tc>
        <w:tc>
          <w:tcPr>
            <w:tcW w:w="342" w:type="pct"/>
            <w:shd w:val="clear" w:color="auto" w:fill="auto"/>
            <w:vAlign w:val="center"/>
          </w:tcPr>
          <w:p w14:paraId="344BFC8B">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vAlign w:val="center"/>
          </w:tcPr>
          <w:p w14:paraId="1F794BAA">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1.产品功率8KW；</w:t>
            </w:r>
          </w:p>
          <w:p w14:paraId="047AB5C3">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2.产品220V；</w:t>
            </w:r>
          </w:p>
          <w:p w14:paraId="31BEE534">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3.外尺寸75X115X112CM及以上；</w:t>
            </w:r>
          </w:p>
          <w:p w14:paraId="7975A06D">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4.内尺寸34X43X59CM及以上；</w:t>
            </w:r>
          </w:p>
          <w:p w14:paraId="110D1717">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5.操纵方式：电容触摸；</w:t>
            </w:r>
          </w:p>
          <w:p w14:paraId="13000EA2">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6.曲线编辑方式：全屏键盘式输入；</w:t>
            </w:r>
          </w:p>
          <w:p w14:paraId="40C53B6D">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7.仪表电源DC24V安全电压；</w:t>
            </w:r>
          </w:p>
          <w:p w14:paraId="62AD4952">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bCs/>
                <w:color w:val="auto"/>
                <w:szCs w:val="21"/>
                <w:highlight w:val="none"/>
                <w:lang w:bidi="ar"/>
              </w:rPr>
              <w:t>8.耐压强度5000V。</w:t>
            </w:r>
          </w:p>
        </w:tc>
        <w:tc>
          <w:tcPr>
            <w:tcW w:w="545" w:type="pct"/>
            <w:shd w:val="clear" w:color="auto" w:fill="auto"/>
            <w:vAlign w:val="center"/>
          </w:tcPr>
          <w:p w14:paraId="1CEDBD27">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10000</w:t>
            </w:r>
          </w:p>
        </w:tc>
      </w:tr>
      <w:tr w14:paraId="2AF4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0644C83F">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9</w:t>
            </w:r>
          </w:p>
        </w:tc>
        <w:tc>
          <w:tcPr>
            <w:tcW w:w="754" w:type="pct"/>
            <w:shd w:val="clear" w:color="auto" w:fill="auto"/>
            <w:vAlign w:val="center"/>
          </w:tcPr>
          <w:p w14:paraId="7907949B">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二氧化碳坭兴陶激光打标机</w:t>
            </w:r>
          </w:p>
        </w:tc>
        <w:tc>
          <w:tcPr>
            <w:tcW w:w="341" w:type="pct"/>
            <w:shd w:val="clear" w:color="auto" w:fill="auto"/>
            <w:vAlign w:val="center"/>
          </w:tcPr>
          <w:p w14:paraId="26F3CD32">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台</w:t>
            </w:r>
          </w:p>
        </w:tc>
        <w:tc>
          <w:tcPr>
            <w:tcW w:w="342" w:type="pct"/>
            <w:shd w:val="clear" w:color="auto" w:fill="auto"/>
            <w:vAlign w:val="center"/>
          </w:tcPr>
          <w:p w14:paraId="1AB412B7">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vAlign w:val="center"/>
          </w:tcPr>
          <w:p w14:paraId="367EF03A">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1.功率调节范围10~100%；</w:t>
            </w:r>
          </w:p>
          <w:p w14:paraId="43A27B56">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2.调制频率5-60KHz；</w:t>
            </w:r>
          </w:p>
          <w:p w14:paraId="76FF1AE6">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lang w:bidi="ar"/>
              </w:rPr>
            </w:pPr>
            <w:r>
              <w:rPr>
                <w:rFonts w:hint="eastAsia" w:ascii="宋体" w:hAnsi="宋体" w:cs="宋体"/>
                <w:bCs/>
                <w:color w:val="auto"/>
                <w:szCs w:val="21"/>
                <w:highlight w:val="none"/>
                <w:lang w:bidi="ar"/>
              </w:rPr>
              <w:t>3.供电电源220V/50Hz单相交流电源；</w:t>
            </w:r>
          </w:p>
          <w:p w14:paraId="12892AC7">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4.输入功率：800W；</w:t>
            </w:r>
          </w:p>
          <w:p w14:paraId="34820CF5">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5.标刻线宽5un-100un（可调）；</w:t>
            </w:r>
          </w:p>
          <w:p w14:paraId="6513348A">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6.扫描速度最大7000mn/s；</w:t>
            </w:r>
          </w:p>
          <w:p w14:paraId="0D64A742">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7.标刻深度3un-0. 5nm；</w:t>
            </w:r>
          </w:p>
          <w:p w14:paraId="4AB0BF42">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8.聚焦光斑0.5nn；</w:t>
            </w:r>
          </w:p>
          <w:p w14:paraId="203208DF">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9.通讯接口USB2.0；</w:t>
            </w:r>
          </w:p>
          <w:p w14:paraId="67B86050">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10.雕刻线速7000mn/s；</w:t>
            </w:r>
          </w:p>
          <w:p w14:paraId="72FA56C9">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11.冷却方式：风冷；</w:t>
            </w:r>
          </w:p>
          <w:p w14:paraId="4ECA2966">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12.最小字符高度：0.1~0.2mm；</w:t>
            </w:r>
          </w:p>
          <w:p w14:paraId="45E45ED9">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13.标刻范围110*110nm~300*300mm；</w:t>
            </w:r>
          </w:p>
          <w:p w14:paraId="48BFEEE2">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14.适用领域：金、银、铜、铁、铝、碳钢、生铁、不锈钢各类金属，电工产品、汽车配件、电路芯片、模具轴承、五金工具制品、精密器械、礼品饰品、硬质塑料、电镀塑料、喷漆材料、ABS环氧树脂等材料；</w:t>
            </w:r>
          </w:p>
          <w:p w14:paraId="3775921D">
            <w:pPr>
              <w:keepNext w:val="0"/>
              <w:keepLines w:val="0"/>
              <w:suppressLineNumbers w:val="0"/>
              <w:spacing w:before="0" w:beforeAutospacing="0" w:after="0" w:afterAutospacing="0" w:line="34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lang w:bidi="ar"/>
              </w:rPr>
              <w:t>15.激光波长 1064nm；</w:t>
            </w:r>
          </w:p>
          <w:p w14:paraId="1639FB2C">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bCs/>
                <w:color w:val="auto"/>
                <w:szCs w:val="21"/>
                <w:highlight w:val="none"/>
                <w:lang w:bidi="ar"/>
              </w:rPr>
              <w:t>16.激光功率 50W。</w:t>
            </w:r>
          </w:p>
        </w:tc>
        <w:tc>
          <w:tcPr>
            <w:tcW w:w="545" w:type="pct"/>
            <w:shd w:val="clear" w:color="auto" w:fill="auto"/>
            <w:vAlign w:val="center"/>
          </w:tcPr>
          <w:p w14:paraId="0CDB0C07">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15000</w:t>
            </w:r>
          </w:p>
        </w:tc>
      </w:tr>
      <w:tr w14:paraId="1F3D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64DA7FD1">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10</w:t>
            </w:r>
          </w:p>
        </w:tc>
        <w:tc>
          <w:tcPr>
            <w:tcW w:w="754" w:type="pct"/>
            <w:shd w:val="clear" w:color="auto" w:fill="auto"/>
            <w:vAlign w:val="center"/>
          </w:tcPr>
          <w:p w14:paraId="1079B764">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3D打印机</w:t>
            </w:r>
          </w:p>
        </w:tc>
        <w:tc>
          <w:tcPr>
            <w:tcW w:w="341" w:type="pct"/>
            <w:shd w:val="clear" w:color="auto" w:fill="auto"/>
            <w:vAlign w:val="center"/>
          </w:tcPr>
          <w:p w14:paraId="387586D3">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台</w:t>
            </w:r>
          </w:p>
        </w:tc>
        <w:tc>
          <w:tcPr>
            <w:tcW w:w="342" w:type="pct"/>
            <w:shd w:val="clear" w:color="auto" w:fill="auto"/>
            <w:vAlign w:val="center"/>
          </w:tcPr>
          <w:p w14:paraId="54A5152C">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vAlign w:val="center"/>
          </w:tcPr>
          <w:p w14:paraId="1712321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1.成型技术：FDM；</w:t>
            </w:r>
          </w:p>
          <w:p w14:paraId="6963324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2.打印尺寸：300*300*300mm；</w:t>
            </w:r>
          </w:p>
          <w:p w14:paraId="7FF63839">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3.产品净重：不超过20kg；</w:t>
            </w:r>
          </w:p>
          <w:p w14:paraId="58A074C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4.打印速度：不低于600mm/s；</w:t>
            </w:r>
          </w:p>
          <w:p w14:paraId="31322D73">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5.打印精度：100±0.1mm；</w:t>
            </w:r>
          </w:p>
          <w:p w14:paraId="08DBD37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6.耗材直径：1.75mm；</w:t>
            </w:r>
          </w:p>
          <w:p w14:paraId="0007E0E4">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7.喷嘴直径：0.4mm；</w:t>
            </w:r>
          </w:p>
          <w:p w14:paraId="304FDEC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8.显示屏：4.3英寸彩色触控屏；</w:t>
            </w:r>
          </w:p>
          <w:p w14:paraId="3C6D5ABE">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lang w:bidi="ar"/>
              </w:rPr>
              <w:t>9.支持耗材：ABS/PLA/PETG/PET/TPU/PAABS/ASA/PC/PLA-CF/PA-CF/PET-CF；</w:t>
            </w:r>
          </w:p>
          <w:p w14:paraId="223D45B0">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10.配套物品：双卷干燥盒+高速耗材3卷；</w:t>
            </w:r>
          </w:p>
          <w:p w14:paraId="045DBB83">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color w:val="auto"/>
                <w:szCs w:val="21"/>
                <w:highlight w:val="none"/>
                <w:lang w:bidi="ar"/>
              </w:rPr>
              <w:t>11.配套服务：提供50个不同风格的STL格式打印文件，并提供的3D打印机操作及建模软件教学服务，由此产生的服务已包含在投标总价中，采购人不再另行支付。</w:t>
            </w:r>
          </w:p>
        </w:tc>
        <w:tc>
          <w:tcPr>
            <w:tcW w:w="545" w:type="pct"/>
            <w:shd w:val="clear" w:color="auto" w:fill="auto"/>
            <w:vAlign w:val="center"/>
          </w:tcPr>
          <w:p w14:paraId="085D4F52">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10000</w:t>
            </w:r>
          </w:p>
        </w:tc>
      </w:tr>
      <w:tr w14:paraId="1111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71" w:type="pct"/>
            <w:shd w:val="clear" w:color="auto" w:fill="auto"/>
            <w:vAlign w:val="center"/>
          </w:tcPr>
          <w:p w14:paraId="7495EA81">
            <w:pPr>
              <w:pStyle w:val="25"/>
              <w:keepNext w:val="0"/>
              <w:keepLines w:val="0"/>
              <w:suppressLineNumbers w:val="0"/>
              <w:spacing w:before="0" w:beforeAutospacing="0" w:after="0" w:afterAutospacing="0" w:line="340" w:lineRule="exact"/>
              <w:ind w:left="0" w:right="0" w:firstLine="0"/>
              <w:jc w:val="center"/>
              <w:rPr>
                <w:rFonts w:hint="default" w:ascii="宋体" w:hAnsi="宋体" w:cs="宋体"/>
                <w:color w:val="auto"/>
                <w:szCs w:val="21"/>
                <w:highlight w:val="none"/>
              </w:rPr>
            </w:pPr>
            <w:r>
              <w:rPr>
                <w:rFonts w:hint="eastAsia" w:ascii="宋体" w:hAnsi="宋体" w:cs="宋体"/>
                <w:color w:val="auto"/>
                <w:szCs w:val="21"/>
                <w:highlight w:val="none"/>
              </w:rPr>
              <w:t>11</w:t>
            </w:r>
          </w:p>
        </w:tc>
        <w:tc>
          <w:tcPr>
            <w:tcW w:w="754" w:type="pct"/>
            <w:shd w:val="clear" w:color="auto" w:fill="auto"/>
            <w:vAlign w:val="center"/>
          </w:tcPr>
          <w:p w14:paraId="1B48CC50">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bCs/>
                <w:color w:val="auto"/>
                <w:szCs w:val="21"/>
                <w:highlight w:val="none"/>
                <w:lang w:bidi="ar"/>
              </w:rPr>
              <w:t>文化建设</w:t>
            </w:r>
          </w:p>
        </w:tc>
        <w:tc>
          <w:tcPr>
            <w:tcW w:w="341" w:type="pct"/>
            <w:shd w:val="clear" w:color="auto" w:fill="auto"/>
            <w:vAlign w:val="center"/>
          </w:tcPr>
          <w:p w14:paraId="43E4C231">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批</w:t>
            </w:r>
          </w:p>
        </w:tc>
        <w:tc>
          <w:tcPr>
            <w:tcW w:w="342" w:type="pct"/>
            <w:shd w:val="clear" w:color="auto" w:fill="auto"/>
            <w:vAlign w:val="center"/>
          </w:tcPr>
          <w:p w14:paraId="0788D802">
            <w:pPr>
              <w:keepNext w:val="0"/>
              <w:keepLines w:val="0"/>
              <w:suppressLineNumbers w:val="0"/>
              <w:spacing w:before="0" w:beforeAutospacing="0" w:after="0" w:afterAutospacing="0" w:line="340" w:lineRule="exact"/>
              <w:ind w:left="0" w:right="0"/>
              <w:jc w:val="center"/>
              <w:rPr>
                <w:rFonts w:hint="default" w:ascii="宋体" w:hAnsi="宋体" w:cs="宋体"/>
                <w:color w:val="auto"/>
                <w:kern w:val="0"/>
                <w:szCs w:val="21"/>
                <w:highlight w:val="none"/>
              </w:rPr>
            </w:pPr>
            <w:r>
              <w:rPr>
                <w:rFonts w:hint="eastAsia" w:ascii="宋体" w:hAnsi="宋体" w:cs="宋体"/>
                <w:color w:val="auto"/>
                <w:szCs w:val="21"/>
                <w:highlight w:val="none"/>
                <w:lang w:bidi="ar"/>
              </w:rPr>
              <w:t>1</w:t>
            </w:r>
          </w:p>
        </w:tc>
        <w:tc>
          <w:tcPr>
            <w:tcW w:w="2744" w:type="pct"/>
            <w:shd w:val="clear" w:color="auto" w:fill="auto"/>
            <w:vAlign w:val="center"/>
          </w:tcPr>
          <w:p w14:paraId="24AF158E">
            <w:pPr>
              <w:keepNext w:val="0"/>
              <w:keepLines w:val="0"/>
              <w:suppressLineNumbers w:val="0"/>
              <w:spacing w:before="0" w:beforeAutospacing="0" w:after="0" w:afterAutospacing="0" w:line="340" w:lineRule="exact"/>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1.实训室综合布线。</w:t>
            </w:r>
          </w:p>
          <w:p w14:paraId="3EBD7648">
            <w:pPr>
              <w:keepNext w:val="0"/>
              <w:keepLines w:val="0"/>
              <w:suppressLineNumbers w:val="0"/>
              <w:spacing w:before="0" w:beforeAutospacing="0" w:after="0" w:afterAutospacing="0" w:line="340" w:lineRule="exact"/>
              <w:ind w:left="0" w:right="0"/>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2.用于展示人工智能+电商行业信息、成功案例、文化建设等，便于面向老师及学生进行产业展示及专业的认识实训；包含相关产业文化的展板宣传。</w:t>
            </w:r>
          </w:p>
          <w:p w14:paraId="23B051E8">
            <w:pPr>
              <w:keepNext w:val="0"/>
              <w:keepLines w:val="0"/>
              <w:suppressLineNumbers w:val="0"/>
              <w:spacing w:before="0" w:beforeAutospacing="0" w:after="0" w:afterAutospacing="0" w:line="340" w:lineRule="exact"/>
              <w:ind w:left="0" w:right="0"/>
              <w:rPr>
                <w:rFonts w:hint="default"/>
                <w:color w:val="auto"/>
                <w:szCs w:val="21"/>
                <w:highlight w:val="none"/>
              </w:rPr>
            </w:pPr>
            <w:r>
              <w:rPr>
                <w:rFonts w:hint="eastAsia" w:ascii="宋体" w:hAnsi="宋体" w:cs="宋体"/>
                <w:color w:val="auto"/>
                <w:kern w:val="0"/>
                <w:szCs w:val="21"/>
                <w:highlight w:val="none"/>
                <w:lang w:bidi="ar"/>
              </w:rPr>
              <w:t>3.根据场地，实训室长约20米、宽约6米墙面的文化展示设计安装施工。</w:t>
            </w:r>
          </w:p>
        </w:tc>
        <w:tc>
          <w:tcPr>
            <w:tcW w:w="545" w:type="pct"/>
            <w:shd w:val="clear" w:color="auto" w:fill="auto"/>
            <w:vAlign w:val="center"/>
          </w:tcPr>
          <w:p w14:paraId="05086124">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bidi="ar"/>
              </w:rPr>
              <w:t>40000</w:t>
            </w:r>
          </w:p>
        </w:tc>
      </w:tr>
      <w:tr w14:paraId="4705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1" w:type="pct"/>
            <w:shd w:val="clear" w:color="auto" w:fill="auto"/>
            <w:vAlign w:val="center"/>
          </w:tcPr>
          <w:p w14:paraId="0F89DE82">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商务条款</w:t>
            </w:r>
          </w:p>
        </w:tc>
        <w:tc>
          <w:tcPr>
            <w:tcW w:w="4728" w:type="pct"/>
            <w:gridSpan w:val="5"/>
            <w:shd w:val="clear" w:color="auto" w:fill="auto"/>
            <w:vAlign w:val="center"/>
          </w:tcPr>
          <w:p w14:paraId="7FACCF13">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▲一、合同签订期：</w:t>
            </w:r>
            <w:r>
              <w:rPr>
                <w:rFonts w:hint="eastAsia" w:ascii="宋体" w:hAnsi="宋体" w:cs="宋体"/>
                <w:color w:val="auto"/>
                <w:szCs w:val="21"/>
                <w:highlight w:val="none"/>
                <w:lang w:bidi="ar"/>
              </w:rPr>
              <w:t>自中标通知书发出之日起日25日内（注：中标通知书发出之日起25日内必须签订合同。</w:t>
            </w:r>
            <w:r>
              <w:rPr>
                <w:rFonts w:hint="eastAsia" w:ascii="宋体" w:hAnsi="宋体" w:cs="宋体"/>
                <w:color w:val="auto"/>
                <w:szCs w:val="21"/>
                <w:highlight w:val="none"/>
                <w:shd w:val="clear" w:color="auto" w:fill="FFFFFF"/>
                <w:lang w:bidi="ar"/>
              </w:rPr>
              <w:t>）</w:t>
            </w:r>
          </w:p>
          <w:p w14:paraId="29017326">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bCs/>
                <w:color w:val="auto"/>
                <w:szCs w:val="21"/>
                <w:highlight w:val="none"/>
                <w:u w:val="single"/>
                <w:shd w:val="clear" w:color="auto" w:fill="FFFFFF"/>
              </w:rPr>
            </w:pPr>
            <w:r>
              <w:rPr>
                <w:rFonts w:hint="eastAsia" w:ascii="宋体" w:hAnsi="宋体" w:cs="宋体"/>
                <w:color w:val="auto"/>
                <w:szCs w:val="21"/>
                <w:highlight w:val="none"/>
                <w:shd w:val="clear" w:color="auto" w:fill="FFFFFF"/>
                <w:lang w:bidi="ar"/>
              </w:rPr>
              <w:t>二、</w:t>
            </w:r>
            <w:r>
              <w:rPr>
                <w:rFonts w:hint="eastAsia" w:ascii="宋体" w:hAnsi="宋体" w:cs="宋体"/>
                <w:bCs/>
                <w:color w:val="auto"/>
                <w:szCs w:val="21"/>
                <w:highlight w:val="none"/>
                <w:shd w:val="clear" w:color="auto" w:fill="FFFFFF"/>
                <w:lang w:bidi="ar"/>
              </w:rPr>
              <w:t>货物期限或者货物时间：</w:t>
            </w:r>
            <w:r>
              <w:rPr>
                <w:rFonts w:hint="eastAsia" w:ascii="宋体" w:hAnsi="宋体" w:cs="宋体"/>
                <w:color w:val="auto"/>
                <w:spacing w:val="2"/>
                <w:szCs w:val="21"/>
                <w:highlight w:val="none"/>
                <w:lang w:bidi="ar"/>
              </w:rPr>
              <w:t>自合同签订之日后接到采购人通知起</w:t>
            </w:r>
            <w:r>
              <w:rPr>
                <w:rFonts w:hint="eastAsia" w:ascii="宋体" w:hAnsi="宋体" w:cs="宋体"/>
                <w:color w:val="auto"/>
                <w:spacing w:val="2"/>
                <w:szCs w:val="21"/>
                <w:highlight w:val="none"/>
                <w:u w:val="single"/>
                <w:lang w:bidi="ar"/>
              </w:rPr>
              <w:t>90</w:t>
            </w:r>
            <w:r>
              <w:rPr>
                <w:rFonts w:hint="eastAsia" w:ascii="宋体" w:hAnsi="宋体" w:cs="宋体"/>
                <w:color w:val="auto"/>
                <w:spacing w:val="2"/>
                <w:szCs w:val="21"/>
                <w:highlight w:val="none"/>
                <w:lang w:bidi="ar"/>
              </w:rPr>
              <w:t>日内交付并安装验收完毕</w:t>
            </w:r>
            <w:r>
              <w:rPr>
                <w:rFonts w:hint="eastAsia" w:ascii="宋体" w:hAnsi="宋体" w:cs="宋体"/>
                <w:bCs/>
                <w:color w:val="auto"/>
                <w:szCs w:val="21"/>
                <w:highlight w:val="none"/>
                <w:shd w:val="clear" w:color="auto" w:fill="FFFFFF"/>
                <w:lang w:bidi="ar"/>
              </w:rPr>
              <w:t>。</w:t>
            </w:r>
            <w:r>
              <w:rPr>
                <w:rFonts w:hint="eastAsia" w:ascii="宋体" w:hAnsi="宋体" w:cs="宋体"/>
                <w:color w:val="auto"/>
                <w:szCs w:val="21"/>
                <w:highlight w:val="none"/>
                <w:shd w:val="clear" w:color="auto" w:fill="FFFFFF"/>
                <w:lang w:bidi="ar"/>
              </w:rPr>
              <w:t>三、货物地点：广西南宁市采购人指定地点。</w:t>
            </w:r>
          </w:p>
          <w:p w14:paraId="2CC85705">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bCs/>
                <w:color w:val="auto"/>
                <w:szCs w:val="21"/>
                <w:highlight w:val="none"/>
                <w:shd w:val="clear" w:color="auto" w:fill="FFFFFF"/>
                <w:lang w:bidi="ar"/>
              </w:rPr>
              <w:t>四、</w:t>
            </w:r>
            <w:r>
              <w:rPr>
                <w:rFonts w:hint="eastAsia" w:ascii="宋体" w:hAnsi="宋体" w:cs="宋体"/>
                <w:color w:val="auto"/>
                <w:szCs w:val="21"/>
                <w:highlight w:val="none"/>
                <w:shd w:val="clear" w:color="auto" w:fill="FFFFFF"/>
                <w:lang w:bidi="ar"/>
              </w:rPr>
              <w:t>验收标准、规范：</w:t>
            </w:r>
          </w:p>
          <w:p w14:paraId="26A85CB0">
            <w:pPr>
              <w:keepNext w:val="0"/>
              <w:keepLines w:val="0"/>
              <w:suppressLineNumbers w:val="0"/>
              <w:spacing w:before="0" w:beforeAutospacing="0" w:after="0" w:afterAutospacing="0" w:line="340" w:lineRule="exact"/>
              <w:ind w:left="0" w:right="0"/>
              <w:rPr>
                <w:rFonts w:hint="default"/>
                <w:color w:val="auto"/>
                <w:highlight w:val="none"/>
              </w:rPr>
            </w:pPr>
            <w:r>
              <w:rPr>
                <w:rFonts w:hint="eastAsia"/>
                <w:color w:val="auto"/>
                <w:highlight w:val="none"/>
              </w:rPr>
              <w:t>中标人</w:t>
            </w:r>
            <w:r>
              <w:rPr>
                <w:rFonts w:hint="default"/>
                <w:color w:val="auto"/>
                <w:highlight w:val="none"/>
              </w:rPr>
              <w:t>完成全部产品安装后5个工作日内采购人组织验收，采购人根据</w:t>
            </w:r>
            <w:r>
              <w:rPr>
                <w:rFonts w:hint="eastAsia"/>
                <w:color w:val="auto"/>
                <w:highlight w:val="none"/>
              </w:rPr>
              <w:t>招标</w:t>
            </w:r>
            <w:r>
              <w:rPr>
                <w:rFonts w:hint="default"/>
                <w:color w:val="auto"/>
                <w:highlight w:val="none"/>
              </w:rPr>
              <w:t>文件要求、</w:t>
            </w:r>
            <w:r>
              <w:rPr>
                <w:rFonts w:hint="eastAsia"/>
                <w:color w:val="auto"/>
                <w:highlight w:val="none"/>
              </w:rPr>
              <w:t>投标</w:t>
            </w:r>
            <w:r>
              <w:rPr>
                <w:rFonts w:hint="default"/>
                <w:color w:val="auto"/>
                <w:highlight w:val="none"/>
              </w:rPr>
              <w:t>文件承诺以及合同条款进行验收，</w:t>
            </w:r>
            <w:r>
              <w:rPr>
                <w:rFonts w:hint="eastAsia"/>
                <w:color w:val="auto"/>
                <w:highlight w:val="none"/>
              </w:rPr>
              <w:t>中标人</w:t>
            </w:r>
            <w:r>
              <w:rPr>
                <w:rFonts w:hint="default"/>
                <w:color w:val="auto"/>
                <w:highlight w:val="none"/>
              </w:rPr>
              <w:t>须在验收时进行演示，经采购人对演示情况进行审查后，确认符合采购需求，予以验收通过。如演示采购需求不一致，采购人出具书面异议给</w:t>
            </w:r>
            <w:r>
              <w:rPr>
                <w:rFonts w:hint="eastAsia"/>
                <w:color w:val="auto"/>
                <w:highlight w:val="none"/>
              </w:rPr>
              <w:t>中标人</w:t>
            </w:r>
            <w:r>
              <w:rPr>
                <w:rFonts w:hint="default"/>
                <w:color w:val="auto"/>
                <w:highlight w:val="none"/>
              </w:rPr>
              <w:t>，</w:t>
            </w:r>
            <w:r>
              <w:rPr>
                <w:rFonts w:hint="eastAsia"/>
                <w:color w:val="auto"/>
                <w:highlight w:val="none"/>
              </w:rPr>
              <w:t>中标人</w:t>
            </w:r>
            <w:r>
              <w:rPr>
                <w:rFonts w:hint="default"/>
                <w:color w:val="auto"/>
                <w:highlight w:val="none"/>
              </w:rPr>
              <w:t>应当自收到书面异议后10个工作日内进行整改，整改后仍不通过的，不予验收，由此造成的一切不利后果及经济损失由</w:t>
            </w:r>
            <w:r>
              <w:rPr>
                <w:rFonts w:hint="eastAsia"/>
                <w:color w:val="auto"/>
                <w:highlight w:val="none"/>
              </w:rPr>
              <w:t>中标人</w:t>
            </w:r>
            <w:r>
              <w:rPr>
                <w:rFonts w:hint="default"/>
                <w:color w:val="auto"/>
                <w:highlight w:val="none"/>
              </w:rPr>
              <w:t>自行承担。验收通过后方可完成交付。</w:t>
            </w:r>
          </w:p>
          <w:p w14:paraId="03E8CE8B">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b/>
                <w:bCs/>
                <w:color w:val="auto"/>
                <w:szCs w:val="21"/>
                <w:highlight w:val="none"/>
                <w:shd w:val="clear" w:color="auto" w:fill="FFFFFF"/>
                <w:lang w:bidi="ar"/>
              </w:rPr>
              <w:t>▲</w:t>
            </w:r>
            <w:r>
              <w:rPr>
                <w:rFonts w:hint="eastAsia" w:ascii="宋体" w:hAnsi="宋体" w:cs="宋体"/>
                <w:color w:val="auto"/>
                <w:szCs w:val="21"/>
                <w:highlight w:val="none"/>
                <w:shd w:val="clear" w:color="auto" w:fill="FFFFFF"/>
                <w:lang w:bidi="ar"/>
              </w:rPr>
              <w:t>五、售后服务要求：</w:t>
            </w:r>
          </w:p>
          <w:p w14:paraId="613F0635">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1、质量保证期3年（自提交成果并验收合格之日起计）</w:t>
            </w:r>
          </w:p>
          <w:p w14:paraId="43098254">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2、响应时间：接到采购人处理问题通知后2小时内到达采购人指定现场</w:t>
            </w:r>
          </w:p>
          <w:p w14:paraId="30E95D97">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3、售后服务技术人员要求：</w:t>
            </w:r>
            <w:r>
              <w:rPr>
                <w:rFonts w:hint="eastAsia" w:ascii="宋体" w:hAnsi="宋体" w:cs="宋体"/>
                <w:color w:val="auto"/>
                <w:szCs w:val="21"/>
                <w:highlight w:val="none"/>
                <w:u w:val="single"/>
                <w:shd w:val="clear" w:color="auto" w:fill="FFFFFF"/>
                <w:lang w:bidi="ar"/>
              </w:rPr>
              <w:t>专职人员</w:t>
            </w:r>
          </w:p>
          <w:p w14:paraId="4649A93C">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4、备品备件要求：无</w:t>
            </w:r>
          </w:p>
          <w:p w14:paraId="12C683B9">
            <w:pPr>
              <w:keepNext w:val="0"/>
              <w:keepLines w:val="0"/>
              <w:widowControl/>
              <w:suppressLineNumbers w:val="0"/>
              <w:shd w:val="clear" w:color="auto" w:fill="FFFFFF"/>
              <w:tabs>
                <w:tab w:val="left" w:pos="3580"/>
              </w:tabs>
              <w:spacing w:before="0" w:beforeAutospacing="0" w:after="0" w:afterAutospacing="0" w:line="340" w:lineRule="exact"/>
              <w:ind w:left="0" w:right="0"/>
              <w:rPr>
                <w:rFonts w:hint="default" w:ascii="宋体" w:hAnsi="宋体" w:cs="宋体"/>
                <w:bCs/>
                <w:color w:val="auto"/>
                <w:szCs w:val="21"/>
                <w:highlight w:val="none"/>
                <w:u w:val="single"/>
                <w:shd w:val="clear" w:color="auto" w:fill="FFFFFF"/>
              </w:rPr>
            </w:pPr>
            <w:r>
              <w:rPr>
                <w:rFonts w:hint="eastAsia" w:ascii="宋体" w:hAnsi="宋体" w:cs="宋体"/>
                <w:color w:val="auto"/>
                <w:szCs w:val="21"/>
                <w:highlight w:val="none"/>
                <w:shd w:val="clear" w:color="auto" w:fill="FFFFFF"/>
                <w:lang w:bidi="ar"/>
              </w:rPr>
              <w:t>5、其他：无</w:t>
            </w:r>
          </w:p>
          <w:p w14:paraId="0609794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六、其他要求：</w:t>
            </w:r>
          </w:p>
          <w:p w14:paraId="3CF70A7F">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1、报价必须含以下部分，包括：</w:t>
            </w:r>
          </w:p>
          <w:p w14:paraId="6402956D">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（1）货物的价格；</w:t>
            </w:r>
          </w:p>
          <w:p w14:paraId="3E45D7E1">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（2）必要的保险费用和各项税金；</w:t>
            </w:r>
          </w:p>
          <w:p w14:paraId="4F1146B1">
            <w:pPr>
              <w:keepNext w:val="0"/>
              <w:keepLines w:val="0"/>
              <w:suppressLineNumbers w:val="0"/>
              <w:tabs>
                <w:tab w:val="left" w:pos="3490"/>
                <w:tab w:val="left" w:pos="3670"/>
                <w:tab w:val="left" w:pos="3895"/>
              </w:tabs>
              <w:spacing w:before="0" w:beforeAutospacing="0" w:after="0" w:afterAutospacing="0" w:line="34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lang w:bidi="ar"/>
              </w:rPr>
              <w:t>（3）其他（如运输、装卸、安装、调试、培训、技术支持、售后货物、更新升级等费用，根据项目具体情况填写）：无</w:t>
            </w:r>
          </w:p>
          <w:p w14:paraId="563C64CE">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b/>
                <w:bCs/>
                <w:color w:val="auto"/>
                <w:szCs w:val="21"/>
                <w:highlight w:val="none"/>
                <w:lang w:bidi="ar"/>
              </w:rPr>
              <w:t>▲</w:t>
            </w:r>
            <w:r>
              <w:rPr>
                <w:rFonts w:hint="eastAsia" w:ascii="宋体" w:hAnsi="宋体" w:cs="宋体"/>
                <w:color w:val="auto"/>
                <w:szCs w:val="21"/>
                <w:highlight w:val="none"/>
                <w:lang w:bidi="ar"/>
              </w:rPr>
              <w:t>2、付款方式：选择以下第（2）种方式</w:t>
            </w:r>
          </w:p>
          <w:p w14:paraId="6675A519">
            <w:pPr>
              <w:keepNext w:val="0"/>
              <w:keepLines w:val="0"/>
              <w:suppressLineNumbers w:val="0"/>
              <w:spacing w:before="0" w:beforeAutospacing="0" w:after="0" w:afterAutospacing="0" w:line="34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bidi="ar"/>
              </w:rPr>
              <w:t>本项目无预付款，合同签订后，设备完成硬件建设，甲方向乙方支付合同总价30%进度款，乙方按合同要培训交货完毕并验收合格后，甲方向乙方支付合同总价的70%，支付前由乙方按规定向甲方开具正式发票。</w:t>
            </w:r>
          </w:p>
          <w:p w14:paraId="33D29749">
            <w:pPr>
              <w:keepNext w:val="0"/>
              <w:keepLines w:val="0"/>
              <w:suppressLineNumbers w:val="0"/>
              <w:spacing w:before="0" w:beforeAutospacing="0" w:after="0" w:afterAutospacing="0" w:line="360" w:lineRule="auto"/>
              <w:ind w:left="0" w:right="0" w:firstLine="420" w:firstLineChars="200"/>
              <w:rPr>
                <w:rFonts w:hint="default" w:ascii="宋体" w:hAnsi="宋体" w:cs="宋体"/>
                <w:color w:val="auto"/>
                <w:szCs w:val="21"/>
                <w:highlight w:val="none"/>
                <w:u w:val="single"/>
              </w:rPr>
            </w:pPr>
            <w:r>
              <w:rPr>
                <w:rFonts w:hint="eastAsia" w:ascii="宋体" w:hAnsi="宋体" w:cs="宋体"/>
                <w:color w:val="auto"/>
                <w:szCs w:val="21"/>
                <w:highlight w:val="none"/>
                <w:lang w:bidi="ar"/>
              </w:rPr>
              <w:t>（2）本项目采取预付款形式，预付形式为</w:t>
            </w:r>
            <w:r>
              <w:rPr>
                <w:rFonts w:hint="eastAsia" w:ascii="宋体" w:hAnsi="宋体" w:cs="宋体"/>
                <w:color w:val="auto"/>
                <w:szCs w:val="21"/>
                <w:highlight w:val="none"/>
                <w:u w:val="single"/>
                <w:lang w:bidi="ar"/>
              </w:rPr>
              <w:t>：第一期付款：合同签订后，在担保措施生效及具备实施条件后10个工作日内采购人向中标人支付合同总价30%预付款，支付前由中标人按规定向采购人开具正式发票。</w:t>
            </w:r>
          </w:p>
          <w:p w14:paraId="07857BE7">
            <w:pPr>
              <w:keepNext w:val="0"/>
              <w:keepLines w:val="0"/>
              <w:widowControl/>
              <w:suppressLineNumbers w:val="0"/>
              <w:spacing w:before="0" w:beforeAutospacing="0" w:after="0" w:afterAutospacing="0"/>
              <w:ind w:left="0" w:right="0" w:firstLine="420" w:firstLineChars="200"/>
              <w:jc w:val="left"/>
              <w:rPr>
                <w:rFonts w:hint="default" w:ascii="宋体" w:hAnsi="宋体" w:cs="宋体"/>
                <w:color w:val="auto"/>
                <w:szCs w:val="21"/>
                <w:highlight w:val="none"/>
                <w:u w:val="single"/>
              </w:rPr>
            </w:pPr>
            <w:r>
              <w:rPr>
                <w:rFonts w:hint="eastAsia" w:ascii="宋体" w:hAnsi="宋体" w:cs="宋体"/>
                <w:color w:val="auto"/>
                <w:szCs w:val="21"/>
                <w:highlight w:val="none"/>
                <w:u w:val="single"/>
                <w:lang w:bidi="ar"/>
              </w:rPr>
              <w:t>第二期付款：中标人交货完毕并验收合格后，采购人向中标人支付合同总价的70%，支付前由中标人按规定向采购人开具正式发票。</w:t>
            </w:r>
          </w:p>
          <w:p w14:paraId="3E9C34F7">
            <w:pPr>
              <w:keepNext w:val="0"/>
              <w:keepLines w:val="0"/>
              <w:widowControl/>
              <w:suppressLineNumbers w:val="0"/>
              <w:spacing w:before="0" w:beforeAutospacing="0" w:after="0" w:afterAutospacing="0" w:line="340" w:lineRule="exact"/>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3、对合同条款的调整（如对验收、违约责任等有特殊要求的）</w:t>
            </w:r>
          </w:p>
          <w:p w14:paraId="25F1403B">
            <w:pPr>
              <w:keepNext w:val="0"/>
              <w:keepLines w:val="0"/>
              <w:widowControl/>
              <w:suppressLineNumbers w:val="0"/>
              <w:spacing w:before="0" w:beforeAutospacing="0" w:after="0" w:afterAutospacing="0" w:line="340" w:lineRule="exact"/>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无</w:t>
            </w:r>
          </w:p>
        </w:tc>
      </w:tr>
      <w:tr w14:paraId="0743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1" w:type="pct"/>
            <w:shd w:val="clear" w:color="auto" w:fill="auto"/>
            <w:vAlign w:val="center"/>
          </w:tcPr>
          <w:p w14:paraId="77AAD7D2">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olor w:val="auto"/>
                <w:highlight w:val="none"/>
              </w:rPr>
              <w:t>其他说明</w:t>
            </w:r>
          </w:p>
        </w:tc>
        <w:tc>
          <w:tcPr>
            <w:tcW w:w="4728" w:type="pct"/>
            <w:gridSpan w:val="5"/>
            <w:shd w:val="clear" w:color="auto" w:fill="auto"/>
          </w:tcPr>
          <w:p w14:paraId="409C1A3D">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olor w:val="auto"/>
                <w:highlight w:val="none"/>
              </w:rPr>
            </w:pPr>
            <w:r>
              <w:rPr>
                <w:rFonts w:hint="eastAsia" w:ascii="宋体" w:hAnsi="宋体"/>
                <w:color w:val="auto"/>
                <w:highlight w:val="none"/>
              </w:rPr>
              <w:t>一、进口产品说明</w:t>
            </w:r>
          </w:p>
          <w:p w14:paraId="7090FA13">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□本表的第</w:t>
            </w:r>
            <w:r>
              <w:rPr>
                <w:rFonts w:hint="default"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项货物所涉及的货物已按规定办妥进口产品采购审核手续，投标产品可选用进口产</w:t>
            </w:r>
          </w:p>
          <w:p w14:paraId="02102E74">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26CFFFE2">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b/>
                <w:bCs/>
                <w:color w:val="auto"/>
                <w:szCs w:val="21"/>
                <w:highlight w:val="none"/>
              </w:rPr>
            </w:pPr>
            <w:r>
              <w:rPr>
                <w:rFonts w:hint="eastAsia" w:ascii="宋体" w:hAnsi="宋体" w:cs="宋体"/>
                <w:b/>
                <w:bCs/>
                <w:color w:val="auto"/>
                <w:kern w:val="0"/>
                <w:sz w:val="24"/>
                <w:highlight w:val="none"/>
              </w:rPr>
              <w:sym w:font="Wingdings 2" w:char="F052"/>
            </w:r>
            <w:r>
              <w:rPr>
                <w:rFonts w:hint="eastAsia" w:ascii="宋体" w:hAnsi="宋体" w:cs="宋体"/>
                <w:b/>
                <w:bCs/>
                <w:color w:val="auto"/>
                <w:kern w:val="0"/>
                <w:szCs w:val="21"/>
                <w:highlight w:val="none"/>
              </w:rPr>
              <w:t>本分标货物所涉及的货物不接受进口产品（即通过中国海关报关验放进入中国境内且产自关境外的产品）参与投标，如有进口产品参与投标的作无效标处理</w:t>
            </w:r>
          </w:p>
          <w:p w14:paraId="120C408F">
            <w:pPr>
              <w:keepNext w:val="0"/>
              <w:keepLines w:val="0"/>
              <w:suppressLineNumbers w:val="0"/>
              <w:tabs>
                <w:tab w:val="left" w:pos="180"/>
                <w:tab w:val="left" w:pos="1620"/>
              </w:tabs>
              <w:spacing w:before="0" w:beforeAutospacing="0" w:after="0" w:afterAutospacing="0" w:line="340" w:lineRule="exact"/>
              <w:ind w:left="0" w:right="0"/>
              <w:rPr>
                <w:rFonts w:hint="default" w:ascii="宋体" w:hAnsi="宋体"/>
                <w:bCs/>
                <w:color w:val="auto"/>
                <w:szCs w:val="21"/>
                <w:highlight w:val="none"/>
              </w:rPr>
            </w:pPr>
            <w:r>
              <w:rPr>
                <w:rFonts w:hint="eastAsia" w:ascii="宋体" w:hAnsi="宋体"/>
                <w:bCs/>
                <w:color w:val="auto"/>
                <w:szCs w:val="21"/>
                <w:highlight w:val="none"/>
              </w:rPr>
              <w:t>二、与本项目有关的设计图纸、技术规范、文件等附件资料及其获取方式：无</w:t>
            </w:r>
          </w:p>
          <w:p w14:paraId="2E887650">
            <w:pPr>
              <w:keepNext w:val="0"/>
              <w:keepLines w:val="0"/>
              <w:suppressLineNumbers w:val="0"/>
              <w:tabs>
                <w:tab w:val="left" w:pos="180"/>
                <w:tab w:val="left" w:pos="1620"/>
              </w:tabs>
              <w:spacing w:before="0" w:beforeAutospacing="0" w:after="0" w:afterAutospacing="0" w:line="340" w:lineRule="exact"/>
              <w:ind w:left="0" w:right="0"/>
              <w:rPr>
                <w:rFonts w:hint="default" w:ascii="宋体" w:hAnsi="宋体"/>
                <w:b/>
                <w:bCs/>
                <w:color w:val="auto"/>
                <w:highlight w:val="none"/>
              </w:rPr>
            </w:pPr>
            <w:r>
              <w:rPr>
                <w:rFonts w:hint="eastAsia" w:ascii="宋体" w:hAnsi="宋体"/>
                <w:b/>
                <w:bCs/>
                <w:color w:val="auto"/>
                <w:szCs w:val="21"/>
                <w:highlight w:val="none"/>
              </w:rPr>
              <w:t>三、</w:t>
            </w:r>
            <w:r>
              <w:rPr>
                <w:rFonts w:hint="eastAsia" w:ascii="宋体" w:hAnsi="宋体"/>
                <w:b/>
                <w:bCs/>
                <w:color w:val="auto"/>
                <w:highlight w:val="none"/>
              </w:rPr>
              <w:t>核心产品</w:t>
            </w:r>
          </w:p>
          <w:p w14:paraId="00603CE0">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olor w:val="auto"/>
                <w:szCs w:val="21"/>
                <w:highlight w:val="none"/>
              </w:rPr>
            </w:pPr>
            <w:r>
              <w:rPr>
                <w:rFonts w:hint="eastAsia" w:ascii="宋体" w:hAnsi="宋体" w:cs="宋体"/>
                <w:b/>
                <w:bCs/>
                <w:color w:val="auto"/>
                <w:kern w:val="0"/>
                <w:szCs w:val="21"/>
                <w:highlight w:val="none"/>
              </w:rPr>
              <w:t>“采购清单及技术参数”表中的核心产品：第 1 项：基于自研大模型的Ai服务器。</w:t>
            </w:r>
          </w:p>
          <w:p w14:paraId="2A4F7648">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五、其他</w:t>
            </w:r>
          </w:p>
          <w:p w14:paraId="2EC050CD">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1、本项目采购标的对应的中小企业划分标准所属行业：软件和信息技术服务业。</w:t>
            </w:r>
          </w:p>
          <w:p w14:paraId="3AC766E7">
            <w:pPr>
              <w:keepNext w:val="0"/>
              <w:keepLines w:val="0"/>
              <w:suppressLineNumbers w:val="0"/>
              <w:autoSpaceDE w:val="0"/>
              <w:autoSpaceDN w:val="0"/>
              <w:adjustRightInd w:val="0"/>
              <w:spacing w:before="0" w:beforeAutospacing="0" w:after="0" w:afterAutospacing="0" w:line="340" w:lineRule="exact"/>
              <w:ind w:left="0" w:right="0"/>
              <w:jc w:val="left"/>
              <w:rPr>
                <w:rFonts w:hint="default"/>
                <w:color w:val="auto"/>
                <w:highlight w:val="none"/>
              </w:rPr>
            </w:pPr>
            <w:r>
              <w:rPr>
                <w:rFonts w:hint="eastAsia" w:ascii="宋体" w:hAnsi="宋体" w:cs="宋体"/>
                <w:color w:val="auto"/>
                <w:kern w:val="0"/>
                <w:szCs w:val="21"/>
                <w:highlight w:val="none"/>
              </w:rPr>
              <w:t>2、是否进行演示：否。</w:t>
            </w:r>
            <w:r>
              <w:rPr>
                <w:rFonts w:hint="eastAsia"/>
                <w:color w:val="auto"/>
                <w:highlight w:val="none"/>
              </w:rPr>
              <w:t xml:space="preserve"> </w:t>
            </w:r>
          </w:p>
          <w:p w14:paraId="0603E786">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3、是否要求提供样品：否</w:t>
            </w:r>
          </w:p>
          <w:p w14:paraId="5B0E8F2C">
            <w:pPr>
              <w:keepNext w:val="0"/>
              <w:keepLines w:val="0"/>
              <w:widowControl/>
              <w:suppressLineNumbers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4、是否现场踏勘：否</w:t>
            </w:r>
          </w:p>
        </w:tc>
      </w:tr>
    </w:tbl>
    <w:p w14:paraId="0DFE5034">
      <w:pPr>
        <w:rPr>
          <w:rFonts w:ascii="宋体" w:hAnsi="宋体"/>
          <w:color w:val="auto"/>
          <w:highlight w:val="none"/>
        </w:rPr>
      </w:pPr>
      <w:r>
        <w:rPr>
          <w:rFonts w:ascii="宋体" w:hAnsi="宋体"/>
          <w:color w:val="auto"/>
          <w:highlight w:val="none"/>
        </w:rPr>
        <w:br w:type="page"/>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486"/>
        <w:gridCol w:w="662"/>
        <w:gridCol w:w="664"/>
        <w:gridCol w:w="5408"/>
        <w:gridCol w:w="1110"/>
      </w:tblGrid>
      <w:tr w14:paraId="2BEF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6"/>
            <w:shd w:val="clear" w:color="auto" w:fill="auto"/>
            <w:vAlign w:val="center"/>
          </w:tcPr>
          <w:p w14:paraId="53187B9B">
            <w:pPr>
              <w:keepNext w:val="0"/>
              <w:keepLines w:val="0"/>
              <w:suppressLineNumbers w:val="0"/>
              <w:spacing w:before="0" w:beforeAutospacing="0" w:after="0" w:afterAutospacing="0" w:line="340" w:lineRule="exact"/>
              <w:ind w:left="0" w:right="0" w:firstLine="422"/>
              <w:jc w:val="center"/>
              <w:rPr>
                <w:rFonts w:hint="default" w:ascii="宋体" w:hAnsi="宋体" w:cs="宋体"/>
                <w:color w:val="auto"/>
                <w:szCs w:val="21"/>
                <w:highlight w:val="none"/>
              </w:rPr>
            </w:pPr>
            <w:r>
              <w:rPr>
                <w:rFonts w:hint="eastAsia" w:ascii="宋体" w:hAnsi="宋体" w:cs="宋体"/>
                <w:b/>
                <w:color w:val="auto"/>
                <w:szCs w:val="21"/>
                <w:highlight w:val="none"/>
              </w:rPr>
              <w:t>货物需求一览表</w:t>
            </w:r>
          </w:p>
        </w:tc>
      </w:tr>
      <w:tr w14:paraId="7567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 w:type="pct"/>
            <w:gridSpan w:val="2"/>
            <w:shd w:val="clear" w:color="auto" w:fill="auto"/>
            <w:vAlign w:val="center"/>
          </w:tcPr>
          <w:p w14:paraId="4EF700C6">
            <w:pPr>
              <w:keepNext w:val="0"/>
              <w:keepLines w:val="0"/>
              <w:suppressLineNumbers w:val="0"/>
              <w:spacing w:before="0" w:beforeAutospacing="0" w:after="0" w:afterAutospacing="0" w:line="340" w:lineRule="exact"/>
              <w:ind w:left="0" w:right="0" w:firstLine="422"/>
              <w:jc w:val="center"/>
              <w:rPr>
                <w:rFonts w:hint="default" w:ascii="宋体" w:hAnsi="宋体" w:cs="宋体"/>
                <w:color w:val="auto"/>
                <w:szCs w:val="21"/>
                <w:highlight w:val="none"/>
              </w:rPr>
            </w:pPr>
            <w:r>
              <w:rPr>
                <w:rFonts w:hint="eastAsia" w:ascii="宋体" w:hAnsi="宋体" w:cs="宋体"/>
                <w:b/>
                <w:bCs/>
                <w:color w:val="auto"/>
                <w:szCs w:val="21"/>
                <w:highlight w:val="none"/>
              </w:rPr>
              <w:t>标段</w:t>
            </w:r>
          </w:p>
        </w:tc>
        <w:tc>
          <w:tcPr>
            <w:tcW w:w="3979" w:type="pct"/>
            <w:gridSpan w:val="4"/>
            <w:shd w:val="clear" w:color="auto" w:fill="auto"/>
            <w:vAlign w:val="center"/>
          </w:tcPr>
          <w:p w14:paraId="1237F8C2">
            <w:pPr>
              <w:keepNext w:val="0"/>
              <w:keepLines w:val="0"/>
              <w:suppressLineNumbers w:val="0"/>
              <w:spacing w:before="0" w:beforeAutospacing="0" w:after="0" w:afterAutospacing="0" w:line="340" w:lineRule="exact"/>
              <w:ind w:left="0" w:right="0"/>
              <w:jc w:val="left"/>
              <w:rPr>
                <w:rFonts w:hint="default" w:ascii="宋体" w:hAnsi="宋体" w:cs="宋体"/>
                <w:color w:val="auto"/>
                <w:szCs w:val="21"/>
                <w:highlight w:val="none"/>
              </w:rPr>
            </w:pPr>
            <w:r>
              <w:rPr>
                <w:rFonts w:hint="eastAsia" w:ascii="宋体" w:hAnsi="宋体" w:cs="宋体"/>
                <w:b/>
                <w:bCs/>
                <w:color w:val="auto"/>
                <w:szCs w:val="21"/>
                <w:highlight w:val="none"/>
              </w:rPr>
              <w:t>4分标：全国开放型跨境电商跨国双创示范基地跨境电商直播基地货物部分</w:t>
            </w:r>
          </w:p>
        </w:tc>
      </w:tr>
      <w:tr w14:paraId="4BB1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 w:type="pct"/>
            <w:shd w:val="clear" w:color="auto" w:fill="auto"/>
            <w:vAlign w:val="center"/>
          </w:tcPr>
          <w:p w14:paraId="759BB7DD">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序号</w:t>
            </w:r>
          </w:p>
        </w:tc>
        <w:tc>
          <w:tcPr>
            <w:tcW w:w="754" w:type="pct"/>
            <w:shd w:val="clear" w:color="auto" w:fill="auto"/>
            <w:vAlign w:val="center"/>
          </w:tcPr>
          <w:p w14:paraId="55819B3C">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采购货物名称</w:t>
            </w:r>
          </w:p>
        </w:tc>
        <w:tc>
          <w:tcPr>
            <w:tcW w:w="336" w:type="pct"/>
            <w:shd w:val="clear" w:color="auto" w:fill="auto"/>
            <w:vAlign w:val="center"/>
          </w:tcPr>
          <w:p w14:paraId="208E66AF">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单位</w:t>
            </w:r>
          </w:p>
        </w:tc>
        <w:tc>
          <w:tcPr>
            <w:tcW w:w="337" w:type="pct"/>
            <w:shd w:val="clear" w:color="auto" w:fill="auto"/>
            <w:vAlign w:val="center"/>
          </w:tcPr>
          <w:p w14:paraId="2CB08E8E">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数量</w:t>
            </w:r>
          </w:p>
        </w:tc>
        <w:tc>
          <w:tcPr>
            <w:tcW w:w="2744" w:type="pct"/>
            <w:shd w:val="clear" w:color="auto" w:fill="auto"/>
            <w:vAlign w:val="center"/>
          </w:tcPr>
          <w:p w14:paraId="0487FBDA">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货物参数</w:t>
            </w:r>
          </w:p>
        </w:tc>
        <w:tc>
          <w:tcPr>
            <w:tcW w:w="560" w:type="pct"/>
            <w:shd w:val="clear" w:color="auto" w:fill="auto"/>
            <w:vAlign w:val="center"/>
          </w:tcPr>
          <w:p w14:paraId="5978B383">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分项预算合计（元）</w:t>
            </w:r>
          </w:p>
        </w:tc>
      </w:tr>
      <w:tr w14:paraId="7E29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0D8B1A94">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w:t>
            </w:r>
          </w:p>
        </w:tc>
        <w:tc>
          <w:tcPr>
            <w:tcW w:w="754" w:type="pct"/>
            <w:shd w:val="clear" w:color="auto" w:fill="auto"/>
            <w:vAlign w:val="center"/>
          </w:tcPr>
          <w:p w14:paraId="06BD35EB">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微单相机</w:t>
            </w:r>
          </w:p>
        </w:tc>
        <w:tc>
          <w:tcPr>
            <w:tcW w:w="336" w:type="pct"/>
            <w:shd w:val="clear" w:color="auto" w:fill="auto"/>
            <w:vAlign w:val="center"/>
          </w:tcPr>
          <w:p w14:paraId="724BC450">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台</w:t>
            </w:r>
          </w:p>
        </w:tc>
        <w:tc>
          <w:tcPr>
            <w:tcW w:w="337" w:type="pct"/>
            <w:shd w:val="clear" w:color="auto" w:fill="auto"/>
            <w:vAlign w:val="center"/>
          </w:tcPr>
          <w:p w14:paraId="07B6E998">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44" w:type="pct"/>
            <w:shd w:val="clear" w:color="auto" w:fill="auto"/>
          </w:tcPr>
          <w:p w14:paraId="0E1A01E8">
            <w:pPr>
              <w:keepNext w:val="0"/>
              <w:keepLines w:val="0"/>
              <w:widowControl/>
              <w:suppressLineNumbers w:val="0"/>
              <w:spacing w:before="0" w:beforeAutospacing="0" w:after="0" w:afterAutospacing="0" w:line="340" w:lineRule="exact"/>
              <w:ind w:left="0" w:right="0"/>
              <w:jc w:val="left"/>
              <w:textAlignment w:val="top"/>
              <w:rPr>
                <w:rFonts w:hint="default"/>
                <w:color w:val="auto"/>
                <w:szCs w:val="21"/>
                <w:highlight w:val="none"/>
              </w:rPr>
            </w:pPr>
            <w:r>
              <w:rPr>
                <w:rFonts w:hint="eastAsia" w:ascii="宋体" w:hAnsi="宋体" w:cs="宋体"/>
                <w:color w:val="auto"/>
                <w:kern w:val="0"/>
                <w:szCs w:val="21"/>
                <w:highlight w:val="none"/>
                <w:lang w:bidi="ar"/>
              </w:rPr>
              <w:t>1.可更换镜头数码相机（带E PZ 16-50mm F3.5-5.6 OSS镜头）；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2.视角范围；45 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3.传感器类型：Exmor CMOS；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4.传感器尺寸：23.5x15.6mm(APS-C画幅)；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5.有效像素：约2420万像素；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6.文件格式：XAVC S 4K,XAVC S HD；</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7.影像尺寸：XAVC S 4K:3840x2160(30p，25p，24p/100Mbps）；3840x2160(30p，25p，24p/60Mbps)；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8.存储介质：Memory Stick PRO Duo、Memory Stick PRO-HG Duo、SD存储卡, SDHC存储卡，SDXC存储卡；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9.对焦类型：快速型混合自动对焦(相位检测自动对焦+对比度检测自动对焦）；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10.对焦点：425点（相位检测自动对焦） /425点（对比度检测自动对焦）；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11.对焦区域：广域/区/中间/自由点（L,M,S)/扩展自由点/跟踪（广域/区/中间/自由点/扩展自由点）；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12.实时眼部对焦：支持；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13.触摸对焦（触碰对焦）：支持；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14.液晶屏尺寸：3.0"TFT；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15.液晶屏类型：多角度侧翻液晶屏；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16.液晶屏视野率：约100%；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17.液晶屏总像素：约92万点；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18.亮度控制：手动（±2.0级）/晴朗天气；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19.可调角度：侧翻角度约176° 旋转角度约270°；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20.快门类型：电子控制、纵向式焦平快门；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21.速度范围：静态照片：1/4000至30秒，B门；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22.视频拍摄：1/4000至1/4（1/3档），在自动模式中可达1/60（在自动低速快门模式中可达1/30）；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23.闪光同步速度：1/160秒；</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24.电子前帘快门：支持（开/关）；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25.静音拍摄：支持（开/关）；</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26.USB2.0(高速)：支持；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27.USB Type C 接口：支持；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28.蓝牙：支持（蓝牙标准版本4.1（2.4GHz频段））；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29.高清输出：支持，Micro HDMI接口，Bravia Sync功能，PhotoTV HD，4K视频输出，4K照片回放；</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30.4K：支持；</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31.麦克风接口：1个；</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32.电池：可重复充电电池。</w:t>
            </w:r>
          </w:p>
        </w:tc>
        <w:tc>
          <w:tcPr>
            <w:tcW w:w="560" w:type="pct"/>
            <w:shd w:val="clear" w:color="auto" w:fill="auto"/>
            <w:vAlign w:val="center"/>
          </w:tcPr>
          <w:p w14:paraId="0EDE0239">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5500 </w:t>
            </w:r>
          </w:p>
        </w:tc>
      </w:tr>
      <w:tr w14:paraId="4DAF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03A262F4">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w:t>
            </w:r>
          </w:p>
        </w:tc>
        <w:tc>
          <w:tcPr>
            <w:tcW w:w="754" w:type="pct"/>
            <w:shd w:val="clear" w:color="auto" w:fill="auto"/>
            <w:vAlign w:val="center"/>
          </w:tcPr>
          <w:p w14:paraId="05EEB505">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镜头</w:t>
            </w:r>
          </w:p>
        </w:tc>
        <w:tc>
          <w:tcPr>
            <w:tcW w:w="336" w:type="pct"/>
            <w:shd w:val="clear" w:color="auto" w:fill="auto"/>
            <w:vAlign w:val="center"/>
          </w:tcPr>
          <w:p w14:paraId="0EAD0187">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支</w:t>
            </w:r>
          </w:p>
        </w:tc>
        <w:tc>
          <w:tcPr>
            <w:tcW w:w="337" w:type="pct"/>
            <w:shd w:val="clear" w:color="auto" w:fill="auto"/>
            <w:vAlign w:val="center"/>
          </w:tcPr>
          <w:p w14:paraId="4707A6DA">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44" w:type="pct"/>
            <w:shd w:val="clear" w:color="auto" w:fill="auto"/>
            <w:vAlign w:val="center"/>
          </w:tcPr>
          <w:p w14:paraId="6988F5EE">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镜头参数：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1.镜头用途：广角镜头 （定焦）；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2..视角范围：45 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3.焦距范围：30mm；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4.滤镜尺寸：62mm；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5.镜头结构：7组9片；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6.最大光圈：F1.4；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7.最小光圈：F16；</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8.最近对焦距离：0.4m；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9.驱动马达：HSM；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10.镜头定位：APS画幅镜头；</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11.视角范围：45度。</w:t>
            </w:r>
          </w:p>
        </w:tc>
        <w:tc>
          <w:tcPr>
            <w:tcW w:w="560" w:type="pct"/>
            <w:shd w:val="clear" w:color="auto" w:fill="auto"/>
            <w:vAlign w:val="center"/>
          </w:tcPr>
          <w:p w14:paraId="3409B9B7">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2500</w:t>
            </w:r>
          </w:p>
        </w:tc>
      </w:tr>
      <w:tr w14:paraId="63BC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7176DFAA">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3</w:t>
            </w:r>
          </w:p>
        </w:tc>
        <w:tc>
          <w:tcPr>
            <w:tcW w:w="754" w:type="pct"/>
            <w:shd w:val="clear" w:color="auto" w:fill="auto"/>
            <w:vAlign w:val="center"/>
          </w:tcPr>
          <w:p w14:paraId="2B427193">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存储卡</w:t>
            </w:r>
          </w:p>
        </w:tc>
        <w:tc>
          <w:tcPr>
            <w:tcW w:w="336" w:type="pct"/>
            <w:shd w:val="clear" w:color="auto" w:fill="auto"/>
            <w:vAlign w:val="center"/>
          </w:tcPr>
          <w:p w14:paraId="6C945C53">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张</w:t>
            </w:r>
          </w:p>
        </w:tc>
        <w:tc>
          <w:tcPr>
            <w:tcW w:w="337" w:type="pct"/>
            <w:shd w:val="clear" w:color="auto" w:fill="auto"/>
            <w:vAlign w:val="center"/>
          </w:tcPr>
          <w:p w14:paraId="2E68C905">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44" w:type="pct"/>
            <w:shd w:val="clear" w:color="auto" w:fill="auto"/>
            <w:vAlign w:val="center"/>
          </w:tcPr>
          <w:p w14:paraId="40C92964">
            <w:pPr>
              <w:keepNext w:val="0"/>
              <w:keepLines w:val="0"/>
              <w:widowControl/>
              <w:numPr>
                <w:ilvl w:val="0"/>
                <w:numId w:val="4"/>
              </w:numPr>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 xml:space="preserve"> 64GB V30 SD内存卡U3 C10 4K相机存储卡，读速不低于200MB/s ，写速不低于90MB/s 含读卡器</w:t>
            </w:r>
          </w:p>
        </w:tc>
        <w:tc>
          <w:tcPr>
            <w:tcW w:w="560" w:type="pct"/>
            <w:shd w:val="clear" w:color="auto" w:fill="auto"/>
            <w:vAlign w:val="center"/>
          </w:tcPr>
          <w:p w14:paraId="064F7411">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150 </w:t>
            </w:r>
          </w:p>
        </w:tc>
      </w:tr>
      <w:tr w14:paraId="6488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00232165">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4</w:t>
            </w:r>
          </w:p>
        </w:tc>
        <w:tc>
          <w:tcPr>
            <w:tcW w:w="754" w:type="pct"/>
            <w:shd w:val="clear" w:color="auto" w:fill="auto"/>
            <w:vAlign w:val="center"/>
          </w:tcPr>
          <w:p w14:paraId="76B19949">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假电池</w:t>
            </w:r>
          </w:p>
        </w:tc>
        <w:tc>
          <w:tcPr>
            <w:tcW w:w="336" w:type="pct"/>
            <w:shd w:val="clear" w:color="auto" w:fill="auto"/>
            <w:vAlign w:val="center"/>
          </w:tcPr>
          <w:p w14:paraId="1A186915">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块</w:t>
            </w:r>
          </w:p>
        </w:tc>
        <w:tc>
          <w:tcPr>
            <w:tcW w:w="337" w:type="pct"/>
            <w:shd w:val="clear" w:color="auto" w:fill="auto"/>
            <w:vAlign w:val="center"/>
          </w:tcPr>
          <w:p w14:paraId="6BCA074C">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44" w:type="pct"/>
            <w:shd w:val="clear" w:color="auto" w:fill="auto"/>
            <w:vAlign w:val="center"/>
          </w:tcPr>
          <w:p w14:paraId="65A14E2A">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1.适配本项目微单相机，模拟电池电源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2.100-240V~50/60HZ1.5A(Max)</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3.8.0V-3.0A 24.0W</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4.输出接口AC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5.线缆长度</w:t>
            </w:r>
            <w:r>
              <w:rPr>
                <w:rFonts w:hint="eastAsia"/>
                <w:color w:val="auto"/>
                <w:highlight w:val="none"/>
              </w:rPr>
              <w:t>≥</w:t>
            </w:r>
            <w:r>
              <w:rPr>
                <w:rFonts w:hint="eastAsia" w:ascii="宋体" w:hAnsi="宋体" w:cs="宋体"/>
                <w:color w:val="auto"/>
                <w:kern w:val="0"/>
                <w:szCs w:val="21"/>
                <w:highlight w:val="none"/>
                <w:lang w:bidi="ar"/>
              </w:rPr>
              <w:t>2.2m</w:t>
            </w:r>
          </w:p>
        </w:tc>
        <w:tc>
          <w:tcPr>
            <w:tcW w:w="560" w:type="pct"/>
            <w:shd w:val="clear" w:color="auto" w:fill="auto"/>
            <w:vAlign w:val="center"/>
          </w:tcPr>
          <w:p w14:paraId="424AF5D8">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255</w:t>
            </w:r>
          </w:p>
        </w:tc>
      </w:tr>
      <w:tr w14:paraId="311D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2AA70A88">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5</w:t>
            </w:r>
          </w:p>
        </w:tc>
        <w:tc>
          <w:tcPr>
            <w:tcW w:w="754" w:type="pct"/>
            <w:shd w:val="clear" w:color="auto" w:fill="auto"/>
            <w:vAlign w:val="center"/>
          </w:tcPr>
          <w:p w14:paraId="24E8659E">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三脚架</w:t>
            </w:r>
          </w:p>
        </w:tc>
        <w:tc>
          <w:tcPr>
            <w:tcW w:w="336" w:type="pct"/>
            <w:shd w:val="clear" w:color="auto" w:fill="auto"/>
            <w:vAlign w:val="center"/>
          </w:tcPr>
          <w:p w14:paraId="41B58302">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个</w:t>
            </w:r>
          </w:p>
        </w:tc>
        <w:tc>
          <w:tcPr>
            <w:tcW w:w="337" w:type="pct"/>
            <w:shd w:val="clear" w:color="auto" w:fill="auto"/>
            <w:vAlign w:val="center"/>
          </w:tcPr>
          <w:p w14:paraId="2E533679">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3</w:t>
            </w:r>
          </w:p>
        </w:tc>
        <w:tc>
          <w:tcPr>
            <w:tcW w:w="2744" w:type="pct"/>
            <w:shd w:val="clear" w:color="auto" w:fill="auto"/>
            <w:vAlign w:val="center"/>
          </w:tcPr>
          <w:p w14:paraId="5A587102">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1.黑色；</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2.适用机型：单反相机、微单、数码相机、DV摄像机；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3.管径：20mm；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4.最高工作高度：≥150mm；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5.脚管锁类型：扳扣式；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6.商品承重：≥3kg。</w:t>
            </w:r>
          </w:p>
        </w:tc>
        <w:tc>
          <w:tcPr>
            <w:tcW w:w="560" w:type="pct"/>
            <w:shd w:val="clear" w:color="auto" w:fill="auto"/>
            <w:vAlign w:val="center"/>
          </w:tcPr>
          <w:p w14:paraId="428DEA04">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480 </w:t>
            </w:r>
          </w:p>
        </w:tc>
      </w:tr>
      <w:tr w14:paraId="78DF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3B8F8E23">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6</w:t>
            </w:r>
          </w:p>
        </w:tc>
        <w:tc>
          <w:tcPr>
            <w:tcW w:w="754" w:type="pct"/>
            <w:shd w:val="clear" w:color="auto" w:fill="auto"/>
            <w:vAlign w:val="center"/>
          </w:tcPr>
          <w:p w14:paraId="0914EF46">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直播相机</w:t>
            </w:r>
          </w:p>
        </w:tc>
        <w:tc>
          <w:tcPr>
            <w:tcW w:w="336" w:type="pct"/>
            <w:shd w:val="clear" w:color="auto" w:fill="auto"/>
            <w:vAlign w:val="center"/>
          </w:tcPr>
          <w:p w14:paraId="062A36ED">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个</w:t>
            </w:r>
          </w:p>
        </w:tc>
        <w:tc>
          <w:tcPr>
            <w:tcW w:w="337" w:type="pct"/>
            <w:shd w:val="clear" w:color="auto" w:fill="auto"/>
            <w:vAlign w:val="center"/>
          </w:tcPr>
          <w:p w14:paraId="28361EB5">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2</w:t>
            </w:r>
          </w:p>
        </w:tc>
        <w:tc>
          <w:tcPr>
            <w:tcW w:w="2744" w:type="pct"/>
            <w:shd w:val="clear" w:color="auto" w:fill="auto"/>
            <w:vAlign w:val="center"/>
          </w:tcPr>
          <w:p w14:paraId="5E72DDA0">
            <w:pPr>
              <w:keepNext w:val="0"/>
              <w:keepLines w:val="0"/>
              <w:widowControl/>
              <w:suppressLineNumbers w:val="0"/>
              <w:spacing w:before="0" w:beforeAutospacing="0" w:after="0" w:afterAutospacing="0" w:line="340" w:lineRule="exact"/>
              <w:ind w:left="0" w:right="0"/>
              <w:jc w:val="left"/>
              <w:textAlignment w:val="center"/>
              <w:rPr>
                <w:rFonts w:hint="default" w:ascii="宋体" w:hAnsi="宋体" w:cs="宋体"/>
                <w:color w:val="auto"/>
                <w:kern w:val="0"/>
                <w:szCs w:val="21"/>
                <w:highlight w:val="none"/>
                <w:lang w:bidi="ar"/>
              </w:rPr>
            </w:pPr>
            <w:r>
              <w:rPr>
                <w:rFonts w:hint="eastAsia" w:ascii="宋体" w:hAnsi="宋体" w:cs="宋体"/>
                <w:color w:val="auto"/>
                <w:kern w:val="0"/>
                <w:szCs w:val="21"/>
                <w:highlight w:val="none"/>
                <w:lang w:bidi="ar"/>
              </w:rPr>
              <w:t>1.800万（宽动态）CMOS1/1.2'' 4 K CMOS；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2..视频帧率：MJPG/H.264：2160 × 3840 @60/50/30/25 fps；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3.最低照度0.2 Lux @（F1.6~3.6，AGC ON）；</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4.快门P制：1/50 s~1/10,000 sN制：1/60 s~1/10,000 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5.镜头变焦：9.5 mm~171 mm；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6.视场角水平视场角：36.12~2.15°；垂直视场角：61.92~3.75°；对角视场角：69.71~4.27°；</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7.可聚清物距W端：0.1 m~∞全焦段：3 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8.最高分辨率≥2160 × 3840；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9.支持自动电子增益功能，亮度自适应支持面阵TOF辅助聚焦；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10.内置陀螺仪，支持横竖屏装配，均可无损输出4K分辨率；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11.内置≥双麦克风；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12.支持遥控器调节相关参数。支持一键锁定白平衡；支持一键锁定图像参数；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13.支持Type C接口锁附，标准USB3.0协议。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14.宽动态范围≥120 dB麦克风类型MEMS；</w:t>
            </w:r>
          </w:p>
          <w:p w14:paraId="2D342760">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15.指向性全向拾音范围半径≥3 m阵列数量双mic；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16.频响范围100 Hz~8 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17.灵敏度-38 ± 1.5 dBV/Pa；</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18.支持图像设置，包括曝光、白平衡、图像降噪、对比度、锐度、饱和度、色调、Gamma等参数调节；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19.音频功能支持智能（降噪）算法，自动增益控制、人声增强，保证通话/音频质量；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20.智能功能支持人脸聚焦；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21.光学变倍18数字变倍*4自动聚焦；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22.支持USB连接线通信有线通信距离线长≥2 m，传输距离≥2 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23.设备支持接口：USB Type C接口、电源接口、HDMI接口。</w:t>
            </w:r>
          </w:p>
        </w:tc>
        <w:tc>
          <w:tcPr>
            <w:tcW w:w="560" w:type="pct"/>
            <w:shd w:val="clear" w:color="auto" w:fill="auto"/>
            <w:vAlign w:val="center"/>
          </w:tcPr>
          <w:p w14:paraId="04E4795A">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12000 </w:t>
            </w:r>
          </w:p>
        </w:tc>
      </w:tr>
      <w:tr w14:paraId="5D6A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66" w:type="pct"/>
            <w:shd w:val="clear" w:color="auto" w:fill="auto"/>
            <w:vAlign w:val="center"/>
          </w:tcPr>
          <w:p w14:paraId="1CCF37B2">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7</w:t>
            </w:r>
          </w:p>
        </w:tc>
        <w:tc>
          <w:tcPr>
            <w:tcW w:w="754" w:type="pct"/>
            <w:shd w:val="clear" w:color="auto" w:fill="auto"/>
            <w:vAlign w:val="center"/>
          </w:tcPr>
          <w:p w14:paraId="1FB25493">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灯光系统</w:t>
            </w:r>
          </w:p>
        </w:tc>
        <w:tc>
          <w:tcPr>
            <w:tcW w:w="336" w:type="pct"/>
            <w:shd w:val="clear" w:color="auto" w:fill="auto"/>
            <w:vAlign w:val="center"/>
          </w:tcPr>
          <w:p w14:paraId="4B78A2DE">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套</w:t>
            </w:r>
          </w:p>
        </w:tc>
        <w:tc>
          <w:tcPr>
            <w:tcW w:w="337" w:type="pct"/>
            <w:shd w:val="clear" w:color="auto" w:fill="auto"/>
            <w:vAlign w:val="center"/>
          </w:tcPr>
          <w:p w14:paraId="563D9D21">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44" w:type="pct"/>
            <w:shd w:val="clear" w:color="auto" w:fill="auto"/>
            <w:vAlign w:val="center"/>
          </w:tcPr>
          <w:p w14:paraId="15F9A092">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 xml:space="preserve">1.基本功能：亮度色温调节、配有遥控器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2.LED数量：1PCS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3.最大功率：200W（照明）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4.100%光照度(灯罩)： ≈25000Lux（2700K）/≈30000Lux（6500K） 1米；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5.色温范围：2700K（±100K）~6500K（±100K）；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6.Ra显色：≈96；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7.调光范围 ：0%-100% ；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8.输入：AC 220 50/60Hz；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9.方形柔光箱*2+深抛柔光箱，包含3个灯架。</w:t>
            </w:r>
          </w:p>
        </w:tc>
        <w:tc>
          <w:tcPr>
            <w:tcW w:w="560" w:type="pct"/>
            <w:shd w:val="clear" w:color="auto" w:fill="auto"/>
            <w:vAlign w:val="center"/>
          </w:tcPr>
          <w:p w14:paraId="4CADEFE3">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3900 </w:t>
            </w:r>
          </w:p>
        </w:tc>
      </w:tr>
      <w:tr w14:paraId="035B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2FFEA7A1">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8</w:t>
            </w:r>
          </w:p>
        </w:tc>
        <w:tc>
          <w:tcPr>
            <w:tcW w:w="754" w:type="pct"/>
            <w:shd w:val="clear" w:color="auto" w:fill="auto"/>
            <w:vAlign w:val="center"/>
          </w:tcPr>
          <w:p w14:paraId="13D500D1">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导播切换台</w:t>
            </w:r>
          </w:p>
        </w:tc>
        <w:tc>
          <w:tcPr>
            <w:tcW w:w="336" w:type="pct"/>
            <w:shd w:val="clear" w:color="auto" w:fill="auto"/>
            <w:vAlign w:val="center"/>
          </w:tcPr>
          <w:p w14:paraId="6152EA7D">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套</w:t>
            </w:r>
          </w:p>
        </w:tc>
        <w:tc>
          <w:tcPr>
            <w:tcW w:w="337" w:type="pct"/>
            <w:shd w:val="clear" w:color="auto" w:fill="auto"/>
            <w:vAlign w:val="center"/>
          </w:tcPr>
          <w:p w14:paraId="634A6428">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44" w:type="pct"/>
            <w:shd w:val="clear" w:color="auto" w:fill="auto"/>
            <w:vAlign w:val="center"/>
          </w:tcPr>
          <w:p w14:paraId="6A76155D">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1.视频输入接口总数4。</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2.输出接口总数2。</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3.辅助输出接口总数1。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4.音频输入接口总数2 x 3.5mm立体声小型插孔。</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5.HDMI视频输入4路HDMI A类，可切换10bit HD。</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6.2通道嵌入式音频。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7.视频输入再同步所有4路HDMI输入。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8.帧率和格式转换器所有4路HDMI输入均配备。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9.HDMI节目输出1。</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10.以太网支持10/100/1000 BaseT，可用于流媒体直播、软件控制、软件更新及直接或网络控制面板连接。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11.1 x USB-C 3.1 Gen 1，可用于外接硬盘记录、网络摄像头输出、软件控制、软件更新及控制面板连接。</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12.支持使用实时消息传输协议（RTMP）通过以太网直接进行流媒体直播。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13.1 x USB-C 3.1 Gen 1扩展端口，可用于将媒体以带AAC音频的ATEM视频格式.mp4 H.264文件直接记录在外接存储介质上。</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14.支持格式化为ExFAT（Windows/Mac）或HFS+（Mac）文件系统的存储介质。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15.1 x 10分割画面，包括可调左右位置的节目/预监分割画面、4路HDMI输入分割画面、媒体播放器分割画面、流媒体状态分割画面、记录状态分割画面以及音频表分割画面。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16.媒体池静帧格式PNG、TGA、BMP、GIF、JPEG和TIFF。</w:t>
            </w:r>
          </w:p>
        </w:tc>
        <w:tc>
          <w:tcPr>
            <w:tcW w:w="560" w:type="pct"/>
            <w:shd w:val="clear" w:color="auto" w:fill="auto"/>
            <w:vAlign w:val="center"/>
          </w:tcPr>
          <w:p w14:paraId="5B960F63">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2900 </w:t>
            </w:r>
          </w:p>
        </w:tc>
      </w:tr>
      <w:tr w14:paraId="2519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62C6FBDD">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9</w:t>
            </w:r>
          </w:p>
        </w:tc>
        <w:tc>
          <w:tcPr>
            <w:tcW w:w="754" w:type="pct"/>
            <w:shd w:val="clear" w:color="auto" w:fill="auto"/>
            <w:vAlign w:val="center"/>
          </w:tcPr>
          <w:p w14:paraId="52B971B7">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无线麦克风</w:t>
            </w:r>
          </w:p>
        </w:tc>
        <w:tc>
          <w:tcPr>
            <w:tcW w:w="336" w:type="pct"/>
            <w:shd w:val="clear" w:color="auto" w:fill="auto"/>
            <w:vAlign w:val="center"/>
          </w:tcPr>
          <w:p w14:paraId="42AA33CC">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套</w:t>
            </w:r>
          </w:p>
        </w:tc>
        <w:tc>
          <w:tcPr>
            <w:tcW w:w="337" w:type="pct"/>
            <w:shd w:val="clear" w:color="auto" w:fill="auto"/>
            <w:vAlign w:val="center"/>
          </w:tcPr>
          <w:p w14:paraId="27A83AB8">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44" w:type="pct"/>
            <w:shd w:val="clear" w:color="auto" w:fill="auto"/>
            <w:vAlign w:val="center"/>
          </w:tcPr>
          <w:p w14:paraId="0FF469F4">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1.无线传输 2.4GHZ自适应跳频；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2.工作距离 40米(转动)，200米(视距)；</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3.内置麦克风 指向性：全指向频率响应范围：20Hz~20KHZ；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4.最大输入声压级 100dB SPL；</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5.输入动态范围 86dB；</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6.电池容量 200mAh(0.76wh)；</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7.使用时长 8小时；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8.同时给2个TX和RX充电，最多2次；</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9.一拖二。</w:t>
            </w:r>
          </w:p>
        </w:tc>
        <w:tc>
          <w:tcPr>
            <w:tcW w:w="560" w:type="pct"/>
            <w:shd w:val="clear" w:color="auto" w:fill="auto"/>
            <w:vAlign w:val="center"/>
          </w:tcPr>
          <w:p w14:paraId="1C5B375D">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750 </w:t>
            </w:r>
          </w:p>
        </w:tc>
      </w:tr>
      <w:tr w14:paraId="4A2E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062EA066">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10</w:t>
            </w:r>
          </w:p>
        </w:tc>
        <w:tc>
          <w:tcPr>
            <w:tcW w:w="754" w:type="pct"/>
            <w:shd w:val="clear" w:color="auto" w:fill="auto"/>
            <w:vAlign w:val="center"/>
          </w:tcPr>
          <w:p w14:paraId="25E01DD0">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计算卡</w:t>
            </w:r>
          </w:p>
        </w:tc>
        <w:tc>
          <w:tcPr>
            <w:tcW w:w="336" w:type="pct"/>
            <w:shd w:val="clear" w:color="auto" w:fill="auto"/>
            <w:vAlign w:val="center"/>
          </w:tcPr>
          <w:p w14:paraId="43F225C9">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块</w:t>
            </w:r>
          </w:p>
        </w:tc>
        <w:tc>
          <w:tcPr>
            <w:tcW w:w="337" w:type="pct"/>
            <w:shd w:val="clear" w:color="auto" w:fill="auto"/>
            <w:vAlign w:val="center"/>
          </w:tcPr>
          <w:p w14:paraId="48B10124">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44" w:type="pct"/>
            <w:shd w:val="clear" w:color="auto" w:fill="auto"/>
            <w:vAlign w:val="center"/>
          </w:tcPr>
          <w:p w14:paraId="7D0ACD46">
            <w:pPr>
              <w:keepNext w:val="0"/>
              <w:keepLines w:val="0"/>
              <w:widowControl/>
              <w:suppressLineNumbers w:val="0"/>
              <w:spacing w:before="0" w:beforeAutospacing="0" w:after="0" w:afterAutospacing="0" w:line="340" w:lineRule="exact"/>
              <w:ind w:left="0" w:right="0"/>
              <w:jc w:val="left"/>
              <w:textAlignment w:val="center"/>
              <w:rPr>
                <w:rFonts w:hint="eastAsia" w:ascii="宋体" w:hAnsi="宋体"/>
                <w:color w:val="auto"/>
                <w:sz w:val="21"/>
                <w:szCs w:val="21"/>
                <w:highlight w:val="none"/>
                <w:lang w:bidi="ar"/>
              </w:rPr>
            </w:pPr>
            <w:r>
              <w:rPr>
                <w:rFonts w:hint="eastAsia" w:ascii="宋体" w:hAnsi="宋体" w:cs="宋体"/>
                <w:color w:val="auto"/>
                <w:kern w:val="0"/>
                <w:szCs w:val="21"/>
                <w:highlight w:val="none"/>
                <w:lang w:bidi="ar"/>
              </w:rPr>
              <w:t>1.为加速计算卡部署，计算卡支持导入配置及手动配置两种模式。计算卡支持自动读取并导入配置文件，实现名称、IP地址等快速自动配置。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在电脑主机上部署计算卡，实现一机双计算架构并行运算（X86+ARM）。计算卡支持统信UOS、Ubuntu、Android12等操作系统，实现一机多系统并行运算（Windows+统信UOS/Ubuntu/Android12）。（投标人须在投标文件中提供相关证明材料：可以是功能截图或产品彩页或官网截图或第三方检测机构出具的检测报告复印件等其中一项，并加盖投标人</w:t>
            </w:r>
            <w:r>
              <w:rPr>
                <w:rFonts w:hint="eastAsia" w:ascii="宋体" w:hAnsi="宋体" w:cs="Courier New"/>
                <w:bCs/>
                <w:color w:val="auto"/>
                <w:szCs w:val="21"/>
                <w:highlight w:val="none"/>
              </w:rPr>
              <w:t>电子公章</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olor w:val="auto"/>
                <w:sz w:val="21"/>
                <w:szCs w:val="21"/>
                <w:highlight w:val="none"/>
                <w:lang w:bidi="ar"/>
              </w:rPr>
              <w:t>◆3.计算卡标配RTC通讯套件，通过内置RTC服务，实现Windows与计算卡互联互通。将计算卡操作系统画面（统信UOS/Ubuntu/Android）传输至主机Windows系统，支持将键盘、鼠标信号从X86  Windows传输至计算卡。</w:t>
            </w:r>
          </w:p>
          <w:p w14:paraId="41E977E3">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olor w:val="auto"/>
                <w:sz w:val="21"/>
                <w:szCs w:val="21"/>
                <w:highlight w:val="none"/>
                <w:lang w:bidi="ar"/>
              </w:rPr>
              <w:t>◆4.计算卡采用PCIe接口供电，实现即插即用，无需额外采购ARM设备搭建使用环境。</w:t>
            </w:r>
          </w:p>
        </w:tc>
        <w:tc>
          <w:tcPr>
            <w:tcW w:w="560" w:type="pct"/>
            <w:shd w:val="clear" w:color="auto" w:fill="auto"/>
            <w:vAlign w:val="center"/>
          </w:tcPr>
          <w:p w14:paraId="7C699A4B">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3000 </w:t>
            </w:r>
          </w:p>
        </w:tc>
      </w:tr>
      <w:tr w14:paraId="3D3E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5EB509DE">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11</w:t>
            </w:r>
          </w:p>
        </w:tc>
        <w:tc>
          <w:tcPr>
            <w:tcW w:w="754" w:type="pct"/>
            <w:shd w:val="clear" w:color="auto" w:fill="auto"/>
            <w:vAlign w:val="center"/>
          </w:tcPr>
          <w:p w14:paraId="294E1ED1">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rPr>
              <w:t>直播机</w:t>
            </w:r>
          </w:p>
        </w:tc>
        <w:tc>
          <w:tcPr>
            <w:tcW w:w="336" w:type="pct"/>
            <w:shd w:val="clear" w:color="auto" w:fill="auto"/>
            <w:vAlign w:val="center"/>
          </w:tcPr>
          <w:p w14:paraId="39D0E192">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台</w:t>
            </w:r>
          </w:p>
        </w:tc>
        <w:tc>
          <w:tcPr>
            <w:tcW w:w="337" w:type="pct"/>
            <w:shd w:val="clear" w:color="auto" w:fill="auto"/>
            <w:vAlign w:val="center"/>
          </w:tcPr>
          <w:p w14:paraId="6C4AD172">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3</w:t>
            </w:r>
          </w:p>
        </w:tc>
        <w:tc>
          <w:tcPr>
            <w:tcW w:w="2744" w:type="pct"/>
            <w:shd w:val="clear" w:color="auto" w:fill="auto"/>
            <w:vAlign w:val="center"/>
          </w:tcPr>
          <w:p w14:paraId="18F1965C">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一、软件功能：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1.多机位切换、DOD OS智能导播桌面系统；</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2.多种视频源接入（usb、hdmi、u盘拷贝图像、视频、PDF文件等素材）；</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3.专业级绿幕抠图虚拟背景，自定义贴图、音频音效、画中画效果；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4.提词器（可调节式提词器）、场控提示板（提示敏感词汇或流程提示）；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5.睿眸相机（局域网无线连接机位、远程云端机位）；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6.支持扩展协同工作、绿布抠图、多机位多视频融合；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7.视频创意软件四大件 剪辑，提词，导播，相机；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8.多机位导播支持自带全景机位、切分中景机位、外接特写机位、远程移动机位；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9.提词器支持台词悬浮展示、直播自主控制文字大小、播放速度、调节背景颜色及透明度等；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10.支持场控提示器；</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11.支持直播过程中氛围音乐 贴图 音效控制、美颜等；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12.支持直播过程中批注功能；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13.支持直播画中画、切换机位、自定义布局等。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二、硬件特点：</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1.5000w高清像素4k画质 、128度超大广角。1/1.3英寸超级大底芯片级HDR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上下可调节90度视角30m s极速对焦7层专业光学镜头f/1.8光圈；</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2.四路麦克风拾音系统，拾音半径3-6米 AI修音降噪，立体音响。</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3.10.1英寸显示屏 1080X1920分辨率 10.7亿色显示屏。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4.智能触控键 加减音量操作、隐私键 避免直播事故。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5.铜管导热系统，保持48度以下低温工作，可用于7*24小时直播，保护CPU避免长时间工作机身热导致卡顿。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6.使用高通QCS8250旗舰级处理器，采用 7mm 工艺制程，频率最高达 2.84Ghz。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7.丰富扩展接口麦克风接口、typeC、HDMI、USB（可用于扩展分机位、高标准场景需求）。</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8.基于Android 10.0开发的catOS系统无损type-C无损传输连接主机DOD OS智能导播桌面双系统。</w:t>
            </w:r>
          </w:p>
        </w:tc>
        <w:tc>
          <w:tcPr>
            <w:tcW w:w="560" w:type="pct"/>
            <w:shd w:val="clear" w:color="auto" w:fill="auto"/>
            <w:vAlign w:val="center"/>
          </w:tcPr>
          <w:p w14:paraId="30A87F41">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28500 </w:t>
            </w:r>
          </w:p>
        </w:tc>
      </w:tr>
      <w:tr w14:paraId="3EEA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580C0E2E">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12</w:t>
            </w:r>
          </w:p>
        </w:tc>
        <w:tc>
          <w:tcPr>
            <w:tcW w:w="754" w:type="pct"/>
            <w:shd w:val="clear" w:color="auto" w:fill="auto"/>
            <w:vAlign w:val="center"/>
          </w:tcPr>
          <w:p w14:paraId="1ED16E83">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导播本</w:t>
            </w:r>
          </w:p>
        </w:tc>
        <w:tc>
          <w:tcPr>
            <w:tcW w:w="336" w:type="pct"/>
            <w:shd w:val="clear" w:color="auto" w:fill="auto"/>
            <w:vAlign w:val="center"/>
          </w:tcPr>
          <w:p w14:paraId="11B6F039">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台</w:t>
            </w:r>
          </w:p>
        </w:tc>
        <w:tc>
          <w:tcPr>
            <w:tcW w:w="337" w:type="pct"/>
            <w:shd w:val="clear" w:color="auto" w:fill="auto"/>
            <w:vAlign w:val="center"/>
          </w:tcPr>
          <w:p w14:paraId="5214B75F">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3</w:t>
            </w:r>
          </w:p>
        </w:tc>
        <w:tc>
          <w:tcPr>
            <w:tcW w:w="2744" w:type="pct"/>
            <w:shd w:val="clear" w:color="auto" w:fill="auto"/>
            <w:vAlign w:val="center"/>
          </w:tcPr>
          <w:p w14:paraId="3A014AE6">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1.扩展屏专为场控定制的系统和界面；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2.15英寸3:2屏幕；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3.2160*14402K高分辨率；</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4.10000mAh内置大容量电池；</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5.10点触控触控操作；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6.Wi-Fi6疾速连接DP输入Type-c视频接入。</w:t>
            </w:r>
          </w:p>
        </w:tc>
        <w:tc>
          <w:tcPr>
            <w:tcW w:w="560" w:type="pct"/>
            <w:shd w:val="clear" w:color="auto" w:fill="auto"/>
            <w:vAlign w:val="center"/>
          </w:tcPr>
          <w:p w14:paraId="15A9C7A0">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6600 </w:t>
            </w:r>
          </w:p>
        </w:tc>
      </w:tr>
      <w:tr w14:paraId="2651B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66" w:type="pct"/>
            <w:shd w:val="clear" w:color="auto" w:fill="auto"/>
            <w:vAlign w:val="center"/>
          </w:tcPr>
          <w:p w14:paraId="5258CAD6">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13</w:t>
            </w:r>
          </w:p>
        </w:tc>
        <w:tc>
          <w:tcPr>
            <w:tcW w:w="754" w:type="pct"/>
            <w:shd w:val="clear" w:color="auto" w:fill="auto"/>
            <w:vAlign w:val="center"/>
          </w:tcPr>
          <w:p w14:paraId="0873F14D">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抠像绿幕</w:t>
            </w:r>
          </w:p>
        </w:tc>
        <w:tc>
          <w:tcPr>
            <w:tcW w:w="336" w:type="pct"/>
            <w:shd w:val="clear" w:color="auto" w:fill="auto"/>
            <w:vAlign w:val="center"/>
          </w:tcPr>
          <w:p w14:paraId="10ADED3E">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套</w:t>
            </w:r>
          </w:p>
        </w:tc>
        <w:tc>
          <w:tcPr>
            <w:tcW w:w="337" w:type="pct"/>
            <w:shd w:val="clear" w:color="auto" w:fill="auto"/>
            <w:vAlign w:val="center"/>
          </w:tcPr>
          <w:p w14:paraId="6C127D48">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4</w:t>
            </w:r>
          </w:p>
        </w:tc>
        <w:tc>
          <w:tcPr>
            <w:tcW w:w="2744" w:type="pct"/>
            <w:shd w:val="clear" w:color="auto" w:fill="auto"/>
            <w:vAlign w:val="center"/>
          </w:tcPr>
          <w:p w14:paraId="3EF68C6B">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1.支持地拉式升降绿幕；</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2.尺寸：≥2.5 x 2.5米绿幕套装。</w:t>
            </w:r>
          </w:p>
        </w:tc>
        <w:tc>
          <w:tcPr>
            <w:tcW w:w="560" w:type="pct"/>
            <w:shd w:val="clear" w:color="auto" w:fill="auto"/>
            <w:vAlign w:val="center"/>
          </w:tcPr>
          <w:p w14:paraId="6C56AF2E">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7400 </w:t>
            </w:r>
          </w:p>
        </w:tc>
      </w:tr>
      <w:tr w14:paraId="7A71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5D097D61">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14</w:t>
            </w:r>
          </w:p>
        </w:tc>
        <w:tc>
          <w:tcPr>
            <w:tcW w:w="754" w:type="pct"/>
            <w:shd w:val="clear" w:color="auto" w:fill="auto"/>
            <w:vAlign w:val="center"/>
          </w:tcPr>
          <w:p w14:paraId="1F8E19A5">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双灯套装</w:t>
            </w:r>
          </w:p>
        </w:tc>
        <w:tc>
          <w:tcPr>
            <w:tcW w:w="336" w:type="pct"/>
            <w:shd w:val="clear" w:color="auto" w:fill="auto"/>
            <w:vAlign w:val="center"/>
          </w:tcPr>
          <w:p w14:paraId="4C823BCD">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套</w:t>
            </w:r>
          </w:p>
        </w:tc>
        <w:tc>
          <w:tcPr>
            <w:tcW w:w="337" w:type="pct"/>
            <w:shd w:val="clear" w:color="auto" w:fill="auto"/>
            <w:vAlign w:val="center"/>
          </w:tcPr>
          <w:p w14:paraId="5F4A35E1">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3</w:t>
            </w:r>
          </w:p>
        </w:tc>
        <w:tc>
          <w:tcPr>
            <w:tcW w:w="2744" w:type="pct"/>
            <w:shd w:val="clear" w:color="auto" w:fill="auto"/>
            <w:vAlign w:val="center"/>
          </w:tcPr>
          <w:p w14:paraId="1CDD56AA">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 xml:space="preserve">1.双色温LED大功率常亮补光灯；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2.输入电压 AC220V 50/60Hz；</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3.输出功率 200W(照明)；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4.CCT色温 2700K(:100K)~6500K(+100K)；</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5.调光范围 0%-100%；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6.Ra显色 CRI96/TLCI 97；</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7.控制方式 2.4G无线遥控/灯体控制；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8.100%光照度 (1m带标准罩)</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 xml:space="preserve"> 2700K=25000Lux/6500K=30000Lux；</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9.温度控制 智能IC过温保护；</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10.散热方式 风扇主动散热；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11.摄直播设备 【双灯套装】柔光球*1+方形柔光箱*1+灯架*2。</w:t>
            </w:r>
          </w:p>
        </w:tc>
        <w:tc>
          <w:tcPr>
            <w:tcW w:w="560" w:type="pct"/>
            <w:shd w:val="clear" w:color="auto" w:fill="auto"/>
            <w:vAlign w:val="center"/>
          </w:tcPr>
          <w:p w14:paraId="61568A21">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8100 </w:t>
            </w:r>
          </w:p>
        </w:tc>
      </w:tr>
      <w:tr w14:paraId="2C5F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154EDE9D">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15</w:t>
            </w:r>
          </w:p>
        </w:tc>
        <w:tc>
          <w:tcPr>
            <w:tcW w:w="754" w:type="pct"/>
            <w:shd w:val="clear" w:color="auto" w:fill="auto"/>
            <w:vAlign w:val="center"/>
          </w:tcPr>
          <w:p w14:paraId="18DE7EBF">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直播声卡套装</w:t>
            </w:r>
          </w:p>
        </w:tc>
        <w:tc>
          <w:tcPr>
            <w:tcW w:w="336" w:type="pct"/>
            <w:shd w:val="clear" w:color="auto" w:fill="auto"/>
            <w:vAlign w:val="center"/>
          </w:tcPr>
          <w:p w14:paraId="7645DD16">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套</w:t>
            </w:r>
          </w:p>
        </w:tc>
        <w:tc>
          <w:tcPr>
            <w:tcW w:w="337" w:type="pct"/>
            <w:shd w:val="clear" w:color="auto" w:fill="auto"/>
            <w:vAlign w:val="center"/>
          </w:tcPr>
          <w:p w14:paraId="6AF6BD6D">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3</w:t>
            </w:r>
          </w:p>
        </w:tc>
        <w:tc>
          <w:tcPr>
            <w:tcW w:w="2744" w:type="pct"/>
            <w:shd w:val="clear" w:color="auto" w:fill="auto"/>
            <w:vAlign w:val="center"/>
          </w:tcPr>
          <w:p w14:paraId="2DEC6C1C">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1.输出数量：≥3；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2.输入数量：≥3；</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3.类型：直播声卡套装；</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4.输出类型：耳机；</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5.续航时间：5-10小时；</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6.麦克风接口：卡侬；</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7.连接方式：无线/有线；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8.连接主体：手机，电脑，平板；</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9.使用方式：支撑式；</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10.连接协议：USB2.0；</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11.供电方式：内置电池适用场景：直播带货，游戏直播。</w:t>
            </w:r>
          </w:p>
        </w:tc>
        <w:tc>
          <w:tcPr>
            <w:tcW w:w="560" w:type="pct"/>
            <w:shd w:val="clear" w:color="auto" w:fill="auto"/>
            <w:vAlign w:val="center"/>
          </w:tcPr>
          <w:p w14:paraId="294DF688">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2100 </w:t>
            </w:r>
          </w:p>
        </w:tc>
      </w:tr>
      <w:tr w14:paraId="6415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266" w:type="pct"/>
            <w:shd w:val="clear" w:color="auto" w:fill="auto"/>
            <w:vAlign w:val="center"/>
          </w:tcPr>
          <w:p w14:paraId="7DBF35E4">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16</w:t>
            </w:r>
          </w:p>
        </w:tc>
        <w:tc>
          <w:tcPr>
            <w:tcW w:w="754" w:type="pct"/>
            <w:shd w:val="clear" w:color="auto" w:fill="auto"/>
            <w:vAlign w:val="center"/>
          </w:tcPr>
          <w:p w14:paraId="15DA1F13">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无线路由器</w:t>
            </w:r>
          </w:p>
        </w:tc>
        <w:tc>
          <w:tcPr>
            <w:tcW w:w="336" w:type="pct"/>
            <w:shd w:val="clear" w:color="auto" w:fill="auto"/>
            <w:vAlign w:val="center"/>
          </w:tcPr>
          <w:p w14:paraId="010DB706">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台</w:t>
            </w:r>
          </w:p>
        </w:tc>
        <w:tc>
          <w:tcPr>
            <w:tcW w:w="337" w:type="pct"/>
            <w:shd w:val="clear" w:color="auto" w:fill="auto"/>
            <w:vAlign w:val="center"/>
          </w:tcPr>
          <w:p w14:paraId="1E582A73">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44" w:type="pct"/>
            <w:shd w:val="clear" w:color="auto" w:fill="auto"/>
            <w:vAlign w:val="center"/>
          </w:tcPr>
          <w:p w14:paraId="2F7AC275">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1.支持WiFi7；</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2.频段：双频；</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3.支持宽带：≥1500M；</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4.WAN接入口：单2.5G网口；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5.无线速率：≥3000M。</w:t>
            </w:r>
          </w:p>
        </w:tc>
        <w:tc>
          <w:tcPr>
            <w:tcW w:w="560" w:type="pct"/>
            <w:shd w:val="clear" w:color="auto" w:fill="auto"/>
            <w:vAlign w:val="center"/>
          </w:tcPr>
          <w:p w14:paraId="596D4A3D">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600 </w:t>
            </w:r>
          </w:p>
        </w:tc>
      </w:tr>
      <w:tr w14:paraId="1774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6BB18158">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17</w:t>
            </w:r>
          </w:p>
        </w:tc>
        <w:tc>
          <w:tcPr>
            <w:tcW w:w="754" w:type="pct"/>
            <w:shd w:val="clear" w:color="auto" w:fill="auto"/>
            <w:vAlign w:val="center"/>
          </w:tcPr>
          <w:p w14:paraId="3C2F7CFB">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千兆交换机</w:t>
            </w:r>
          </w:p>
        </w:tc>
        <w:tc>
          <w:tcPr>
            <w:tcW w:w="336" w:type="pct"/>
            <w:shd w:val="clear" w:color="auto" w:fill="auto"/>
            <w:vAlign w:val="center"/>
          </w:tcPr>
          <w:p w14:paraId="44FB2229">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台</w:t>
            </w:r>
          </w:p>
        </w:tc>
        <w:tc>
          <w:tcPr>
            <w:tcW w:w="337" w:type="pct"/>
            <w:shd w:val="clear" w:color="auto" w:fill="auto"/>
            <w:vAlign w:val="center"/>
          </w:tcPr>
          <w:p w14:paraId="717E8206">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44" w:type="pct"/>
            <w:shd w:val="clear" w:color="auto" w:fill="auto"/>
          </w:tcPr>
          <w:p w14:paraId="351802EA">
            <w:pPr>
              <w:keepNext w:val="0"/>
              <w:keepLines w:val="0"/>
              <w:widowControl/>
              <w:suppressLineNumbers w:val="0"/>
              <w:spacing w:before="0" w:beforeAutospacing="0" w:after="0" w:afterAutospacing="0" w:line="340" w:lineRule="exact"/>
              <w:ind w:left="0" w:right="0"/>
              <w:jc w:val="left"/>
              <w:textAlignment w:val="top"/>
              <w:rPr>
                <w:rFonts w:hint="default"/>
                <w:color w:val="auto"/>
                <w:szCs w:val="21"/>
                <w:highlight w:val="none"/>
              </w:rPr>
            </w:pPr>
            <w:r>
              <w:rPr>
                <w:rFonts w:hint="eastAsia" w:ascii="宋体" w:hAnsi="宋体" w:cs="宋体"/>
                <w:color w:val="auto"/>
                <w:kern w:val="0"/>
                <w:szCs w:val="21"/>
                <w:highlight w:val="none"/>
                <w:lang w:bidi="ar"/>
              </w:rPr>
              <w:t>▲1.千兆电口≥24个、千兆光口≥4个、1个Console口，1个Manage口。</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2.交换性能≥336 Gbps，包转发率≥96 Mpps。</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3.工作温度：-5°C～45°C，存储温度：-20°C～70°C。</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4.支持一体化，支持智能交换机和普通交换机两种工作模式，可以根据不同的组网需要，随时灵活的进行切换。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◆5.可通过配置静态IP地址，DHCP Option43方式，DNS域名等方式发现控制器平台。</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6.支持通过控制器平台一键替换“按钮”即可完成故障设备替换。</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7.支持STP、RSTP、MSTP协议，支持IGMP v1/v2/v3 Snooping。</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8.支持IEEE 802.3az 标准的 EEE节能技术。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9.支持MAC地址自动学习</w:t>
            </w:r>
            <w:r>
              <w:rPr>
                <w:rFonts w:hint="eastAsia" w:ascii="宋体" w:hAnsi="宋体" w:cs="宋体"/>
                <w:color w:val="auto"/>
                <w:kern w:val="0"/>
                <w:szCs w:val="21"/>
                <w:highlight w:val="none"/>
                <w:lang w:bidi="ar"/>
              </w:rPr>
              <w:br w:type="textWrapping"/>
            </w:r>
            <w:r>
              <w:rPr>
                <w:rFonts w:hint="eastAsia" w:ascii="Times New Roman" w:hAnsi="Times New Roman" w:eastAsia="宋体" w:cs="Times New Roman"/>
                <w:color w:val="auto"/>
                <w:kern w:val="2"/>
                <w:sz w:val="21"/>
                <w:szCs w:val="24"/>
                <w:highlight w:val="none"/>
                <w:lang w:val="en-US" w:eastAsia="zh-CN" w:bidi="ar"/>
              </w:rPr>
              <w:t>◆</w:t>
            </w:r>
            <w:r>
              <w:rPr>
                <w:rFonts w:hint="eastAsia" w:ascii="宋体" w:hAnsi="宋体" w:cs="宋体"/>
                <w:color w:val="auto"/>
                <w:kern w:val="0"/>
                <w:szCs w:val="21"/>
                <w:highlight w:val="none"/>
                <w:lang w:bidi="ar"/>
              </w:rPr>
              <w:t>10.支持M-LAG技术；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◆11.支持通过控制器平台查看交换机端口负载情况；</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12.要求交换机具有东西向风险流量安全功能；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◆13.支持终端类型库，能自动识别PC电脑终端、路由器、监控摄像头终端设备等；</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14.支持防网关ARP欺骗，管理员分级管理，支持防止DOS、ARP攻击功能</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15.支持通过APP进行远程管理，并且可以修改交换机网络配置；</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16.支持通过在控制器平台的Web页面对交换机进行可视化管理查看，包括交换机的端口状态及配置、vlan信息；</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◆17.支持通过控制器平台对交换机端口进行开启与关闭；</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▲18.支持安全状态页面中显示安全事件（响应文件中提供功能截图证明）；</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19.支持交换机端口终端类型变更后，通过APP、短信告警；</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20.支持通过控制器平台查看交换机面板端口工作状态，通过端口颜色显示状态即可判断端口是否在线工作；</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▲21.支持通过手机APP对交换机进行管理（投标文件中提供功能截图证明并加盖投标人</w:t>
            </w:r>
            <w:r>
              <w:rPr>
                <w:rFonts w:hint="eastAsia" w:ascii="宋体" w:hAnsi="宋体" w:cs="Courier New"/>
                <w:bCs/>
                <w:color w:val="auto"/>
                <w:szCs w:val="21"/>
                <w:highlight w:val="none"/>
              </w:rPr>
              <w:t>电子公章</w:t>
            </w: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22.含两个配套千兆单模光模块。</w:t>
            </w:r>
          </w:p>
        </w:tc>
        <w:tc>
          <w:tcPr>
            <w:tcW w:w="560" w:type="pct"/>
            <w:shd w:val="clear" w:color="auto" w:fill="auto"/>
            <w:vAlign w:val="center"/>
          </w:tcPr>
          <w:p w14:paraId="78DBB4AB">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4500 </w:t>
            </w:r>
          </w:p>
        </w:tc>
      </w:tr>
      <w:tr w14:paraId="17B9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66" w:type="pct"/>
            <w:shd w:val="clear" w:color="auto" w:fill="auto"/>
            <w:vAlign w:val="center"/>
          </w:tcPr>
          <w:p w14:paraId="0E275109">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18</w:t>
            </w:r>
          </w:p>
        </w:tc>
        <w:tc>
          <w:tcPr>
            <w:tcW w:w="754" w:type="pct"/>
            <w:shd w:val="clear" w:color="auto" w:fill="auto"/>
            <w:vAlign w:val="center"/>
          </w:tcPr>
          <w:p w14:paraId="29FCC80C">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综合布线</w:t>
            </w:r>
          </w:p>
        </w:tc>
        <w:tc>
          <w:tcPr>
            <w:tcW w:w="336" w:type="pct"/>
            <w:shd w:val="clear" w:color="auto" w:fill="auto"/>
            <w:vAlign w:val="center"/>
          </w:tcPr>
          <w:p w14:paraId="4888E477">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项</w:t>
            </w:r>
          </w:p>
        </w:tc>
        <w:tc>
          <w:tcPr>
            <w:tcW w:w="337" w:type="pct"/>
            <w:shd w:val="clear" w:color="auto" w:fill="auto"/>
            <w:vAlign w:val="center"/>
          </w:tcPr>
          <w:p w14:paraId="1AACB130">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44" w:type="pct"/>
            <w:shd w:val="clear" w:color="auto" w:fill="auto"/>
            <w:vAlign w:val="center"/>
          </w:tcPr>
          <w:p w14:paraId="4090BED3">
            <w:pPr>
              <w:keepNext w:val="0"/>
              <w:keepLines w:val="0"/>
              <w:widowControl/>
              <w:suppressLineNumbers w:val="0"/>
              <w:spacing w:before="0" w:beforeAutospacing="0" w:after="0" w:afterAutospacing="0" w:line="340" w:lineRule="exact"/>
              <w:ind w:left="0" w:right="0"/>
              <w:textAlignment w:val="top"/>
              <w:rPr>
                <w:rFonts w:hint="default"/>
                <w:color w:val="auto"/>
                <w:szCs w:val="21"/>
                <w:highlight w:val="none"/>
              </w:rPr>
            </w:pPr>
            <w:r>
              <w:rPr>
                <w:rFonts w:hint="eastAsia" w:ascii="宋体" w:hAnsi="宋体" w:cs="宋体"/>
                <w:color w:val="auto"/>
                <w:kern w:val="0"/>
                <w:szCs w:val="21"/>
                <w:highlight w:val="none"/>
                <w:lang w:bidi="ar"/>
              </w:rPr>
              <w:t>1.机柜至各个终端网线，直播间内部电柜至各个用电处电源线，等明装。</w:t>
            </w:r>
          </w:p>
        </w:tc>
        <w:tc>
          <w:tcPr>
            <w:tcW w:w="560" w:type="pct"/>
            <w:shd w:val="clear" w:color="auto" w:fill="auto"/>
            <w:vAlign w:val="center"/>
          </w:tcPr>
          <w:p w14:paraId="637E8406">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6000 </w:t>
            </w:r>
          </w:p>
        </w:tc>
      </w:tr>
      <w:tr w14:paraId="7EBA5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266" w:type="pct"/>
            <w:shd w:val="clear" w:color="auto" w:fill="auto"/>
            <w:vAlign w:val="center"/>
          </w:tcPr>
          <w:p w14:paraId="20DF3D5D">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19</w:t>
            </w:r>
          </w:p>
        </w:tc>
        <w:tc>
          <w:tcPr>
            <w:tcW w:w="754" w:type="pct"/>
            <w:shd w:val="clear" w:color="auto" w:fill="auto"/>
            <w:vAlign w:val="center"/>
          </w:tcPr>
          <w:p w14:paraId="27BCBFFC">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系统集成</w:t>
            </w:r>
          </w:p>
        </w:tc>
        <w:tc>
          <w:tcPr>
            <w:tcW w:w="336" w:type="pct"/>
            <w:shd w:val="clear" w:color="auto" w:fill="auto"/>
            <w:vAlign w:val="center"/>
          </w:tcPr>
          <w:p w14:paraId="398FA1B1">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项</w:t>
            </w:r>
          </w:p>
        </w:tc>
        <w:tc>
          <w:tcPr>
            <w:tcW w:w="337" w:type="pct"/>
            <w:shd w:val="clear" w:color="auto" w:fill="auto"/>
            <w:vAlign w:val="center"/>
          </w:tcPr>
          <w:p w14:paraId="3F0126FA">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2744" w:type="pct"/>
            <w:shd w:val="clear" w:color="auto" w:fill="auto"/>
            <w:vAlign w:val="center"/>
          </w:tcPr>
          <w:p w14:paraId="2A708729">
            <w:pPr>
              <w:keepNext w:val="0"/>
              <w:keepLines w:val="0"/>
              <w:widowControl/>
              <w:suppressLineNumbers w:val="0"/>
              <w:spacing w:before="0" w:beforeAutospacing="0" w:after="0" w:afterAutospacing="0" w:line="340" w:lineRule="exact"/>
              <w:ind w:left="0" w:right="0"/>
              <w:jc w:val="left"/>
              <w:textAlignment w:val="center"/>
              <w:rPr>
                <w:rFonts w:hint="default"/>
                <w:color w:val="auto"/>
                <w:szCs w:val="21"/>
                <w:highlight w:val="none"/>
              </w:rPr>
            </w:pPr>
            <w:r>
              <w:rPr>
                <w:rFonts w:hint="eastAsia" w:ascii="宋体" w:hAnsi="宋体" w:cs="宋体"/>
                <w:color w:val="auto"/>
                <w:kern w:val="0"/>
                <w:szCs w:val="21"/>
                <w:highlight w:val="none"/>
                <w:lang w:bidi="ar"/>
              </w:rPr>
              <w:t>1.包含设备安装调试、现场恢复、设备标签等材料。包含交换机、信息箱、网络面板、机柜安装等人工费。</w:t>
            </w:r>
          </w:p>
        </w:tc>
        <w:tc>
          <w:tcPr>
            <w:tcW w:w="560" w:type="pct"/>
            <w:shd w:val="clear" w:color="auto" w:fill="auto"/>
            <w:vAlign w:val="center"/>
          </w:tcPr>
          <w:p w14:paraId="2A903675">
            <w:pPr>
              <w:keepNext w:val="0"/>
              <w:keepLines w:val="0"/>
              <w:widowControl/>
              <w:suppressLineNumbers w:val="0"/>
              <w:spacing w:before="0" w:beforeAutospacing="0" w:after="0" w:afterAutospacing="0" w:line="340" w:lineRule="exact"/>
              <w:ind w:left="0" w:right="0"/>
              <w:jc w:val="center"/>
              <w:textAlignment w:val="center"/>
              <w:rPr>
                <w:rFonts w:hint="default" w:ascii="宋体" w:hAnsi="宋体" w:cs="宋体"/>
                <w:color w:val="auto"/>
                <w:szCs w:val="21"/>
                <w:highlight w:val="none"/>
              </w:rPr>
            </w:pPr>
            <w:r>
              <w:rPr>
                <w:rFonts w:hint="eastAsia" w:ascii="宋体" w:hAnsi="宋体" w:cs="宋体"/>
                <w:color w:val="auto"/>
                <w:kern w:val="0"/>
                <w:szCs w:val="21"/>
                <w:highlight w:val="none"/>
                <w:lang w:bidi="ar"/>
              </w:rPr>
              <w:t xml:space="preserve">2000 </w:t>
            </w:r>
          </w:p>
        </w:tc>
      </w:tr>
      <w:tr w14:paraId="770A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6" w:type="pct"/>
            <w:shd w:val="clear" w:color="auto" w:fill="auto"/>
            <w:vAlign w:val="center"/>
          </w:tcPr>
          <w:p w14:paraId="149682F6">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商务条款</w:t>
            </w:r>
          </w:p>
        </w:tc>
        <w:tc>
          <w:tcPr>
            <w:tcW w:w="4733" w:type="pct"/>
            <w:gridSpan w:val="5"/>
            <w:shd w:val="clear" w:color="auto" w:fill="auto"/>
            <w:vAlign w:val="center"/>
          </w:tcPr>
          <w:p w14:paraId="036B0968">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▲一、合同签订期：</w:t>
            </w:r>
            <w:r>
              <w:rPr>
                <w:rFonts w:hint="eastAsia" w:ascii="宋体" w:hAnsi="宋体"/>
                <w:color w:val="auto"/>
                <w:szCs w:val="21"/>
                <w:highlight w:val="none"/>
                <w:lang w:bidi="ar"/>
              </w:rPr>
              <w:t>自中标通知书发出之日起7日内。</w:t>
            </w:r>
          </w:p>
          <w:p w14:paraId="77E8B5FF">
            <w:pPr>
              <w:keepNext w:val="0"/>
              <w:keepLines w:val="0"/>
              <w:widowControl/>
              <w:suppressLineNumbers w:val="0"/>
              <w:shd w:val="clear" w:color="auto" w:fill="FFFFFF"/>
              <w:spacing w:before="0" w:beforeAutospacing="0" w:after="0" w:afterAutospacing="0" w:line="340" w:lineRule="exact"/>
              <w:ind w:left="0" w:right="0"/>
              <w:rPr>
                <w:rFonts w:hint="default"/>
                <w:color w:val="auto"/>
                <w:highlight w:val="none"/>
                <w:shd w:val="clear" w:color="auto" w:fill="FFFFFF"/>
              </w:rPr>
            </w:pPr>
            <w:r>
              <w:rPr>
                <w:rFonts w:hint="eastAsia" w:ascii="宋体" w:hAnsi="宋体" w:cs="宋体"/>
                <w:color w:val="auto"/>
                <w:szCs w:val="21"/>
                <w:highlight w:val="none"/>
                <w:shd w:val="clear" w:color="auto" w:fill="FFFFFF"/>
                <w:lang w:bidi="ar"/>
              </w:rPr>
              <w:t>二、</w:t>
            </w:r>
            <w:r>
              <w:rPr>
                <w:rFonts w:hint="eastAsia" w:ascii="宋体" w:hAnsi="宋体" w:cs="宋体"/>
                <w:bCs/>
                <w:color w:val="auto"/>
                <w:szCs w:val="21"/>
                <w:highlight w:val="none"/>
                <w:shd w:val="clear" w:color="auto" w:fill="FFFFFF"/>
                <w:lang w:bidi="ar"/>
              </w:rPr>
              <w:t>货物期限或者货物时间：合同签订后45天内交货（含安装调试）。</w:t>
            </w:r>
          </w:p>
          <w:p w14:paraId="17295F9A">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bCs/>
                <w:color w:val="auto"/>
                <w:szCs w:val="21"/>
                <w:highlight w:val="none"/>
                <w:u w:val="single"/>
                <w:shd w:val="clear" w:color="auto" w:fill="FFFFFF"/>
              </w:rPr>
            </w:pPr>
            <w:r>
              <w:rPr>
                <w:rFonts w:hint="eastAsia" w:ascii="宋体" w:hAnsi="宋体" w:cs="宋体"/>
                <w:color w:val="auto"/>
                <w:szCs w:val="21"/>
                <w:highlight w:val="none"/>
                <w:shd w:val="clear" w:color="auto" w:fill="FFFFFF"/>
                <w:lang w:bidi="ar"/>
              </w:rPr>
              <w:t>三、货物地点：南宁职业技术大学指定地点。</w:t>
            </w:r>
          </w:p>
          <w:p w14:paraId="148E126B">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bCs/>
                <w:color w:val="auto"/>
                <w:szCs w:val="21"/>
                <w:highlight w:val="none"/>
                <w:shd w:val="clear" w:color="auto" w:fill="FFFFFF"/>
                <w:lang w:bidi="ar"/>
              </w:rPr>
              <w:t>四、</w:t>
            </w:r>
            <w:r>
              <w:rPr>
                <w:rFonts w:hint="eastAsia" w:ascii="宋体" w:hAnsi="宋体" w:cs="宋体"/>
                <w:color w:val="auto"/>
                <w:szCs w:val="21"/>
                <w:highlight w:val="none"/>
                <w:shd w:val="clear" w:color="auto" w:fill="FFFFFF"/>
                <w:lang w:bidi="ar"/>
              </w:rPr>
              <w:t>验收标准、规范：</w:t>
            </w:r>
          </w:p>
          <w:p w14:paraId="75BA836E">
            <w:pPr>
              <w:keepNext w:val="0"/>
              <w:keepLines w:val="0"/>
              <w:suppressLineNumbers w:val="0"/>
              <w:spacing w:before="0" w:beforeAutospacing="0" w:after="0" w:afterAutospacing="0" w:line="340" w:lineRule="exact"/>
              <w:ind w:left="0" w:right="0"/>
              <w:rPr>
                <w:rFonts w:hint="default"/>
                <w:color w:val="auto"/>
                <w:highlight w:val="none"/>
              </w:rPr>
            </w:pPr>
            <w:r>
              <w:rPr>
                <w:rFonts w:hint="eastAsia"/>
                <w:color w:val="auto"/>
                <w:highlight w:val="none"/>
              </w:rPr>
              <w:t>1）采购人对中标供应商所交货物必须依照招标文件上的技术规格实质要求和国家有关标准验收，进行现场测试比对，达到要求的方可验收。如因中标供应商虚假应标而造成采购人损失的，中标供应商应承担相应法律责任，并赔偿因此而造成的采购人的损失。</w:t>
            </w:r>
          </w:p>
          <w:p w14:paraId="583E72CB">
            <w:pPr>
              <w:keepNext w:val="0"/>
              <w:keepLines w:val="0"/>
              <w:suppressLineNumbers w:val="0"/>
              <w:spacing w:before="0" w:beforeAutospacing="0" w:after="0" w:afterAutospacing="0" w:line="340" w:lineRule="exact"/>
              <w:ind w:left="0" w:right="0"/>
              <w:rPr>
                <w:rFonts w:hint="default"/>
                <w:color w:val="auto"/>
                <w:highlight w:val="none"/>
              </w:rPr>
            </w:pPr>
            <w:r>
              <w:rPr>
                <w:rFonts w:hint="eastAsia"/>
                <w:color w:val="auto"/>
                <w:highlight w:val="none"/>
              </w:rPr>
              <w:t>2）对检验，因中标人原因验收不通过的，采购人不再予以验收，视为中标人单方违约，采购人将如实上报财政部门并追究其全部法律责任及要求赔偿相应的经济损失。</w:t>
            </w:r>
          </w:p>
          <w:p w14:paraId="620D4A4A">
            <w:pPr>
              <w:keepNext w:val="0"/>
              <w:keepLines w:val="0"/>
              <w:suppressLineNumbers w:val="0"/>
              <w:spacing w:before="0" w:beforeAutospacing="0" w:after="0" w:afterAutospacing="0" w:line="340" w:lineRule="exact"/>
              <w:ind w:left="0" w:right="0"/>
              <w:rPr>
                <w:rFonts w:hint="default"/>
                <w:color w:val="auto"/>
                <w:highlight w:val="none"/>
              </w:rPr>
            </w:pPr>
            <w:r>
              <w:rPr>
                <w:rFonts w:hint="eastAsia"/>
                <w:color w:val="auto"/>
                <w:highlight w:val="none"/>
              </w:rPr>
              <w:t>3）货物符合国家官方合格标准。</w:t>
            </w:r>
          </w:p>
          <w:p w14:paraId="02E69242">
            <w:pPr>
              <w:keepNext w:val="0"/>
              <w:keepLines w:val="0"/>
              <w:suppressLineNumbers w:val="0"/>
              <w:spacing w:before="0" w:beforeAutospacing="0" w:after="0" w:afterAutospacing="0" w:line="340" w:lineRule="exact"/>
              <w:ind w:left="0" w:right="0"/>
              <w:rPr>
                <w:rFonts w:hint="default"/>
                <w:color w:val="auto"/>
                <w:highlight w:val="none"/>
              </w:rPr>
            </w:pPr>
            <w:r>
              <w:rPr>
                <w:rFonts w:hint="eastAsia"/>
                <w:color w:val="auto"/>
                <w:highlight w:val="none"/>
              </w:rPr>
              <w:t>4）中标供应商须确保货物为原制造商制造的全新产品，无污染，无侵权行为、表面无划损、无任何缺陷隐患，在中国境内可依常规安全合法使用。</w:t>
            </w:r>
          </w:p>
          <w:p w14:paraId="03016460">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lang w:bidi="ar"/>
              </w:rPr>
            </w:pPr>
            <w:r>
              <w:rPr>
                <w:rFonts w:hint="eastAsia" w:ascii="宋体" w:hAnsi="宋体" w:cs="宋体"/>
                <w:b/>
                <w:bCs/>
                <w:color w:val="auto"/>
                <w:szCs w:val="21"/>
                <w:highlight w:val="none"/>
                <w:shd w:val="clear" w:color="auto" w:fill="FFFFFF"/>
                <w:lang w:bidi="ar"/>
              </w:rPr>
              <w:t>▲</w:t>
            </w:r>
            <w:r>
              <w:rPr>
                <w:rFonts w:hint="eastAsia" w:ascii="宋体" w:hAnsi="宋体" w:cs="宋体"/>
                <w:color w:val="auto"/>
                <w:szCs w:val="21"/>
                <w:highlight w:val="none"/>
                <w:shd w:val="clear" w:color="auto" w:fill="FFFFFF"/>
                <w:lang w:bidi="ar"/>
              </w:rPr>
              <w:t>五、售后服务要求：</w:t>
            </w:r>
          </w:p>
          <w:p w14:paraId="51A2930F">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1、质量保证期1年（自提交成果并验收合格之日起计）。</w:t>
            </w:r>
          </w:p>
          <w:p w14:paraId="715B7701">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2、响应时间：接到采购人处理问题通知后24小时内到达采购人指定现场。</w:t>
            </w:r>
          </w:p>
          <w:p w14:paraId="3A627AAD">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bidi="ar"/>
              </w:rPr>
              <w:t>3、售后服务技术人员要求：</w:t>
            </w:r>
            <w:r>
              <w:rPr>
                <w:rFonts w:hint="eastAsia" w:ascii="宋体" w:hAnsi="宋体" w:cs="宋体"/>
                <w:color w:val="auto"/>
                <w:szCs w:val="21"/>
                <w:highlight w:val="none"/>
                <w:u w:val="single"/>
                <w:shd w:val="clear" w:color="auto" w:fill="FFFFFF"/>
                <w:lang w:bidi="ar"/>
              </w:rPr>
              <w:t>兼职人员</w:t>
            </w:r>
          </w:p>
          <w:p w14:paraId="5069AA59">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s="宋体"/>
                <w:bCs/>
                <w:color w:val="auto"/>
                <w:szCs w:val="21"/>
                <w:highlight w:val="none"/>
                <w:u w:val="single"/>
                <w:shd w:val="clear" w:color="auto" w:fill="FFFFFF"/>
              </w:rPr>
            </w:pPr>
            <w:r>
              <w:rPr>
                <w:rFonts w:hint="eastAsia" w:ascii="宋体" w:hAnsi="宋体" w:cs="宋体"/>
                <w:color w:val="auto"/>
                <w:szCs w:val="21"/>
                <w:highlight w:val="none"/>
                <w:shd w:val="clear" w:color="auto" w:fill="FFFFFF"/>
                <w:lang w:bidi="ar"/>
              </w:rPr>
              <w:t>4、备品备件要求：有稳定的备件供应渠道，并从设备厂商的中国公司及其分销商购置整机和备件补充，可以满足客户的设备在升级、扩充和保修服务配件及消耗品等多方面的需求。</w:t>
            </w:r>
            <w:r>
              <w:rPr>
                <w:rFonts w:hint="eastAsia" w:ascii="宋体" w:hAnsi="宋体" w:cs="宋体"/>
                <w:bCs/>
                <w:color w:val="auto"/>
                <w:szCs w:val="21"/>
                <w:highlight w:val="none"/>
                <w:shd w:val="clear" w:color="auto" w:fill="FFFFFF"/>
                <w:lang w:bidi="ar"/>
              </w:rPr>
              <w:t>保修期内一切因生产厂制造质量原因造成的损坏，由供货方免费负责维修；保修期满后若设备出现故障，需更换配件的，只收取配件费，免收其余费用。</w:t>
            </w:r>
          </w:p>
          <w:p w14:paraId="01AB667C">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六、其他要求：</w:t>
            </w:r>
          </w:p>
          <w:p w14:paraId="75727DF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lang w:bidi="ar"/>
              </w:rPr>
            </w:pPr>
            <w:r>
              <w:rPr>
                <w:rFonts w:hint="eastAsia" w:ascii="宋体" w:hAnsi="宋体" w:cs="宋体"/>
                <w:color w:val="auto"/>
                <w:szCs w:val="21"/>
                <w:highlight w:val="none"/>
                <w:lang w:bidi="ar"/>
              </w:rPr>
              <w:t>1、报价必须含以下部分，包括：</w:t>
            </w:r>
          </w:p>
          <w:p w14:paraId="20B7BF4A">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（1）货物的价格；</w:t>
            </w:r>
          </w:p>
          <w:p w14:paraId="5A553B2B">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color w:val="auto"/>
                <w:szCs w:val="21"/>
                <w:highlight w:val="none"/>
                <w:lang w:bidi="ar"/>
              </w:rPr>
              <w:t>（2）必要的保险费用和各项税金；</w:t>
            </w:r>
          </w:p>
          <w:p w14:paraId="59281EDA">
            <w:pPr>
              <w:keepNext w:val="0"/>
              <w:keepLines w:val="0"/>
              <w:suppressLineNumbers w:val="0"/>
              <w:tabs>
                <w:tab w:val="left" w:pos="3490"/>
                <w:tab w:val="left" w:pos="3670"/>
                <w:tab w:val="left" w:pos="3895"/>
              </w:tabs>
              <w:spacing w:before="0" w:beforeAutospacing="0" w:after="0" w:afterAutospacing="0" w:line="34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lang w:bidi="ar"/>
              </w:rPr>
              <w:t>（3）其他：含运输、装卸、安装、调试、培训、技术支持、售后货物、更新升级等费用</w:t>
            </w:r>
          </w:p>
          <w:p w14:paraId="4F9C9917">
            <w:pPr>
              <w:keepNext w:val="0"/>
              <w:keepLines w:val="0"/>
              <w:suppressLineNumbers w:val="0"/>
              <w:spacing w:before="0" w:beforeAutospacing="0" w:after="0" w:afterAutospacing="0" w:line="340" w:lineRule="exact"/>
              <w:ind w:left="0" w:right="0"/>
              <w:rPr>
                <w:rFonts w:hint="default" w:ascii="宋体" w:hAnsi="宋体" w:cs="宋体"/>
                <w:color w:val="auto"/>
                <w:szCs w:val="21"/>
                <w:highlight w:val="none"/>
              </w:rPr>
            </w:pPr>
            <w:r>
              <w:rPr>
                <w:rFonts w:hint="eastAsia" w:ascii="宋体" w:hAnsi="宋体" w:cs="宋体"/>
                <w:b/>
                <w:bCs/>
                <w:color w:val="auto"/>
                <w:szCs w:val="21"/>
                <w:highlight w:val="none"/>
                <w:lang w:bidi="ar"/>
              </w:rPr>
              <w:t>▲</w:t>
            </w:r>
            <w:r>
              <w:rPr>
                <w:rFonts w:hint="eastAsia" w:ascii="宋体" w:hAnsi="宋体" w:cs="宋体"/>
                <w:color w:val="auto"/>
                <w:szCs w:val="21"/>
                <w:highlight w:val="none"/>
                <w:lang w:bidi="ar"/>
              </w:rPr>
              <w:t>2、付款方式：选择以下第（2）种方式</w:t>
            </w:r>
          </w:p>
          <w:p w14:paraId="4DE7CE7B">
            <w:pPr>
              <w:keepNext w:val="0"/>
              <w:keepLines w:val="0"/>
              <w:suppressLineNumbers w:val="0"/>
              <w:spacing w:before="0" w:beforeAutospacing="0" w:after="0" w:afterAutospacing="0" w:line="340" w:lineRule="exact"/>
              <w:ind w:left="0" w:right="0" w:firstLine="420" w:firstLineChars="200"/>
              <w:rPr>
                <w:rFonts w:hint="default" w:ascii="宋体" w:hAnsi="宋体" w:cs="宋体"/>
                <w:color w:val="auto"/>
                <w:szCs w:val="21"/>
                <w:highlight w:val="none"/>
              </w:rPr>
            </w:pPr>
            <w:r>
              <w:rPr>
                <w:rFonts w:hint="eastAsia" w:ascii="宋体" w:hAnsi="宋体" w:cs="宋体"/>
                <w:color w:val="auto"/>
                <w:szCs w:val="21"/>
                <w:highlight w:val="none"/>
                <w:lang w:bidi="ar"/>
              </w:rPr>
              <w:t>（1）本项目无预付款，合同签订后，设备完成硬件建设，甲方向乙方支付合同总价30%进度款，乙方按合同要培训交货完毕并验收合格后，甲方向乙方支付合同总价的70%，支付前由乙方按规定向甲方开具正式发票。</w:t>
            </w:r>
          </w:p>
          <w:p w14:paraId="445E68E9">
            <w:pPr>
              <w:keepNext w:val="0"/>
              <w:keepLines w:val="0"/>
              <w:suppressLineNumbers w:val="0"/>
              <w:spacing w:before="0" w:beforeAutospacing="0" w:after="0" w:afterAutospacing="0" w:line="340" w:lineRule="exact"/>
              <w:ind w:left="0" w:right="0" w:firstLine="420" w:firstLineChars="200"/>
              <w:rPr>
                <w:rFonts w:hint="default" w:ascii="宋体" w:hAnsi="宋体" w:cs="宋体"/>
                <w:color w:val="auto"/>
                <w:szCs w:val="21"/>
                <w:highlight w:val="none"/>
                <w:u w:val="single"/>
                <w:lang w:bidi="ar"/>
              </w:rPr>
            </w:pPr>
            <w:r>
              <w:rPr>
                <w:rFonts w:hint="eastAsia" w:ascii="宋体" w:hAnsi="宋体" w:cs="宋体"/>
                <w:color w:val="auto"/>
                <w:szCs w:val="21"/>
                <w:highlight w:val="none"/>
                <w:lang w:bidi="ar"/>
              </w:rPr>
              <w:t>（2）本项目采取预付款形式，预付形式为</w:t>
            </w:r>
            <w:r>
              <w:rPr>
                <w:rFonts w:hint="eastAsia" w:ascii="宋体" w:hAnsi="宋体" w:cs="宋体"/>
                <w:color w:val="auto"/>
                <w:szCs w:val="21"/>
                <w:highlight w:val="none"/>
                <w:u w:val="single"/>
                <w:lang w:bidi="ar"/>
              </w:rPr>
              <w:t>：付形式为：第一期付款：合同签订后，在担保措施生效及具备实施条件后10个工作日内采购人向中标人支付合同总价30%预付款，支付前由中标人按规定向采购人开具正式发票</w:t>
            </w:r>
          </w:p>
          <w:p w14:paraId="03DC886F">
            <w:pPr>
              <w:keepNext w:val="0"/>
              <w:keepLines w:val="0"/>
              <w:suppressLineNumbers w:val="0"/>
              <w:spacing w:before="0" w:beforeAutospacing="0" w:after="0" w:afterAutospacing="0" w:line="340" w:lineRule="exact"/>
              <w:ind w:left="0" w:right="0" w:firstLine="420" w:firstLineChars="200"/>
              <w:rPr>
                <w:rFonts w:hint="default" w:ascii="宋体" w:hAnsi="宋体" w:cs="宋体"/>
                <w:color w:val="auto"/>
                <w:szCs w:val="21"/>
                <w:highlight w:val="none"/>
                <w:u w:val="single"/>
              </w:rPr>
            </w:pPr>
            <w:r>
              <w:rPr>
                <w:rFonts w:hint="eastAsia" w:ascii="宋体" w:hAnsi="宋体" w:cs="宋体"/>
                <w:color w:val="auto"/>
                <w:szCs w:val="21"/>
                <w:highlight w:val="none"/>
                <w:u w:val="single"/>
                <w:lang w:bidi="ar"/>
              </w:rPr>
              <w:t>第二期付款：中标人交货完毕并验收合格后，采购人向中标人支付合同总价的70%，支付前由中标人按规定向采购人开具正式发票。</w:t>
            </w:r>
          </w:p>
          <w:p w14:paraId="587DE1CC">
            <w:pPr>
              <w:keepNext w:val="0"/>
              <w:keepLines w:val="0"/>
              <w:widowControl/>
              <w:suppressLineNumbers w:val="0"/>
              <w:spacing w:before="0" w:beforeAutospacing="0" w:after="0" w:afterAutospacing="0" w:line="340" w:lineRule="exact"/>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3、对合同条款的调整（如对验收、违约责任等有特殊要求的）</w:t>
            </w:r>
          </w:p>
          <w:p w14:paraId="6AF3AC63">
            <w:pPr>
              <w:keepNext w:val="0"/>
              <w:keepLines w:val="0"/>
              <w:widowControl/>
              <w:suppressLineNumbers w:val="0"/>
              <w:spacing w:before="0" w:beforeAutospacing="0" w:after="0" w:afterAutospacing="0" w:line="340" w:lineRule="exact"/>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无</w:t>
            </w:r>
          </w:p>
        </w:tc>
      </w:tr>
      <w:tr w14:paraId="66FA5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66" w:type="pct"/>
            <w:shd w:val="clear" w:color="auto" w:fill="auto"/>
            <w:vAlign w:val="center"/>
          </w:tcPr>
          <w:p w14:paraId="587028DE">
            <w:pPr>
              <w:keepNext w:val="0"/>
              <w:keepLines w:val="0"/>
              <w:suppressLineNumbers w:val="0"/>
              <w:spacing w:before="0" w:beforeAutospacing="0" w:after="0" w:afterAutospacing="0" w:line="340" w:lineRule="exact"/>
              <w:ind w:left="0" w:right="0"/>
              <w:jc w:val="center"/>
              <w:rPr>
                <w:rFonts w:hint="default" w:ascii="宋体" w:hAnsi="宋体" w:cs="宋体"/>
                <w:color w:val="auto"/>
                <w:szCs w:val="21"/>
                <w:highlight w:val="none"/>
              </w:rPr>
            </w:pPr>
            <w:r>
              <w:rPr>
                <w:rFonts w:hint="eastAsia" w:ascii="宋体" w:hAnsi="宋体"/>
                <w:color w:val="auto"/>
                <w:highlight w:val="none"/>
              </w:rPr>
              <w:t>其他说明</w:t>
            </w:r>
          </w:p>
        </w:tc>
        <w:tc>
          <w:tcPr>
            <w:tcW w:w="4733" w:type="pct"/>
            <w:gridSpan w:val="5"/>
            <w:shd w:val="clear" w:color="auto" w:fill="auto"/>
          </w:tcPr>
          <w:p w14:paraId="5059AF1A">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olor w:val="auto"/>
                <w:highlight w:val="none"/>
              </w:rPr>
            </w:pPr>
            <w:r>
              <w:rPr>
                <w:rFonts w:hint="eastAsia" w:ascii="宋体" w:hAnsi="宋体"/>
                <w:color w:val="auto"/>
                <w:highlight w:val="none"/>
              </w:rPr>
              <w:t>一、进口产品说明</w:t>
            </w:r>
          </w:p>
          <w:p w14:paraId="05C8D1E6">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□本表的第</w:t>
            </w:r>
            <w:r>
              <w:rPr>
                <w:rFonts w:hint="default"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default"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项货物所涉及的货物已按规定办妥进口产品采购审核手续，投标产品可选用进口产</w:t>
            </w:r>
          </w:p>
          <w:p w14:paraId="65785F2A">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品；但如选用进口产品时必须为全套原装进口产品（即通过中国海关报关验放进入中国境内且产自关境外的产品），同时投标人必须负责办理进口产品所有相关手续并承担所有费用。其他货物不接受进口产品参与投标，否则作无效标处理。</w:t>
            </w:r>
          </w:p>
          <w:p w14:paraId="23D96208">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b/>
                <w:bCs/>
                <w:color w:val="auto"/>
                <w:szCs w:val="21"/>
                <w:highlight w:val="none"/>
              </w:rPr>
            </w:pPr>
            <w:r>
              <w:rPr>
                <w:rFonts w:hint="eastAsia" w:ascii="宋体" w:hAnsi="宋体" w:cs="宋体"/>
                <w:b/>
                <w:bCs/>
                <w:color w:val="auto"/>
                <w:kern w:val="0"/>
                <w:sz w:val="24"/>
                <w:highlight w:val="none"/>
              </w:rPr>
              <w:sym w:font="Wingdings 2" w:char="F052"/>
            </w:r>
            <w:r>
              <w:rPr>
                <w:rFonts w:hint="eastAsia" w:ascii="宋体" w:hAnsi="宋体" w:cs="宋体"/>
                <w:b/>
                <w:bCs/>
                <w:color w:val="auto"/>
                <w:kern w:val="0"/>
                <w:szCs w:val="21"/>
                <w:highlight w:val="none"/>
              </w:rPr>
              <w:t>本分标货物所涉及的货物不接受进口产品（即通过中国海关报关验放进入中国境内且产自关境外的产品）参与投标，如有进口产品参与投标的作无效标处理。</w:t>
            </w:r>
          </w:p>
          <w:p w14:paraId="62AD7EC2">
            <w:pPr>
              <w:keepNext w:val="0"/>
              <w:keepLines w:val="0"/>
              <w:suppressLineNumbers w:val="0"/>
              <w:tabs>
                <w:tab w:val="left" w:pos="180"/>
                <w:tab w:val="left" w:pos="1620"/>
              </w:tabs>
              <w:spacing w:before="0" w:beforeAutospacing="0" w:after="0" w:afterAutospacing="0" w:line="340" w:lineRule="exact"/>
              <w:ind w:left="0" w:right="0"/>
              <w:rPr>
                <w:rFonts w:hint="default" w:ascii="宋体" w:hAnsi="宋体"/>
                <w:bCs/>
                <w:color w:val="auto"/>
                <w:szCs w:val="21"/>
                <w:highlight w:val="none"/>
              </w:rPr>
            </w:pPr>
            <w:r>
              <w:rPr>
                <w:rFonts w:hint="eastAsia" w:ascii="宋体" w:hAnsi="宋体"/>
                <w:bCs/>
                <w:color w:val="auto"/>
                <w:szCs w:val="21"/>
                <w:highlight w:val="none"/>
              </w:rPr>
              <w:t>二、与本项目有关的设计图纸、技术规范、文件等附件资料及其获取方式：无</w:t>
            </w:r>
          </w:p>
          <w:p w14:paraId="685D8903">
            <w:pPr>
              <w:keepNext w:val="0"/>
              <w:keepLines w:val="0"/>
              <w:suppressLineNumbers w:val="0"/>
              <w:tabs>
                <w:tab w:val="left" w:pos="180"/>
                <w:tab w:val="left" w:pos="1620"/>
              </w:tabs>
              <w:spacing w:before="0" w:beforeAutospacing="0" w:after="0" w:afterAutospacing="0" w:line="340" w:lineRule="exact"/>
              <w:ind w:left="0" w:right="0"/>
              <w:rPr>
                <w:rFonts w:hint="default" w:ascii="宋体" w:hAnsi="宋体"/>
                <w:b/>
                <w:bCs/>
                <w:color w:val="auto"/>
                <w:highlight w:val="none"/>
              </w:rPr>
            </w:pPr>
            <w:r>
              <w:rPr>
                <w:rFonts w:hint="eastAsia" w:ascii="宋体" w:hAnsi="宋体"/>
                <w:b/>
                <w:bCs/>
                <w:color w:val="auto"/>
                <w:szCs w:val="21"/>
                <w:highlight w:val="none"/>
              </w:rPr>
              <w:t>三、</w:t>
            </w:r>
            <w:r>
              <w:rPr>
                <w:rFonts w:hint="eastAsia" w:ascii="宋体" w:hAnsi="宋体"/>
                <w:b/>
                <w:bCs/>
                <w:color w:val="auto"/>
                <w:highlight w:val="none"/>
              </w:rPr>
              <w:t>核心产品</w:t>
            </w:r>
          </w:p>
          <w:p w14:paraId="4DC152F6">
            <w:pPr>
              <w:keepNext w:val="0"/>
              <w:keepLines w:val="0"/>
              <w:widowControl/>
              <w:suppressLineNumbers w:val="0"/>
              <w:shd w:val="clear" w:color="auto" w:fill="FFFFFF"/>
              <w:spacing w:before="0" w:beforeAutospacing="0" w:after="0" w:afterAutospacing="0" w:line="340" w:lineRule="exact"/>
              <w:ind w:left="0" w:right="0"/>
              <w:rPr>
                <w:rFonts w:hint="default" w:ascii="宋体" w:hAnsi="宋体"/>
                <w:color w:val="auto"/>
                <w:szCs w:val="21"/>
                <w:highlight w:val="none"/>
              </w:rPr>
            </w:pPr>
            <w:r>
              <w:rPr>
                <w:rFonts w:hint="eastAsia" w:ascii="宋体" w:hAnsi="宋体" w:cs="宋体"/>
                <w:b/>
                <w:bCs/>
                <w:color w:val="auto"/>
                <w:kern w:val="0"/>
                <w:szCs w:val="21"/>
                <w:highlight w:val="none"/>
              </w:rPr>
              <w:t>“采购清单及技术参数”表中的核心产品：1</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项产品：直播机。</w:t>
            </w:r>
          </w:p>
          <w:p w14:paraId="6751EC8D">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五、其他</w:t>
            </w:r>
          </w:p>
          <w:p w14:paraId="34D5ECFC">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1、本项目采购标的对应的中小企业划分标准所属行业：工业。</w:t>
            </w:r>
          </w:p>
          <w:p w14:paraId="50EBFFBD">
            <w:pPr>
              <w:keepNext w:val="0"/>
              <w:keepLines w:val="0"/>
              <w:suppressLineNumbers w:val="0"/>
              <w:autoSpaceDE w:val="0"/>
              <w:autoSpaceDN w:val="0"/>
              <w:adjustRightInd w:val="0"/>
              <w:spacing w:before="0" w:beforeAutospacing="0" w:after="0" w:afterAutospacing="0" w:line="340" w:lineRule="exact"/>
              <w:ind w:left="0" w:right="0"/>
              <w:jc w:val="left"/>
              <w:rPr>
                <w:rFonts w:hint="default"/>
                <w:color w:val="auto"/>
                <w:highlight w:val="none"/>
              </w:rPr>
            </w:pPr>
            <w:r>
              <w:rPr>
                <w:rFonts w:hint="eastAsia" w:ascii="宋体" w:hAnsi="宋体" w:cs="宋体"/>
                <w:color w:val="auto"/>
                <w:kern w:val="0"/>
                <w:szCs w:val="21"/>
                <w:highlight w:val="none"/>
              </w:rPr>
              <w:t>2、是否进行演示：否。</w:t>
            </w:r>
            <w:r>
              <w:rPr>
                <w:rFonts w:hint="eastAsia"/>
                <w:color w:val="auto"/>
                <w:highlight w:val="none"/>
              </w:rPr>
              <w:t xml:space="preserve"> </w:t>
            </w:r>
          </w:p>
          <w:p w14:paraId="5FDD21D4">
            <w:pPr>
              <w:keepNext w:val="0"/>
              <w:keepLines w:val="0"/>
              <w:suppressLineNumbers w:val="0"/>
              <w:autoSpaceDE w:val="0"/>
              <w:autoSpaceDN w:val="0"/>
              <w:adjustRightInd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3、是否要求提供样品：否</w:t>
            </w:r>
          </w:p>
          <w:p w14:paraId="1AF41CBC">
            <w:pPr>
              <w:keepNext w:val="0"/>
              <w:keepLines w:val="0"/>
              <w:widowControl/>
              <w:suppressLineNumbers w:val="0"/>
              <w:spacing w:before="0" w:beforeAutospacing="0" w:after="0" w:afterAutospacing="0" w:line="340" w:lineRule="exact"/>
              <w:ind w:left="0" w:right="0"/>
              <w:jc w:val="left"/>
              <w:rPr>
                <w:rFonts w:hint="default" w:ascii="宋体" w:hAnsi="宋体" w:cs="宋体"/>
                <w:color w:val="auto"/>
                <w:kern w:val="0"/>
                <w:szCs w:val="21"/>
                <w:highlight w:val="none"/>
              </w:rPr>
            </w:pPr>
            <w:r>
              <w:rPr>
                <w:rFonts w:hint="eastAsia" w:ascii="宋体" w:hAnsi="宋体" w:cs="宋体"/>
                <w:color w:val="auto"/>
                <w:kern w:val="0"/>
                <w:szCs w:val="21"/>
                <w:highlight w:val="none"/>
              </w:rPr>
              <w:t>4、是否现场踏勘：否</w:t>
            </w:r>
          </w:p>
        </w:tc>
      </w:tr>
    </w:tbl>
    <w:p w14:paraId="035061F0">
      <w:pPr>
        <w:pStyle w:val="25"/>
        <w:ind w:firstLine="0"/>
        <w:rPr>
          <w:rFonts w:ascii="宋体" w:hAnsi="宋体"/>
          <w:color w:val="auto"/>
          <w:highlight w:val="none"/>
        </w:rPr>
      </w:pPr>
      <w:r>
        <w:rPr>
          <w:rFonts w:ascii="宋体" w:hAnsi="宋体"/>
          <w:color w:val="auto"/>
          <w:highlight w:val="none"/>
        </w:rPr>
        <w:br w:type="page"/>
      </w:r>
    </w:p>
    <w:p w14:paraId="780441C3">
      <w:pPr>
        <w:pStyle w:val="25"/>
        <w:rPr>
          <w:rFonts w:ascii="宋体" w:hAnsi="宋体"/>
          <w:color w:val="auto"/>
          <w:highlight w:val="none"/>
        </w:rPr>
      </w:pPr>
    </w:p>
    <w:p w14:paraId="4C0037AE">
      <w:pPr>
        <w:spacing w:line="428" w:lineRule="exact"/>
        <w:ind w:left="119"/>
        <w:rPr>
          <w:rFonts w:ascii="宋体" w:hAnsi="宋体" w:cs="Arial Unicode MS"/>
          <w:color w:val="auto"/>
          <w:sz w:val="32"/>
          <w:szCs w:val="32"/>
          <w:highlight w:val="none"/>
        </w:rPr>
      </w:pPr>
      <w:r>
        <w:rPr>
          <w:rFonts w:ascii="宋体" w:hAnsi="宋体"/>
          <w:color w:val="auto"/>
          <w:highlight w:val="none"/>
        </w:rPr>
        <w:t xml:space="preserve"> </w:t>
      </w:r>
      <w:r>
        <w:rPr>
          <w:rFonts w:hint="eastAsia" w:ascii="宋体" w:hAnsi="宋体" w:cs="微软雅黑"/>
          <w:color w:val="auto"/>
          <w:sz w:val="32"/>
          <w:szCs w:val="32"/>
          <w:highlight w:val="none"/>
        </w:rPr>
        <w:t>附件</w:t>
      </w:r>
      <w:r>
        <w:rPr>
          <w:rFonts w:ascii="宋体" w:hAnsi="宋体" w:cs="Arial Unicode MS"/>
          <w:color w:val="auto"/>
          <w:sz w:val="32"/>
          <w:szCs w:val="32"/>
          <w:highlight w:val="none"/>
        </w:rPr>
        <w:t>1</w:t>
      </w:r>
      <w:r>
        <w:rPr>
          <w:rFonts w:hint="eastAsia" w:ascii="宋体" w:hAnsi="宋体" w:cs="微软雅黑"/>
          <w:color w:val="auto"/>
          <w:sz w:val="32"/>
          <w:szCs w:val="32"/>
          <w:highlight w:val="none"/>
        </w:rPr>
        <w:t>：</w:t>
      </w:r>
    </w:p>
    <w:p w14:paraId="0DC02832">
      <w:pPr>
        <w:spacing w:before="7"/>
        <w:ind w:firstLine="340"/>
        <w:rPr>
          <w:rFonts w:ascii="宋体" w:hAnsi="宋体" w:cs="Arial Unicode MS"/>
          <w:color w:val="auto"/>
          <w:sz w:val="17"/>
          <w:szCs w:val="17"/>
          <w:highlight w:val="none"/>
        </w:rPr>
      </w:pPr>
    </w:p>
    <w:p w14:paraId="0E07E6B3">
      <w:pPr>
        <w:spacing w:line="528" w:lineRule="exact"/>
        <w:ind w:left="1871" w:firstLine="800"/>
        <w:rPr>
          <w:rFonts w:ascii="宋体" w:hAnsi="宋体" w:cs="Arial Unicode MS"/>
          <w:color w:val="auto"/>
          <w:sz w:val="40"/>
          <w:szCs w:val="40"/>
          <w:highlight w:val="none"/>
        </w:rPr>
      </w:pPr>
      <w:r>
        <w:rPr>
          <w:rFonts w:hint="eastAsia" w:ascii="宋体" w:hAnsi="宋体" w:cs="微软雅黑"/>
          <w:color w:val="auto"/>
          <w:sz w:val="40"/>
          <w:szCs w:val="40"/>
          <w:highlight w:val="none"/>
        </w:rPr>
        <w:t>节能产品政府采购品目清单</w:t>
      </w:r>
    </w:p>
    <w:tbl>
      <w:tblPr>
        <w:tblStyle w:val="26"/>
        <w:tblW w:w="4998" w:type="pct"/>
        <w:tblInd w:w="0" w:type="dxa"/>
        <w:tblLayout w:type="autofit"/>
        <w:tblCellMar>
          <w:top w:w="0" w:type="dxa"/>
          <w:left w:w="108" w:type="dxa"/>
          <w:bottom w:w="0" w:type="dxa"/>
          <w:right w:w="108" w:type="dxa"/>
        </w:tblCellMar>
      </w:tblPr>
      <w:tblGrid>
        <w:gridCol w:w="684"/>
        <w:gridCol w:w="1188"/>
        <w:gridCol w:w="1620"/>
        <w:gridCol w:w="1726"/>
        <w:gridCol w:w="4632"/>
      </w:tblGrid>
      <w:tr w14:paraId="461C10A1">
        <w:tblPrEx>
          <w:tblCellMar>
            <w:top w:w="0" w:type="dxa"/>
            <w:left w:w="108" w:type="dxa"/>
            <w:bottom w:w="0" w:type="dxa"/>
            <w:right w:w="108" w:type="dxa"/>
          </w:tblCellMar>
        </w:tblPrEx>
        <w:trPr>
          <w:trHeight w:val="555" w:hRule="atLeast"/>
        </w:trPr>
        <w:tc>
          <w:tcPr>
            <w:tcW w:w="347" w:type="pct"/>
            <w:tcBorders>
              <w:top w:val="single" w:color="000000" w:sz="8" w:space="0"/>
              <w:left w:val="single" w:color="000000" w:sz="8" w:space="0"/>
              <w:bottom w:val="nil"/>
              <w:right w:val="single" w:color="000000" w:sz="8" w:space="0"/>
            </w:tcBorders>
          </w:tcPr>
          <w:p w14:paraId="47F5CAA9">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品目序号</w:t>
            </w:r>
          </w:p>
        </w:tc>
        <w:tc>
          <w:tcPr>
            <w:tcW w:w="2301" w:type="pct"/>
            <w:gridSpan w:val="3"/>
            <w:tcBorders>
              <w:top w:val="single" w:color="000000" w:sz="8" w:space="0"/>
              <w:left w:val="nil"/>
              <w:bottom w:val="single" w:color="000000" w:sz="8" w:space="0"/>
              <w:right w:val="single" w:color="000000" w:sz="8" w:space="0"/>
            </w:tcBorders>
            <w:vAlign w:val="center"/>
          </w:tcPr>
          <w:p w14:paraId="60FC38F2">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名称</w:t>
            </w:r>
          </w:p>
        </w:tc>
        <w:tc>
          <w:tcPr>
            <w:tcW w:w="2351" w:type="pct"/>
            <w:tcBorders>
              <w:top w:val="single" w:color="000000" w:sz="8" w:space="0"/>
              <w:left w:val="nil"/>
              <w:bottom w:val="single" w:color="000000" w:sz="8" w:space="0"/>
              <w:right w:val="single" w:color="000000" w:sz="8" w:space="0"/>
            </w:tcBorders>
            <w:vAlign w:val="center"/>
          </w:tcPr>
          <w:p w14:paraId="2ACA0371">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依据的标准</w:t>
            </w:r>
          </w:p>
        </w:tc>
      </w:tr>
      <w:tr w14:paraId="45827C95">
        <w:tblPrEx>
          <w:tblCellMar>
            <w:top w:w="0" w:type="dxa"/>
            <w:left w:w="108" w:type="dxa"/>
            <w:bottom w:w="0" w:type="dxa"/>
            <w:right w:w="108" w:type="dxa"/>
          </w:tblCellMar>
        </w:tblPrEx>
        <w:trPr>
          <w:trHeight w:val="495" w:hRule="atLeast"/>
        </w:trPr>
        <w:tc>
          <w:tcPr>
            <w:tcW w:w="347" w:type="pct"/>
            <w:vMerge w:val="restart"/>
            <w:tcBorders>
              <w:top w:val="single" w:color="000000" w:sz="8" w:space="0"/>
              <w:left w:val="single" w:color="000000" w:sz="8" w:space="0"/>
              <w:bottom w:val="single" w:color="000000" w:sz="8" w:space="0"/>
              <w:right w:val="single" w:color="000000" w:sz="8" w:space="0"/>
            </w:tcBorders>
            <w:vAlign w:val="center"/>
          </w:tcPr>
          <w:p w14:paraId="1BE795C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w:t>
            </w:r>
          </w:p>
        </w:tc>
        <w:tc>
          <w:tcPr>
            <w:tcW w:w="603" w:type="pct"/>
            <w:vMerge w:val="restart"/>
            <w:tcBorders>
              <w:top w:val="nil"/>
              <w:left w:val="single" w:color="000000" w:sz="8" w:space="0"/>
              <w:bottom w:val="single" w:color="000000" w:sz="8" w:space="0"/>
              <w:right w:val="single" w:color="000000" w:sz="8" w:space="0"/>
            </w:tcBorders>
            <w:vAlign w:val="center"/>
          </w:tcPr>
          <w:p w14:paraId="795FD71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A020101计算机设备</w:t>
            </w:r>
          </w:p>
        </w:tc>
        <w:tc>
          <w:tcPr>
            <w:tcW w:w="822" w:type="pct"/>
            <w:tcBorders>
              <w:top w:val="nil"/>
              <w:left w:val="nil"/>
              <w:bottom w:val="single" w:color="000000" w:sz="8" w:space="0"/>
              <w:right w:val="single" w:color="000000" w:sz="8" w:space="0"/>
            </w:tcBorders>
            <w:vAlign w:val="center"/>
          </w:tcPr>
          <w:p w14:paraId="5450BB7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★A02010104台式计算机</w:t>
            </w:r>
          </w:p>
        </w:tc>
        <w:tc>
          <w:tcPr>
            <w:tcW w:w="874" w:type="pct"/>
            <w:tcBorders>
              <w:top w:val="nil"/>
              <w:left w:val="nil"/>
              <w:bottom w:val="single" w:color="000000" w:sz="8" w:space="0"/>
              <w:right w:val="single" w:color="000000" w:sz="8" w:space="0"/>
            </w:tcBorders>
            <w:vAlign w:val="center"/>
          </w:tcPr>
          <w:p w14:paraId="3F84C90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56D3BF2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6B33D0A">
        <w:tblPrEx>
          <w:tblCellMar>
            <w:top w:w="0" w:type="dxa"/>
            <w:left w:w="108" w:type="dxa"/>
            <w:bottom w:w="0" w:type="dxa"/>
            <w:right w:w="108" w:type="dxa"/>
          </w:tblCellMar>
        </w:tblPrEx>
        <w:trPr>
          <w:trHeight w:val="495" w:hRule="atLeast"/>
        </w:trPr>
        <w:tc>
          <w:tcPr>
            <w:tcW w:w="347" w:type="pct"/>
            <w:vMerge w:val="continue"/>
            <w:tcBorders>
              <w:top w:val="single" w:color="000000" w:sz="8" w:space="0"/>
              <w:left w:val="single" w:color="000000" w:sz="8" w:space="0"/>
              <w:bottom w:val="single" w:color="000000" w:sz="8" w:space="0"/>
              <w:right w:val="single" w:color="000000" w:sz="8" w:space="0"/>
            </w:tcBorders>
            <w:vAlign w:val="center"/>
          </w:tcPr>
          <w:p w14:paraId="6721EB6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6A81F91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62AEFC1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★A02010105便携式计算机</w:t>
            </w:r>
          </w:p>
        </w:tc>
        <w:tc>
          <w:tcPr>
            <w:tcW w:w="874" w:type="pct"/>
            <w:tcBorders>
              <w:top w:val="nil"/>
              <w:left w:val="nil"/>
              <w:bottom w:val="single" w:color="000000" w:sz="8" w:space="0"/>
              <w:right w:val="single" w:color="000000" w:sz="8" w:space="0"/>
            </w:tcBorders>
            <w:vAlign w:val="center"/>
          </w:tcPr>
          <w:p w14:paraId="52747A06">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080C7AA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7CA64D2E">
        <w:tblPrEx>
          <w:tblCellMar>
            <w:top w:w="0" w:type="dxa"/>
            <w:left w:w="108" w:type="dxa"/>
            <w:bottom w:w="0" w:type="dxa"/>
            <w:right w:w="108" w:type="dxa"/>
          </w:tblCellMar>
        </w:tblPrEx>
        <w:trPr>
          <w:trHeight w:val="735" w:hRule="atLeast"/>
        </w:trPr>
        <w:tc>
          <w:tcPr>
            <w:tcW w:w="347" w:type="pct"/>
            <w:vMerge w:val="continue"/>
            <w:tcBorders>
              <w:top w:val="single" w:color="000000" w:sz="8" w:space="0"/>
              <w:left w:val="single" w:color="000000" w:sz="8" w:space="0"/>
              <w:bottom w:val="single" w:color="000000" w:sz="8" w:space="0"/>
              <w:right w:val="single" w:color="000000" w:sz="8" w:space="0"/>
            </w:tcBorders>
            <w:vAlign w:val="center"/>
          </w:tcPr>
          <w:p w14:paraId="3EC2AA1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5F53DF9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43A33C8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★A02010107平板式微型计算机</w:t>
            </w:r>
          </w:p>
        </w:tc>
        <w:tc>
          <w:tcPr>
            <w:tcW w:w="874" w:type="pct"/>
            <w:tcBorders>
              <w:top w:val="nil"/>
              <w:left w:val="nil"/>
              <w:bottom w:val="single" w:color="000000" w:sz="8" w:space="0"/>
              <w:right w:val="single" w:color="000000" w:sz="8" w:space="0"/>
            </w:tcBorders>
            <w:vAlign w:val="center"/>
          </w:tcPr>
          <w:p w14:paraId="0E326DB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6A7B6C0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《微型计算机能效限定值及能效等级》（GB28380）</w:t>
            </w:r>
          </w:p>
        </w:tc>
      </w:tr>
      <w:tr w14:paraId="22AB659F">
        <w:tblPrEx>
          <w:tblCellMar>
            <w:top w:w="0" w:type="dxa"/>
            <w:left w:w="108" w:type="dxa"/>
            <w:bottom w:w="0" w:type="dxa"/>
            <w:right w:w="108" w:type="dxa"/>
          </w:tblCellMar>
        </w:tblPrEx>
        <w:trPr>
          <w:trHeight w:val="495" w:hRule="atLeast"/>
        </w:trPr>
        <w:tc>
          <w:tcPr>
            <w:tcW w:w="347" w:type="pct"/>
            <w:vMerge w:val="restart"/>
            <w:tcBorders>
              <w:top w:val="nil"/>
              <w:left w:val="single" w:color="000000" w:sz="8" w:space="0"/>
              <w:bottom w:val="single" w:color="000000" w:sz="8" w:space="0"/>
              <w:right w:val="single" w:color="000000" w:sz="8" w:space="0"/>
            </w:tcBorders>
            <w:vAlign w:val="center"/>
          </w:tcPr>
          <w:p w14:paraId="1C0EC8B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603" w:type="pct"/>
            <w:vMerge w:val="restart"/>
            <w:tcBorders>
              <w:top w:val="nil"/>
              <w:left w:val="single" w:color="000000" w:sz="8" w:space="0"/>
              <w:bottom w:val="single" w:color="000000" w:sz="8" w:space="0"/>
              <w:right w:val="single" w:color="000000" w:sz="8" w:space="0"/>
            </w:tcBorders>
            <w:vAlign w:val="center"/>
          </w:tcPr>
          <w:p w14:paraId="22E656F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A020106输入输出设备</w:t>
            </w:r>
          </w:p>
        </w:tc>
        <w:tc>
          <w:tcPr>
            <w:tcW w:w="822" w:type="pct"/>
            <w:vMerge w:val="restart"/>
            <w:tcBorders>
              <w:top w:val="nil"/>
              <w:left w:val="single" w:color="000000" w:sz="8" w:space="0"/>
              <w:bottom w:val="single" w:color="000000" w:sz="8" w:space="0"/>
              <w:right w:val="single" w:color="000000" w:sz="8" w:space="0"/>
            </w:tcBorders>
            <w:vAlign w:val="center"/>
          </w:tcPr>
          <w:p w14:paraId="14B82B0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A02010601打印设备</w:t>
            </w:r>
          </w:p>
        </w:tc>
        <w:tc>
          <w:tcPr>
            <w:tcW w:w="874" w:type="pct"/>
            <w:tcBorders>
              <w:top w:val="nil"/>
              <w:left w:val="nil"/>
              <w:bottom w:val="single" w:color="000000" w:sz="8" w:space="0"/>
              <w:right w:val="single" w:color="000000" w:sz="8" w:space="0"/>
            </w:tcBorders>
            <w:vAlign w:val="center"/>
          </w:tcPr>
          <w:p w14:paraId="24E4753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A0201060101喷墨打印机</w:t>
            </w:r>
          </w:p>
        </w:tc>
        <w:tc>
          <w:tcPr>
            <w:tcW w:w="2351" w:type="pct"/>
            <w:tcBorders>
              <w:top w:val="nil"/>
              <w:left w:val="nil"/>
              <w:bottom w:val="single" w:color="000000" w:sz="8" w:space="0"/>
              <w:right w:val="single" w:color="000000" w:sz="8" w:space="0"/>
            </w:tcBorders>
            <w:vAlign w:val="center"/>
          </w:tcPr>
          <w:p w14:paraId="657FFB1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D060A22">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5FB0B77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161BBFC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7EAFFC2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6B35AE6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★A0201060102激光打印机</w:t>
            </w:r>
          </w:p>
        </w:tc>
        <w:tc>
          <w:tcPr>
            <w:tcW w:w="2351" w:type="pct"/>
            <w:tcBorders>
              <w:top w:val="nil"/>
              <w:left w:val="nil"/>
              <w:bottom w:val="single" w:color="000000" w:sz="8" w:space="0"/>
              <w:right w:val="single" w:color="000000" w:sz="8" w:space="0"/>
            </w:tcBorders>
            <w:vAlign w:val="center"/>
          </w:tcPr>
          <w:p w14:paraId="1ABE486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5AA7AA46">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32B629A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7F6A32C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173288B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36E16A8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★A0201060104针式打印机</w:t>
            </w:r>
          </w:p>
        </w:tc>
        <w:tc>
          <w:tcPr>
            <w:tcW w:w="2351" w:type="pct"/>
            <w:tcBorders>
              <w:top w:val="nil"/>
              <w:left w:val="nil"/>
              <w:bottom w:val="single" w:color="000000" w:sz="8" w:space="0"/>
              <w:right w:val="single" w:color="000000" w:sz="8" w:space="0"/>
            </w:tcBorders>
            <w:vAlign w:val="center"/>
          </w:tcPr>
          <w:p w14:paraId="3CBAE4C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67D7FFC0">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5D4258B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13CA60D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7804882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A02010604显示设备</w:t>
            </w:r>
          </w:p>
        </w:tc>
        <w:tc>
          <w:tcPr>
            <w:tcW w:w="874" w:type="pct"/>
            <w:tcBorders>
              <w:top w:val="nil"/>
              <w:left w:val="nil"/>
              <w:bottom w:val="single" w:color="000000" w:sz="8" w:space="0"/>
              <w:right w:val="single" w:color="000000" w:sz="8" w:space="0"/>
            </w:tcBorders>
            <w:vAlign w:val="center"/>
          </w:tcPr>
          <w:p w14:paraId="359CFA0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★A0201060401液晶显示器</w:t>
            </w:r>
          </w:p>
        </w:tc>
        <w:tc>
          <w:tcPr>
            <w:tcW w:w="2351" w:type="pct"/>
            <w:tcBorders>
              <w:top w:val="nil"/>
              <w:left w:val="nil"/>
              <w:bottom w:val="single" w:color="000000" w:sz="8" w:space="0"/>
              <w:right w:val="single" w:color="000000" w:sz="8" w:space="0"/>
            </w:tcBorders>
            <w:vAlign w:val="center"/>
          </w:tcPr>
          <w:p w14:paraId="510EB00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《计算机显示器能效限定值及能效等级》（GB21520）</w:t>
            </w:r>
          </w:p>
        </w:tc>
      </w:tr>
      <w:tr w14:paraId="3A1FCA98">
        <w:tblPrEx>
          <w:tblCellMar>
            <w:top w:w="0" w:type="dxa"/>
            <w:left w:w="108" w:type="dxa"/>
            <w:bottom w:w="0" w:type="dxa"/>
            <w:right w:w="108" w:type="dxa"/>
          </w:tblCellMar>
        </w:tblPrEx>
        <w:trPr>
          <w:trHeight w:val="975" w:hRule="atLeast"/>
        </w:trPr>
        <w:tc>
          <w:tcPr>
            <w:tcW w:w="347" w:type="pct"/>
            <w:vMerge w:val="continue"/>
            <w:tcBorders>
              <w:top w:val="nil"/>
              <w:left w:val="single" w:color="000000" w:sz="8" w:space="0"/>
              <w:bottom w:val="single" w:color="000000" w:sz="8" w:space="0"/>
              <w:right w:val="single" w:color="000000" w:sz="8" w:space="0"/>
            </w:tcBorders>
            <w:vAlign w:val="center"/>
          </w:tcPr>
          <w:p w14:paraId="06ED33C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4C4140F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6DA537D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A02010609图形图像输入设备</w:t>
            </w:r>
          </w:p>
        </w:tc>
        <w:tc>
          <w:tcPr>
            <w:tcW w:w="874" w:type="pct"/>
            <w:tcBorders>
              <w:top w:val="nil"/>
              <w:left w:val="nil"/>
              <w:bottom w:val="single" w:color="000000" w:sz="8" w:space="0"/>
              <w:right w:val="single" w:color="000000" w:sz="8" w:space="0"/>
            </w:tcBorders>
            <w:vAlign w:val="center"/>
          </w:tcPr>
          <w:p w14:paraId="2A8A86B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A0201060901扫描仪</w:t>
            </w:r>
          </w:p>
        </w:tc>
        <w:tc>
          <w:tcPr>
            <w:tcW w:w="2351" w:type="pct"/>
            <w:tcBorders>
              <w:top w:val="nil"/>
              <w:left w:val="nil"/>
              <w:bottom w:val="single" w:color="000000" w:sz="8" w:space="0"/>
              <w:right w:val="single" w:color="000000" w:sz="8" w:space="0"/>
            </w:tcBorders>
            <w:vAlign w:val="center"/>
          </w:tcPr>
          <w:p w14:paraId="594F09B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参照《复印机、打印机和传真机能效限定值及能效等级》（GB21521中打印速度为15页/分的针式打印机相关要求中打印速度为15页/分的针式打印机相关要求</w:t>
            </w:r>
          </w:p>
        </w:tc>
      </w:tr>
      <w:tr w14:paraId="4DAB9AC0">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1BA90EF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3</w:t>
            </w:r>
          </w:p>
        </w:tc>
        <w:tc>
          <w:tcPr>
            <w:tcW w:w="603" w:type="pct"/>
            <w:tcBorders>
              <w:top w:val="nil"/>
              <w:left w:val="nil"/>
              <w:bottom w:val="single" w:color="000000" w:sz="8" w:space="0"/>
              <w:right w:val="single" w:color="000000" w:sz="8" w:space="0"/>
            </w:tcBorders>
            <w:vAlign w:val="center"/>
          </w:tcPr>
          <w:p w14:paraId="56B9838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A020202投影仪</w:t>
            </w:r>
          </w:p>
        </w:tc>
        <w:tc>
          <w:tcPr>
            <w:tcW w:w="822" w:type="pct"/>
            <w:tcBorders>
              <w:top w:val="nil"/>
              <w:left w:val="nil"/>
              <w:bottom w:val="single" w:color="000000" w:sz="8" w:space="0"/>
              <w:right w:val="single" w:color="000000" w:sz="8" w:space="0"/>
            </w:tcBorders>
            <w:vAlign w:val="center"/>
          </w:tcPr>
          <w:p w14:paraId="7FC53CF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4" w:type="pct"/>
            <w:tcBorders>
              <w:top w:val="nil"/>
              <w:left w:val="nil"/>
              <w:bottom w:val="single" w:color="000000" w:sz="8" w:space="0"/>
              <w:right w:val="single" w:color="000000" w:sz="8" w:space="0"/>
            </w:tcBorders>
            <w:vAlign w:val="center"/>
          </w:tcPr>
          <w:p w14:paraId="51264F26">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050EF73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《投影机能效限定值及能效等级》（GB32028）</w:t>
            </w:r>
          </w:p>
        </w:tc>
      </w:tr>
      <w:tr w14:paraId="42C8A4A8">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7F73DAA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603" w:type="pct"/>
            <w:tcBorders>
              <w:top w:val="nil"/>
              <w:left w:val="nil"/>
              <w:bottom w:val="single" w:color="000000" w:sz="8" w:space="0"/>
              <w:right w:val="single" w:color="000000" w:sz="8" w:space="0"/>
            </w:tcBorders>
            <w:vAlign w:val="center"/>
          </w:tcPr>
          <w:p w14:paraId="2667256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A020204多功能一体机</w:t>
            </w:r>
          </w:p>
        </w:tc>
        <w:tc>
          <w:tcPr>
            <w:tcW w:w="822" w:type="pct"/>
            <w:tcBorders>
              <w:top w:val="nil"/>
              <w:left w:val="nil"/>
              <w:bottom w:val="single" w:color="000000" w:sz="8" w:space="0"/>
              <w:right w:val="single" w:color="000000" w:sz="8" w:space="0"/>
            </w:tcBorders>
            <w:vAlign w:val="center"/>
          </w:tcPr>
          <w:p w14:paraId="6464B05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4" w:type="pct"/>
            <w:tcBorders>
              <w:top w:val="nil"/>
              <w:left w:val="nil"/>
              <w:bottom w:val="single" w:color="000000" w:sz="8" w:space="0"/>
              <w:right w:val="single" w:color="000000" w:sz="8" w:space="0"/>
            </w:tcBorders>
            <w:vAlign w:val="center"/>
          </w:tcPr>
          <w:p w14:paraId="067A75E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38D964A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《复印机、打印机和传真机能效限定值及能效等级》（GB21521）</w:t>
            </w:r>
          </w:p>
        </w:tc>
      </w:tr>
      <w:tr w14:paraId="139FFDB6">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7270716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603" w:type="pct"/>
            <w:tcBorders>
              <w:top w:val="nil"/>
              <w:left w:val="nil"/>
              <w:bottom w:val="single" w:color="000000" w:sz="8" w:space="0"/>
              <w:right w:val="single" w:color="000000" w:sz="8" w:space="0"/>
            </w:tcBorders>
            <w:vAlign w:val="center"/>
          </w:tcPr>
          <w:p w14:paraId="42D4AD16">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A020519泵</w:t>
            </w:r>
          </w:p>
        </w:tc>
        <w:tc>
          <w:tcPr>
            <w:tcW w:w="822" w:type="pct"/>
            <w:tcBorders>
              <w:top w:val="nil"/>
              <w:left w:val="nil"/>
              <w:bottom w:val="single" w:color="000000" w:sz="8" w:space="0"/>
              <w:right w:val="single" w:color="000000" w:sz="8" w:space="0"/>
            </w:tcBorders>
            <w:vAlign w:val="center"/>
          </w:tcPr>
          <w:p w14:paraId="72ECF59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A02051901离心泵</w:t>
            </w:r>
          </w:p>
        </w:tc>
        <w:tc>
          <w:tcPr>
            <w:tcW w:w="874" w:type="pct"/>
            <w:tcBorders>
              <w:top w:val="nil"/>
              <w:left w:val="nil"/>
              <w:bottom w:val="single" w:color="000000" w:sz="8" w:space="0"/>
              <w:right w:val="single" w:color="000000" w:sz="8" w:space="0"/>
            </w:tcBorders>
            <w:vAlign w:val="center"/>
          </w:tcPr>
          <w:p w14:paraId="613150ED">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494F6BB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《清水离心泵能效限定值及节能评价值》（GB19762）</w:t>
            </w:r>
          </w:p>
        </w:tc>
      </w:tr>
      <w:tr w14:paraId="41BD1A70">
        <w:tblPrEx>
          <w:tblCellMar>
            <w:top w:w="0" w:type="dxa"/>
            <w:left w:w="108" w:type="dxa"/>
            <w:bottom w:w="0" w:type="dxa"/>
            <w:right w:w="108" w:type="dxa"/>
          </w:tblCellMar>
        </w:tblPrEx>
        <w:trPr>
          <w:trHeight w:val="735" w:hRule="atLeast"/>
        </w:trPr>
        <w:tc>
          <w:tcPr>
            <w:tcW w:w="347" w:type="pct"/>
            <w:vMerge w:val="restart"/>
            <w:tcBorders>
              <w:top w:val="nil"/>
              <w:left w:val="single" w:color="000000" w:sz="8" w:space="0"/>
              <w:bottom w:val="single" w:color="000000" w:sz="8" w:space="0"/>
              <w:right w:val="single" w:color="000000" w:sz="8" w:space="0"/>
            </w:tcBorders>
            <w:vAlign w:val="center"/>
          </w:tcPr>
          <w:p w14:paraId="49AD7B1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603" w:type="pct"/>
            <w:vMerge w:val="restart"/>
            <w:tcBorders>
              <w:top w:val="nil"/>
              <w:left w:val="single" w:color="000000" w:sz="8" w:space="0"/>
              <w:bottom w:val="single" w:color="000000" w:sz="8" w:space="0"/>
              <w:right w:val="single" w:color="000000" w:sz="8" w:space="0"/>
            </w:tcBorders>
            <w:vAlign w:val="center"/>
          </w:tcPr>
          <w:p w14:paraId="6B10676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A020523制冷空调设备</w:t>
            </w:r>
          </w:p>
        </w:tc>
        <w:tc>
          <w:tcPr>
            <w:tcW w:w="822" w:type="pct"/>
            <w:vMerge w:val="restart"/>
            <w:tcBorders>
              <w:top w:val="nil"/>
              <w:left w:val="single" w:color="000000" w:sz="8" w:space="0"/>
              <w:bottom w:val="single" w:color="000000" w:sz="8" w:space="0"/>
              <w:right w:val="single" w:color="000000" w:sz="8" w:space="0"/>
            </w:tcBorders>
            <w:vAlign w:val="center"/>
          </w:tcPr>
          <w:p w14:paraId="0C3B345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★A02052301制冷压缩机</w:t>
            </w:r>
          </w:p>
        </w:tc>
        <w:tc>
          <w:tcPr>
            <w:tcW w:w="874" w:type="pct"/>
            <w:tcBorders>
              <w:top w:val="nil"/>
              <w:left w:val="nil"/>
              <w:bottom w:val="single" w:color="000000" w:sz="8" w:space="0"/>
              <w:right w:val="single" w:color="000000" w:sz="8" w:space="0"/>
            </w:tcBorders>
            <w:vAlign w:val="center"/>
          </w:tcPr>
          <w:p w14:paraId="0BB24F6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冷水机组</w:t>
            </w:r>
          </w:p>
        </w:tc>
        <w:tc>
          <w:tcPr>
            <w:tcW w:w="2351" w:type="pct"/>
            <w:tcBorders>
              <w:top w:val="nil"/>
              <w:left w:val="nil"/>
              <w:bottom w:val="single" w:color="000000" w:sz="8" w:space="0"/>
              <w:right w:val="single" w:color="000000" w:sz="8" w:space="0"/>
            </w:tcBorders>
            <w:vAlign w:val="center"/>
          </w:tcPr>
          <w:p w14:paraId="78B2515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《冷水机组能效限定值及能效等级》（GB19577），《低环境温度空气源热泵（冷水）机组能效限定值及能效等级》（GB37480）</w:t>
            </w:r>
          </w:p>
        </w:tc>
      </w:tr>
      <w:tr w14:paraId="059F599D">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27A8589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7A690AF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6BE3D76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2AF3AD5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水源热泵机组</w:t>
            </w:r>
          </w:p>
        </w:tc>
        <w:tc>
          <w:tcPr>
            <w:tcW w:w="2351" w:type="pct"/>
            <w:tcBorders>
              <w:top w:val="nil"/>
              <w:left w:val="nil"/>
              <w:bottom w:val="single" w:color="000000" w:sz="8" w:space="0"/>
              <w:right w:val="single" w:color="000000" w:sz="8" w:space="0"/>
            </w:tcBorders>
            <w:vAlign w:val="center"/>
          </w:tcPr>
          <w:p w14:paraId="7FFE4D3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《水（地）源热泵机组能效限定值及能效等级》（GB30721）</w:t>
            </w:r>
          </w:p>
        </w:tc>
      </w:tr>
      <w:tr w14:paraId="74E5F04A">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7A8A391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5F8AE56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14C2E94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6279D2C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w:t>
            </w:r>
          </w:p>
        </w:tc>
        <w:tc>
          <w:tcPr>
            <w:tcW w:w="2351" w:type="pct"/>
            <w:tcBorders>
              <w:top w:val="nil"/>
              <w:left w:val="nil"/>
              <w:bottom w:val="single" w:color="000000" w:sz="8" w:space="0"/>
              <w:right w:val="single" w:color="000000" w:sz="8" w:space="0"/>
            </w:tcBorders>
            <w:vAlign w:val="center"/>
          </w:tcPr>
          <w:p w14:paraId="6E48D05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《溴化锂吸收式冷水机组能效限定值及能效等级》（GB29540）</w:t>
            </w:r>
          </w:p>
        </w:tc>
      </w:tr>
      <w:tr w14:paraId="64DCE6CA">
        <w:tblPrEx>
          <w:tblCellMar>
            <w:top w:w="0" w:type="dxa"/>
            <w:left w:w="108" w:type="dxa"/>
            <w:bottom w:w="0" w:type="dxa"/>
            <w:right w:w="108" w:type="dxa"/>
          </w:tblCellMar>
        </w:tblPrEx>
        <w:trPr>
          <w:trHeight w:val="735" w:hRule="atLeast"/>
        </w:trPr>
        <w:tc>
          <w:tcPr>
            <w:tcW w:w="347" w:type="pct"/>
            <w:vMerge w:val="continue"/>
            <w:tcBorders>
              <w:top w:val="nil"/>
              <w:left w:val="single" w:color="000000" w:sz="8" w:space="0"/>
              <w:bottom w:val="single" w:color="000000" w:sz="8" w:space="0"/>
              <w:right w:val="single" w:color="000000" w:sz="8" w:space="0"/>
            </w:tcBorders>
            <w:vAlign w:val="center"/>
          </w:tcPr>
          <w:p w14:paraId="14CD5AB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2F78D3E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restart"/>
            <w:tcBorders>
              <w:top w:val="nil"/>
              <w:left w:val="single" w:color="000000" w:sz="8" w:space="0"/>
              <w:bottom w:val="single" w:color="000000" w:sz="8" w:space="0"/>
              <w:right w:val="single" w:color="000000" w:sz="8" w:space="0"/>
            </w:tcBorders>
            <w:vAlign w:val="center"/>
          </w:tcPr>
          <w:p w14:paraId="41B4060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★A02052305空调机组</w:t>
            </w:r>
          </w:p>
        </w:tc>
        <w:tc>
          <w:tcPr>
            <w:tcW w:w="874" w:type="pct"/>
            <w:tcBorders>
              <w:top w:val="nil"/>
              <w:left w:val="nil"/>
              <w:bottom w:val="single" w:color="000000" w:sz="8" w:space="0"/>
              <w:right w:val="single" w:color="000000" w:sz="8" w:space="0"/>
            </w:tcBorders>
            <w:vAlign w:val="center"/>
          </w:tcPr>
          <w:p w14:paraId="551D2AF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多联式空调（热泵）机组(制冷量&gt;14000W)</w:t>
            </w:r>
          </w:p>
        </w:tc>
        <w:tc>
          <w:tcPr>
            <w:tcW w:w="2351" w:type="pct"/>
            <w:tcBorders>
              <w:top w:val="nil"/>
              <w:left w:val="nil"/>
              <w:bottom w:val="single" w:color="000000" w:sz="8" w:space="0"/>
              <w:right w:val="single" w:color="000000" w:sz="8" w:space="0"/>
            </w:tcBorders>
            <w:vAlign w:val="center"/>
          </w:tcPr>
          <w:p w14:paraId="5C920BD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4ED9ADE">
        <w:tblPrEx>
          <w:tblCellMar>
            <w:top w:w="0" w:type="dxa"/>
            <w:left w:w="108" w:type="dxa"/>
            <w:bottom w:w="0" w:type="dxa"/>
            <w:right w:w="108" w:type="dxa"/>
          </w:tblCellMar>
        </w:tblPrEx>
        <w:trPr>
          <w:trHeight w:val="735" w:hRule="atLeast"/>
        </w:trPr>
        <w:tc>
          <w:tcPr>
            <w:tcW w:w="347" w:type="pct"/>
            <w:vMerge w:val="continue"/>
            <w:tcBorders>
              <w:top w:val="nil"/>
              <w:left w:val="single" w:color="000000" w:sz="8" w:space="0"/>
              <w:bottom w:val="single" w:color="000000" w:sz="8" w:space="0"/>
              <w:right w:val="single" w:color="000000" w:sz="8" w:space="0"/>
            </w:tcBorders>
            <w:vAlign w:val="center"/>
          </w:tcPr>
          <w:p w14:paraId="37512BE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5012DB7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2B23DD3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536B978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单元式空气调节机(制冷量&gt;14000W</w:t>
            </w:r>
          </w:p>
        </w:tc>
        <w:tc>
          <w:tcPr>
            <w:tcW w:w="2351" w:type="pct"/>
            <w:tcBorders>
              <w:top w:val="nil"/>
              <w:left w:val="nil"/>
              <w:bottom w:val="single" w:color="000000" w:sz="8" w:space="0"/>
              <w:right w:val="single" w:color="000000" w:sz="8" w:space="0"/>
            </w:tcBorders>
            <w:vAlign w:val="center"/>
          </w:tcPr>
          <w:p w14:paraId="2398EF0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《单元式空气调节机能效限定值及能效等级》（GB19576）《风管送风式空调机组能效限定值及能效等级》（GB37479）</w:t>
            </w:r>
          </w:p>
        </w:tc>
      </w:tr>
      <w:tr w14:paraId="4DC05969">
        <w:tblPrEx>
          <w:tblCellMar>
            <w:top w:w="0" w:type="dxa"/>
            <w:left w:w="108" w:type="dxa"/>
            <w:bottom w:w="0" w:type="dxa"/>
            <w:right w:w="108" w:type="dxa"/>
          </w:tblCellMar>
        </w:tblPrEx>
        <w:trPr>
          <w:trHeight w:val="735" w:hRule="atLeast"/>
        </w:trPr>
        <w:tc>
          <w:tcPr>
            <w:tcW w:w="347" w:type="pct"/>
            <w:vMerge w:val="continue"/>
            <w:tcBorders>
              <w:top w:val="nil"/>
              <w:left w:val="single" w:color="000000" w:sz="8" w:space="0"/>
              <w:bottom w:val="single" w:color="000000" w:sz="8" w:space="0"/>
              <w:right w:val="single" w:color="000000" w:sz="8" w:space="0"/>
            </w:tcBorders>
            <w:vAlign w:val="center"/>
          </w:tcPr>
          <w:p w14:paraId="52BEDAA0">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7CF3C4F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5AD94CD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★A02052309专用制冷、空调设备</w:t>
            </w:r>
          </w:p>
        </w:tc>
        <w:tc>
          <w:tcPr>
            <w:tcW w:w="874" w:type="pct"/>
            <w:tcBorders>
              <w:top w:val="nil"/>
              <w:left w:val="nil"/>
              <w:bottom w:val="single" w:color="000000" w:sz="8" w:space="0"/>
              <w:right w:val="single" w:color="000000" w:sz="8" w:space="0"/>
            </w:tcBorders>
            <w:vAlign w:val="center"/>
          </w:tcPr>
          <w:p w14:paraId="35EF39B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机房空调</w:t>
            </w:r>
          </w:p>
        </w:tc>
        <w:tc>
          <w:tcPr>
            <w:tcW w:w="2351" w:type="pct"/>
            <w:tcBorders>
              <w:top w:val="nil"/>
              <w:left w:val="nil"/>
              <w:bottom w:val="single" w:color="000000" w:sz="8" w:space="0"/>
              <w:right w:val="single" w:color="000000" w:sz="8" w:space="0"/>
            </w:tcBorders>
            <w:vAlign w:val="center"/>
          </w:tcPr>
          <w:p w14:paraId="3D48442D">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《单元式空气调节机能效限定值及能效等级》（GB19576）</w:t>
            </w:r>
          </w:p>
        </w:tc>
      </w:tr>
      <w:tr w14:paraId="5B8A8B9A">
        <w:tblPrEx>
          <w:tblCellMar>
            <w:top w:w="0" w:type="dxa"/>
            <w:left w:w="108" w:type="dxa"/>
            <w:bottom w:w="0" w:type="dxa"/>
            <w:right w:w="108" w:type="dxa"/>
          </w:tblCellMar>
        </w:tblPrEx>
        <w:trPr>
          <w:trHeight w:val="735" w:hRule="atLeast"/>
        </w:trPr>
        <w:tc>
          <w:tcPr>
            <w:tcW w:w="347" w:type="pct"/>
            <w:vMerge w:val="continue"/>
            <w:tcBorders>
              <w:top w:val="nil"/>
              <w:left w:val="single" w:color="000000" w:sz="8" w:space="0"/>
              <w:bottom w:val="single" w:color="000000" w:sz="8" w:space="0"/>
              <w:right w:val="single" w:color="000000" w:sz="8" w:space="0"/>
            </w:tcBorders>
            <w:vAlign w:val="center"/>
          </w:tcPr>
          <w:p w14:paraId="2F97DFB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3A21546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20171AF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A02052399其他制冷空调设备</w:t>
            </w:r>
          </w:p>
        </w:tc>
        <w:tc>
          <w:tcPr>
            <w:tcW w:w="874" w:type="pct"/>
            <w:tcBorders>
              <w:top w:val="nil"/>
              <w:left w:val="nil"/>
              <w:bottom w:val="single" w:color="000000" w:sz="8" w:space="0"/>
              <w:right w:val="single" w:color="000000" w:sz="8" w:space="0"/>
            </w:tcBorders>
            <w:vAlign w:val="center"/>
          </w:tcPr>
          <w:p w14:paraId="19FF0BB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冷却塔</w:t>
            </w:r>
          </w:p>
        </w:tc>
        <w:tc>
          <w:tcPr>
            <w:tcW w:w="2351" w:type="pct"/>
            <w:tcBorders>
              <w:top w:val="nil"/>
              <w:left w:val="nil"/>
              <w:bottom w:val="single" w:color="000000" w:sz="8" w:space="0"/>
              <w:right w:val="single" w:color="000000" w:sz="8" w:space="0"/>
            </w:tcBorders>
            <w:vAlign w:val="center"/>
          </w:tcPr>
          <w:p w14:paraId="03C9954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《机械通风冷却塔第1部分：中小型开式冷却塔》（GB/T7190.1）；《机械通风冷却塔第2部分：大型开式冷却塔》（GB/T7190.2）</w:t>
            </w:r>
          </w:p>
        </w:tc>
      </w:tr>
      <w:tr w14:paraId="2BBE6738">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6336EBF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7</w:t>
            </w:r>
          </w:p>
        </w:tc>
        <w:tc>
          <w:tcPr>
            <w:tcW w:w="603" w:type="pct"/>
            <w:tcBorders>
              <w:top w:val="nil"/>
              <w:left w:val="nil"/>
              <w:bottom w:val="single" w:color="000000" w:sz="8" w:space="0"/>
              <w:right w:val="single" w:color="000000" w:sz="8" w:space="0"/>
            </w:tcBorders>
            <w:vAlign w:val="center"/>
          </w:tcPr>
          <w:p w14:paraId="29944E5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A020601电机</w:t>
            </w:r>
          </w:p>
        </w:tc>
        <w:tc>
          <w:tcPr>
            <w:tcW w:w="822" w:type="pct"/>
            <w:tcBorders>
              <w:top w:val="nil"/>
              <w:left w:val="nil"/>
              <w:bottom w:val="single" w:color="000000" w:sz="8" w:space="0"/>
              <w:right w:val="single" w:color="000000" w:sz="8" w:space="0"/>
            </w:tcBorders>
            <w:vAlign w:val="center"/>
          </w:tcPr>
          <w:p w14:paraId="232F11C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4" w:type="pct"/>
            <w:tcBorders>
              <w:top w:val="nil"/>
              <w:left w:val="nil"/>
              <w:bottom w:val="single" w:color="000000" w:sz="8" w:space="0"/>
              <w:right w:val="single" w:color="000000" w:sz="8" w:space="0"/>
            </w:tcBorders>
            <w:vAlign w:val="center"/>
          </w:tcPr>
          <w:p w14:paraId="31A916E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438B22F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《中小型三相异步电动机能效限定值及能效等级》（GB18613）</w:t>
            </w:r>
          </w:p>
        </w:tc>
      </w:tr>
      <w:tr w14:paraId="3CD52A28">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5409869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8</w:t>
            </w:r>
          </w:p>
        </w:tc>
        <w:tc>
          <w:tcPr>
            <w:tcW w:w="603" w:type="pct"/>
            <w:tcBorders>
              <w:top w:val="nil"/>
              <w:left w:val="nil"/>
              <w:bottom w:val="single" w:color="000000" w:sz="8" w:space="0"/>
              <w:right w:val="single" w:color="000000" w:sz="8" w:space="0"/>
            </w:tcBorders>
            <w:vAlign w:val="center"/>
          </w:tcPr>
          <w:p w14:paraId="20E440E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A020602变压器</w:t>
            </w:r>
          </w:p>
        </w:tc>
        <w:tc>
          <w:tcPr>
            <w:tcW w:w="822" w:type="pct"/>
            <w:tcBorders>
              <w:top w:val="nil"/>
              <w:left w:val="nil"/>
              <w:bottom w:val="single" w:color="000000" w:sz="8" w:space="0"/>
              <w:right w:val="single" w:color="000000" w:sz="8" w:space="0"/>
            </w:tcBorders>
            <w:vAlign w:val="center"/>
          </w:tcPr>
          <w:p w14:paraId="7207C37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配电变压器</w:t>
            </w:r>
          </w:p>
        </w:tc>
        <w:tc>
          <w:tcPr>
            <w:tcW w:w="874" w:type="pct"/>
            <w:tcBorders>
              <w:top w:val="nil"/>
              <w:left w:val="nil"/>
              <w:bottom w:val="single" w:color="000000" w:sz="8" w:space="0"/>
              <w:right w:val="single" w:color="000000" w:sz="8" w:space="0"/>
            </w:tcBorders>
            <w:vAlign w:val="center"/>
          </w:tcPr>
          <w:p w14:paraId="329DA55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3B324E2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《三相配电变压器能效限定值及能效等级》（GB20052）</w:t>
            </w:r>
          </w:p>
        </w:tc>
      </w:tr>
      <w:tr w14:paraId="6F48360C">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1281A46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603" w:type="pct"/>
            <w:tcBorders>
              <w:top w:val="nil"/>
              <w:left w:val="nil"/>
              <w:bottom w:val="single" w:color="000000" w:sz="8" w:space="0"/>
              <w:right w:val="single" w:color="000000" w:sz="8" w:space="0"/>
            </w:tcBorders>
            <w:vAlign w:val="center"/>
          </w:tcPr>
          <w:p w14:paraId="1E4259D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★A020609镇流器</w:t>
            </w:r>
          </w:p>
        </w:tc>
        <w:tc>
          <w:tcPr>
            <w:tcW w:w="822" w:type="pct"/>
            <w:tcBorders>
              <w:top w:val="nil"/>
              <w:left w:val="nil"/>
              <w:bottom w:val="single" w:color="000000" w:sz="8" w:space="0"/>
              <w:right w:val="single" w:color="000000" w:sz="8" w:space="0"/>
            </w:tcBorders>
            <w:vAlign w:val="center"/>
          </w:tcPr>
          <w:p w14:paraId="1F9E1E9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管型荧光灯镇流器</w:t>
            </w:r>
          </w:p>
        </w:tc>
        <w:tc>
          <w:tcPr>
            <w:tcW w:w="874" w:type="pct"/>
            <w:tcBorders>
              <w:top w:val="nil"/>
              <w:left w:val="nil"/>
              <w:bottom w:val="single" w:color="000000" w:sz="8" w:space="0"/>
              <w:right w:val="single" w:color="000000" w:sz="8" w:space="0"/>
            </w:tcBorders>
            <w:vAlign w:val="center"/>
          </w:tcPr>
          <w:p w14:paraId="2CC5271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28D2F87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《管形荧光灯镇流器能效限定值及能效等级》（GB17896）</w:t>
            </w:r>
          </w:p>
        </w:tc>
      </w:tr>
      <w:tr w14:paraId="72AC7673">
        <w:tblPrEx>
          <w:tblCellMar>
            <w:top w:w="0" w:type="dxa"/>
            <w:left w:w="108" w:type="dxa"/>
            <w:bottom w:w="0" w:type="dxa"/>
            <w:right w:w="108" w:type="dxa"/>
          </w:tblCellMar>
        </w:tblPrEx>
        <w:trPr>
          <w:trHeight w:val="495" w:hRule="atLeast"/>
        </w:trPr>
        <w:tc>
          <w:tcPr>
            <w:tcW w:w="347" w:type="pct"/>
            <w:vMerge w:val="restart"/>
            <w:tcBorders>
              <w:top w:val="nil"/>
              <w:left w:val="single" w:color="000000" w:sz="8" w:space="0"/>
              <w:bottom w:val="single" w:color="000000" w:sz="8" w:space="0"/>
              <w:right w:val="single" w:color="000000" w:sz="8" w:space="0"/>
            </w:tcBorders>
            <w:vAlign w:val="center"/>
          </w:tcPr>
          <w:p w14:paraId="465F69A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603" w:type="pct"/>
            <w:vMerge w:val="restart"/>
            <w:tcBorders>
              <w:top w:val="nil"/>
              <w:left w:val="single" w:color="000000" w:sz="8" w:space="0"/>
              <w:bottom w:val="single" w:color="000000" w:sz="8" w:space="0"/>
              <w:right w:val="single" w:color="000000" w:sz="8" w:space="0"/>
            </w:tcBorders>
            <w:vAlign w:val="center"/>
          </w:tcPr>
          <w:p w14:paraId="676C4BA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A020618生活用电器</w:t>
            </w:r>
          </w:p>
        </w:tc>
        <w:tc>
          <w:tcPr>
            <w:tcW w:w="822" w:type="pct"/>
            <w:tcBorders>
              <w:top w:val="nil"/>
              <w:left w:val="nil"/>
              <w:bottom w:val="single" w:color="000000" w:sz="8" w:space="0"/>
              <w:right w:val="single" w:color="000000" w:sz="8" w:space="0"/>
            </w:tcBorders>
            <w:vAlign w:val="center"/>
          </w:tcPr>
          <w:p w14:paraId="14C1AB1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A0206180101电冰箱</w:t>
            </w:r>
          </w:p>
        </w:tc>
        <w:tc>
          <w:tcPr>
            <w:tcW w:w="874" w:type="pct"/>
            <w:tcBorders>
              <w:top w:val="nil"/>
              <w:left w:val="nil"/>
              <w:bottom w:val="single" w:color="000000" w:sz="8" w:space="0"/>
              <w:right w:val="single" w:color="000000" w:sz="8" w:space="0"/>
            </w:tcBorders>
            <w:vAlign w:val="center"/>
          </w:tcPr>
          <w:p w14:paraId="1BA213F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464A432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《家用电冰箱耗电量限定值及能效等级》（GB 12021.2）</w:t>
            </w:r>
          </w:p>
        </w:tc>
      </w:tr>
      <w:tr w14:paraId="41ED19EE">
        <w:tblPrEx>
          <w:tblCellMar>
            <w:top w:w="0" w:type="dxa"/>
            <w:left w:w="108" w:type="dxa"/>
            <w:bottom w:w="0" w:type="dxa"/>
            <w:right w:w="108" w:type="dxa"/>
          </w:tblCellMar>
        </w:tblPrEx>
        <w:trPr>
          <w:trHeight w:val="975" w:hRule="atLeast"/>
        </w:trPr>
        <w:tc>
          <w:tcPr>
            <w:tcW w:w="347" w:type="pct"/>
            <w:vMerge w:val="continue"/>
            <w:tcBorders>
              <w:top w:val="nil"/>
              <w:left w:val="single" w:color="000000" w:sz="8" w:space="0"/>
              <w:bottom w:val="single" w:color="000000" w:sz="8" w:space="0"/>
              <w:right w:val="single" w:color="000000" w:sz="8" w:space="0"/>
            </w:tcBorders>
            <w:vAlign w:val="center"/>
          </w:tcPr>
          <w:p w14:paraId="26ECCF4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377A5CD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restart"/>
            <w:tcBorders>
              <w:top w:val="nil"/>
              <w:left w:val="single" w:color="000000" w:sz="8" w:space="0"/>
              <w:bottom w:val="single" w:color="000000" w:sz="8" w:space="0"/>
              <w:right w:val="single" w:color="000000" w:sz="8" w:space="0"/>
            </w:tcBorders>
            <w:vAlign w:val="center"/>
          </w:tcPr>
          <w:p w14:paraId="165ACB5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★A0206180203空调机</w:t>
            </w:r>
          </w:p>
        </w:tc>
        <w:tc>
          <w:tcPr>
            <w:tcW w:w="874" w:type="pct"/>
            <w:tcBorders>
              <w:top w:val="nil"/>
              <w:left w:val="nil"/>
              <w:bottom w:val="single" w:color="000000" w:sz="8" w:space="0"/>
              <w:right w:val="single" w:color="000000" w:sz="8" w:space="0"/>
            </w:tcBorders>
            <w:vAlign w:val="center"/>
          </w:tcPr>
          <w:p w14:paraId="31F5ED9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房间空气调节器</w:t>
            </w:r>
          </w:p>
        </w:tc>
        <w:tc>
          <w:tcPr>
            <w:tcW w:w="2351" w:type="pct"/>
            <w:tcBorders>
              <w:top w:val="nil"/>
              <w:left w:val="nil"/>
              <w:bottom w:val="single" w:color="000000" w:sz="8" w:space="0"/>
              <w:right w:val="single" w:color="000000" w:sz="8" w:space="0"/>
            </w:tcBorders>
            <w:vAlign w:val="center"/>
          </w:tcPr>
          <w:p w14:paraId="68D439F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《转速可控型房间空气调节器能效限定值及能效等级》（GB21455-2013），待2019年修订发布后，按《房间空气调节器能效限定值及能效等级》（GB21455-2019实施。</w:t>
            </w:r>
          </w:p>
        </w:tc>
      </w:tr>
      <w:tr w14:paraId="0E5A4F4F">
        <w:tblPrEx>
          <w:tblCellMar>
            <w:top w:w="0" w:type="dxa"/>
            <w:left w:w="108" w:type="dxa"/>
            <w:bottom w:w="0" w:type="dxa"/>
            <w:right w:w="108" w:type="dxa"/>
          </w:tblCellMar>
        </w:tblPrEx>
        <w:trPr>
          <w:trHeight w:val="735" w:hRule="atLeast"/>
        </w:trPr>
        <w:tc>
          <w:tcPr>
            <w:tcW w:w="347" w:type="pct"/>
            <w:vMerge w:val="continue"/>
            <w:tcBorders>
              <w:top w:val="nil"/>
              <w:left w:val="single" w:color="000000" w:sz="8" w:space="0"/>
              <w:bottom w:val="single" w:color="000000" w:sz="8" w:space="0"/>
              <w:right w:val="single" w:color="000000" w:sz="8" w:space="0"/>
            </w:tcBorders>
            <w:vAlign w:val="center"/>
          </w:tcPr>
          <w:p w14:paraId="669D758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34EA23B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68D64D7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5C5C661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多联式空调（热泵）机组（制冷量≤ 14000W）</w:t>
            </w:r>
          </w:p>
        </w:tc>
        <w:tc>
          <w:tcPr>
            <w:tcW w:w="2351" w:type="pct"/>
            <w:tcBorders>
              <w:top w:val="nil"/>
              <w:left w:val="nil"/>
              <w:bottom w:val="single" w:color="000000" w:sz="8" w:space="0"/>
              <w:right w:val="single" w:color="000000" w:sz="8" w:space="0"/>
            </w:tcBorders>
            <w:vAlign w:val="center"/>
          </w:tcPr>
          <w:p w14:paraId="08744DB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《多联式空调（热泵）机组能效限定值及能源效率等级》（GB21454）</w:t>
            </w:r>
          </w:p>
        </w:tc>
      </w:tr>
      <w:tr w14:paraId="40B9EB34">
        <w:tblPrEx>
          <w:tblCellMar>
            <w:top w:w="0" w:type="dxa"/>
            <w:left w:w="108" w:type="dxa"/>
            <w:bottom w:w="0" w:type="dxa"/>
            <w:right w:w="108" w:type="dxa"/>
          </w:tblCellMar>
        </w:tblPrEx>
        <w:trPr>
          <w:trHeight w:val="735" w:hRule="atLeast"/>
        </w:trPr>
        <w:tc>
          <w:tcPr>
            <w:tcW w:w="347" w:type="pct"/>
            <w:vMerge w:val="continue"/>
            <w:tcBorders>
              <w:top w:val="nil"/>
              <w:left w:val="single" w:color="000000" w:sz="8" w:space="0"/>
              <w:bottom w:val="single" w:color="000000" w:sz="8" w:space="0"/>
              <w:right w:val="single" w:color="000000" w:sz="8" w:space="0"/>
            </w:tcBorders>
            <w:vAlign w:val="center"/>
          </w:tcPr>
          <w:p w14:paraId="14E6A18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50CB12A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6585403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3556806D">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单元式空气调节机(制冷量≤14000W)</w:t>
            </w:r>
          </w:p>
        </w:tc>
        <w:tc>
          <w:tcPr>
            <w:tcW w:w="2351" w:type="pct"/>
            <w:tcBorders>
              <w:top w:val="nil"/>
              <w:left w:val="nil"/>
              <w:bottom w:val="single" w:color="000000" w:sz="8" w:space="0"/>
              <w:right w:val="single" w:color="000000" w:sz="8" w:space="0"/>
            </w:tcBorders>
            <w:vAlign w:val="center"/>
          </w:tcPr>
          <w:p w14:paraId="23DCD729">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《单元式空气调节机能效限定值及能源效率等级》（GB19576）《风管送风式空调机组能效限定值及能效等级》（GB37479）</w:t>
            </w:r>
          </w:p>
        </w:tc>
      </w:tr>
      <w:tr w14:paraId="65E49176">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210740E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276C5B3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000000" w:sz="8" w:space="0"/>
              <w:right w:val="single" w:color="000000" w:sz="8" w:space="0"/>
            </w:tcBorders>
            <w:vAlign w:val="center"/>
          </w:tcPr>
          <w:p w14:paraId="5B4CAF9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A0206180301洗衣机</w:t>
            </w:r>
          </w:p>
        </w:tc>
        <w:tc>
          <w:tcPr>
            <w:tcW w:w="874" w:type="pct"/>
            <w:tcBorders>
              <w:top w:val="nil"/>
              <w:left w:val="nil"/>
              <w:bottom w:val="single" w:color="000000" w:sz="8" w:space="0"/>
              <w:right w:val="single" w:color="000000" w:sz="8" w:space="0"/>
            </w:tcBorders>
            <w:vAlign w:val="center"/>
          </w:tcPr>
          <w:p w14:paraId="69AD7E3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76A1D79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《电动洗衣机能效水效限定值及等级》（GB12021.4）</w:t>
            </w:r>
          </w:p>
        </w:tc>
      </w:tr>
      <w:tr w14:paraId="54B6ADB1">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126CFF8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4705D76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restart"/>
            <w:tcBorders>
              <w:top w:val="nil"/>
              <w:left w:val="single" w:color="000000" w:sz="8" w:space="0"/>
              <w:bottom w:val="single" w:color="000000" w:sz="8" w:space="0"/>
              <w:right w:val="single" w:color="000000" w:sz="8" w:space="0"/>
            </w:tcBorders>
            <w:vAlign w:val="center"/>
          </w:tcPr>
          <w:p w14:paraId="511453A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A02061808热水器</w:t>
            </w:r>
          </w:p>
        </w:tc>
        <w:tc>
          <w:tcPr>
            <w:tcW w:w="874" w:type="pct"/>
            <w:tcBorders>
              <w:top w:val="nil"/>
              <w:left w:val="nil"/>
              <w:bottom w:val="single" w:color="000000" w:sz="8" w:space="0"/>
              <w:right w:val="single" w:color="000000" w:sz="8" w:space="0"/>
            </w:tcBorders>
            <w:vAlign w:val="center"/>
          </w:tcPr>
          <w:p w14:paraId="07E7F89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★电热水器</w:t>
            </w:r>
          </w:p>
        </w:tc>
        <w:tc>
          <w:tcPr>
            <w:tcW w:w="2351" w:type="pct"/>
            <w:tcBorders>
              <w:top w:val="nil"/>
              <w:left w:val="nil"/>
              <w:bottom w:val="single" w:color="000000" w:sz="8" w:space="0"/>
              <w:right w:val="single" w:color="000000" w:sz="8" w:space="0"/>
            </w:tcBorders>
            <w:vAlign w:val="center"/>
          </w:tcPr>
          <w:p w14:paraId="6039087D">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《储水式电热水器能效限定值及能效等级》（GB21519）</w:t>
            </w:r>
          </w:p>
        </w:tc>
      </w:tr>
      <w:tr w14:paraId="00DE80CA">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529F6C7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4AAECD1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320280E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5F4295B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燃气热水器</w:t>
            </w:r>
          </w:p>
        </w:tc>
        <w:tc>
          <w:tcPr>
            <w:tcW w:w="2351" w:type="pct"/>
            <w:tcBorders>
              <w:top w:val="nil"/>
              <w:left w:val="nil"/>
              <w:bottom w:val="single" w:color="000000" w:sz="8" w:space="0"/>
              <w:right w:val="single" w:color="000000" w:sz="8" w:space="0"/>
            </w:tcBorders>
            <w:vAlign w:val="center"/>
          </w:tcPr>
          <w:p w14:paraId="592C7BC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《家用燃气快速热水器和燃气采暖热水炉能效限定值及能效等级》（GB20665）</w:t>
            </w:r>
          </w:p>
        </w:tc>
      </w:tr>
      <w:tr w14:paraId="0EF320E7">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79C2C07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7E6489E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593AB878">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4B594CF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热泵热水器</w:t>
            </w:r>
          </w:p>
        </w:tc>
        <w:tc>
          <w:tcPr>
            <w:tcW w:w="2351" w:type="pct"/>
            <w:tcBorders>
              <w:top w:val="nil"/>
              <w:left w:val="nil"/>
              <w:bottom w:val="single" w:color="000000" w:sz="8" w:space="0"/>
              <w:right w:val="single" w:color="000000" w:sz="8" w:space="0"/>
            </w:tcBorders>
            <w:vAlign w:val="center"/>
          </w:tcPr>
          <w:p w14:paraId="6521E0F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《热泵热水机（器）能效限定值及能效等级》（GB29541）</w:t>
            </w:r>
          </w:p>
        </w:tc>
      </w:tr>
      <w:tr w14:paraId="2F0D3AAC">
        <w:tblPrEx>
          <w:tblCellMar>
            <w:top w:w="0" w:type="dxa"/>
            <w:left w:w="108" w:type="dxa"/>
            <w:bottom w:w="0" w:type="dxa"/>
            <w:right w:w="108" w:type="dxa"/>
          </w:tblCellMar>
        </w:tblPrEx>
        <w:trPr>
          <w:trHeight w:val="495" w:hRule="atLeast"/>
        </w:trPr>
        <w:tc>
          <w:tcPr>
            <w:tcW w:w="347" w:type="pct"/>
            <w:vMerge w:val="continue"/>
            <w:tcBorders>
              <w:top w:val="nil"/>
              <w:left w:val="single" w:color="000000" w:sz="8" w:space="0"/>
              <w:bottom w:val="single" w:color="000000" w:sz="8" w:space="0"/>
              <w:right w:val="single" w:color="000000" w:sz="8" w:space="0"/>
            </w:tcBorders>
            <w:vAlign w:val="center"/>
          </w:tcPr>
          <w:p w14:paraId="7814AC2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000000" w:sz="8" w:space="0"/>
              <w:bottom w:val="single" w:color="000000" w:sz="8" w:space="0"/>
              <w:right w:val="single" w:color="000000" w:sz="8" w:space="0"/>
            </w:tcBorders>
            <w:vAlign w:val="center"/>
          </w:tcPr>
          <w:p w14:paraId="73FF5BF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vMerge w:val="continue"/>
            <w:tcBorders>
              <w:top w:val="nil"/>
              <w:left w:val="single" w:color="000000" w:sz="8" w:space="0"/>
              <w:bottom w:val="single" w:color="000000" w:sz="8" w:space="0"/>
              <w:right w:val="single" w:color="000000" w:sz="8" w:space="0"/>
            </w:tcBorders>
            <w:vAlign w:val="center"/>
          </w:tcPr>
          <w:p w14:paraId="5C74148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74" w:type="pct"/>
            <w:tcBorders>
              <w:top w:val="nil"/>
              <w:left w:val="nil"/>
              <w:bottom w:val="single" w:color="000000" w:sz="8" w:space="0"/>
              <w:right w:val="single" w:color="000000" w:sz="8" w:space="0"/>
            </w:tcBorders>
            <w:vAlign w:val="center"/>
          </w:tcPr>
          <w:p w14:paraId="53D1AF6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太阳能热水系统</w:t>
            </w:r>
          </w:p>
        </w:tc>
        <w:tc>
          <w:tcPr>
            <w:tcW w:w="2351" w:type="pct"/>
            <w:tcBorders>
              <w:top w:val="nil"/>
              <w:left w:val="nil"/>
              <w:bottom w:val="single" w:color="000000" w:sz="8" w:space="0"/>
              <w:right w:val="single" w:color="000000" w:sz="8" w:space="0"/>
            </w:tcBorders>
            <w:vAlign w:val="center"/>
          </w:tcPr>
          <w:p w14:paraId="0A8C885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《家用太阳能热水系统能效限定值及能效等级》（GB26969）</w:t>
            </w:r>
          </w:p>
        </w:tc>
      </w:tr>
      <w:tr w14:paraId="43A37CEB">
        <w:tblPrEx>
          <w:tblCellMar>
            <w:top w:w="0" w:type="dxa"/>
            <w:left w:w="108" w:type="dxa"/>
            <w:bottom w:w="0" w:type="dxa"/>
            <w:right w:w="108" w:type="dxa"/>
          </w:tblCellMar>
        </w:tblPrEx>
        <w:trPr>
          <w:trHeight w:val="495" w:hRule="atLeast"/>
        </w:trPr>
        <w:tc>
          <w:tcPr>
            <w:tcW w:w="347" w:type="pct"/>
            <w:vMerge w:val="restart"/>
            <w:tcBorders>
              <w:top w:val="nil"/>
              <w:left w:val="single" w:color="auto" w:sz="8" w:space="0"/>
              <w:bottom w:val="single" w:color="auto" w:sz="8" w:space="0"/>
              <w:right w:val="single" w:color="auto" w:sz="8" w:space="0"/>
            </w:tcBorders>
            <w:vAlign w:val="center"/>
          </w:tcPr>
          <w:p w14:paraId="6AD75AE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11</w:t>
            </w:r>
          </w:p>
        </w:tc>
        <w:tc>
          <w:tcPr>
            <w:tcW w:w="603" w:type="pct"/>
            <w:vMerge w:val="restart"/>
            <w:tcBorders>
              <w:top w:val="nil"/>
              <w:left w:val="single" w:color="auto" w:sz="8" w:space="0"/>
              <w:bottom w:val="single" w:color="auto" w:sz="8" w:space="0"/>
              <w:right w:val="single" w:color="auto" w:sz="8" w:space="0"/>
            </w:tcBorders>
            <w:vAlign w:val="center"/>
          </w:tcPr>
          <w:p w14:paraId="66B7630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A020619照明设备</w:t>
            </w:r>
          </w:p>
        </w:tc>
        <w:tc>
          <w:tcPr>
            <w:tcW w:w="822" w:type="pct"/>
            <w:tcBorders>
              <w:top w:val="nil"/>
              <w:left w:val="nil"/>
              <w:bottom w:val="single" w:color="auto" w:sz="8" w:space="0"/>
              <w:right w:val="single" w:color="auto" w:sz="8" w:space="0"/>
            </w:tcBorders>
            <w:vAlign w:val="center"/>
          </w:tcPr>
          <w:p w14:paraId="0079CA22">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w:t>
            </w:r>
          </w:p>
        </w:tc>
        <w:tc>
          <w:tcPr>
            <w:tcW w:w="874" w:type="pct"/>
            <w:tcBorders>
              <w:top w:val="nil"/>
              <w:left w:val="nil"/>
              <w:bottom w:val="single" w:color="auto" w:sz="8" w:space="0"/>
              <w:right w:val="single" w:color="auto" w:sz="8" w:space="0"/>
            </w:tcBorders>
            <w:vAlign w:val="center"/>
          </w:tcPr>
          <w:p w14:paraId="2D190B6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701FCCD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《普通照明用双端荧光灯能效限定值及能效等级》（GB19043）</w:t>
            </w:r>
          </w:p>
        </w:tc>
      </w:tr>
      <w:tr w14:paraId="09096B29">
        <w:tblPrEx>
          <w:tblCellMar>
            <w:top w:w="0" w:type="dxa"/>
            <w:left w:w="108" w:type="dxa"/>
            <w:bottom w:w="0" w:type="dxa"/>
            <w:right w:w="108" w:type="dxa"/>
          </w:tblCellMar>
        </w:tblPrEx>
        <w:trPr>
          <w:trHeight w:val="495" w:hRule="atLeast"/>
        </w:trPr>
        <w:tc>
          <w:tcPr>
            <w:tcW w:w="347" w:type="pct"/>
            <w:vMerge w:val="continue"/>
            <w:tcBorders>
              <w:top w:val="nil"/>
              <w:left w:val="single" w:color="auto" w:sz="8" w:space="0"/>
              <w:bottom w:val="single" w:color="auto" w:sz="8" w:space="0"/>
              <w:right w:val="single" w:color="auto" w:sz="8" w:space="0"/>
            </w:tcBorders>
            <w:vAlign w:val="center"/>
          </w:tcPr>
          <w:p w14:paraId="49A07B2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auto" w:sz="8" w:space="0"/>
              <w:bottom w:val="single" w:color="auto" w:sz="8" w:space="0"/>
              <w:right w:val="single" w:color="auto" w:sz="8" w:space="0"/>
            </w:tcBorders>
            <w:vAlign w:val="center"/>
          </w:tcPr>
          <w:p w14:paraId="6AF9C8AC">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auto" w:sz="8" w:space="0"/>
              <w:right w:val="single" w:color="auto" w:sz="8" w:space="0"/>
            </w:tcBorders>
            <w:vAlign w:val="center"/>
          </w:tcPr>
          <w:p w14:paraId="6FFED12D">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LED道路/隧道照明产品</w:t>
            </w:r>
          </w:p>
        </w:tc>
        <w:tc>
          <w:tcPr>
            <w:tcW w:w="874" w:type="pct"/>
            <w:tcBorders>
              <w:top w:val="nil"/>
              <w:left w:val="nil"/>
              <w:bottom w:val="single" w:color="auto" w:sz="8" w:space="0"/>
              <w:right w:val="single" w:color="auto" w:sz="8" w:space="0"/>
            </w:tcBorders>
            <w:vAlign w:val="center"/>
          </w:tcPr>
          <w:p w14:paraId="124B76D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2FF9061B">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《道路和隧道照明用LED灯具能效限定值及能效等级》（GB37478）</w:t>
            </w:r>
          </w:p>
        </w:tc>
      </w:tr>
      <w:tr w14:paraId="687B1CAC">
        <w:tblPrEx>
          <w:tblCellMar>
            <w:top w:w="0" w:type="dxa"/>
            <w:left w:w="108" w:type="dxa"/>
            <w:bottom w:w="0" w:type="dxa"/>
            <w:right w:w="108" w:type="dxa"/>
          </w:tblCellMar>
        </w:tblPrEx>
        <w:trPr>
          <w:trHeight w:val="495" w:hRule="atLeast"/>
        </w:trPr>
        <w:tc>
          <w:tcPr>
            <w:tcW w:w="347" w:type="pct"/>
            <w:vMerge w:val="continue"/>
            <w:tcBorders>
              <w:top w:val="nil"/>
              <w:left w:val="single" w:color="auto" w:sz="8" w:space="0"/>
              <w:bottom w:val="single" w:color="auto" w:sz="8" w:space="0"/>
              <w:right w:val="single" w:color="auto" w:sz="8" w:space="0"/>
            </w:tcBorders>
            <w:vAlign w:val="center"/>
          </w:tcPr>
          <w:p w14:paraId="14F80CC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auto" w:sz="8" w:space="0"/>
              <w:bottom w:val="single" w:color="auto" w:sz="8" w:space="0"/>
              <w:right w:val="single" w:color="auto" w:sz="8" w:space="0"/>
            </w:tcBorders>
            <w:vAlign w:val="center"/>
          </w:tcPr>
          <w:p w14:paraId="399BF46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auto" w:sz="8" w:space="0"/>
              <w:right w:val="single" w:color="auto" w:sz="8" w:space="0"/>
            </w:tcBorders>
            <w:vAlign w:val="center"/>
          </w:tcPr>
          <w:p w14:paraId="2DAF48F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LED筒灯</w:t>
            </w:r>
          </w:p>
        </w:tc>
        <w:tc>
          <w:tcPr>
            <w:tcW w:w="874" w:type="pct"/>
            <w:tcBorders>
              <w:top w:val="nil"/>
              <w:left w:val="nil"/>
              <w:bottom w:val="single" w:color="auto" w:sz="8" w:space="0"/>
              <w:right w:val="single" w:color="auto" w:sz="8" w:space="0"/>
            </w:tcBorders>
            <w:vAlign w:val="center"/>
          </w:tcPr>
          <w:p w14:paraId="195BF9B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6A5E8CA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07D60A65">
        <w:tblPrEx>
          <w:tblCellMar>
            <w:top w:w="0" w:type="dxa"/>
            <w:left w:w="108" w:type="dxa"/>
            <w:bottom w:w="0" w:type="dxa"/>
            <w:right w:w="108" w:type="dxa"/>
          </w:tblCellMar>
        </w:tblPrEx>
        <w:trPr>
          <w:trHeight w:val="735" w:hRule="atLeast"/>
        </w:trPr>
        <w:tc>
          <w:tcPr>
            <w:tcW w:w="347" w:type="pct"/>
            <w:vMerge w:val="continue"/>
            <w:tcBorders>
              <w:top w:val="nil"/>
              <w:left w:val="single" w:color="auto" w:sz="8" w:space="0"/>
              <w:bottom w:val="single" w:color="auto" w:sz="8" w:space="0"/>
              <w:right w:val="single" w:color="auto" w:sz="8" w:space="0"/>
            </w:tcBorders>
            <w:vAlign w:val="center"/>
          </w:tcPr>
          <w:p w14:paraId="49C74A1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auto" w:sz="8" w:space="0"/>
              <w:bottom w:val="single" w:color="auto" w:sz="8" w:space="0"/>
              <w:right w:val="single" w:color="auto" w:sz="8" w:space="0"/>
            </w:tcBorders>
            <w:vAlign w:val="center"/>
          </w:tcPr>
          <w:p w14:paraId="6F5CA5DE">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auto" w:sz="8" w:space="0"/>
              <w:right w:val="single" w:color="auto" w:sz="8" w:space="0"/>
            </w:tcBorders>
            <w:vAlign w:val="center"/>
          </w:tcPr>
          <w:p w14:paraId="2C44F74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普通照明用非定向自镇流LED灯</w:t>
            </w:r>
          </w:p>
        </w:tc>
        <w:tc>
          <w:tcPr>
            <w:tcW w:w="874" w:type="pct"/>
            <w:tcBorders>
              <w:top w:val="nil"/>
              <w:left w:val="nil"/>
              <w:bottom w:val="single" w:color="auto" w:sz="8" w:space="0"/>
              <w:right w:val="single" w:color="auto" w:sz="8" w:space="0"/>
            </w:tcBorders>
            <w:vAlign w:val="center"/>
          </w:tcPr>
          <w:p w14:paraId="6EDE921D">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265294C7">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《室内照明用LED产品能效限定值及能效等级》（GB30255）</w:t>
            </w:r>
          </w:p>
        </w:tc>
      </w:tr>
      <w:tr w14:paraId="32461237">
        <w:tblPrEx>
          <w:tblCellMar>
            <w:top w:w="0" w:type="dxa"/>
            <w:left w:w="108" w:type="dxa"/>
            <w:bottom w:w="0" w:type="dxa"/>
            <w:right w:w="108" w:type="dxa"/>
          </w:tblCellMar>
        </w:tblPrEx>
        <w:trPr>
          <w:trHeight w:val="735" w:hRule="atLeast"/>
        </w:trPr>
        <w:tc>
          <w:tcPr>
            <w:tcW w:w="347" w:type="pct"/>
            <w:tcBorders>
              <w:top w:val="nil"/>
              <w:left w:val="single" w:color="auto" w:sz="8" w:space="0"/>
              <w:bottom w:val="single" w:color="auto" w:sz="8" w:space="0"/>
              <w:right w:val="single" w:color="auto" w:sz="8" w:space="0"/>
            </w:tcBorders>
            <w:vAlign w:val="center"/>
          </w:tcPr>
          <w:p w14:paraId="67A1BBE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12</w:t>
            </w:r>
          </w:p>
        </w:tc>
        <w:tc>
          <w:tcPr>
            <w:tcW w:w="603" w:type="pct"/>
            <w:tcBorders>
              <w:top w:val="nil"/>
              <w:left w:val="nil"/>
              <w:bottom w:val="single" w:color="auto" w:sz="8" w:space="0"/>
              <w:right w:val="single" w:color="auto" w:sz="8" w:space="0"/>
            </w:tcBorders>
            <w:vAlign w:val="center"/>
          </w:tcPr>
          <w:p w14:paraId="1896EB6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★A020910电视设备</w:t>
            </w:r>
          </w:p>
        </w:tc>
        <w:tc>
          <w:tcPr>
            <w:tcW w:w="822" w:type="pct"/>
            <w:tcBorders>
              <w:top w:val="nil"/>
              <w:left w:val="nil"/>
              <w:bottom w:val="single" w:color="auto" w:sz="8" w:space="0"/>
              <w:right w:val="single" w:color="auto" w:sz="8" w:space="0"/>
            </w:tcBorders>
            <w:vAlign w:val="center"/>
          </w:tcPr>
          <w:p w14:paraId="236F077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A02091001普通电视设备（电视机）</w:t>
            </w:r>
          </w:p>
        </w:tc>
        <w:tc>
          <w:tcPr>
            <w:tcW w:w="874" w:type="pct"/>
            <w:tcBorders>
              <w:top w:val="nil"/>
              <w:left w:val="nil"/>
              <w:bottom w:val="single" w:color="auto" w:sz="8" w:space="0"/>
              <w:right w:val="single" w:color="auto" w:sz="8" w:space="0"/>
            </w:tcBorders>
            <w:vAlign w:val="center"/>
          </w:tcPr>
          <w:p w14:paraId="6F524F9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1CA87C02">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《平板电视能效限定值及能效等级》（GB24850）</w:t>
            </w:r>
          </w:p>
        </w:tc>
      </w:tr>
      <w:tr w14:paraId="1312A1EC">
        <w:tblPrEx>
          <w:tblCellMar>
            <w:top w:w="0" w:type="dxa"/>
            <w:left w:w="108" w:type="dxa"/>
            <w:bottom w:w="0" w:type="dxa"/>
            <w:right w:w="108" w:type="dxa"/>
          </w:tblCellMar>
        </w:tblPrEx>
        <w:trPr>
          <w:trHeight w:val="975" w:hRule="atLeast"/>
        </w:trPr>
        <w:tc>
          <w:tcPr>
            <w:tcW w:w="347" w:type="pct"/>
            <w:tcBorders>
              <w:top w:val="nil"/>
              <w:left w:val="single" w:color="auto" w:sz="8" w:space="0"/>
              <w:bottom w:val="single" w:color="auto" w:sz="8" w:space="0"/>
              <w:right w:val="single" w:color="auto" w:sz="8" w:space="0"/>
            </w:tcBorders>
            <w:vAlign w:val="center"/>
          </w:tcPr>
          <w:p w14:paraId="62931D7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13</w:t>
            </w:r>
          </w:p>
        </w:tc>
        <w:tc>
          <w:tcPr>
            <w:tcW w:w="603" w:type="pct"/>
            <w:tcBorders>
              <w:top w:val="nil"/>
              <w:left w:val="nil"/>
              <w:bottom w:val="single" w:color="auto" w:sz="8" w:space="0"/>
              <w:right w:val="single" w:color="auto" w:sz="8" w:space="0"/>
            </w:tcBorders>
            <w:vAlign w:val="center"/>
          </w:tcPr>
          <w:p w14:paraId="0F5E598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★A020911视频设备</w:t>
            </w:r>
          </w:p>
        </w:tc>
        <w:tc>
          <w:tcPr>
            <w:tcW w:w="822" w:type="pct"/>
            <w:tcBorders>
              <w:top w:val="nil"/>
              <w:left w:val="nil"/>
              <w:bottom w:val="single" w:color="auto" w:sz="8" w:space="0"/>
              <w:right w:val="single" w:color="auto" w:sz="8" w:space="0"/>
            </w:tcBorders>
            <w:vAlign w:val="center"/>
          </w:tcPr>
          <w:p w14:paraId="01F7DB4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A02091107视频监控设备</w:t>
            </w:r>
          </w:p>
        </w:tc>
        <w:tc>
          <w:tcPr>
            <w:tcW w:w="874" w:type="pct"/>
            <w:tcBorders>
              <w:top w:val="nil"/>
              <w:left w:val="nil"/>
              <w:bottom w:val="single" w:color="auto" w:sz="8" w:space="0"/>
              <w:right w:val="single" w:color="auto" w:sz="8" w:space="0"/>
            </w:tcBorders>
            <w:vAlign w:val="center"/>
          </w:tcPr>
          <w:p w14:paraId="7E46DE3B">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监视器</w:t>
            </w:r>
          </w:p>
        </w:tc>
        <w:tc>
          <w:tcPr>
            <w:tcW w:w="2351" w:type="pct"/>
            <w:tcBorders>
              <w:top w:val="nil"/>
              <w:left w:val="nil"/>
              <w:bottom w:val="single" w:color="auto" w:sz="8" w:space="0"/>
              <w:right w:val="single" w:color="auto" w:sz="8" w:space="0"/>
            </w:tcBorders>
            <w:vAlign w:val="center"/>
          </w:tcPr>
          <w:p w14:paraId="2C29620F">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以射频信号为主要信号输入的监视器应符合《平板电视能效限定值及能效等级》（GB24850），以数字信号为主要信号输入的监视器应符合《计算机显示器能效限定值及能效等级》（GB21520）</w:t>
            </w:r>
          </w:p>
        </w:tc>
      </w:tr>
      <w:tr w14:paraId="595AA9E5">
        <w:tblPrEx>
          <w:tblCellMar>
            <w:top w:w="0" w:type="dxa"/>
            <w:left w:w="108" w:type="dxa"/>
            <w:bottom w:w="0" w:type="dxa"/>
            <w:right w:w="108" w:type="dxa"/>
          </w:tblCellMar>
        </w:tblPrEx>
        <w:trPr>
          <w:trHeight w:val="495" w:hRule="atLeast"/>
        </w:trPr>
        <w:tc>
          <w:tcPr>
            <w:tcW w:w="347" w:type="pct"/>
            <w:tcBorders>
              <w:top w:val="nil"/>
              <w:left w:val="single" w:color="auto" w:sz="8" w:space="0"/>
              <w:bottom w:val="single" w:color="auto" w:sz="8" w:space="0"/>
              <w:right w:val="single" w:color="auto" w:sz="8" w:space="0"/>
            </w:tcBorders>
            <w:vAlign w:val="center"/>
          </w:tcPr>
          <w:p w14:paraId="62F0EDE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14</w:t>
            </w:r>
          </w:p>
        </w:tc>
        <w:tc>
          <w:tcPr>
            <w:tcW w:w="603" w:type="pct"/>
            <w:tcBorders>
              <w:top w:val="nil"/>
              <w:left w:val="nil"/>
              <w:bottom w:val="single" w:color="auto" w:sz="8" w:space="0"/>
              <w:right w:val="single" w:color="auto" w:sz="8" w:space="0"/>
            </w:tcBorders>
            <w:vAlign w:val="center"/>
          </w:tcPr>
          <w:p w14:paraId="44F641A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A031210饮食炊事机械</w:t>
            </w:r>
          </w:p>
        </w:tc>
        <w:tc>
          <w:tcPr>
            <w:tcW w:w="822" w:type="pct"/>
            <w:tcBorders>
              <w:top w:val="nil"/>
              <w:left w:val="nil"/>
              <w:bottom w:val="single" w:color="auto" w:sz="8" w:space="0"/>
              <w:right w:val="single" w:color="auto" w:sz="8" w:space="0"/>
            </w:tcBorders>
            <w:vAlign w:val="center"/>
          </w:tcPr>
          <w:p w14:paraId="5AE7F22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w:t>
            </w:r>
          </w:p>
        </w:tc>
        <w:tc>
          <w:tcPr>
            <w:tcW w:w="874" w:type="pct"/>
            <w:tcBorders>
              <w:top w:val="nil"/>
              <w:left w:val="nil"/>
              <w:bottom w:val="single" w:color="auto" w:sz="8" w:space="0"/>
              <w:right w:val="single" w:color="auto" w:sz="8" w:space="0"/>
            </w:tcBorders>
            <w:vAlign w:val="center"/>
          </w:tcPr>
          <w:p w14:paraId="214C73FC">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4219D7D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《商用燃气灶具能效限定值及能效等级》（GB30531）</w:t>
            </w:r>
          </w:p>
        </w:tc>
      </w:tr>
      <w:tr w14:paraId="21B6ACAC">
        <w:tblPrEx>
          <w:tblCellMar>
            <w:top w:w="0" w:type="dxa"/>
            <w:left w:w="108" w:type="dxa"/>
            <w:bottom w:w="0" w:type="dxa"/>
            <w:right w:w="108" w:type="dxa"/>
          </w:tblCellMar>
        </w:tblPrEx>
        <w:trPr>
          <w:trHeight w:val="285" w:hRule="atLeast"/>
        </w:trPr>
        <w:tc>
          <w:tcPr>
            <w:tcW w:w="347" w:type="pct"/>
            <w:vMerge w:val="restart"/>
            <w:tcBorders>
              <w:top w:val="nil"/>
              <w:left w:val="single" w:color="auto" w:sz="8" w:space="0"/>
              <w:bottom w:val="single" w:color="auto" w:sz="8" w:space="0"/>
              <w:right w:val="single" w:color="auto" w:sz="8" w:space="0"/>
            </w:tcBorders>
            <w:vAlign w:val="center"/>
          </w:tcPr>
          <w:p w14:paraId="4E887829">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603" w:type="pct"/>
            <w:vMerge w:val="restart"/>
            <w:tcBorders>
              <w:top w:val="nil"/>
              <w:left w:val="single" w:color="auto" w:sz="8" w:space="0"/>
              <w:bottom w:val="single" w:color="000000" w:sz="8" w:space="0"/>
              <w:right w:val="single" w:color="auto" w:sz="8" w:space="0"/>
            </w:tcBorders>
            <w:vAlign w:val="center"/>
          </w:tcPr>
          <w:p w14:paraId="554343D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★A060805便器</w:t>
            </w:r>
          </w:p>
        </w:tc>
        <w:tc>
          <w:tcPr>
            <w:tcW w:w="822" w:type="pct"/>
            <w:tcBorders>
              <w:top w:val="nil"/>
              <w:left w:val="nil"/>
              <w:bottom w:val="single" w:color="auto" w:sz="8" w:space="0"/>
              <w:right w:val="single" w:color="auto" w:sz="8" w:space="0"/>
            </w:tcBorders>
            <w:vAlign w:val="center"/>
          </w:tcPr>
          <w:p w14:paraId="79760A5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坐便器</w:t>
            </w:r>
          </w:p>
        </w:tc>
        <w:tc>
          <w:tcPr>
            <w:tcW w:w="874" w:type="pct"/>
            <w:tcBorders>
              <w:top w:val="nil"/>
              <w:left w:val="nil"/>
              <w:bottom w:val="single" w:color="auto" w:sz="8" w:space="0"/>
              <w:right w:val="single" w:color="auto" w:sz="8" w:space="0"/>
            </w:tcBorders>
            <w:vAlign w:val="center"/>
          </w:tcPr>
          <w:p w14:paraId="6772D0C7">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39C0B9C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《坐便器水效限定值及水效等级》（GB25502）</w:t>
            </w:r>
          </w:p>
        </w:tc>
      </w:tr>
      <w:tr w14:paraId="6AF2E4B9">
        <w:tblPrEx>
          <w:tblCellMar>
            <w:top w:w="0" w:type="dxa"/>
            <w:left w:w="108" w:type="dxa"/>
            <w:bottom w:w="0" w:type="dxa"/>
            <w:right w:w="108" w:type="dxa"/>
          </w:tblCellMar>
        </w:tblPrEx>
        <w:trPr>
          <w:trHeight w:val="495" w:hRule="atLeast"/>
        </w:trPr>
        <w:tc>
          <w:tcPr>
            <w:tcW w:w="347" w:type="pct"/>
            <w:vMerge w:val="continue"/>
            <w:tcBorders>
              <w:top w:val="nil"/>
              <w:left w:val="single" w:color="auto" w:sz="8" w:space="0"/>
              <w:bottom w:val="single" w:color="auto" w:sz="8" w:space="0"/>
              <w:right w:val="single" w:color="auto" w:sz="8" w:space="0"/>
            </w:tcBorders>
            <w:vAlign w:val="center"/>
          </w:tcPr>
          <w:p w14:paraId="4C363313">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auto" w:sz="8" w:space="0"/>
              <w:bottom w:val="single" w:color="000000" w:sz="8" w:space="0"/>
              <w:right w:val="single" w:color="auto" w:sz="8" w:space="0"/>
            </w:tcBorders>
            <w:vAlign w:val="center"/>
          </w:tcPr>
          <w:p w14:paraId="401A052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auto" w:sz="8" w:space="0"/>
              <w:right w:val="single" w:color="auto" w:sz="8" w:space="0"/>
            </w:tcBorders>
            <w:vAlign w:val="center"/>
          </w:tcPr>
          <w:p w14:paraId="76E0EDA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蹲便器</w:t>
            </w:r>
          </w:p>
        </w:tc>
        <w:tc>
          <w:tcPr>
            <w:tcW w:w="874" w:type="pct"/>
            <w:tcBorders>
              <w:top w:val="nil"/>
              <w:left w:val="nil"/>
              <w:bottom w:val="single" w:color="auto" w:sz="8" w:space="0"/>
              <w:right w:val="single" w:color="auto" w:sz="8" w:space="0"/>
            </w:tcBorders>
            <w:vAlign w:val="center"/>
          </w:tcPr>
          <w:p w14:paraId="6CFD6300">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0CFE84F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《蹲便器用水效率限定值及用水效率等级》（GB30717）</w:t>
            </w:r>
          </w:p>
        </w:tc>
      </w:tr>
      <w:tr w14:paraId="2A3D3068">
        <w:tblPrEx>
          <w:tblCellMar>
            <w:top w:w="0" w:type="dxa"/>
            <w:left w:w="108" w:type="dxa"/>
            <w:bottom w:w="0" w:type="dxa"/>
            <w:right w:w="108" w:type="dxa"/>
          </w:tblCellMar>
        </w:tblPrEx>
        <w:trPr>
          <w:trHeight w:val="495" w:hRule="atLeast"/>
        </w:trPr>
        <w:tc>
          <w:tcPr>
            <w:tcW w:w="347" w:type="pct"/>
            <w:vMerge w:val="continue"/>
            <w:tcBorders>
              <w:top w:val="nil"/>
              <w:left w:val="single" w:color="auto" w:sz="8" w:space="0"/>
              <w:bottom w:val="single" w:color="auto" w:sz="8" w:space="0"/>
              <w:right w:val="single" w:color="auto" w:sz="8" w:space="0"/>
            </w:tcBorders>
            <w:vAlign w:val="center"/>
          </w:tcPr>
          <w:p w14:paraId="2A2003A1">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603" w:type="pct"/>
            <w:vMerge w:val="continue"/>
            <w:tcBorders>
              <w:top w:val="nil"/>
              <w:left w:val="single" w:color="auto" w:sz="8" w:space="0"/>
              <w:bottom w:val="single" w:color="000000" w:sz="8" w:space="0"/>
              <w:right w:val="single" w:color="auto" w:sz="8" w:space="0"/>
            </w:tcBorders>
            <w:vAlign w:val="center"/>
          </w:tcPr>
          <w:p w14:paraId="15DD53C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822" w:type="pct"/>
            <w:tcBorders>
              <w:top w:val="nil"/>
              <w:left w:val="nil"/>
              <w:bottom w:val="single" w:color="auto" w:sz="8" w:space="0"/>
              <w:right w:val="single" w:color="auto" w:sz="8" w:space="0"/>
            </w:tcBorders>
            <w:vAlign w:val="center"/>
          </w:tcPr>
          <w:p w14:paraId="5A4E65F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小便器</w:t>
            </w:r>
          </w:p>
        </w:tc>
        <w:tc>
          <w:tcPr>
            <w:tcW w:w="874" w:type="pct"/>
            <w:tcBorders>
              <w:top w:val="nil"/>
              <w:left w:val="nil"/>
              <w:bottom w:val="single" w:color="auto" w:sz="8" w:space="0"/>
              <w:right w:val="single" w:color="auto" w:sz="8" w:space="0"/>
            </w:tcBorders>
            <w:vAlign w:val="center"/>
          </w:tcPr>
          <w:p w14:paraId="5CD4649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auto" w:sz="8" w:space="0"/>
              <w:right w:val="single" w:color="auto" w:sz="8" w:space="0"/>
            </w:tcBorders>
            <w:vAlign w:val="center"/>
          </w:tcPr>
          <w:p w14:paraId="15002E2A">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《小便器用水效率限定值及用水效率等级》（GB28377）</w:t>
            </w:r>
          </w:p>
        </w:tc>
      </w:tr>
      <w:tr w14:paraId="07430F05">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4F5868D6">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16</w:t>
            </w:r>
          </w:p>
        </w:tc>
        <w:tc>
          <w:tcPr>
            <w:tcW w:w="603" w:type="pct"/>
            <w:tcBorders>
              <w:top w:val="nil"/>
              <w:left w:val="nil"/>
              <w:bottom w:val="single" w:color="000000" w:sz="8" w:space="0"/>
              <w:right w:val="single" w:color="000000" w:sz="8" w:space="0"/>
            </w:tcBorders>
            <w:vAlign w:val="center"/>
          </w:tcPr>
          <w:p w14:paraId="6B2C2DE1">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★A060806水嘴</w:t>
            </w:r>
          </w:p>
        </w:tc>
        <w:tc>
          <w:tcPr>
            <w:tcW w:w="822" w:type="pct"/>
            <w:tcBorders>
              <w:top w:val="nil"/>
              <w:left w:val="nil"/>
              <w:bottom w:val="single" w:color="000000" w:sz="8" w:space="0"/>
              <w:right w:val="single" w:color="000000" w:sz="8" w:space="0"/>
            </w:tcBorders>
            <w:vAlign w:val="center"/>
          </w:tcPr>
          <w:p w14:paraId="0F38630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4" w:type="pct"/>
            <w:tcBorders>
              <w:top w:val="nil"/>
              <w:left w:val="nil"/>
              <w:bottom w:val="single" w:color="000000" w:sz="8" w:space="0"/>
              <w:right w:val="single" w:color="000000" w:sz="8" w:space="0"/>
            </w:tcBorders>
            <w:vAlign w:val="center"/>
          </w:tcPr>
          <w:p w14:paraId="056AA57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569A3A94">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《水嘴用水效率限定值及用水效率等级》（GB 25501）</w:t>
            </w:r>
          </w:p>
        </w:tc>
      </w:tr>
      <w:tr w14:paraId="4F4A615F">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5030D218">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17</w:t>
            </w:r>
          </w:p>
        </w:tc>
        <w:tc>
          <w:tcPr>
            <w:tcW w:w="603" w:type="pct"/>
            <w:tcBorders>
              <w:top w:val="nil"/>
              <w:left w:val="nil"/>
              <w:bottom w:val="single" w:color="000000" w:sz="8" w:space="0"/>
              <w:right w:val="single" w:color="000000" w:sz="8" w:space="0"/>
            </w:tcBorders>
            <w:vAlign w:val="center"/>
          </w:tcPr>
          <w:p w14:paraId="7207466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A060807便器冲洗阀</w:t>
            </w:r>
          </w:p>
        </w:tc>
        <w:tc>
          <w:tcPr>
            <w:tcW w:w="822" w:type="pct"/>
            <w:tcBorders>
              <w:top w:val="nil"/>
              <w:left w:val="nil"/>
              <w:bottom w:val="single" w:color="000000" w:sz="8" w:space="0"/>
              <w:right w:val="single" w:color="000000" w:sz="8" w:space="0"/>
            </w:tcBorders>
            <w:vAlign w:val="center"/>
          </w:tcPr>
          <w:p w14:paraId="70AEBF33">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4" w:type="pct"/>
            <w:tcBorders>
              <w:top w:val="nil"/>
              <w:left w:val="nil"/>
              <w:bottom w:val="single" w:color="000000" w:sz="8" w:space="0"/>
              <w:right w:val="single" w:color="000000" w:sz="8" w:space="0"/>
            </w:tcBorders>
            <w:vAlign w:val="center"/>
          </w:tcPr>
          <w:p w14:paraId="3E6AA535">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4E447DD6">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《便器冲洗阀用水效率限定值及用水效率等级》（GB28379）</w:t>
            </w:r>
          </w:p>
        </w:tc>
      </w:tr>
      <w:tr w14:paraId="59EEBE26">
        <w:tblPrEx>
          <w:tblCellMar>
            <w:top w:w="0" w:type="dxa"/>
            <w:left w:w="108" w:type="dxa"/>
            <w:bottom w:w="0" w:type="dxa"/>
            <w:right w:w="108" w:type="dxa"/>
          </w:tblCellMar>
        </w:tblPrEx>
        <w:trPr>
          <w:trHeight w:val="495" w:hRule="atLeast"/>
        </w:trPr>
        <w:tc>
          <w:tcPr>
            <w:tcW w:w="347" w:type="pct"/>
            <w:tcBorders>
              <w:top w:val="nil"/>
              <w:left w:val="single" w:color="000000" w:sz="8" w:space="0"/>
              <w:bottom w:val="single" w:color="000000" w:sz="8" w:space="0"/>
              <w:right w:val="single" w:color="000000" w:sz="8" w:space="0"/>
            </w:tcBorders>
            <w:vAlign w:val="center"/>
          </w:tcPr>
          <w:p w14:paraId="56D37394">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18</w:t>
            </w:r>
          </w:p>
        </w:tc>
        <w:tc>
          <w:tcPr>
            <w:tcW w:w="603" w:type="pct"/>
            <w:tcBorders>
              <w:top w:val="nil"/>
              <w:left w:val="nil"/>
              <w:bottom w:val="single" w:color="000000" w:sz="8" w:space="0"/>
              <w:right w:val="single" w:color="000000" w:sz="8" w:space="0"/>
            </w:tcBorders>
            <w:vAlign w:val="center"/>
          </w:tcPr>
          <w:p w14:paraId="54267A3F">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A060810淋浴器</w:t>
            </w:r>
          </w:p>
        </w:tc>
        <w:tc>
          <w:tcPr>
            <w:tcW w:w="822" w:type="pct"/>
            <w:tcBorders>
              <w:top w:val="nil"/>
              <w:left w:val="nil"/>
              <w:bottom w:val="single" w:color="000000" w:sz="8" w:space="0"/>
              <w:right w:val="single" w:color="000000" w:sz="8" w:space="0"/>
            </w:tcBorders>
            <w:vAlign w:val="center"/>
          </w:tcPr>
          <w:p w14:paraId="0719B52E">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874" w:type="pct"/>
            <w:tcBorders>
              <w:top w:val="nil"/>
              <w:left w:val="nil"/>
              <w:bottom w:val="single" w:color="000000" w:sz="8" w:space="0"/>
              <w:right w:val="single" w:color="000000" w:sz="8" w:space="0"/>
            </w:tcBorders>
            <w:vAlign w:val="center"/>
          </w:tcPr>
          <w:p w14:paraId="33CFAD8A">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51" w:type="pct"/>
            <w:tcBorders>
              <w:top w:val="nil"/>
              <w:left w:val="nil"/>
              <w:bottom w:val="single" w:color="000000" w:sz="8" w:space="0"/>
              <w:right w:val="single" w:color="000000" w:sz="8" w:space="0"/>
            </w:tcBorders>
            <w:vAlign w:val="center"/>
          </w:tcPr>
          <w:p w14:paraId="2E057005">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《淋浴器用水效率限定值及用水效率等级》（GB28378）</w:t>
            </w:r>
          </w:p>
        </w:tc>
      </w:tr>
    </w:tbl>
    <w:p w14:paraId="3B533D54">
      <w:pPr>
        <w:widowControl/>
        <w:ind w:firstLine="400"/>
        <w:rPr>
          <w:rFonts w:ascii="宋体" w:hAnsi="宋体" w:cs="宋体"/>
          <w:color w:val="auto"/>
          <w:sz w:val="20"/>
          <w:szCs w:val="20"/>
          <w:highlight w:val="none"/>
        </w:rPr>
      </w:pPr>
    </w:p>
    <w:p w14:paraId="0AE81B84">
      <w:pPr>
        <w:pStyle w:val="12"/>
        <w:spacing w:line="360" w:lineRule="auto"/>
        <w:ind w:firstLine="414"/>
        <w:rPr>
          <w:rFonts w:ascii="宋体" w:hAnsi="宋体"/>
          <w:color w:val="auto"/>
          <w:szCs w:val="21"/>
          <w:highlight w:val="none"/>
        </w:rPr>
      </w:pPr>
      <w:r>
        <w:rPr>
          <w:rFonts w:hint="eastAsia" w:ascii="宋体" w:hAnsi="宋体"/>
          <w:color w:val="auto"/>
          <w:spacing w:val="-3"/>
          <w:szCs w:val="21"/>
          <w:highlight w:val="none"/>
        </w:rPr>
        <w:t>注：</w:t>
      </w:r>
      <w:r>
        <w:rPr>
          <w:rFonts w:ascii="宋体" w:hAnsi="宋体"/>
          <w:color w:val="auto"/>
          <w:spacing w:val="-3"/>
          <w:szCs w:val="21"/>
          <w:highlight w:val="none"/>
        </w:rPr>
        <w:t>1.</w:t>
      </w:r>
      <w:r>
        <w:rPr>
          <w:rFonts w:hint="eastAsia" w:ascii="宋体" w:hAnsi="宋体"/>
          <w:color w:val="auto"/>
          <w:spacing w:val="-3"/>
          <w:szCs w:val="21"/>
          <w:highlight w:val="none"/>
        </w:rPr>
        <w:t>节能产品认证应依据相关国家标准的最新版本，依据国家标准中二级能效（水效）</w:t>
      </w:r>
      <w:r>
        <w:rPr>
          <w:rFonts w:hint="eastAsia" w:ascii="宋体" w:hAnsi="宋体"/>
          <w:color w:val="auto"/>
          <w:szCs w:val="21"/>
          <w:highlight w:val="none"/>
        </w:rPr>
        <w:t>指标。</w:t>
      </w:r>
    </w:p>
    <w:p w14:paraId="45C9C09E">
      <w:pPr>
        <w:pStyle w:val="12"/>
        <w:spacing w:line="360" w:lineRule="auto"/>
        <w:rPr>
          <w:rFonts w:ascii="宋体" w:hAnsi="宋体"/>
          <w:b/>
          <w:bCs/>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t>2</w:t>
      </w:r>
      <w:r>
        <w:rPr>
          <w:rFonts w:ascii="宋体" w:hAnsi="宋体"/>
          <w:b/>
          <w:bCs/>
          <w:color w:val="auto"/>
          <w:szCs w:val="21"/>
          <w:highlight w:val="none"/>
        </w:rPr>
        <w:t>.</w:t>
      </w:r>
      <w:r>
        <w:rPr>
          <w:rFonts w:hint="eastAsia" w:ascii="宋体" w:hAnsi="宋体"/>
          <w:b/>
          <w:bCs/>
          <w:color w:val="auto"/>
          <w:szCs w:val="21"/>
          <w:highlight w:val="none"/>
        </w:rPr>
        <w:t>以</w:t>
      </w:r>
      <w:r>
        <w:rPr>
          <w:rFonts w:ascii="宋体" w:hAnsi="宋体"/>
          <w:b/>
          <w:bCs/>
          <w:color w:val="auto"/>
          <w:szCs w:val="21"/>
          <w:highlight w:val="none"/>
        </w:rPr>
        <w:t>“</w:t>
      </w:r>
      <w:r>
        <w:rPr>
          <w:rFonts w:hint="eastAsia" w:ascii="宋体" w:hAnsi="宋体"/>
          <w:b/>
          <w:bCs/>
          <w:color w:val="auto"/>
          <w:szCs w:val="21"/>
          <w:highlight w:val="none"/>
        </w:rPr>
        <w:t>★</w:t>
      </w:r>
      <w:r>
        <w:rPr>
          <w:rFonts w:ascii="宋体" w:hAnsi="宋体"/>
          <w:b/>
          <w:bCs/>
          <w:color w:val="auto"/>
          <w:szCs w:val="21"/>
          <w:highlight w:val="none"/>
        </w:rPr>
        <w:t>”</w:t>
      </w:r>
      <w:r>
        <w:rPr>
          <w:rFonts w:hint="eastAsia" w:ascii="宋体" w:hAnsi="宋体"/>
          <w:b/>
          <w:bCs/>
          <w:color w:val="auto"/>
          <w:szCs w:val="21"/>
          <w:highlight w:val="none"/>
        </w:rPr>
        <w:t>标注的为政府强制采购产品。</w:t>
      </w:r>
    </w:p>
    <w:p w14:paraId="5C2FCF10">
      <w:pPr>
        <w:pStyle w:val="15"/>
        <w:jc w:val="left"/>
        <w:rPr>
          <w:rFonts w:hAnsi="宋体" w:cs="Arial Unicode MS"/>
          <w:color w:val="auto"/>
          <w:sz w:val="32"/>
          <w:szCs w:val="32"/>
          <w:highlight w:val="none"/>
        </w:rPr>
      </w:pPr>
      <w:r>
        <w:rPr>
          <w:rFonts w:hint="eastAsia" w:hAnsi="宋体"/>
          <w:color w:val="auto"/>
          <w:highlight w:val="none"/>
        </w:rPr>
        <w:br w:type="page"/>
      </w:r>
      <w:r>
        <w:rPr>
          <w:rFonts w:hint="eastAsia" w:hAnsi="宋体" w:cs="微软雅黑"/>
          <w:color w:val="auto"/>
          <w:sz w:val="32"/>
          <w:szCs w:val="32"/>
          <w:highlight w:val="none"/>
        </w:rPr>
        <w:t>附件</w:t>
      </w:r>
      <w:r>
        <w:rPr>
          <w:rFonts w:hAnsi="宋体" w:cs="Arial Unicode MS"/>
          <w:color w:val="auto"/>
          <w:sz w:val="32"/>
          <w:szCs w:val="32"/>
          <w:highlight w:val="none"/>
        </w:rPr>
        <w:t>2</w:t>
      </w:r>
      <w:r>
        <w:rPr>
          <w:rFonts w:hint="eastAsia" w:hAnsi="宋体" w:cs="微软雅黑"/>
          <w:color w:val="auto"/>
          <w:sz w:val="32"/>
          <w:szCs w:val="32"/>
          <w:highlight w:val="none"/>
        </w:rPr>
        <w:t>：</w:t>
      </w:r>
    </w:p>
    <w:p w14:paraId="46336511">
      <w:pPr>
        <w:spacing w:line="528" w:lineRule="exact"/>
        <w:ind w:left="1871" w:firstLine="800"/>
        <w:rPr>
          <w:rFonts w:ascii="宋体" w:hAnsi="宋体" w:cs="Arial Unicode MS"/>
          <w:color w:val="auto"/>
          <w:sz w:val="40"/>
          <w:szCs w:val="40"/>
          <w:highlight w:val="none"/>
        </w:rPr>
      </w:pPr>
      <w:r>
        <w:rPr>
          <w:rFonts w:hint="eastAsia" w:ascii="宋体" w:hAnsi="宋体" w:cs="微软雅黑"/>
          <w:color w:val="auto"/>
          <w:sz w:val="40"/>
          <w:szCs w:val="40"/>
          <w:highlight w:val="none"/>
        </w:rPr>
        <w:t>中小微企业划型标准</w:t>
      </w:r>
    </w:p>
    <w:tbl>
      <w:tblPr>
        <w:tblStyle w:val="26"/>
        <w:tblW w:w="4998" w:type="pct"/>
        <w:tblInd w:w="0" w:type="dxa"/>
        <w:tblLayout w:type="autofit"/>
        <w:tblCellMar>
          <w:top w:w="0" w:type="dxa"/>
          <w:left w:w="108" w:type="dxa"/>
          <w:bottom w:w="0" w:type="dxa"/>
          <w:right w:w="108" w:type="dxa"/>
        </w:tblCellMar>
      </w:tblPr>
      <w:tblGrid>
        <w:gridCol w:w="2099"/>
        <w:gridCol w:w="1707"/>
        <w:gridCol w:w="1128"/>
        <w:gridCol w:w="1999"/>
        <w:gridCol w:w="1776"/>
        <w:gridCol w:w="1141"/>
      </w:tblGrid>
      <w:tr w14:paraId="6379F86F">
        <w:tblPrEx>
          <w:tblCellMar>
            <w:top w:w="0" w:type="dxa"/>
            <w:left w:w="108" w:type="dxa"/>
            <w:bottom w:w="0" w:type="dxa"/>
            <w:right w:w="108" w:type="dxa"/>
          </w:tblCellMar>
        </w:tblPrEx>
        <w:trPr>
          <w:trHeight w:val="285" w:hRule="atLeast"/>
        </w:trPr>
        <w:tc>
          <w:tcPr>
            <w:tcW w:w="1065" w:type="pct"/>
            <w:tcBorders>
              <w:top w:val="single" w:color="auto" w:sz="4" w:space="0"/>
              <w:left w:val="single" w:color="auto" w:sz="4" w:space="0"/>
              <w:bottom w:val="single" w:color="auto" w:sz="4" w:space="0"/>
              <w:right w:val="single" w:color="auto" w:sz="4" w:space="0"/>
            </w:tcBorders>
            <w:vAlign w:val="center"/>
          </w:tcPr>
          <w:p w14:paraId="391CBF23">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866" w:type="pct"/>
            <w:tcBorders>
              <w:top w:val="single" w:color="auto" w:sz="4" w:space="0"/>
              <w:left w:val="nil"/>
              <w:bottom w:val="single" w:color="auto" w:sz="4" w:space="0"/>
              <w:right w:val="single" w:color="auto" w:sz="4" w:space="0"/>
            </w:tcBorders>
            <w:vAlign w:val="center"/>
          </w:tcPr>
          <w:p w14:paraId="5FD11420">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572" w:type="pct"/>
            <w:tcBorders>
              <w:top w:val="single" w:color="auto" w:sz="4" w:space="0"/>
              <w:left w:val="nil"/>
              <w:bottom w:val="single" w:color="auto" w:sz="4" w:space="0"/>
              <w:right w:val="single" w:color="auto" w:sz="4" w:space="0"/>
            </w:tcBorders>
            <w:vAlign w:val="center"/>
          </w:tcPr>
          <w:p w14:paraId="14AAEA22">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014" w:type="pct"/>
            <w:tcBorders>
              <w:top w:val="single" w:color="auto" w:sz="4" w:space="0"/>
              <w:left w:val="nil"/>
              <w:bottom w:val="single" w:color="auto" w:sz="4" w:space="0"/>
              <w:right w:val="single" w:color="auto" w:sz="4" w:space="0"/>
            </w:tcBorders>
            <w:vAlign w:val="center"/>
          </w:tcPr>
          <w:p w14:paraId="65FEBFDF">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901" w:type="pct"/>
            <w:tcBorders>
              <w:top w:val="single" w:color="auto" w:sz="4" w:space="0"/>
              <w:left w:val="nil"/>
              <w:bottom w:val="single" w:color="auto" w:sz="4" w:space="0"/>
              <w:right w:val="single" w:color="auto" w:sz="4" w:space="0"/>
            </w:tcBorders>
            <w:vAlign w:val="center"/>
          </w:tcPr>
          <w:p w14:paraId="7169C603">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579" w:type="pct"/>
            <w:tcBorders>
              <w:top w:val="single" w:color="auto" w:sz="4" w:space="0"/>
              <w:left w:val="nil"/>
              <w:bottom w:val="single" w:color="auto" w:sz="4" w:space="0"/>
              <w:right w:val="single" w:color="auto" w:sz="4" w:space="0"/>
            </w:tcBorders>
            <w:vAlign w:val="center"/>
          </w:tcPr>
          <w:p w14:paraId="78203A8D">
            <w:pPr>
              <w:keepNext w:val="0"/>
              <w:keepLines w:val="0"/>
              <w:widowControl/>
              <w:suppressLineNumbers w:val="0"/>
              <w:spacing w:before="0" w:beforeAutospacing="0" w:after="0" w:afterAutospacing="0"/>
              <w:ind w:left="0" w:right="0"/>
              <w:jc w:val="left"/>
              <w:rPr>
                <w:rFonts w:hint="default"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1DC736B8">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vAlign w:val="bottom"/>
          </w:tcPr>
          <w:p w14:paraId="58EBBC74">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866" w:type="pct"/>
            <w:tcBorders>
              <w:top w:val="nil"/>
              <w:left w:val="nil"/>
              <w:bottom w:val="single" w:color="auto" w:sz="4" w:space="0"/>
              <w:right w:val="single" w:color="auto" w:sz="4" w:space="0"/>
            </w:tcBorders>
            <w:vAlign w:val="center"/>
          </w:tcPr>
          <w:p w14:paraId="2A75975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142293E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2A5EA12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901" w:type="pct"/>
            <w:tcBorders>
              <w:top w:val="nil"/>
              <w:left w:val="nil"/>
              <w:bottom w:val="single" w:color="auto" w:sz="4" w:space="0"/>
              <w:right w:val="single" w:color="auto" w:sz="4" w:space="0"/>
            </w:tcBorders>
            <w:vAlign w:val="center"/>
          </w:tcPr>
          <w:p w14:paraId="78D6754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579" w:type="pct"/>
            <w:tcBorders>
              <w:top w:val="nil"/>
              <w:left w:val="nil"/>
              <w:bottom w:val="single" w:color="auto" w:sz="4" w:space="0"/>
              <w:right w:val="single" w:color="auto" w:sz="4" w:space="0"/>
            </w:tcBorders>
            <w:vAlign w:val="center"/>
          </w:tcPr>
          <w:p w14:paraId="5421B8F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22F5789">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212C7775">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866" w:type="pct"/>
            <w:tcBorders>
              <w:top w:val="nil"/>
              <w:left w:val="nil"/>
              <w:bottom w:val="single" w:color="auto" w:sz="4" w:space="0"/>
              <w:right w:val="single" w:color="auto" w:sz="4" w:space="0"/>
            </w:tcBorders>
            <w:vAlign w:val="center"/>
          </w:tcPr>
          <w:p w14:paraId="5699B7F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46765B7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12AF820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901" w:type="pct"/>
            <w:tcBorders>
              <w:top w:val="nil"/>
              <w:left w:val="nil"/>
              <w:bottom w:val="single" w:color="auto" w:sz="4" w:space="0"/>
              <w:right w:val="single" w:color="auto" w:sz="4" w:space="0"/>
            </w:tcBorders>
            <w:vAlign w:val="center"/>
          </w:tcPr>
          <w:p w14:paraId="3F6221F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579" w:type="pct"/>
            <w:tcBorders>
              <w:top w:val="nil"/>
              <w:left w:val="nil"/>
              <w:bottom w:val="single" w:color="auto" w:sz="4" w:space="0"/>
              <w:right w:val="single" w:color="auto" w:sz="4" w:space="0"/>
            </w:tcBorders>
            <w:vAlign w:val="center"/>
          </w:tcPr>
          <w:p w14:paraId="245BAA6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937BDC4">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367AC260">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7BE40DE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18A18D1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2BEAB83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901" w:type="pct"/>
            <w:tcBorders>
              <w:top w:val="nil"/>
              <w:left w:val="nil"/>
              <w:bottom w:val="single" w:color="auto" w:sz="4" w:space="0"/>
              <w:right w:val="single" w:color="auto" w:sz="4" w:space="0"/>
            </w:tcBorders>
            <w:vAlign w:val="center"/>
          </w:tcPr>
          <w:p w14:paraId="2EE5428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579" w:type="pct"/>
            <w:tcBorders>
              <w:top w:val="nil"/>
              <w:left w:val="nil"/>
              <w:bottom w:val="single" w:color="auto" w:sz="4" w:space="0"/>
              <w:right w:val="single" w:color="auto" w:sz="4" w:space="0"/>
            </w:tcBorders>
            <w:vAlign w:val="center"/>
          </w:tcPr>
          <w:p w14:paraId="0BEC2FF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B3859CE">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63B661B3">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866" w:type="pct"/>
            <w:tcBorders>
              <w:top w:val="nil"/>
              <w:left w:val="nil"/>
              <w:bottom w:val="single" w:color="auto" w:sz="4" w:space="0"/>
              <w:right w:val="single" w:color="auto" w:sz="4" w:space="0"/>
            </w:tcBorders>
            <w:vAlign w:val="center"/>
          </w:tcPr>
          <w:p w14:paraId="6C8D0F4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723DA93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17CB610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901" w:type="pct"/>
            <w:tcBorders>
              <w:top w:val="nil"/>
              <w:left w:val="nil"/>
              <w:bottom w:val="single" w:color="auto" w:sz="4" w:space="0"/>
              <w:right w:val="single" w:color="auto" w:sz="4" w:space="0"/>
            </w:tcBorders>
            <w:vAlign w:val="center"/>
          </w:tcPr>
          <w:p w14:paraId="7FEB8D9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579" w:type="pct"/>
            <w:tcBorders>
              <w:top w:val="nil"/>
              <w:left w:val="nil"/>
              <w:bottom w:val="single" w:color="auto" w:sz="4" w:space="0"/>
              <w:right w:val="single" w:color="auto" w:sz="4" w:space="0"/>
            </w:tcBorders>
            <w:vAlign w:val="center"/>
          </w:tcPr>
          <w:p w14:paraId="62506EE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12DE7043">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60AB28FC">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33545F9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572" w:type="pct"/>
            <w:tcBorders>
              <w:top w:val="nil"/>
              <w:left w:val="nil"/>
              <w:bottom w:val="single" w:color="auto" w:sz="4" w:space="0"/>
              <w:right w:val="single" w:color="auto" w:sz="4" w:space="0"/>
            </w:tcBorders>
            <w:vAlign w:val="center"/>
          </w:tcPr>
          <w:p w14:paraId="3333682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0B89ED5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901" w:type="pct"/>
            <w:tcBorders>
              <w:top w:val="nil"/>
              <w:left w:val="nil"/>
              <w:bottom w:val="single" w:color="auto" w:sz="4" w:space="0"/>
              <w:right w:val="single" w:color="auto" w:sz="4" w:space="0"/>
            </w:tcBorders>
            <w:vAlign w:val="center"/>
          </w:tcPr>
          <w:p w14:paraId="65CC530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579" w:type="pct"/>
            <w:tcBorders>
              <w:top w:val="nil"/>
              <w:left w:val="nil"/>
              <w:bottom w:val="single" w:color="auto" w:sz="4" w:space="0"/>
              <w:right w:val="single" w:color="auto" w:sz="4" w:space="0"/>
            </w:tcBorders>
            <w:vAlign w:val="center"/>
          </w:tcPr>
          <w:p w14:paraId="747B644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25102B1">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1249C11A">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866" w:type="pct"/>
            <w:tcBorders>
              <w:top w:val="nil"/>
              <w:left w:val="nil"/>
              <w:bottom w:val="single" w:color="auto" w:sz="4" w:space="0"/>
              <w:right w:val="single" w:color="auto" w:sz="4" w:space="0"/>
            </w:tcBorders>
            <w:vAlign w:val="center"/>
          </w:tcPr>
          <w:p w14:paraId="5C58154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3A12D79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1425C9D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901" w:type="pct"/>
            <w:tcBorders>
              <w:top w:val="nil"/>
              <w:left w:val="nil"/>
              <w:bottom w:val="single" w:color="auto" w:sz="4" w:space="0"/>
              <w:right w:val="single" w:color="auto" w:sz="4" w:space="0"/>
            </w:tcBorders>
            <w:vAlign w:val="center"/>
          </w:tcPr>
          <w:p w14:paraId="1DA4FF8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579" w:type="pct"/>
            <w:tcBorders>
              <w:top w:val="nil"/>
              <w:left w:val="nil"/>
              <w:bottom w:val="single" w:color="auto" w:sz="4" w:space="0"/>
              <w:right w:val="single" w:color="auto" w:sz="4" w:space="0"/>
            </w:tcBorders>
            <w:vAlign w:val="center"/>
          </w:tcPr>
          <w:p w14:paraId="568C05C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1B8FAD53">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1644DA9F">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797F0B5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3ECBAAA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7B69266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901" w:type="pct"/>
            <w:tcBorders>
              <w:top w:val="nil"/>
              <w:left w:val="nil"/>
              <w:bottom w:val="single" w:color="auto" w:sz="4" w:space="0"/>
              <w:right w:val="single" w:color="auto" w:sz="4" w:space="0"/>
            </w:tcBorders>
            <w:vAlign w:val="center"/>
          </w:tcPr>
          <w:p w14:paraId="557D112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579" w:type="pct"/>
            <w:tcBorders>
              <w:top w:val="nil"/>
              <w:left w:val="nil"/>
              <w:bottom w:val="single" w:color="auto" w:sz="4" w:space="0"/>
              <w:right w:val="single" w:color="auto" w:sz="4" w:space="0"/>
            </w:tcBorders>
            <w:vAlign w:val="center"/>
          </w:tcPr>
          <w:p w14:paraId="650D7DE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7AA06557">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2FEE5099">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866" w:type="pct"/>
            <w:tcBorders>
              <w:top w:val="nil"/>
              <w:left w:val="nil"/>
              <w:bottom w:val="single" w:color="auto" w:sz="4" w:space="0"/>
              <w:right w:val="single" w:color="auto" w:sz="4" w:space="0"/>
            </w:tcBorders>
            <w:vAlign w:val="center"/>
          </w:tcPr>
          <w:p w14:paraId="37943507">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63F2F18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0D5093F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901" w:type="pct"/>
            <w:tcBorders>
              <w:top w:val="nil"/>
              <w:left w:val="nil"/>
              <w:bottom w:val="single" w:color="auto" w:sz="4" w:space="0"/>
              <w:right w:val="single" w:color="auto" w:sz="4" w:space="0"/>
            </w:tcBorders>
            <w:vAlign w:val="center"/>
          </w:tcPr>
          <w:p w14:paraId="58C998C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579" w:type="pct"/>
            <w:tcBorders>
              <w:top w:val="nil"/>
              <w:left w:val="nil"/>
              <w:bottom w:val="single" w:color="auto" w:sz="4" w:space="0"/>
              <w:right w:val="single" w:color="auto" w:sz="4" w:space="0"/>
            </w:tcBorders>
            <w:vAlign w:val="center"/>
          </w:tcPr>
          <w:p w14:paraId="7FAF75E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EE18780">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0B6758AC">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5A90CF8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2883752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7DC14A7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901" w:type="pct"/>
            <w:tcBorders>
              <w:top w:val="nil"/>
              <w:left w:val="nil"/>
              <w:bottom w:val="single" w:color="auto" w:sz="4" w:space="0"/>
              <w:right w:val="single" w:color="auto" w:sz="4" w:space="0"/>
            </w:tcBorders>
            <w:vAlign w:val="center"/>
          </w:tcPr>
          <w:p w14:paraId="7FA51D9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579" w:type="pct"/>
            <w:tcBorders>
              <w:top w:val="nil"/>
              <w:left w:val="nil"/>
              <w:bottom w:val="single" w:color="auto" w:sz="4" w:space="0"/>
              <w:right w:val="single" w:color="auto" w:sz="4" w:space="0"/>
            </w:tcBorders>
            <w:vAlign w:val="center"/>
          </w:tcPr>
          <w:p w14:paraId="0D47038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A38E9A6">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3D30B622">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866" w:type="pct"/>
            <w:tcBorders>
              <w:top w:val="nil"/>
              <w:left w:val="nil"/>
              <w:bottom w:val="single" w:color="auto" w:sz="4" w:space="0"/>
              <w:right w:val="single" w:color="auto" w:sz="4" w:space="0"/>
            </w:tcBorders>
            <w:vAlign w:val="center"/>
          </w:tcPr>
          <w:p w14:paraId="58EC677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24E30EB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312362B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901" w:type="pct"/>
            <w:tcBorders>
              <w:top w:val="nil"/>
              <w:left w:val="nil"/>
              <w:bottom w:val="single" w:color="auto" w:sz="4" w:space="0"/>
              <w:right w:val="single" w:color="auto" w:sz="4" w:space="0"/>
            </w:tcBorders>
            <w:vAlign w:val="center"/>
          </w:tcPr>
          <w:p w14:paraId="0C316D5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579" w:type="pct"/>
            <w:tcBorders>
              <w:top w:val="nil"/>
              <w:left w:val="nil"/>
              <w:bottom w:val="single" w:color="auto" w:sz="4" w:space="0"/>
              <w:right w:val="single" w:color="auto" w:sz="4" w:space="0"/>
            </w:tcBorders>
            <w:vAlign w:val="center"/>
          </w:tcPr>
          <w:p w14:paraId="39AA2C8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724A4C0">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2916CC12">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4679063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6B152A8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2A9B6E3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901" w:type="pct"/>
            <w:tcBorders>
              <w:top w:val="nil"/>
              <w:left w:val="nil"/>
              <w:bottom w:val="single" w:color="auto" w:sz="4" w:space="0"/>
              <w:right w:val="single" w:color="auto" w:sz="4" w:space="0"/>
            </w:tcBorders>
            <w:vAlign w:val="center"/>
          </w:tcPr>
          <w:p w14:paraId="0AA942C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579" w:type="pct"/>
            <w:tcBorders>
              <w:top w:val="nil"/>
              <w:left w:val="nil"/>
              <w:bottom w:val="single" w:color="auto" w:sz="4" w:space="0"/>
              <w:right w:val="single" w:color="auto" w:sz="4" w:space="0"/>
            </w:tcBorders>
            <w:vAlign w:val="center"/>
          </w:tcPr>
          <w:p w14:paraId="230B1F9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F5FFBB8">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46315BAB">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866" w:type="pct"/>
            <w:tcBorders>
              <w:top w:val="nil"/>
              <w:left w:val="nil"/>
              <w:bottom w:val="single" w:color="auto" w:sz="4" w:space="0"/>
              <w:right w:val="single" w:color="auto" w:sz="4" w:space="0"/>
            </w:tcBorders>
            <w:vAlign w:val="center"/>
          </w:tcPr>
          <w:p w14:paraId="4AB6AAE7">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2C3EADC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2A9935B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901" w:type="pct"/>
            <w:tcBorders>
              <w:top w:val="nil"/>
              <w:left w:val="nil"/>
              <w:bottom w:val="single" w:color="auto" w:sz="4" w:space="0"/>
              <w:right w:val="single" w:color="auto" w:sz="4" w:space="0"/>
            </w:tcBorders>
            <w:vAlign w:val="center"/>
          </w:tcPr>
          <w:p w14:paraId="1E8FE41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579" w:type="pct"/>
            <w:tcBorders>
              <w:top w:val="nil"/>
              <w:left w:val="nil"/>
              <w:bottom w:val="single" w:color="auto" w:sz="4" w:space="0"/>
              <w:right w:val="single" w:color="auto" w:sz="4" w:space="0"/>
            </w:tcBorders>
            <w:vAlign w:val="center"/>
          </w:tcPr>
          <w:p w14:paraId="00B11C8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D6D2869">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7A1DF637">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7734C67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0714280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7FAB830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901" w:type="pct"/>
            <w:tcBorders>
              <w:top w:val="nil"/>
              <w:left w:val="nil"/>
              <w:bottom w:val="single" w:color="auto" w:sz="4" w:space="0"/>
              <w:right w:val="single" w:color="auto" w:sz="4" w:space="0"/>
            </w:tcBorders>
            <w:vAlign w:val="center"/>
          </w:tcPr>
          <w:p w14:paraId="3C127E3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579" w:type="pct"/>
            <w:tcBorders>
              <w:top w:val="nil"/>
              <w:left w:val="nil"/>
              <w:bottom w:val="single" w:color="auto" w:sz="4" w:space="0"/>
              <w:right w:val="single" w:color="auto" w:sz="4" w:space="0"/>
            </w:tcBorders>
            <w:vAlign w:val="center"/>
          </w:tcPr>
          <w:p w14:paraId="600343C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153175E">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051CBDD0">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866" w:type="pct"/>
            <w:tcBorders>
              <w:top w:val="nil"/>
              <w:left w:val="nil"/>
              <w:bottom w:val="single" w:color="auto" w:sz="4" w:space="0"/>
              <w:right w:val="single" w:color="auto" w:sz="4" w:space="0"/>
            </w:tcBorders>
            <w:vAlign w:val="center"/>
          </w:tcPr>
          <w:p w14:paraId="2077CFD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127F92F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19C6C1A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901" w:type="pct"/>
            <w:tcBorders>
              <w:top w:val="nil"/>
              <w:left w:val="nil"/>
              <w:bottom w:val="single" w:color="auto" w:sz="4" w:space="0"/>
              <w:right w:val="single" w:color="auto" w:sz="4" w:space="0"/>
            </w:tcBorders>
            <w:vAlign w:val="center"/>
          </w:tcPr>
          <w:p w14:paraId="4F5A904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579" w:type="pct"/>
            <w:tcBorders>
              <w:top w:val="nil"/>
              <w:left w:val="nil"/>
              <w:bottom w:val="single" w:color="auto" w:sz="4" w:space="0"/>
              <w:right w:val="single" w:color="auto" w:sz="4" w:space="0"/>
            </w:tcBorders>
            <w:vAlign w:val="center"/>
          </w:tcPr>
          <w:p w14:paraId="0ECE3DB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B779E7A">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3559FF05">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59A11C9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78ACBA1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00124C4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901" w:type="pct"/>
            <w:tcBorders>
              <w:top w:val="nil"/>
              <w:left w:val="nil"/>
              <w:bottom w:val="single" w:color="auto" w:sz="4" w:space="0"/>
              <w:right w:val="single" w:color="auto" w:sz="4" w:space="0"/>
            </w:tcBorders>
            <w:vAlign w:val="center"/>
          </w:tcPr>
          <w:p w14:paraId="056EAC2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579" w:type="pct"/>
            <w:tcBorders>
              <w:top w:val="nil"/>
              <w:left w:val="nil"/>
              <w:bottom w:val="single" w:color="auto" w:sz="4" w:space="0"/>
              <w:right w:val="single" w:color="auto" w:sz="4" w:space="0"/>
            </w:tcBorders>
            <w:vAlign w:val="center"/>
          </w:tcPr>
          <w:p w14:paraId="0415355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91B501">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4C2A229D">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866" w:type="pct"/>
            <w:tcBorders>
              <w:top w:val="nil"/>
              <w:left w:val="nil"/>
              <w:bottom w:val="single" w:color="auto" w:sz="4" w:space="0"/>
              <w:right w:val="single" w:color="auto" w:sz="4" w:space="0"/>
            </w:tcBorders>
            <w:vAlign w:val="center"/>
          </w:tcPr>
          <w:p w14:paraId="766A061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09C4725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71298C9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2298A81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2C2F966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D99A159">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4B310BE1">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30F7316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0B72FCA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088C8CC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901" w:type="pct"/>
            <w:tcBorders>
              <w:top w:val="nil"/>
              <w:left w:val="nil"/>
              <w:bottom w:val="single" w:color="auto" w:sz="4" w:space="0"/>
              <w:right w:val="single" w:color="auto" w:sz="4" w:space="0"/>
            </w:tcBorders>
            <w:vAlign w:val="center"/>
          </w:tcPr>
          <w:p w14:paraId="0463449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579" w:type="pct"/>
            <w:tcBorders>
              <w:top w:val="nil"/>
              <w:left w:val="nil"/>
              <w:bottom w:val="single" w:color="auto" w:sz="4" w:space="0"/>
              <w:right w:val="single" w:color="auto" w:sz="4" w:space="0"/>
            </w:tcBorders>
            <w:vAlign w:val="center"/>
          </w:tcPr>
          <w:p w14:paraId="1E4137D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867D766">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38AC5A53">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866" w:type="pct"/>
            <w:tcBorders>
              <w:top w:val="nil"/>
              <w:left w:val="nil"/>
              <w:bottom w:val="single" w:color="auto" w:sz="4" w:space="0"/>
              <w:right w:val="single" w:color="auto" w:sz="4" w:space="0"/>
            </w:tcBorders>
            <w:vAlign w:val="center"/>
          </w:tcPr>
          <w:p w14:paraId="75DBE18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5DFB514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3128B8D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7170AE4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57D9E2C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D2496B">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4C42B6C3">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426EA6D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6394E66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0FB5F65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901" w:type="pct"/>
            <w:tcBorders>
              <w:top w:val="nil"/>
              <w:left w:val="nil"/>
              <w:bottom w:val="single" w:color="auto" w:sz="4" w:space="0"/>
              <w:right w:val="single" w:color="auto" w:sz="4" w:space="0"/>
            </w:tcBorders>
            <w:vAlign w:val="center"/>
          </w:tcPr>
          <w:p w14:paraId="5A66C0D0">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579" w:type="pct"/>
            <w:tcBorders>
              <w:top w:val="nil"/>
              <w:left w:val="nil"/>
              <w:bottom w:val="single" w:color="auto" w:sz="4" w:space="0"/>
              <w:right w:val="single" w:color="auto" w:sz="4" w:space="0"/>
            </w:tcBorders>
            <w:vAlign w:val="center"/>
          </w:tcPr>
          <w:p w14:paraId="78B823C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FEFC726">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758C8C61">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866" w:type="pct"/>
            <w:tcBorders>
              <w:top w:val="nil"/>
              <w:left w:val="nil"/>
              <w:bottom w:val="single" w:color="auto" w:sz="4" w:space="0"/>
              <w:right w:val="single" w:color="auto" w:sz="4" w:space="0"/>
            </w:tcBorders>
            <w:vAlign w:val="center"/>
          </w:tcPr>
          <w:p w14:paraId="5CB476D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454075F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525E641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901" w:type="pct"/>
            <w:tcBorders>
              <w:top w:val="nil"/>
              <w:left w:val="nil"/>
              <w:bottom w:val="single" w:color="auto" w:sz="4" w:space="0"/>
              <w:right w:val="single" w:color="auto" w:sz="4" w:space="0"/>
            </w:tcBorders>
            <w:vAlign w:val="center"/>
          </w:tcPr>
          <w:p w14:paraId="72FA602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551BF93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9A23B68">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3C8349E1">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7A8F790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014CFC9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2C11562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901" w:type="pct"/>
            <w:tcBorders>
              <w:top w:val="nil"/>
              <w:left w:val="nil"/>
              <w:bottom w:val="single" w:color="auto" w:sz="4" w:space="0"/>
              <w:right w:val="single" w:color="auto" w:sz="4" w:space="0"/>
            </w:tcBorders>
            <w:vAlign w:val="center"/>
          </w:tcPr>
          <w:p w14:paraId="3B21548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579" w:type="pct"/>
            <w:tcBorders>
              <w:top w:val="nil"/>
              <w:left w:val="nil"/>
              <w:bottom w:val="single" w:color="auto" w:sz="4" w:space="0"/>
              <w:right w:val="single" w:color="auto" w:sz="4" w:space="0"/>
            </w:tcBorders>
            <w:vAlign w:val="center"/>
          </w:tcPr>
          <w:p w14:paraId="493F31A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10D1EE7">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2ABAFAAF">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866" w:type="pct"/>
            <w:tcBorders>
              <w:top w:val="nil"/>
              <w:left w:val="nil"/>
              <w:bottom w:val="single" w:color="auto" w:sz="4" w:space="0"/>
              <w:right w:val="single" w:color="auto" w:sz="4" w:space="0"/>
            </w:tcBorders>
            <w:vAlign w:val="center"/>
          </w:tcPr>
          <w:p w14:paraId="2751781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3EC4F6E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73A430D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5A08B588">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29593BC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930A165">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1904E3F8">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22CA4E1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36A007C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196F4CE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901" w:type="pct"/>
            <w:tcBorders>
              <w:top w:val="nil"/>
              <w:left w:val="nil"/>
              <w:bottom w:val="single" w:color="auto" w:sz="4" w:space="0"/>
              <w:right w:val="single" w:color="auto" w:sz="4" w:space="0"/>
            </w:tcBorders>
            <w:vAlign w:val="center"/>
          </w:tcPr>
          <w:p w14:paraId="0EEBF3B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579" w:type="pct"/>
            <w:tcBorders>
              <w:top w:val="nil"/>
              <w:left w:val="nil"/>
              <w:bottom w:val="single" w:color="auto" w:sz="4" w:space="0"/>
              <w:right w:val="single" w:color="auto" w:sz="4" w:space="0"/>
            </w:tcBorders>
            <w:vAlign w:val="center"/>
          </w:tcPr>
          <w:p w14:paraId="50B3E8A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8552DCE">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18B25A73">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866" w:type="pct"/>
            <w:tcBorders>
              <w:top w:val="nil"/>
              <w:left w:val="nil"/>
              <w:bottom w:val="single" w:color="auto" w:sz="4" w:space="0"/>
              <w:right w:val="single" w:color="auto" w:sz="4" w:space="0"/>
            </w:tcBorders>
            <w:vAlign w:val="center"/>
          </w:tcPr>
          <w:p w14:paraId="4A9C3CA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78C7DE1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5446899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901" w:type="pct"/>
            <w:tcBorders>
              <w:top w:val="nil"/>
              <w:left w:val="nil"/>
              <w:bottom w:val="single" w:color="auto" w:sz="4" w:space="0"/>
              <w:right w:val="single" w:color="auto" w:sz="4" w:space="0"/>
            </w:tcBorders>
            <w:vAlign w:val="center"/>
          </w:tcPr>
          <w:p w14:paraId="2FD17D0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579" w:type="pct"/>
            <w:tcBorders>
              <w:top w:val="nil"/>
              <w:left w:val="nil"/>
              <w:bottom w:val="single" w:color="auto" w:sz="4" w:space="0"/>
              <w:right w:val="single" w:color="auto" w:sz="4" w:space="0"/>
            </w:tcBorders>
            <w:vAlign w:val="center"/>
          </w:tcPr>
          <w:p w14:paraId="7EA1B39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CEB2A9E">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7A76C5F4">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0CA0B6A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572" w:type="pct"/>
            <w:tcBorders>
              <w:top w:val="nil"/>
              <w:left w:val="nil"/>
              <w:bottom w:val="single" w:color="auto" w:sz="4" w:space="0"/>
              <w:right w:val="single" w:color="auto" w:sz="4" w:space="0"/>
            </w:tcBorders>
            <w:vAlign w:val="center"/>
          </w:tcPr>
          <w:p w14:paraId="42F22C2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655CF501">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901" w:type="pct"/>
            <w:tcBorders>
              <w:top w:val="nil"/>
              <w:left w:val="nil"/>
              <w:bottom w:val="single" w:color="auto" w:sz="4" w:space="0"/>
              <w:right w:val="single" w:color="auto" w:sz="4" w:space="0"/>
            </w:tcBorders>
            <w:vAlign w:val="center"/>
          </w:tcPr>
          <w:p w14:paraId="5BA94EAA">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579" w:type="pct"/>
            <w:tcBorders>
              <w:top w:val="nil"/>
              <w:left w:val="nil"/>
              <w:bottom w:val="single" w:color="auto" w:sz="4" w:space="0"/>
              <w:right w:val="single" w:color="auto" w:sz="4" w:space="0"/>
            </w:tcBorders>
            <w:vAlign w:val="center"/>
          </w:tcPr>
          <w:p w14:paraId="2171613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0569DF2">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0D60A0AE">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866" w:type="pct"/>
            <w:tcBorders>
              <w:top w:val="nil"/>
              <w:left w:val="nil"/>
              <w:bottom w:val="single" w:color="auto" w:sz="4" w:space="0"/>
              <w:right w:val="single" w:color="auto" w:sz="4" w:space="0"/>
            </w:tcBorders>
            <w:vAlign w:val="center"/>
          </w:tcPr>
          <w:p w14:paraId="0440DCC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1AABD0D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4D70B8AF">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901" w:type="pct"/>
            <w:tcBorders>
              <w:top w:val="nil"/>
              <w:left w:val="nil"/>
              <w:bottom w:val="single" w:color="auto" w:sz="4" w:space="0"/>
              <w:right w:val="single" w:color="auto" w:sz="4" w:space="0"/>
            </w:tcBorders>
            <w:vAlign w:val="center"/>
          </w:tcPr>
          <w:p w14:paraId="418BEE2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579" w:type="pct"/>
            <w:tcBorders>
              <w:top w:val="nil"/>
              <w:left w:val="nil"/>
              <w:bottom w:val="single" w:color="auto" w:sz="4" w:space="0"/>
              <w:right w:val="single" w:color="auto" w:sz="4" w:space="0"/>
            </w:tcBorders>
            <w:vAlign w:val="center"/>
          </w:tcPr>
          <w:p w14:paraId="1A58933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283B5B8B">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28D13593">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6BD7256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572" w:type="pct"/>
            <w:tcBorders>
              <w:top w:val="nil"/>
              <w:left w:val="nil"/>
              <w:bottom w:val="single" w:color="auto" w:sz="4" w:space="0"/>
              <w:right w:val="single" w:color="auto" w:sz="4" w:space="0"/>
            </w:tcBorders>
            <w:vAlign w:val="center"/>
          </w:tcPr>
          <w:p w14:paraId="7AE40B4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4B5A1EA4">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01" w:type="pct"/>
            <w:tcBorders>
              <w:top w:val="nil"/>
              <w:left w:val="nil"/>
              <w:bottom w:val="single" w:color="auto" w:sz="4" w:space="0"/>
              <w:right w:val="single" w:color="auto" w:sz="4" w:space="0"/>
            </w:tcBorders>
            <w:vAlign w:val="center"/>
          </w:tcPr>
          <w:p w14:paraId="4331A9A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579" w:type="pct"/>
            <w:tcBorders>
              <w:top w:val="nil"/>
              <w:left w:val="nil"/>
              <w:bottom w:val="single" w:color="auto" w:sz="4" w:space="0"/>
              <w:right w:val="single" w:color="auto" w:sz="4" w:space="0"/>
            </w:tcBorders>
            <w:vAlign w:val="center"/>
          </w:tcPr>
          <w:p w14:paraId="42134916">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741A8DD">
        <w:tblPrEx>
          <w:tblCellMar>
            <w:top w:w="0" w:type="dxa"/>
            <w:left w:w="108" w:type="dxa"/>
            <w:bottom w:w="0" w:type="dxa"/>
            <w:right w:w="108" w:type="dxa"/>
          </w:tblCellMar>
        </w:tblPrEx>
        <w:trPr>
          <w:trHeight w:val="225" w:hRule="atLeast"/>
        </w:trPr>
        <w:tc>
          <w:tcPr>
            <w:tcW w:w="1065" w:type="pct"/>
            <w:vMerge w:val="restart"/>
            <w:tcBorders>
              <w:top w:val="nil"/>
              <w:left w:val="single" w:color="auto" w:sz="4" w:space="0"/>
              <w:bottom w:val="single" w:color="auto" w:sz="4" w:space="0"/>
              <w:right w:val="single" w:color="auto" w:sz="4" w:space="0"/>
            </w:tcBorders>
            <w:vAlign w:val="bottom"/>
          </w:tcPr>
          <w:p w14:paraId="26262639">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866" w:type="pct"/>
            <w:tcBorders>
              <w:top w:val="nil"/>
              <w:left w:val="nil"/>
              <w:bottom w:val="single" w:color="auto" w:sz="4" w:space="0"/>
              <w:right w:val="single" w:color="auto" w:sz="4" w:space="0"/>
            </w:tcBorders>
            <w:vAlign w:val="center"/>
          </w:tcPr>
          <w:p w14:paraId="73F0BC3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45004D3D">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0E23688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10A985B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157966CB">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2A6D353">
        <w:tblPrEx>
          <w:tblCellMar>
            <w:top w:w="0" w:type="dxa"/>
            <w:left w:w="108" w:type="dxa"/>
            <w:bottom w:w="0" w:type="dxa"/>
            <w:right w:w="108" w:type="dxa"/>
          </w:tblCellMar>
        </w:tblPrEx>
        <w:trPr>
          <w:trHeight w:val="225" w:hRule="atLeast"/>
        </w:trPr>
        <w:tc>
          <w:tcPr>
            <w:tcW w:w="1065" w:type="pct"/>
            <w:vMerge w:val="continue"/>
            <w:tcBorders>
              <w:top w:val="nil"/>
              <w:left w:val="single" w:color="auto" w:sz="4" w:space="0"/>
              <w:bottom w:val="single" w:color="auto" w:sz="4" w:space="0"/>
              <w:right w:val="single" w:color="auto" w:sz="4" w:space="0"/>
            </w:tcBorders>
            <w:vAlign w:val="center"/>
          </w:tcPr>
          <w:p w14:paraId="5C7F8FBE">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highlight w:val="none"/>
              </w:rPr>
            </w:pPr>
          </w:p>
        </w:tc>
        <w:tc>
          <w:tcPr>
            <w:tcW w:w="866" w:type="pct"/>
            <w:tcBorders>
              <w:top w:val="nil"/>
              <w:left w:val="nil"/>
              <w:bottom w:val="single" w:color="auto" w:sz="4" w:space="0"/>
              <w:right w:val="single" w:color="auto" w:sz="4" w:space="0"/>
            </w:tcBorders>
            <w:vAlign w:val="center"/>
          </w:tcPr>
          <w:p w14:paraId="6BA1088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572" w:type="pct"/>
            <w:tcBorders>
              <w:top w:val="nil"/>
              <w:left w:val="nil"/>
              <w:bottom w:val="single" w:color="auto" w:sz="4" w:space="0"/>
              <w:right w:val="single" w:color="auto" w:sz="4" w:space="0"/>
            </w:tcBorders>
            <w:vAlign w:val="center"/>
          </w:tcPr>
          <w:p w14:paraId="3385A6E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014" w:type="pct"/>
            <w:tcBorders>
              <w:top w:val="nil"/>
              <w:left w:val="nil"/>
              <w:bottom w:val="single" w:color="auto" w:sz="4" w:space="0"/>
              <w:right w:val="single" w:color="auto" w:sz="4" w:space="0"/>
            </w:tcBorders>
            <w:vAlign w:val="center"/>
          </w:tcPr>
          <w:p w14:paraId="75668A8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901" w:type="pct"/>
            <w:tcBorders>
              <w:top w:val="nil"/>
              <w:left w:val="nil"/>
              <w:bottom w:val="single" w:color="auto" w:sz="4" w:space="0"/>
              <w:right w:val="single" w:color="auto" w:sz="4" w:space="0"/>
            </w:tcBorders>
            <w:vAlign w:val="center"/>
          </w:tcPr>
          <w:p w14:paraId="07A3CCE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579" w:type="pct"/>
            <w:tcBorders>
              <w:top w:val="nil"/>
              <w:left w:val="nil"/>
              <w:bottom w:val="single" w:color="auto" w:sz="4" w:space="0"/>
              <w:right w:val="single" w:color="auto" w:sz="4" w:space="0"/>
            </w:tcBorders>
            <w:vAlign w:val="center"/>
          </w:tcPr>
          <w:p w14:paraId="247019CC">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544F6AA">
        <w:tblPrEx>
          <w:tblCellMar>
            <w:top w:w="0" w:type="dxa"/>
            <w:left w:w="108" w:type="dxa"/>
            <w:bottom w:w="0" w:type="dxa"/>
            <w:right w:w="108" w:type="dxa"/>
          </w:tblCellMar>
        </w:tblPrEx>
        <w:trPr>
          <w:trHeight w:val="225" w:hRule="atLeast"/>
        </w:trPr>
        <w:tc>
          <w:tcPr>
            <w:tcW w:w="1065" w:type="pct"/>
            <w:tcBorders>
              <w:top w:val="nil"/>
              <w:left w:val="single" w:color="auto" w:sz="4" w:space="0"/>
              <w:bottom w:val="single" w:color="auto" w:sz="4" w:space="0"/>
              <w:right w:val="single" w:color="auto" w:sz="4" w:space="0"/>
            </w:tcBorders>
            <w:vAlign w:val="bottom"/>
          </w:tcPr>
          <w:p w14:paraId="69F7C5E4">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866" w:type="pct"/>
            <w:tcBorders>
              <w:top w:val="nil"/>
              <w:left w:val="nil"/>
              <w:bottom w:val="single" w:color="auto" w:sz="4" w:space="0"/>
              <w:right w:val="single" w:color="auto" w:sz="4" w:space="0"/>
            </w:tcBorders>
            <w:vAlign w:val="center"/>
          </w:tcPr>
          <w:p w14:paraId="2B09B679">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572" w:type="pct"/>
            <w:tcBorders>
              <w:top w:val="nil"/>
              <w:left w:val="nil"/>
              <w:bottom w:val="single" w:color="auto" w:sz="4" w:space="0"/>
              <w:right w:val="single" w:color="auto" w:sz="4" w:space="0"/>
            </w:tcBorders>
            <w:vAlign w:val="center"/>
          </w:tcPr>
          <w:p w14:paraId="58565CF3">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014" w:type="pct"/>
            <w:tcBorders>
              <w:top w:val="nil"/>
              <w:left w:val="nil"/>
              <w:bottom w:val="single" w:color="auto" w:sz="4" w:space="0"/>
              <w:right w:val="single" w:color="auto" w:sz="4" w:space="0"/>
            </w:tcBorders>
            <w:vAlign w:val="center"/>
          </w:tcPr>
          <w:p w14:paraId="7AAAECBE">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01" w:type="pct"/>
            <w:tcBorders>
              <w:top w:val="nil"/>
              <w:left w:val="nil"/>
              <w:bottom w:val="single" w:color="auto" w:sz="4" w:space="0"/>
              <w:right w:val="single" w:color="auto" w:sz="4" w:space="0"/>
            </w:tcBorders>
            <w:vAlign w:val="center"/>
          </w:tcPr>
          <w:p w14:paraId="41F95635">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579" w:type="pct"/>
            <w:tcBorders>
              <w:top w:val="nil"/>
              <w:left w:val="nil"/>
              <w:bottom w:val="single" w:color="auto" w:sz="4" w:space="0"/>
              <w:right w:val="single" w:color="auto" w:sz="4" w:space="0"/>
            </w:tcBorders>
            <w:vAlign w:val="center"/>
          </w:tcPr>
          <w:p w14:paraId="202799B2">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1A9EED5F">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A196FD7">
      <w:pPr>
        <w:widowControl/>
        <w:jc w:val="left"/>
        <w:rPr>
          <w:rFonts w:ascii="宋体" w:hAnsi="宋体"/>
          <w:color w:val="auto"/>
          <w:szCs w:val="20"/>
          <w:highlight w:val="none"/>
        </w:rPr>
        <w:sectPr>
          <w:pgSz w:w="11906" w:h="16838"/>
          <w:pgMar w:top="1134" w:right="1134" w:bottom="1134" w:left="1134" w:header="720" w:footer="720" w:gutter="0"/>
          <w:cols w:space="720" w:num="1"/>
          <w:docGrid w:type="lines" w:linePitch="331" w:charSpace="0"/>
        </w:sectPr>
      </w:pPr>
    </w:p>
    <w:p w14:paraId="3B6A6C75">
      <w:pPr>
        <w:pStyle w:val="15"/>
        <w:ind w:firstLine="723"/>
        <w:jc w:val="center"/>
        <w:outlineLvl w:val="0"/>
        <w:rPr>
          <w:rFonts w:hAnsi="宋体"/>
          <w:b/>
          <w:color w:val="auto"/>
          <w:sz w:val="36"/>
          <w:szCs w:val="36"/>
          <w:highlight w:val="none"/>
        </w:rPr>
      </w:pPr>
      <w:bookmarkStart w:id="41" w:name="_Toc118383676"/>
      <w:bookmarkStart w:id="42" w:name="_Toc532545044"/>
      <w:r>
        <w:rPr>
          <w:rFonts w:hint="eastAsia" w:hAnsi="宋体"/>
          <w:b/>
          <w:color w:val="auto"/>
          <w:sz w:val="36"/>
          <w:highlight w:val="none"/>
        </w:rPr>
        <w:t>第三章</w:t>
      </w:r>
      <w:r>
        <w:rPr>
          <w:rFonts w:hAnsi="宋体"/>
          <w:b/>
          <w:color w:val="auto"/>
          <w:sz w:val="36"/>
          <w:highlight w:val="none"/>
        </w:rPr>
        <w:t xml:space="preserve">  </w:t>
      </w:r>
      <w:r>
        <w:rPr>
          <w:rFonts w:hint="eastAsia" w:hAnsi="宋体"/>
          <w:b/>
          <w:color w:val="auto"/>
          <w:sz w:val="36"/>
          <w:highlight w:val="none"/>
        </w:rPr>
        <w:t>投标人须知</w:t>
      </w:r>
      <w:bookmarkEnd w:id="41"/>
      <w:bookmarkEnd w:id="42"/>
    </w:p>
    <w:p w14:paraId="4B30A663">
      <w:pPr>
        <w:pStyle w:val="15"/>
        <w:spacing w:line="720" w:lineRule="auto"/>
        <w:ind w:firstLine="602"/>
        <w:jc w:val="center"/>
        <w:outlineLvl w:val="1"/>
        <w:rPr>
          <w:rFonts w:hAnsi="宋体"/>
          <w:b/>
          <w:color w:val="auto"/>
          <w:sz w:val="30"/>
          <w:szCs w:val="30"/>
          <w:highlight w:val="none"/>
        </w:rPr>
      </w:pPr>
      <w:bookmarkStart w:id="43" w:name="_Toc118383677"/>
      <w:r>
        <w:rPr>
          <w:rFonts w:hint="eastAsia" w:hAnsi="宋体"/>
          <w:b/>
          <w:color w:val="auto"/>
          <w:sz w:val="30"/>
          <w:szCs w:val="30"/>
          <w:highlight w:val="none"/>
        </w:rPr>
        <w:t>第一节</w:t>
      </w:r>
      <w:r>
        <w:rPr>
          <w:rFonts w:hAnsi="宋体"/>
          <w:b/>
          <w:color w:val="auto"/>
          <w:sz w:val="30"/>
          <w:szCs w:val="30"/>
          <w:highlight w:val="none"/>
        </w:rPr>
        <w:t xml:space="preserve"> </w:t>
      </w:r>
      <w:r>
        <w:rPr>
          <w:rFonts w:hint="eastAsia" w:hAnsi="宋体"/>
          <w:b/>
          <w:color w:val="auto"/>
          <w:sz w:val="30"/>
          <w:szCs w:val="30"/>
          <w:highlight w:val="none"/>
        </w:rPr>
        <w:t>投标人须知前附表</w:t>
      </w:r>
      <w:bookmarkEnd w:id="43"/>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315360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554AEFD">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3E8005D4">
            <w:pPr>
              <w:keepNext w:val="0"/>
              <w:keepLines w:val="0"/>
              <w:suppressLineNumbers w:val="0"/>
              <w:snapToGrid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12B5800E">
            <w:pPr>
              <w:keepNext w:val="0"/>
              <w:keepLines w:val="0"/>
              <w:suppressLineNumbers w:val="0"/>
              <w:snapToGrid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编列内容</w:t>
            </w:r>
          </w:p>
        </w:tc>
      </w:tr>
      <w:tr w14:paraId="41361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382FB2B">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6312825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3E89D27C">
            <w:pPr>
              <w:pStyle w:val="10"/>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bookmarkStart w:id="44" w:name="PO_3000001867_PM007_1"/>
            <w:r>
              <w:rPr>
                <w:rFonts w:hint="eastAsia" w:ascii="宋体" w:hAnsi="宋体" w:cs="宋体"/>
                <w:color w:val="auto"/>
                <w:szCs w:val="21"/>
                <w:highlight w:val="none"/>
              </w:rPr>
              <w:t>不允许联合体投标</w:t>
            </w:r>
            <w:bookmarkEnd w:id="44"/>
            <w:r>
              <w:rPr>
                <w:rFonts w:hint="eastAsia" w:ascii="宋体" w:hAnsi="宋体" w:cs="宋体"/>
                <w:color w:val="auto"/>
                <w:szCs w:val="21"/>
                <w:highlight w:val="none"/>
              </w:rPr>
              <w:t>。</w:t>
            </w:r>
          </w:p>
        </w:tc>
      </w:tr>
      <w:tr w14:paraId="1951C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E187CF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7C561718">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423E4367">
            <w:pPr>
              <w:pStyle w:val="10"/>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无</w:t>
            </w:r>
          </w:p>
        </w:tc>
      </w:tr>
      <w:tr w14:paraId="60A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07769EA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2DE05CE4">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12C9199">
            <w:pPr>
              <w:pStyle w:val="10"/>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default" w:ascii="Segoe UI Symbol" w:hAnsi="Segoe UI Symbol" w:cs="Segoe UI Symbol"/>
                <w:color w:val="auto"/>
                <w:szCs w:val="21"/>
                <w:highlight w:val="none"/>
              </w:rPr>
              <w:t>☑</w:t>
            </w:r>
            <w:r>
              <w:rPr>
                <w:rFonts w:hint="eastAsia" w:ascii="宋体" w:hAnsi="宋体" w:cs="宋体"/>
                <w:color w:val="auto"/>
                <w:szCs w:val="21"/>
                <w:highlight w:val="none"/>
              </w:rPr>
              <w:t>不允许转包/分包</w:t>
            </w:r>
          </w:p>
          <w:p w14:paraId="350D8A16">
            <w:pPr>
              <w:pStyle w:val="10"/>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□允许转包/分包</w:t>
            </w:r>
          </w:p>
          <w:p w14:paraId="490AD70F">
            <w:pPr>
              <w:pStyle w:val="10"/>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       。</w:t>
            </w:r>
          </w:p>
          <w:p w14:paraId="640D07EF">
            <w:pPr>
              <w:pStyle w:val="10"/>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       。</w:t>
            </w:r>
          </w:p>
        </w:tc>
      </w:tr>
      <w:tr w14:paraId="07A9C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1AC4DB4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7D2EAA4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14550A55">
            <w:pPr>
              <w:keepNext w:val="0"/>
              <w:keepLines w:val="0"/>
              <w:suppressLineNumbers w:val="0"/>
              <w:spacing w:before="0" w:beforeAutospacing="0" w:after="0" w:afterAutospacing="0" w:line="320" w:lineRule="exact"/>
              <w:ind w:left="0" w:right="0"/>
              <w:rPr>
                <w:rFonts w:hint="default" w:ascii="宋体" w:hAnsi="宋体" w:cs="宋体"/>
                <w:color w:val="auto"/>
                <w:sz w:val="28"/>
                <w:szCs w:val="18"/>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105B5D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E66D9A7">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3DFD1D2D">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7C572302">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default" w:ascii="Segoe UI Symbol" w:hAnsi="Segoe UI Symbol" w:cs="Segoe UI Symbol"/>
                <w:color w:val="auto"/>
                <w:szCs w:val="21"/>
                <w:highlight w:val="none"/>
              </w:rPr>
              <w:t>☑</w:t>
            </w:r>
            <w:r>
              <w:rPr>
                <w:rFonts w:hint="eastAsia" w:ascii="宋体" w:hAnsi="宋体" w:cs="宋体"/>
                <w:color w:val="auto"/>
                <w:szCs w:val="21"/>
                <w:highlight w:val="none"/>
              </w:rPr>
              <w:t>不组织召开开标前答疑会</w:t>
            </w:r>
          </w:p>
          <w:p w14:paraId="07E86E8A">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□组织召开开标前答疑会</w:t>
            </w:r>
          </w:p>
          <w:p w14:paraId="23C97F6E">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 xml:space="preserve">              </w:t>
            </w:r>
          </w:p>
        </w:tc>
      </w:tr>
      <w:tr w14:paraId="0E6CC3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2C0F123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03037CE6">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5EA8A055">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1、投标人为法人或者其他组织的，提供营业执照等证明文件（如营业执照或者事业单位法人证书或者执业许可证等），投标人为自然人的，提供身份证复印件；（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FEC9C85">
            <w:pPr>
              <w:keepNext w:val="0"/>
              <w:keepLines w:val="0"/>
              <w:suppressLineNumbers w:val="0"/>
              <w:snapToGrid w:val="0"/>
              <w:spacing w:before="0" w:beforeAutospacing="0" w:after="0" w:afterAutospacing="0" w:line="320" w:lineRule="exact"/>
              <w:ind w:left="0" w:right="0"/>
              <w:jc w:val="left"/>
              <w:rPr>
                <w:rFonts w:hint="default" w:ascii="宋体" w:cs="宋体"/>
                <w:b/>
                <w:bCs/>
                <w:color w:val="auto"/>
                <w:szCs w:val="21"/>
                <w:highlight w:val="none"/>
              </w:rPr>
            </w:pPr>
            <w:r>
              <w:rPr>
                <w:rFonts w:hint="eastAsia" w:ascii="宋体" w:cs="宋体"/>
                <w:color w:val="auto"/>
                <w:szCs w:val="21"/>
                <w:highlight w:val="none"/>
                <w:lang w:bidi="ar"/>
              </w:rPr>
              <w:t>2、投标人依法缴纳税收的相关材料</w:t>
            </w:r>
            <w:r>
              <w:rPr>
                <w:rFonts w:hint="eastAsia" w:ascii="宋体" w:cs="宋体"/>
                <w:color w:val="auto"/>
                <w:szCs w:val="21"/>
                <w:highlight w:val="none"/>
                <w:u w:val="single"/>
                <w:lang w:bidi="ar"/>
              </w:rPr>
              <w:t>[ 2024 年05月至 2024 年1</w:t>
            </w:r>
            <w:r>
              <w:rPr>
                <w:rFonts w:hint="eastAsia" w:ascii="宋体" w:cs="宋体"/>
                <w:color w:val="auto"/>
                <w:szCs w:val="21"/>
                <w:highlight w:val="none"/>
                <w:u w:val="single"/>
                <w:lang w:val="en-US" w:eastAsia="zh-CN" w:bidi="ar"/>
              </w:rPr>
              <w:t>1</w:t>
            </w:r>
            <w:r>
              <w:rPr>
                <w:rFonts w:hint="eastAsia" w:ascii="宋体" w:cs="宋体"/>
                <w:color w:val="auto"/>
                <w:szCs w:val="21"/>
                <w:highlight w:val="none"/>
                <w:u w:val="single"/>
                <w:lang w:bidi="ar"/>
              </w:rPr>
              <w:t>月]</w:t>
            </w:r>
            <w:r>
              <w:rPr>
                <w:rFonts w:hint="eastAsia" w:ascii="宋体" w:cs="宋体"/>
                <w:color w:val="auto"/>
                <w:szCs w:val="21"/>
                <w:highlight w:val="none"/>
                <w:lang w:bidi="ar"/>
              </w:rPr>
              <w:t xml:space="preserve">任意 </w:t>
            </w:r>
            <w:r>
              <w:rPr>
                <w:rFonts w:hint="eastAsia" w:ascii="宋体" w:cs="宋体"/>
                <w:color w:val="auto"/>
                <w:szCs w:val="21"/>
                <w:highlight w:val="none"/>
                <w:u w:val="single"/>
                <w:lang w:bidi="ar"/>
              </w:rPr>
              <w:t xml:space="preserve">一 </w:t>
            </w:r>
            <w:r>
              <w:rPr>
                <w:rFonts w:hint="eastAsia" w:ascii="宋体" w:cs="宋体"/>
                <w:color w:val="auto"/>
                <w:szCs w:val="21"/>
                <w:highlight w:val="none"/>
                <w:lang w:bidi="ar"/>
              </w:rPr>
              <w:t>个月的依法缴纳税收的凭据复印件；依法免税的供应商，必须提供供应商所在地税务部门出具的依法纳税或依法免税证明。从取得营业执照时间起到投标文件提交截止时间为止不足要求月数的，只需提供从取得营业执照起的依法缴纳税收相应证明文件）；</w:t>
            </w:r>
            <w:r>
              <w:rPr>
                <w:rFonts w:hint="eastAsia" w:ascii="宋体" w:cs="宋体"/>
                <w:b/>
                <w:bCs/>
                <w:color w:val="auto"/>
                <w:szCs w:val="21"/>
                <w:highlight w:val="none"/>
                <w:lang w:bidi="ar"/>
              </w:rPr>
              <w:t>（必须提供，否则作无效投标处理，成立不足四个月的新公司除外）</w:t>
            </w:r>
          </w:p>
          <w:p w14:paraId="4C442832">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cs="宋体"/>
                <w:color w:val="auto"/>
                <w:szCs w:val="21"/>
                <w:highlight w:val="none"/>
              </w:rPr>
              <w:t>[</w:t>
            </w:r>
            <w:r>
              <w:rPr>
                <w:rFonts w:hint="eastAsia" w:ascii="宋体" w:cs="宋体"/>
                <w:color w:val="auto"/>
                <w:szCs w:val="21"/>
                <w:highlight w:val="none"/>
                <w:u w:val="single"/>
              </w:rPr>
              <w:t xml:space="preserve"> 2024 </w:t>
            </w:r>
            <w:r>
              <w:rPr>
                <w:rFonts w:hint="eastAsia" w:ascii="宋体" w:cs="宋体"/>
                <w:color w:val="auto"/>
                <w:szCs w:val="21"/>
                <w:highlight w:val="none"/>
              </w:rPr>
              <w:t>年</w:t>
            </w:r>
            <w:r>
              <w:rPr>
                <w:rFonts w:hint="eastAsia" w:ascii="宋体" w:cs="宋体"/>
                <w:color w:val="auto"/>
                <w:szCs w:val="21"/>
                <w:highlight w:val="none"/>
                <w:u w:val="single"/>
              </w:rPr>
              <w:t>05</w:t>
            </w:r>
            <w:r>
              <w:rPr>
                <w:rFonts w:hint="eastAsia" w:ascii="宋体" w:cs="宋体"/>
                <w:color w:val="auto"/>
                <w:szCs w:val="21"/>
                <w:highlight w:val="none"/>
              </w:rPr>
              <w:t>月至</w:t>
            </w:r>
            <w:r>
              <w:rPr>
                <w:rFonts w:hint="eastAsia" w:ascii="宋体" w:cs="宋体"/>
                <w:color w:val="auto"/>
                <w:szCs w:val="21"/>
                <w:highlight w:val="none"/>
                <w:u w:val="single"/>
              </w:rPr>
              <w:t xml:space="preserve"> 2024 </w:t>
            </w:r>
            <w:r>
              <w:rPr>
                <w:rFonts w:hint="eastAsia" w:ascii="宋体" w:cs="宋体"/>
                <w:color w:val="auto"/>
                <w:szCs w:val="21"/>
                <w:highlight w:val="none"/>
              </w:rPr>
              <w:t>年</w:t>
            </w:r>
            <w:r>
              <w:rPr>
                <w:rFonts w:hint="eastAsia" w:ascii="宋体" w:cs="宋体"/>
                <w:color w:val="auto"/>
                <w:szCs w:val="21"/>
                <w:highlight w:val="none"/>
                <w:u w:val="single"/>
              </w:rPr>
              <w:t>1</w:t>
            </w:r>
            <w:r>
              <w:rPr>
                <w:rFonts w:hint="eastAsia" w:ascii="宋体" w:cs="宋体"/>
                <w:color w:val="auto"/>
                <w:szCs w:val="21"/>
                <w:highlight w:val="none"/>
                <w:u w:val="single"/>
                <w:lang w:val="en-US" w:eastAsia="zh-CN"/>
              </w:rPr>
              <w:t>1</w:t>
            </w:r>
            <w:r>
              <w:rPr>
                <w:rFonts w:hint="eastAsia" w:ascii="宋体" w:cs="宋体"/>
                <w:color w:val="auto"/>
                <w:szCs w:val="21"/>
                <w:highlight w:val="none"/>
              </w:rPr>
              <w:t>月]</w:t>
            </w:r>
            <w:r>
              <w:rPr>
                <w:rFonts w:hint="eastAsia" w:ascii="宋体" w:hAnsi="宋体" w:cs="宋体"/>
                <w:color w:val="auto"/>
                <w:szCs w:val="21"/>
                <w:highlight w:val="none"/>
                <w:lang w:bidi="ar"/>
              </w:rPr>
              <w:t>任意</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一 </w:t>
            </w:r>
            <w:r>
              <w:rPr>
                <w:rFonts w:hint="eastAsia" w:ascii="宋体" w:hAnsi="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必须提供，否则作无效投标处理，成立不足四个月的新公司除外</w:t>
            </w:r>
            <w:r>
              <w:rPr>
                <w:rFonts w:hint="eastAsia" w:ascii="宋体" w:hAnsi="宋体" w:cs="宋体"/>
                <w:color w:val="auto"/>
                <w:szCs w:val="21"/>
                <w:highlight w:val="none"/>
              </w:rPr>
              <w:t>）</w:t>
            </w:r>
          </w:p>
          <w:p w14:paraId="25F963BD">
            <w:pPr>
              <w:keepNext w:val="0"/>
              <w:keepLines w:val="0"/>
              <w:suppressLineNumbers w:val="0"/>
              <w:snapToGrid w:val="0"/>
              <w:spacing w:before="0" w:beforeAutospacing="0" w:after="0" w:afterAutospacing="0" w:line="320" w:lineRule="exact"/>
              <w:ind w:left="0" w:right="0"/>
              <w:jc w:val="left"/>
              <w:rPr>
                <w:rFonts w:hint="default" w:ascii="宋体" w:hAnsi="宋体" w:cs="宋体"/>
                <w:b/>
                <w:bCs/>
                <w:color w:val="auto"/>
                <w:szCs w:val="21"/>
                <w:highlight w:val="none"/>
                <w:lang w:bidi="ar"/>
              </w:rPr>
            </w:pPr>
            <w:r>
              <w:rPr>
                <w:rFonts w:hint="eastAsia" w:ascii="宋体" w:hAnsi="宋体" w:cs="宋体"/>
                <w:color w:val="auto"/>
                <w:szCs w:val="21"/>
                <w:highlight w:val="none"/>
                <w:lang w:bidi="ar"/>
              </w:rPr>
              <w:t>4、投标人财务状况报告[2023年]：供应商标注执行《企业会计准则》的，提供资产负债表、利润表、现金流量表、所有者权益变动表及其附注（以下称“四表一注”）或由银行出具的资信证明；供应商标注执行《小企业会计准则》的，提供资产负债表、利润表、现金流量表及其附注（以下称“三表一注”)或由银行出具的资信证明；供应商标注执行《政府会计制度》的，提供资产负债表、收入费用表和净资产变动表或由银行出具的资信证明；（以上提到的资信证明应在有效期内，未注明有效期的，银行出具时间至响应文件提交截止时间不超过一年)；（供应商成立不满一年的应按提供上一个月的财务状况报告复印件或者银行出具的资信证明）</w:t>
            </w:r>
            <w:r>
              <w:rPr>
                <w:rFonts w:hint="eastAsia" w:ascii="宋体" w:hAnsi="宋体" w:cs="宋体"/>
                <w:b/>
                <w:bCs/>
                <w:color w:val="auto"/>
                <w:szCs w:val="21"/>
                <w:highlight w:val="none"/>
                <w:lang w:bidi="ar"/>
              </w:rPr>
              <w:t>（必须提供，否则作无效投标处理）</w:t>
            </w:r>
          </w:p>
          <w:p w14:paraId="5DE92C2D">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5、投标人直接控股、管理关系信息表；（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9855D5">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6、投标资格声明；（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F6DE5E6">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7、联合体协议书；（</w:t>
            </w:r>
            <w:r>
              <w:rPr>
                <w:rFonts w:hint="eastAsia" w:ascii="宋体" w:hAnsi="宋体" w:cs="宋体"/>
                <w:b/>
                <w:color w:val="auto"/>
                <w:szCs w:val="21"/>
                <w:highlight w:val="none"/>
              </w:rPr>
              <w:t>联合体投标时必须提供，否则作无效投标处理</w:t>
            </w:r>
            <w:r>
              <w:rPr>
                <w:rFonts w:hint="eastAsia" w:ascii="宋体" w:hAnsi="宋体" w:cs="宋体"/>
                <w:color w:val="auto"/>
                <w:szCs w:val="21"/>
                <w:highlight w:val="none"/>
              </w:rPr>
              <w:t>）</w:t>
            </w:r>
          </w:p>
          <w:p w14:paraId="534FCE6B">
            <w:pPr>
              <w:keepNext w:val="0"/>
              <w:keepLines w:val="0"/>
              <w:suppressLineNumbers w:val="0"/>
              <w:snapToGrid w:val="0"/>
              <w:spacing w:before="0" w:beforeAutospacing="0" w:after="0" w:afterAutospacing="0" w:line="320" w:lineRule="exact"/>
              <w:ind w:left="0" w:right="0" w:firstLine="422"/>
              <w:jc w:val="left"/>
              <w:rPr>
                <w:rFonts w:hint="default" w:ascii="宋体" w:hAnsi="宋体" w:cs="宋体"/>
                <w:b/>
                <w:color w:val="auto"/>
                <w:szCs w:val="21"/>
                <w:highlight w:val="none"/>
              </w:rPr>
            </w:pPr>
            <w:r>
              <w:rPr>
                <w:rFonts w:hint="eastAsia" w:ascii="宋体" w:hAnsi="宋体" w:cs="宋体"/>
                <w:b/>
                <w:bCs/>
                <w:color w:val="auto"/>
                <w:szCs w:val="21"/>
                <w:highlight w:val="none"/>
              </w:rPr>
              <w:t>注：1.</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p w14:paraId="1F815D6C">
            <w:pPr>
              <w:keepNext w:val="0"/>
              <w:keepLines w:val="0"/>
              <w:suppressLineNumbers w:val="0"/>
              <w:snapToGrid w:val="0"/>
              <w:spacing w:before="0" w:beforeAutospacing="0" w:after="0" w:afterAutospacing="0" w:line="320" w:lineRule="exact"/>
              <w:ind w:left="0" w:right="0" w:firstLine="422" w:firstLineChars="200"/>
              <w:jc w:val="left"/>
              <w:rPr>
                <w:rFonts w:hint="default"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.联合体投标时，第1-5项资格证明文件联合体各方均必须分别提供，联合体各方分别盖章和签字，否则投标文件按无效响应处理。</w:t>
            </w:r>
          </w:p>
        </w:tc>
      </w:tr>
      <w:tr w14:paraId="61D41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vAlign w:val="center"/>
          </w:tcPr>
          <w:p w14:paraId="3FDCC11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AC1914C">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商务文件组成</w:t>
            </w:r>
          </w:p>
          <w:p w14:paraId="1D716EF6">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2FEFB379">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1F836913">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5ED3A4B">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28BCBFAF">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AC5B6F3">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5、投标人情况介绍；（格式自拟）</w:t>
            </w:r>
          </w:p>
          <w:p w14:paraId="4A342571">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6、除招标文件规定必须提供以外，投标人认为需要提供的其他证明材料。（投标人根据“第二章 采购需求”及“第四章 评标方法及评标标准”提供有关证明材料）。</w:t>
            </w:r>
          </w:p>
          <w:p w14:paraId="11B9ABE8">
            <w:pPr>
              <w:keepNext w:val="0"/>
              <w:keepLines w:val="0"/>
              <w:suppressLineNumbers w:val="0"/>
              <w:snapToGrid w:val="0"/>
              <w:spacing w:before="0" w:beforeAutospacing="0" w:after="0" w:afterAutospacing="0" w:line="320" w:lineRule="exact"/>
              <w:ind w:left="0" w:right="0" w:firstLine="422"/>
              <w:jc w:val="left"/>
              <w:rPr>
                <w:rFonts w:hint="default"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注：1.法定代表人授权委托书必须由法定代表人及委托代理人签字，并加盖投标人公章，否则作无效投标处理。</w:t>
            </w:r>
          </w:p>
          <w:p w14:paraId="743A5B54">
            <w:pPr>
              <w:keepNext w:val="0"/>
              <w:keepLines w:val="0"/>
              <w:suppressLineNumbers w:val="0"/>
              <w:snapToGrid w:val="0"/>
              <w:spacing w:before="0" w:beforeAutospacing="0" w:after="0" w:afterAutospacing="0" w:line="320" w:lineRule="exact"/>
              <w:ind w:left="0" w:right="0" w:firstLine="422" w:firstLineChars="200"/>
              <w:jc w:val="left"/>
              <w:rPr>
                <w:rFonts w:hint="default"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5A9FD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vAlign w:val="center"/>
          </w:tcPr>
          <w:p w14:paraId="788B46BD">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9E92782">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技术文件组成</w:t>
            </w:r>
          </w:p>
          <w:p w14:paraId="76CAA944">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7297" w:type="dxa"/>
            <w:tcBorders>
              <w:top w:val="single" w:color="auto" w:sz="4" w:space="0"/>
              <w:left w:val="single" w:color="auto" w:sz="4" w:space="0"/>
              <w:bottom w:val="single" w:color="auto" w:sz="4" w:space="0"/>
              <w:right w:val="single" w:color="auto" w:sz="4" w:space="0"/>
            </w:tcBorders>
            <w:vAlign w:val="center"/>
          </w:tcPr>
          <w:p w14:paraId="2D7A5AB8">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1.技术需求偏离表；（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66FFE04">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2.项目实施方案【</w:t>
            </w:r>
            <w:r>
              <w:rPr>
                <w:rFonts w:hint="eastAsia" w:ascii="宋体" w:hAnsi="宋体" w:cs="宋体"/>
                <w:b/>
                <w:color w:val="auto"/>
                <w:szCs w:val="21"/>
                <w:highlight w:val="none"/>
                <w:lang w:bidi="ar"/>
              </w:rPr>
              <w:t>各种项目服务方案</w:t>
            </w:r>
            <w:r>
              <w:rPr>
                <w:rFonts w:hint="eastAsia" w:ascii="宋体" w:hAnsi="宋体" w:cs="宋体"/>
                <w:color w:val="auto"/>
                <w:szCs w:val="21"/>
                <w:highlight w:val="none"/>
              </w:rPr>
              <w:t>】；（</w:t>
            </w:r>
            <w:r>
              <w:rPr>
                <w:rFonts w:hint="eastAsia" w:ascii="宋体" w:hAnsi="宋体" w:cs="宋体"/>
                <w:b/>
                <w:color w:val="auto"/>
                <w:szCs w:val="21"/>
                <w:highlight w:val="none"/>
                <w:lang w:bidi="ar"/>
              </w:rPr>
              <w:t>根据评标办法的评分项自行编制，格式自拟</w:t>
            </w:r>
            <w:r>
              <w:rPr>
                <w:rFonts w:hint="eastAsia" w:ascii="宋体" w:hAnsi="宋体" w:cs="宋体"/>
                <w:color w:val="auto"/>
                <w:szCs w:val="21"/>
                <w:highlight w:val="none"/>
              </w:rPr>
              <w:t>）</w:t>
            </w:r>
          </w:p>
          <w:p w14:paraId="17C76E19">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3、对本项目总体要求的理解。包括：功能说明、性能指标及设备选型说明（质量、性能、价格、外观、体积等方面进行比较和选择的理由及过程）；（</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324626B2">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4. 产品出厂标准、质量检测报告【其中有精度要求的仪器设备类政府采购项目，应当要求投标人提供精度数据（第三方检测报告或者由采购人在投标前组织的实测获得）】（</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37AAD25C">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5. 优惠条件：投标人承诺给予招标人的各种优惠条件，包括售后服务、备品备件、专用耗材等方面的优惠；投标人不得给予赠品或者与采购无关的其他商品、服务；</w:t>
            </w:r>
            <w:r>
              <w:rPr>
                <w:rFonts w:hint="eastAsia" w:ascii="宋体" w:hAnsi="宋体" w:cs="宋体"/>
                <w:b/>
                <w:color w:val="auto"/>
                <w:szCs w:val="21"/>
                <w:highlight w:val="none"/>
              </w:rPr>
              <w:t>如有，请提供</w:t>
            </w:r>
            <w:r>
              <w:rPr>
                <w:rFonts w:hint="eastAsia" w:ascii="宋体" w:hAnsi="宋体" w:cs="宋体"/>
                <w:color w:val="auto"/>
                <w:szCs w:val="21"/>
                <w:highlight w:val="none"/>
              </w:rPr>
              <w:t>）</w:t>
            </w:r>
          </w:p>
          <w:p w14:paraId="165D5450">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6.投标人对本项目的合理化建议和改进措施；</w:t>
            </w:r>
          </w:p>
          <w:p w14:paraId="0D837AFC">
            <w:pPr>
              <w:keepNext w:val="0"/>
              <w:keepLines w:val="0"/>
              <w:suppressLineNumbers w:val="0"/>
              <w:snapToGrid w:val="0"/>
              <w:spacing w:before="0" w:beforeAutospacing="0" w:after="0" w:afterAutospacing="0" w:line="320" w:lineRule="exact"/>
              <w:ind w:left="0" w:right="0"/>
              <w:jc w:val="left"/>
              <w:rPr>
                <w:rFonts w:hint="default" w:ascii="宋体" w:hAnsi="宋体" w:cs="宋体"/>
                <w:bCs/>
                <w:color w:val="auto"/>
                <w:szCs w:val="21"/>
                <w:highlight w:val="none"/>
              </w:rPr>
            </w:pPr>
            <w:r>
              <w:rPr>
                <w:rFonts w:hint="eastAsia" w:ascii="宋体" w:hAnsi="宋体" w:cs="宋体"/>
                <w:color w:val="auto"/>
                <w:szCs w:val="21"/>
                <w:highlight w:val="none"/>
              </w:rPr>
              <w:t>7.除招标文件规定必须提供以外，投标人需要说明的其他文件和说明。</w:t>
            </w:r>
          </w:p>
          <w:p w14:paraId="7990DBFD">
            <w:pPr>
              <w:keepNext w:val="0"/>
              <w:keepLines w:val="0"/>
              <w:suppressLineNumbers w:val="0"/>
              <w:snapToGrid w:val="0"/>
              <w:spacing w:before="0" w:beforeAutospacing="0" w:after="0" w:afterAutospacing="0" w:line="320" w:lineRule="exact"/>
              <w:ind w:left="0" w:right="0" w:firstLine="422"/>
              <w:jc w:val="left"/>
              <w:rPr>
                <w:rFonts w:hint="default"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0DCFA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vAlign w:val="center"/>
          </w:tcPr>
          <w:p w14:paraId="70488698">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8E41122">
            <w:pPr>
              <w:keepNext w:val="0"/>
              <w:keepLines w:val="0"/>
              <w:suppressLineNumbers w:val="0"/>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CFC4434">
            <w:pPr>
              <w:keepNext w:val="0"/>
              <w:keepLines w:val="0"/>
              <w:suppressLineNumbers w:val="0"/>
              <w:tabs>
                <w:tab w:val="left" w:pos="459"/>
              </w:tabs>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（必须提供，否则作无效投标处理）</w:t>
            </w:r>
          </w:p>
          <w:p w14:paraId="2BAC6D48">
            <w:pPr>
              <w:keepNext w:val="0"/>
              <w:keepLines w:val="0"/>
              <w:suppressLineNumbers w:val="0"/>
              <w:tabs>
                <w:tab w:val="left" w:pos="459"/>
              </w:tabs>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49D7507">
            <w:pPr>
              <w:keepNext w:val="0"/>
              <w:keepLines w:val="0"/>
              <w:suppressLineNumbers w:val="0"/>
              <w:tabs>
                <w:tab w:val="left" w:pos="459"/>
              </w:tabs>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3、中小企业声明函。</w:t>
            </w:r>
          </w:p>
          <w:p w14:paraId="0D2F7D7A">
            <w:pPr>
              <w:keepNext w:val="0"/>
              <w:keepLines w:val="0"/>
              <w:suppressLineNumbers w:val="0"/>
              <w:tabs>
                <w:tab w:val="left" w:pos="459"/>
              </w:tabs>
              <w:snapToGrid w:val="0"/>
              <w:spacing w:before="0" w:beforeAutospacing="0" w:after="0" w:afterAutospacing="0" w:line="320" w:lineRule="exact"/>
              <w:ind w:left="0" w:right="0"/>
              <w:jc w:val="left"/>
              <w:rPr>
                <w:rFonts w:hint="default" w:ascii="宋体" w:hAnsi="宋体" w:cs="宋体"/>
                <w:color w:val="auto"/>
                <w:szCs w:val="21"/>
                <w:highlight w:val="none"/>
              </w:rPr>
            </w:pPr>
            <w:r>
              <w:rPr>
                <w:rFonts w:hint="eastAsia" w:ascii="宋体" w:hAnsi="宋体" w:cs="宋体"/>
                <w:color w:val="auto"/>
                <w:szCs w:val="21"/>
                <w:highlight w:val="none"/>
              </w:rPr>
              <w:t>4、投标人针对报价需要说明的其他文件和说明。</w:t>
            </w:r>
          </w:p>
        </w:tc>
      </w:tr>
      <w:tr w14:paraId="5B4A3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C789F55">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6A029AF5">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56D12D40">
            <w:pPr>
              <w:keepNext w:val="0"/>
              <w:keepLines w:val="0"/>
              <w:suppressLineNumbers w:val="0"/>
              <w:snapToGrid w:val="0"/>
              <w:spacing w:before="0" w:beforeAutospacing="0" w:after="0" w:afterAutospacing="0" w:line="320" w:lineRule="exact"/>
              <w:ind w:left="0" w:right="0"/>
              <w:rPr>
                <w:rFonts w:hint="default" w:ascii="宋体" w:hAnsi="宋体" w:cs="宋体"/>
                <w:b/>
                <w:color w:val="auto"/>
                <w:szCs w:val="21"/>
                <w:highlight w:val="none"/>
              </w:rPr>
            </w:pPr>
            <w:r>
              <w:rPr>
                <w:rFonts w:hint="eastAsia" w:ascii="宋体" w:hAnsi="宋体" w:cs="宋体"/>
                <w:color w:val="auto"/>
                <w:szCs w:val="21"/>
                <w:highlight w:val="none"/>
              </w:rPr>
              <w:t>投标报价是履行合同的最终价格，必须包含投标货物（包括备品备件、专用工具等）的价格（包括已在中国境内的进口货物完税后的仓库交货价、展室交货价或者货架交货价）及其运输（含保险）、安装（如有）、调试、检验、技术服务、培训和招标文件要求提供的所有伴随服务、工程等费用和税费。（采购需求另有约定的，从其约定）</w:t>
            </w:r>
          </w:p>
        </w:tc>
      </w:tr>
      <w:tr w14:paraId="47E5C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54190C8">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16F97EEF">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4A8AE950">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4C51D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9E796C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01AE67C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124A0128">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本项目不收取投标保证金。</w:t>
            </w:r>
          </w:p>
        </w:tc>
      </w:tr>
      <w:tr w14:paraId="55BD3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6F949CA3">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7052B60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09D81073">
            <w:pPr>
              <w:keepNext w:val="0"/>
              <w:keepLines w:val="0"/>
              <w:suppressLineNumbers w:val="0"/>
              <w:spacing w:before="0" w:beforeAutospacing="0" w:after="0" w:afterAutospacing="0" w:line="320" w:lineRule="exact"/>
              <w:ind w:left="0" w:right="0"/>
              <w:rPr>
                <w:rFonts w:hint="default"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auto"/>
                <w:szCs w:val="21"/>
                <w:highlight w:val="none"/>
                <w:u w:val="single"/>
              </w:rPr>
              <w:t>电子版投标文件制作方式见招标公告附件。</w:t>
            </w:r>
          </w:p>
        </w:tc>
      </w:tr>
      <w:tr w14:paraId="4227B5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3D393F6">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2F1F451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4B28E922">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0CEE0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75" w:type="dxa"/>
            <w:vMerge w:val="restart"/>
            <w:tcBorders>
              <w:top w:val="single" w:color="auto" w:sz="4" w:space="0"/>
              <w:left w:val="single" w:color="auto" w:sz="4" w:space="0"/>
              <w:right w:val="single" w:color="auto" w:sz="4" w:space="0"/>
            </w:tcBorders>
            <w:vAlign w:val="center"/>
          </w:tcPr>
          <w:p w14:paraId="0AD5BE2B">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3BC41861">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7CEFA752">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240CE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1A0BBAA5">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FBCF539">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投标文件提交起止时间</w:t>
            </w:r>
          </w:p>
        </w:tc>
        <w:tc>
          <w:tcPr>
            <w:tcW w:w="7297" w:type="dxa"/>
            <w:tcBorders>
              <w:top w:val="single" w:color="auto" w:sz="4" w:space="0"/>
              <w:left w:val="single" w:color="auto" w:sz="4" w:space="0"/>
              <w:bottom w:val="single" w:color="auto" w:sz="4" w:space="0"/>
              <w:right w:val="single" w:color="auto" w:sz="4" w:space="0"/>
            </w:tcBorders>
            <w:vAlign w:val="center"/>
          </w:tcPr>
          <w:p w14:paraId="6CAAECF8">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14:paraId="11718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58226594">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22D2DD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422487AA">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14:paraId="18E97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675" w:type="dxa"/>
            <w:vMerge w:val="continue"/>
            <w:tcBorders>
              <w:left w:val="single" w:color="auto" w:sz="4" w:space="0"/>
              <w:right w:val="single" w:color="auto" w:sz="4" w:space="0"/>
            </w:tcBorders>
            <w:vAlign w:val="center"/>
          </w:tcPr>
          <w:p w14:paraId="09D060A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64AA74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7EC29C6A">
            <w:pPr>
              <w:keepNext w:val="0"/>
              <w:keepLines w:val="0"/>
              <w:suppressLineNumbers w:val="0"/>
              <w:snapToGrid w:val="0"/>
              <w:spacing w:before="0" w:beforeAutospacing="0" w:after="0" w:afterAutospacing="0" w:line="320" w:lineRule="exact"/>
              <w:ind w:left="0" w:right="0"/>
              <w:rPr>
                <w:rFonts w:hint="default"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 xml:space="preserve">  /  年 / 月 / 日  /  时  /  分</w:t>
            </w:r>
            <w:r>
              <w:rPr>
                <w:rFonts w:hint="eastAsia" w:ascii="宋体" w:hAnsi="宋体" w:cs="宋体"/>
                <w:bCs/>
                <w:color w:val="auto"/>
                <w:szCs w:val="21"/>
                <w:highlight w:val="none"/>
              </w:rPr>
              <w:t>（北京时间）</w:t>
            </w:r>
          </w:p>
          <w:p w14:paraId="01C73646">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 xml:space="preserve">           /            </w:t>
            </w:r>
          </w:p>
        </w:tc>
      </w:tr>
      <w:tr w14:paraId="0FC5F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2F7B3C24">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2E634F67">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75A0F147">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2B2F8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675" w:type="dxa"/>
            <w:vMerge w:val="restart"/>
            <w:tcBorders>
              <w:top w:val="single" w:color="auto" w:sz="4" w:space="0"/>
              <w:left w:val="single" w:color="auto" w:sz="4" w:space="0"/>
              <w:right w:val="single" w:color="auto" w:sz="4" w:space="0"/>
            </w:tcBorders>
            <w:vAlign w:val="center"/>
          </w:tcPr>
          <w:p w14:paraId="1B57A1DB">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264F8E5A">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36AD5BA7">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631F3D53">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26B6E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675" w:type="dxa"/>
            <w:vMerge w:val="continue"/>
            <w:tcBorders>
              <w:left w:val="single" w:color="auto" w:sz="4" w:space="0"/>
              <w:right w:val="single" w:color="auto" w:sz="4" w:space="0"/>
            </w:tcBorders>
            <w:vAlign w:val="center"/>
          </w:tcPr>
          <w:p w14:paraId="4B1E7E96">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7B8A2F5C">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07205DCF">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资格审查结束前</w:t>
            </w:r>
          </w:p>
        </w:tc>
      </w:tr>
      <w:tr w14:paraId="610498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75" w:type="dxa"/>
            <w:vMerge w:val="continue"/>
            <w:tcBorders>
              <w:left w:val="single" w:color="auto" w:sz="4" w:space="0"/>
              <w:right w:val="single" w:color="auto" w:sz="4" w:space="0"/>
            </w:tcBorders>
            <w:vAlign w:val="center"/>
          </w:tcPr>
          <w:p w14:paraId="6985187F">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FC3536F">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525F9A71">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在查询网站中直接截图查询记录，截图作为在“广西政府采购云平台”作为附件上传保存。</w:t>
            </w:r>
          </w:p>
        </w:tc>
      </w:tr>
      <w:tr w14:paraId="0FD250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75" w:type="dxa"/>
            <w:vMerge w:val="continue"/>
            <w:tcBorders>
              <w:left w:val="single" w:color="auto" w:sz="4" w:space="0"/>
              <w:bottom w:val="single" w:color="auto" w:sz="4" w:space="0"/>
              <w:right w:val="single" w:color="auto" w:sz="4" w:space="0"/>
            </w:tcBorders>
            <w:vAlign w:val="center"/>
          </w:tcPr>
          <w:p w14:paraId="793B7A53">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4238B68">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6F4EB22F">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7A6EE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5E4739A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52F1A3AA">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1A9904E7">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default" w:ascii="Segoe UI Symbol" w:hAnsi="Segoe UI Symbol" w:cs="Segoe UI Symbol"/>
                <w:color w:val="auto"/>
                <w:szCs w:val="21"/>
                <w:highlight w:val="none"/>
              </w:rPr>
              <w:t>☑</w:t>
            </w:r>
            <w:r>
              <w:rPr>
                <w:rFonts w:hint="eastAsia" w:ascii="宋体" w:hAnsi="宋体" w:cs="宋体"/>
                <w:color w:val="auto"/>
                <w:szCs w:val="21"/>
                <w:highlight w:val="none"/>
              </w:rPr>
              <w:t>综合评分法</w:t>
            </w:r>
          </w:p>
          <w:p w14:paraId="2D84ABC6">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□最低评标价法</w:t>
            </w:r>
          </w:p>
        </w:tc>
      </w:tr>
      <w:tr w14:paraId="3D29F7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75" w:type="dxa"/>
            <w:tcBorders>
              <w:top w:val="single" w:color="auto" w:sz="4" w:space="0"/>
              <w:left w:val="single" w:color="auto" w:sz="4" w:space="0"/>
              <w:right w:val="single" w:color="auto" w:sz="4" w:space="0"/>
            </w:tcBorders>
            <w:vAlign w:val="center"/>
          </w:tcPr>
          <w:p w14:paraId="7687D4EB">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right w:val="single" w:color="auto" w:sz="4" w:space="0"/>
            </w:tcBorders>
            <w:vAlign w:val="center"/>
          </w:tcPr>
          <w:p w14:paraId="043C9FF5">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允许负偏离项</w:t>
            </w:r>
          </w:p>
        </w:tc>
        <w:tc>
          <w:tcPr>
            <w:tcW w:w="7297" w:type="dxa"/>
            <w:tcBorders>
              <w:top w:val="single" w:color="auto" w:sz="4" w:space="0"/>
              <w:left w:val="single" w:color="auto" w:sz="4" w:space="0"/>
              <w:right w:val="single" w:color="auto" w:sz="4" w:space="0"/>
            </w:tcBorders>
            <w:vAlign w:val="center"/>
          </w:tcPr>
          <w:p w14:paraId="369BD7E1">
            <w:pPr>
              <w:keepNext w:val="0"/>
              <w:keepLines w:val="0"/>
              <w:suppressLineNumbers w:val="0"/>
              <w:snapToGrid w:val="0"/>
              <w:spacing w:before="0" w:beforeAutospacing="0" w:after="0" w:afterAutospacing="0" w:line="32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1分标：商务条款评审中允许负偏离的条款数为 0项。</w:t>
            </w:r>
          </w:p>
          <w:p w14:paraId="262C252A">
            <w:pPr>
              <w:keepNext w:val="0"/>
              <w:keepLines w:val="0"/>
              <w:suppressLineNumbers w:val="0"/>
              <w:snapToGrid w:val="0"/>
              <w:spacing w:before="0" w:beforeAutospacing="0" w:after="0" w:afterAutospacing="0" w:line="32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 5 项（负偏离达到</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项或以上则投标无效）。</w:t>
            </w:r>
          </w:p>
          <w:p w14:paraId="29ED0822">
            <w:pPr>
              <w:keepNext w:val="0"/>
              <w:keepLines w:val="0"/>
              <w:suppressLineNumbers w:val="0"/>
              <w:snapToGrid w:val="0"/>
              <w:spacing w:before="0" w:beforeAutospacing="0" w:after="0" w:afterAutospacing="0" w:line="32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2分标：商务条款评审中允许负偏离的条款数为 0项。</w:t>
            </w:r>
          </w:p>
          <w:p w14:paraId="6293873D">
            <w:pPr>
              <w:keepNext w:val="0"/>
              <w:keepLines w:val="0"/>
              <w:suppressLineNumbers w:val="0"/>
              <w:snapToGrid w:val="0"/>
              <w:spacing w:before="0" w:beforeAutospacing="0" w:after="0" w:afterAutospacing="0" w:line="32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技术需求评审中允许负偏离的条款数为 </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 项（负偏离达到1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项或以上则投标无效）。</w:t>
            </w:r>
          </w:p>
          <w:p w14:paraId="4CD7416A">
            <w:pPr>
              <w:keepNext w:val="0"/>
              <w:keepLines w:val="0"/>
              <w:suppressLineNumbers w:val="0"/>
              <w:snapToGrid w:val="0"/>
              <w:spacing w:before="0" w:beforeAutospacing="0" w:after="0" w:afterAutospacing="0" w:line="32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3分标：商务条款评审中允许负偏离的条款数为 0项。</w:t>
            </w:r>
          </w:p>
          <w:p w14:paraId="1C432FBB">
            <w:pPr>
              <w:keepNext w:val="0"/>
              <w:keepLines w:val="0"/>
              <w:suppressLineNumbers w:val="0"/>
              <w:snapToGrid w:val="0"/>
              <w:spacing w:before="0" w:beforeAutospacing="0" w:after="0" w:afterAutospacing="0" w:line="32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技术需求评审中允许负偏离的条款数为 42 项（负偏离达到</w:t>
            </w:r>
            <w:r>
              <w:rPr>
                <w:rFonts w:hint="eastAsia" w:ascii="宋体" w:hAnsi="宋体" w:cs="宋体"/>
                <w:color w:val="auto"/>
                <w:szCs w:val="21"/>
                <w:highlight w:val="none"/>
                <w:lang w:val="en-US" w:eastAsia="zh-CN"/>
              </w:rPr>
              <w:t>43</w:t>
            </w:r>
            <w:r>
              <w:rPr>
                <w:rFonts w:hint="eastAsia" w:ascii="宋体" w:hAnsi="宋体" w:cs="宋体"/>
                <w:color w:val="auto"/>
                <w:szCs w:val="21"/>
                <w:highlight w:val="none"/>
              </w:rPr>
              <w:t>项或以上则投标无效）。</w:t>
            </w:r>
          </w:p>
          <w:p w14:paraId="712391F7">
            <w:pPr>
              <w:keepNext w:val="0"/>
              <w:keepLines w:val="0"/>
              <w:suppressLineNumbers w:val="0"/>
              <w:snapToGrid w:val="0"/>
              <w:spacing w:before="0" w:beforeAutospacing="0" w:after="0" w:afterAutospacing="0" w:line="32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4分标：商务条款评审中允许负偏离的条款数为 0项。</w:t>
            </w:r>
          </w:p>
          <w:p w14:paraId="073F628D">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技术需求评审中允许负偏离的条款数为 4 项（负偏离达到</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项或以上则投标无效）。</w:t>
            </w:r>
          </w:p>
        </w:tc>
      </w:tr>
      <w:tr w14:paraId="581CC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19CBEB9">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2A5159EA">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 xml:space="preserve">确定中标人时，出现中标候选人分数并列的情形，确定中标人方式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6EC06105">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 xml:space="preserve">□采用最低评标价法的，投标文件满足招标文件全部实质性要求且投标报价最低的投标人为排名第一的中标候选人； </w:t>
            </w:r>
          </w:p>
          <w:p w14:paraId="4B837240">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b/>
                <w:color w:val="auto"/>
                <w:szCs w:val="21"/>
                <w:highlight w:val="none"/>
              </w:rPr>
            </w:pPr>
            <w:r>
              <w:rPr>
                <w:rFonts w:hint="default" w:ascii="Segoe UI Symbol" w:hAnsi="Segoe UI Symbol" w:cs="Segoe UI Symbol"/>
                <w:color w:val="auto"/>
                <w:szCs w:val="21"/>
                <w:highlight w:val="none"/>
              </w:rPr>
              <w:t>☑</w:t>
            </w: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14:paraId="20E6C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vAlign w:val="center"/>
          </w:tcPr>
          <w:p w14:paraId="46EE93B1">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3B3C77ED">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796C5303">
            <w:pPr>
              <w:keepNext w:val="0"/>
              <w:keepLines w:val="0"/>
              <w:suppressLineNumbers w:val="0"/>
              <w:autoSpaceDE w:val="0"/>
              <w:autoSpaceDN w:val="0"/>
              <w:snapToGrid w:val="0"/>
              <w:spacing w:before="0" w:beforeAutospacing="0" w:after="0" w:afterAutospacing="0" w:line="320" w:lineRule="exact"/>
              <w:ind w:left="0" w:right="0"/>
              <w:jc w:val="left"/>
              <w:textAlignment w:val="bottom"/>
              <w:rPr>
                <w:rFonts w:hint="default" w:ascii="宋体" w:hAnsi="宋体" w:cs="宋体"/>
                <w:color w:val="auto"/>
                <w:szCs w:val="21"/>
                <w:highlight w:val="none"/>
              </w:rPr>
            </w:pPr>
            <w:r>
              <w:rPr>
                <w:rFonts w:hint="eastAsia" w:ascii="宋体" w:hAnsi="宋体" w:cs="宋体"/>
                <w:color w:val="auto"/>
                <w:szCs w:val="21"/>
                <w:highlight w:val="none"/>
              </w:rPr>
              <w:t>本项目不收取履约保证金。</w:t>
            </w:r>
          </w:p>
        </w:tc>
      </w:tr>
      <w:tr w14:paraId="6FE53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4D4AB432">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6995C4C9">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3596E38A">
            <w:pPr>
              <w:keepNext w:val="0"/>
              <w:keepLines w:val="0"/>
              <w:suppressLineNumbers w:val="0"/>
              <w:autoSpaceDE w:val="0"/>
              <w:autoSpaceDN w:val="0"/>
              <w:snapToGrid w:val="0"/>
              <w:spacing w:before="0" w:beforeAutospacing="0" w:after="0" w:afterAutospacing="0" w:line="320" w:lineRule="exact"/>
              <w:ind w:left="0" w:right="0"/>
              <w:textAlignment w:val="bottom"/>
              <w:rPr>
                <w:rFonts w:hint="default" w:ascii="宋体" w:hAnsi="宋体" w:cs="宋体"/>
                <w:color w:val="auto"/>
                <w:szCs w:val="21"/>
                <w:highlight w:val="none"/>
              </w:rPr>
            </w:pPr>
            <w:r>
              <w:rPr>
                <w:rFonts w:hint="eastAsia" w:ascii="宋体" w:hAnsi="宋体" w:cs="宋体"/>
                <w:color w:val="auto"/>
                <w:szCs w:val="21"/>
                <w:highlight w:val="none"/>
              </w:rPr>
              <w:t>电子采购合同需要供应商通过有效CA证书进行电子签名与签章</w:t>
            </w:r>
          </w:p>
        </w:tc>
      </w:tr>
      <w:tr w14:paraId="44FE2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75" w:type="dxa"/>
            <w:vMerge w:val="restart"/>
            <w:tcBorders>
              <w:top w:val="single" w:color="auto" w:sz="4" w:space="0"/>
              <w:left w:val="single" w:color="auto" w:sz="4" w:space="0"/>
              <w:right w:val="single" w:color="auto" w:sz="4" w:space="0"/>
            </w:tcBorders>
            <w:vAlign w:val="center"/>
          </w:tcPr>
          <w:p w14:paraId="507807E3">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396FF3F2">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4BF33B74">
            <w:pPr>
              <w:keepNext w:val="0"/>
              <w:keepLines w:val="0"/>
              <w:suppressLineNumbers w:val="0"/>
              <w:snapToGrid w:val="0"/>
              <w:spacing w:before="0" w:beforeAutospacing="0" w:after="0" w:afterAutospacing="0" w:line="320" w:lineRule="exact"/>
              <w:ind w:left="0" w:right="0"/>
              <w:rPr>
                <w:rFonts w:hint="default" w:ascii="宋体" w:cs="宋体"/>
                <w:color w:val="auto"/>
                <w:szCs w:val="21"/>
                <w:highlight w:val="none"/>
              </w:rPr>
            </w:pPr>
            <w:r>
              <w:rPr>
                <w:rFonts w:hint="eastAsia" w:ascii="宋体"/>
                <w:color w:val="auto"/>
                <w:szCs w:val="21"/>
                <w:highlight w:val="none"/>
              </w:rPr>
              <w:t>以书面形式</w:t>
            </w:r>
            <w:r>
              <w:rPr>
                <w:rFonts w:hint="eastAsia" w:ascii="宋体" w:cs="宋体"/>
                <w:color w:val="auto"/>
                <w:szCs w:val="21"/>
                <w:highlight w:val="none"/>
              </w:rPr>
              <w:t>（须按照招标文件要求格式）</w:t>
            </w:r>
          </w:p>
          <w:p w14:paraId="75A71A54">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color w:val="auto"/>
                <w:highlight w:val="none"/>
              </w:rPr>
              <w:t>质疑材料接收要求：质疑供应商须按照招标文件“第七章  质疑、投诉证明材料格式”要求，提供相应完整材料内容才受理。材料缺项或未按照质疑材料格式提供的，不予受理，为此造成的后果由供应商自行承担。</w:t>
            </w:r>
          </w:p>
        </w:tc>
      </w:tr>
      <w:tr w14:paraId="4C6E2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right w:val="single" w:color="auto" w:sz="4" w:space="0"/>
            </w:tcBorders>
            <w:vAlign w:val="center"/>
          </w:tcPr>
          <w:p w14:paraId="3569CB88">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0E18B46">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3AFE137A">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u w:val="single"/>
              </w:rPr>
              <w:t xml:space="preserve">（1）广西机电设备招标有限公司 </w:t>
            </w:r>
            <w:r>
              <w:rPr>
                <w:rFonts w:hint="eastAsia" w:ascii="宋体" w:hAnsi="宋体" w:cs="宋体"/>
                <w:color w:val="auto"/>
                <w:szCs w:val="21"/>
                <w:highlight w:val="none"/>
              </w:rPr>
              <w:t>；</w:t>
            </w:r>
          </w:p>
          <w:p w14:paraId="6A7001D8">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bidi="ar"/>
              </w:rPr>
              <w:t>0771-2808981</w:t>
            </w:r>
          </w:p>
          <w:p w14:paraId="0C86DD0A">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广西南宁市金湖路63号金源CBD现代城B座7层</w:t>
            </w:r>
          </w:p>
          <w:p w14:paraId="633B1185">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u w:val="single"/>
              </w:rPr>
              <w:t>（2）南宁职业技术大学</w:t>
            </w:r>
            <w:r>
              <w:rPr>
                <w:rFonts w:hint="eastAsia" w:ascii="宋体" w:hAnsi="宋体" w:cs="宋体"/>
                <w:color w:val="auto"/>
                <w:szCs w:val="21"/>
                <w:highlight w:val="none"/>
              </w:rPr>
              <w:t>；</w:t>
            </w:r>
          </w:p>
          <w:p w14:paraId="66307174">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u w:val="single"/>
              </w:rPr>
            </w:pPr>
            <w:r>
              <w:rPr>
                <w:rFonts w:hint="eastAsia" w:ascii="宋体" w:hAnsi="宋体" w:cs="宋体"/>
                <w:color w:val="auto"/>
                <w:szCs w:val="21"/>
                <w:highlight w:val="none"/>
              </w:rPr>
              <w:t>联系电话：</w:t>
            </w:r>
            <w:r>
              <w:rPr>
                <w:rFonts w:hint="default" w:ascii="宋体" w:hAnsi="宋体" w:cs="宋体"/>
                <w:color w:val="auto"/>
                <w:szCs w:val="21"/>
                <w:highlight w:val="none"/>
                <w:u w:val="single"/>
                <w:lang w:bidi="ar"/>
              </w:rPr>
              <w:t>0771-2029355</w:t>
            </w:r>
            <w:r>
              <w:rPr>
                <w:rFonts w:hint="eastAsia" w:ascii="宋体" w:hAnsi="宋体" w:cs="宋体"/>
                <w:color w:val="auto"/>
                <w:szCs w:val="21"/>
                <w:highlight w:val="none"/>
                <w:u w:val="single"/>
                <w:lang w:bidi="ar"/>
              </w:rPr>
              <w:t xml:space="preserve">     </w:t>
            </w:r>
          </w:p>
          <w:p w14:paraId="1B90B2E4">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cs="宋体"/>
                <w:color w:val="auto"/>
                <w:szCs w:val="21"/>
                <w:highlight w:val="none"/>
                <w:u w:val="single"/>
              </w:rPr>
              <w:t>广西南宁市大学西路169号</w:t>
            </w:r>
          </w:p>
        </w:tc>
      </w:tr>
      <w:tr w14:paraId="6CA403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vMerge w:val="continue"/>
            <w:tcBorders>
              <w:left w:val="single" w:color="auto" w:sz="4" w:space="0"/>
              <w:bottom w:val="single" w:color="auto" w:sz="4" w:space="0"/>
              <w:right w:val="single" w:color="auto" w:sz="4" w:space="0"/>
            </w:tcBorders>
            <w:vAlign w:val="center"/>
          </w:tcPr>
          <w:p w14:paraId="4389FF8E">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9F59923">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782D2300">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szCs w:val="21"/>
                <w:highlight w:val="none"/>
                <w:u w:val="single"/>
                <w:lang w:bidi="ar"/>
              </w:rPr>
              <w:t>8</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30</w:t>
            </w:r>
            <w:r>
              <w:rPr>
                <w:rFonts w:hint="eastAsia" w:ascii="宋体" w:hAnsi="宋体" w:cs="宋体"/>
                <w:color w:val="auto"/>
                <w:szCs w:val="21"/>
                <w:highlight w:val="none"/>
                <w:lang w:bidi="ar"/>
              </w:rPr>
              <w:t>分到</w:t>
            </w:r>
            <w:r>
              <w:rPr>
                <w:rFonts w:hint="eastAsia" w:ascii="宋体" w:hAnsi="宋体" w:cs="宋体"/>
                <w:color w:val="auto"/>
                <w:szCs w:val="21"/>
                <w:highlight w:val="none"/>
                <w:u w:val="single"/>
                <w:lang w:bidi="ar"/>
              </w:rPr>
              <w:t>12</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00</w:t>
            </w:r>
            <w:r>
              <w:rPr>
                <w:rFonts w:hint="eastAsia" w:ascii="宋体" w:hAnsi="宋体" w:cs="宋体"/>
                <w:color w:val="auto"/>
                <w:szCs w:val="21"/>
                <w:highlight w:val="none"/>
                <w:lang w:bidi="ar"/>
              </w:rPr>
              <w:t>分，</w:t>
            </w:r>
            <w:r>
              <w:rPr>
                <w:rFonts w:hint="eastAsia" w:ascii="宋体" w:hAnsi="宋体" w:cs="宋体"/>
                <w:color w:val="auto"/>
                <w:szCs w:val="21"/>
                <w:highlight w:val="none"/>
                <w:u w:val="single"/>
                <w:lang w:bidi="ar"/>
              </w:rPr>
              <w:t>15</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00</w:t>
            </w:r>
            <w:r>
              <w:rPr>
                <w:rFonts w:hint="eastAsia" w:ascii="宋体" w:hAnsi="宋体" w:cs="宋体"/>
                <w:color w:val="auto"/>
                <w:szCs w:val="21"/>
                <w:highlight w:val="none"/>
                <w:lang w:bidi="ar"/>
              </w:rPr>
              <w:t>分到</w:t>
            </w:r>
            <w:r>
              <w:rPr>
                <w:rFonts w:hint="eastAsia" w:ascii="宋体" w:hAnsi="宋体" w:cs="宋体"/>
                <w:color w:val="auto"/>
                <w:szCs w:val="21"/>
                <w:highlight w:val="none"/>
                <w:u w:val="single"/>
                <w:lang w:bidi="ar"/>
              </w:rPr>
              <w:t>17</w:t>
            </w:r>
            <w:r>
              <w:rPr>
                <w:rFonts w:hint="eastAsia" w:ascii="宋体" w:hAnsi="宋体" w:cs="宋体"/>
                <w:color w:val="auto"/>
                <w:szCs w:val="21"/>
                <w:highlight w:val="none"/>
                <w:lang w:bidi="ar"/>
              </w:rPr>
              <w:t>时</w:t>
            </w:r>
            <w:r>
              <w:rPr>
                <w:rFonts w:hint="eastAsia" w:ascii="宋体" w:hAnsi="宋体" w:cs="宋体"/>
                <w:color w:val="auto"/>
                <w:szCs w:val="21"/>
                <w:highlight w:val="none"/>
                <w:u w:val="single"/>
                <w:lang w:bidi="ar"/>
              </w:rPr>
              <w:t>30</w:t>
            </w:r>
            <w:r>
              <w:rPr>
                <w:rFonts w:hint="eastAsia" w:ascii="宋体" w:hAnsi="宋体" w:cs="宋体"/>
                <w:color w:val="auto"/>
                <w:szCs w:val="21"/>
                <w:highlight w:val="none"/>
                <w:lang w:bidi="ar"/>
              </w:rPr>
              <w:t>分</w:t>
            </w:r>
          </w:p>
        </w:tc>
      </w:tr>
      <w:tr w14:paraId="08045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75" w:type="dxa"/>
            <w:tcBorders>
              <w:left w:val="single" w:color="auto" w:sz="4" w:space="0"/>
              <w:bottom w:val="single" w:color="auto" w:sz="4" w:space="0"/>
              <w:right w:val="single" w:color="auto" w:sz="4" w:space="0"/>
            </w:tcBorders>
            <w:vAlign w:val="center"/>
          </w:tcPr>
          <w:p w14:paraId="28C69209">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2779D749">
            <w:pPr>
              <w:keepNext w:val="0"/>
              <w:keepLines w:val="0"/>
              <w:suppressLineNumbers w:val="0"/>
              <w:spacing w:before="0" w:beforeAutospacing="0" w:after="0" w:afterAutospacing="0" w:line="320" w:lineRule="exact"/>
              <w:ind w:left="0" w:right="0"/>
              <w:rPr>
                <w:rFonts w:hint="default" w:ascii="宋体" w:hAnsi="宋体" w:cs="宋体"/>
                <w:color w:val="auto"/>
                <w:highlight w:val="none"/>
              </w:rPr>
            </w:pPr>
            <w:r>
              <w:rPr>
                <w:rFonts w:hint="eastAsia" w:ascii="宋体" w:hAnsi="宋体" w:cs="宋体"/>
                <w:color w:val="auto"/>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3D6AB05B">
            <w:pPr>
              <w:keepNext w:val="0"/>
              <w:keepLines w:val="0"/>
              <w:suppressLineNumbers w:val="0"/>
              <w:snapToGrid w:val="0"/>
              <w:spacing w:before="0" w:beforeAutospacing="0" w:after="0" w:afterAutospacing="0" w:line="320" w:lineRule="exact"/>
              <w:ind w:left="0" w:right="0"/>
              <w:rPr>
                <w:rFonts w:hint="default"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14:paraId="5E3E64D4">
            <w:pPr>
              <w:keepNext w:val="0"/>
              <w:keepLines w:val="0"/>
              <w:suppressLineNumbers w:val="0"/>
              <w:snapToGrid w:val="0"/>
              <w:spacing w:before="0" w:beforeAutospacing="0" w:after="0" w:afterAutospacing="0" w:line="320" w:lineRule="exact"/>
              <w:ind w:left="0" w:right="0"/>
              <w:rPr>
                <w:rFonts w:hint="default" w:ascii="宋体" w:hAnsi="宋体" w:cs="宋体"/>
                <w:color w:val="auto"/>
                <w:highlight w:val="none"/>
              </w:rPr>
            </w:pPr>
            <w:r>
              <w:rPr>
                <w:rFonts w:hint="eastAsia" w:ascii="宋体" w:hAnsi="宋体" w:cs="宋体"/>
                <w:color w:val="auto"/>
                <w:highlight w:val="none"/>
                <w:lang w:bidi="ar"/>
              </w:rPr>
              <w:t>2、地址：</w:t>
            </w:r>
          </w:p>
          <w:p w14:paraId="155496EB">
            <w:pPr>
              <w:keepNext w:val="0"/>
              <w:keepLines w:val="0"/>
              <w:suppressLineNumbers w:val="0"/>
              <w:snapToGrid w:val="0"/>
              <w:spacing w:before="0" w:beforeAutospacing="0" w:after="0" w:afterAutospacing="0" w:line="320" w:lineRule="exact"/>
              <w:ind w:left="0" w:right="0"/>
              <w:rPr>
                <w:rFonts w:hint="default" w:ascii="宋体" w:hAnsi="宋体" w:cs="宋体"/>
                <w:color w:val="auto"/>
                <w:highlight w:val="none"/>
              </w:rPr>
            </w:pPr>
            <w:r>
              <w:rPr>
                <w:rFonts w:hint="eastAsia" w:ascii="宋体" w:hAnsi="宋体" w:cs="宋体"/>
                <w:color w:val="auto"/>
                <w:highlight w:val="none"/>
                <w:lang w:bidi="ar"/>
              </w:rPr>
              <w:t>名称： 南宁市财政局政府采购监督管理科</w:t>
            </w:r>
          </w:p>
          <w:p w14:paraId="06AB339F">
            <w:pPr>
              <w:keepNext w:val="0"/>
              <w:keepLines w:val="0"/>
              <w:suppressLineNumbers w:val="0"/>
              <w:snapToGrid w:val="0"/>
              <w:spacing w:before="0" w:beforeAutospacing="0" w:after="0" w:afterAutospacing="0" w:line="320" w:lineRule="exact"/>
              <w:ind w:left="0" w:right="0"/>
              <w:rPr>
                <w:rFonts w:hint="default" w:ascii="宋体" w:hAnsi="宋体" w:cs="宋体"/>
                <w:color w:val="auto"/>
                <w:highlight w:val="none"/>
              </w:rPr>
            </w:pPr>
            <w:r>
              <w:rPr>
                <w:rFonts w:hint="eastAsia" w:ascii="宋体" w:hAnsi="宋体" w:cs="宋体"/>
                <w:color w:val="auto"/>
                <w:highlight w:val="none"/>
                <w:lang w:bidi="ar"/>
              </w:rPr>
              <w:t>地址： 南宁市青秀区东葛路129号</w:t>
            </w:r>
          </w:p>
          <w:p w14:paraId="11720635">
            <w:pPr>
              <w:keepNext w:val="0"/>
              <w:keepLines w:val="0"/>
              <w:suppressLineNumbers w:val="0"/>
              <w:snapToGrid w:val="0"/>
              <w:spacing w:before="0" w:beforeAutospacing="0" w:after="0" w:afterAutospacing="0" w:line="320" w:lineRule="exact"/>
              <w:ind w:left="0" w:right="0"/>
              <w:rPr>
                <w:rFonts w:hint="default" w:ascii="宋体" w:hAnsi="宋体" w:cs="宋体"/>
                <w:color w:val="auto"/>
                <w:highlight w:val="none"/>
              </w:rPr>
            </w:pPr>
            <w:r>
              <w:rPr>
                <w:rFonts w:hint="eastAsia" w:ascii="宋体" w:hAnsi="宋体" w:cs="宋体"/>
                <w:color w:val="auto"/>
                <w:highlight w:val="none"/>
                <w:lang w:bidi="ar"/>
              </w:rPr>
              <w:t>联系电话：0771-2189091</w:t>
            </w:r>
          </w:p>
        </w:tc>
      </w:tr>
      <w:tr w14:paraId="0C9A6B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75" w:type="dxa"/>
            <w:vMerge w:val="restart"/>
            <w:tcBorders>
              <w:top w:val="single" w:color="auto" w:sz="4" w:space="0"/>
              <w:left w:val="single" w:color="auto" w:sz="4" w:space="0"/>
              <w:right w:val="single" w:color="auto" w:sz="4" w:space="0"/>
            </w:tcBorders>
            <w:vAlign w:val="center"/>
          </w:tcPr>
          <w:p w14:paraId="6380A0B7">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0B093F5A">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32634284">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default" w:ascii="Segoe UI Symbol" w:hAnsi="Segoe UI Symbol" w:cs="Segoe UI Symbol"/>
                <w:color w:val="auto"/>
                <w:highlight w:val="none"/>
              </w:rPr>
              <w:t>☑</w:t>
            </w:r>
            <w:r>
              <w:rPr>
                <w:rFonts w:hint="eastAsia" w:hAnsi="宋体" w:cs="宋体"/>
                <w:color w:val="auto"/>
                <w:highlight w:val="none"/>
              </w:rPr>
              <w:t>本项目代理货物费由</w:t>
            </w:r>
            <w:r>
              <w:rPr>
                <w:rFonts w:hint="eastAsia" w:hAnsi="宋体" w:cs="宋体"/>
                <w:color w:val="auto"/>
                <w:highlight w:val="none"/>
                <w:u w:val="single"/>
              </w:rPr>
              <w:t>中标人</w:t>
            </w:r>
            <w:r>
              <w:rPr>
                <w:rFonts w:hint="eastAsia" w:hAnsi="宋体" w:cs="宋体"/>
                <w:color w:val="auto"/>
                <w:highlight w:val="none"/>
              </w:rPr>
              <w:t>在领取中标通知书前，一次性向采购代理机构支付。</w:t>
            </w:r>
          </w:p>
          <w:p w14:paraId="14E2779C">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highlight w:val="none"/>
              </w:rPr>
              <w:t>□采购人支付。</w:t>
            </w:r>
          </w:p>
          <w:p w14:paraId="73E53194">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highlight w:val="none"/>
              </w:rPr>
              <w:t>□本项目不收取代理服务费。</w:t>
            </w:r>
          </w:p>
        </w:tc>
      </w:tr>
      <w:tr w14:paraId="50E30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675" w:type="dxa"/>
            <w:vMerge w:val="continue"/>
            <w:tcBorders>
              <w:left w:val="single" w:color="auto" w:sz="4" w:space="0"/>
              <w:right w:val="single" w:color="auto" w:sz="4" w:space="0"/>
            </w:tcBorders>
            <w:vAlign w:val="center"/>
          </w:tcPr>
          <w:p w14:paraId="5C9126A1">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AD72AFD">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781DD492">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highlight w:val="none"/>
              </w:rPr>
              <w:t>□以分标（☑中标金额/□采购预算/□暂定中标金额/□其他</w:t>
            </w:r>
            <w:r>
              <w:rPr>
                <w:rFonts w:hint="eastAsia" w:hAnsi="宋体" w:cs="宋体"/>
                <w:color w:val="auto"/>
                <w:highlight w:val="none"/>
                <w:u w:val="single"/>
              </w:rPr>
              <w:t xml:space="preserve">   </w:t>
            </w:r>
            <w:r>
              <w:rPr>
                <w:rFonts w:hint="eastAsia" w:hAnsi="宋体" w:cs="宋体"/>
                <w:color w:val="auto"/>
                <w:highlight w:val="none"/>
              </w:rPr>
              <w:t>）为计费额，按货物招标采用差额定率累进法计算出收费基准价格，采购代理收费以（□收费基准价格/☑收费基准价格下浮</w:t>
            </w:r>
            <w:r>
              <w:rPr>
                <w:rFonts w:hint="eastAsia" w:hAnsi="宋体" w:cs="宋体"/>
                <w:color w:val="auto"/>
                <w:highlight w:val="none"/>
                <w:u w:val="single"/>
              </w:rPr>
              <w:t xml:space="preserve"> 20%</w:t>
            </w:r>
            <w:r>
              <w:rPr>
                <w:rFonts w:hint="eastAsia" w:hAnsi="宋体" w:cs="宋体"/>
                <w:color w:val="auto"/>
                <w:highlight w:val="none"/>
                <w:u w:val="single"/>
                <w:lang w:val="en-US" w:eastAsia="zh-CN"/>
              </w:rPr>
              <w:t>/</w:t>
            </w:r>
            <w:r>
              <w:rPr>
                <w:rFonts w:hint="eastAsia" w:hAnsi="宋体" w:cs="宋体"/>
                <w:color w:val="auto"/>
                <w:highlight w:val="none"/>
              </w:rPr>
              <w:t>□收费基准价格上浮</w:t>
            </w:r>
            <w:r>
              <w:rPr>
                <w:rFonts w:hint="eastAsia" w:hAnsi="宋体" w:cs="宋体"/>
                <w:color w:val="auto"/>
                <w:highlight w:val="none"/>
                <w:u w:val="single"/>
              </w:rPr>
              <w:t xml:space="preserve">   %</w:t>
            </w:r>
            <w:r>
              <w:rPr>
                <w:rFonts w:hint="eastAsia" w:hAnsi="宋体" w:cs="宋体"/>
                <w:color w:val="auto"/>
                <w:highlight w:val="none"/>
              </w:rPr>
              <w:t>）收取。</w:t>
            </w:r>
          </w:p>
          <w:p w14:paraId="3CEE0A39">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u w:val="single"/>
              </w:rPr>
            </w:pPr>
            <w:r>
              <w:rPr>
                <w:rFonts w:hint="eastAsia" w:hAnsi="宋体" w:cs="宋体"/>
                <w:color w:val="auto"/>
                <w:highlight w:val="none"/>
              </w:rPr>
              <w:t>□固定采购代理收费</w:t>
            </w:r>
            <w:r>
              <w:rPr>
                <w:rFonts w:hint="eastAsia" w:hAnsi="宋体" w:cs="宋体"/>
                <w:color w:val="auto"/>
                <w:highlight w:val="none"/>
                <w:u w:val="single"/>
              </w:rPr>
              <w:t xml:space="preserve">       /       。</w:t>
            </w:r>
          </w:p>
        </w:tc>
      </w:tr>
      <w:tr w14:paraId="224D9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675" w:type="dxa"/>
            <w:vMerge w:val="continue"/>
            <w:tcBorders>
              <w:left w:val="single" w:color="auto" w:sz="4" w:space="0"/>
              <w:bottom w:val="single" w:color="auto" w:sz="4" w:space="0"/>
              <w:right w:val="single" w:color="auto" w:sz="4" w:space="0"/>
            </w:tcBorders>
            <w:vAlign w:val="center"/>
          </w:tcPr>
          <w:p w14:paraId="05BD6810">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1771518">
            <w:pPr>
              <w:keepNext w:val="0"/>
              <w:keepLines w:val="0"/>
              <w:suppressLineNumbers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2EDF5782">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highlight w:val="none"/>
              </w:rPr>
              <w:t>账户名称：</w:t>
            </w:r>
            <w:r>
              <w:rPr>
                <w:rFonts w:hint="eastAsia" w:hAnsi="宋体" w:cs="宋体"/>
                <w:color w:val="auto"/>
                <w:szCs w:val="21"/>
                <w:highlight w:val="none"/>
                <w:lang w:bidi="ar"/>
              </w:rPr>
              <w:t>广西机电设备招标有限公司</w:t>
            </w:r>
            <w:r>
              <w:rPr>
                <w:rFonts w:hint="eastAsia" w:hAnsi="宋体" w:cs="宋体"/>
                <w:color w:val="auto"/>
                <w:highlight w:val="none"/>
              </w:rPr>
              <w:t xml:space="preserve"> </w:t>
            </w:r>
          </w:p>
          <w:p w14:paraId="2F2C5EA7">
            <w:pPr>
              <w:pStyle w:val="15"/>
              <w:keepNext w:val="0"/>
              <w:keepLines w:val="0"/>
              <w:suppressLineNumbers w:val="0"/>
              <w:snapToGrid w:val="0"/>
              <w:spacing w:before="0" w:beforeAutospacing="0" w:after="0" w:afterAutospacing="0" w:line="320" w:lineRule="exact"/>
              <w:ind w:left="0" w:right="0"/>
              <w:rPr>
                <w:rFonts w:hint="default" w:hAnsi="宋体" w:cs="宋体"/>
                <w:color w:val="auto"/>
                <w:szCs w:val="24"/>
                <w:highlight w:val="none"/>
                <w:lang w:bidi="ar"/>
              </w:rPr>
            </w:pPr>
            <w:r>
              <w:rPr>
                <w:rFonts w:hint="eastAsia" w:hAnsi="宋体" w:cs="宋体"/>
                <w:color w:val="auto"/>
                <w:highlight w:val="none"/>
              </w:rPr>
              <w:t>开户银行：交通银行南宁金源支行</w:t>
            </w:r>
            <w:r>
              <w:rPr>
                <w:rFonts w:hint="eastAsia" w:hAnsi="宋体" w:cs="宋体"/>
                <w:color w:val="auto"/>
                <w:szCs w:val="24"/>
                <w:highlight w:val="none"/>
                <w:lang w:bidi="ar"/>
              </w:rPr>
              <w:t xml:space="preserve"> </w:t>
            </w:r>
          </w:p>
          <w:p w14:paraId="1DBC954D">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szCs w:val="24"/>
                <w:highlight w:val="none"/>
                <w:lang w:bidi="ar"/>
              </w:rPr>
              <w:t>（银行地址：南宁市金湖路63号）</w:t>
            </w:r>
            <w:r>
              <w:rPr>
                <w:rFonts w:hint="eastAsia" w:hAnsi="宋体" w:cs="宋体"/>
                <w:color w:val="auto"/>
                <w:highlight w:val="none"/>
              </w:rPr>
              <w:t xml:space="preserve"> </w:t>
            </w:r>
          </w:p>
          <w:p w14:paraId="52E906A5">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highlight w:val="none"/>
              </w:rPr>
              <w:t>银行账号：</w:t>
            </w:r>
            <w:r>
              <w:rPr>
                <w:rFonts w:hint="default" w:hAnsi="宋体" w:cs="宋体"/>
                <w:color w:val="auto"/>
                <w:highlight w:val="none"/>
              </w:rPr>
              <w:t>451060309018010001774</w:t>
            </w:r>
            <w:r>
              <w:rPr>
                <w:rFonts w:hint="eastAsia" w:hAnsi="宋体" w:cs="宋体"/>
                <w:color w:val="auto"/>
                <w:highlight w:val="none"/>
              </w:rPr>
              <w:t>(联行号 301611000373)</w:t>
            </w:r>
            <w:r>
              <w:rPr>
                <w:rFonts w:hint="eastAsia" w:hAnsi="宋体" w:cs="宋体"/>
                <w:color w:val="auto"/>
                <w:szCs w:val="21"/>
                <w:highlight w:val="none"/>
                <w:lang w:bidi="ar"/>
              </w:rPr>
              <w:t xml:space="preserve"> </w:t>
            </w:r>
            <w:r>
              <w:rPr>
                <w:rFonts w:hint="eastAsia" w:hAnsi="宋体" w:cs="宋体"/>
                <w:color w:val="auto"/>
                <w:highlight w:val="none"/>
              </w:rPr>
              <w:t xml:space="preserve"> </w:t>
            </w:r>
          </w:p>
          <w:p w14:paraId="4C19C437">
            <w:pPr>
              <w:pStyle w:val="15"/>
              <w:keepNext w:val="0"/>
              <w:keepLines w:val="0"/>
              <w:suppressLineNumbers w:val="0"/>
              <w:snapToGrid w:val="0"/>
              <w:spacing w:before="0" w:beforeAutospacing="0" w:after="0" w:afterAutospacing="0" w:line="320" w:lineRule="exact"/>
              <w:ind w:left="0" w:right="0"/>
              <w:rPr>
                <w:rFonts w:hint="default" w:hAnsi="宋体" w:cs="宋体"/>
                <w:color w:val="auto"/>
                <w:highlight w:val="none"/>
              </w:rPr>
            </w:pPr>
            <w:r>
              <w:rPr>
                <w:rFonts w:hint="eastAsia" w:hAnsi="宋体" w:cs="宋体"/>
                <w:color w:val="auto"/>
                <w:highlight w:val="none"/>
              </w:rPr>
              <w:t>财务联系人：吴茜（电话：0771-2821398）</w:t>
            </w:r>
          </w:p>
        </w:tc>
      </w:tr>
      <w:tr w14:paraId="30C1D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7FA37F1F">
            <w:pPr>
              <w:keepNext w:val="0"/>
              <w:keepLines w:val="0"/>
              <w:suppressLineNumbers w:val="0"/>
              <w:snapToGrid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78AB8FBE">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3A8768C4">
            <w:pPr>
              <w:keepNext w:val="0"/>
              <w:keepLines w:val="0"/>
              <w:suppressLineNumbers w:val="0"/>
              <w:snapToGrid w:val="0"/>
              <w:spacing w:before="0" w:beforeAutospacing="0" w:after="0" w:afterAutospacing="0" w:line="320" w:lineRule="exact"/>
              <w:ind w:left="0" w:right="0" w:firstLine="422"/>
              <w:rPr>
                <w:rFonts w:hint="default" w:ascii="宋体" w:hAnsi="宋体" w:cs="宋体"/>
                <w:b/>
                <w:color w:val="auto"/>
                <w:szCs w:val="21"/>
                <w:highlight w:val="none"/>
              </w:rPr>
            </w:pPr>
            <w:r>
              <w:rPr>
                <w:rFonts w:hint="eastAsia" w:ascii="宋体" w:hAnsi="宋体" w:cs="宋体"/>
                <w:b/>
                <w:color w:val="auto"/>
                <w:szCs w:val="21"/>
                <w:highlight w:val="none"/>
              </w:rPr>
              <w:t>解释权：</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3BD310AD">
            <w:pPr>
              <w:keepNext w:val="0"/>
              <w:keepLines w:val="0"/>
              <w:suppressLineNumbers w:val="0"/>
              <w:snapToGrid w:val="0"/>
              <w:spacing w:before="0" w:beforeAutospacing="0" w:after="0" w:afterAutospacing="0" w:line="320" w:lineRule="exact"/>
              <w:ind w:left="0" w:right="0" w:firstLine="422"/>
              <w:rPr>
                <w:rFonts w:hint="default" w:ascii="宋体" w:hAnsi="宋体" w:cs="宋体"/>
                <w:color w:val="auto"/>
                <w:szCs w:val="21"/>
                <w:highlight w:val="none"/>
              </w:rPr>
            </w:pPr>
            <w:r>
              <w:rPr>
                <w:rFonts w:hint="eastAsia" w:ascii="宋体" w:hAnsi="宋体" w:cs="宋体"/>
                <w:b/>
                <w:color w:val="auto"/>
                <w:szCs w:val="21"/>
                <w:highlight w:val="none"/>
              </w:rPr>
              <w:t>法律责任：</w:t>
            </w:r>
            <w:r>
              <w:rPr>
                <w:rFonts w:hint="eastAsia" w:ascii="宋体" w:hAnsi="宋体" w:cs="宋体"/>
                <w:color w:val="auto"/>
                <w:szCs w:val="21"/>
                <w:highlight w:val="none"/>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7106B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14:paraId="3A00A286">
            <w:pPr>
              <w:keepNext w:val="0"/>
              <w:keepLines w:val="0"/>
              <w:suppressLineNumbers w:val="0"/>
              <w:snapToGrid w:val="0"/>
              <w:spacing w:before="0" w:beforeAutospacing="0" w:after="0" w:afterAutospacing="0" w:line="32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56C7E0AB">
            <w:pPr>
              <w:keepNext w:val="0"/>
              <w:keepLines w:val="0"/>
              <w:suppressLineNumbers w:val="0"/>
              <w:snapToGrid w:val="0"/>
              <w:spacing w:before="0" w:beforeAutospacing="0" w:after="0" w:afterAutospacing="0" w:line="32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512C209C">
            <w:pPr>
              <w:pStyle w:val="15"/>
              <w:keepNext w:val="0"/>
              <w:keepLines w:val="0"/>
              <w:suppressLineNumbers w:val="0"/>
              <w:snapToGrid w:val="0"/>
              <w:spacing w:before="0" w:beforeAutospacing="0" w:after="0" w:afterAutospacing="0" w:line="320" w:lineRule="exact"/>
              <w:ind w:left="0" w:right="0" w:firstLine="422"/>
              <w:rPr>
                <w:rFonts w:hint="default" w:hAnsi="宋体" w:cs="宋体"/>
                <w:b/>
                <w:bCs/>
                <w:color w:val="auto"/>
                <w:highlight w:val="none"/>
              </w:rPr>
            </w:pPr>
            <w:r>
              <w:rPr>
                <w:rFonts w:hint="eastAsia" w:hAnsi="宋体" w:cs="宋体"/>
                <w:b/>
                <w:bCs/>
                <w:color w:val="auto"/>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89B484D">
            <w:pPr>
              <w:pStyle w:val="15"/>
              <w:keepNext w:val="0"/>
              <w:keepLines w:val="0"/>
              <w:suppressLineNumbers w:val="0"/>
              <w:snapToGrid w:val="0"/>
              <w:spacing w:before="0" w:beforeAutospacing="0" w:after="0" w:afterAutospacing="0" w:line="320" w:lineRule="exact"/>
              <w:ind w:left="0" w:right="0" w:firstLine="422"/>
              <w:rPr>
                <w:rFonts w:hint="default" w:hAnsi="宋体" w:cs="宋体"/>
                <w:b/>
                <w:bCs/>
                <w:color w:val="auto"/>
                <w:highlight w:val="none"/>
              </w:rPr>
            </w:pPr>
            <w:r>
              <w:rPr>
                <w:rFonts w:hint="eastAsia" w:hAnsi="宋体" w:cs="宋体"/>
                <w:b/>
                <w:bCs/>
                <w:color w:val="auto"/>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5B9E035">
            <w:pPr>
              <w:pStyle w:val="15"/>
              <w:keepNext w:val="0"/>
              <w:keepLines w:val="0"/>
              <w:suppressLineNumbers w:val="0"/>
              <w:snapToGrid w:val="0"/>
              <w:spacing w:before="0" w:beforeAutospacing="0" w:after="0" w:afterAutospacing="0" w:line="320" w:lineRule="exact"/>
              <w:ind w:left="0" w:right="0" w:firstLine="422"/>
              <w:rPr>
                <w:rFonts w:hint="default" w:hAnsi="宋体" w:cs="宋体"/>
                <w:b/>
                <w:bCs/>
                <w:color w:val="auto"/>
                <w:highlight w:val="none"/>
              </w:rPr>
            </w:pPr>
            <w:r>
              <w:rPr>
                <w:rFonts w:hint="eastAsia" w:hAnsi="宋体" w:cs="宋体"/>
                <w:b/>
                <w:bCs/>
                <w:color w:val="auto"/>
                <w:highlight w:val="none"/>
              </w:rPr>
              <w:t>3.本招标文件中描述投标人的“签字”是指投标人的法定代表人或者委托代理人亲自在文件规定签署处亲笔写上个人的名字的行为，私章、签字章、印鉴、影印等其他形式均不能代替亲笔签字。</w:t>
            </w:r>
          </w:p>
          <w:p w14:paraId="053D5815">
            <w:pPr>
              <w:pStyle w:val="15"/>
              <w:keepNext w:val="0"/>
              <w:keepLines w:val="0"/>
              <w:suppressLineNumbers w:val="0"/>
              <w:snapToGrid w:val="0"/>
              <w:spacing w:before="0" w:beforeAutospacing="0" w:after="0" w:afterAutospacing="0" w:line="320" w:lineRule="exact"/>
              <w:ind w:left="0" w:right="0" w:firstLine="422"/>
              <w:rPr>
                <w:rFonts w:hint="default" w:hAnsi="宋体" w:cs="宋体"/>
                <w:b/>
                <w:bCs/>
                <w:color w:val="auto"/>
                <w:highlight w:val="none"/>
              </w:rPr>
            </w:pPr>
            <w:r>
              <w:rPr>
                <w:rFonts w:hint="eastAsia" w:hAnsi="宋体" w:cs="宋体"/>
                <w:b/>
                <w:bCs/>
                <w:color w:val="auto"/>
                <w:highlight w:val="none"/>
              </w:rPr>
              <w:t>4.自然人投标的，招标文件规定盖公章处由自然人摁手指指印。</w:t>
            </w:r>
          </w:p>
          <w:p w14:paraId="60912C03">
            <w:pPr>
              <w:keepNext w:val="0"/>
              <w:keepLines w:val="0"/>
              <w:suppressLineNumbers w:val="0"/>
              <w:spacing w:before="0" w:beforeAutospacing="0" w:after="0" w:afterAutospacing="0" w:line="320" w:lineRule="exact"/>
              <w:ind w:left="0" w:right="0" w:firstLine="422"/>
              <w:jc w:val="left"/>
              <w:rPr>
                <w:rFonts w:hint="default"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14:paraId="42255042">
      <w:pPr>
        <w:spacing w:line="377" w:lineRule="auto"/>
        <w:ind w:firstLine="561"/>
        <w:rPr>
          <w:color w:val="auto"/>
          <w:highlight w:val="none"/>
        </w:rPr>
      </w:pPr>
    </w:p>
    <w:p w14:paraId="5F412622">
      <w:pPr>
        <w:widowControl/>
        <w:jc w:val="left"/>
        <w:rPr>
          <w:rFonts w:ascii="宋体" w:hAnsi="宋体"/>
          <w:b/>
          <w:bCs/>
          <w:color w:val="auto"/>
          <w:sz w:val="32"/>
          <w:szCs w:val="32"/>
          <w:highlight w:val="none"/>
        </w:rPr>
      </w:pPr>
      <w:bookmarkStart w:id="45" w:name="_Toc118383678"/>
      <w:r>
        <w:rPr>
          <w:rFonts w:hint="eastAsia" w:ascii="宋体" w:hAnsi="宋体"/>
          <w:color w:val="auto"/>
          <w:highlight w:val="none"/>
        </w:rPr>
        <w:br w:type="page"/>
      </w:r>
    </w:p>
    <w:p w14:paraId="04937066">
      <w:pPr>
        <w:pStyle w:val="3"/>
        <w:ind w:firstLine="643"/>
        <w:jc w:val="center"/>
        <w:rPr>
          <w:rFonts w:ascii="宋体" w:hAnsi="宋体" w:eastAsia="宋体"/>
          <w:color w:val="auto"/>
          <w:highlight w:val="none"/>
        </w:rPr>
      </w:pPr>
      <w:r>
        <w:rPr>
          <w:rFonts w:hint="eastAsia" w:ascii="宋体" w:hAnsi="宋体" w:eastAsia="宋体"/>
          <w:color w:val="auto"/>
          <w:highlight w:val="none"/>
        </w:rPr>
        <w:t>第二节</w:t>
      </w:r>
      <w:r>
        <w:rPr>
          <w:rFonts w:ascii="宋体" w:hAnsi="宋体" w:eastAsia="宋体"/>
          <w:color w:val="auto"/>
          <w:highlight w:val="none"/>
        </w:rPr>
        <w:t xml:space="preserve"> </w:t>
      </w:r>
      <w:r>
        <w:rPr>
          <w:rFonts w:hint="eastAsia" w:ascii="宋体" w:hAnsi="宋体" w:eastAsia="宋体"/>
          <w:color w:val="auto"/>
          <w:highlight w:val="none"/>
        </w:rPr>
        <w:t>投标人须知正文</w:t>
      </w:r>
      <w:bookmarkEnd w:id="45"/>
    </w:p>
    <w:p w14:paraId="37E7EF8C">
      <w:pPr>
        <w:pStyle w:val="4"/>
        <w:keepNext w:val="0"/>
        <w:keepLines w:val="0"/>
        <w:spacing w:line="400" w:lineRule="exact"/>
        <w:jc w:val="center"/>
        <w:rPr>
          <w:rFonts w:ascii="宋体" w:hAnsi="宋体"/>
          <w:color w:val="auto"/>
          <w:highlight w:val="none"/>
        </w:rPr>
      </w:pPr>
      <w:bookmarkStart w:id="46" w:name="_Toc118383679"/>
      <w:r>
        <w:rPr>
          <w:rFonts w:hint="eastAsia" w:ascii="宋体" w:hAnsi="宋体"/>
          <w:color w:val="auto"/>
          <w:highlight w:val="none"/>
        </w:rPr>
        <w:t>一、总</w:t>
      </w:r>
      <w:r>
        <w:rPr>
          <w:rFonts w:ascii="宋体" w:hAnsi="宋体"/>
          <w:color w:val="auto"/>
          <w:highlight w:val="none"/>
        </w:rPr>
        <w:t xml:space="preserve">  </w:t>
      </w:r>
      <w:r>
        <w:rPr>
          <w:rFonts w:hint="eastAsia" w:ascii="宋体" w:hAnsi="宋体"/>
          <w:color w:val="auto"/>
          <w:highlight w:val="none"/>
        </w:rPr>
        <w:t>则</w:t>
      </w:r>
      <w:bookmarkEnd w:id="46"/>
    </w:p>
    <w:p w14:paraId="6A63F249">
      <w:pPr>
        <w:spacing w:line="360" w:lineRule="auto"/>
        <w:ind w:firstLine="480" w:firstLineChars="200"/>
        <w:rPr>
          <w:rFonts w:ascii="宋体" w:hAnsi="宋体"/>
          <w:color w:val="auto"/>
          <w:sz w:val="24"/>
          <w:highlight w:val="none"/>
        </w:rPr>
      </w:pPr>
      <w:bookmarkStart w:id="47" w:name="_Toc254970527"/>
      <w:bookmarkStart w:id="48" w:name="_Toc254970668"/>
      <w:r>
        <w:rPr>
          <w:rFonts w:hint="eastAsia" w:ascii="宋体" w:hAnsi="宋体"/>
          <w:color w:val="auto"/>
          <w:sz w:val="24"/>
          <w:highlight w:val="none"/>
        </w:rPr>
        <w:t>1.适用范围</w:t>
      </w:r>
      <w:bookmarkEnd w:id="47"/>
      <w:bookmarkEnd w:id="48"/>
    </w:p>
    <w:p w14:paraId="5F54E8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货物招标投标管理办法》及本项目本级和上级财政部门政府采购有关规定的约束和保护。</w:t>
      </w:r>
    </w:p>
    <w:p w14:paraId="6D0A87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30C4305A">
      <w:pPr>
        <w:spacing w:line="360" w:lineRule="auto"/>
        <w:ind w:firstLine="480" w:firstLineChars="200"/>
        <w:rPr>
          <w:rFonts w:ascii="宋体" w:hAnsi="宋体"/>
          <w:color w:val="auto"/>
          <w:sz w:val="24"/>
          <w:highlight w:val="none"/>
        </w:rPr>
      </w:pPr>
      <w:bookmarkStart w:id="49" w:name="_Toc254970669"/>
      <w:bookmarkStart w:id="50" w:name="_Toc254970528"/>
      <w:r>
        <w:rPr>
          <w:rFonts w:hint="eastAsia" w:ascii="宋体" w:hAnsi="宋体"/>
          <w:color w:val="auto"/>
          <w:sz w:val="24"/>
          <w:highlight w:val="none"/>
        </w:rPr>
        <w:t>2.定义</w:t>
      </w:r>
      <w:bookmarkEnd w:id="49"/>
      <w:bookmarkEnd w:id="50"/>
    </w:p>
    <w:p w14:paraId="4DABFF2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68E8D7A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0936390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7CF963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2.4“投标人”是指响应招标、参加投标竞争的法人、非法人组织或者自然人。</w:t>
      </w:r>
    </w:p>
    <w:p w14:paraId="679FCF8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2.5“货物”是指各种形态和种类的物品，包括原材料、燃料、设备、产品等。</w:t>
      </w:r>
    </w:p>
    <w:p w14:paraId="0A7FD22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2.6“售后服务” 是指商品出售以后所提供的各种服务，包含但不限于投标人须承担的备品备件、包装、运输、装卸、保险、货到就位以及安装、调试、培训、保修以及其他各种服务。</w:t>
      </w:r>
    </w:p>
    <w:p w14:paraId="274B5661">
      <w:pPr>
        <w:spacing w:line="360" w:lineRule="auto"/>
        <w:rPr>
          <w:rFonts w:ascii="宋体" w:hAnsi="宋体"/>
          <w:color w:val="auto"/>
          <w:szCs w:val="21"/>
          <w:highlight w:val="none"/>
        </w:rPr>
      </w:pPr>
      <w:r>
        <w:rPr>
          <w:rFonts w:hint="eastAsia" w:ascii="宋体" w:hAnsi="宋体"/>
          <w:color w:val="auto"/>
          <w:szCs w:val="21"/>
          <w:highlight w:val="none"/>
        </w:rPr>
        <w:t xml:space="preserve">    2.7“书面形式”是指合同书、信件和数据电文（包括电报、电传、传真、电子数据交换和电子邮件）等可以有形地表现所载内容的形式。</w:t>
      </w:r>
    </w:p>
    <w:p w14:paraId="539465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2.8“实质性要求”是指招标文件中已经指明不满足则投标无效的条款，或者不能负偏离的条款，或者采购需求中带“▲”的条款。</w:t>
      </w:r>
    </w:p>
    <w:p w14:paraId="5F906FE7">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 xml:space="preserve">2.9 </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1342116F">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2.10“负偏离”，是指投标文件对招标文件“采购需求”中有关条款作出的响应不满足条款要求，导致采购人要求不能得到满足的情形。</w:t>
      </w:r>
    </w:p>
    <w:p w14:paraId="329D4027">
      <w:pPr>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2.11</w:t>
      </w:r>
      <w:r>
        <w:rPr>
          <w:rFonts w:hint="eastAsia" w:ascii="宋体" w:hAnsi="宋体" w:cs="宋体"/>
          <w:color w:val="auto"/>
          <w:szCs w:val="21"/>
          <w:highlight w:val="none"/>
        </w:rPr>
        <w:t>“允许负偏离的条款”是指采购需求中的不属于“实质性要求”的条款。</w:t>
      </w:r>
    </w:p>
    <w:p w14:paraId="1BDCD776">
      <w:pPr>
        <w:spacing w:line="360" w:lineRule="auto"/>
        <w:ind w:firstLine="480" w:firstLineChars="200"/>
        <w:rPr>
          <w:rFonts w:ascii="宋体" w:hAnsi="宋体"/>
          <w:color w:val="auto"/>
          <w:sz w:val="24"/>
          <w:highlight w:val="none"/>
        </w:rPr>
      </w:pPr>
      <w:bookmarkStart w:id="51" w:name="_Toc254970529"/>
      <w:bookmarkStart w:id="52" w:name="_Toc254970670"/>
      <w:r>
        <w:rPr>
          <w:rFonts w:hint="eastAsia" w:ascii="宋体" w:hAnsi="宋体"/>
          <w:color w:val="auto"/>
          <w:sz w:val="24"/>
          <w:highlight w:val="none"/>
        </w:rPr>
        <w:t>3.</w:t>
      </w:r>
      <w:bookmarkEnd w:id="51"/>
      <w:bookmarkEnd w:id="52"/>
      <w:r>
        <w:rPr>
          <w:rFonts w:hint="eastAsia" w:ascii="宋体" w:hAnsi="宋体"/>
          <w:color w:val="auto"/>
          <w:sz w:val="24"/>
          <w:highlight w:val="none"/>
        </w:rPr>
        <w:t>投标人的资格要求</w:t>
      </w:r>
    </w:p>
    <w:p w14:paraId="794173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14:paraId="4EB1AEEC">
      <w:pPr>
        <w:spacing w:line="360" w:lineRule="auto"/>
        <w:ind w:firstLine="480" w:firstLineChars="200"/>
        <w:rPr>
          <w:rFonts w:ascii="宋体" w:hAnsi="宋体"/>
          <w:color w:val="auto"/>
          <w:sz w:val="24"/>
          <w:highlight w:val="none"/>
        </w:rPr>
      </w:pPr>
      <w:bookmarkStart w:id="53" w:name="_Toc254970671"/>
      <w:bookmarkStart w:id="54" w:name="_Toc254970530"/>
      <w:r>
        <w:rPr>
          <w:rFonts w:hint="eastAsia" w:ascii="宋体" w:hAnsi="宋体"/>
          <w:color w:val="auto"/>
          <w:sz w:val="24"/>
          <w:highlight w:val="none"/>
        </w:rPr>
        <w:t>4.投标委托</w:t>
      </w:r>
      <w:bookmarkEnd w:id="53"/>
      <w:bookmarkEnd w:id="54"/>
    </w:p>
    <w:p w14:paraId="2BA7E3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投标人代表参加投标活动过程中必须携带个人有效身份证件。如投标人代表不是法定代表人，须持有法定代表人授权委托书（正本用原件，副本用复印件，按第六章要求格式填写）。</w:t>
      </w:r>
    </w:p>
    <w:p w14:paraId="36485020">
      <w:pPr>
        <w:spacing w:line="360" w:lineRule="auto"/>
        <w:ind w:firstLine="480" w:firstLineChars="200"/>
        <w:rPr>
          <w:rFonts w:ascii="宋体" w:hAnsi="宋体"/>
          <w:color w:val="auto"/>
          <w:sz w:val="24"/>
          <w:highlight w:val="none"/>
        </w:rPr>
      </w:pPr>
      <w:bookmarkStart w:id="55" w:name="_5.投标费用"/>
      <w:bookmarkEnd w:id="55"/>
      <w:bookmarkStart w:id="56" w:name="_Toc254970531"/>
      <w:bookmarkStart w:id="57" w:name="_Toc254970672"/>
      <w:r>
        <w:rPr>
          <w:rFonts w:hint="eastAsia" w:ascii="宋体" w:hAnsi="宋体"/>
          <w:color w:val="auto"/>
          <w:sz w:val="24"/>
          <w:highlight w:val="none"/>
        </w:rPr>
        <w:t>5.投标费用</w:t>
      </w:r>
      <w:bookmarkEnd w:id="56"/>
      <w:bookmarkEnd w:id="57"/>
    </w:p>
    <w:p w14:paraId="2261E68D">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BE7BE0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6.联合体投标</w:t>
      </w:r>
    </w:p>
    <w:p w14:paraId="63F7B9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2C33F39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4D4836C5">
      <w:pPr>
        <w:spacing w:line="360" w:lineRule="auto"/>
        <w:ind w:firstLine="420" w:firstLineChars="200"/>
        <w:rPr>
          <w:rFonts w:ascii="宋体" w:hAnsi="宋体"/>
          <w:bCs/>
          <w:color w:val="auto"/>
          <w:sz w:val="24"/>
          <w:szCs w:val="21"/>
          <w:highlight w:val="none"/>
          <w:shd w:val="clear" w:color="auto" w:fill="FFFFFF"/>
        </w:rPr>
      </w:pPr>
      <w:r>
        <w:rPr>
          <w:rFonts w:hint="eastAsia" w:ascii="宋体" w:hAnsi="宋体"/>
          <w:bCs/>
          <w:color w:val="auto"/>
          <w:szCs w:val="21"/>
          <w:highlight w:val="none"/>
        </w:rPr>
        <w:t>6.3根据《政府采购促进中小企业发展管理办法》（财库[2020]46号）第九条、《广西壮族自治区财政厅关于进一步发挥政府采购政策功能促进企业发展的通知》（桂财采〔2022〕30号）、及《广西壮族自治区财政厅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30%以上的，采购人、采购代理机构应当对联合体的报价给予4%-6%（工程项目为 1%—2%）的扣除，用扣除后的价格参加评审。组成联合体的小微企业与联合体内其他企业、分包企业之间存在直接控股、管理关系的，不享受价格扣除优惠政策。</w:t>
      </w:r>
    </w:p>
    <w:p w14:paraId="2D401A7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7.转包与分包             </w:t>
      </w:r>
    </w:p>
    <w:p w14:paraId="2984C2E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13B67E3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3F5F15B9">
      <w:pPr>
        <w:spacing w:line="360" w:lineRule="auto"/>
        <w:ind w:firstLine="480" w:firstLineChars="200"/>
        <w:rPr>
          <w:rFonts w:ascii="宋体" w:hAnsi="宋体"/>
          <w:color w:val="auto"/>
          <w:sz w:val="24"/>
          <w:highlight w:val="none"/>
        </w:rPr>
      </w:pPr>
      <w:bookmarkStart w:id="58" w:name="_Toc254970673"/>
      <w:bookmarkStart w:id="59" w:name="_Toc254970532"/>
      <w:r>
        <w:rPr>
          <w:rFonts w:hint="eastAsia" w:ascii="宋体" w:hAnsi="宋体"/>
          <w:color w:val="auto"/>
          <w:sz w:val="24"/>
          <w:highlight w:val="none"/>
        </w:rPr>
        <w:t>8.特别说明：</w:t>
      </w:r>
      <w:bookmarkEnd w:id="58"/>
      <w:bookmarkEnd w:id="59"/>
      <w:bookmarkStart w:id="60" w:name="_8.1提供相同品牌产品且通过资格审查、符合性审查的不同投标人参加同一合"/>
      <w:bookmarkEnd w:id="60"/>
    </w:p>
    <w:p w14:paraId="2B6D0A9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8.1如果本招标文件要求投标人提供资格、信誉、荣誉、业绩与企业认证等材料的，则投标人所提供的以上材料必须为投标人所拥有。</w:t>
      </w:r>
    </w:p>
    <w:p w14:paraId="22216F8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14:paraId="2FB454C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28DB5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9.回避与串通投标</w:t>
      </w:r>
    </w:p>
    <w:p w14:paraId="1B37200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9.1在政府采购活动中，采购人员及相关人员与供应商有下列利害关系之一的，应当回避：</w:t>
      </w:r>
    </w:p>
    <w:p w14:paraId="1BCFDD93">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）参加采购活动前</w:t>
      </w:r>
      <w:r>
        <w:rPr>
          <w:rFonts w:ascii="宋体" w:hAnsi="宋体"/>
          <w:color w:val="auto"/>
          <w:highlight w:val="none"/>
        </w:rPr>
        <w:t>3</w:t>
      </w:r>
      <w:r>
        <w:rPr>
          <w:rFonts w:hint="eastAsia" w:ascii="宋体" w:hAnsi="宋体"/>
          <w:color w:val="auto"/>
          <w:highlight w:val="none"/>
        </w:rPr>
        <w:t>年内与供应商存在劳动关系；</w:t>
      </w:r>
    </w:p>
    <w:p w14:paraId="7D727884">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）参加采购活动前</w:t>
      </w:r>
      <w:r>
        <w:rPr>
          <w:rFonts w:ascii="宋体" w:hAnsi="宋体"/>
          <w:color w:val="auto"/>
          <w:highlight w:val="none"/>
        </w:rPr>
        <w:t>3</w:t>
      </w:r>
      <w:r>
        <w:rPr>
          <w:rFonts w:hint="eastAsia" w:ascii="宋体" w:hAnsi="宋体"/>
          <w:color w:val="auto"/>
          <w:highlight w:val="none"/>
        </w:rPr>
        <w:t>年内担任供应商的董事、监事；</w:t>
      </w:r>
    </w:p>
    <w:p w14:paraId="4BC5E6DC">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）参加采购活动前</w:t>
      </w:r>
      <w:r>
        <w:rPr>
          <w:rFonts w:ascii="宋体" w:hAnsi="宋体"/>
          <w:color w:val="auto"/>
          <w:highlight w:val="none"/>
        </w:rPr>
        <w:t>3</w:t>
      </w:r>
      <w:r>
        <w:rPr>
          <w:rFonts w:hint="eastAsia" w:ascii="宋体" w:hAnsi="宋体"/>
          <w:color w:val="auto"/>
          <w:highlight w:val="none"/>
        </w:rPr>
        <w:t>年内是供应商的控股股东或者实际控制人；</w:t>
      </w:r>
    </w:p>
    <w:p w14:paraId="3F152109">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）与供应商的法定代表人或者负责人有夫妻、直系血亲、三代以内旁系血亲或者近姻亲关系；</w:t>
      </w:r>
    </w:p>
    <w:p w14:paraId="3E67C711">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）与供应商有其他可能影响政府采购活动公平、公正进行的关系。</w:t>
      </w:r>
    </w:p>
    <w:p w14:paraId="6841460E">
      <w:pPr>
        <w:spacing w:line="360" w:lineRule="auto"/>
        <w:ind w:firstLine="420" w:firstLineChars="200"/>
        <w:rPr>
          <w:rFonts w:ascii="宋体" w:hAnsi="宋体"/>
          <w:color w:val="auto"/>
          <w:highlight w:val="none"/>
        </w:rPr>
      </w:pPr>
      <w:r>
        <w:rPr>
          <w:rFonts w:hint="eastAsia" w:ascii="宋体"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3ABA6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14:paraId="2E720719">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1</w:t>
      </w:r>
      <w:r>
        <w:rPr>
          <w:rFonts w:hint="eastAsia" w:ascii="宋体" w:hAnsi="宋体"/>
          <w:b/>
          <w:color w:val="auto"/>
          <w:highlight w:val="none"/>
        </w:rPr>
        <w:t>）不同投标人的投标文件由同一单位或者个人编制；或者不同投标人报名的</w:t>
      </w:r>
      <w:r>
        <w:rPr>
          <w:rFonts w:ascii="宋体" w:hAnsi="宋体"/>
          <w:b/>
          <w:color w:val="auto"/>
          <w:highlight w:val="none"/>
        </w:rPr>
        <w:t>IP</w:t>
      </w:r>
      <w:r>
        <w:rPr>
          <w:rFonts w:hint="eastAsia" w:ascii="宋体" w:hAnsi="宋体"/>
          <w:b/>
          <w:color w:val="auto"/>
          <w:highlight w:val="none"/>
        </w:rPr>
        <w:t>地址一致的；或者不同投标人报名的</w:t>
      </w:r>
      <w:r>
        <w:rPr>
          <w:rFonts w:ascii="宋体" w:hAnsi="宋体"/>
          <w:b/>
          <w:color w:val="auto"/>
          <w:highlight w:val="none"/>
        </w:rPr>
        <w:t>IP</w:t>
      </w:r>
      <w:r>
        <w:rPr>
          <w:rFonts w:hint="eastAsia" w:ascii="宋体" w:hAnsi="宋体"/>
          <w:b/>
          <w:color w:val="auto"/>
          <w:highlight w:val="none"/>
        </w:rPr>
        <w:t>地址一致的；或者编制标书硬件设备</w:t>
      </w:r>
      <w:r>
        <w:rPr>
          <w:rFonts w:ascii="宋体" w:hAnsi="宋体"/>
          <w:b/>
          <w:color w:val="auto"/>
          <w:highlight w:val="none"/>
        </w:rPr>
        <w:t>CPU</w:t>
      </w:r>
      <w:r>
        <w:rPr>
          <w:rFonts w:hint="eastAsia" w:ascii="宋体" w:hAnsi="宋体"/>
          <w:b/>
          <w:color w:val="auto"/>
          <w:highlight w:val="none"/>
        </w:rPr>
        <w:t>编号、硬盘编号、网卡地址一致的情况。</w:t>
      </w:r>
    </w:p>
    <w:p w14:paraId="69AF3C15">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2</w:t>
      </w:r>
      <w:r>
        <w:rPr>
          <w:rFonts w:hint="eastAsia" w:ascii="宋体" w:hAnsi="宋体"/>
          <w:b/>
          <w:color w:val="auto"/>
          <w:highlight w:val="none"/>
        </w:rPr>
        <w:t>）不同投标人委托同一单位或者个人办理投标事宜；</w:t>
      </w:r>
    </w:p>
    <w:p w14:paraId="15D7F7DE">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3</w:t>
      </w:r>
      <w:r>
        <w:rPr>
          <w:rFonts w:hint="eastAsia" w:ascii="宋体" w:hAnsi="宋体"/>
          <w:b/>
          <w:color w:val="auto"/>
          <w:highlight w:val="none"/>
        </w:rPr>
        <w:t>）不同的投标人的投标文件载明的项目管理员为同一个人；</w:t>
      </w:r>
    </w:p>
    <w:p w14:paraId="582E3F0D">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4</w:t>
      </w:r>
      <w:r>
        <w:rPr>
          <w:rFonts w:hint="eastAsia" w:ascii="宋体" w:hAnsi="宋体"/>
          <w:b/>
          <w:color w:val="auto"/>
          <w:highlight w:val="none"/>
        </w:rPr>
        <w:t>）不同投标人的电子或纸质投标文件异常一致或者投标报价呈规律性差异；</w:t>
      </w:r>
    </w:p>
    <w:p w14:paraId="3C418DD5">
      <w:pPr>
        <w:spacing w:line="360" w:lineRule="auto"/>
        <w:ind w:firstLine="422" w:firstLineChars="200"/>
        <w:rPr>
          <w:rFonts w:ascii="宋体" w:hAnsi="宋体"/>
          <w:b/>
          <w:color w:val="auto"/>
          <w:highlight w:val="none"/>
        </w:rPr>
      </w:pPr>
      <w:r>
        <w:rPr>
          <w:rFonts w:hint="eastAsia" w:ascii="宋体" w:hAnsi="宋体"/>
          <w:b/>
          <w:color w:val="auto"/>
          <w:highlight w:val="none"/>
        </w:rPr>
        <w:t>（</w:t>
      </w:r>
      <w:r>
        <w:rPr>
          <w:rFonts w:ascii="宋体" w:hAnsi="宋体"/>
          <w:b/>
          <w:color w:val="auto"/>
          <w:highlight w:val="none"/>
        </w:rPr>
        <w:t>5</w:t>
      </w:r>
      <w:r>
        <w:rPr>
          <w:rFonts w:hint="eastAsia" w:ascii="宋体" w:hAnsi="宋体"/>
          <w:b/>
          <w:color w:val="auto"/>
          <w:highlight w:val="none"/>
        </w:rPr>
        <w:t>）不同投标人的纸质投标文件相互混装；</w:t>
      </w:r>
    </w:p>
    <w:p w14:paraId="34A83B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9.3供应商有下列情形之一的，属于恶意串通行为，将报同级监督管理部门：</w:t>
      </w:r>
    </w:p>
    <w:p w14:paraId="7276866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）供应商直接或者间接从采购人或者采购代理机构处获得其他供应商的相关信息并修改其投标文件或者投标文件；</w:t>
      </w:r>
    </w:p>
    <w:p w14:paraId="2163C908">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）供应商按照采购人或者采购代理机构的授意撤换、修改投标文件或者投标文件；</w:t>
      </w:r>
    </w:p>
    <w:p w14:paraId="05FA7AE3">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）供应商之间协商报价、技术方案等投标文件或者投标文件的实质性内容；</w:t>
      </w:r>
    </w:p>
    <w:p w14:paraId="59313E8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）属于同一集团、协会、商会等组织成员的供应商按照该组织要求协同参加政府采购活动；</w:t>
      </w:r>
    </w:p>
    <w:p w14:paraId="378C9E8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）供应商之间事先约定一致抬高或者压低投标报价，或者在招标项目中事先约定轮流以高价位或者低价位中标，或者事先约定由某一特定供应商中标，然后再参加投标；</w:t>
      </w:r>
    </w:p>
    <w:p w14:paraId="3CA5670E">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）供应商之间商定部分供应商放弃参加政府采购活动或者放弃中标；</w:t>
      </w:r>
    </w:p>
    <w:p w14:paraId="0A7E450B">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）供应商与采购人或者采购代理机构之间、供应商相互之间，为谋求特定供应商中标或者排斥其他供应商的其他串通行为。</w:t>
      </w:r>
    </w:p>
    <w:p w14:paraId="243B4D1D">
      <w:pPr>
        <w:pStyle w:val="15"/>
        <w:snapToGrid w:val="0"/>
        <w:spacing w:line="360" w:lineRule="auto"/>
        <w:ind w:left="2" w:leftChars="1" w:firstLine="422" w:firstLineChars="200"/>
        <w:rPr>
          <w:rFonts w:hAnsi="宋体"/>
          <w:b/>
          <w:color w:val="auto"/>
          <w:highlight w:val="none"/>
        </w:rPr>
      </w:pPr>
    </w:p>
    <w:p w14:paraId="370A4C2A">
      <w:pPr>
        <w:pStyle w:val="4"/>
        <w:keepNext w:val="0"/>
        <w:keepLines w:val="0"/>
        <w:spacing w:line="400" w:lineRule="exact"/>
        <w:jc w:val="center"/>
        <w:rPr>
          <w:rFonts w:ascii="宋体" w:hAnsi="宋体"/>
          <w:color w:val="auto"/>
          <w:highlight w:val="none"/>
        </w:rPr>
      </w:pPr>
      <w:bookmarkStart w:id="61" w:name="_Toc254970534"/>
      <w:bookmarkStart w:id="62" w:name="_Toc118383680"/>
      <w:bookmarkStart w:id="63" w:name="_Toc254970675"/>
      <w:r>
        <w:rPr>
          <w:rFonts w:hint="eastAsia" w:ascii="宋体" w:hAnsi="宋体"/>
          <w:color w:val="auto"/>
          <w:highlight w:val="none"/>
        </w:rPr>
        <w:t>二、招标文件</w:t>
      </w:r>
      <w:bookmarkEnd w:id="61"/>
      <w:bookmarkEnd w:id="62"/>
      <w:bookmarkEnd w:id="63"/>
    </w:p>
    <w:p w14:paraId="4D9ACC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10.招标文件的组成</w:t>
      </w:r>
    </w:p>
    <w:p w14:paraId="49FE30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14:paraId="3AA3D9B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14:paraId="4EBBCC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14:paraId="17B11F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评标方法及评标标准；</w:t>
      </w:r>
    </w:p>
    <w:p w14:paraId="658816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14:paraId="6289A95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14:paraId="38D970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14:paraId="297FC584">
      <w:pPr>
        <w:spacing w:line="360" w:lineRule="auto"/>
        <w:ind w:firstLine="420" w:firstLineChars="200"/>
        <w:rPr>
          <w:rFonts w:ascii="宋体" w:hAnsi="宋体"/>
          <w:color w:val="auto"/>
          <w:highlight w:val="none"/>
        </w:rPr>
      </w:pPr>
      <w:r>
        <w:rPr>
          <w:rFonts w:hint="eastAsia" w:ascii="宋体" w:hAnsi="宋体"/>
          <w:color w:val="auto"/>
          <w:highlight w:val="none"/>
        </w:rPr>
        <w:t>根据本章第</w:t>
      </w:r>
      <w:r>
        <w:rPr>
          <w:rFonts w:ascii="宋体" w:hAnsi="宋体"/>
          <w:color w:val="auto"/>
          <w:highlight w:val="none"/>
        </w:rPr>
        <w:t>11.1</w:t>
      </w:r>
      <w:r>
        <w:rPr>
          <w:rFonts w:hint="eastAsia" w:ascii="宋体" w:hAnsi="宋体"/>
          <w:color w:val="auto"/>
          <w:highlight w:val="none"/>
        </w:rPr>
        <w:t>项的规定对公开招标文件所做的澄清、修改，构成招标文件的组成部分。当公开招标文件与招标文件的澄清和修改就同一内容的表述不一致时，以最后澄清或修改公告为准。</w:t>
      </w:r>
    </w:p>
    <w:p w14:paraId="5BE0285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11.招标文件的澄清、修改 、现场考察和答疑会</w:t>
      </w:r>
    </w:p>
    <w:p w14:paraId="49D421A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1058D8D1">
      <w:pPr>
        <w:spacing w:line="360" w:lineRule="auto"/>
        <w:ind w:firstLine="420" w:firstLineChars="200"/>
        <w:rPr>
          <w:rFonts w:ascii="宋体" w:hAnsi="宋体"/>
          <w:color w:val="auto"/>
          <w:highlight w:val="none"/>
        </w:rPr>
      </w:pPr>
      <w:r>
        <w:rPr>
          <w:rFonts w:ascii="宋体" w:hAnsi="宋体"/>
          <w:color w:val="auto"/>
          <w:highlight w:val="none"/>
        </w:rPr>
        <w:t xml:space="preserve">11.2 </w:t>
      </w:r>
      <w:r>
        <w:rPr>
          <w:rFonts w:hint="eastAsia" w:ascii="宋体" w:hAnsi="宋体"/>
          <w:color w:val="auto"/>
          <w:highlight w:val="none"/>
        </w:rPr>
        <w:t>投标人应认真审阅本公开招标文件，如有疑问，或发现其中有误或有要求不合理的，应在投标人须知前附表规定的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olor w:val="auto"/>
          <w:highlight w:val="none"/>
        </w:rPr>
        <w:t>前以书面形式要求采购人或采购代理机构对招标文件予以澄清；否则，由此产生的后果由投标人自行负责。</w:t>
      </w:r>
    </w:p>
    <w:p w14:paraId="11E2983A">
      <w:pPr>
        <w:spacing w:line="360" w:lineRule="auto"/>
        <w:ind w:firstLine="420" w:firstLineChars="200"/>
        <w:rPr>
          <w:rFonts w:ascii="宋体" w:hAnsi="宋体"/>
          <w:color w:val="auto"/>
          <w:highlight w:val="none"/>
        </w:rPr>
      </w:pPr>
      <w:r>
        <w:rPr>
          <w:rFonts w:ascii="宋体" w:hAnsi="宋体"/>
          <w:color w:val="auto"/>
          <w:highlight w:val="none"/>
        </w:rPr>
        <w:t xml:space="preserve">11.3 </w:t>
      </w:r>
      <w:r>
        <w:rPr>
          <w:rFonts w:hint="eastAsia" w:ascii="宋体" w:hAnsi="宋体"/>
          <w:color w:val="auto"/>
          <w:highlight w:val="none"/>
        </w:rPr>
        <w:t>采购人或者采购代理机构可以对已发出的招标文件进行必要的澄清或者修改。澄清或者修改的内容可能影响投标文件编制的，采购人或者采购代理机构应当在投标截止时间至少</w:t>
      </w:r>
      <w:r>
        <w:rPr>
          <w:rFonts w:ascii="宋体" w:hAnsi="宋体"/>
          <w:color w:val="auto"/>
          <w:highlight w:val="none"/>
        </w:rPr>
        <w:t>15</w:t>
      </w:r>
      <w:r>
        <w:rPr>
          <w:rFonts w:hint="eastAsia" w:ascii="宋体" w:hAnsi="宋体"/>
          <w:color w:val="auto"/>
          <w:highlight w:val="none"/>
        </w:rPr>
        <w:t>日前，以书面形式通知</w:t>
      </w:r>
      <w:r>
        <w:rPr>
          <w:rFonts w:ascii="宋体" w:hAnsi="宋体"/>
          <w:color w:val="auto"/>
          <w:highlight w:val="none"/>
        </w:rPr>
        <w:t>(</w:t>
      </w:r>
      <w:r>
        <w:rPr>
          <w:rFonts w:hint="eastAsia" w:ascii="宋体" w:hAnsi="宋体"/>
          <w:color w:val="auto"/>
          <w:highlight w:val="none"/>
        </w:rPr>
        <w:t>在“</w:t>
      </w:r>
      <w:r>
        <w:rPr>
          <w:rFonts w:hint="eastAsia" w:ascii="宋体" w:hAnsi="宋体"/>
          <w:color w:val="auto"/>
          <w:szCs w:val="21"/>
          <w:highlight w:val="none"/>
        </w:rPr>
        <w:t>投标人须知前附表”</w:t>
      </w:r>
      <w:r>
        <w:rPr>
          <w:rFonts w:hint="eastAsia" w:ascii="宋体" w:hAnsi="宋体"/>
          <w:color w:val="auto"/>
          <w:highlight w:val="none"/>
        </w:rPr>
        <w:t>规定的政府采购信息发布媒体上发布更正公告及平台短信通知</w:t>
      </w:r>
      <w:r>
        <w:rPr>
          <w:rFonts w:ascii="宋体" w:hAnsi="宋体"/>
          <w:color w:val="auto"/>
          <w:highlight w:val="none"/>
        </w:rPr>
        <w:t>)</w:t>
      </w:r>
      <w:r>
        <w:rPr>
          <w:rFonts w:hint="eastAsia" w:ascii="宋体" w:hAnsi="宋体"/>
          <w:color w:val="auto"/>
          <w:highlight w:val="none"/>
        </w:rPr>
        <w:t>所有获取招标文件的潜在投标人；不足</w:t>
      </w:r>
      <w:r>
        <w:rPr>
          <w:rFonts w:ascii="宋体" w:hAnsi="宋体"/>
          <w:color w:val="auto"/>
          <w:highlight w:val="none"/>
        </w:rPr>
        <w:t>15</w:t>
      </w:r>
      <w:r>
        <w:rPr>
          <w:rFonts w:hint="eastAsia" w:ascii="宋体" w:hAnsi="宋体"/>
          <w:color w:val="auto"/>
          <w:highlight w:val="none"/>
        </w:rPr>
        <w:t>日的，采购人或者采购代理机构应当顺延提交投标文件的截止时间。发出的澄清或者修改不影响投标文件编制的也应在截标前</w:t>
      </w:r>
      <w:r>
        <w:rPr>
          <w:rFonts w:ascii="宋体" w:hAnsi="宋体"/>
          <w:color w:val="auto"/>
          <w:highlight w:val="none"/>
        </w:rPr>
        <w:t>3</w:t>
      </w:r>
      <w:r>
        <w:rPr>
          <w:rFonts w:hint="eastAsia" w:ascii="宋体" w:hAnsi="宋体"/>
          <w:color w:val="auto"/>
          <w:highlight w:val="none"/>
        </w:rPr>
        <w:t>日发出。</w:t>
      </w:r>
    </w:p>
    <w:p w14:paraId="7B3E79F2">
      <w:pPr>
        <w:spacing w:line="360" w:lineRule="auto"/>
        <w:ind w:firstLine="420" w:firstLineChars="200"/>
        <w:rPr>
          <w:rFonts w:ascii="宋体" w:hAnsi="宋体"/>
          <w:color w:val="auto"/>
          <w:highlight w:val="none"/>
        </w:rPr>
      </w:pPr>
      <w:r>
        <w:rPr>
          <w:rFonts w:ascii="宋体" w:hAnsi="宋体"/>
          <w:color w:val="auto"/>
          <w:highlight w:val="none"/>
        </w:rPr>
        <w:t xml:space="preserve">11.4 </w:t>
      </w:r>
      <w:r>
        <w:rPr>
          <w:rFonts w:hint="eastAsia" w:ascii="宋体" w:hAnsi="宋体"/>
          <w:color w:val="auto"/>
          <w:highlight w:val="none"/>
        </w:rPr>
        <w:t>采购人和采购代理机构可以视采购具体情况，变更投标截止时间和开标时间，将变更时间将在“</w:t>
      </w:r>
      <w:r>
        <w:rPr>
          <w:rFonts w:hint="eastAsia" w:ascii="宋体" w:hAnsi="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olor w:val="auto"/>
          <w:highlight w:val="none"/>
        </w:rPr>
        <w:t>发布更正公告。</w:t>
      </w:r>
    </w:p>
    <w:p w14:paraId="607FB74C">
      <w:pPr>
        <w:spacing w:line="360" w:lineRule="auto"/>
        <w:ind w:firstLine="420" w:firstLineChars="200"/>
        <w:rPr>
          <w:rFonts w:ascii="宋体" w:hAnsi="宋体"/>
          <w:color w:val="auto"/>
          <w:highlight w:val="none"/>
        </w:rPr>
      </w:pPr>
      <w:r>
        <w:rPr>
          <w:rFonts w:ascii="宋体" w:hAnsi="宋体"/>
          <w:color w:val="auto"/>
          <w:highlight w:val="none"/>
        </w:rPr>
        <w:t>11.</w:t>
      </w:r>
      <w:bookmarkStart w:id="64" w:name="_Hlk53134511"/>
      <w:r>
        <w:rPr>
          <w:rFonts w:ascii="宋体" w:hAnsi="宋体"/>
          <w:color w:val="auto"/>
          <w:highlight w:val="none"/>
        </w:rPr>
        <w:t>5</w:t>
      </w:r>
      <w:r>
        <w:rPr>
          <w:rFonts w:hint="eastAsia" w:ascii="宋体" w:hAnsi="宋体"/>
          <w:color w:val="auto"/>
          <w:highlight w:val="none"/>
        </w:rPr>
        <w:t>采购人或者采购代理机构可以在招标文件提供期限截止后，组织已获取招标文件的潜在投标人现场考察或者召开开标前答疑会，具体详见“投标人须知前附表”。</w:t>
      </w:r>
    </w:p>
    <w:bookmarkEnd w:id="64"/>
    <w:p w14:paraId="4D91E41E">
      <w:pPr>
        <w:pStyle w:val="4"/>
        <w:keepNext w:val="0"/>
        <w:keepLines w:val="0"/>
        <w:spacing w:line="400" w:lineRule="exact"/>
        <w:jc w:val="center"/>
        <w:rPr>
          <w:rFonts w:ascii="宋体" w:hAnsi="宋体"/>
          <w:color w:val="auto"/>
          <w:highlight w:val="none"/>
        </w:rPr>
      </w:pPr>
      <w:bookmarkStart w:id="65" w:name="_Toc254970535"/>
      <w:bookmarkStart w:id="66" w:name="_Toc254970676"/>
      <w:bookmarkStart w:id="67" w:name="_Toc118383681"/>
      <w:r>
        <w:rPr>
          <w:rFonts w:hint="eastAsia" w:ascii="宋体" w:hAnsi="宋体"/>
          <w:color w:val="auto"/>
          <w:highlight w:val="none"/>
        </w:rPr>
        <w:t>三、投标文件的编制</w:t>
      </w:r>
      <w:bookmarkEnd w:id="65"/>
      <w:bookmarkEnd w:id="66"/>
      <w:bookmarkEnd w:id="67"/>
    </w:p>
    <w:p w14:paraId="3165377A">
      <w:pPr>
        <w:spacing w:line="360" w:lineRule="auto"/>
        <w:ind w:firstLine="480" w:firstLineChars="200"/>
        <w:rPr>
          <w:rFonts w:ascii="宋体" w:hAnsi="宋体"/>
          <w:color w:val="auto"/>
          <w:sz w:val="24"/>
          <w:highlight w:val="none"/>
        </w:rPr>
      </w:pPr>
      <w:bookmarkStart w:id="68" w:name="_Toc254970536"/>
      <w:bookmarkStart w:id="69" w:name="_Toc254970677"/>
      <w:r>
        <w:rPr>
          <w:rFonts w:hint="eastAsia" w:ascii="宋体" w:hAnsi="宋体"/>
          <w:color w:val="auto"/>
          <w:sz w:val="24"/>
          <w:highlight w:val="none"/>
        </w:rPr>
        <w:t>12.投标文件的编制原则</w:t>
      </w:r>
    </w:p>
    <w:p w14:paraId="725E72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12.1投标人必须按照招标文件的要求编制投标文件。投标文件必须对招标文件提出的要求和条件作出明确响应。</w:t>
      </w:r>
    </w:p>
    <w:p w14:paraId="5077562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7A5474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13.投标文件的组成</w:t>
      </w:r>
      <w:bookmarkEnd w:id="68"/>
      <w:bookmarkEnd w:id="69"/>
    </w:p>
    <w:p w14:paraId="365DD6F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13.1投标文件由报价文件、资格证明文件、商务文件、技术文件四部分组成。</w:t>
      </w:r>
    </w:p>
    <w:p w14:paraId="2B2787A8">
      <w:pPr>
        <w:spacing w:line="360" w:lineRule="auto"/>
        <w:ind w:firstLine="420" w:firstLineChars="200"/>
        <w:rPr>
          <w:rFonts w:ascii="宋体" w:hAnsi="宋体"/>
          <w:bCs/>
          <w:color w:val="auto"/>
          <w:szCs w:val="21"/>
          <w:highlight w:val="none"/>
        </w:rPr>
      </w:pPr>
      <w:bookmarkStart w:id="70" w:name="_13.2资格证明文件：具体材料见“投标人须知前附表”。"/>
      <w:bookmarkEnd w:id="70"/>
      <w:bookmarkStart w:id="71" w:name="_13.1报价文件:_具体材料见“投标人须知前附表”。"/>
      <w:bookmarkEnd w:id="71"/>
      <w:r>
        <w:rPr>
          <w:rFonts w:hint="eastAsia" w:ascii="宋体" w:hAnsi="宋体"/>
          <w:bCs/>
          <w:color w:val="auto"/>
          <w:szCs w:val="21"/>
          <w:highlight w:val="none"/>
        </w:rPr>
        <w:t>（1）资格证明文件：具体材料见“投标人须知前附表”。</w:t>
      </w:r>
    </w:p>
    <w:p w14:paraId="5B74CE72">
      <w:pPr>
        <w:spacing w:line="360" w:lineRule="auto"/>
        <w:ind w:firstLine="420" w:firstLineChars="200"/>
        <w:rPr>
          <w:rFonts w:ascii="宋体" w:hAnsi="宋体"/>
          <w:bCs/>
          <w:color w:val="auto"/>
          <w:szCs w:val="21"/>
          <w:highlight w:val="none"/>
        </w:rPr>
      </w:pPr>
      <w:bookmarkStart w:id="72" w:name="_13.3商务文件:_具体材料见“投标人须知前附表”。"/>
      <w:bookmarkEnd w:id="72"/>
      <w:r>
        <w:rPr>
          <w:rFonts w:hint="eastAsia" w:ascii="宋体" w:hAnsi="宋体"/>
          <w:bCs/>
          <w:color w:val="auto"/>
          <w:szCs w:val="21"/>
          <w:highlight w:val="none"/>
        </w:rPr>
        <w:t>（2）商务文件：具体材料见“投标人须知前附表”。</w:t>
      </w:r>
    </w:p>
    <w:p w14:paraId="4D825C13">
      <w:pPr>
        <w:spacing w:line="360" w:lineRule="auto"/>
        <w:ind w:firstLine="420" w:firstLineChars="200"/>
        <w:rPr>
          <w:rFonts w:ascii="宋体" w:hAnsi="宋体"/>
          <w:bCs/>
          <w:color w:val="auto"/>
          <w:szCs w:val="21"/>
          <w:highlight w:val="none"/>
        </w:rPr>
      </w:pPr>
      <w:bookmarkStart w:id="73" w:name="_13.4技术文件：具体材料见“投标人须知前附表”。"/>
      <w:bookmarkEnd w:id="73"/>
      <w:r>
        <w:rPr>
          <w:rFonts w:hint="eastAsia" w:ascii="宋体" w:hAnsi="宋体"/>
          <w:bCs/>
          <w:color w:val="auto"/>
          <w:szCs w:val="21"/>
          <w:highlight w:val="none"/>
        </w:rPr>
        <w:t xml:space="preserve">（3）技术文件：具体材料见“投标人须知前附表”。 </w:t>
      </w:r>
    </w:p>
    <w:p w14:paraId="189C93D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 具体材料见“投标人须知前附表”。</w:t>
      </w:r>
    </w:p>
    <w:p w14:paraId="513CE7DB">
      <w:pPr>
        <w:spacing w:line="360" w:lineRule="auto"/>
        <w:ind w:firstLine="420" w:firstLineChars="200"/>
        <w:rPr>
          <w:rFonts w:ascii="宋体" w:hAnsi="宋体"/>
          <w:bCs/>
          <w:color w:val="auto"/>
          <w:szCs w:val="21"/>
          <w:highlight w:val="none"/>
        </w:rPr>
      </w:pPr>
      <w:bookmarkStart w:id="74" w:name="_13.5投标文件电子版：具体材料见“投标人须知前附表”。"/>
      <w:bookmarkEnd w:id="74"/>
      <w:r>
        <w:rPr>
          <w:rFonts w:hint="eastAsia" w:ascii="宋体" w:hAnsi="宋体"/>
          <w:bCs/>
          <w:color w:val="auto"/>
          <w:szCs w:val="21"/>
          <w:highlight w:val="none"/>
        </w:rPr>
        <w:t>13.2投标文件电子版：具体要求见本节19.投标文件编制。</w:t>
      </w:r>
    </w:p>
    <w:p w14:paraId="69A65607">
      <w:pPr>
        <w:spacing w:line="360" w:lineRule="auto"/>
        <w:ind w:firstLine="480" w:firstLineChars="200"/>
        <w:rPr>
          <w:rFonts w:ascii="宋体" w:hAnsi="宋体"/>
          <w:color w:val="auto"/>
          <w:sz w:val="24"/>
          <w:highlight w:val="none"/>
        </w:rPr>
      </w:pPr>
      <w:bookmarkStart w:id="75" w:name="_Toc254970678"/>
      <w:bookmarkStart w:id="76" w:name="_Toc254970537"/>
      <w:r>
        <w:rPr>
          <w:rFonts w:hint="eastAsia" w:ascii="宋体" w:hAnsi="宋体"/>
          <w:color w:val="auto"/>
          <w:sz w:val="24"/>
          <w:highlight w:val="none"/>
        </w:rPr>
        <w:t>14.投标文件的语言及计量</w:t>
      </w:r>
      <w:bookmarkEnd w:id="75"/>
      <w:bookmarkEnd w:id="76"/>
    </w:p>
    <w:p w14:paraId="722710F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14:paraId="19B4E64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EC9527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14:paraId="748108D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791F1CF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15.投标的风险</w:t>
      </w:r>
    </w:p>
    <w:p w14:paraId="4B69FF6F">
      <w:pPr>
        <w:spacing w:line="360" w:lineRule="auto"/>
        <w:ind w:firstLine="420" w:firstLineChars="200"/>
        <w:rPr>
          <w:rFonts w:ascii="宋体" w:hAnsi="宋体"/>
          <w:b/>
          <w:bCs/>
          <w:color w:val="auto"/>
          <w:highlight w:val="none"/>
        </w:rPr>
      </w:pPr>
      <w:r>
        <w:rPr>
          <w:rFonts w:hint="eastAsia" w:ascii="宋体"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ascii="宋体" w:hAnsi="宋体"/>
          <w:b/>
          <w:bCs/>
          <w:color w:val="auto"/>
          <w:highlight w:val="none"/>
        </w:rPr>
        <w:t>投标文件未按规定的格式编制的、没有按照招标文件要求提供全部资料、没有对招标文件作出实质性响应，投标无效；</w:t>
      </w:r>
    </w:p>
    <w:p w14:paraId="415BD860">
      <w:pPr>
        <w:spacing w:line="360" w:lineRule="auto"/>
        <w:ind w:firstLine="480" w:firstLineChars="200"/>
        <w:rPr>
          <w:rFonts w:ascii="宋体" w:hAnsi="宋体"/>
          <w:color w:val="auto"/>
          <w:sz w:val="24"/>
          <w:highlight w:val="none"/>
        </w:rPr>
      </w:pPr>
      <w:bookmarkStart w:id="77" w:name="_Toc254970538"/>
      <w:bookmarkStart w:id="78" w:name="_Toc254970679"/>
      <w:r>
        <w:rPr>
          <w:rFonts w:hint="eastAsia" w:ascii="宋体" w:hAnsi="宋体"/>
          <w:color w:val="auto"/>
          <w:sz w:val="24"/>
          <w:highlight w:val="none"/>
        </w:rPr>
        <w:t>16.投标报价</w:t>
      </w:r>
      <w:bookmarkEnd w:id="77"/>
      <w:bookmarkEnd w:id="78"/>
    </w:p>
    <w:p w14:paraId="06B2AB60">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476A5634">
      <w:pPr>
        <w:spacing w:line="360" w:lineRule="auto"/>
        <w:ind w:firstLine="420" w:firstLineChars="200"/>
        <w:rPr>
          <w:rFonts w:ascii="宋体" w:hAnsi="宋体"/>
          <w:bCs/>
          <w:color w:val="auto"/>
          <w:szCs w:val="21"/>
          <w:highlight w:val="none"/>
        </w:rPr>
      </w:pPr>
      <w:bookmarkStart w:id="79" w:name="_16.2投标报价具体定义见投标人须知前附表。"/>
      <w:bookmarkEnd w:id="79"/>
      <w:r>
        <w:rPr>
          <w:rFonts w:hint="eastAsia" w:ascii="宋体" w:hAnsi="宋体"/>
          <w:bCs/>
          <w:color w:val="auto"/>
          <w:szCs w:val="21"/>
          <w:highlight w:val="none"/>
        </w:rPr>
        <w:t>16.2投标报价具体包括内容详见“投标人须知前附表”。</w:t>
      </w:r>
    </w:p>
    <w:p w14:paraId="002458A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16.3投标人必须就所投每个分标的全部内容分别作完整唯一总价报价，不得存在漏项报价；投标人必须就所投分标的单项内容作唯一报价。</w:t>
      </w:r>
    </w:p>
    <w:p w14:paraId="7BD471A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17.投标有效期</w:t>
      </w:r>
    </w:p>
    <w:p w14:paraId="6B6F25CB">
      <w:pPr>
        <w:spacing w:line="360" w:lineRule="auto"/>
        <w:ind w:firstLine="420" w:firstLineChars="200"/>
        <w:rPr>
          <w:rFonts w:ascii="宋体" w:hAnsi="宋体"/>
          <w:bCs/>
          <w:color w:val="auto"/>
          <w:szCs w:val="21"/>
          <w:highlight w:val="none"/>
        </w:rPr>
      </w:pPr>
      <w:bookmarkStart w:id="80" w:name="_17.1投标有效期应按“投标人须知中的前附表”规定的期限。"/>
      <w:bookmarkEnd w:id="80"/>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2EF2A4E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w:t>
      </w:r>
      <w:bookmarkStart w:id="81" w:name="_Toc254970681"/>
      <w:bookmarkStart w:id="82" w:name="_Toc254970540"/>
      <w:r>
        <w:rPr>
          <w:rFonts w:hint="eastAsia" w:ascii="宋体" w:hAnsi="宋体"/>
          <w:bCs/>
          <w:color w:val="auto"/>
          <w:szCs w:val="21"/>
          <w:highlight w:val="none"/>
        </w:rPr>
        <w:t xml:space="preserve"> 投标有效期应按规定的期限作出承诺，具体详见“投标人须知前附表”。</w:t>
      </w:r>
    </w:p>
    <w:p w14:paraId="73DA381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81"/>
      <w:bookmarkEnd w:id="82"/>
    </w:p>
    <w:p w14:paraId="6D85E14F">
      <w:pPr>
        <w:spacing w:line="360" w:lineRule="auto"/>
        <w:ind w:firstLine="480" w:firstLineChars="200"/>
        <w:rPr>
          <w:rFonts w:ascii="宋体" w:hAnsi="宋体"/>
          <w:color w:val="auto"/>
          <w:sz w:val="24"/>
          <w:highlight w:val="none"/>
        </w:rPr>
      </w:pPr>
      <w:bookmarkStart w:id="83" w:name="_18.投标保证金"/>
      <w:bookmarkEnd w:id="83"/>
      <w:bookmarkStart w:id="84" w:name="_Toc254970682"/>
      <w:bookmarkStart w:id="85" w:name="_Toc254970541"/>
      <w:r>
        <w:rPr>
          <w:rFonts w:hint="eastAsia" w:ascii="宋体" w:hAnsi="宋体"/>
          <w:color w:val="auto"/>
          <w:sz w:val="24"/>
          <w:highlight w:val="none"/>
        </w:rPr>
        <w:t>18.投标保证金</w:t>
      </w:r>
      <w:bookmarkEnd w:id="84"/>
      <w:bookmarkEnd w:id="85"/>
    </w:p>
    <w:p w14:paraId="3A0913EF">
      <w:pPr>
        <w:spacing w:line="360" w:lineRule="auto"/>
        <w:ind w:firstLine="420" w:firstLineChars="200"/>
        <w:rPr>
          <w:rFonts w:ascii="宋体" w:hAnsi="宋体"/>
          <w:bCs/>
          <w:color w:val="auto"/>
          <w:szCs w:val="21"/>
          <w:highlight w:val="none"/>
        </w:rPr>
      </w:pPr>
      <w:bookmarkStart w:id="86" w:name="_Toc254970683"/>
      <w:bookmarkStart w:id="87" w:name="_Toc254970542"/>
      <w:r>
        <w:rPr>
          <w:rFonts w:hint="eastAsia" w:ascii="宋体" w:hAnsi="宋体"/>
          <w:bCs/>
          <w:color w:val="auto"/>
          <w:szCs w:val="21"/>
          <w:highlight w:val="none"/>
        </w:rPr>
        <w:t>见“投标人须知前附表”。</w:t>
      </w:r>
    </w:p>
    <w:p w14:paraId="249907B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19.投标文件的</w:t>
      </w:r>
      <w:bookmarkEnd w:id="86"/>
      <w:bookmarkEnd w:id="87"/>
      <w:r>
        <w:rPr>
          <w:rFonts w:hint="eastAsia" w:ascii="宋体" w:hAnsi="宋体"/>
          <w:color w:val="auto"/>
          <w:sz w:val="24"/>
          <w:highlight w:val="none"/>
        </w:rPr>
        <w:t>编制</w:t>
      </w:r>
    </w:p>
    <w:p w14:paraId="538E3F1F">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 xml:space="preserve"> </w:t>
      </w:r>
      <w:r>
        <w:rPr>
          <w:rFonts w:ascii="宋体" w:hAnsi="宋体"/>
          <w:color w:val="auto"/>
          <w:szCs w:val="21"/>
          <w:highlight w:val="none"/>
        </w:rPr>
        <w:t>19.1</w:t>
      </w:r>
      <w:r>
        <w:rPr>
          <w:rFonts w:hint="eastAsia" w:ascii="宋体" w:hAnsi="宋体"/>
          <w:color w:val="auto"/>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88" w:name="_19.2投标文件应按报价文件、资格证明文件、商务文件、技术文件分别编制"/>
      <w:bookmarkEnd w:id="88"/>
      <w:r>
        <w:rPr>
          <w:rFonts w:ascii="宋体" w:hAnsi="宋体"/>
          <w:color w:val="auto"/>
          <w:szCs w:val="21"/>
          <w:highlight w:val="none"/>
        </w:rPr>
        <w:t xml:space="preserve"> </w:t>
      </w:r>
    </w:p>
    <w:p w14:paraId="65469760">
      <w:pPr>
        <w:pStyle w:val="35"/>
        <w:snapToGrid w:val="0"/>
        <w:spacing w:before="0"/>
        <w:ind w:firstLine="420"/>
        <w:rPr>
          <w:rFonts w:ascii="宋体" w:hAnsi="宋体"/>
          <w:color w:val="auto"/>
          <w:sz w:val="21"/>
          <w:szCs w:val="21"/>
          <w:highlight w:val="none"/>
        </w:rPr>
      </w:pPr>
      <w:r>
        <w:rPr>
          <w:rFonts w:ascii="宋体" w:hAnsi="宋体"/>
          <w:color w:val="auto"/>
          <w:sz w:val="21"/>
          <w:szCs w:val="21"/>
          <w:highlight w:val="none"/>
        </w:rPr>
        <w:t>19.2</w:t>
      </w:r>
      <w:r>
        <w:rPr>
          <w:rFonts w:hint="eastAsia" w:ascii="宋体" w:hAnsi="宋体"/>
          <w:color w:val="auto"/>
          <w:sz w:val="21"/>
          <w:szCs w:val="21"/>
          <w:highlight w:val="none"/>
        </w:rPr>
        <w:t>投标文件按照招标文件第六章格式要求在规定位置进行签署、盖章。投标人的投标文件未按照招标文件要求签署、盖章的，</w:t>
      </w:r>
      <w:r>
        <w:rPr>
          <w:rFonts w:hint="eastAsia" w:ascii="宋体" w:hAnsi="宋体"/>
          <w:b/>
          <w:color w:val="auto"/>
          <w:sz w:val="21"/>
          <w:szCs w:val="21"/>
          <w:highlight w:val="none"/>
        </w:rPr>
        <w:t>其投标无效。</w:t>
      </w:r>
      <w:r>
        <w:rPr>
          <w:rFonts w:hint="eastAsia" w:ascii="宋体" w:hAnsi="宋体"/>
          <w:color w:val="auto"/>
          <w:sz w:val="21"/>
          <w:szCs w:val="21"/>
          <w:highlight w:val="none"/>
        </w:rPr>
        <w:t>骑缝盖公章不视为在规定位置盖章。</w:t>
      </w:r>
    </w:p>
    <w:p w14:paraId="24591F3C">
      <w:pPr>
        <w:pStyle w:val="35"/>
        <w:snapToGrid w:val="0"/>
        <w:spacing w:before="0"/>
        <w:ind w:firstLine="420"/>
        <w:rPr>
          <w:rFonts w:ascii="宋体" w:hAnsi="宋体"/>
          <w:color w:val="auto"/>
          <w:sz w:val="21"/>
          <w:szCs w:val="21"/>
          <w:highlight w:val="none"/>
        </w:rPr>
      </w:pPr>
      <w:r>
        <w:rPr>
          <w:rFonts w:ascii="宋体" w:hAnsi="宋体"/>
          <w:color w:val="auto"/>
          <w:sz w:val="21"/>
          <w:szCs w:val="21"/>
          <w:highlight w:val="none"/>
        </w:rPr>
        <w:t>19.3</w:t>
      </w:r>
      <w:r>
        <w:rPr>
          <w:rFonts w:hint="eastAsia" w:ascii="宋体" w:hAnsi="宋体"/>
          <w:color w:val="auto"/>
          <w:sz w:val="21"/>
          <w:szCs w:val="21"/>
          <w:highlight w:val="none"/>
        </w:rPr>
        <w:t>为确保网上操作合法、有效和安全，投标人应当在投标截止时间前完成在“广西政府采购云平台”平台的身份认证，确保在电子投标过程中能够对相关数据电文进行加密和使用电子签名。</w:t>
      </w:r>
    </w:p>
    <w:p w14:paraId="4D3FD02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14:paraId="261B2BA6">
      <w:pPr>
        <w:spacing w:line="360" w:lineRule="auto"/>
        <w:ind w:firstLine="420" w:firstLineChars="200"/>
        <w:rPr>
          <w:rFonts w:ascii="宋体" w:hAnsi="宋体" w:cs="宋体"/>
          <w:b/>
          <w:color w:val="auto"/>
          <w:szCs w:val="21"/>
          <w:highlight w:val="none"/>
        </w:rPr>
      </w:pPr>
      <w:r>
        <w:rPr>
          <w:rFonts w:ascii="宋体" w:hAnsi="宋体"/>
          <w:color w:val="auto"/>
          <w:szCs w:val="21"/>
          <w:highlight w:val="none"/>
        </w:rPr>
        <w:t xml:space="preserve"> 19.5</w:t>
      </w:r>
      <w:r>
        <w:rPr>
          <w:rFonts w:hint="eastAsia" w:ascii="宋体" w:hAnsi="宋体"/>
          <w:color w:val="auto"/>
          <w:szCs w:val="21"/>
          <w:highlight w:val="none"/>
        </w:rPr>
        <w:t>投标文件应避免涂改、行间插字或者删除，</w:t>
      </w:r>
      <w:r>
        <w:rPr>
          <w:rFonts w:hint="eastAsia" w:ascii="宋体" w:hAnsi="宋体" w:cs="宋体"/>
          <w:b/>
          <w:color w:val="auto"/>
          <w:szCs w:val="21"/>
          <w:highlight w:val="none"/>
        </w:rPr>
        <w:t>否则其投标无效。</w:t>
      </w:r>
    </w:p>
    <w:p w14:paraId="69C05E82">
      <w:pPr>
        <w:spacing w:line="360" w:lineRule="auto"/>
        <w:ind w:firstLine="520" w:firstLineChars="248"/>
        <w:rPr>
          <w:rFonts w:ascii="宋体" w:hAnsi="宋体"/>
          <w:color w:val="auto"/>
          <w:highlight w:val="none"/>
        </w:rPr>
      </w:pPr>
      <w:r>
        <w:rPr>
          <w:rFonts w:ascii="宋体" w:hAnsi="宋体"/>
          <w:color w:val="auto"/>
          <w:highlight w:val="none"/>
        </w:rPr>
        <w:t xml:space="preserve">19.6 </w:t>
      </w:r>
      <w:r>
        <w:rPr>
          <w:rFonts w:hint="eastAsia" w:ascii="宋体" w:hAnsi="宋体"/>
          <w:color w:val="auto"/>
          <w:highlight w:val="none"/>
        </w:rPr>
        <w:t>对招标文件的实质性要求和条件作出响应是指投标人必须对招标文件中标注为实质性要求和条件的</w:t>
      </w:r>
      <w:r>
        <w:rPr>
          <w:rFonts w:hint="eastAsia" w:ascii="宋体" w:hAnsi="宋体"/>
          <w:color w:val="auto"/>
          <w:szCs w:val="21"/>
          <w:highlight w:val="none"/>
        </w:rPr>
        <w:t>货物内容及要求</w:t>
      </w:r>
      <w:r>
        <w:rPr>
          <w:rFonts w:hint="eastAsia" w:ascii="宋体" w:hAnsi="宋体"/>
          <w:color w:val="auto"/>
          <w:highlight w:val="none"/>
        </w:rPr>
        <w:t>、商务条款及其它内容</w:t>
      </w:r>
      <w:r>
        <w:rPr>
          <w:rFonts w:hint="eastAsia" w:ascii="宋体" w:hAnsi="宋体"/>
          <w:b/>
          <w:color w:val="auto"/>
          <w:highlight w:val="none"/>
        </w:rPr>
        <w:t>作出满足或者优于原要求和条件的承诺</w:t>
      </w:r>
      <w:r>
        <w:rPr>
          <w:rFonts w:hint="eastAsia" w:ascii="宋体" w:hAnsi="宋体"/>
          <w:color w:val="auto"/>
          <w:highlight w:val="none"/>
        </w:rPr>
        <w:t>。</w:t>
      </w:r>
    </w:p>
    <w:p w14:paraId="7873D6CA">
      <w:pPr>
        <w:spacing w:line="360" w:lineRule="auto"/>
        <w:ind w:firstLine="422" w:firstLineChars="200"/>
        <w:rPr>
          <w:rFonts w:ascii="宋体" w:hAnsi="宋体"/>
          <w:b/>
          <w:color w:val="auto"/>
          <w:szCs w:val="21"/>
          <w:highlight w:val="none"/>
          <w:u w:val="single"/>
        </w:rPr>
      </w:pPr>
      <w:r>
        <w:rPr>
          <w:rFonts w:hint="eastAsia" w:ascii="宋体" w:hAnsi="宋体"/>
          <w:b/>
          <w:color w:val="auto"/>
          <w:szCs w:val="21"/>
          <w:highlight w:val="none"/>
          <w:u w:val="single"/>
        </w:rPr>
        <w:t>19.7本项目为南宁市全流程电子化项目，异常情况见“第二节 投标人须知正文”中“四、24.2开标程序。</w:t>
      </w:r>
    </w:p>
    <w:p w14:paraId="598005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20.备份投标文件</w:t>
      </w:r>
    </w:p>
    <w:p w14:paraId="1EDD87FF">
      <w:pPr>
        <w:spacing w:line="360" w:lineRule="auto"/>
        <w:ind w:firstLine="420" w:firstLineChars="200"/>
        <w:rPr>
          <w:rFonts w:ascii="宋体" w:hAnsi="宋体"/>
          <w:color w:val="auto"/>
          <w:sz w:val="24"/>
          <w:highlight w:val="none"/>
        </w:rPr>
      </w:pPr>
      <w:r>
        <w:rPr>
          <w:rFonts w:hint="eastAsia" w:ascii="宋体" w:hAnsi="宋体"/>
          <w:bCs/>
          <w:color w:val="auto"/>
          <w:szCs w:val="21"/>
          <w:highlight w:val="none"/>
        </w:rPr>
        <w:t>详见在“投标人须知前附表”。</w:t>
      </w:r>
    </w:p>
    <w:p w14:paraId="18E9477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21.投标文件的提交</w:t>
      </w:r>
    </w:p>
    <w:p w14:paraId="4EE5583B">
      <w:pPr>
        <w:spacing w:line="360" w:lineRule="auto"/>
        <w:ind w:firstLine="420" w:firstLineChars="200"/>
        <w:rPr>
          <w:rFonts w:ascii="宋体" w:hAnsi="宋体"/>
          <w:b/>
          <w:color w:val="auto"/>
          <w:highlight w:val="none"/>
        </w:rPr>
      </w:pPr>
      <w:bookmarkStart w:id="89" w:name="_21.1投标人必须在“投标人须知中的前附表”规定的投标文件接收时间和投"/>
      <w:bookmarkEnd w:id="89"/>
      <w:r>
        <w:rPr>
          <w:rFonts w:ascii="宋体" w:hAnsi="宋体"/>
          <w:bCs/>
          <w:color w:val="auto"/>
          <w:szCs w:val="21"/>
          <w:highlight w:val="none"/>
        </w:rPr>
        <w:t>21.1</w:t>
      </w:r>
      <w:r>
        <w:rPr>
          <w:rFonts w:hint="eastAsia" w:ascii="宋体"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宋体" w:hAnsi="宋体"/>
          <w:bCs/>
          <w:color w:val="auto"/>
          <w:szCs w:val="21"/>
          <w:highlight w:val="none"/>
        </w:rPr>
        <w:t>CA</w:t>
      </w:r>
      <w:r>
        <w:rPr>
          <w:rFonts w:hint="eastAsia" w:ascii="宋体" w:hAnsi="宋体"/>
          <w:bCs/>
          <w:color w:val="auto"/>
          <w:szCs w:val="21"/>
          <w:highlight w:val="none"/>
        </w:rPr>
        <w:t>认证锁）进行电子签章、加密，然后通过网络将加密的电子投标文件递交至“南宁市广西政府采购云平台平台”。</w:t>
      </w:r>
      <w:r>
        <w:rPr>
          <w:rFonts w:ascii="宋体" w:hAnsi="宋体"/>
          <w:bCs/>
          <w:color w:val="auto"/>
          <w:szCs w:val="21"/>
          <w:highlight w:val="none"/>
        </w:rPr>
        <w:t xml:space="preserve"> </w:t>
      </w:r>
      <w:r>
        <w:rPr>
          <w:rFonts w:ascii="宋体" w:hAnsi="宋体"/>
          <w:b/>
          <w:color w:val="auto"/>
          <w:highlight w:val="none"/>
        </w:rPr>
        <w:t xml:space="preserve"> </w:t>
      </w:r>
    </w:p>
    <w:p w14:paraId="0BAD64AB">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21.2未在规定时间内提交或者未按照招标文件要求密封或者标记的电子投标文件，“广西政府采购云平台”平台将拒收。</w:t>
      </w:r>
    </w:p>
    <w:p w14:paraId="2EF5FB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21.3电子版投标文件提交方式见“招标公告”中“四、提交投标文件截止时间、开标时间和地点”</w:t>
      </w:r>
      <w:r>
        <w:rPr>
          <w:rFonts w:hint="eastAsia" w:ascii="宋体" w:hAnsi="宋体"/>
          <w:b/>
          <w:color w:val="auto"/>
          <w:szCs w:val="21"/>
          <w:highlight w:val="none"/>
        </w:rPr>
        <w:t xml:space="preserve"> 。</w:t>
      </w:r>
    </w:p>
    <w:p w14:paraId="355B4D8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 投标文件的补充、修改、撤回与退回</w:t>
      </w:r>
      <w:bookmarkStart w:id="90" w:name="_Toc254970543"/>
      <w:bookmarkStart w:id="91" w:name="_Toc254970684"/>
    </w:p>
    <w:p w14:paraId="0CBE3894">
      <w:pPr>
        <w:spacing w:line="360" w:lineRule="auto"/>
        <w:ind w:firstLine="420" w:firstLineChars="200"/>
        <w:rPr>
          <w:rFonts w:ascii="宋体" w:hAnsi="宋体"/>
          <w:color w:val="auto"/>
          <w:sz w:val="24"/>
          <w:highlight w:val="none"/>
        </w:rPr>
      </w:pPr>
      <w:r>
        <w:rPr>
          <w:rFonts w:hint="eastAsia" w:ascii="宋体" w:hAnsi="宋体" w:cs="宋体"/>
          <w:color w:val="auto"/>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平台将拒收。（补充、修改或者撤回方式见公告附件“电子投标文件制作与投送教程”）</w:t>
      </w:r>
    </w:p>
    <w:p w14:paraId="7A201F96">
      <w:pPr>
        <w:pStyle w:val="35"/>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22.2“广西政府采购云平台”平台收到投标文件，将妥善保存并即时向供应商发出确认回执通知。在投标截止时间前，除供应商补充、修改或者撤回投标文件外，任何单位和个人不得解密或提取投标文件。</w:t>
      </w:r>
    </w:p>
    <w:bookmarkEnd w:id="90"/>
    <w:bookmarkEnd w:id="91"/>
    <w:p w14:paraId="7F2E14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22.3在投标截止时间止提交电子版投标文件的投标人不足3家时，电子版投标文件由代理机构在“广西政府采购云平台”平台操作退回，除此之外采购人和采购代理机构对已提交的投标文件概不退回。</w:t>
      </w:r>
    </w:p>
    <w:p w14:paraId="1F153ED9">
      <w:pPr>
        <w:pStyle w:val="13"/>
        <w:snapToGrid w:val="0"/>
        <w:spacing w:line="400" w:lineRule="exact"/>
        <w:ind w:firstLine="412"/>
        <w:rPr>
          <w:rFonts w:hAnsi="宋体"/>
          <w:snapToGrid w:val="0"/>
          <w:color w:val="auto"/>
          <w:sz w:val="21"/>
          <w:szCs w:val="21"/>
          <w:highlight w:val="none"/>
        </w:rPr>
      </w:pPr>
    </w:p>
    <w:p w14:paraId="1F046603">
      <w:pPr>
        <w:pStyle w:val="4"/>
        <w:keepNext w:val="0"/>
        <w:keepLines w:val="0"/>
        <w:spacing w:line="400" w:lineRule="exact"/>
        <w:jc w:val="center"/>
        <w:rPr>
          <w:rFonts w:ascii="宋体" w:hAnsi="宋体"/>
          <w:color w:val="auto"/>
          <w:highlight w:val="none"/>
        </w:rPr>
      </w:pPr>
      <w:bookmarkStart w:id="92" w:name="_Toc254970544"/>
      <w:bookmarkStart w:id="93" w:name="_Toc118383682"/>
      <w:bookmarkStart w:id="94" w:name="_Toc254970685"/>
      <w:r>
        <w:rPr>
          <w:rFonts w:hint="eastAsia" w:ascii="宋体" w:hAnsi="宋体"/>
          <w:color w:val="auto"/>
          <w:highlight w:val="none"/>
        </w:rPr>
        <w:t>四、开</w:t>
      </w:r>
      <w:r>
        <w:rPr>
          <w:rFonts w:ascii="宋体" w:hAnsi="宋体"/>
          <w:color w:val="auto"/>
          <w:highlight w:val="none"/>
        </w:rPr>
        <w:t xml:space="preserve">    </w:t>
      </w:r>
      <w:r>
        <w:rPr>
          <w:rFonts w:hint="eastAsia" w:ascii="宋体" w:hAnsi="宋体"/>
          <w:color w:val="auto"/>
          <w:highlight w:val="none"/>
        </w:rPr>
        <w:t>标</w:t>
      </w:r>
      <w:bookmarkEnd w:id="92"/>
      <w:bookmarkEnd w:id="93"/>
      <w:bookmarkEnd w:id="94"/>
    </w:p>
    <w:p w14:paraId="4C3F17EF">
      <w:pPr>
        <w:spacing w:line="360" w:lineRule="auto"/>
        <w:ind w:firstLine="480" w:firstLineChars="200"/>
        <w:rPr>
          <w:rFonts w:ascii="宋体" w:hAnsi="宋体"/>
          <w:color w:val="auto"/>
          <w:sz w:val="24"/>
          <w:highlight w:val="none"/>
        </w:rPr>
      </w:pPr>
      <w:bookmarkStart w:id="95" w:name="_23.开标时间和地点"/>
      <w:bookmarkEnd w:id="95"/>
      <w:r>
        <w:rPr>
          <w:rFonts w:hint="eastAsia" w:ascii="宋体" w:hAnsi="宋体"/>
          <w:color w:val="auto"/>
          <w:sz w:val="24"/>
          <w:highlight w:val="none"/>
        </w:rPr>
        <w:t>23.开标时间和地点</w:t>
      </w:r>
    </w:p>
    <w:p w14:paraId="4B33FDA1">
      <w:pPr>
        <w:spacing w:line="360" w:lineRule="auto"/>
        <w:ind w:firstLine="420" w:firstLineChars="200"/>
        <w:rPr>
          <w:rFonts w:ascii="宋体" w:hAnsi="宋体"/>
          <w:bCs/>
          <w:color w:val="auto"/>
          <w:highlight w:val="none"/>
        </w:rPr>
      </w:pPr>
      <w:r>
        <w:rPr>
          <w:rFonts w:ascii="宋体" w:hAnsi="宋体"/>
          <w:bCs/>
          <w:color w:val="auto"/>
          <w:highlight w:val="none"/>
        </w:rPr>
        <w:t>23.1</w:t>
      </w:r>
      <w:r>
        <w:rPr>
          <w:rFonts w:hint="eastAsia" w:ascii="宋体" w:hAnsi="宋体"/>
          <w:bCs/>
          <w:color w:val="auto"/>
          <w:highlight w:val="none"/>
        </w:rPr>
        <w:t>开标时间及地点详见“投标人须知前附表”</w:t>
      </w:r>
    </w:p>
    <w:p w14:paraId="13D1542C">
      <w:pPr>
        <w:spacing w:line="360" w:lineRule="auto"/>
        <w:ind w:firstLine="420" w:firstLineChars="200"/>
        <w:rPr>
          <w:rFonts w:ascii="宋体" w:hAnsi="宋体"/>
          <w:color w:val="auto"/>
          <w:highlight w:val="none"/>
        </w:rPr>
      </w:pPr>
      <w:r>
        <w:rPr>
          <w:rFonts w:ascii="宋体" w:hAnsi="宋体"/>
          <w:color w:val="auto"/>
          <w:highlight w:val="none"/>
        </w:rPr>
        <w:t>23.2</w:t>
      </w:r>
      <w:r>
        <w:rPr>
          <w:rFonts w:hint="eastAsia" w:ascii="宋体" w:hAnsi="宋体"/>
          <w:color w:val="auto"/>
          <w:highlight w:val="none"/>
        </w:rPr>
        <w:t>如</w:t>
      </w:r>
      <w:r>
        <w:rPr>
          <w:rFonts w:hint="eastAsia" w:ascii="宋体" w:hAnsi="宋体"/>
          <w:bCs/>
          <w:color w:val="auto"/>
          <w:highlight w:val="none"/>
        </w:rPr>
        <w:t>投标人成功解密投标文件，但未在“广西政府采购云平台”电子开标大厅参加开标的，视同认可开标过程和结果，</w:t>
      </w:r>
      <w:r>
        <w:rPr>
          <w:rFonts w:hint="eastAsia" w:ascii="宋体" w:hAnsi="宋体"/>
          <w:color w:val="auto"/>
          <w:highlight w:val="none"/>
        </w:rPr>
        <w:t>由此产生的后果由投标人自行负责。</w:t>
      </w:r>
      <w:r>
        <w:rPr>
          <w:rFonts w:ascii="宋体" w:hAnsi="宋体"/>
          <w:color w:val="auto"/>
          <w:highlight w:val="none"/>
        </w:rPr>
        <w:t xml:space="preserve"> </w:t>
      </w:r>
      <w:r>
        <w:rPr>
          <w:rFonts w:hint="eastAsia" w:ascii="宋体" w:hAnsi="宋体"/>
          <w:color w:val="auto"/>
          <w:highlight w:val="none"/>
        </w:rPr>
        <w:t>投标人不足</w:t>
      </w:r>
      <w:r>
        <w:rPr>
          <w:rFonts w:ascii="宋体" w:hAnsi="宋体"/>
          <w:color w:val="auto"/>
          <w:highlight w:val="none"/>
        </w:rPr>
        <w:t>3</w:t>
      </w:r>
      <w:r>
        <w:rPr>
          <w:rFonts w:hint="eastAsia" w:ascii="宋体" w:hAnsi="宋体"/>
          <w:color w:val="auto"/>
          <w:highlight w:val="none"/>
        </w:rPr>
        <w:t>家的，不得开标。</w:t>
      </w:r>
    </w:p>
    <w:p w14:paraId="420A09D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24.开标程序</w:t>
      </w:r>
    </w:p>
    <w:p w14:paraId="51D82DED">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397B6385">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开标的准备工作由采购代理机构负责落实，采购代理机构必须基于“广西政府采购云平台”平台选取评审专家，如采购代理机构未按规定选取专家的，视为本次开评标无效，应当重新采购；</w:t>
      </w:r>
    </w:p>
    <w:p w14:paraId="37563205">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广西政府采购云平台”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049361B">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24.2开标程序：</w:t>
      </w:r>
    </w:p>
    <w:p w14:paraId="01DE0CB0">
      <w:pPr>
        <w:pStyle w:val="15"/>
        <w:snapToGrid w:val="0"/>
        <w:spacing w:line="440" w:lineRule="exact"/>
        <w:ind w:firstLine="422" w:firstLineChars="200"/>
        <w:rPr>
          <w:rFonts w:hAnsi="宋体"/>
          <w:color w:val="auto"/>
          <w:szCs w:val="21"/>
          <w:highlight w:val="none"/>
        </w:rPr>
      </w:pPr>
      <w:r>
        <w:rPr>
          <w:rFonts w:hint="eastAsia" w:hAnsi="宋体"/>
          <w:b/>
          <w:color w:val="auto"/>
          <w:szCs w:val="21"/>
          <w:highlight w:val="none"/>
        </w:rPr>
        <w:t>（1）解密电子投标文件。</w:t>
      </w:r>
      <w:r>
        <w:rPr>
          <w:rFonts w:hint="eastAsia" w:hAnsi="宋体" w:cs="仿宋_GB2312"/>
          <w:b/>
          <w:color w:val="auto"/>
          <w:szCs w:val="21"/>
          <w:highlight w:val="none"/>
        </w:rPr>
        <w:t>“</w:t>
      </w:r>
      <w:r>
        <w:rPr>
          <w:rFonts w:hint="eastAsia" w:hAnsi="宋体" w:cs="仿宋_GB2312"/>
          <w:color w:val="auto"/>
          <w:szCs w:val="21"/>
          <w:highlight w:val="none"/>
        </w:rPr>
        <w:t>广西政府采购云平台”平台按开标时间自动提取所有投标文件。采购代理机构依托“广西政府采购云平台”平台</w:t>
      </w:r>
      <w:r>
        <w:rPr>
          <w:rFonts w:hint="eastAsia" w:hAnsi="宋体"/>
          <w:color w:val="auto"/>
          <w:szCs w:val="21"/>
          <w:highlight w:val="none"/>
        </w:rPr>
        <w:t>向各投标人发出电子加密投标文件【开始解密】通知，由投标人按招标文件规定的时间内自行进行投标文件解密。投标人的法定代表人或其委托代理人</w:t>
      </w:r>
      <w:r>
        <w:rPr>
          <w:rFonts w:hint="eastAsia" w:hAnsi="宋体"/>
          <w:b/>
          <w:color w:val="auto"/>
          <w:szCs w:val="21"/>
          <w:highlight w:val="none"/>
        </w:rPr>
        <w:t>须携带加密时所用的CA锁准时登录到“广西政府采购云平台”平台电子开标大厅签到并对电子投标文件解密</w:t>
      </w:r>
      <w:r>
        <w:rPr>
          <w:rFonts w:hint="eastAsia" w:hAnsi="宋体"/>
          <w:color w:val="auto"/>
          <w:szCs w:val="21"/>
          <w:highlight w:val="none"/>
        </w:rPr>
        <w:t>。开标后5分钟投标人还未进行解密的，代理机构要通知投标人。通知后，</w:t>
      </w:r>
      <w:r>
        <w:rPr>
          <w:rFonts w:hint="eastAsia" w:hAnsi="宋体" w:cs="仿宋_GB2312"/>
          <w:color w:val="auto"/>
          <w:szCs w:val="21"/>
          <w:highlight w:val="none"/>
        </w:rPr>
        <w:t>投标文件仍未按时解密，</w:t>
      </w:r>
      <w:r>
        <w:rPr>
          <w:rFonts w:hint="eastAsia" w:hAnsi="宋体"/>
          <w:color w:val="auto"/>
          <w:szCs w:val="21"/>
          <w:highlight w:val="none"/>
        </w:rPr>
        <w:t>或者投标人没预留联系方式或预留联系方式无效，导致代理机构无法联系到投标人进行解密的，</w:t>
      </w:r>
      <w:r>
        <w:rPr>
          <w:rFonts w:hint="eastAsia" w:hAnsi="宋体"/>
          <w:b/>
          <w:color w:val="auto"/>
          <w:szCs w:val="21"/>
          <w:highlight w:val="none"/>
        </w:rPr>
        <w:t>均视为无效投标。</w:t>
      </w:r>
    </w:p>
    <w:p w14:paraId="30F9CC73">
      <w:pPr>
        <w:pStyle w:val="15"/>
        <w:snapToGrid w:val="0"/>
        <w:spacing w:line="440" w:lineRule="exact"/>
        <w:ind w:firstLine="420" w:firstLineChars="200"/>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4423A2F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投标文件解密结束，各投标供应商报价均在“广西政府采购云平台”平台远程不见面开标大厅展示；</w:t>
      </w:r>
    </w:p>
    <w:p w14:paraId="5D7415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b/>
          <w:color w:val="auto"/>
          <w:szCs w:val="21"/>
          <w:highlight w:val="none"/>
        </w:rPr>
        <w:t>签署电子《政府采购活动现场确认声明书》。</w:t>
      </w:r>
      <w:r>
        <w:rPr>
          <w:rFonts w:hint="eastAsia" w:ascii="宋体" w:hAnsi="宋体"/>
          <w:color w:val="auto"/>
          <w:szCs w:val="21"/>
          <w:highlight w:val="none"/>
        </w:rPr>
        <w:t>通过邮件形式在远程不见面开标大厅发送各投标人签署电子《政府采购活动现场确认声明书》。</w:t>
      </w:r>
    </w:p>
    <w:p w14:paraId="75EF4D5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14:paraId="4D74ECD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0EE1AC8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（6）开标结束。</w:t>
      </w:r>
    </w:p>
    <w:p w14:paraId="54AE9D6B">
      <w:pPr>
        <w:pStyle w:val="15"/>
        <w:snapToGrid w:val="0"/>
        <w:spacing w:line="440" w:lineRule="exact"/>
        <w:ind w:firstLine="422" w:firstLineChars="200"/>
        <w:rPr>
          <w:rFonts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如遇“广西政府采购云平台”平台电子化开标或评审程序调整的，按调整后执行。</w:t>
      </w:r>
    </w:p>
    <w:p w14:paraId="0314261E">
      <w:pPr>
        <w:pStyle w:val="15"/>
        <w:snapToGrid w:val="0"/>
        <w:spacing w:line="400" w:lineRule="exact"/>
        <w:ind w:left="689" w:leftChars="228" w:hanging="210" w:hangingChars="100"/>
        <w:rPr>
          <w:rFonts w:hAnsi="宋体"/>
          <w:color w:val="auto"/>
          <w:highlight w:val="none"/>
        </w:rPr>
      </w:pPr>
    </w:p>
    <w:p w14:paraId="75351109">
      <w:pPr>
        <w:pStyle w:val="4"/>
        <w:keepNext w:val="0"/>
        <w:keepLines w:val="0"/>
        <w:spacing w:line="400" w:lineRule="exact"/>
        <w:jc w:val="center"/>
        <w:rPr>
          <w:rFonts w:ascii="宋体" w:hAnsi="宋体"/>
          <w:color w:val="auto"/>
          <w:highlight w:val="none"/>
        </w:rPr>
      </w:pPr>
      <w:bookmarkStart w:id="96" w:name="_Toc118383683"/>
      <w:r>
        <w:rPr>
          <w:rFonts w:hint="eastAsia" w:ascii="宋体" w:hAnsi="宋体"/>
          <w:color w:val="auto"/>
          <w:highlight w:val="none"/>
        </w:rPr>
        <w:t>五、资格审查</w:t>
      </w:r>
      <w:bookmarkEnd w:id="96"/>
    </w:p>
    <w:p w14:paraId="39739C3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25.资格审查</w:t>
      </w:r>
    </w:p>
    <w:p w14:paraId="6773CEA6">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25.1开标结束后，采购人或采购机构依法通过电子投标文件对投标人的资格进行线上审查。</w:t>
      </w:r>
    </w:p>
    <w:p w14:paraId="42DE7A12">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25.2采购人或采购机构依据法律法规和招标文件的规定，对投标人的基本资格条件、特定资格条件进行审查。</w:t>
      </w:r>
    </w:p>
    <w:p w14:paraId="69FB9515">
      <w:pPr>
        <w:spacing w:line="360" w:lineRule="auto"/>
        <w:ind w:firstLine="420" w:firstLineChars="200"/>
        <w:rPr>
          <w:rFonts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0BAD1EEA">
      <w:pPr>
        <w:spacing w:line="360" w:lineRule="auto"/>
        <w:ind w:firstLine="422" w:firstLineChars="200"/>
        <w:rPr>
          <w:rFonts w:ascii="宋体" w:hAnsi="宋体"/>
          <w:b/>
          <w:bCs/>
          <w:color w:val="auto"/>
          <w:szCs w:val="20"/>
          <w:highlight w:val="none"/>
        </w:rPr>
      </w:pPr>
      <w:bookmarkStart w:id="97" w:name="_25.3_投标人有下列情形之一的，资格审查不通过而导致其投标无效："/>
      <w:bookmarkEnd w:id="97"/>
      <w:r>
        <w:rPr>
          <w:rFonts w:hint="eastAsia" w:ascii="宋体" w:hAnsi="宋体"/>
          <w:b/>
          <w:bCs/>
          <w:color w:val="auto"/>
          <w:szCs w:val="20"/>
          <w:highlight w:val="none"/>
        </w:rPr>
        <w:t>25.4投标人有下列情形之一的，资格审查不通过，作无效投标处理：</w:t>
      </w:r>
    </w:p>
    <w:p w14:paraId="09CEE44D">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）不具备招标文件中规定的资格要求的；（注：其中信用查询规则见“投标人须知前附表”，“广西政府采购云平台”平台已与“信用中国”平台做接口，审查专家可直接在线查询）</w:t>
      </w:r>
    </w:p>
    <w:p w14:paraId="51DCEAA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）投标文件未提供任一项“投标人须知前附表”资格证明文件规定的“必须提供”的文件资料的；</w:t>
      </w:r>
    </w:p>
    <w:p w14:paraId="2588AA30">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）投标文件提供的资格证明文件出现任一项不符合“投标人须知前附表”资格证明文件规定的“必须提供”的文件资料要求或者无效的。</w:t>
      </w:r>
    </w:p>
    <w:p w14:paraId="5F3E8E9D">
      <w:pPr>
        <w:spacing w:line="360" w:lineRule="auto"/>
        <w:ind w:firstLine="420" w:firstLineChars="200"/>
        <w:rPr>
          <w:rFonts w:ascii="宋体" w:hAnsi="宋体"/>
          <w:color w:val="auto"/>
          <w:szCs w:val="20"/>
          <w:highlight w:val="none"/>
        </w:rPr>
      </w:pPr>
      <w:r>
        <w:rPr>
          <w:rFonts w:hint="eastAsia" w:ascii="宋体" w:hAnsi="宋体"/>
          <w:color w:val="auto"/>
          <w:szCs w:val="20"/>
          <w:highlight w:val="none"/>
        </w:rPr>
        <w:t>25.5资格审查的合格投标人不足3家的，不得评标。</w:t>
      </w:r>
    </w:p>
    <w:p w14:paraId="1B42DF8A">
      <w:pPr>
        <w:pStyle w:val="4"/>
        <w:keepNext w:val="0"/>
        <w:keepLines w:val="0"/>
        <w:spacing w:line="360" w:lineRule="auto"/>
        <w:jc w:val="center"/>
        <w:rPr>
          <w:rFonts w:ascii="宋体" w:hAnsi="宋体"/>
          <w:color w:val="auto"/>
          <w:highlight w:val="none"/>
        </w:rPr>
      </w:pPr>
      <w:bookmarkStart w:id="98" w:name="_Toc118383684"/>
      <w:r>
        <w:rPr>
          <w:rFonts w:hint="eastAsia" w:ascii="宋体" w:hAnsi="宋体"/>
          <w:color w:val="auto"/>
          <w:highlight w:val="none"/>
        </w:rPr>
        <w:t>六、评</w:t>
      </w:r>
      <w:r>
        <w:rPr>
          <w:rFonts w:ascii="宋体" w:hAnsi="宋体"/>
          <w:color w:val="auto"/>
          <w:highlight w:val="none"/>
        </w:rPr>
        <w:t xml:space="preserve">   </w:t>
      </w:r>
      <w:r>
        <w:rPr>
          <w:rFonts w:hint="eastAsia" w:ascii="宋体" w:hAnsi="宋体"/>
          <w:color w:val="auto"/>
          <w:highlight w:val="none"/>
        </w:rPr>
        <w:t>标</w:t>
      </w:r>
      <w:bookmarkEnd w:id="98"/>
    </w:p>
    <w:p w14:paraId="62C0F21D">
      <w:pPr>
        <w:spacing w:line="360" w:lineRule="auto"/>
        <w:ind w:firstLine="480" w:firstLineChars="200"/>
        <w:rPr>
          <w:rFonts w:ascii="宋体" w:hAnsi="宋体"/>
          <w:color w:val="auto"/>
          <w:sz w:val="24"/>
          <w:highlight w:val="none"/>
        </w:rPr>
      </w:pPr>
      <w:bookmarkStart w:id="99" w:name="_26.组建评标委员会"/>
      <w:bookmarkEnd w:id="99"/>
      <w:r>
        <w:rPr>
          <w:rFonts w:hint="eastAsia" w:ascii="宋体" w:hAnsi="宋体"/>
          <w:color w:val="auto"/>
          <w:sz w:val="24"/>
          <w:highlight w:val="none"/>
        </w:rPr>
        <w:t>26.组建评标委员会</w:t>
      </w:r>
    </w:p>
    <w:p w14:paraId="5B8B9FD4">
      <w:pPr>
        <w:spacing w:line="360" w:lineRule="auto"/>
        <w:ind w:firstLine="420" w:firstLineChars="200"/>
        <w:rPr>
          <w:rFonts w:ascii="宋体" w:hAnsi="宋体"/>
          <w:color w:val="auto"/>
          <w:highlight w:val="none"/>
        </w:rPr>
      </w:pPr>
      <w:r>
        <w:rPr>
          <w:rFonts w:hint="eastAsia" w:ascii="宋体" w:hAnsi="宋体"/>
          <w:color w:val="auto"/>
          <w:highlight w:val="none"/>
        </w:rPr>
        <w:t>评标委员会由采购人代表和评审专家组成，人数为</w:t>
      </w:r>
      <w:r>
        <w:rPr>
          <w:rFonts w:ascii="宋体" w:hAnsi="宋体"/>
          <w:color w:val="auto"/>
          <w:highlight w:val="none"/>
        </w:rPr>
        <w:t>5</w:t>
      </w:r>
      <w:r>
        <w:rPr>
          <w:rFonts w:hint="eastAsia" w:ascii="宋体" w:hAnsi="宋体"/>
          <w:color w:val="auto"/>
          <w:highlight w:val="none"/>
        </w:rPr>
        <w:t>人以上单数，其中评审专家不得少于成员总数的三分之二。</w:t>
      </w:r>
    </w:p>
    <w:p w14:paraId="64AE8697">
      <w:pPr>
        <w:spacing w:line="360" w:lineRule="auto"/>
        <w:ind w:firstLine="420" w:firstLineChars="200"/>
        <w:rPr>
          <w:rFonts w:ascii="宋体" w:hAnsi="宋体"/>
          <w:color w:val="auto"/>
          <w:highlight w:val="none"/>
        </w:rPr>
      </w:pPr>
      <w:r>
        <w:rPr>
          <w:rFonts w:hint="eastAsia" w:ascii="宋体" w:hAnsi="宋体"/>
          <w:color w:val="auto"/>
          <w:highlight w:val="none"/>
        </w:rPr>
        <w:t>参加过采购项目前期咨询论证的专家，不得参加该采购项目的评审活动。</w:t>
      </w:r>
    </w:p>
    <w:p w14:paraId="41E2C5E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27.评标的依据</w:t>
      </w:r>
    </w:p>
    <w:p w14:paraId="6C59082F">
      <w:pPr>
        <w:spacing w:line="360" w:lineRule="auto"/>
        <w:ind w:firstLine="420" w:firstLineChars="200"/>
        <w:rPr>
          <w:rFonts w:ascii="宋体" w:hAnsi="宋体"/>
          <w:color w:val="auto"/>
          <w:highlight w:val="none"/>
        </w:rPr>
      </w:pPr>
      <w:r>
        <w:rPr>
          <w:rFonts w:hint="eastAsia" w:ascii="宋体" w:hAnsi="宋体"/>
          <w:color w:val="auto"/>
          <w:highlight w:val="none"/>
        </w:rPr>
        <w:t>评标委员会以招标文件为依据对投标文件进行评审，</w:t>
      </w:r>
      <w:r>
        <w:rPr>
          <w:rFonts w:hint="eastAsia" w:ascii="宋体" w:hAnsi="宋体" w:cs="宋体"/>
          <w:color w:val="auto"/>
          <w:highlight w:val="none"/>
        </w:rPr>
        <w:t>“第四章</w:t>
      </w:r>
      <w:r>
        <w:rPr>
          <w:rFonts w:ascii="宋体" w:hAnsi="宋体" w:cs="宋体"/>
          <w:color w:val="auto"/>
          <w:highlight w:val="none"/>
        </w:rPr>
        <w:t xml:space="preserve"> </w:t>
      </w:r>
      <w:r>
        <w:rPr>
          <w:rFonts w:hint="eastAsia" w:ascii="宋体" w:hAnsi="宋体" w:cs="宋体"/>
          <w:color w:val="auto"/>
          <w:highlight w:val="none"/>
        </w:rPr>
        <w:t>评标方法和评标标准”</w:t>
      </w:r>
      <w:r>
        <w:rPr>
          <w:rFonts w:hint="eastAsia" w:ascii="宋体" w:hAnsi="宋体"/>
          <w:color w:val="auto"/>
          <w:highlight w:val="none"/>
        </w:rPr>
        <w:t>没有规定的方法、评审因素和标准，不作为评标依据。</w:t>
      </w:r>
    </w:p>
    <w:p w14:paraId="2644E4E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28.评标原则</w:t>
      </w:r>
    </w:p>
    <w:p w14:paraId="4C9309BB">
      <w:pPr>
        <w:spacing w:line="360" w:lineRule="auto"/>
        <w:ind w:firstLine="420" w:firstLineChars="200"/>
        <w:rPr>
          <w:rFonts w:ascii="宋体" w:hAnsi="宋体"/>
          <w:color w:val="auto"/>
          <w:highlight w:val="none"/>
        </w:rPr>
      </w:pPr>
      <w:r>
        <w:rPr>
          <w:rFonts w:ascii="宋体" w:hAnsi="宋体"/>
          <w:color w:val="auto"/>
          <w:highlight w:val="none"/>
        </w:rPr>
        <w:t>28.1</w:t>
      </w:r>
      <w:r>
        <w:rPr>
          <w:rFonts w:hint="eastAsia" w:ascii="宋体" w:hAnsi="宋体"/>
          <w:color w:val="auto"/>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0BB46BF">
      <w:pPr>
        <w:spacing w:line="360" w:lineRule="auto"/>
        <w:ind w:firstLine="420" w:firstLineChars="200"/>
        <w:rPr>
          <w:rFonts w:ascii="宋体" w:hAnsi="宋体"/>
          <w:color w:val="auto"/>
          <w:highlight w:val="none"/>
        </w:rPr>
      </w:pPr>
      <w:r>
        <w:rPr>
          <w:rFonts w:ascii="宋体" w:hAnsi="宋体"/>
          <w:color w:val="auto"/>
          <w:highlight w:val="none"/>
        </w:rPr>
        <w:t>28.2</w:t>
      </w:r>
      <w:r>
        <w:rPr>
          <w:rFonts w:hint="eastAsia" w:ascii="宋体" w:hAnsi="宋体"/>
          <w:color w:val="auto"/>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00" w:name="_28.3评标方法。本项目将按须知前附表规定的评标办法进行评标，具体评标"/>
      <w:bookmarkEnd w:id="100"/>
    </w:p>
    <w:p w14:paraId="56642A6E">
      <w:pPr>
        <w:spacing w:line="360" w:lineRule="auto"/>
        <w:ind w:firstLine="420" w:firstLineChars="200"/>
        <w:rPr>
          <w:rFonts w:ascii="宋体" w:hAnsi="宋体"/>
          <w:color w:val="auto"/>
          <w:highlight w:val="none"/>
        </w:rPr>
      </w:pPr>
      <w:r>
        <w:rPr>
          <w:rFonts w:ascii="宋体" w:hAnsi="宋体"/>
          <w:color w:val="auto"/>
          <w:highlight w:val="none"/>
        </w:rPr>
        <w:t>28.3</w:t>
      </w:r>
      <w:r>
        <w:rPr>
          <w:rFonts w:hint="eastAsia" w:ascii="宋体"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5930422">
      <w:pPr>
        <w:spacing w:line="360" w:lineRule="auto"/>
        <w:ind w:firstLine="420" w:firstLineChars="200"/>
        <w:rPr>
          <w:rFonts w:ascii="宋体" w:hAnsi="宋体"/>
          <w:color w:val="auto"/>
          <w:highlight w:val="none"/>
        </w:rPr>
      </w:pPr>
      <w:r>
        <w:rPr>
          <w:rFonts w:ascii="宋体" w:hAnsi="宋体"/>
          <w:color w:val="auto"/>
          <w:highlight w:val="none"/>
        </w:rPr>
        <w:t>28.4</w:t>
      </w:r>
      <w:r>
        <w:rPr>
          <w:rFonts w:hint="eastAsia" w:ascii="宋体" w:hAnsi="宋体"/>
          <w:color w:val="auto"/>
          <w:highlight w:val="none"/>
        </w:rPr>
        <w:t>评标过程的监控。本项目电子评标过程实行网上留痕、全程录音、录像监控，投标人在评标过程中所进行的试图影响评标结果的不公正活动，可能导致其投标按无效处理。</w:t>
      </w:r>
    </w:p>
    <w:p w14:paraId="4C3E21C4">
      <w:pPr>
        <w:widowControl/>
        <w:spacing w:line="560" w:lineRule="exact"/>
        <w:ind w:firstLine="420" w:firstLineChars="200"/>
        <w:jc w:val="left"/>
        <w:textAlignment w:val="baseline"/>
        <w:rPr>
          <w:rFonts w:ascii="宋体" w:hAnsi="宋体"/>
          <w:color w:val="auto"/>
          <w:highlight w:val="none"/>
        </w:rPr>
      </w:pPr>
      <w:r>
        <w:rPr>
          <w:rFonts w:ascii="宋体" w:hAnsi="宋体"/>
          <w:color w:val="auto"/>
          <w:highlight w:val="none"/>
        </w:rPr>
        <w:t>28.5</w:t>
      </w:r>
      <w:r>
        <w:rPr>
          <w:rFonts w:hint="eastAsia" w:ascii="宋体" w:hAnsi="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B5A23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29.评标方法及评标标准</w:t>
      </w:r>
    </w:p>
    <w:p w14:paraId="51FBCA79">
      <w:pPr>
        <w:spacing w:line="360" w:lineRule="auto"/>
        <w:ind w:firstLine="420" w:firstLineChars="200"/>
        <w:rPr>
          <w:rFonts w:ascii="宋体" w:hAnsi="宋体"/>
          <w:color w:val="auto"/>
          <w:highlight w:val="none"/>
        </w:rPr>
      </w:pPr>
      <w:r>
        <w:rPr>
          <w:rFonts w:ascii="宋体" w:hAnsi="宋体"/>
          <w:color w:val="auto"/>
          <w:highlight w:val="none"/>
        </w:rPr>
        <w:t>29.1</w:t>
      </w:r>
      <w:r>
        <w:rPr>
          <w:rFonts w:hint="eastAsia" w:ascii="宋体" w:hAnsi="宋体"/>
          <w:color w:val="auto"/>
          <w:highlight w:val="none"/>
        </w:rPr>
        <w:t>本项目的评标方法详见“投标人须知前附表”。</w:t>
      </w:r>
    </w:p>
    <w:p w14:paraId="647185DA">
      <w:pPr>
        <w:spacing w:line="360" w:lineRule="auto"/>
        <w:ind w:firstLine="420" w:firstLineChars="200"/>
        <w:rPr>
          <w:rFonts w:ascii="宋体" w:hAnsi="宋体"/>
          <w:color w:val="auto"/>
          <w:highlight w:val="none"/>
        </w:rPr>
      </w:pPr>
      <w:r>
        <w:rPr>
          <w:rFonts w:ascii="宋体" w:hAnsi="宋体"/>
          <w:color w:val="auto"/>
          <w:highlight w:val="none"/>
        </w:rPr>
        <w:t>29.2</w:t>
      </w:r>
      <w:r>
        <w:rPr>
          <w:rFonts w:ascii="宋体" w:hAnsi="宋体" w:cs="宋体"/>
          <w:color w:val="auto"/>
          <w:highlight w:val="none"/>
        </w:rPr>
        <w:t xml:space="preserve"> </w:t>
      </w:r>
      <w:r>
        <w:rPr>
          <w:rFonts w:hint="eastAsia" w:ascii="宋体" w:hAnsi="宋体"/>
          <w:color w:val="auto"/>
          <w:highlight w:val="none"/>
        </w:rPr>
        <w:t>评标委员会按照</w:t>
      </w:r>
      <w:r>
        <w:rPr>
          <w:rFonts w:hint="eastAsia" w:ascii="宋体" w:hAnsi="宋体" w:cs="宋体"/>
          <w:b/>
          <w:color w:val="auto"/>
          <w:highlight w:val="none"/>
        </w:rPr>
        <w:t>“第四章</w:t>
      </w:r>
      <w:r>
        <w:rPr>
          <w:rFonts w:ascii="宋体" w:hAnsi="宋体" w:cs="宋体"/>
          <w:b/>
          <w:color w:val="auto"/>
          <w:highlight w:val="none"/>
        </w:rPr>
        <w:t xml:space="preserve"> </w:t>
      </w:r>
      <w:r>
        <w:rPr>
          <w:rFonts w:hint="eastAsia" w:ascii="宋体" w:hAnsi="宋体" w:cs="宋体"/>
          <w:b/>
          <w:color w:val="auto"/>
          <w:highlight w:val="none"/>
        </w:rPr>
        <w:t>评标方法和评标标准”</w:t>
      </w:r>
      <w:r>
        <w:rPr>
          <w:rFonts w:hint="eastAsia" w:ascii="宋体" w:hAnsi="宋体"/>
          <w:color w:val="auto"/>
          <w:highlight w:val="none"/>
        </w:rPr>
        <w:t>规定的方法、评审因素、标准和程序对投标文件进行评审。</w:t>
      </w:r>
    </w:p>
    <w:p w14:paraId="07497E36">
      <w:pPr>
        <w:spacing w:line="360" w:lineRule="auto"/>
        <w:ind w:firstLine="420" w:firstLineChars="200"/>
        <w:rPr>
          <w:rFonts w:ascii="宋体" w:hAnsi="宋体"/>
          <w:color w:val="auto"/>
          <w:highlight w:val="none"/>
        </w:rPr>
      </w:pPr>
      <w:r>
        <w:rPr>
          <w:rFonts w:ascii="宋体" w:hAnsi="宋体"/>
          <w:color w:val="auto"/>
          <w:highlight w:val="none"/>
        </w:rPr>
        <w:t xml:space="preserve">29.3 </w:t>
      </w:r>
      <w:r>
        <w:rPr>
          <w:rFonts w:hint="eastAsia" w:ascii="宋体" w:hAnsi="宋体"/>
          <w:color w:val="auto"/>
          <w:highlight w:val="none"/>
        </w:rPr>
        <w:t>电子交易活动的中止。采购过程中出现以下情形，导致电子交易平台无法正常运行，或者无法保证电子交易的公平、公正和安全时，采购机构可中止电子交易活动：</w:t>
      </w:r>
    </w:p>
    <w:p w14:paraId="198D8C5F">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）电子交易平台发生故障而无法登录访问的；</w:t>
      </w:r>
      <w:r>
        <w:rPr>
          <w:rFonts w:ascii="宋体" w:hAnsi="宋体"/>
          <w:color w:val="auto"/>
          <w:highlight w:val="none"/>
        </w:rPr>
        <w:t xml:space="preserve"> </w:t>
      </w:r>
    </w:p>
    <w:p w14:paraId="0959D497">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）电子交易平台应用或数据库出现错误，不能进行正常操作的；</w:t>
      </w:r>
    </w:p>
    <w:p w14:paraId="6034FD71">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）电子交易平台发现严重安全漏洞，有潜在泄密危险的；</w:t>
      </w:r>
    </w:p>
    <w:p w14:paraId="16389F88">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）病毒发作导致不能进行正常操作的；</w:t>
      </w:r>
      <w:r>
        <w:rPr>
          <w:rFonts w:ascii="宋体" w:hAnsi="宋体"/>
          <w:color w:val="auto"/>
          <w:highlight w:val="none"/>
        </w:rPr>
        <w:t xml:space="preserve"> </w:t>
      </w:r>
    </w:p>
    <w:p w14:paraId="1194CAE7">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）其他无法保证电子交易的公平、公正和安全的情况。</w:t>
      </w:r>
    </w:p>
    <w:p w14:paraId="59A12F35">
      <w:pPr>
        <w:spacing w:line="360" w:lineRule="auto"/>
        <w:ind w:firstLine="420" w:firstLineChars="200"/>
        <w:rPr>
          <w:rFonts w:ascii="宋体" w:hAnsi="宋体"/>
          <w:color w:val="auto"/>
          <w:highlight w:val="none"/>
        </w:rPr>
      </w:pPr>
      <w:r>
        <w:rPr>
          <w:rFonts w:ascii="宋体" w:hAnsi="宋体"/>
          <w:color w:val="auto"/>
          <w:highlight w:val="none"/>
        </w:rPr>
        <w:t>29.4</w:t>
      </w:r>
      <w:r>
        <w:rPr>
          <w:rFonts w:hint="eastAsia" w:ascii="宋体" w:hAnsi="宋体"/>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4CABF88">
      <w:pPr>
        <w:pStyle w:val="15"/>
        <w:snapToGrid w:val="0"/>
        <w:spacing w:line="400" w:lineRule="exact"/>
        <w:ind w:firstLine="420" w:firstLineChars="200"/>
        <w:rPr>
          <w:rFonts w:hAnsi="宋体"/>
          <w:color w:val="auto"/>
          <w:highlight w:val="none"/>
        </w:rPr>
      </w:pPr>
    </w:p>
    <w:p w14:paraId="0268A588">
      <w:pPr>
        <w:pStyle w:val="4"/>
        <w:keepNext w:val="0"/>
        <w:keepLines w:val="0"/>
        <w:spacing w:line="400" w:lineRule="exact"/>
        <w:jc w:val="center"/>
        <w:rPr>
          <w:rFonts w:ascii="宋体" w:hAnsi="宋体"/>
          <w:color w:val="auto"/>
          <w:highlight w:val="none"/>
        </w:rPr>
      </w:pPr>
      <w:bookmarkStart w:id="101" w:name="_Toc254970687"/>
      <w:bookmarkStart w:id="102" w:name="_Toc254970546"/>
      <w:bookmarkStart w:id="103" w:name="_Toc118383685"/>
      <w:r>
        <w:rPr>
          <w:rFonts w:hint="eastAsia" w:ascii="宋体" w:hAnsi="宋体"/>
          <w:color w:val="auto"/>
          <w:highlight w:val="none"/>
        </w:rPr>
        <w:t>七、</w:t>
      </w:r>
      <w:bookmarkEnd w:id="101"/>
      <w:bookmarkEnd w:id="102"/>
      <w:r>
        <w:rPr>
          <w:rFonts w:hint="eastAsia" w:ascii="宋体" w:hAnsi="宋体"/>
          <w:color w:val="auto"/>
          <w:highlight w:val="none"/>
        </w:rPr>
        <w:t>中标和合同</w:t>
      </w:r>
      <w:bookmarkEnd w:id="103"/>
    </w:p>
    <w:p w14:paraId="15F67F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30.确定中标人</w:t>
      </w:r>
    </w:p>
    <w:p w14:paraId="230CDB64">
      <w:pPr>
        <w:spacing w:line="360" w:lineRule="auto"/>
        <w:ind w:firstLine="422" w:firstLineChars="200"/>
        <w:rPr>
          <w:rFonts w:ascii="宋体" w:hAnsi="宋体" w:cs="Courier New"/>
          <w:b/>
          <w:bCs/>
          <w:color w:val="auto"/>
          <w:szCs w:val="21"/>
          <w:highlight w:val="none"/>
        </w:rPr>
      </w:pPr>
      <w:r>
        <w:rPr>
          <w:rFonts w:hint="eastAsia" w:ascii="宋体" w:hAnsi="宋体" w:cs="Courier New"/>
          <w:b/>
          <w:bCs/>
          <w:color w:val="auto"/>
          <w:szCs w:val="21"/>
          <w:highlight w:val="none"/>
        </w:rPr>
        <w:t>30.1本项目授权评标委员会直接按第四章“评标方法及标准”的规定排列中标候选人顺序，并依照次序确定中标人。</w:t>
      </w:r>
    </w:p>
    <w:p w14:paraId="6C022642">
      <w:pPr>
        <w:spacing w:line="360" w:lineRule="auto"/>
        <w:ind w:firstLine="422" w:firstLineChars="200"/>
        <w:rPr>
          <w:rFonts w:ascii="宋体" w:hAnsi="宋体" w:cs="Courier New"/>
          <w:b/>
          <w:bCs/>
          <w:color w:val="auto"/>
          <w:szCs w:val="21"/>
          <w:highlight w:val="none"/>
        </w:rPr>
      </w:pPr>
      <w:r>
        <w:rPr>
          <w:rFonts w:hint="eastAsia" w:ascii="宋体" w:hAnsi="宋体" w:cs="Courier New"/>
          <w:b/>
          <w:bCs/>
          <w:color w:val="auto"/>
          <w:szCs w:val="21"/>
          <w:highlight w:val="none"/>
        </w:rPr>
        <w:t>30.2提供相同品牌产品且通过资格审查、符合性审查的不同投标人参加同一合同项下投标的，按一家投标人计算，采用最低评标价法则以报价最低者参与评标，采用综合评分法则以评审得分最高者获得中标人推荐资格，采用最低评标价法报价相同的或者采用综合评分法评审得分相同的，按“投标人须知前附表”规定方式确定，确定后其他同品牌投标人投标无效或不作为中标候选人。</w:t>
      </w:r>
    </w:p>
    <w:p w14:paraId="0B8D1FFC">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2D445577">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30.4中标供应商无正当理由拒签合同的，根据《中华人民共和国政府采购法》第七十七条第一款规定处理。</w:t>
      </w:r>
    </w:p>
    <w:p w14:paraId="595D968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30.5根据《中华人民共和国民法典》</w:t>
      </w:r>
      <w:r>
        <w:rPr>
          <w:rFonts w:hint="eastAsia" w:ascii="宋体" w:hAnsi="宋体"/>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14:paraId="701AB9B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 结果公告</w:t>
      </w:r>
    </w:p>
    <w:p w14:paraId="20EB285F">
      <w:pPr>
        <w:spacing w:line="360" w:lineRule="auto"/>
        <w:ind w:firstLine="420" w:firstLineChars="200"/>
        <w:rPr>
          <w:rFonts w:ascii="宋体" w:hAnsi="宋体" w:cs="宋体"/>
          <w:color w:val="auto"/>
          <w:highlight w:val="none"/>
        </w:rPr>
      </w:pPr>
      <w:r>
        <w:rPr>
          <w:rFonts w:ascii="宋体" w:hAnsi="宋体"/>
          <w:color w:val="auto"/>
          <w:szCs w:val="21"/>
          <w:highlight w:val="none"/>
        </w:rPr>
        <w:t>31.1</w:t>
      </w:r>
      <w:r>
        <w:rPr>
          <w:rFonts w:hint="eastAsia" w:ascii="宋体" w:hAnsi="宋体" w:cs="宋体"/>
          <w:color w:val="auto"/>
          <w:highlight w:val="none"/>
        </w:rPr>
        <w:t>在中标供应商</w:t>
      </w:r>
      <w:r>
        <w:rPr>
          <w:rFonts w:hint="eastAsia" w:ascii="宋体" w:hAnsi="宋体" w:cs="Arial"/>
          <w:color w:val="auto"/>
          <w:highlight w:val="none"/>
        </w:rPr>
        <w:t>确定之日起</w:t>
      </w:r>
      <w:r>
        <w:rPr>
          <w:rFonts w:ascii="宋体" w:hAnsi="宋体" w:cs="宋体"/>
          <w:color w:val="auto"/>
          <w:highlight w:val="none"/>
        </w:rPr>
        <w:t>2</w:t>
      </w:r>
      <w:r>
        <w:rPr>
          <w:rFonts w:hint="eastAsia" w:ascii="宋体" w:hAnsi="宋体" w:cs="宋体"/>
          <w:color w:val="auto"/>
          <w:highlight w:val="none"/>
        </w:rPr>
        <w:t>个工作日内，由采购代理机构</w:t>
      </w:r>
      <w:r>
        <w:rPr>
          <w:rFonts w:hint="eastAsia" w:ascii="宋体" w:hAnsi="宋体"/>
          <w:b/>
          <w:color w:val="auto"/>
          <w:szCs w:val="21"/>
          <w:highlight w:val="none"/>
        </w:rPr>
        <w:t>在招标公告发布媒体上</w:t>
      </w:r>
      <w:r>
        <w:rPr>
          <w:rFonts w:hint="eastAsia" w:ascii="宋体" w:hAnsi="宋体" w:cs="宋体"/>
          <w:color w:val="auto"/>
          <w:highlight w:val="none"/>
        </w:rPr>
        <w:t>发布中标结果公告，中标结果公告期限为</w:t>
      </w:r>
      <w:r>
        <w:rPr>
          <w:rFonts w:ascii="宋体" w:hAnsi="宋体" w:cs="宋体"/>
          <w:color w:val="auto"/>
          <w:highlight w:val="none"/>
        </w:rPr>
        <w:t>1</w:t>
      </w:r>
      <w:r>
        <w:rPr>
          <w:rFonts w:hint="eastAsia" w:ascii="宋体" w:hAnsi="宋体" w:cs="宋体"/>
          <w:color w:val="auto"/>
          <w:highlight w:val="none"/>
        </w:rPr>
        <w:t>个工作日，发布中标结果公告的同时向中标供应商发出中标通知书。</w:t>
      </w:r>
      <w:r>
        <w:rPr>
          <w:rFonts w:hint="eastAsia" w:ascii="宋体" w:hAnsi="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Pr>
          <w:rFonts w:hint="eastAsia" w:ascii="宋体" w:hAnsi="宋体"/>
          <w:color w:val="auto"/>
          <w:szCs w:val="21"/>
          <w:highlight w:val="none"/>
        </w:rPr>
        <w:t>排名第二的中标候选人因前款规定的同样原因被取消中标资格的，</w:t>
      </w:r>
      <w:r>
        <w:rPr>
          <w:rFonts w:hint="eastAsia" w:ascii="宋体" w:hAnsi="宋体" w:cs="Courier New"/>
          <w:color w:val="auto"/>
          <w:szCs w:val="21"/>
          <w:highlight w:val="none"/>
        </w:rPr>
        <w:t>授权的评标委员会</w:t>
      </w:r>
      <w:r>
        <w:rPr>
          <w:rFonts w:hint="eastAsia" w:ascii="宋体" w:hAnsi="宋体"/>
          <w:color w:val="auto"/>
          <w:szCs w:val="21"/>
          <w:highlight w:val="none"/>
        </w:rPr>
        <w:t>可以确定排名第三的中标候选人为中标人，以此类推。</w:t>
      </w:r>
    </w:p>
    <w:p w14:paraId="5A9BDA0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以上信息查询记录及相关证据与采购文件一并保存。</w:t>
      </w:r>
    </w:p>
    <w:p w14:paraId="21BDAB48">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62BAF84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32.发出中标通知书</w:t>
      </w:r>
    </w:p>
    <w:p w14:paraId="202403E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32.1在发布中标公告的同时，采购代理机构向中标人通过“广西政府采购云平台”平台发出电子中标通知书。</w:t>
      </w:r>
    </w:p>
    <w:p w14:paraId="70074BD4">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32.2对未通过资格审查的投标人，采购人或采购机构应当告知其未通过的原因；采用综合评分办法评审的，采购人或采购机构还应当告知未中标人本人的评审得分与排序。</w:t>
      </w:r>
    </w:p>
    <w:p w14:paraId="42127CB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 无义务解释未中标原因</w:t>
      </w:r>
    </w:p>
    <w:p w14:paraId="7D09E62B">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2D2F4D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34.合同授予标准</w:t>
      </w:r>
    </w:p>
    <w:p w14:paraId="5299227C">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5992954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35.履约保证金</w:t>
      </w:r>
    </w:p>
    <w:p w14:paraId="22BD9B1B">
      <w:pPr>
        <w:pStyle w:val="35"/>
        <w:snapToGrid w:val="0"/>
        <w:spacing w:before="0"/>
        <w:ind w:firstLine="420"/>
        <w:rPr>
          <w:rFonts w:ascii="宋体" w:hAnsi="宋体"/>
          <w:color w:val="auto"/>
          <w:kern w:val="0"/>
          <w:sz w:val="21"/>
          <w:szCs w:val="21"/>
          <w:highlight w:val="none"/>
          <w:lang w:val="zh-CN"/>
        </w:rPr>
      </w:pPr>
      <w:bookmarkStart w:id="104" w:name="_39.1中标人须于签订合同前按本须知前附表规定的金额转账或电汇到指定账"/>
      <w:bookmarkEnd w:id="104"/>
      <w:r>
        <w:rPr>
          <w:rFonts w:hint="eastAsia" w:ascii="宋体" w:hAnsi="宋体"/>
          <w:color w:val="auto"/>
          <w:kern w:val="0"/>
          <w:sz w:val="21"/>
          <w:szCs w:val="21"/>
          <w:highlight w:val="none"/>
          <w:lang w:val="zh-CN"/>
        </w:rPr>
        <w:t>见“投标人须知前附表”。</w:t>
      </w:r>
    </w:p>
    <w:p w14:paraId="4AE1995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36.签订合同</w:t>
      </w:r>
    </w:p>
    <w:p w14:paraId="3E416162">
      <w:pPr>
        <w:pStyle w:val="35"/>
        <w:snapToGrid w:val="0"/>
        <w:spacing w:before="0"/>
        <w:ind w:firstLine="422"/>
        <w:rPr>
          <w:rFonts w:ascii="宋体" w:hAnsi="宋体"/>
          <w:color w:val="auto"/>
          <w:kern w:val="0"/>
          <w:sz w:val="21"/>
          <w:szCs w:val="21"/>
          <w:highlight w:val="none"/>
          <w:lang w:val="zh-CN"/>
        </w:rPr>
      </w:pPr>
      <w:bookmarkStart w:id="105" w:name="_40.1投标人接到中标通知书后，按须知前附表规定向采购人出示相关资格证"/>
      <w:bookmarkEnd w:id="105"/>
      <w:r>
        <w:rPr>
          <w:rFonts w:hint="eastAsia" w:ascii="宋体" w:hAnsi="宋体"/>
          <w:b/>
          <w:color w:val="auto"/>
          <w:sz w:val="21"/>
          <w:szCs w:val="21"/>
          <w:highlight w:val="none"/>
        </w:rPr>
        <w:t xml:space="preserve"> 36.1中标人领取电子中标通知书后，</w:t>
      </w:r>
      <w:r>
        <w:rPr>
          <w:rFonts w:hint="eastAsia" w:ascii="宋体" w:hAnsi="宋体"/>
          <w:color w:val="auto"/>
          <w:kern w:val="0"/>
          <w:sz w:val="21"/>
          <w:szCs w:val="21"/>
          <w:highlight w:val="none"/>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3F806C1">
      <w:pPr>
        <w:pStyle w:val="35"/>
        <w:snapToGrid w:val="0"/>
        <w:spacing w:before="0"/>
        <w:ind w:firstLine="420"/>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36.2</w:t>
      </w:r>
      <w:r>
        <w:rPr>
          <w:rFonts w:hint="eastAsia" w:ascii="宋体" w:hAnsi="宋体" w:cs="仿宋_GB2312"/>
          <w:color w:val="auto"/>
          <w:sz w:val="21"/>
          <w:szCs w:val="21"/>
          <w:highlight w:val="none"/>
        </w:rPr>
        <w:t>采购合同由采购人与中标供应商根据招标文件、投标文件等内容通过政府采购电子交易平台在线签订，自动备案。</w:t>
      </w:r>
    </w:p>
    <w:p w14:paraId="4F3D2BA1">
      <w:pPr>
        <w:pStyle w:val="35"/>
        <w:snapToGrid w:val="0"/>
        <w:spacing w:before="0"/>
        <w:ind w:firstLine="420"/>
        <w:rPr>
          <w:rFonts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36.3签订合同时间：按中标通知书规定的时间与采购人签订合同（最长不能超过25日）。</w:t>
      </w:r>
    </w:p>
    <w:p w14:paraId="2FCCCD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6CD205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415AA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03FE0CB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14:paraId="1CC03B6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36.8采购人需追加与合同标的相同的货物或者货物的，在不改变原合同条款且已报财政部门批准落实资金的前提下，可从原中标供应商处添购， 所签订的补充添置合同的采购资金总额不超过原采购合同金额的10%。</w:t>
      </w:r>
    </w:p>
    <w:p w14:paraId="067B14E1">
      <w:pPr>
        <w:spacing w:line="360" w:lineRule="auto"/>
        <w:ind w:firstLine="480" w:firstLineChars="200"/>
        <w:rPr>
          <w:rFonts w:ascii="宋体" w:hAnsi="宋体"/>
          <w:color w:val="auto"/>
          <w:sz w:val="24"/>
          <w:highlight w:val="none"/>
        </w:rPr>
      </w:pPr>
      <w:bookmarkStart w:id="106" w:name="_41.政府采购合同公告"/>
      <w:bookmarkEnd w:id="106"/>
      <w:r>
        <w:rPr>
          <w:rFonts w:hint="eastAsia" w:ascii="宋体" w:hAnsi="宋体"/>
          <w:color w:val="auto"/>
          <w:sz w:val="24"/>
          <w:highlight w:val="none"/>
        </w:rPr>
        <w:t>37.政府采购合同公告</w:t>
      </w:r>
    </w:p>
    <w:p w14:paraId="741D783C">
      <w:pPr>
        <w:spacing w:line="360" w:lineRule="auto"/>
        <w:ind w:firstLine="420" w:firstLineChars="200"/>
        <w:rPr>
          <w:rFonts w:ascii="宋体" w:hAnsi="宋体"/>
          <w:color w:val="auto"/>
          <w:highlight w:val="none"/>
        </w:rPr>
      </w:pPr>
      <w:r>
        <w:rPr>
          <w:rFonts w:hint="eastAsia" w:ascii="宋体" w:hAnsi="宋体"/>
          <w:color w:val="auto"/>
          <w:highlight w:val="none"/>
        </w:rPr>
        <w:t>采购人或者受托采购代理机构应当自政府采购合同签订之日起</w:t>
      </w:r>
      <w:r>
        <w:rPr>
          <w:rFonts w:ascii="宋体" w:hAnsi="宋体"/>
          <w:color w:val="auto"/>
          <w:highlight w:val="none"/>
        </w:rPr>
        <w:t>2</w:t>
      </w:r>
      <w:r>
        <w:rPr>
          <w:rFonts w:hint="eastAsia" w:ascii="宋体"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olor w:val="auto"/>
          <w:highlight w:val="none"/>
        </w:rPr>
        <w:t>上公告，但政府采购合同中涉及国家秘密、商业秘密的内容除外。</w:t>
      </w:r>
    </w:p>
    <w:p w14:paraId="3056441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38. 询问、质疑和投诉</w:t>
      </w:r>
    </w:p>
    <w:p w14:paraId="6B3B0A44">
      <w:pPr>
        <w:spacing w:line="360" w:lineRule="auto"/>
        <w:ind w:firstLine="422" w:firstLineChars="200"/>
        <w:rPr>
          <w:rFonts w:ascii="宋体" w:hAnsi="宋体"/>
          <w:b/>
          <w:color w:val="auto"/>
          <w:szCs w:val="21"/>
          <w:highlight w:val="none"/>
        </w:rPr>
      </w:pPr>
      <w:r>
        <w:rPr>
          <w:rFonts w:ascii="宋体" w:hAnsi="宋体"/>
          <w:b/>
          <w:color w:val="auto"/>
          <w:szCs w:val="21"/>
          <w:highlight w:val="none"/>
        </w:rPr>
        <w:t>38.1</w:t>
      </w:r>
      <w:r>
        <w:rPr>
          <w:rFonts w:hint="eastAsia" w:ascii="宋体" w:hAnsi="宋体"/>
          <w:b/>
          <w:color w:val="auto"/>
          <w:szCs w:val="21"/>
          <w:highlight w:val="none"/>
        </w:rPr>
        <w:t>询问</w:t>
      </w:r>
    </w:p>
    <w:p w14:paraId="4DA42F46">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38.1.1</w:t>
      </w:r>
      <w:r>
        <w:rPr>
          <w:rFonts w:hint="eastAsia" w:ascii="宋体" w:hAnsi="宋体"/>
          <w:bCs/>
          <w:color w:val="auto"/>
          <w:szCs w:val="21"/>
          <w:highlight w:val="none"/>
        </w:rPr>
        <w:t>供应商在开标前对政府采购活动事项有疑问的，可以向采购人或采购代理机构项目负责人提出询问。</w:t>
      </w:r>
    </w:p>
    <w:p w14:paraId="29C80A33">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38.1.2</w:t>
      </w:r>
      <w:r>
        <w:rPr>
          <w:rFonts w:hint="eastAsia" w:ascii="宋体" w:hAnsi="宋体"/>
          <w:bCs/>
          <w:color w:val="auto"/>
          <w:szCs w:val="21"/>
          <w:highlight w:val="none"/>
        </w:rPr>
        <w:t>采购人或采购人委托的采购代理机构自受理询问之日起</w:t>
      </w:r>
      <w:r>
        <w:rPr>
          <w:rFonts w:ascii="宋体" w:hAnsi="宋体"/>
          <w:bCs/>
          <w:color w:val="auto"/>
          <w:szCs w:val="21"/>
          <w:highlight w:val="none"/>
        </w:rPr>
        <w:t>3</w:t>
      </w:r>
      <w:r>
        <w:rPr>
          <w:rFonts w:hint="eastAsia" w:ascii="宋体" w:hAnsi="宋体"/>
          <w:bCs/>
          <w:color w:val="auto"/>
          <w:szCs w:val="21"/>
          <w:highlight w:val="none"/>
        </w:rPr>
        <w:t>个工作日内对供应商依法提出的询问作出答复，</w:t>
      </w:r>
      <w:r>
        <w:rPr>
          <w:rFonts w:hint="eastAsia" w:ascii="宋体" w:hAnsi="宋体"/>
          <w:color w:val="auto"/>
          <w:highlight w:val="none"/>
        </w:rPr>
        <w:t>但答复内容不得涉及商业秘密</w:t>
      </w:r>
      <w:r>
        <w:rPr>
          <w:rFonts w:hint="eastAsia" w:ascii="宋体" w:hAnsi="宋体"/>
          <w:bCs/>
          <w:color w:val="auto"/>
          <w:szCs w:val="21"/>
          <w:highlight w:val="none"/>
        </w:rPr>
        <w:t>。</w:t>
      </w:r>
    </w:p>
    <w:p w14:paraId="68EBC184">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 xml:space="preserve">38.1.3 </w:t>
      </w:r>
      <w:r>
        <w:rPr>
          <w:rFonts w:hint="eastAsia" w:ascii="宋体" w:hAnsi="宋体"/>
          <w:bCs/>
          <w:color w:val="auto"/>
          <w:szCs w:val="21"/>
          <w:highlight w:val="none"/>
        </w:rPr>
        <w:t>询问事项可能影响中标、成交结果的，采购人应当暂停签订合同，已经签订合同的，应当中止履行合同。</w:t>
      </w:r>
    </w:p>
    <w:p w14:paraId="11FD86DB">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38.2质疑</w:t>
      </w:r>
    </w:p>
    <w:p w14:paraId="70E53BF1">
      <w:pPr>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75F45C2">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1</w:t>
      </w:r>
      <w:r>
        <w:rPr>
          <w:rFonts w:hint="eastAsia" w:ascii="宋体" w:hAnsi="宋体"/>
          <w:bCs/>
          <w:color w:val="auto"/>
          <w:highlight w:val="none"/>
        </w:rPr>
        <w:t>）潜在供应商依法获取公开招标文件后，认为采购文件使自己的权益受到损害的，应当在公开招标文件公告期限届满之日起</w:t>
      </w:r>
      <w:r>
        <w:rPr>
          <w:rFonts w:ascii="宋体" w:hAnsi="宋体"/>
          <w:bCs/>
          <w:color w:val="auto"/>
          <w:highlight w:val="none"/>
        </w:rPr>
        <w:t>7</w:t>
      </w:r>
      <w:r>
        <w:rPr>
          <w:rFonts w:hint="eastAsia" w:ascii="宋体" w:hAnsi="宋体"/>
          <w:bCs/>
          <w:color w:val="auto"/>
          <w:highlight w:val="none"/>
        </w:rPr>
        <w:t>个工作日内提出质疑。</w:t>
      </w:r>
      <w:r>
        <w:rPr>
          <w:rFonts w:hint="eastAsia" w:ascii="宋体" w:hAnsi="宋体"/>
          <w:color w:val="auto"/>
          <w:highlight w:val="none"/>
        </w:rPr>
        <w:t>委托代理协议无特殊约定的，</w:t>
      </w:r>
      <w:r>
        <w:rPr>
          <w:rFonts w:hint="eastAsia" w:ascii="宋体"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14:paraId="43882DA1">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）供应商认为采购过程使自己的权益受到损害的，应当在各采购程序环节结束之日起</w:t>
      </w:r>
      <w:r>
        <w:rPr>
          <w:rFonts w:ascii="宋体" w:hAnsi="宋体"/>
          <w:bCs/>
          <w:color w:val="auto"/>
          <w:highlight w:val="none"/>
        </w:rPr>
        <w:t>7</w:t>
      </w:r>
      <w:r>
        <w:rPr>
          <w:rFonts w:hint="eastAsia" w:ascii="宋体"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694EA5E">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3</w:t>
      </w:r>
      <w:r>
        <w:rPr>
          <w:rFonts w:hint="eastAsia" w:ascii="宋体" w:hAnsi="宋体"/>
          <w:bCs/>
          <w:color w:val="auto"/>
          <w:highlight w:val="none"/>
        </w:rPr>
        <w:t>）供应商认为中标或者成交结果使自己的权益受到损害的，应当在中标或者成交结果公告期限届满之日起</w:t>
      </w:r>
      <w:r>
        <w:rPr>
          <w:rFonts w:ascii="宋体" w:hAnsi="宋体"/>
          <w:bCs/>
          <w:color w:val="auto"/>
          <w:highlight w:val="none"/>
        </w:rPr>
        <w:t>7</w:t>
      </w:r>
      <w:r>
        <w:rPr>
          <w:rFonts w:hint="eastAsia" w:ascii="宋体" w:hAnsi="宋体"/>
          <w:bCs/>
          <w:color w:val="auto"/>
          <w:highlight w:val="none"/>
        </w:rPr>
        <w:t>个工作日内提出质疑，由采购人受理并负责答复。</w:t>
      </w:r>
    </w:p>
    <w:p w14:paraId="2310A374">
      <w:pPr>
        <w:spacing w:line="360" w:lineRule="auto"/>
        <w:ind w:firstLine="422" w:firstLineChars="200"/>
        <w:rPr>
          <w:rFonts w:ascii="宋体" w:hAnsi="宋体"/>
          <w:bCs/>
          <w:color w:val="auto"/>
          <w:szCs w:val="21"/>
          <w:highlight w:val="none"/>
        </w:rPr>
      </w:pPr>
      <w:r>
        <w:rPr>
          <w:rFonts w:ascii="宋体" w:hAnsi="宋体"/>
          <w:b/>
          <w:bCs/>
          <w:color w:val="auto"/>
          <w:szCs w:val="21"/>
          <w:highlight w:val="none"/>
        </w:rPr>
        <w:t>38.2.2</w:t>
      </w:r>
      <w:r>
        <w:rPr>
          <w:rFonts w:hint="eastAsia" w:ascii="宋体" w:hAnsi="宋体"/>
          <w:bCs/>
          <w:color w:val="auto"/>
          <w:szCs w:val="21"/>
          <w:highlight w:val="none"/>
        </w:rPr>
        <w:t>供应商质疑实行实名制，其质疑应当有具体的质疑事项及事实根据，质疑应当坚持依法依规、诚实信用原则，不得进行虚假、恶意质疑。</w:t>
      </w:r>
    </w:p>
    <w:p w14:paraId="2296BC15">
      <w:pPr>
        <w:spacing w:line="360" w:lineRule="auto"/>
        <w:ind w:firstLine="422" w:firstLineChars="200"/>
        <w:rPr>
          <w:rFonts w:ascii="宋体" w:hAnsi="宋体"/>
          <w:bCs/>
          <w:color w:val="auto"/>
          <w:highlight w:val="none"/>
        </w:rPr>
      </w:pPr>
      <w:r>
        <w:rPr>
          <w:rFonts w:ascii="宋体" w:hAnsi="宋体"/>
          <w:b/>
          <w:bCs/>
          <w:color w:val="auto"/>
          <w:highlight w:val="none"/>
        </w:rPr>
        <w:t>38.2.3</w:t>
      </w:r>
      <w:r>
        <w:rPr>
          <w:rFonts w:ascii="宋体" w:hAnsi="宋体"/>
          <w:bCs/>
          <w:color w:val="auto"/>
          <w:highlight w:val="none"/>
        </w:rPr>
        <w:t xml:space="preserve"> </w:t>
      </w:r>
      <w:r>
        <w:rPr>
          <w:rFonts w:hint="eastAsia" w:ascii="宋体" w:hAnsi="宋体"/>
          <w:bCs/>
          <w:color w:val="auto"/>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olor w:val="auto"/>
          <w:highlight w:val="none"/>
        </w:rPr>
        <w:t>。</w:t>
      </w:r>
    </w:p>
    <w:p w14:paraId="1E7324FA">
      <w:pPr>
        <w:spacing w:line="360" w:lineRule="auto"/>
        <w:ind w:firstLine="422" w:firstLineChars="200"/>
        <w:rPr>
          <w:rFonts w:ascii="宋体" w:hAnsi="宋体"/>
          <w:b/>
          <w:bCs/>
          <w:color w:val="auto"/>
          <w:highlight w:val="none"/>
        </w:rPr>
      </w:pPr>
      <w:r>
        <w:rPr>
          <w:rFonts w:ascii="宋体" w:hAnsi="宋体"/>
          <w:b/>
          <w:bCs/>
          <w:color w:val="auto"/>
          <w:highlight w:val="none"/>
        </w:rPr>
        <w:t xml:space="preserve">38.2.4 </w:t>
      </w:r>
      <w:r>
        <w:rPr>
          <w:rFonts w:hint="eastAsia" w:ascii="宋体" w:hAnsi="宋体"/>
          <w:b/>
          <w:bCs/>
          <w:color w:val="auto"/>
          <w:highlight w:val="none"/>
        </w:rPr>
        <w:t>质疑供应商提起质疑应当符合下列条件：</w:t>
      </w:r>
    </w:p>
    <w:p w14:paraId="2FBB30EE">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1</w:t>
      </w:r>
      <w:r>
        <w:rPr>
          <w:rFonts w:hint="eastAsia" w:ascii="宋体" w:hAnsi="宋体"/>
          <w:bCs/>
          <w:color w:val="auto"/>
          <w:highlight w:val="none"/>
        </w:rPr>
        <w:t>）质疑供应商是参与所质疑</w:t>
      </w:r>
      <w:r>
        <w:rPr>
          <w:rFonts w:hint="eastAsia" w:ascii="宋体" w:hAnsi="宋体"/>
          <w:bCs/>
          <w:color w:val="auto"/>
          <w:szCs w:val="21"/>
          <w:highlight w:val="none"/>
        </w:rPr>
        <w:t>项目</w:t>
      </w:r>
      <w:r>
        <w:rPr>
          <w:rFonts w:hint="eastAsia" w:ascii="宋体" w:hAnsi="宋体"/>
          <w:bCs/>
          <w:color w:val="auto"/>
          <w:highlight w:val="none"/>
        </w:rPr>
        <w:t>采购活动的供应商（潜在供应商已依法获取可之一的采购文件的，可以对该采购文件质疑）；</w:t>
      </w:r>
    </w:p>
    <w:p w14:paraId="19FD4386">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）质疑函内容符合本章第</w:t>
      </w:r>
      <w:r>
        <w:rPr>
          <w:rFonts w:ascii="宋体" w:hAnsi="宋体"/>
          <w:bCs/>
          <w:color w:val="auto"/>
          <w:highlight w:val="none"/>
        </w:rPr>
        <w:t>38.2.5</w:t>
      </w:r>
      <w:r>
        <w:rPr>
          <w:rFonts w:hint="eastAsia" w:ascii="宋体" w:hAnsi="宋体"/>
          <w:bCs/>
          <w:color w:val="auto"/>
          <w:highlight w:val="none"/>
        </w:rPr>
        <w:t>项的规定；</w:t>
      </w:r>
    </w:p>
    <w:p w14:paraId="34588E8A">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3</w:t>
      </w:r>
      <w:r>
        <w:rPr>
          <w:rFonts w:hint="eastAsia" w:ascii="宋体" w:hAnsi="宋体"/>
          <w:bCs/>
          <w:color w:val="auto"/>
          <w:highlight w:val="none"/>
        </w:rPr>
        <w:t>）在质疑有效期限内提起质疑；</w:t>
      </w:r>
    </w:p>
    <w:p w14:paraId="4BFD0FAE">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4</w:t>
      </w:r>
      <w:r>
        <w:rPr>
          <w:rFonts w:hint="eastAsia" w:ascii="宋体" w:hAnsi="宋体"/>
          <w:bCs/>
          <w:color w:val="auto"/>
          <w:highlight w:val="none"/>
        </w:rPr>
        <w:t>）属于所质疑的采购人或采购人委托的采购代理机构组织的采购活动；</w:t>
      </w:r>
    </w:p>
    <w:p w14:paraId="20C710FD">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5</w:t>
      </w:r>
      <w:r>
        <w:rPr>
          <w:rFonts w:hint="eastAsia" w:ascii="宋体" w:hAnsi="宋体"/>
          <w:bCs/>
          <w:color w:val="auto"/>
          <w:highlight w:val="none"/>
        </w:rPr>
        <w:t>）同一质疑事项未经采购人或采购人委托的采购代理机构质疑处理；</w:t>
      </w:r>
      <w:r>
        <w:rPr>
          <w:rFonts w:ascii="宋体" w:hAnsi="宋体"/>
          <w:bCs/>
          <w:color w:val="auto"/>
          <w:highlight w:val="none"/>
        </w:rPr>
        <w:t xml:space="preserve"> </w:t>
      </w:r>
    </w:p>
    <w:p w14:paraId="466A852F">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6</w:t>
      </w:r>
      <w:r>
        <w:rPr>
          <w:rFonts w:hint="eastAsia" w:ascii="宋体" w:hAnsi="宋体"/>
          <w:bCs/>
          <w:color w:val="auto"/>
          <w:highlight w:val="none"/>
        </w:rPr>
        <w:t>）供应商对同一采购程序环节的质疑应当在质疑有效期内一次性提出；</w:t>
      </w:r>
    </w:p>
    <w:p w14:paraId="118E48AF">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7</w:t>
      </w:r>
      <w:r>
        <w:rPr>
          <w:rFonts w:hint="eastAsia" w:ascii="宋体" w:hAnsi="宋体"/>
          <w:bCs/>
          <w:color w:val="auto"/>
          <w:highlight w:val="none"/>
        </w:rPr>
        <w:t>）供应商提交质疑应当提交必要的证明材料，证明材料应以合法手段取得；</w:t>
      </w:r>
    </w:p>
    <w:p w14:paraId="7F1D63F7">
      <w:pPr>
        <w:spacing w:line="360" w:lineRule="auto"/>
        <w:ind w:firstLine="420" w:firstLineChars="200"/>
        <w:rPr>
          <w:rFonts w:ascii="宋体" w:hAnsi="宋体"/>
          <w:color w:val="auto"/>
          <w:highlight w:val="none"/>
        </w:rPr>
      </w:pPr>
      <w:r>
        <w:rPr>
          <w:rFonts w:hint="eastAsia" w:ascii="宋体" w:hAnsi="宋体"/>
          <w:bCs/>
          <w:color w:val="auto"/>
          <w:highlight w:val="none"/>
        </w:rPr>
        <w:t>（</w:t>
      </w:r>
      <w:r>
        <w:rPr>
          <w:rFonts w:ascii="宋体" w:hAnsi="宋体"/>
          <w:bCs/>
          <w:color w:val="auto"/>
          <w:highlight w:val="none"/>
        </w:rPr>
        <w:t>8</w:t>
      </w:r>
      <w:r>
        <w:rPr>
          <w:rFonts w:hint="eastAsia" w:ascii="宋体" w:hAnsi="宋体"/>
          <w:bCs/>
          <w:color w:val="auto"/>
          <w:highlight w:val="none"/>
        </w:rPr>
        <w:t>）财政部门规定的其他条件。</w:t>
      </w:r>
    </w:p>
    <w:p w14:paraId="36DBC60D">
      <w:pPr>
        <w:spacing w:line="360" w:lineRule="auto"/>
        <w:ind w:firstLine="420" w:firstLineChars="200"/>
        <w:rPr>
          <w:rFonts w:ascii="宋体" w:hAnsi="宋体"/>
          <w:b/>
          <w:color w:val="auto"/>
          <w:szCs w:val="21"/>
          <w:highlight w:val="none"/>
        </w:rPr>
      </w:pPr>
      <w:bookmarkStart w:id="107" w:name="_9.2质疑、投诉应当采用书面形式，质疑函、投诉书均应明确阐述招标文件、"/>
      <w:bookmarkEnd w:id="107"/>
      <w:r>
        <w:rPr>
          <w:rFonts w:hint="eastAsia" w:ascii="宋体" w:hAnsi="宋体"/>
          <w:color w:val="auto"/>
          <w:szCs w:val="21"/>
          <w:highlight w:val="none"/>
        </w:rPr>
        <w:t xml:space="preserve"> 38.2.5 </w:t>
      </w:r>
      <w:r>
        <w:rPr>
          <w:rFonts w:hint="eastAsia" w:ascii="宋体" w:hAnsi="宋体"/>
          <w:bCs/>
          <w:color w:val="auto"/>
          <w:highlight w:val="none"/>
        </w:rPr>
        <w:t>供应商提出质疑应当提交质疑函和必要的证明材料，针对同一采购程序环节的质疑必须在法定质疑期内一次性提出。质疑函应当包括下列内容（质疑函格式后附）：</w:t>
      </w:r>
    </w:p>
    <w:p w14:paraId="38A695FE">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1</w:t>
      </w:r>
      <w:r>
        <w:rPr>
          <w:rFonts w:hint="eastAsia" w:ascii="宋体" w:hAnsi="宋体"/>
          <w:bCs/>
          <w:color w:val="auto"/>
          <w:highlight w:val="none"/>
        </w:rPr>
        <w:t>）供应商的姓名或者名称、地址、邮编、联系人及联系电话；</w:t>
      </w:r>
    </w:p>
    <w:p w14:paraId="2E6B4234">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2</w:t>
      </w:r>
      <w:r>
        <w:rPr>
          <w:rFonts w:hint="eastAsia" w:ascii="宋体" w:hAnsi="宋体"/>
          <w:bCs/>
          <w:color w:val="auto"/>
          <w:highlight w:val="none"/>
        </w:rPr>
        <w:t>）质疑项目的名称、编号；</w:t>
      </w:r>
    </w:p>
    <w:p w14:paraId="7EC8670D">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3</w:t>
      </w:r>
      <w:r>
        <w:rPr>
          <w:rFonts w:hint="eastAsia" w:ascii="宋体" w:hAnsi="宋体"/>
          <w:bCs/>
          <w:color w:val="auto"/>
          <w:highlight w:val="none"/>
        </w:rPr>
        <w:t>）具体、明确的质疑事项和与质疑事项相关的请求；</w:t>
      </w:r>
    </w:p>
    <w:p w14:paraId="51C81EFE">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4</w:t>
      </w:r>
      <w:r>
        <w:rPr>
          <w:rFonts w:hint="eastAsia" w:ascii="宋体" w:hAnsi="宋体"/>
          <w:bCs/>
          <w:color w:val="auto"/>
          <w:highlight w:val="none"/>
        </w:rPr>
        <w:t>）事实依据（列明权益受到损害的事实和理由）；</w:t>
      </w:r>
    </w:p>
    <w:p w14:paraId="1BD2AE98">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5</w:t>
      </w:r>
      <w:r>
        <w:rPr>
          <w:rFonts w:hint="eastAsia" w:ascii="宋体" w:hAnsi="宋体"/>
          <w:bCs/>
          <w:color w:val="auto"/>
          <w:highlight w:val="none"/>
        </w:rPr>
        <w:t>）必要的法律依据；</w:t>
      </w:r>
    </w:p>
    <w:p w14:paraId="1526259D">
      <w:pPr>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6</w:t>
      </w:r>
      <w:r>
        <w:rPr>
          <w:rFonts w:hint="eastAsia" w:ascii="宋体" w:hAnsi="宋体"/>
          <w:bCs/>
          <w:color w:val="auto"/>
          <w:highlight w:val="none"/>
        </w:rPr>
        <w:t>）提出质疑的日期。</w:t>
      </w:r>
    </w:p>
    <w:p w14:paraId="31CC204D">
      <w:pPr>
        <w:spacing w:line="360" w:lineRule="auto"/>
        <w:ind w:firstLine="420" w:firstLineChars="200"/>
        <w:rPr>
          <w:rFonts w:ascii="宋体" w:hAnsi="宋体"/>
          <w:bCs/>
          <w:color w:val="auto"/>
          <w:highlight w:val="none"/>
        </w:rPr>
      </w:pPr>
      <w:r>
        <w:rPr>
          <w:rFonts w:hint="eastAsia" w:ascii="宋体" w:hAnsi="宋体"/>
          <w:bCs/>
          <w:color w:val="auto"/>
          <w:highlight w:val="none"/>
        </w:rPr>
        <w:t>供应商为自然人的，应当由本人签字；供应商为法人或者其他组织的，应当由法定代表人、主要负责人，或者其委托代理人签字或者盖章，并加盖公章。</w:t>
      </w:r>
    </w:p>
    <w:p w14:paraId="76210980">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14:paraId="70C25D42">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3A987188">
      <w:pPr>
        <w:spacing w:line="360" w:lineRule="auto"/>
        <w:ind w:firstLine="420" w:firstLineChars="200"/>
        <w:rPr>
          <w:rFonts w:ascii="宋体" w:hAnsi="宋体"/>
          <w:bCs/>
          <w:color w:val="auto"/>
          <w:highlight w:val="none"/>
        </w:rPr>
      </w:pPr>
      <w:r>
        <w:rPr>
          <w:rFonts w:hint="eastAsia" w:ascii="宋体"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14:paraId="793599A9">
      <w:pPr>
        <w:spacing w:line="360" w:lineRule="auto"/>
        <w:ind w:firstLine="420" w:firstLineChars="200"/>
        <w:rPr>
          <w:rFonts w:ascii="宋体" w:hAnsi="宋体"/>
          <w:bCs/>
          <w:color w:val="auto"/>
          <w:highlight w:val="none"/>
        </w:rPr>
      </w:pPr>
      <w:r>
        <w:rPr>
          <w:rFonts w:hint="eastAsia" w:ascii="宋体"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14:paraId="468A89C5">
      <w:pPr>
        <w:spacing w:line="360" w:lineRule="auto"/>
        <w:ind w:firstLine="420" w:firstLineChars="200"/>
        <w:rPr>
          <w:rFonts w:ascii="宋体" w:hAnsi="宋体"/>
          <w:bCs/>
          <w:color w:val="auto"/>
          <w:highlight w:val="none"/>
        </w:rPr>
      </w:pPr>
      <w:r>
        <w:rPr>
          <w:rFonts w:hint="eastAsia" w:ascii="宋体" w:hAnsi="宋体"/>
          <w:bCs/>
          <w:color w:val="auto"/>
          <w:highlight w:val="none"/>
        </w:rPr>
        <w:t>质疑答复导致中标结果改变的，采购人或者采购代理机构应当将有关情况书面报告本级财政部门。</w:t>
      </w:r>
    </w:p>
    <w:p w14:paraId="6330CF61">
      <w:pPr>
        <w:spacing w:line="360" w:lineRule="auto"/>
        <w:ind w:firstLine="422" w:firstLineChars="200"/>
        <w:rPr>
          <w:rFonts w:ascii="宋体" w:hAnsi="宋体"/>
          <w:b/>
          <w:color w:val="auto"/>
          <w:highlight w:val="none"/>
        </w:rPr>
      </w:pPr>
      <w:r>
        <w:rPr>
          <w:rFonts w:ascii="宋体" w:hAnsi="宋体"/>
          <w:b/>
          <w:color w:val="auto"/>
          <w:highlight w:val="none"/>
        </w:rPr>
        <w:t>38.3</w:t>
      </w:r>
      <w:r>
        <w:rPr>
          <w:rFonts w:hint="eastAsia" w:ascii="宋体" w:hAnsi="宋体"/>
          <w:b/>
          <w:color w:val="auto"/>
          <w:highlight w:val="none"/>
        </w:rPr>
        <w:t>投诉</w:t>
      </w:r>
    </w:p>
    <w:p w14:paraId="58FCAF23">
      <w:pPr>
        <w:spacing w:line="360" w:lineRule="auto"/>
        <w:ind w:firstLine="422" w:firstLineChars="200"/>
        <w:rPr>
          <w:rFonts w:ascii="宋体" w:hAnsi="宋体"/>
          <w:bCs/>
          <w:color w:val="auto"/>
          <w:highlight w:val="none"/>
        </w:rPr>
      </w:pPr>
      <w:r>
        <w:rPr>
          <w:rFonts w:ascii="宋体" w:hAnsi="宋体"/>
          <w:b/>
          <w:color w:val="auto"/>
          <w:highlight w:val="none"/>
        </w:rPr>
        <w:t>38.3</w:t>
      </w:r>
      <w:r>
        <w:rPr>
          <w:rFonts w:ascii="宋体" w:hAnsi="宋体"/>
          <w:bCs/>
          <w:color w:val="auto"/>
          <w:highlight w:val="none"/>
        </w:rPr>
        <w:t>.</w:t>
      </w:r>
      <w:r>
        <w:rPr>
          <w:rFonts w:ascii="宋体" w:hAnsi="宋体"/>
          <w:b/>
          <w:bCs/>
          <w:color w:val="auto"/>
          <w:highlight w:val="none"/>
        </w:rPr>
        <w:t xml:space="preserve">1 </w:t>
      </w:r>
      <w:r>
        <w:rPr>
          <w:rFonts w:ascii="宋体" w:hAnsi="宋体"/>
          <w:bCs/>
          <w:color w:val="auto"/>
          <w:highlight w:val="none"/>
        </w:rPr>
        <w:t xml:space="preserve"> </w:t>
      </w:r>
      <w:r>
        <w:rPr>
          <w:rFonts w:hint="eastAsia" w:ascii="宋体" w:hAnsi="宋体"/>
          <w:bCs/>
          <w:color w:val="auto"/>
          <w:highlight w:val="none"/>
        </w:rPr>
        <w:t>供应商认为采购文件、采购过程、中标和成交结果使自己的合法权益受到损害的，应当首先依法向采购人或采购人委托的</w:t>
      </w:r>
      <w:r>
        <w:rPr>
          <w:rFonts w:hint="eastAsia" w:ascii="宋体" w:hAnsi="宋体"/>
          <w:color w:val="auto"/>
          <w:highlight w:val="none"/>
        </w:rPr>
        <w:t>采购代理机构</w:t>
      </w:r>
      <w:r>
        <w:rPr>
          <w:rFonts w:hint="eastAsia" w:ascii="宋体" w:hAnsi="宋体"/>
          <w:bCs/>
          <w:color w:val="auto"/>
          <w:highlight w:val="none"/>
        </w:rPr>
        <w:t>提出质疑。对采购人、</w:t>
      </w:r>
      <w:r>
        <w:rPr>
          <w:rFonts w:hint="eastAsia" w:ascii="宋体" w:hAnsi="宋体"/>
          <w:color w:val="auto"/>
          <w:highlight w:val="none"/>
        </w:rPr>
        <w:t>采购代理机构</w:t>
      </w:r>
      <w:r>
        <w:rPr>
          <w:rFonts w:hint="eastAsia" w:ascii="宋体" w:hAnsi="宋体"/>
          <w:bCs/>
          <w:color w:val="auto"/>
          <w:highlight w:val="none"/>
        </w:rPr>
        <w:t>的答复不满意，或者采购人、</w:t>
      </w:r>
      <w:r>
        <w:rPr>
          <w:rFonts w:hint="eastAsia" w:ascii="宋体" w:hAnsi="宋体"/>
          <w:color w:val="auto"/>
          <w:highlight w:val="none"/>
        </w:rPr>
        <w:t>采购代理机构</w:t>
      </w:r>
      <w:r>
        <w:rPr>
          <w:rFonts w:hint="eastAsia" w:ascii="宋体" w:hAnsi="宋体"/>
          <w:bCs/>
          <w:color w:val="auto"/>
          <w:highlight w:val="none"/>
        </w:rPr>
        <w:t>未在规定期限内做出答复的，供应商可以在答复期满后</w:t>
      </w:r>
      <w:r>
        <w:rPr>
          <w:rFonts w:ascii="宋体" w:hAnsi="宋体"/>
          <w:bCs/>
          <w:color w:val="auto"/>
          <w:highlight w:val="none"/>
        </w:rPr>
        <w:t>15</w:t>
      </w:r>
      <w:r>
        <w:rPr>
          <w:rFonts w:hint="eastAsia" w:ascii="宋体" w:hAnsi="宋体"/>
          <w:bCs/>
          <w:color w:val="auto"/>
          <w:highlight w:val="none"/>
        </w:rPr>
        <w:t>个工作日内向上林县政府采购监督管理部门提起投诉，投诉联系方式见“投标人须知前附表”。</w:t>
      </w:r>
    </w:p>
    <w:p w14:paraId="450EFB52">
      <w:pPr>
        <w:spacing w:line="360" w:lineRule="auto"/>
        <w:ind w:firstLine="422" w:firstLineChars="200"/>
        <w:rPr>
          <w:rFonts w:ascii="宋体" w:hAnsi="宋体"/>
          <w:bCs/>
          <w:color w:val="auto"/>
          <w:highlight w:val="none"/>
        </w:rPr>
      </w:pPr>
      <w:r>
        <w:rPr>
          <w:rFonts w:ascii="宋体" w:hAnsi="宋体"/>
          <w:b/>
          <w:color w:val="auto"/>
          <w:highlight w:val="none"/>
        </w:rPr>
        <w:t xml:space="preserve">38.3.2 </w:t>
      </w:r>
      <w:r>
        <w:rPr>
          <w:rFonts w:ascii="宋体" w:hAnsi="宋体"/>
          <w:color w:val="auto"/>
          <w:highlight w:val="none"/>
        </w:rPr>
        <w:t xml:space="preserve"> </w:t>
      </w:r>
      <w:r>
        <w:rPr>
          <w:rFonts w:hint="eastAsia" w:ascii="宋体" w:hAnsi="宋体"/>
          <w:color w:val="auto"/>
          <w:highlight w:val="none"/>
        </w:rPr>
        <w:t>投诉人投诉时，应当提交投诉书，并按照被投诉采购人、采购代理机构和与投诉事项有关的供应商数量提供投诉书的副本。投诉书</w:t>
      </w:r>
      <w:r>
        <w:rPr>
          <w:rFonts w:hint="eastAsia" w:ascii="宋体" w:hAnsi="宋体"/>
          <w:color w:val="auto"/>
          <w:szCs w:val="21"/>
          <w:highlight w:val="none"/>
        </w:rPr>
        <w:t>应当包括下列主要内容</w:t>
      </w:r>
      <w:r>
        <w:rPr>
          <w:rFonts w:hint="eastAsia" w:ascii="宋体" w:hAnsi="宋体"/>
          <w:color w:val="auto"/>
          <w:highlight w:val="none"/>
        </w:rPr>
        <w:t>（如材料中有外文资料应同时附上对应的中文译本）</w:t>
      </w:r>
      <w:r>
        <w:rPr>
          <w:rFonts w:hint="eastAsia" w:ascii="宋体" w:hAnsi="宋体"/>
          <w:bCs/>
          <w:color w:val="auto"/>
          <w:highlight w:val="none"/>
        </w:rPr>
        <w:t>（投诉书格式后附）</w:t>
      </w:r>
      <w:r>
        <w:rPr>
          <w:rFonts w:hint="eastAsia" w:ascii="宋体" w:hAnsi="宋体"/>
          <w:color w:val="auto"/>
          <w:szCs w:val="21"/>
          <w:highlight w:val="none"/>
        </w:rPr>
        <w:t>：</w:t>
      </w:r>
    </w:p>
    <w:p w14:paraId="41D18457">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）投诉人和被投诉人的名称、地址、邮编、联系人及联系电话等；</w:t>
      </w:r>
      <w:r>
        <w:rPr>
          <w:rFonts w:ascii="宋体" w:hAnsi="宋体"/>
          <w:color w:val="auto"/>
          <w:highlight w:val="none"/>
        </w:rPr>
        <w:t xml:space="preserve"> </w:t>
      </w:r>
    </w:p>
    <w:p w14:paraId="6CB3CB47">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）质疑和质疑答复情况及相关证明材料；</w:t>
      </w:r>
      <w:r>
        <w:rPr>
          <w:rFonts w:ascii="宋体" w:hAnsi="宋体"/>
          <w:color w:val="auto"/>
          <w:highlight w:val="none"/>
        </w:rPr>
        <w:t xml:space="preserve"> </w:t>
      </w:r>
    </w:p>
    <w:p w14:paraId="7E86D8AF">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）具体、明确的投诉事项和与投诉事项相关的投诉请求；</w:t>
      </w:r>
    </w:p>
    <w:p w14:paraId="5305BC36">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）事实依据；</w:t>
      </w:r>
    </w:p>
    <w:p w14:paraId="33432E8E">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）法律依据；</w:t>
      </w:r>
    </w:p>
    <w:p w14:paraId="3E470602">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）提起投诉的日期。</w:t>
      </w:r>
    </w:p>
    <w:p w14:paraId="358DC8A9">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）附件材料：营业执照副本内页复印件（要求证件有效并清晰反映企业法人经营范围；近期连续三个月依法缴纳税收和在职职工社会保障资金证明材料（复印件）。</w:t>
      </w:r>
      <w:r>
        <w:rPr>
          <w:rFonts w:ascii="宋体" w:hAnsi="宋体"/>
          <w:color w:val="auto"/>
          <w:highlight w:val="none"/>
        </w:rPr>
        <w:tab/>
      </w:r>
    </w:p>
    <w:p w14:paraId="6EFB1CCB">
      <w:pPr>
        <w:spacing w:line="360" w:lineRule="auto"/>
        <w:ind w:firstLine="422" w:firstLineChars="200"/>
        <w:rPr>
          <w:rFonts w:ascii="宋体" w:hAnsi="宋体"/>
          <w:bCs/>
          <w:color w:val="auto"/>
          <w:highlight w:val="none"/>
        </w:rPr>
      </w:pPr>
      <w:r>
        <w:rPr>
          <w:rFonts w:ascii="宋体" w:hAnsi="宋体"/>
          <w:b/>
          <w:color w:val="auto"/>
          <w:highlight w:val="none"/>
        </w:rPr>
        <w:t xml:space="preserve">38.3.3  </w:t>
      </w:r>
      <w:r>
        <w:rPr>
          <w:rFonts w:hint="eastAsia" w:ascii="宋体" w:hAnsi="宋体"/>
          <w:color w:val="auto"/>
          <w:highlight w:val="none"/>
        </w:rPr>
        <w:t>投诉人可以委托代理人办理投诉事务。</w:t>
      </w:r>
      <w:r>
        <w:rPr>
          <w:rFonts w:hint="eastAsia" w:ascii="宋体" w:hAnsi="宋体"/>
          <w:bCs/>
          <w:color w:val="auto"/>
          <w:highlight w:val="none"/>
        </w:rPr>
        <w:t>委托代理人应熟悉相关业务情况。</w:t>
      </w:r>
      <w:r>
        <w:rPr>
          <w:rFonts w:hint="eastAsia" w:ascii="宋体" w:hAnsi="宋体"/>
          <w:color w:val="auto"/>
          <w:highlight w:val="none"/>
        </w:rPr>
        <w:t>代理人办理投诉事务时，除提交投诉书外，还应当提交投诉人的授权委托书和委托代理人身份证明复印件。</w:t>
      </w:r>
    </w:p>
    <w:p w14:paraId="71F8A531">
      <w:pPr>
        <w:spacing w:line="360" w:lineRule="auto"/>
        <w:ind w:firstLine="422" w:firstLineChars="200"/>
        <w:rPr>
          <w:rFonts w:ascii="宋体" w:hAnsi="宋体"/>
          <w:color w:val="auto"/>
          <w:highlight w:val="none"/>
        </w:rPr>
      </w:pPr>
      <w:r>
        <w:rPr>
          <w:rFonts w:ascii="宋体" w:hAnsi="宋体"/>
          <w:b/>
          <w:color w:val="auto"/>
          <w:highlight w:val="none"/>
        </w:rPr>
        <w:t>38.3.4</w:t>
      </w:r>
      <w:r>
        <w:rPr>
          <w:rFonts w:ascii="宋体" w:hAnsi="宋体"/>
          <w:color w:val="auto"/>
          <w:highlight w:val="none"/>
        </w:rPr>
        <w:t xml:space="preserve">  </w:t>
      </w:r>
      <w:r>
        <w:rPr>
          <w:rFonts w:hint="eastAsia" w:ascii="宋体" w:hAnsi="宋体"/>
          <w:color w:val="auto"/>
          <w:highlight w:val="none"/>
        </w:rPr>
        <w:t>投诉人提起投诉应当符合下列条件：</w:t>
      </w:r>
    </w:p>
    <w:p w14:paraId="7B9A28FE">
      <w:pPr>
        <w:spacing w:line="360" w:lineRule="auto"/>
        <w:ind w:firstLine="420" w:firstLineChars="200"/>
        <w:rPr>
          <w:rFonts w:ascii="宋体" w:hAnsi="宋体"/>
          <w:color w:val="auto"/>
          <w:highlight w:val="none"/>
        </w:rPr>
      </w:pPr>
      <w:r>
        <w:rPr>
          <w:rFonts w:hint="eastAsia" w:ascii="宋体" w:hAnsi="宋体"/>
          <w:color w:val="auto"/>
          <w:highlight w:val="none"/>
        </w:rPr>
        <w:t>（1）投诉人是参与所投诉政府采购活动的供应商；</w:t>
      </w:r>
    </w:p>
    <w:p w14:paraId="09DD407E">
      <w:pPr>
        <w:spacing w:line="360" w:lineRule="auto"/>
        <w:ind w:firstLine="420" w:firstLineChars="200"/>
        <w:rPr>
          <w:rFonts w:ascii="宋体" w:hAnsi="宋体"/>
          <w:color w:val="auto"/>
          <w:highlight w:val="none"/>
        </w:rPr>
      </w:pPr>
      <w:r>
        <w:rPr>
          <w:rFonts w:hint="eastAsia" w:ascii="宋体" w:hAnsi="宋体"/>
          <w:color w:val="auto"/>
          <w:highlight w:val="none"/>
        </w:rPr>
        <w:t>（2）提起投诉前已依法进行质疑；</w:t>
      </w:r>
    </w:p>
    <w:p w14:paraId="58730563">
      <w:pPr>
        <w:spacing w:line="360" w:lineRule="auto"/>
        <w:ind w:firstLine="420" w:firstLineChars="200"/>
        <w:rPr>
          <w:rFonts w:ascii="宋体" w:hAnsi="宋体"/>
          <w:color w:val="auto"/>
          <w:highlight w:val="none"/>
        </w:rPr>
      </w:pPr>
      <w:r>
        <w:rPr>
          <w:rFonts w:hint="eastAsia" w:ascii="宋体" w:hAnsi="宋体"/>
          <w:color w:val="auto"/>
          <w:highlight w:val="none"/>
        </w:rPr>
        <w:t>（3）投诉书内容符合本章第38.3.2项的规定；</w:t>
      </w:r>
    </w:p>
    <w:p w14:paraId="2F2AFEC4">
      <w:pPr>
        <w:spacing w:line="360" w:lineRule="auto"/>
        <w:ind w:firstLine="420" w:firstLineChars="200"/>
        <w:rPr>
          <w:rFonts w:ascii="宋体" w:hAnsi="宋体"/>
          <w:color w:val="auto"/>
          <w:highlight w:val="none"/>
        </w:rPr>
      </w:pPr>
      <w:r>
        <w:rPr>
          <w:rFonts w:hint="eastAsia" w:ascii="宋体" w:hAnsi="宋体"/>
          <w:color w:val="auto"/>
          <w:highlight w:val="none"/>
        </w:rPr>
        <w:t>（4）在投诉有效期限内提起投诉；</w:t>
      </w:r>
    </w:p>
    <w:p w14:paraId="4FE41983">
      <w:pPr>
        <w:spacing w:line="360" w:lineRule="auto"/>
        <w:ind w:firstLine="420" w:firstLineChars="200"/>
        <w:rPr>
          <w:rFonts w:ascii="宋体" w:hAnsi="宋体"/>
          <w:color w:val="auto"/>
          <w:highlight w:val="none"/>
        </w:rPr>
      </w:pPr>
      <w:r>
        <w:rPr>
          <w:rFonts w:hint="eastAsia" w:ascii="宋体" w:hAnsi="宋体"/>
          <w:color w:val="auto"/>
          <w:highlight w:val="none"/>
        </w:rPr>
        <w:t>（5）属于上林县政府采购监督管理部门管辖；</w:t>
      </w:r>
    </w:p>
    <w:p w14:paraId="6256C550">
      <w:pPr>
        <w:spacing w:line="360" w:lineRule="auto"/>
        <w:ind w:firstLine="420" w:firstLineChars="200"/>
        <w:rPr>
          <w:rFonts w:ascii="宋体" w:hAnsi="宋体"/>
          <w:color w:val="auto"/>
          <w:highlight w:val="none"/>
        </w:rPr>
      </w:pPr>
      <w:r>
        <w:rPr>
          <w:rFonts w:hint="eastAsia" w:ascii="宋体" w:hAnsi="宋体"/>
          <w:color w:val="auto"/>
          <w:highlight w:val="none"/>
        </w:rPr>
        <w:t>（6）同一投诉事项未经</w:t>
      </w:r>
      <w:r>
        <w:rPr>
          <w:rFonts w:hint="eastAsia" w:ascii="宋体" w:hAnsi="宋体"/>
          <w:bCs/>
          <w:color w:val="auto"/>
          <w:highlight w:val="none"/>
        </w:rPr>
        <w:t>上林县政府采购监督管理部门</w:t>
      </w:r>
      <w:r>
        <w:rPr>
          <w:rFonts w:hint="eastAsia" w:ascii="宋体" w:hAnsi="宋体"/>
          <w:color w:val="auto"/>
          <w:highlight w:val="none"/>
        </w:rPr>
        <w:t>投诉处理；</w:t>
      </w:r>
    </w:p>
    <w:p w14:paraId="259F971F">
      <w:pPr>
        <w:spacing w:line="360" w:lineRule="auto"/>
        <w:ind w:firstLine="420" w:firstLineChars="200"/>
        <w:rPr>
          <w:rFonts w:ascii="宋体" w:hAnsi="宋体"/>
          <w:color w:val="auto"/>
          <w:highlight w:val="none"/>
        </w:rPr>
      </w:pPr>
      <w:r>
        <w:rPr>
          <w:rFonts w:hint="eastAsia" w:ascii="宋体" w:hAnsi="宋体"/>
          <w:color w:val="auto"/>
          <w:highlight w:val="none"/>
        </w:rPr>
        <w:t>（7）国务院财政部门规定的其他条件。</w:t>
      </w:r>
    </w:p>
    <w:p w14:paraId="7DC94018">
      <w:pPr>
        <w:spacing w:line="360" w:lineRule="auto"/>
        <w:ind w:firstLine="422" w:firstLineChars="200"/>
        <w:rPr>
          <w:rFonts w:ascii="宋体" w:hAnsi="宋体"/>
          <w:color w:val="auto"/>
          <w:highlight w:val="none"/>
        </w:rPr>
      </w:pPr>
      <w:r>
        <w:rPr>
          <w:rFonts w:ascii="宋体" w:hAnsi="宋体"/>
          <w:b/>
          <w:color w:val="auto"/>
          <w:highlight w:val="none"/>
        </w:rPr>
        <w:t>38.3</w:t>
      </w:r>
      <w:r>
        <w:rPr>
          <w:rFonts w:hint="eastAsia" w:ascii="宋体" w:hAnsi="宋体"/>
          <w:b/>
          <w:color w:val="auto"/>
          <w:highlight w:val="none"/>
        </w:rPr>
        <w:t>.5</w:t>
      </w:r>
      <w:r>
        <w:rPr>
          <w:rFonts w:hint="eastAsia" w:ascii="宋体" w:hAnsi="宋体"/>
          <w:color w:val="auto"/>
          <w:highlight w:val="none"/>
        </w:rPr>
        <w:t xml:space="preserve">  南宁市政府采购监督管理部门自受理投诉之日起</w:t>
      </w:r>
      <w:r>
        <w:rPr>
          <w:rFonts w:ascii="宋体" w:hAnsi="宋体"/>
          <w:color w:val="auto"/>
          <w:highlight w:val="none"/>
        </w:rPr>
        <w:t>30</w:t>
      </w:r>
      <w:r>
        <w:rPr>
          <w:rFonts w:hint="eastAsia" w:ascii="宋体" w:hAnsi="宋体"/>
          <w:color w:val="auto"/>
          <w:highlight w:val="none"/>
        </w:rPr>
        <w:t>个工作日内，对投诉事项作出处理决定，并以书面形式通知投诉人、被投诉人及其他与投诉处理结果有利害关系的政府采购当事人。并将投诉结果在</w:t>
      </w:r>
      <w:r>
        <w:rPr>
          <w:rFonts w:ascii="宋体" w:hAnsi="宋体"/>
          <w:color w:val="auto"/>
          <w:highlight w:val="none"/>
        </w:rPr>
        <w:t>http://zfcg.gxzf.gov.cn (</w:t>
      </w:r>
      <w:r>
        <w:rPr>
          <w:rFonts w:hint="eastAsia" w:ascii="宋体" w:hAnsi="宋体"/>
          <w:color w:val="auto"/>
          <w:highlight w:val="none"/>
        </w:rPr>
        <w:t>广西壮族自治区政府采购网</w:t>
      </w:r>
      <w:r>
        <w:rPr>
          <w:rFonts w:ascii="宋体" w:hAnsi="宋体"/>
          <w:color w:val="auto"/>
          <w:highlight w:val="none"/>
        </w:rPr>
        <w:t>)</w:t>
      </w:r>
      <w:r>
        <w:rPr>
          <w:rFonts w:hint="eastAsia" w:ascii="宋体" w:hAnsi="宋体"/>
          <w:color w:val="auto"/>
          <w:highlight w:val="none"/>
        </w:rPr>
        <w:t>发布。</w:t>
      </w:r>
    </w:p>
    <w:p w14:paraId="134B3DF7">
      <w:pPr>
        <w:spacing w:line="360" w:lineRule="auto"/>
        <w:ind w:firstLine="422" w:firstLineChars="200"/>
        <w:rPr>
          <w:rFonts w:ascii="宋体" w:hAnsi="宋体"/>
          <w:color w:val="auto"/>
          <w:highlight w:val="none"/>
        </w:rPr>
      </w:pPr>
      <w:r>
        <w:rPr>
          <w:rFonts w:ascii="宋体" w:hAnsi="宋体"/>
          <w:b/>
          <w:color w:val="auto"/>
          <w:highlight w:val="none"/>
        </w:rPr>
        <w:t>38.3</w:t>
      </w:r>
      <w:r>
        <w:rPr>
          <w:rFonts w:hint="eastAsia" w:ascii="宋体" w:hAnsi="宋体"/>
          <w:b/>
          <w:color w:val="auto"/>
          <w:highlight w:val="none"/>
        </w:rPr>
        <w:t>.6</w:t>
      </w:r>
      <w:r>
        <w:rPr>
          <w:rFonts w:hint="eastAsia" w:ascii="宋体" w:hAnsi="宋体"/>
          <w:color w:val="auto"/>
          <w:highlight w:val="none"/>
        </w:rPr>
        <w:t xml:space="preserve">  上林县政府采购监督管理部门在处理投诉事项期间，可以视具体情况暂停采购活动。</w:t>
      </w:r>
    </w:p>
    <w:p w14:paraId="3B7C9536">
      <w:pPr>
        <w:snapToGrid w:val="0"/>
        <w:spacing w:line="360" w:lineRule="auto"/>
        <w:ind w:left="120" w:leftChars="57" w:firstLine="482" w:firstLineChars="150"/>
        <w:jc w:val="center"/>
        <w:outlineLvl w:val="2"/>
        <w:rPr>
          <w:rFonts w:ascii="宋体" w:hAnsi="宋体"/>
          <w:b/>
          <w:bCs/>
          <w:color w:val="auto"/>
          <w:sz w:val="32"/>
          <w:szCs w:val="32"/>
          <w:highlight w:val="none"/>
        </w:rPr>
      </w:pPr>
      <w:bookmarkStart w:id="108" w:name="_Toc118383686"/>
      <w:r>
        <w:rPr>
          <w:rFonts w:hint="eastAsia" w:ascii="宋体" w:hAnsi="宋体"/>
          <w:b/>
          <w:bCs/>
          <w:color w:val="auto"/>
          <w:sz w:val="32"/>
          <w:szCs w:val="32"/>
          <w:highlight w:val="none"/>
        </w:rPr>
        <w:t>八、验收</w:t>
      </w:r>
      <w:bookmarkEnd w:id="108"/>
    </w:p>
    <w:p w14:paraId="5B80FAC3">
      <w:pPr>
        <w:spacing w:line="360" w:lineRule="auto"/>
        <w:ind w:firstLine="422" w:firstLineChars="200"/>
        <w:rPr>
          <w:rFonts w:ascii="宋体" w:hAnsi="宋体"/>
          <w:b/>
          <w:color w:val="auto"/>
          <w:highlight w:val="none"/>
        </w:rPr>
      </w:pPr>
      <w:r>
        <w:rPr>
          <w:rFonts w:ascii="宋体" w:hAnsi="宋体"/>
          <w:b/>
          <w:color w:val="auto"/>
          <w:highlight w:val="none"/>
        </w:rPr>
        <w:t>39.</w:t>
      </w:r>
      <w:r>
        <w:rPr>
          <w:rFonts w:hint="eastAsia" w:ascii="宋体" w:hAnsi="宋体"/>
          <w:b/>
          <w:color w:val="auto"/>
          <w:highlight w:val="none"/>
        </w:rPr>
        <w:t>验收</w:t>
      </w:r>
    </w:p>
    <w:p w14:paraId="1217A3D1">
      <w:pPr>
        <w:tabs>
          <w:tab w:val="left" w:pos="0"/>
        </w:tabs>
        <w:spacing w:line="360" w:lineRule="auto"/>
        <w:ind w:firstLine="420"/>
        <w:rPr>
          <w:rFonts w:ascii="宋体" w:hAnsi="宋体"/>
          <w:color w:val="auto"/>
          <w:highlight w:val="none"/>
        </w:rPr>
      </w:pPr>
      <w:r>
        <w:rPr>
          <w:rFonts w:ascii="宋体" w:hAnsi="宋体"/>
          <w:color w:val="auto"/>
          <w:highlight w:val="none"/>
        </w:rPr>
        <w:t>39.1</w:t>
      </w:r>
      <w:r>
        <w:rPr>
          <w:rFonts w:hint="eastAsia" w:ascii="宋体" w:hAnsi="宋体"/>
          <w:color w:val="auto"/>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EBB497">
      <w:pPr>
        <w:tabs>
          <w:tab w:val="left" w:pos="0"/>
        </w:tabs>
        <w:spacing w:line="360" w:lineRule="auto"/>
        <w:ind w:firstLine="420"/>
        <w:rPr>
          <w:rFonts w:ascii="宋体" w:hAnsi="宋体"/>
          <w:color w:val="auto"/>
          <w:highlight w:val="none"/>
        </w:rPr>
      </w:pPr>
      <w:r>
        <w:rPr>
          <w:rFonts w:ascii="宋体" w:hAnsi="宋体"/>
          <w:color w:val="auto"/>
          <w:highlight w:val="none"/>
        </w:rPr>
        <w:t>39.2</w:t>
      </w:r>
      <w:r>
        <w:rPr>
          <w:rFonts w:hint="eastAsia" w:ascii="宋体" w:hAnsi="宋体"/>
          <w:color w:val="auto"/>
          <w:highlight w:val="none"/>
        </w:rPr>
        <w:t>采购人可以邀请参加本项目的其他投标人或者第三方机构参与验收。参与验收的投标人或者第三方机构的意见作为验收书的参考资料一并存档。</w:t>
      </w:r>
    </w:p>
    <w:p w14:paraId="374A641A">
      <w:pPr>
        <w:tabs>
          <w:tab w:val="left" w:pos="0"/>
        </w:tabs>
        <w:spacing w:line="360" w:lineRule="auto"/>
        <w:ind w:firstLine="420"/>
        <w:rPr>
          <w:rFonts w:ascii="宋体" w:hAnsi="宋体"/>
          <w:color w:val="auto"/>
          <w:highlight w:val="none"/>
        </w:rPr>
      </w:pPr>
      <w:r>
        <w:rPr>
          <w:rFonts w:ascii="宋体" w:hAnsi="宋体"/>
          <w:color w:val="auto"/>
          <w:highlight w:val="none"/>
        </w:rPr>
        <w:t>39.3</w:t>
      </w:r>
      <w:r>
        <w:rPr>
          <w:rFonts w:hint="eastAsia" w:ascii="宋体" w:hAnsi="宋体"/>
          <w:color w:val="auto"/>
          <w:highlight w:val="none"/>
        </w:rPr>
        <w:t>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8202DDE">
      <w:pPr>
        <w:tabs>
          <w:tab w:val="left" w:pos="0"/>
        </w:tabs>
        <w:spacing w:line="360" w:lineRule="auto"/>
        <w:ind w:firstLine="420"/>
        <w:rPr>
          <w:rFonts w:ascii="宋体" w:hAnsi="宋体"/>
          <w:color w:val="auto"/>
          <w:highlight w:val="none"/>
        </w:rPr>
      </w:pPr>
      <w:r>
        <w:rPr>
          <w:rFonts w:ascii="宋体" w:hAnsi="宋体"/>
          <w:color w:val="auto"/>
          <w:highlight w:val="none"/>
        </w:rPr>
        <w:t>39.4</w:t>
      </w:r>
      <w:r>
        <w:rPr>
          <w:rFonts w:hint="eastAsia" w:ascii="宋体" w:hAnsi="宋体"/>
          <w:color w:val="auto"/>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D8CAEC9">
      <w:pPr>
        <w:pStyle w:val="15"/>
        <w:snapToGrid w:val="0"/>
        <w:spacing w:line="400" w:lineRule="exact"/>
        <w:rPr>
          <w:rFonts w:hAnsi="宋体"/>
          <w:color w:val="auto"/>
          <w:highlight w:val="none"/>
        </w:rPr>
      </w:pPr>
    </w:p>
    <w:p w14:paraId="260AA699">
      <w:pPr>
        <w:pStyle w:val="4"/>
        <w:keepNext w:val="0"/>
        <w:keepLines w:val="0"/>
        <w:spacing w:line="360" w:lineRule="auto"/>
        <w:jc w:val="center"/>
        <w:rPr>
          <w:rFonts w:ascii="宋体" w:hAnsi="宋体"/>
          <w:color w:val="auto"/>
          <w:highlight w:val="none"/>
        </w:rPr>
      </w:pPr>
      <w:bookmarkStart w:id="109" w:name="_八、其他事项"/>
      <w:bookmarkEnd w:id="109"/>
      <w:bookmarkStart w:id="110" w:name="_Toc118383687"/>
      <w:r>
        <w:rPr>
          <w:rFonts w:hint="eastAsia" w:ascii="宋体" w:hAnsi="宋体"/>
          <w:color w:val="auto"/>
          <w:highlight w:val="none"/>
        </w:rPr>
        <w:t>九、其他事项</w:t>
      </w:r>
      <w:bookmarkEnd w:id="110"/>
    </w:p>
    <w:p w14:paraId="366CB153">
      <w:pPr>
        <w:spacing w:line="360" w:lineRule="auto"/>
        <w:ind w:firstLine="480" w:firstLineChars="200"/>
        <w:rPr>
          <w:rFonts w:ascii="宋体" w:hAnsi="宋体"/>
          <w:color w:val="auto"/>
          <w:sz w:val="24"/>
          <w:highlight w:val="none"/>
        </w:rPr>
      </w:pPr>
      <w:bookmarkStart w:id="111" w:name="_42.代理服务费"/>
      <w:bookmarkEnd w:id="111"/>
      <w:r>
        <w:rPr>
          <w:rFonts w:hint="eastAsia" w:ascii="宋体" w:hAnsi="宋体"/>
          <w:color w:val="auto"/>
          <w:sz w:val="24"/>
          <w:highlight w:val="none"/>
        </w:rPr>
        <w:t>40.代理服务费</w:t>
      </w:r>
    </w:p>
    <w:p w14:paraId="329F47DF">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代理服务费收费标准及缴费账户详见“投标人须知前附表”，投标人为联合体的，可以由联合体中的一方或者多方共同交纳代理服务费。</w:t>
      </w:r>
    </w:p>
    <w:p w14:paraId="5A27BA7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41. 需要补充的其他内容</w:t>
      </w:r>
    </w:p>
    <w:p w14:paraId="034112DF">
      <w:pPr>
        <w:spacing w:line="360" w:lineRule="auto"/>
        <w:ind w:firstLine="420" w:firstLineChars="200"/>
        <w:rPr>
          <w:rFonts w:ascii="宋体" w:hAnsi="宋体"/>
          <w:color w:val="auto"/>
          <w:highlight w:val="none"/>
        </w:rPr>
      </w:pPr>
      <w:r>
        <w:rPr>
          <w:rFonts w:ascii="宋体" w:hAnsi="宋体"/>
          <w:color w:val="auto"/>
          <w:highlight w:val="none"/>
        </w:rPr>
        <w:t>41.1</w:t>
      </w:r>
      <w:r>
        <w:rPr>
          <w:rFonts w:hint="eastAsia" w:ascii="宋体" w:hAnsi="宋体" w:cs="宋体"/>
          <w:color w:val="auto"/>
          <w:highlight w:val="none"/>
        </w:rPr>
        <w:t>本招标文件解释规则详见</w:t>
      </w:r>
      <w:r>
        <w:rPr>
          <w:rFonts w:hint="eastAsia" w:ascii="宋体" w:hAnsi="宋体"/>
          <w:color w:val="auto"/>
          <w:highlight w:val="none"/>
        </w:rPr>
        <w:t>“投标人须知前附表”。</w:t>
      </w:r>
    </w:p>
    <w:p w14:paraId="6FD001D8">
      <w:pPr>
        <w:spacing w:line="360" w:lineRule="auto"/>
        <w:ind w:firstLine="420" w:firstLineChars="200"/>
        <w:rPr>
          <w:rFonts w:ascii="宋体" w:hAnsi="宋体"/>
          <w:color w:val="auto"/>
          <w:highlight w:val="none"/>
        </w:rPr>
      </w:pPr>
      <w:r>
        <w:rPr>
          <w:rFonts w:ascii="宋体" w:hAnsi="宋体" w:cs="宋体"/>
          <w:color w:val="auto"/>
          <w:highlight w:val="none"/>
        </w:rPr>
        <w:t xml:space="preserve">41.2 </w:t>
      </w:r>
      <w:r>
        <w:rPr>
          <w:rFonts w:hint="eastAsia" w:ascii="宋体" w:hAnsi="宋体"/>
          <w:color w:val="auto"/>
          <w:highlight w:val="none"/>
        </w:rPr>
        <w:t>其他事项详见“投标人须知前附表”。</w:t>
      </w:r>
    </w:p>
    <w:p w14:paraId="549D88AF">
      <w:pPr>
        <w:pStyle w:val="15"/>
        <w:spacing w:line="360" w:lineRule="auto"/>
        <w:ind w:firstLine="420" w:firstLineChars="200"/>
        <w:rPr>
          <w:rFonts w:hAnsi="宋体"/>
          <w:color w:val="auto"/>
          <w:highlight w:val="none"/>
        </w:rPr>
      </w:pPr>
      <w:r>
        <w:rPr>
          <w:rFonts w:hint="eastAsia" w:hAnsi="宋体"/>
          <w:color w:val="auto"/>
          <w:highlight w:val="none"/>
        </w:rPr>
        <w:t>41.3</w:t>
      </w:r>
      <w:bookmarkStart w:id="112" w:name="_Hlk65857140"/>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由中小企业制造，即货物由中小企业生产且使用该中小企业商号或者注册商标，不对其中涉及的工程承建商和服务的承接商作出要求的，享受本文件规定的中小企业扶持政策。</w:t>
      </w:r>
    </w:p>
    <w:p w14:paraId="3DDC158D">
      <w:pPr>
        <w:pStyle w:val="15"/>
        <w:spacing w:before="120" w:after="120" w:line="360" w:lineRule="auto"/>
        <w:ind w:firstLine="420" w:firstLineChars="200"/>
        <w:contextualSpacing/>
        <w:rPr>
          <w:rFonts w:hAnsi="宋体"/>
          <w:color w:val="auto"/>
          <w:highlight w:val="none"/>
        </w:rPr>
      </w:pPr>
      <w:r>
        <w:rPr>
          <w:rFonts w:hint="eastAsia" w:hAnsi="宋体"/>
          <w:color w:val="auto"/>
          <w:highlight w:val="none"/>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772C898F">
      <w:pPr>
        <w:pStyle w:val="15"/>
        <w:spacing w:before="120" w:after="120" w:line="360" w:lineRule="auto"/>
        <w:ind w:firstLine="420" w:firstLineChars="200"/>
        <w:contextualSpacing/>
        <w:rPr>
          <w:rFonts w:hAnsi="宋体"/>
          <w:color w:val="auto"/>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bookmarkEnd w:id="112"/>
    </w:p>
    <w:p w14:paraId="119CFB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42. 政采贷相关说明</w:t>
      </w:r>
    </w:p>
    <w:p w14:paraId="4AD078A5">
      <w:pPr>
        <w:spacing w:line="360" w:lineRule="auto"/>
        <w:ind w:firstLine="420" w:firstLineChars="200"/>
        <w:jc w:val="left"/>
        <w:rPr>
          <w:rFonts w:ascii="宋体" w:hAnsi="宋体"/>
          <w:color w:val="auto"/>
          <w:highlight w:val="none"/>
        </w:rPr>
      </w:pPr>
      <w:r>
        <w:rPr>
          <w:rFonts w:hint="eastAsia" w:ascii="宋体"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14:paraId="5501C053">
      <w:pPr>
        <w:numPr>
          <w:ilvl w:val="0"/>
          <w:numId w:val="5"/>
        </w:numPr>
        <w:spacing w:line="360" w:lineRule="auto"/>
        <w:ind w:firstLine="420" w:firstLineChars="200"/>
        <w:jc w:val="left"/>
        <w:rPr>
          <w:rFonts w:ascii="宋体" w:hAnsi="宋体"/>
          <w:color w:val="auto"/>
          <w:highlight w:val="none"/>
        </w:rPr>
      </w:pPr>
      <w:r>
        <w:rPr>
          <w:rFonts w:hint="eastAsia" w:ascii="宋体" w:hAnsi="宋体"/>
          <w:color w:val="auto"/>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31"/>
          <w:rFonts w:ascii="宋体" w:hAnsi="宋体"/>
          <w:color w:val="auto"/>
          <w:highlight w:val="none"/>
        </w:rPr>
        <w:t>http://www.nnggzy.org.cn</w:t>
      </w:r>
      <w:r>
        <w:rPr>
          <w:rStyle w:val="31"/>
          <w:rFonts w:hint="eastAsia" w:ascii="宋体" w:hAnsi="宋体"/>
          <w:color w:val="auto"/>
          <w:highlight w:val="none"/>
        </w:rPr>
        <w:t>）“交易信息</w:t>
      </w:r>
      <w:r>
        <w:rPr>
          <w:rStyle w:val="31"/>
          <w:rFonts w:ascii="宋体" w:hAnsi="宋体"/>
          <w:color w:val="auto"/>
          <w:highlight w:val="none"/>
        </w:rPr>
        <w:t>-</w:t>
      </w:r>
      <w:r>
        <w:rPr>
          <w:rStyle w:val="31"/>
          <w:rFonts w:hint="eastAsia" w:ascii="宋体" w:hAnsi="宋体"/>
          <w:color w:val="auto"/>
          <w:highlight w:val="none"/>
        </w:rPr>
        <w:t>政府采购</w:t>
      </w:r>
      <w:r>
        <w:rPr>
          <w:rStyle w:val="31"/>
          <w:rFonts w:ascii="宋体" w:hAnsi="宋体"/>
          <w:color w:val="auto"/>
          <w:highlight w:val="none"/>
        </w:rPr>
        <w:t>-</w:t>
      </w:r>
      <w:r>
        <w:rPr>
          <w:rStyle w:val="31"/>
          <w:rFonts w:hint="eastAsia" w:ascii="宋体" w:hAnsi="宋体"/>
          <w:color w:val="auto"/>
          <w:highlight w:val="none"/>
        </w:rPr>
        <w:t>政府采购信用融资”中融资银行和南宁市企业融资货物中心专栏信息申请政府采购信用融资。</w:t>
      </w:r>
      <w:r>
        <w:rPr>
          <w:rStyle w:val="31"/>
          <w:rFonts w:hint="eastAsia" w:ascii="宋体" w:hAnsi="宋体"/>
          <w:color w:val="auto"/>
          <w:highlight w:val="none"/>
        </w:rPr>
        <w:fldChar w:fldCharType="end"/>
      </w:r>
    </w:p>
    <w:p w14:paraId="3E6910B9">
      <w:pPr>
        <w:numPr>
          <w:ilvl w:val="0"/>
          <w:numId w:val="5"/>
        </w:numPr>
        <w:spacing w:line="360" w:lineRule="auto"/>
        <w:ind w:firstLine="420" w:firstLineChars="200"/>
        <w:jc w:val="left"/>
        <w:rPr>
          <w:rFonts w:ascii="宋体" w:hAnsi="宋体"/>
          <w:color w:val="auto"/>
          <w:highlight w:val="none"/>
        </w:rPr>
      </w:pPr>
      <w:r>
        <w:rPr>
          <w:rFonts w:hint="eastAsia" w:ascii="宋体" w:hAnsi="宋体"/>
          <w:color w:val="auto"/>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ascii="宋体" w:hAnsi="宋体"/>
          <w:color w:val="auto"/>
          <w:highlight w:val="none"/>
        </w:rPr>
        <w:br w:type="page"/>
      </w:r>
      <w:bookmarkStart w:id="113" w:name="_Toc532545043"/>
    </w:p>
    <w:p w14:paraId="6B3441DC">
      <w:pPr>
        <w:pStyle w:val="15"/>
        <w:ind w:firstLine="723"/>
        <w:jc w:val="center"/>
        <w:outlineLvl w:val="0"/>
        <w:rPr>
          <w:rFonts w:hAnsi="宋体"/>
          <w:b/>
          <w:color w:val="auto"/>
          <w:sz w:val="36"/>
          <w:highlight w:val="none"/>
        </w:rPr>
      </w:pPr>
      <w:bookmarkStart w:id="114" w:name="_Toc118383688"/>
      <w:r>
        <w:rPr>
          <w:rFonts w:hint="eastAsia" w:hAnsi="宋体"/>
          <w:b/>
          <w:color w:val="auto"/>
          <w:sz w:val="36"/>
          <w:highlight w:val="none"/>
        </w:rPr>
        <w:t>第四章</w:t>
      </w:r>
      <w:r>
        <w:rPr>
          <w:rFonts w:hAnsi="宋体"/>
          <w:b/>
          <w:color w:val="auto"/>
          <w:sz w:val="36"/>
          <w:highlight w:val="none"/>
        </w:rPr>
        <w:t xml:space="preserve">  </w:t>
      </w:r>
      <w:r>
        <w:rPr>
          <w:rFonts w:hint="eastAsia" w:hAnsi="宋体"/>
          <w:b/>
          <w:color w:val="auto"/>
          <w:sz w:val="36"/>
          <w:highlight w:val="none"/>
        </w:rPr>
        <w:t>评标方法</w:t>
      </w:r>
      <w:bookmarkEnd w:id="113"/>
      <w:r>
        <w:rPr>
          <w:rFonts w:hint="eastAsia" w:hAnsi="宋体"/>
          <w:b/>
          <w:color w:val="auto"/>
          <w:sz w:val="36"/>
          <w:highlight w:val="none"/>
        </w:rPr>
        <w:t>及评分标准</w:t>
      </w:r>
      <w:bookmarkEnd w:id="114"/>
    </w:p>
    <w:p w14:paraId="57B6FDF9">
      <w:pPr>
        <w:pStyle w:val="15"/>
        <w:jc w:val="center"/>
        <w:outlineLvl w:val="1"/>
        <w:rPr>
          <w:rFonts w:hAnsi="宋体"/>
          <w:b/>
          <w:bCs/>
          <w:color w:val="auto"/>
          <w:sz w:val="32"/>
          <w:szCs w:val="32"/>
          <w:highlight w:val="none"/>
        </w:rPr>
      </w:pPr>
      <w:bookmarkStart w:id="115" w:name="_Toc118383689"/>
      <w:r>
        <w:rPr>
          <w:rFonts w:hint="eastAsia" w:hAnsi="宋体"/>
          <w:b/>
          <w:bCs/>
          <w:color w:val="auto"/>
          <w:sz w:val="32"/>
          <w:szCs w:val="32"/>
          <w:highlight w:val="none"/>
        </w:rPr>
        <w:t>第一节</w:t>
      </w:r>
      <w:r>
        <w:rPr>
          <w:rFonts w:hAnsi="宋体"/>
          <w:b/>
          <w:bCs/>
          <w:color w:val="auto"/>
          <w:sz w:val="32"/>
          <w:szCs w:val="32"/>
          <w:highlight w:val="none"/>
        </w:rPr>
        <w:t xml:space="preserve"> </w:t>
      </w:r>
      <w:r>
        <w:rPr>
          <w:rFonts w:hint="eastAsia" w:hAnsi="宋体"/>
          <w:b/>
          <w:bCs/>
          <w:color w:val="auto"/>
          <w:sz w:val="32"/>
          <w:szCs w:val="32"/>
          <w:highlight w:val="none"/>
        </w:rPr>
        <w:t>评标方法</w:t>
      </w:r>
      <w:bookmarkEnd w:id="115"/>
    </w:p>
    <w:p w14:paraId="0719CA06">
      <w:pPr>
        <w:pStyle w:val="15"/>
        <w:tabs>
          <w:tab w:val="left" w:pos="2472"/>
        </w:tabs>
        <w:spacing w:line="460" w:lineRule="exact"/>
        <w:ind w:firstLine="420" w:firstLineChars="200"/>
        <w:rPr>
          <w:rFonts w:hAnsi="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6F1565F9">
      <w:pPr>
        <w:pStyle w:val="15"/>
        <w:spacing w:line="360" w:lineRule="auto"/>
        <w:ind w:firstLine="420"/>
        <w:rPr>
          <w:rFonts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全部实质性要求，且投标报价最低的投标人为中标候选人的评标方法。</w:t>
      </w:r>
    </w:p>
    <w:p w14:paraId="5A586650">
      <w:pPr>
        <w:autoSpaceDE w:val="0"/>
        <w:autoSpaceDN w:val="0"/>
        <w:adjustRightInd w:val="0"/>
        <w:spacing w:line="440" w:lineRule="exact"/>
        <w:ind w:firstLine="424" w:firstLineChars="177"/>
        <w:rPr>
          <w:rFonts w:ascii="宋体" w:hAnsi="宋体"/>
          <w:color w:val="auto"/>
          <w:szCs w:val="20"/>
          <w:highlight w:val="none"/>
        </w:rPr>
      </w:pPr>
      <w:r>
        <w:rPr>
          <w:rFonts w:hint="eastAsia" w:ascii="宋体" w:hAnsi="宋体"/>
          <w:color w:val="auto"/>
          <w:sz w:val="24"/>
          <w:highlight w:val="none"/>
        </w:rPr>
        <w:sym w:font="Wingdings 2" w:char="0052"/>
      </w:r>
      <w:r>
        <w:rPr>
          <w:rFonts w:hint="eastAsia" w:ascii="宋体" w:hAnsi="宋体"/>
          <w:color w:val="auto"/>
          <w:highlight w:val="none"/>
        </w:rPr>
        <w:t>综合评分法，</w:t>
      </w:r>
      <w:r>
        <w:rPr>
          <w:rFonts w:hint="eastAsia" w:ascii="宋体" w:hAnsi="宋体"/>
          <w:color w:val="auto"/>
          <w:szCs w:val="20"/>
          <w:highlight w:val="none"/>
        </w:rPr>
        <w:t>是指投标文件满足招标文件全部实质性要求，且按照评审因素的量化指标评审得分最高的投标人为中标候选人的评标方法。评标委员会将对各投标人的投标报价、技术和货物方案、投标人的企业实力及资质等方面进行综合评审，对实质上响应招标文件的投标人，由各评委独立记名打分。经统计，得出各投标人的综合得分,按综合得分由高到低顺序排列。若得分相同的，按投标报价由低到高顺序排列。得分且投标报价相同的并列。投标文件满足招标文件全部实质性要求，且按照评审因素的量化指标评审得分最高的投标人为排名第一的中标候选人。</w:t>
      </w:r>
    </w:p>
    <w:p w14:paraId="0C1FE3C6">
      <w:pPr>
        <w:autoSpaceDE w:val="0"/>
        <w:autoSpaceDN w:val="0"/>
        <w:adjustRightInd w:val="0"/>
        <w:spacing w:line="440" w:lineRule="exact"/>
        <w:ind w:firstLine="480" w:firstLineChars="200"/>
        <w:rPr>
          <w:rFonts w:ascii="宋体" w:hAnsi="宋体"/>
          <w:color w:val="auto"/>
          <w:sz w:val="24"/>
          <w:highlight w:val="none"/>
        </w:rPr>
      </w:pPr>
    </w:p>
    <w:p w14:paraId="07E73F45">
      <w:pPr>
        <w:pStyle w:val="15"/>
        <w:spacing w:line="360" w:lineRule="auto"/>
        <w:ind w:firstLine="420"/>
        <w:rPr>
          <w:rFonts w:hAnsi="宋体"/>
          <w:color w:val="auto"/>
          <w:highlight w:val="none"/>
        </w:rPr>
      </w:pPr>
    </w:p>
    <w:p w14:paraId="709AACE2">
      <w:pPr>
        <w:pStyle w:val="15"/>
        <w:tabs>
          <w:tab w:val="left" w:pos="2472"/>
        </w:tabs>
        <w:spacing w:line="460" w:lineRule="exact"/>
        <w:jc w:val="center"/>
        <w:outlineLvl w:val="1"/>
        <w:rPr>
          <w:rFonts w:hAnsi="宋体"/>
          <w:b/>
          <w:bCs/>
          <w:color w:val="auto"/>
          <w:sz w:val="32"/>
          <w:szCs w:val="32"/>
          <w:highlight w:val="none"/>
        </w:rPr>
      </w:pPr>
      <w:bookmarkStart w:id="116" w:name="_Toc118383690"/>
      <w:r>
        <w:rPr>
          <w:rFonts w:hint="eastAsia" w:hAnsi="宋体"/>
          <w:b/>
          <w:bCs/>
          <w:color w:val="auto"/>
          <w:sz w:val="32"/>
          <w:szCs w:val="32"/>
          <w:highlight w:val="none"/>
        </w:rPr>
        <w:t>第二节</w:t>
      </w:r>
      <w:r>
        <w:rPr>
          <w:rFonts w:hAnsi="宋体"/>
          <w:b/>
          <w:bCs/>
          <w:color w:val="auto"/>
          <w:sz w:val="32"/>
          <w:szCs w:val="32"/>
          <w:highlight w:val="none"/>
        </w:rPr>
        <w:t xml:space="preserve"> </w:t>
      </w:r>
      <w:r>
        <w:rPr>
          <w:rFonts w:hint="eastAsia" w:hAnsi="宋体"/>
          <w:b/>
          <w:bCs/>
          <w:color w:val="auto"/>
          <w:sz w:val="32"/>
          <w:szCs w:val="32"/>
          <w:highlight w:val="none"/>
        </w:rPr>
        <w:t>评标程序</w:t>
      </w:r>
      <w:bookmarkEnd w:id="116"/>
    </w:p>
    <w:p w14:paraId="746AA0D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14:paraId="508F6AD6">
      <w:pPr>
        <w:spacing w:line="360" w:lineRule="auto"/>
        <w:ind w:firstLine="420" w:firstLineChars="200"/>
        <w:rPr>
          <w:rFonts w:ascii="宋体" w:hAnsi="宋体"/>
          <w:color w:val="auto"/>
          <w:highlight w:val="none"/>
        </w:rPr>
      </w:pPr>
      <w:r>
        <w:rPr>
          <w:rFonts w:hint="eastAsia" w:ascii="宋体" w:hAnsi="宋体"/>
          <w:color w:val="auto"/>
          <w:highlight w:val="none"/>
        </w:rPr>
        <w:t>评标委员会应当对符合资格的投标人的投标文件进行投标报价、商务、技术等实质性内容符合性审查，以确定其是否满足招标文件的实质性要求。</w:t>
      </w:r>
    </w:p>
    <w:p w14:paraId="7538C1F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14:paraId="0BB940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6C0C8A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044219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14:paraId="52B4C7E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14:paraId="0671D6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（3）报价超出招标文件规定最高限价，或者超出采购预算金额（包括分项预算）的；</w:t>
      </w:r>
    </w:p>
    <w:p w14:paraId="2690974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FA069D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（5）修正后的报价，投标人不确认的；</w:t>
      </w:r>
    </w:p>
    <w:p w14:paraId="1E50EB8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（6）投标人属于本章第5条第（2）项情形的。</w:t>
      </w:r>
    </w:p>
    <w:p w14:paraId="47F129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1F912E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（1）投标文件未按招标文件要求签署、盖章的；</w:t>
      </w:r>
    </w:p>
    <w:p w14:paraId="2849239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14:paraId="61FAA6C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（3）投标文件未提供“投标人须知前附表”第13.1条规定中“必须提供”或者“委托时必须提供”的文件资料的;</w:t>
      </w:r>
    </w:p>
    <w:p w14:paraId="62DF30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（4）投标有效期、项目完成时间（交货时间、货物完成时间或者货物期等）、质保期、售后服务等招标文件中标“▲”的商务条款发生负偏离的；</w:t>
      </w:r>
    </w:p>
    <w:p w14:paraId="166A25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5CD422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6EC0760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49D0345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（8）投标文件含有采购人不能接受的附加条件的；</w:t>
      </w:r>
    </w:p>
    <w:p w14:paraId="5666395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（9）未响应招标文件实质性要求的；</w:t>
      </w:r>
    </w:p>
    <w:p w14:paraId="3B38E3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（10）属于投标人须知正文第9.2条情形的；</w:t>
      </w:r>
    </w:p>
    <w:p w14:paraId="2E8D906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（11）法律、法规和招标文件规定的其他无效情形。</w:t>
      </w:r>
    </w:p>
    <w:p w14:paraId="3D552C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637C26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）不满足招标文件要求的货物内容、技术要求、安全、质量标准，或者与招标文件中标“▲”的技术需求发生负偏离的；</w:t>
      </w:r>
    </w:p>
    <w:p w14:paraId="1DD5B7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）技术需求评审允许负偏离的条款数超过“投标人须知前附表”规定项数的；</w:t>
      </w:r>
    </w:p>
    <w:p w14:paraId="6ED627A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）投标文件未提供“投标人须知前附表”第</w:t>
      </w:r>
      <w:r>
        <w:rPr>
          <w:rFonts w:ascii="宋体" w:hAnsi="宋体"/>
          <w:color w:val="auto"/>
          <w:szCs w:val="21"/>
          <w:highlight w:val="none"/>
        </w:rPr>
        <w:t>13.1</w:t>
      </w:r>
      <w:r>
        <w:rPr>
          <w:rFonts w:hint="eastAsia" w:ascii="宋体" w:hAnsi="宋体"/>
          <w:color w:val="auto"/>
          <w:szCs w:val="21"/>
          <w:highlight w:val="none"/>
        </w:rPr>
        <w:t>条规定中“必须提供”的文件资料的</w:t>
      </w:r>
      <w:r>
        <w:rPr>
          <w:rFonts w:ascii="宋体" w:hAnsi="宋体"/>
          <w:color w:val="auto"/>
          <w:szCs w:val="21"/>
          <w:highlight w:val="none"/>
        </w:rPr>
        <w:t>;</w:t>
      </w:r>
    </w:p>
    <w:p w14:paraId="2A0B0A8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）虚假投标，或者出现其他情形而导致被评标委员会认定无效的；</w:t>
      </w:r>
    </w:p>
    <w:p w14:paraId="43E693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）招标文件要求提供技术方案的，投标技术方案不明确，招标文件未允许但存在一个或者一个以上备选（替代）投标方案的。</w:t>
      </w:r>
    </w:p>
    <w:p w14:paraId="1582B4C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14:paraId="188BD208">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平台发布电子澄清函，要求投标人在规定时间内作出必要的澄清、说明或者补正。投标人在“广西政府采购云平台”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20DE4D3A">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7103645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4.投标文件修正</w:t>
      </w:r>
    </w:p>
    <w:p w14:paraId="130DE5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14:paraId="47AB90E3">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）报价文件中“开标一览表”内容与投标文件中相应内容不一致的，以“开标一览表”为准；</w:t>
      </w:r>
    </w:p>
    <w:p w14:paraId="65E49E22">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）大写金额和小写金额不一致的，以大写金额为准；</w:t>
      </w:r>
    </w:p>
    <w:p w14:paraId="548192AC">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）单价金额小数点或者百分比有明显错位的，以开标一览表的总价为准，并修改单价；</w:t>
      </w:r>
    </w:p>
    <w:p w14:paraId="7FC70E90">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）总价金额与按单价汇总金额不一致的，以单价金额计算结果为准。</w:t>
      </w:r>
    </w:p>
    <w:p w14:paraId="3C87C913">
      <w:pPr>
        <w:spacing w:line="360" w:lineRule="auto"/>
        <w:ind w:firstLine="420" w:firstLineChars="200"/>
        <w:rPr>
          <w:rFonts w:ascii="宋体" w:hAnsi="宋体"/>
          <w:color w:val="auto"/>
          <w:highlight w:val="none"/>
        </w:rPr>
      </w:pPr>
      <w:r>
        <w:rPr>
          <w:rFonts w:hint="eastAsia" w:ascii="宋体" w:hAnsi="宋体"/>
          <w:color w:val="auto"/>
          <w:highlight w:val="none"/>
        </w:rPr>
        <w:t>同时出现两种以上不一致的，按照以上（</w:t>
      </w:r>
      <w:r>
        <w:rPr>
          <w:rFonts w:ascii="宋体" w:hAnsi="宋体"/>
          <w:color w:val="auto"/>
          <w:highlight w:val="none"/>
        </w:rPr>
        <w:t>1</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）规定的顺序修正。修正后的报价经投标人确认后产生约束力，投标人不确认的，其投标无效。</w:t>
      </w:r>
    </w:p>
    <w:p w14:paraId="7DBF3B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14:paraId="0E4B9F6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14:paraId="2DD45B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5.比较与评价</w:t>
      </w:r>
    </w:p>
    <w:p w14:paraId="50C632CE">
      <w:pPr>
        <w:spacing w:line="360" w:lineRule="auto"/>
        <w:ind w:firstLine="420" w:firstLineChars="200"/>
        <w:rPr>
          <w:rFonts w:ascii="宋体" w:hAnsi="宋体"/>
          <w:color w:val="auto"/>
          <w:highlight w:val="none"/>
        </w:rPr>
      </w:pPr>
      <w:r>
        <w:rPr>
          <w:rFonts w:ascii="宋体" w:hAnsi="宋体"/>
          <w:color w:val="auto"/>
          <w:highlight w:val="none"/>
        </w:rPr>
        <w:t>5.1</w:t>
      </w:r>
      <w:r>
        <w:rPr>
          <w:rFonts w:hint="eastAsia" w:ascii="宋体" w:hAnsi="宋体"/>
          <w:color w:val="auto"/>
          <w:highlight w:val="none"/>
        </w:rPr>
        <w:t>评标委员会按照招标文件中规定的评标方法和评标标准，对符合性审查合格的投标文件进行商务和技术评估，综合比较与评价。</w:t>
      </w:r>
    </w:p>
    <w:p w14:paraId="0831F9C8">
      <w:pPr>
        <w:spacing w:line="360" w:lineRule="auto"/>
        <w:ind w:firstLine="420" w:firstLineChars="200"/>
        <w:rPr>
          <w:rFonts w:ascii="宋体" w:hAnsi="宋体"/>
          <w:color w:val="auto"/>
          <w:highlight w:val="none"/>
        </w:rPr>
      </w:pPr>
      <w:r>
        <w:rPr>
          <w:rFonts w:ascii="宋体" w:hAnsi="宋体"/>
          <w:color w:val="auto"/>
          <w:highlight w:val="none"/>
        </w:rPr>
        <w:t>5.2</w:t>
      </w:r>
      <w:r>
        <w:rPr>
          <w:rFonts w:hint="eastAsia" w:ascii="宋体" w:hAnsi="宋体"/>
          <w:color w:val="auto"/>
          <w:highlight w:val="none"/>
        </w:rPr>
        <w:t>评标委员会独立对每个投标人的投标文件进行评价，并汇总每个投标人的得分。</w:t>
      </w:r>
    </w:p>
    <w:p w14:paraId="70DCA4A8">
      <w:pPr>
        <w:widowControl/>
        <w:numPr>
          <w:ilvl w:val="0"/>
          <w:numId w:val="6"/>
        </w:numPr>
        <w:spacing w:after="150" w:line="480" w:lineRule="auto"/>
        <w:ind w:firstLine="420" w:firstLineChars="200"/>
        <w:jc w:val="left"/>
        <w:rPr>
          <w:rFonts w:ascii="宋体" w:hAnsi="宋体"/>
          <w:color w:val="auto"/>
          <w:highlight w:val="none"/>
        </w:rPr>
      </w:pPr>
      <w:r>
        <w:rPr>
          <w:rFonts w:hint="eastAsia" w:ascii="宋体" w:hAnsi="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20ADCD6">
      <w:pPr>
        <w:widowControl/>
        <w:numPr>
          <w:ilvl w:val="0"/>
          <w:numId w:val="6"/>
        </w:numPr>
        <w:spacing w:after="150" w:line="480" w:lineRule="auto"/>
        <w:ind w:firstLine="420" w:firstLineChars="200"/>
        <w:jc w:val="left"/>
        <w:rPr>
          <w:rFonts w:ascii="宋体" w:hAnsi="宋体"/>
          <w:color w:val="auto"/>
          <w:highlight w:val="none"/>
        </w:rPr>
      </w:pPr>
      <w:r>
        <w:rPr>
          <w:rFonts w:hint="eastAsia" w:ascii="宋体"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4A4D65E">
      <w:pPr>
        <w:spacing w:line="360" w:lineRule="auto"/>
        <w:ind w:firstLine="420" w:firstLineChars="200"/>
        <w:rPr>
          <w:rFonts w:ascii="宋体" w:hAnsi="宋体"/>
          <w:color w:val="auto"/>
          <w:highlight w:val="none"/>
        </w:rPr>
      </w:pPr>
      <w:r>
        <w:rPr>
          <w:rFonts w:ascii="宋体" w:hAnsi="宋体"/>
          <w:color w:val="auto"/>
          <w:highlight w:val="none"/>
        </w:rPr>
        <w:t>5.3</w:t>
      </w:r>
      <w:r>
        <w:rPr>
          <w:rFonts w:hint="eastAsia" w:ascii="宋体" w:hAnsi="宋体"/>
          <w:color w:val="auto"/>
          <w:highlight w:val="none"/>
        </w:rPr>
        <w:t>评标委员会按照招标文件中规定的评标方法和标准计算各投标人的报价得分。在计算过程中，不得去掉最高报价或者最低报价。</w:t>
      </w:r>
    </w:p>
    <w:p w14:paraId="5EEA5B8B">
      <w:pPr>
        <w:spacing w:line="360" w:lineRule="auto"/>
        <w:ind w:firstLine="420" w:firstLineChars="200"/>
        <w:rPr>
          <w:rFonts w:ascii="宋体" w:hAnsi="宋体"/>
          <w:color w:val="auto"/>
          <w:highlight w:val="none"/>
        </w:rPr>
      </w:pPr>
      <w:r>
        <w:rPr>
          <w:rFonts w:ascii="宋体" w:hAnsi="宋体"/>
          <w:color w:val="auto"/>
          <w:highlight w:val="none"/>
        </w:rPr>
        <w:t>5.4</w:t>
      </w:r>
      <w:r>
        <w:rPr>
          <w:rFonts w:hint="eastAsia" w:ascii="宋体" w:hAnsi="宋体"/>
          <w:color w:val="auto"/>
          <w:highlight w:val="none"/>
        </w:rPr>
        <w:t>各投标人的得分为所有评委的有效评分的算术平均数。</w:t>
      </w:r>
    </w:p>
    <w:p w14:paraId="4D54F9DA">
      <w:pPr>
        <w:spacing w:line="360" w:lineRule="auto"/>
        <w:ind w:firstLine="420" w:firstLineChars="200"/>
        <w:rPr>
          <w:rFonts w:ascii="宋体" w:hAnsi="宋体"/>
          <w:color w:val="auto"/>
          <w:highlight w:val="none"/>
        </w:rPr>
      </w:pPr>
      <w:r>
        <w:rPr>
          <w:rFonts w:ascii="宋体" w:hAnsi="宋体"/>
          <w:color w:val="auto"/>
          <w:highlight w:val="none"/>
        </w:rPr>
        <w:t>5.5</w:t>
      </w:r>
      <w:r>
        <w:rPr>
          <w:rFonts w:hint="eastAsia" w:ascii="宋体" w:hAnsi="宋体"/>
          <w:color w:val="auto"/>
          <w:highlight w:val="none"/>
        </w:rPr>
        <w:t>评标委员会按照招标文件中的规定推荐中标候选人。</w:t>
      </w:r>
    </w:p>
    <w:p w14:paraId="60F8EAE7">
      <w:pPr>
        <w:spacing w:line="360" w:lineRule="auto"/>
        <w:ind w:firstLine="420" w:firstLineChars="200"/>
        <w:rPr>
          <w:rFonts w:ascii="宋体" w:hAnsi="宋体"/>
          <w:color w:val="auto"/>
          <w:highlight w:val="none"/>
        </w:rPr>
      </w:pPr>
      <w:r>
        <w:rPr>
          <w:rFonts w:ascii="宋体" w:hAnsi="宋体"/>
          <w:color w:val="auto"/>
          <w:highlight w:val="none"/>
        </w:rPr>
        <w:t>5.6</w:t>
      </w:r>
      <w:r>
        <w:rPr>
          <w:rFonts w:hint="eastAsia" w:ascii="宋体" w:hAnsi="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88F076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14:paraId="4C31ABB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6.1评标报告签署前，评标委员会要对评审结果进行复核，复核意见要体现在评标报告中。</w:t>
      </w:r>
    </w:p>
    <w:p w14:paraId="23D93710">
      <w:pPr>
        <w:widowControl/>
        <w:spacing w:line="560" w:lineRule="exact"/>
        <w:ind w:firstLine="420" w:firstLineChars="200"/>
        <w:jc w:val="left"/>
        <w:textAlignment w:val="baseline"/>
        <w:rPr>
          <w:rFonts w:ascii="宋体" w:hAnsi="宋体"/>
          <w:color w:val="auto"/>
          <w:highlight w:val="none"/>
        </w:rPr>
      </w:pPr>
      <w:r>
        <w:rPr>
          <w:rFonts w:ascii="宋体" w:hAnsi="宋体"/>
          <w:color w:val="auto"/>
          <w:highlight w:val="none"/>
        </w:rPr>
        <w:t>6.2</w:t>
      </w:r>
      <w:r>
        <w:rPr>
          <w:rFonts w:hint="eastAsia" w:ascii="宋体" w:hAnsi="宋体"/>
          <w:color w:val="auto"/>
          <w:highlight w:val="none"/>
        </w:rPr>
        <w:t>评标结果汇总完成后，除下列情形外，任何人不得修改评标结果：</w:t>
      </w:r>
    </w:p>
    <w:p w14:paraId="1E77C05C">
      <w:pPr>
        <w:widowControl/>
        <w:spacing w:line="560" w:lineRule="exact"/>
        <w:jc w:val="left"/>
        <w:textAlignment w:val="baseline"/>
        <w:rPr>
          <w:rFonts w:ascii="宋体" w:hAnsi="宋体"/>
          <w:color w:val="auto"/>
          <w:highlight w:val="none"/>
        </w:rPr>
      </w:pPr>
      <w:r>
        <w:rPr>
          <w:rFonts w:hint="eastAsia" w:ascii="宋体" w:hAnsi="宋体"/>
          <w:color w:val="auto"/>
          <w:highlight w:val="none"/>
        </w:rPr>
        <w:t>　　（一）分值汇总计算错误的；</w:t>
      </w:r>
    </w:p>
    <w:p w14:paraId="5410BCA8">
      <w:pPr>
        <w:widowControl/>
        <w:spacing w:line="560" w:lineRule="exact"/>
        <w:jc w:val="left"/>
        <w:textAlignment w:val="baseline"/>
        <w:rPr>
          <w:rFonts w:ascii="宋体" w:hAnsi="宋体"/>
          <w:color w:val="auto"/>
          <w:highlight w:val="none"/>
        </w:rPr>
      </w:pPr>
      <w:r>
        <w:rPr>
          <w:rFonts w:hint="eastAsia" w:ascii="宋体" w:hAnsi="宋体"/>
          <w:color w:val="auto"/>
          <w:highlight w:val="none"/>
        </w:rPr>
        <w:t>　　（二）分项评分超出评分标准范围的；</w:t>
      </w:r>
    </w:p>
    <w:p w14:paraId="1A62F72F">
      <w:pPr>
        <w:widowControl/>
        <w:spacing w:line="560" w:lineRule="exact"/>
        <w:jc w:val="left"/>
        <w:textAlignment w:val="baseline"/>
        <w:rPr>
          <w:rFonts w:ascii="宋体" w:hAnsi="宋体"/>
          <w:color w:val="auto"/>
          <w:highlight w:val="none"/>
        </w:rPr>
      </w:pPr>
      <w:r>
        <w:rPr>
          <w:rFonts w:hint="eastAsia" w:ascii="宋体" w:hAnsi="宋体"/>
          <w:color w:val="auto"/>
          <w:highlight w:val="none"/>
        </w:rPr>
        <w:t>　　（三）评标委员会成员对客观评审因素评分不一致的；</w:t>
      </w:r>
    </w:p>
    <w:p w14:paraId="6CF1976E">
      <w:pPr>
        <w:widowControl/>
        <w:spacing w:line="560" w:lineRule="exact"/>
        <w:jc w:val="left"/>
        <w:textAlignment w:val="baseline"/>
        <w:rPr>
          <w:rFonts w:ascii="宋体" w:hAnsi="宋体"/>
          <w:color w:val="auto"/>
          <w:highlight w:val="none"/>
        </w:rPr>
      </w:pPr>
      <w:r>
        <w:rPr>
          <w:rFonts w:hint="eastAsia" w:ascii="宋体" w:hAnsi="宋体"/>
          <w:color w:val="auto"/>
          <w:highlight w:val="none"/>
        </w:rPr>
        <w:t>　　（四）经评标委员会认定评分畸高、畸低的。</w:t>
      </w:r>
    </w:p>
    <w:p w14:paraId="07F25F1E">
      <w:pPr>
        <w:spacing w:line="360" w:lineRule="auto"/>
        <w:ind w:firstLine="420" w:firstLineChars="200"/>
        <w:rPr>
          <w:rFonts w:ascii="宋体" w:hAnsi="宋体"/>
          <w:color w:val="auto"/>
          <w:highlight w:val="none"/>
        </w:rPr>
      </w:pPr>
      <w:r>
        <w:rPr>
          <w:rFonts w:hint="eastAsia" w:ascii="宋体"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F493380">
      <w:pPr>
        <w:pStyle w:val="3"/>
        <w:jc w:val="center"/>
        <w:rPr>
          <w:rFonts w:ascii="宋体" w:hAnsi="宋体" w:eastAsia="宋体"/>
          <w:b w:val="0"/>
          <w:color w:val="auto"/>
          <w:sz w:val="30"/>
          <w:szCs w:val="30"/>
          <w:highlight w:val="none"/>
        </w:rPr>
      </w:pPr>
      <w:bookmarkStart w:id="117" w:name="_Toc118383691"/>
      <w:bookmarkStart w:id="302" w:name="_GoBack"/>
      <w:bookmarkEnd w:id="302"/>
      <w:r>
        <w:rPr>
          <w:rFonts w:hint="eastAsia" w:ascii="宋体" w:hAnsi="宋体" w:eastAsia="宋体"/>
          <w:b w:val="0"/>
          <w:color w:val="auto"/>
          <w:sz w:val="30"/>
          <w:szCs w:val="30"/>
          <w:highlight w:val="none"/>
        </w:rPr>
        <w:t>第三节</w:t>
      </w:r>
      <w:r>
        <w:rPr>
          <w:rFonts w:ascii="宋体" w:hAnsi="宋体" w:eastAsia="宋体"/>
          <w:b w:val="0"/>
          <w:color w:val="auto"/>
          <w:sz w:val="30"/>
          <w:szCs w:val="30"/>
          <w:highlight w:val="none"/>
        </w:rPr>
        <w:t xml:space="preserve"> </w:t>
      </w:r>
      <w:r>
        <w:rPr>
          <w:rFonts w:hint="eastAsia" w:ascii="宋体" w:hAnsi="宋体" w:eastAsia="宋体"/>
          <w:b w:val="0"/>
          <w:color w:val="auto"/>
          <w:sz w:val="30"/>
          <w:szCs w:val="30"/>
          <w:highlight w:val="none"/>
        </w:rPr>
        <w:t>评分标准</w:t>
      </w:r>
      <w:bookmarkEnd w:id="117"/>
    </w:p>
    <w:p w14:paraId="78B0D704">
      <w:pPr>
        <w:pStyle w:val="15"/>
        <w:jc w:val="center"/>
        <w:rPr>
          <w:rFonts w:hAnsi="宋体"/>
          <w:b/>
          <w:color w:val="auto"/>
          <w:sz w:val="30"/>
          <w:szCs w:val="30"/>
          <w:highlight w:val="none"/>
        </w:rPr>
      </w:pPr>
      <w:r>
        <w:rPr>
          <w:rFonts w:hint="eastAsia" w:hAnsi="宋体"/>
          <w:b/>
          <w:color w:val="auto"/>
          <w:sz w:val="30"/>
          <w:szCs w:val="30"/>
          <w:highlight w:val="none"/>
        </w:rPr>
        <w:t>二、综合评分法</w:t>
      </w:r>
    </w:p>
    <w:p w14:paraId="4B4CBF44">
      <w:pPr>
        <w:pStyle w:val="15"/>
        <w:spacing w:line="360" w:lineRule="auto"/>
        <w:ind w:firstLine="420"/>
        <w:rPr>
          <w:rFonts w:hAnsi="宋体"/>
          <w:bCs/>
          <w:color w:val="auto"/>
          <w:highlight w:val="none"/>
        </w:rPr>
      </w:pPr>
    </w:p>
    <w:p w14:paraId="7D6962A5">
      <w:pPr>
        <w:pStyle w:val="15"/>
        <w:spacing w:line="360" w:lineRule="auto"/>
        <w:ind w:firstLine="420"/>
        <w:rPr>
          <w:rFonts w:hAnsi="宋体"/>
          <w:bCs/>
          <w:color w:val="auto"/>
          <w:highlight w:val="none"/>
        </w:rPr>
      </w:pPr>
      <w:r>
        <w:rPr>
          <w:rFonts w:hint="eastAsia" w:hAnsi="宋体"/>
          <w:bCs/>
          <w:color w:val="auto"/>
          <w:highlight w:val="none"/>
        </w:rPr>
        <w:t>注：</w:t>
      </w:r>
    </w:p>
    <w:p w14:paraId="11A62C3F">
      <w:pPr>
        <w:pStyle w:val="15"/>
        <w:spacing w:line="360" w:lineRule="auto"/>
        <w:ind w:firstLine="420"/>
        <w:rPr>
          <w:rFonts w:hAnsi="宋体"/>
          <w:bCs/>
          <w:color w:val="auto"/>
          <w:highlight w:val="none"/>
          <w:u w:val="single"/>
        </w:rPr>
      </w:pPr>
      <w:r>
        <w:rPr>
          <w:rFonts w:hint="eastAsia" w:hAnsi="宋体"/>
          <w:bCs/>
          <w:color w:val="auto"/>
          <w:highlight w:val="none"/>
        </w:rPr>
        <w:t>1、计分方法按四舍五入取至百分位。</w:t>
      </w:r>
      <w:r>
        <w:rPr>
          <w:rFonts w:hint="eastAsia" w:hAnsi="宋体"/>
          <w:bCs/>
          <w:color w:val="auto"/>
          <w:highlight w:val="none"/>
          <w:u w:val="single"/>
        </w:rPr>
        <w:t xml:space="preserve">  </w:t>
      </w:r>
    </w:p>
    <w:p w14:paraId="35A3C6DA">
      <w:pPr>
        <w:pStyle w:val="15"/>
        <w:spacing w:line="360" w:lineRule="auto"/>
        <w:ind w:firstLine="420"/>
        <w:rPr>
          <w:rFonts w:hAnsi="宋体"/>
          <w:color w:val="auto"/>
          <w:highlight w:val="none"/>
        </w:rPr>
      </w:pPr>
      <w:r>
        <w:rPr>
          <w:rFonts w:hint="eastAsia" w:hAnsi="宋体"/>
          <w:bCs/>
          <w:color w:val="auto"/>
          <w:highlight w:val="none"/>
        </w:rPr>
        <w:t>2、商务技术评审因素为客观评分项的，应在评分项目或评分标准中予以标注为“客观分”。对投标人的客观评分项目，各评标专家评分应当一致。</w:t>
      </w:r>
    </w:p>
    <w:p w14:paraId="7793C61D">
      <w:pPr>
        <w:rPr>
          <w:rFonts w:hAnsi="宋体"/>
          <w:bCs/>
          <w:color w:val="auto"/>
          <w:highlight w:val="none"/>
        </w:rPr>
      </w:pPr>
      <w:bookmarkStart w:id="118" w:name="PO_TDCUS_ITEM_SM_TITLE_1_0"/>
      <w:r>
        <w:rPr>
          <w:rFonts w:hint="eastAsia" w:hAnsi="宋体"/>
          <w:bCs/>
          <w:color w:val="auto"/>
          <w:highlight w:val="none"/>
        </w:rPr>
        <w:br w:type="page"/>
      </w:r>
    </w:p>
    <w:p w14:paraId="7FC54A7F">
      <w:pPr>
        <w:pStyle w:val="15"/>
        <w:spacing w:line="360" w:lineRule="auto"/>
        <w:ind w:firstLine="420"/>
        <w:rPr>
          <w:rFonts w:hAnsi="宋体"/>
          <w:b/>
          <w:color w:val="auto"/>
          <w:highlight w:val="none"/>
        </w:rPr>
      </w:pPr>
      <w:r>
        <w:rPr>
          <w:rFonts w:hint="eastAsia" w:hAnsi="宋体"/>
          <w:b/>
          <w:color w:val="auto"/>
          <w:highlight w:val="none"/>
        </w:rPr>
        <w:t>1分标评分方法</w:t>
      </w:r>
      <w:bookmarkEnd w:id="118"/>
      <w:bookmarkStart w:id="119" w:name="PO_TDCUS_ITEM_SM_TABLE_1_0"/>
      <w:r>
        <w:rPr>
          <w:rFonts w:hint="eastAsia" w:hAnsi="宋体"/>
          <w:b/>
          <w:color w:val="auto"/>
          <w:highlight w:val="none"/>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76"/>
        <w:gridCol w:w="6191"/>
      </w:tblGrid>
      <w:tr w14:paraId="6924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vAlign w:val="center"/>
          </w:tcPr>
          <w:p w14:paraId="1D4E2F42">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序号</w:t>
            </w:r>
          </w:p>
        </w:tc>
        <w:tc>
          <w:tcPr>
            <w:tcW w:w="1576" w:type="dxa"/>
            <w:vAlign w:val="center"/>
          </w:tcPr>
          <w:p w14:paraId="36564C4A">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评审因素</w:t>
            </w:r>
          </w:p>
        </w:tc>
        <w:tc>
          <w:tcPr>
            <w:tcW w:w="6191" w:type="dxa"/>
            <w:vAlign w:val="center"/>
          </w:tcPr>
          <w:p w14:paraId="03F93E40">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评标标准</w:t>
            </w:r>
          </w:p>
        </w:tc>
      </w:tr>
      <w:tr w14:paraId="178EE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0" w:hRule="atLeast"/>
          <w:jc w:val="center"/>
        </w:trPr>
        <w:tc>
          <w:tcPr>
            <w:tcW w:w="525" w:type="dxa"/>
            <w:vAlign w:val="center"/>
          </w:tcPr>
          <w:p w14:paraId="2651EFD6">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1</w:t>
            </w:r>
          </w:p>
        </w:tc>
        <w:tc>
          <w:tcPr>
            <w:tcW w:w="1320" w:type="dxa"/>
            <w:vAlign w:val="center"/>
          </w:tcPr>
          <w:p w14:paraId="169AB7CA">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价格分</w:t>
            </w:r>
          </w:p>
          <w:p w14:paraId="79600597">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u w:val="single"/>
              </w:rPr>
              <w:t xml:space="preserve"> </w:t>
            </w:r>
            <w:r>
              <w:rPr>
                <w:rFonts w:hint="default" w:ascii="宋体" w:hAnsi="宋体"/>
                <w:bCs/>
                <w:color w:val="auto"/>
                <w:szCs w:val="21"/>
                <w:highlight w:val="none"/>
                <w:u w:val="single"/>
              </w:rPr>
              <w:t>30</w:t>
            </w:r>
            <w:r>
              <w:rPr>
                <w:rFonts w:hint="eastAsia" w:ascii="宋体" w:hAnsi="宋体"/>
                <w:bCs/>
                <w:color w:val="auto"/>
                <w:szCs w:val="21"/>
                <w:highlight w:val="none"/>
              </w:rPr>
              <w:t>分）</w:t>
            </w:r>
          </w:p>
        </w:tc>
        <w:tc>
          <w:tcPr>
            <w:tcW w:w="1576" w:type="dxa"/>
            <w:vAlign w:val="center"/>
          </w:tcPr>
          <w:p w14:paraId="09AF833F">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投标报价</w:t>
            </w:r>
          </w:p>
          <w:p w14:paraId="297D4C54">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（30分）</w:t>
            </w:r>
          </w:p>
        </w:tc>
        <w:tc>
          <w:tcPr>
            <w:tcW w:w="6191" w:type="dxa"/>
            <w:vAlign w:val="center"/>
          </w:tcPr>
          <w:p w14:paraId="16552A7A">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（1）评标价为投标人的投标报价进行政策性扣除后的价格，评标价只是作为评标时使用。最终中标人的中标金额＝投标报价。</w:t>
            </w:r>
          </w:p>
          <w:p w14:paraId="3E2D2A87">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2）按照《政府采购促进中小企业发展管理办法》（财库〔2020〕46号）的规定，投标人在其投标文件中提供《中小企业声明函》，且货物由小微企业制造（即货物由小微企业生产且使用该小微企业商号或者注册商标），对其最后报价给予10%的扣除。</w:t>
            </w:r>
          </w:p>
          <w:p w14:paraId="58C030F2">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5D4C923F">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16A7047">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（5）政策性扣除计算方法。</w:t>
            </w:r>
          </w:p>
          <w:p w14:paraId="7CFBC839">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在货物采购项目中，供应商所投标全部货物由小型或者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1-4%）。除上述情况外，评标报价=投标报价。</w:t>
            </w:r>
          </w:p>
          <w:p w14:paraId="0BA2E2B8">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（6）以进入综合评分环节的最低的评标报价为基准价，基准价报价得分为30分。</w:t>
            </w:r>
          </w:p>
          <w:p w14:paraId="7F86BFBE">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 xml:space="preserve">（7）价格分计算公式：        </w:t>
            </w:r>
          </w:p>
          <w:p w14:paraId="20C17EF3">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某投标人价格分=基准价/某投标人评标报价金额×30分</w:t>
            </w:r>
          </w:p>
        </w:tc>
      </w:tr>
      <w:tr w14:paraId="5396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525" w:type="dxa"/>
            <w:vMerge w:val="restart"/>
            <w:vAlign w:val="center"/>
          </w:tcPr>
          <w:p w14:paraId="7B987EF5">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2</w:t>
            </w:r>
          </w:p>
        </w:tc>
        <w:tc>
          <w:tcPr>
            <w:tcW w:w="1320" w:type="dxa"/>
            <w:vMerge w:val="restart"/>
            <w:vAlign w:val="center"/>
          </w:tcPr>
          <w:p w14:paraId="49D6EEC5">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zCs w:val="21"/>
                <w:highlight w:val="none"/>
              </w:rPr>
            </w:pPr>
            <w:r>
              <w:rPr>
                <w:rFonts w:hint="eastAsia" w:ascii="宋体" w:hAnsi="宋体"/>
                <w:bCs/>
                <w:color w:val="auto"/>
                <w:szCs w:val="21"/>
                <w:highlight w:val="none"/>
              </w:rPr>
              <w:t>技术分</w:t>
            </w:r>
          </w:p>
          <w:p w14:paraId="324615DB">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pacing w:val="-18"/>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u w:val="single"/>
              </w:rPr>
              <w:t>61</w:t>
            </w:r>
            <w:r>
              <w:rPr>
                <w:rFonts w:hint="eastAsia" w:ascii="宋体" w:hAnsi="宋体"/>
                <w:bCs/>
                <w:color w:val="auto"/>
                <w:szCs w:val="21"/>
                <w:highlight w:val="none"/>
              </w:rPr>
              <w:t>分）</w:t>
            </w:r>
          </w:p>
        </w:tc>
        <w:tc>
          <w:tcPr>
            <w:tcW w:w="1576" w:type="dxa"/>
            <w:vAlign w:val="center"/>
          </w:tcPr>
          <w:p w14:paraId="4BFB973E">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质量保障分(25分）</w:t>
            </w:r>
          </w:p>
        </w:tc>
        <w:tc>
          <w:tcPr>
            <w:tcW w:w="6191" w:type="dxa"/>
            <w:vAlign w:val="center"/>
          </w:tcPr>
          <w:p w14:paraId="7FDF6A19">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完全满足无偏离的得25分。非实质性要求的技术要求有负偏离的，得分=该项满分分值-累计扣分分值（有一项非实质性要求的技术要求负偏离的扣5分，最多扣25分）。</w:t>
            </w:r>
          </w:p>
          <w:p w14:paraId="22B42102">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注：评审时，如产品性能、配置如有要求提供佐证材料时需提供官网截图或纸质印刷版宣传彩页扫描件或第三方具有检测资质的机构出具的检测报告等其中任意一种证明文件作为佐证材料，否则不予计分。</w:t>
            </w:r>
          </w:p>
        </w:tc>
      </w:tr>
      <w:tr w14:paraId="7786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6E13A6E1">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6DDEF1C4">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zCs w:val="21"/>
                <w:highlight w:val="none"/>
              </w:rPr>
            </w:pPr>
          </w:p>
        </w:tc>
        <w:tc>
          <w:tcPr>
            <w:tcW w:w="1576" w:type="dxa"/>
            <w:vAlign w:val="center"/>
          </w:tcPr>
          <w:p w14:paraId="75555C4A">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cs="宋体"/>
                <w:bCs/>
                <w:color w:val="auto"/>
                <w:szCs w:val="21"/>
                <w:highlight w:val="none"/>
              </w:rPr>
            </w:pPr>
            <w:r>
              <w:rPr>
                <w:rFonts w:hint="eastAsia" w:ascii="宋体" w:hAnsi="宋体" w:cs="宋体"/>
                <w:bCs/>
                <w:color w:val="auto"/>
                <w:szCs w:val="21"/>
                <w:highlight w:val="none"/>
              </w:rPr>
              <w:t>技术服务方案分</w:t>
            </w:r>
          </w:p>
          <w:p w14:paraId="560F81CF">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cs="宋体"/>
                <w:bCs/>
                <w:color w:val="auto"/>
                <w:szCs w:val="21"/>
                <w:highlight w:val="none"/>
              </w:rPr>
              <w:t>（18分）</w:t>
            </w:r>
          </w:p>
        </w:tc>
        <w:tc>
          <w:tcPr>
            <w:tcW w:w="6191" w:type="dxa"/>
            <w:vAlign w:val="center"/>
          </w:tcPr>
          <w:p w14:paraId="5F9B8E1C">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由评委根据投标人投标文件中的项目建设服务技术方案内容进行独立评审，并独立打分。</w:t>
            </w:r>
          </w:p>
          <w:p w14:paraId="68DA33BE">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一档（6分）：对工作的重点及难点理解不足、分析不全面、实施方案总体实施方案不完善、项目进度不清晰、对经常出现的各种问题及处理方案的描述不具体。</w:t>
            </w:r>
          </w:p>
          <w:p w14:paraId="7517086B">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二档（12分）：有对工作的重点及难点一定程度的理解与分析，总体实施方案比较详细但针对性不贴合项目需求、有项目管理计划、各阶段的实施安排以及人员安排、项目管理组织、安全措施及验收方案等描述满足项目需求。</w:t>
            </w:r>
          </w:p>
          <w:p w14:paraId="155823C3">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三档（18分）：具有合理的整体设计方案，对整体实施方案的重点及难点理解较深刻、分析较准确、逻辑清晰明了。有合理可行的项目管理计划、各阶段的实施安排以及人员安排、项目管理组织、安全措施、完善的质量管理保证措施，详细合理的实施管理及组织方案、系统验收方案；实施人员配备完善合理，内容齐全，具有丰富的服务经验且综合素质高，方案能够结合当前先进技术，内容详实、合理可行，实施预期效果完全符合采购的项目建设指标与教学需求。</w:t>
            </w:r>
          </w:p>
          <w:p w14:paraId="1A3B2D29">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注：投标人未提供或提供的内容不符合项目采购需求的或未达到一档要求的，不得分。</w:t>
            </w:r>
          </w:p>
        </w:tc>
      </w:tr>
      <w:tr w14:paraId="61D9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5" w:type="dxa"/>
            <w:vMerge w:val="continue"/>
            <w:vAlign w:val="center"/>
          </w:tcPr>
          <w:p w14:paraId="1BA1F08F">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7CA8F1B1">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zCs w:val="21"/>
                <w:highlight w:val="none"/>
              </w:rPr>
            </w:pPr>
          </w:p>
        </w:tc>
        <w:tc>
          <w:tcPr>
            <w:tcW w:w="1576" w:type="dxa"/>
            <w:vAlign w:val="center"/>
          </w:tcPr>
          <w:p w14:paraId="06B114E8">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cs="宋体"/>
                <w:bCs/>
                <w:color w:val="auto"/>
                <w:szCs w:val="21"/>
                <w:highlight w:val="none"/>
              </w:rPr>
            </w:pPr>
            <w:r>
              <w:rPr>
                <w:rFonts w:hint="eastAsia" w:ascii="宋体" w:hAnsi="宋体" w:cs="宋体"/>
                <w:bCs/>
                <w:color w:val="auto"/>
                <w:szCs w:val="21"/>
                <w:highlight w:val="none"/>
              </w:rPr>
              <w:t>售后服务方案分</w:t>
            </w:r>
          </w:p>
          <w:p w14:paraId="77B5D92F">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cs="宋体"/>
                <w:bCs/>
                <w:color w:val="auto"/>
                <w:szCs w:val="21"/>
                <w:highlight w:val="none"/>
              </w:rPr>
              <w:t>（18分）</w:t>
            </w:r>
          </w:p>
        </w:tc>
        <w:tc>
          <w:tcPr>
            <w:tcW w:w="6191" w:type="dxa"/>
            <w:vAlign w:val="center"/>
          </w:tcPr>
          <w:p w14:paraId="32A8DAB0">
            <w:pPr>
              <w:pStyle w:val="15"/>
              <w:keepNext w:val="0"/>
              <w:keepLines w:val="0"/>
              <w:suppressLineNumbers w:val="0"/>
              <w:spacing w:before="0" w:beforeAutospacing="0" w:after="0" w:afterAutospacing="0" w:line="340" w:lineRule="exact"/>
              <w:ind w:left="0" w:right="0"/>
              <w:rPr>
                <w:rFonts w:hint="default" w:hAnsi="宋体" w:cs="Courier New"/>
                <w:bCs/>
                <w:color w:val="auto"/>
                <w:szCs w:val="21"/>
                <w:highlight w:val="none"/>
              </w:rPr>
            </w:pPr>
            <w:r>
              <w:rPr>
                <w:rFonts w:hint="eastAsia" w:hAnsi="宋体" w:cs="Courier New"/>
                <w:bCs/>
                <w:color w:val="auto"/>
                <w:szCs w:val="21"/>
                <w:highlight w:val="none"/>
              </w:rPr>
              <w:t>由评委根据投标人投标文件中的的售后服务以及培训方案进行独立评审，并独立打分。</w:t>
            </w:r>
          </w:p>
          <w:p w14:paraId="4CCFA52D">
            <w:pPr>
              <w:pStyle w:val="15"/>
              <w:keepNext w:val="0"/>
              <w:keepLines w:val="0"/>
              <w:suppressLineNumbers w:val="0"/>
              <w:spacing w:before="0" w:beforeAutospacing="0" w:after="0" w:afterAutospacing="0" w:line="340" w:lineRule="exact"/>
              <w:ind w:left="0" w:right="0"/>
              <w:rPr>
                <w:rFonts w:hint="default" w:hAnsi="宋体" w:cs="Courier New"/>
                <w:bCs/>
                <w:color w:val="auto"/>
                <w:szCs w:val="21"/>
                <w:highlight w:val="none"/>
              </w:rPr>
            </w:pPr>
            <w:r>
              <w:rPr>
                <w:rFonts w:hint="eastAsia" w:hAnsi="宋体" w:cs="Courier New"/>
                <w:bCs/>
                <w:color w:val="auto"/>
                <w:szCs w:val="21"/>
                <w:highlight w:val="none"/>
              </w:rPr>
              <w:t>一档（6分）：方案内容简单粗浅、提供的售后服务方案基本满足项目需求，没有针对性，服务措施不贴合项目需求，基本满足项目要求的。</w:t>
            </w:r>
          </w:p>
          <w:p w14:paraId="3D92BDA9">
            <w:pPr>
              <w:pStyle w:val="15"/>
              <w:keepNext w:val="0"/>
              <w:keepLines w:val="0"/>
              <w:suppressLineNumbers w:val="0"/>
              <w:spacing w:before="0" w:beforeAutospacing="0" w:after="0" w:afterAutospacing="0" w:line="340" w:lineRule="exact"/>
              <w:ind w:left="0" w:right="0"/>
              <w:rPr>
                <w:rFonts w:hint="default" w:hAnsi="宋体" w:cs="Courier New"/>
                <w:bCs/>
                <w:color w:val="auto"/>
                <w:szCs w:val="21"/>
                <w:highlight w:val="none"/>
              </w:rPr>
            </w:pPr>
            <w:r>
              <w:rPr>
                <w:rFonts w:hint="eastAsia" w:hAnsi="宋体" w:cs="Courier New"/>
                <w:bCs/>
                <w:color w:val="auto"/>
                <w:szCs w:val="21"/>
                <w:highlight w:val="none"/>
              </w:rPr>
              <w:t>二档（12分）：方案内容完整、提供的售后服务方案满足项目需求，有针对性，但不够详细、具体，服务措施可行，应急措施响应符合项目要求，人员安排满足需求。</w:t>
            </w:r>
          </w:p>
          <w:p w14:paraId="68CFF3B4">
            <w:pPr>
              <w:pStyle w:val="15"/>
              <w:keepNext w:val="0"/>
              <w:keepLines w:val="0"/>
              <w:suppressLineNumbers w:val="0"/>
              <w:spacing w:before="0" w:beforeAutospacing="0" w:after="0" w:afterAutospacing="0" w:line="340" w:lineRule="exact"/>
              <w:ind w:left="0" w:right="0"/>
              <w:rPr>
                <w:rFonts w:hint="default" w:hAnsi="宋体" w:cs="Courier New"/>
                <w:bCs/>
                <w:color w:val="auto"/>
                <w:szCs w:val="21"/>
                <w:highlight w:val="none"/>
              </w:rPr>
            </w:pPr>
            <w:r>
              <w:rPr>
                <w:rFonts w:hint="eastAsia" w:hAnsi="宋体" w:cs="Courier New"/>
                <w:bCs/>
                <w:color w:val="auto"/>
                <w:szCs w:val="21"/>
                <w:highlight w:val="none"/>
              </w:rPr>
              <w:t>三档（18分）：售后服务方案及培训方案详细完整，投标人售后服务方案详细、具体，应急措施合理、全面、可操作性强，售后服务人员配置充分，具有充分满足项目需求的技术专业服务能力，具有完善详细且针对性强的售后服务方案，保修期、售后服务的内容和措施，能够积极配合采购完善基地建设，售后服务措施合理能获得评标委员会认可，能在满足招标文件要求的基础上，能更好的为采购单位服务的。</w:t>
            </w:r>
          </w:p>
          <w:p w14:paraId="56BE7A0F">
            <w:pPr>
              <w:pStyle w:val="15"/>
              <w:keepNext w:val="0"/>
              <w:keepLines w:val="0"/>
              <w:suppressLineNumbers w:val="0"/>
              <w:spacing w:before="0" w:beforeAutospacing="0" w:after="0" w:afterAutospacing="0" w:line="340" w:lineRule="exact"/>
              <w:ind w:left="0" w:right="0"/>
              <w:rPr>
                <w:rFonts w:hint="default"/>
                <w:color w:val="auto"/>
                <w:highlight w:val="none"/>
              </w:rPr>
            </w:pPr>
            <w:r>
              <w:rPr>
                <w:rFonts w:hint="eastAsia" w:hAnsi="宋体" w:cs="Courier New"/>
                <w:bCs/>
                <w:color w:val="auto"/>
                <w:szCs w:val="21"/>
                <w:highlight w:val="none"/>
              </w:rPr>
              <w:t>注：投标人未提供或提供的内容不符合项目采购需求的或未达到一档要求的，不得分。</w:t>
            </w:r>
          </w:p>
        </w:tc>
      </w:tr>
      <w:tr w14:paraId="63A7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14:paraId="2BC08EF0">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3</w:t>
            </w:r>
          </w:p>
        </w:tc>
        <w:tc>
          <w:tcPr>
            <w:tcW w:w="1320" w:type="dxa"/>
            <w:vMerge w:val="restart"/>
            <w:vAlign w:val="center"/>
          </w:tcPr>
          <w:p w14:paraId="7BAB5B4E">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商务分（满分</w:t>
            </w:r>
            <w:r>
              <w:rPr>
                <w:rFonts w:hint="eastAsia" w:ascii="宋体" w:hAnsi="宋体"/>
                <w:bCs/>
                <w:color w:val="auto"/>
                <w:szCs w:val="21"/>
                <w:highlight w:val="none"/>
                <w:u w:val="single"/>
              </w:rPr>
              <w:t>9</w:t>
            </w:r>
            <w:r>
              <w:rPr>
                <w:rFonts w:hint="eastAsia" w:ascii="宋体" w:hAnsi="宋体"/>
                <w:bCs/>
                <w:color w:val="auto"/>
                <w:szCs w:val="21"/>
                <w:highlight w:val="none"/>
              </w:rPr>
              <w:t>分）</w:t>
            </w:r>
          </w:p>
        </w:tc>
        <w:tc>
          <w:tcPr>
            <w:tcW w:w="1576" w:type="dxa"/>
            <w:tcMar>
              <w:left w:w="57" w:type="dxa"/>
              <w:right w:w="57" w:type="dxa"/>
            </w:tcMar>
            <w:vAlign w:val="center"/>
          </w:tcPr>
          <w:p w14:paraId="66AE7118">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信誉分（2分）</w:t>
            </w:r>
          </w:p>
        </w:tc>
        <w:tc>
          <w:tcPr>
            <w:tcW w:w="6191" w:type="dxa"/>
            <w:vAlign w:val="center"/>
          </w:tcPr>
          <w:p w14:paraId="3DAA6CB3">
            <w:pPr>
              <w:keepNext w:val="0"/>
              <w:keepLines w:val="0"/>
              <w:widowControl/>
              <w:suppressLineNumbers w:val="0"/>
              <w:spacing w:before="0" w:beforeAutospacing="0" w:after="0" w:afterAutospacing="0" w:line="320" w:lineRule="exact"/>
              <w:ind w:left="0" w:right="0"/>
              <w:jc w:val="left"/>
              <w:rPr>
                <w:rFonts w:hint="default" w:ascii="宋体" w:hAnsi="宋体" w:cs="Courier New"/>
                <w:bCs/>
                <w:color w:val="auto"/>
                <w:szCs w:val="21"/>
                <w:highlight w:val="none"/>
              </w:rPr>
            </w:pPr>
            <w:r>
              <w:rPr>
                <w:rFonts w:hint="eastAsia" w:ascii="宋体" w:hAnsi="宋体" w:cs="Courier New"/>
                <w:bCs/>
                <w:color w:val="auto"/>
                <w:szCs w:val="21"/>
                <w:highlight w:val="none"/>
              </w:rPr>
              <w:t>投标人具有有效的ISO9001质量管理体系认证证书的，得2分；（提供证书复印件并加盖投标人电子公章，</w:t>
            </w:r>
            <w:r>
              <w:rPr>
                <w:rFonts w:hint="eastAsia" w:hAnsi="宋体" w:cs="Courier New"/>
                <w:bCs/>
                <w:color w:val="auto"/>
                <w:szCs w:val="21"/>
                <w:highlight w:val="none"/>
              </w:rPr>
              <w:t>未提供不得分</w:t>
            </w:r>
            <w:r>
              <w:rPr>
                <w:rFonts w:hint="eastAsia" w:ascii="宋体" w:hAnsi="宋体" w:cs="Courier New"/>
                <w:bCs/>
                <w:color w:val="auto"/>
                <w:szCs w:val="21"/>
                <w:highlight w:val="none"/>
              </w:rPr>
              <w:t>）</w:t>
            </w:r>
          </w:p>
        </w:tc>
      </w:tr>
      <w:tr w14:paraId="2ECC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72261711">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1E0DE9E7">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576" w:type="dxa"/>
            <w:shd w:val="clear" w:color="auto" w:fill="auto"/>
            <w:tcMar>
              <w:left w:w="57" w:type="dxa"/>
              <w:right w:w="57" w:type="dxa"/>
            </w:tcMar>
            <w:vAlign w:val="center"/>
          </w:tcPr>
          <w:p w14:paraId="26029682">
            <w:pPr>
              <w:keepNext w:val="0"/>
              <w:keepLines w:val="0"/>
              <w:suppressLineNumbers w:val="0"/>
              <w:spacing w:before="0" w:beforeAutospacing="0" w:after="0" w:afterAutospacing="0" w:line="320" w:lineRule="exact"/>
              <w:ind w:left="0" w:right="0"/>
              <w:jc w:val="center"/>
              <w:rPr>
                <w:rFonts w:hint="default" w:ascii="宋体" w:hAnsi="宋体" w:cs="Courier New"/>
                <w:bCs/>
                <w:color w:val="auto"/>
                <w:szCs w:val="21"/>
                <w:highlight w:val="none"/>
              </w:rPr>
            </w:pPr>
            <w:r>
              <w:rPr>
                <w:rFonts w:hint="eastAsia" w:ascii="宋体" w:hAnsi="宋体" w:cs="Courier New"/>
                <w:bCs/>
                <w:color w:val="auto"/>
                <w:szCs w:val="21"/>
                <w:highlight w:val="none"/>
              </w:rPr>
              <w:t>业绩分（5分）</w:t>
            </w:r>
          </w:p>
        </w:tc>
        <w:tc>
          <w:tcPr>
            <w:tcW w:w="6191" w:type="dxa"/>
            <w:shd w:val="clear" w:color="auto" w:fill="auto"/>
            <w:vAlign w:val="center"/>
          </w:tcPr>
          <w:p w14:paraId="14911DE2">
            <w:pPr>
              <w:pStyle w:val="15"/>
              <w:keepNext w:val="0"/>
              <w:keepLines w:val="0"/>
              <w:suppressLineNumbers w:val="0"/>
              <w:spacing w:before="0" w:beforeAutospacing="0" w:after="0" w:afterAutospacing="0" w:line="320" w:lineRule="exact"/>
              <w:ind w:left="0" w:right="0"/>
              <w:rPr>
                <w:rFonts w:hint="default" w:hAnsi="宋体"/>
                <w:bCs/>
                <w:color w:val="auto"/>
                <w:szCs w:val="21"/>
                <w:highlight w:val="none"/>
              </w:rPr>
            </w:pPr>
            <w:r>
              <w:rPr>
                <w:rFonts w:hint="eastAsia" w:hAnsi="宋体" w:cs="Courier New"/>
                <w:bCs/>
                <w:color w:val="auto"/>
                <w:szCs w:val="21"/>
                <w:highlight w:val="none"/>
              </w:rPr>
              <w:t>投标人或所投产品生产厂家自2021年以来同类软件采购服务的业绩分（以中标通知书或合同复印件并加盖投标人电子公章为准，未提供不得分），每项得1分，满分5分。</w:t>
            </w:r>
          </w:p>
        </w:tc>
      </w:tr>
      <w:tr w14:paraId="781B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7087E431">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3B3B5002">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576" w:type="dxa"/>
            <w:tcMar>
              <w:left w:w="57" w:type="dxa"/>
              <w:right w:w="57" w:type="dxa"/>
            </w:tcMar>
            <w:vAlign w:val="center"/>
          </w:tcPr>
          <w:p w14:paraId="583A81EA">
            <w:pPr>
              <w:keepNext w:val="0"/>
              <w:keepLines w:val="0"/>
              <w:suppressLineNumbers w:val="0"/>
              <w:spacing w:before="0" w:beforeAutospacing="0" w:after="0" w:afterAutospacing="0" w:line="320" w:lineRule="exact"/>
              <w:ind w:left="0" w:right="0"/>
              <w:jc w:val="center"/>
              <w:rPr>
                <w:rFonts w:hint="default" w:ascii="宋体" w:hAnsi="宋体" w:cs="Courier New"/>
                <w:bCs/>
                <w:color w:val="auto"/>
                <w:szCs w:val="21"/>
                <w:highlight w:val="none"/>
              </w:rPr>
            </w:pPr>
            <w:r>
              <w:rPr>
                <w:rFonts w:hint="eastAsia"/>
                <w:color w:val="auto"/>
                <w:highlight w:val="none"/>
              </w:rPr>
              <w:t>节能产品加分（2分）</w:t>
            </w:r>
          </w:p>
        </w:tc>
        <w:tc>
          <w:tcPr>
            <w:tcW w:w="6191" w:type="dxa"/>
            <w:vAlign w:val="center"/>
          </w:tcPr>
          <w:p w14:paraId="16CC0209">
            <w:pPr>
              <w:keepNext w:val="0"/>
              <w:keepLines w:val="0"/>
              <w:widowControl/>
              <w:suppressLineNumbers w:val="0"/>
              <w:spacing w:before="0" w:beforeAutospacing="0" w:after="0" w:afterAutospacing="0" w:line="320" w:lineRule="exact"/>
              <w:ind w:left="0" w:right="0"/>
              <w:jc w:val="left"/>
              <w:rPr>
                <w:rFonts w:hint="default" w:ascii="宋体" w:hAnsi="宋体" w:cs="Courier New"/>
                <w:bCs/>
                <w:color w:val="auto"/>
                <w:szCs w:val="21"/>
                <w:highlight w:val="none"/>
              </w:rPr>
            </w:pPr>
            <w:r>
              <w:rPr>
                <w:rFonts w:hint="eastAsia" w:ascii="宋体" w:hAnsi="宋体" w:cs="Courier New"/>
                <w:bCs/>
                <w:color w:val="auto"/>
                <w:szCs w:val="21"/>
                <w:highlight w:val="none"/>
              </w:rPr>
              <w:t>1）属于财政部《节能产品政府采购品目清单》内优先采购（清单内未标注“★”的品目）的产品[投标文件中提供有效的认证证书复印件及品目清单（标注出投标产品在品目清单中所属的品目），并加盖供应商电子公章]，根据项目中节能产品合计金额所占该项目（或分标）总报价金额比例进行计算给分，满1分。</w:t>
            </w:r>
          </w:p>
          <w:p w14:paraId="6CF42A41">
            <w:pPr>
              <w:pStyle w:val="15"/>
              <w:keepNext w:val="0"/>
              <w:keepLines w:val="0"/>
              <w:suppressLineNumbers w:val="0"/>
              <w:spacing w:before="0" w:beforeAutospacing="0" w:after="0" w:afterAutospacing="0" w:line="320" w:lineRule="exact"/>
              <w:ind w:left="0" w:right="0"/>
              <w:rPr>
                <w:rFonts w:hint="default" w:hAnsi="宋体"/>
                <w:bCs/>
                <w:color w:val="auto"/>
                <w:szCs w:val="21"/>
                <w:highlight w:val="none"/>
              </w:rPr>
            </w:pPr>
            <w:r>
              <w:rPr>
                <w:rFonts w:hint="eastAsia" w:hAnsi="宋体" w:cs="Courier New"/>
                <w:bCs/>
                <w:color w:val="auto"/>
                <w:szCs w:val="21"/>
                <w:highlight w:val="none"/>
              </w:rPr>
              <w:t>2）属于财政部《环境标志产品政府采购品目清单》内的产品[投标文件中提供有效的认证证书复印件及品目清单（标注出投标产品在品目清单中所属的品目），并加盖供应商电子公章]，根据项目中环保产品合计金额所占该项目（或分标）总报价金额比例进行计算给分，满1分。</w:t>
            </w:r>
          </w:p>
        </w:tc>
      </w:tr>
      <w:tr w14:paraId="53D2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71A3F979">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4</w:t>
            </w:r>
          </w:p>
        </w:tc>
        <w:tc>
          <w:tcPr>
            <w:tcW w:w="2896" w:type="dxa"/>
            <w:gridSpan w:val="2"/>
            <w:vAlign w:val="center"/>
          </w:tcPr>
          <w:p w14:paraId="19B4FC12">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诚信分（客观分）</w:t>
            </w:r>
          </w:p>
        </w:tc>
        <w:tc>
          <w:tcPr>
            <w:tcW w:w="6191" w:type="dxa"/>
          </w:tcPr>
          <w:p w14:paraId="2A989CB1">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投标人在截标日前1年内在政府采购活动中存在违约违规情形的（以财政部门出具的书面材料为评分依据），每次扣除3分，最高扣分6分。</w:t>
            </w:r>
          </w:p>
        </w:tc>
      </w:tr>
      <w:tr w14:paraId="4DD7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4D7CB53D">
            <w:pPr>
              <w:pStyle w:val="15"/>
              <w:keepNext w:val="0"/>
              <w:keepLines w:val="0"/>
              <w:suppressLineNumbers w:val="0"/>
              <w:spacing w:before="0" w:beforeAutospacing="0" w:after="0" w:afterAutospacing="0" w:line="320" w:lineRule="exact"/>
              <w:ind w:left="0" w:right="0" w:firstLine="420"/>
              <w:rPr>
                <w:rFonts w:hint="default" w:hAnsi="宋体" w:cs="Courier New"/>
                <w:color w:val="auto"/>
                <w:highlight w:val="none"/>
              </w:rPr>
            </w:pPr>
            <w:r>
              <w:rPr>
                <w:rFonts w:hint="eastAsia" w:hAnsi="宋体" w:cs="Courier New"/>
                <w:color w:val="auto"/>
                <w:highlight w:val="none"/>
              </w:rPr>
              <w:t>总得分=1+2+3</w:t>
            </w:r>
            <w:r>
              <w:rPr>
                <w:rFonts w:hint="default" w:hAnsi="宋体" w:cs="Courier New"/>
                <w:color w:val="auto"/>
                <w:highlight w:val="none"/>
              </w:rPr>
              <w:t>+4</w:t>
            </w:r>
            <w:r>
              <w:rPr>
                <w:rFonts w:hint="eastAsia" w:hAnsi="宋体" w:cs="Courier New"/>
                <w:color w:val="auto"/>
                <w:highlight w:val="none"/>
              </w:rPr>
              <w:t>。</w:t>
            </w:r>
          </w:p>
        </w:tc>
      </w:tr>
      <w:tr w14:paraId="1346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45B41703">
            <w:pPr>
              <w:pStyle w:val="15"/>
              <w:keepNext w:val="0"/>
              <w:keepLines w:val="0"/>
              <w:suppressLineNumbers w:val="0"/>
              <w:spacing w:before="0" w:beforeAutospacing="0" w:after="0" w:afterAutospacing="0" w:line="320" w:lineRule="exact"/>
              <w:ind w:left="0" w:right="0" w:firstLine="420"/>
              <w:rPr>
                <w:rFonts w:hint="default" w:hAnsi="宋体" w:cs="Courier New"/>
                <w:color w:val="auto"/>
                <w:highlight w:val="none"/>
              </w:rPr>
            </w:pPr>
            <w:r>
              <w:rPr>
                <w:rFonts w:hint="eastAsia" w:hAnsi="宋体"/>
                <w:color w:val="auto"/>
                <w:szCs w:val="22"/>
                <w:highlight w:val="none"/>
                <w:lang w:bidi="ar"/>
              </w:rPr>
              <w:t>中标标</w:t>
            </w:r>
            <w:r>
              <w:rPr>
                <w:rFonts w:hint="eastAsia" w:ascii="Calibri" w:hAnsi="Calibri"/>
                <w:color w:val="auto"/>
                <w:szCs w:val="22"/>
                <w:highlight w:val="none"/>
                <w:lang w:bidi="ar"/>
              </w:rPr>
              <w:t>准：</w:t>
            </w:r>
            <w:r>
              <w:rPr>
                <w:rFonts w:hint="eastAsia" w:ascii="Calibri" w:hAnsi="Calibri"/>
                <w:bCs/>
                <w:color w:val="auto"/>
                <w:szCs w:val="22"/>
                <w:highlight w:val="none"/>
                <w:lang w:bidi="ar"/>
              </w:rPr>
              <w:t>评标委员会</w:t>
            </w:r>
            <w:r>
              <w:rPr>
                <w:rFonts w:hint="eastAsia" w:ascii="Calibri" w:hAnsi="Calibri"/>
                <w:color w:val="auto"/>
                <w:szCs w:val="22"/>
                <w:highlight w:val="none"/>
                <w:lang w:bidi="ar"/>
              </w:rPr>
              <w:t>将按总得分由高到低排列中标候选供应商顺序（总得分相同时，依次按投标报价低优先、技术分高优先、质量保证期长优先、提交服务成果时间短优先、</w:t>
            </w:r>
            <w:r>
              <w:rPr>
                <w:rFonts w:hint="eastAsia" w:ascii="Calibri" w:hAnsi="宋体" w:cs="宋体"/>
                <w:color w:val="auto"/>
                <w:szCs w:val="22"/>
                <w:highlight w:val="none"/>
                <w:lang w:bidi="ar"/>
              </w:rPr>
              <w:t>处理问题</w:t>
            </w:r>
            <w:r>
              <w:rPr>
                <w:rFonts w:hint="eastAsia" w:ascii="Calibri" w:hAnsi="Calibri"/>
                <w:color w:val="auto"/>
                <w:szCs w:val="22"/>
                <w:highlight w:val="none"/>
                <w:lang w:bidi="ar"/>
              </w:rPr>
              <w:t>到达时间短优先的顺序排列），并依照次序确定中标供应商。</w:t>
            </w:r>
          </w:p>
        </w:tc>
      </w:tr>
    </w:tbl>
    <w:p w14:paraId="590F711F">
      <w:pPr>
        <w:rPr>
          <w:rFonts w:ascii="宋体" w:hAnsi="宋体"/>
          <w:color w:val="auto"/>
          <w:highlight w:val="none"/>
        </w:rPr>
      </w:pPr>
    </w:p>
    <w:p w14:paraId="3753F893">
      <w:pPr>
        <w:rPr>
          <w:rFonts w:ascii="宋体" w:hAnsi="宋体"/>
          <w:color w:val="auto"/>
          <w:highlight w:val="none"/>
        </w:rPr>
      </w:pPr>
      <w:r>
        <w:rPr>
          <w:rFonts w:hint="eastAsia" w:ascii="宋体" w:hAnsi="宋体"/>
          <w:color w:val="auto"/>
          <w:highlight w:val="none"/>
        </w:rPr>
        <w:br w:type="page"/>
      </w:r>
    </w:p>
    <w:p w14:paraId="056CB355">
      <w:pPr>
        <w:pStyle w:val="15"/>
        <w:spacing w:line="360" w:lineRule="auto"/>
        <w:ind w:firstLine="420"/>
        <w:rPr>
          <w:rFonts w:hAnsi="宋体"/>
          <w:b/>
          <w:color w:val="auto"/>
          <w:highlight w:val="none"/>
        </w:rPr>
      </w:pPr>
      <w:r>
        <w:rPr>
          <w:rFonts w:hint="eastAsia" w:hAnsi="宋体"/>
          <w:b/>
          <w:color w:val="auto"/>
          <w:highlight w:val="none"/>
        </w:rPr>
        <w:t>2分标评分方法：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76"/>
        <w:gridCol w:w="6191"/>
      </w:tblGrid>
      <w:tr w14:paraId="5E40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vAlign w:val="center"/>
          </w:tcPr>
          <w:p w14:paraId="3957AF96">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序号</w:t>
            </w:r>
          </w:p>
        </w:tc>
        <w:tc>
          <w:tcPr>
            <w:tcW w:w="1576" w:type="dxa"/>
            <w:vAlign w:val="center"/>
          </w:tcPr>
          <w:p w14:paraId="74DD5467">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评审因素</w:t>
            </w:r>
          </w:p>
        </w:tc>
        <w:tc>
          <w:tcPr>
            <w:tcW w:w="6191" w:type="dxa"/>
            <w:vAlign w:val="center"/>
          </w:tcPr>
          <w:p w14:paraId="0D2F4D95">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评标标准</w:t>
            </w:r>
          </w:p>
        </w:tc>
      </w:tr>
      <w:tr w14:paraId="1D27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0" w:hRule="atLeast"/>
          <w:jc w:val="center"/>
        </w:trPr>
        <w:tc>
          <w:tcPr>
            <w:tcW w:w="525" w:type="dxa"/>
            <w:vAlign w:val="center"/>
          </w:tcPr>
          <w:p w14:paraId="42D37528">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1</w:t>
            </w:r>
          </w:p>
        </w:tc>
        <w:tc>
          <w:tcPr>
            <w:tcW w:w="1320" w:type="dxa"/>
            <w:vAlign w:val="center"/>
          </w:tcPr>
          <w:p w14:paraId="1E102AB0">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价格分</w:t>
            </w:r>
          </w:p>
          <w:p w14:paraId="2A1433A5">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u w:val="single"/>
              </w:rPr>
              <w:t xml:space="preserve"> 30</w:t>
            </w:r>
            <w:r>
              <w:rPr>
                <w:rFonts w:hint="eastAsia" w:ascii="宋体" w:hAnsi="宋体"/>
                <w:bCs/>
                <w:color w:val="auto"/>
                <w:szCs w:val="21"/>
                <w:highlight w:val="none"/>
              </w:rPr>
              <w:t>分）</w:t>
            </w:r>
          </w:p>
        </w:tc>
        <w:tc>
          <w:tcPr>
            <w:tcW w:w="1576" w:type="dxa"/>
            <w:vAlign w:val="center"/>
          </w:tcPr>
          <w:p w14:paraId="293EF2B7">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投标报价</w:t>
            </w:r>
          </w:p>
          <w:p w14:paraId="192B12AE">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（30分）</w:t>
            </w:r>
          </w:p>
        </w:tc>
        <w:tc>
          <w:tcPr>
            <w:tcW w:w="6191" w:type="dxa"/>
            <w:vAlign w:val="center"/>
          </w:tcPr>
          <w:p w14:paraId="3D4F0426">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（1）评标价为投标人的投标报价进行政策性扣除后的价格，评标价只是作为评标时使用。最终中标人的中标金额＝投标报价。</w:t>
            </w:r>
          </w:p>
          <w:p w14:paraId="5D67BF82">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2）按照《政府采购促进中小企业发展管理办法》（财库〔2020〕46号）的规定，投标人在其投标文件中提供《中小企业声明函》，且货物由小微企业制造（即货物由小微企业生产且使用该小微企业商号或者注册商标），对其最后报价给予10%的扣除。</w:t>
            </w:r>
          </w:p>
          <w:p w14:paraId="560BC745">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4CE11375">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CC2B73C">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（5）政策性扣除计算方法。</w:t>
            </w:r>
          </w:p>
          <w:p w14:paraId="40D3716B">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在货物采购项目中，供应商所投标全部货物由小型或者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1-4%）。除上述情况外，评标报价=投标报价。</w:t>
            </w:r>
          </w:p>
          <w:p w14:paraId="0AF452AA">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（6）以进入综合评分环节的最低的评标报价为基准价，基准价报价得分为30分。</w:t>
            </w:r>
          </w:p>
          <w:p w14:paraId="33E451A0">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 xml:space="preserve">（7）价格分计算公式：        </w:t>
            </w:r>
          </w:p>
          <w:p w14:paraId="5F5E7977">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某投标人价格分=基准价/某投标人评标报价金额×30分</w:t>
            </w:r>
          </w:p>
        </w:tc>
      </w:tr>
      <w:tr w14:paraId="43BD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vMerge w:val="restart"/>
            <w:vAlign w:val="center"/>
          </w:tcPr>
          <w:p w14:paraId="6D7BE178">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2</w:t>
            </w:r>
          </w:p>
        </w:tc>
        <w:tc>
          <w:tcPr>
            <w:tcW w:w="1320" w:type="dxa"/>
            <w:vMerge w:val="restart"/>
            <w:vAlign w:val="center"/>
          </w:tcPr>
          <w:p w14:paraId="459E7ED6">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zCs w:val="21"/>
                <w:highlight w:val="none"/>
              </w:rPr>
            </w:pPr>
            <w:r>
              <w:rPr>
                <w:rFonts w:hint="eastAsia" w:ascii="宋体" w:hAnsi="宋体"/>
                <w:bCs/>
                <w:color w:val="auto"/>
                <w:szCs w:val="21"/>
                <w:highlight w:val="none"/>
              </w:rPr>
              <w:t>技术分</w:t>
            </w:r>
          </w:p>
          <w:p w14:paraId="660D24E2">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pacing w:val="-18"/>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u w:val="single"/>
              </w:rPr>
              <w:t>50</w:t>
            </w:r>
            <w:r>
              <w:rPr>
                <w:rFonts w:hint="eastAsia" w:ascii="宋体" w:hAnsi="宋体"/>
                <w:bCs/>
                <w:color w:val="auto"/>
                <w:szCs w:val="21"/>
                <w:highlight w:val="none"/>
              </w:rPr>
              <w:t>分）</w:t>
            </w:r>
          </w:p>
        </w:tc>
        <w:tc>
          <w:tcPr>
            <w:tcW w:w="1576" w:type="dxa"/>
            <w:vAlign w:val="center"/>
          </w:tcPr>
          <w:p w14:paraId="7A644A53">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质量保障分</w:t>
            </w:r>
          </w:p>
          <w:p w14:paraId="35AC384B">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（20分）</w:t>
            </w:r>
          </w:p>
        </w:tc>
        <w:tc>
          <w:tcPr>
            <w:tcW w:w="6191" w:type="dxa"/>
            <w:vAlign w:val="center"/>
          </w:tcPr>
          <w:p w14:paraId="2D0ECFBF">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default" w:hAnsi="宋体" w:cs="Courier New"/>
                <w:bCs/>
                <w:color w:val="auto"/>
                <w:szCs w:val="21"/>
                <w:highlight w:val="none"/>
              </w:rPr>
              <w:t>（1）技术参数完全满足</w:t>
            </w:r>
            <w:r>
              <w:rPr>
                <w:rFonts w:hint="eastAsia" w:hAnsi="宋体" w:cs="Courier New"/>
                <w:bCs/>
                <w:color w:val="auto"/>
                <w:szCs w:val="21"/>
                <w:highlight w:val="none"/>
                <w:lang w:val="en-US" w:eastAsia="zh-CN"/>
              </w:rPr>
              <w:t>采购</w:t>
            </w:r>
            <w:r>
              <w:rPr>
                <w:rFonts w:hint="default" w:hAnsi="宋体" w:cs="Courier New"/>
                <w:bCs/>
                <w:color w:val="auto"/>
                <w:szCs w:val="21"/>
                <w:highlight w:val="none"/>
              </w:rPr>
              <w:t>要求无偏离的得20分；</w:t>
            </w:r>
          </w:p>
          <w:p w14:paraId="06078BFB">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default" w:hAnsi="宋体" w:cs="Courier New"/>
                <w:bCs/>
                <w:color w:val="auto"/>
                <w:szCs w:val="21"/>
                <w:highlight w:val="none"/>
              </w:rPr>
              <w:t>（2）非实质性要求的技术要求有负偏离的，每负偏离1项扣2分，扣完该项分数为止。</w:t>
            </w:r>
          </w:p>
        </w:tc>
      </w:tr>
      <w:tr w14:paraId="258F9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25" w:type="dxa"/>
            <w:vMerge w:val="continue"/>
            <w:vAlign w:val="center"/>
          </w:tcPr>
          <w:p w14:paraId="2BB4ACD9">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007C9B3F">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zCs w:val="21"/>
                <w:highlight w:val="none"/>
              </w:rPr>
            </w:pPr>
          </w:p>
        </w:tc>
        <w:tc>
          <w:tcPr>
            <w:tcW w:w="1576" w:type="dxa"/>
            <w:vAlign w:val="center"/>
          </w:tcPr>
          <w:p w14:paraId="33E9F48E">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实施方案分（15分）</w:t>
            </w:r>
          </w:p>
        </w:tc>
        <w:tc>
          <w:tcPr>
            <w:tcW w:w="6191" w:type="dxa"/>
            <w:vAlign w:val="center"/>
          </w:tcPr>
          <w:p w14:paraId="035FF40E">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一档（5分）：对项目理解一般，项目组织实施方案简单，建设实施方案简单，方案资料简单，基本满足采购文件要求；</w:t>
            </w:r>
          </w:p>
          <w:p w14:paraId="33A69CFD">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二档（10分）：对项目理解较到位，项目组织、实施、管理、重难点把握方案较详细；建设实施方案合理可行，方案资料满足项目建设要求。</w:t>
            </w:r>
          </w:p>
          <w:p w14:paraId="6B4C945F">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三档（15分）：对项目理解到位，项目组织、实施、管理、重难点把握方案,详细有针对性，合理可行；建设实施方案,思路清晰，明确项目分工，安装调试计划时间明朗，内容清晰；建设方案资料齐全、方案规则可行性、操作性强，符合赛课融通课程资源、实训资源建设要求，使用预期效果明显。</w:t>
            </w:r>
          </w:p>
          <w:p w14:paraId="03B6777A">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注：未提供实施方案或不满足一档要求的，不得分。</w:t>
            </w:r>
          </w:p>
        </w:tc>
      </w:tr>
      <w:tr w14:paraId="4537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jc w:val="center"/>
        </w:trPr>
        <w:tc>
          <w:tcPr>
            <w:tcW w:w="525" w:type="dxa"/>
            <w:vMerge w:val="continue"/>
            <w:vAlign w:val="center"/>
          </w:tcPr>
          <w:p w14:paraId="06A43251">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2232F8AF">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zCs w:val="21"/>
                <w:highlight w:val="none"/>
              </w:rPr>
            </w:pPr>
          </w:p>
        </w:tc>
        <w:tc>
          <w:tcPr>
            <w:tcW w:w="1576" w:type="dxa"/>
            <w:vAlign w:val="center"/>
          </w:tcPr>
          <w:p w14:paraId="3A27BB84">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售后服务方案分（15分）</w:t>
            </w:r>
          </w:p>
        </w:tc>
        <w:tc>
          <w:tcPr>
            <w:tcW w:w="6191" w:type="dxa"/>
            <w:vAlign w:val="center"/>
          </w:tcPr>
          <w:p w14:paraId="25636679">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一档（5分）：售后服务方案描述简单，仅满足采购文件要求。</w:t>
            </w:r>
          </w:p>
          <w:p w14:paraId="43C26077">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二档（10分）：满足一档要求，能提供快速的售后服务响应，并针对本项目提供专门的售后服务技术支持、服务保障方案及应急预案，售后服务方案完整详细、具有针对性、可行性，基本满足用户需求，可提供一般售后服务电话以及线下培训，培训方案基本满足要求。</w:t>
            </w:r>
          </w:p>
          <w:p w14:paraId="3BA41391">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三档（15分）：满足二档要求，能提供满足本项目的服务，能提供有质保期外技术服务承诺方案。且供应商的服务体系及措施、详细的服务人员信息表、服务方案内容的完整性、可行性、响应时间等方面内容有针对性，能提供运行数据分析及优化建议，完全满足用户需求，提供详细的售后服务方案。</w:t>
            </w:r>
          </w:p>
          <w:p w14:paraId="3469C0E1">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注：投标人未提供或提供的内容不符合项目采购需求的或未达到一档要求的，不得分。</w:t>
            </w:r>
          </w:p>
        </w:tc>
      </w:tr>
      <w:tr w14:paraId="5FF7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14:paraId="33BEA684">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3</w:t>
            </w:r>
          </w:p>
        </w:tc>
        <w:tc>
          <w:tcPr>
            <w:tcW w:w="1320" w:type="dxa"/>
            <w:vMerge w:val="restart"/>
            <w:vAlign w:val="center"/>
          </w:tcPr>
          <w:p w14:paraId="3C5316D2">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商务分（满分</w:t>
            </w:r>
            <w:r>
              <w:rPr>
                <w:rFonts w:hint="eastAsia" w:ascii="宋体" w:hAnsi="宋体"/>
                <w:bCs/>
                <w:color w:val="auto"/>
                <w:szCs w:val="21"/>
                <w:highlight w:val="none"/>
                <w:u w:val="single"/>
              </w:rPr>
              <w:t>20</w:t>
            </w:r>
            <w:r>
              <w:rPr>
                <w:rFonts w:hint="eastAsia" w:ascii="宋体" w:hAnsi="宋体"/>
                <w:bCs/>
                <w:color w:val="auto"/>
                <w:szCs w:val="21"/>
                <w:highlight w:val="none"/>
              </w:rPr>
              <w:t>分）</w:t>
            </w:r>
          </w:p>
        </w:tc>
        <w:tc>
          <w:tcPr>
            <w:tcW w:w="1576" w:type="dxa"/>
            <w:vMerge w:val="restart"/>
            <w:tcMar>
              <w:left w:w="57" w:type="dxa"/>
              <w:right w:w="57" w:type="dxa"/>
            </w:tcMar>
            <w:vAlign w:val="center"/>
          </w:tcPr>
          <w:p w14:paraId="70EEB1DF">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信誉分（10分）</w:t>
            </w:r>
          </w:p>
        </w:tc>
        <w:tc>
          <w:tcPr>
            <w:tcW w:w="6191" w:type="dxa"/>
            <w:vAlign w:val="center"/>
          </w:tcPr>
          <w:p w14:paraId="2B33B0F6">
            <w:pPr>
              <w:keepNext w:val="0"/>
              <w:keepLines w:val="0"/>
              <w:widowControl/>
              <w:suppressLineNumbers w:val="0"/>
              <w:spacing w:before="0" w:beforeAutospacing="0" w:after="0" w:afterAutospacing="0" w:line="320" w:lineRule="exact"/>
              <w:ind w:left="0" w:right="0"/>
              <w:jc w:val="left"/>
              <w:rPr>
                <w:rFonts w:hint="default" w:ascii="宋体" w:hAnsi="宋体" w:cs="Courier New"/>
                <w:bCs/>
                <w:color w:val="auto"/>
                <w:szCs w:val="21"/>
                <w:highlight w:val="none"/>
              </w:rPr>
            </w:pPr>
            <w:r>
              <w:rPr>
                <w:rFonts w:hint="eastAsia" w:ascii="宋体" w:hAnsi="宋体" w:cs="Courier New"/>
                <w:bCs/>
                <w:color w:val="auto"/>
                <w:szCs w:val="21"/>
                <w:highlight w:val="none"/>
              </w:rPr>
              <w:t>投标人或者所投产品制造商通过ISO9001质量管理体系认证；（以提供相关有效认证证书复印件，加盖投标人电子公章为准，未按要求提供者不得分），得2分，满分2分</w:t>
            </w:r>
          </w:p>
        </w:tc>
      </w:tr>
      <w:tr w14:paraId="6058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4025EF44">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249307CE">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576" w:type="dxa"/>
            <w:vMerge w:val="continue"/>
            <w:tcMar>
              <w:left w:w="57" w:type="dxa"/>
              <w:right w:w="57" w:type="dxa"/>
            </w:tcMar>
            <w:vAlign w:val="center"/>
          </w:tcPr>
          <w:p w14:paraId="71EB672D">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p>
        </w:tc>
        <w:tc>
          <w:tcPr>
            <w:tcW w:w="6191" w:type="dxa"/>
            <w:vAlign w:val="center"/>
          </w:tcPr>
          <w:p w14:paraId="12A36642">
            <w:pPr>
              <w:keepNext w:val="0"/>
              <w:keepLines w:val="0"/>
              <w:widowControl/>
              <w:suppressLineNumbers w:val="0"/>
              <w:spacing w:before="0" w:beforeAutospacing="0" w:after="0" w:afterAutospacing="0" w:line="320" w:lineRule="exact"/>
              <w:ind w:left="0" w:right="0"/>
              <w:jc w:val="left"/>
              <w:rPr>
                <w:rFonts w:hint="default" w:ascii="宋体" w:hAnsi="宋体" w:cs="Courier New"/>
                <w:bCs/>
                <w:color w:val="auto"/>
                <w:szCs w:val="21"/>
                <w:highlight w:val="none"/>
              </w:rPr>
            </w:pPr>
            <w:r>
              <w:rPr>
                <w:rFonts w:hint="eastAsia" w:ascii="宋体" w:hAnsi="宋体" w:cs="Courier New"/>
                <w:bCs/>
                <w:color w:val="auto"/>
                <w:szCs w:val="21"/>
                <w:highlight w:val="none"/>
              </w:rPr>
              <w:t>投标人或者所投产品制造商具有与本项目对应产品相关的软件著作权，每提供一项得4分，不提供或者不符合得0分，满分8分。（提供证明材料并加盖投标人电子公章，未按要求提供者不得分）</w:t>
            </w:r>
          </w:p>
        </w:tc>
      </w:tr>
      <w:tr w14:paraId="291E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70E815FE">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337CB37A">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576" w:type="dxa"/>
            <w:shd w:val="clear" w:color="auto" w:fill="auto"/>
            <w:tcMar>
              <w:left w:w="57" w:type="dxa"/>
              <w:right w:w="57" w:type="dxa"/>
            </w:tcMar>
            <w:vAlign w:val="center"/>
          </w:tcPr>
          <w:p w14:paraId="35AE010E">
            <w:pPr>
              <w:keepNext w:val="0"/>
              <w:keepLines w:val="0"/>
              <w:suppressLineNumbers w:val="0"/>
              <w:spacing w:before="0" w:beforeAutospacing="0" w:after="0" w:afterAutospacing="0" w:line="320" w:lineRule="exact"/>
              <w:ind w:left="0" w:right="0"/>
              <w:jc w:val="center"/>
              <w:rPr>
                <w:rFonts w:hint="default" w:ascii="宋体" w:hAnsi="宋体" w:eastAsia="宋体" w:cs="Courier New"/>
                <w:bCs/>
                <w:color w:val="auto"/>
                <w:kern w:val="2"/>
                <w:sz w:val="21"/>
                <w:szCs w:val="21"/>
                <w:highlight w:val="none"/>
                <w:lang w:val="en-US" w:eastAsia="zh-CN" w:bidi="ar-SA"/>
              </w:rPr>
            </w:pPr>
            <w:r>
              <w:rPr>
                <w:rFonts w:hint="eastAsia" w:ascii="宋体" w:hAnsi="宋体" w:cs="Courier New"/>
                <w:bCs/>
                <w:color w:val="auto"/>
                <w:szCs w:val="21"/>
                <w:highlight w:val="none"/>
              </w:rPr>
              <w:t>业绩分（</w:t>
            </w:r>
            <w:r>
              <w:rPr>
                <w:rFonts w:hint="eastAsia" w:ascii="宋体" w:hAnsi="宋体" w:cs="Courier New"/>
                <w:bCs/>
                <w:color w:val="auto"/>
                <w:szCs w:val="21"/>
                <w:highlight w:val="none"/>
                <w:lang w:val="en-US" w:eastAsia="zh-CN"/>
              </w:rPr>
              <w:t>8</w:t>
            </w:r>
            <w:r>
              <w:rPr>
                <w:rFonts w:hint="eastAsia" w:ascii="宋体" w:hAnsi="宋体" w:cs="Courier New"/>
                <w:bCs/>
                <w:color w:val="auto"/>
                <w:szCs w:val="21"/>
                <w:highlight w:val="none"/>
              </w:rPr>
              <w:t>分）</w:t>
            </w:r>
          </w:p>
        </w:tc>
        <w:tc>
          <w:tcPr>
            <w:tcW w:w="6191" w:type="dxa"/>
            <w:shd w:val="clear" w:color="auto" w:fill="auto"/>
            <w:vAlign w:val="center"/>
          </w:tcPr>
          <w:p w14:paraId="61CACF64">
            <w:pPr>
              <w:pStyle w:val="15"/>
              <w:keepNext w:val="0"/>
              <w:keepLines w:val="0"/>
              <w:suppressLineNumbers w:val="0"/>
              <w:spacing w:before="0" w:beforeAutospacing="0" w:after="0" w:afterAutospacing="0" w:line="320" w:lineRule="exact"/>
              <w:ind w:left="0" w:right="0"/>
              <w:rPr>
                <w:rFonts w:hint="eastAsia" w:ascii="宋体" w:hAnsi="宋体" w:eastAsia="宋体" w:cs="Times New Roman"/>
                <w:bCs/>
                <w:color w:val="auto"/>
                <w:kern w:val="2"/>
                <w:sz w:val="21"/>
                <w:szCs w:val="21"/>
                <w:highlight w:val="none"/>
                <w:lang w:val="en-US" w:eastAsia="zh-CN" w:bidi="ar-SA"/>
              </w:rPr>
            </w:pPr>
            <w:r>
              <w:rPr>
                <w:rFonts w:hint="eastAsia" w:hAnsi="宋体"/>
                <w:bCs/>
                <w:color w:val="auto"/>
                <w:szCs w:val="21"/>
                <w:highlight w:val="none"/>
              </w:rPr>
              <w:t>投标人或者所投产品制造商近三年（2021年1月1日及以后，以签订合同时间为准）有类似软件项目业绩和成功项目案例，每个案例得2分，最多得</w:t>
            </w:r>
            <w:r>
              <w:rPr>
                <w:rFonts w:hint="eastAsia" w:hAnsi="宋体"/>
                <w:bCs/>
                <w:color w:val="auto"/>
                <w:szCs w:val="21"/>
                <w:highlight w:val="none"/>
                <w:lang w:val="en-US" w:eastAsia="zh-CN"/>
              </w:rPr>
              <w:t>8</w:t>
            </w:r>
            <w:r>
              <w:rPr>
                <w:rFonts w:hint="eastAsia" w:hAnsi="宋体"/>
                <w:bCs/>
                <w:color w:val="auto"/>
                <w:szCs w:val="21"/>
                <w:highlight w:val="none"/>
              </w:rPr>
              <w:t>分（项目业绩和成功项目案例证明提供项目合同或中标/成交通知书材料并加盖投标人电子公章，未按要求提供不得分）。</w:t>
            </w:r>
          </w:p>
        </w:tc>
      </w:tr>
      <w:tr w14:paraId="12C7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019501BD">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5F6D72C3">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576" w:type="dxa"/>
            <w:shd w:val="clear" w:color="auto" w:fill="auto"/>
            <w:tcMar>
              <w:left w:w="57" w:type="dxa"/>
              <w:right w:w="57" w:type="dxa"/>
            </w:tcMar>
            <w:vAlign w:val="center"/>
          </w:tcPr>
          <w:p w14:paraId="0F462BF9">
            <w:pPr>
              <w:pStyle w:val="15"/>
              <w:keepNext w:val="0"/>
              <w:keepLines w:val="0"/>
              <w:suppressLineNumbers w:val="0"/>
              <w:spacing w:before="0" w:beforeAutospacing="0" w:after="0" w:afterAutospacing="0" w:line="320" w:lineRule="exact"/>
              <w:ind w:left="0" w:right="0"/>
              <w:jc w:val="center"/>
              <w:rPr>
                <w:rFonts w:hint="eastAsia" w:hAnsi="宋体"/>
                <w:bCs/>
                <w:color w:val="auto"/>
                <w:szCs w:val="21"/>
                <w:highlight w:val="none"/>
              </w:rPr>
            </w:pPr>
            <w:r>
              <w:rPr>
                <w:rFonts w:hint="eastAsia" w:hAnsi="宋体"/>
                <w:bCs/>
                <w:color w:val="auto"/>
                <w:szCs w:val="21"/>
                <w:highlight w:val="none"/>
              </w:rPr>
              <w:t>节能产品加分（2分）</w:t>
            </w:r>
          </w:p>
          <w:p w14:paraId="2FE4B6EF">
            <w:pPr>
              <w:keepNext w:val="0"/>
              <w:keepLines w:val="0"/>
              <w:suppressLineNumbers w:val="0"/>
              <w:spacing w:before="0" w:beforeAutospacing="0" w:after="0" w:afterAutospacing="0" w:line="320" w:lineRule="exact"/>
              <w:ind w:left="0" w:right="0"/>
              <w:jc w:val="center"/>
              <w:rPr>
                <w:rFonts w:hint="default" w:ascii="宋体" w:hAnsi="宋体" w:cs="Courier New"/>
                <w:bCs/>
                <w:color w:val="auto"/>
                <w:szCs w:val="21"/>
                <w:highlight w:val="none"/>
              </w:rPr>
            </w:pPr>
          </w:p>
        </w:tc>
        <w:tc>
          <w:tcPr>
            <w:tcW w:w="6191" w:type="dxa"/>
            <w:shd w:val="clear" w:color="auto" w:fill="auto"/>
            <w:vAlign w:val="center"/>
          </w:tcPr>
          <w:p w14:paraId="667776F6">
            <w:pPr>
              <w:pStyle w:val="15"/>
              <w:keepNext w:val="0"/>
              <w:keepLines w:val="0"/>
              <w:suppressLineNumbers w:val="0"/>
              <w:spacing w:before="0" w:beforeAutospacing="0" w:after="0" w:afterAutospacing="0" w:line="320" w:lineRule="exact"/>
              <w:ind w:left="0" w:right="0"/>
              <w:rPr>
                <w:rFonts w:hint="eastAsia" w:hAnsi="宋体"/>
                <w:bCs/>
                <w:color w:val="auto"/>
                <w:szCs w:val="21"/>
                <w:highlight w:val="none"/>
              </w:rPr>
            </w:pPr>
            <w:r>
              <w:rPr>
                <w:rFonts w:hint="eastAsia" w:hAnsi="宋体"/>
                <w:bCs/>
                <w:color w:val="auto"/>
                <w:szCs w:val="21"/>
                <w:highlight w:val="none"/>
              </w:rPr>
              <w:t>1）属于财政部《节能产品政府采购品目清单》内优先采购（清单内未标注“★”的品目）的产品[投标文件中提供有效的认证证书复印件及品目清单（标注出投标产品在品目清单中所属的品目），并加盖供应商电子公章]，根据项目中节能产品合计金额所占该项目（或分标）总报价金额比例进行计算给分，满1分。</w:t>
            </w:r>
          </w:p>
          <w:p w14:paraId="365068E4">
            <w:pPr>
              <w:pStyle w:val="15"/>
              <w:keepNext w:val="0"/>
              <w:keepLines w:val="0"/>
              <w:suppressLineNumbers w:val="0"/>
              <w:spacing w:before="0" w:beforeAutospacing="0" w:after="0" w:afterAutospacing="0" w:line="320" w:lineRule="exact"/>
              <w:ind w:left="0" w:right="0"/>
              <w:rPr>
                <w:rFonts w:hint="default" w:hAnsi="宋体"/>
                <w:bCs/>
                <w:color w:val="auto"/>
                <w:szCs w:val="21"/>
                <w:highlight w:val="none"/>
              </w:rPr>
            </w:pPr>
            <w:r>
              <w:rPr>
                <w:rFonts w:hint="eastAsia" w:hAnsi="宋体"/>
                <w:bCs/>
                <w:color w:val="auto"/>
                <w:szCs w:val="21"/>
                <w:highlight w:val="none"/>
              </w:rPr>
              <w:t>2）属于财政部《环境标志产品政府采购品目清单》内的产品[投标文件中提供有效的认证证书复印件及品目清单（标注出投标产品在品目清单中所属的品目），并加盖供应商电子公章]，根据项目中环保产品合计金额所占该项目（或分标）总报价金额比例进行计算给分，满1分。</w:t>
            </w:r>
          </w:p>
        </w:tc>
      </w:tr>
      <w:tr w14:paraId="053C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7A048A3F">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4</w:t>
            </w:r>
          </w:p>
        </w:tc>
        <w:tc>
          <w:tcPr>
            <w:tcW w:w="2896" w:type="dxa"/>
            <w:gridSpan w:val="2"/>
            <w:vAlign w:val="center"/>
          </w:tcPr>
          <w:p w14:paraId="0D0B0476">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诚信分（客观分）</w:t>
            </w:r>
          </w:p>
        </w:tc>
        <w:tc>
          <w:tcPr>
            <w:tcW w:w="6191" w:type="dxa"/>
          </w:tcPr>
          <w:p w14:paraId="3CA941E7">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投标人在截标日前1年内在政府采购活动中存在违约违规情形的（以财政部门出具的书面材料为评分依据），每次扣除3分，最高扣分6分。</w:t>
            </w:r>
          </w:p>
        </w:tc>
      </w:tr>
      <w:tr w14:paraId="3C82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6D98A0A9">
            <w:pPr>
              <w:pStyle w:val="15"/>
              <w:keepNext w:val="0"/>
              <w:keepLines w:val="0"/>
              <w:suppressLineNumbers w:val="0"/>
              <w:spacing w:before="0" w:beforeAutospacing="0" w:after="0" w:afterAutospacing="0" w:line="320" w:lineRule="exact"/>
              <w:ind w:left="0" w:right="0" w:firstLine="420"/>
              <w:rPr>
                <w:rFonts w:hint="default" w:hAnsi="宋体" w:cs="Courier New"/>
                <w:color w:val="auto"/>
                <w:highlight w:val="none"/>
              </w:rPr>
            </w:pPr>
            <w:r>
              <w:rPr>
                <w:rFonts w:hint="eastAsia" w:hAnsi="宋体" w:cs="Courier New"/>
                <w:color w:val="auto"/>
                <w:highlight w:val="none"/>
              </w:rPr>
              <w:t>总得分=1+2+3</w:t>
            </w:r>
            <w:r>
              <w:rPr>
                <w:rFonts w:hint="default" w:hAnsi="宋体" w:cs="Courier New"/>
                <w:color w:val="auto"/>
                <w:highlight w:val="none"/>
              </w:rPr>
              <w:t>+4</w:t>
            </w:r>
            <w:r>
              <w:rPr>
                <w:rFonts w:hint="eastAsia" w:hAnsi="宋体" w:cs="Courier New"/>
                <w:color w:val="auto"/>
                <w:highlight w:val="none"/>
              </w:rPr>
              <w:t>。</w:t>
            </w:r>
          </w:p>
        </w:tc>
      </w:tr>
      <w:tr w14:paraId="559C3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5AC83D25">
            <w:pPr>
              <w:pStyle w:val="15"/>
              <w:keepNext w:val="0"/>
              <w:keepLines w:val="0"/>
              <w:suppressLineNumbers w:val="0"/>
              <w:spacing w:before="0" w:beforeAutospacing="0" w:after="0" w:afterAutospacing="0" w:line="320" w:lineRule="exact"/>
              <w:ind w:left="0" w:right="0" w:firstLine="420"/>
              <w:rPr>
                <w:rFonts w:hint="default" w:hAnsi="宋体" w:cs="Courier New"/>
                <w:color w:val="auto"/>
                <w:highlight w:val="none"/>
              </w:rPr>
            </w:pPr>
            <w:r>
              <w:rPr>
                <w:rFonts w:hint="eastAsia" w:eastAsia="Times New Roman"/>
                <w:color w:val="auto"/>
                <w:sz w:val="20"/>
                <w:highlight w:val="none"/>
                <w:lang w:bidi="ar"/>
              </w:rPr>
              <w:t>中标标准：</w:t>
            </w:r>
            <w:r>
              <w:rPr>
                <w:rFonts w:hint="default" w:eastAsia="Times New Roman"/>
                <w:color w:val="auto"/>
                <w:sz w:val="20"/>
                <w:highlight w:val="none"/>
                <w:lang w:bidi="ar"/>
              </w:rPr>
              <w:t>评标委员会将按总得分由高到低推荐中标候选供应商顺序（总得分相同时，依次按投标报价低优先、技术分高优先、质量保证期长优先、交货期短优先、故障响应时间短优先的顺序排列），并依照次序确定中标供应商。</w:t>
            </w:r>
          </w:p>
        </w:tc>
      </w:tr>
    </w:tbl>
    <w:p w14:paraId="5BA54F7D">
      <w:pPr>
        <w:rPr>
          <w:color w:val="auto"/>
          <w:highlight w:val="none"/>
        </w:rPr>
      </w:pPr>
      <w:r>
        <w:rPr>
          <w:rFonts w:hint="eastAsia"/>
          <w:color w:val="auto"/>
          <w:highlight w:val="none"/>
        </w:rPr>
        <w:br w:type="page"/>
      </w:r>
    </w:p>
    <w:p w14:paraId="222AB6A2">
      <w:pPr>
        <w:pStyle w:val="15"/>
        <w:spacing w:line="360" w:lineRule="auto"/>
        <w:ind w:firstLine="420"/>
        <w:rPr>
          <w:rFonts w:hAnsi="宋体"/>
          <w:b/>
          <w:color w:val="auto"/>
          <w:highlight w:val="none"/>
        </w:rPr>
      </w:pPr>
      <w:r>
        <w:rPr>
          <w:rFonts w:hint="eastAsia" w:hAnsi="宋体"/>
          <w:b/>
          <w:color w:val="auto"/>
          <w:highlight w:val="none"/>
        </w:rPr>
        <w:t>3分标评分方法：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76"/>
        <w:gridCol w:w="6191"/>
      </w:tblGrid>
      <w:tr w14:paraId="1412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vAlign w:val="center"/>
          </w:tcPr>
          <w:p w14:paraId="79F71B81">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序号</w:t>
            </w:r>
          </w:p>
        </w:tc>
        <w:tc>
          <w:tcPr>
            <w:tcW w:w="1576" w:type="dxa"/>
            <w:vAlign w:val="center"/>
          </w:tcPr>
          <w:p w14:paraId="22271C34">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评审因素</w:t>
            </w:r>
          </w:p>
        </w:tc>
        <w:tc>
          <w:tcPr>
            <w:tcW w:w="6191" w:type="dxa"/>
            <w:vAlign w:val="center"/>
          </w:tcPr>
          <w:p w14:paraId="717F5109">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评标标准</w:t>
            </w:r>
          </w:p>
        </w:tc>
      </w:tr>
      <w:tr w14:paraId="243D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0" w:hRule="atLeast"/>
          <w:jc w:val="center"/>
        </w:trPr>
        <w:tc>
          <w:tcPr>
            <w:tcW w:w="525" w:type="dxa"/>
            <w:vAlign w:val="center"/>
          </w:tcPr>
          <w:p w14:paraId="4D855A83">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1</w:t>
            </w:r>
          </w:p>
        </w:tc>
        <w:tc>
          <w:tcPr>
            <w:tcW w:w="1320" w:type="dxa"/>
            <w:vAlign w:val="center"/>
          </w:tcPr>
          <w:p w14:paraId="6F15F71E">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价格分</w:t>
            </w:r>
          </w:p>
          <w:p w14:paraId="36A4E015">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u w:val="single"/>
                <w:lang w:val="en-US" w:eastAsia="zh-CN"/>
              </w:rPr>
              <w:t>3</w:t>
            </w:r>
            <w:r>
              <w:rPr>
                <w:rFonts w:hint="eastAsia" w:ascii="宋体" w:hAnsi="宋体"/>
                <w:bCs/>
                <w:color w:val="auto"/>
                <w:szCs w:val="21"/>
                <w:highlight w:val="none"/>
                <w:u w:val="single"/>
              </w:rPr>
              <w:t>0</w:t>
            </w:r>
            <w:r>
              <w:rPr>
                <w:rFonts w:hint="eastAsia" w:ascii="宋体" w:hAnsi="宋体"/>
                <w:bCs/>
                <w:color w:val="auto"/>
                <w:szCs w:val="21"/>
                <w:highlight w:val="none"/>
              </w:rPr>
              <w:t>分）</w:t>
            </w:r>
          </w:p>
        </w:tc>
        <w:tc>
          <w:tcPr>
            <w:tcW w:w="1576" w:type="dxa"/>
            <w:vAlign w:val="center"/>
          </w:tcPr>
          <w:p w14:paraId="18905915">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投标报价</w:t>
            </w:r>
          </w:p>
          <w:p w14:paraId="7D31E752">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0分）</w:t>
            </w:r>
          </w:p>
        </w:tc>
        <w:tc>
          <w:tcPr>
            <w:tcW w:w="6191" w:type="dxa"/>
            <w:vAlign w:val="center"/>
          </w:tcPr>
          <w:p w14:paraId="5CA4168B">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（1）评标价为投标人的投标报价进行政策性扣除后的价格，评标价只是作为评标时使用。最终中标人的中标金额＝投标报价。</w:t>
            </w:r>
          </w:p>
          <w:p w14:paraId="346F61DC">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2）按照《政府采购促进中小企业发展管理办法》（财库〔2020〕46号）的规定，投标人在其投标文件中提供《中小企业声明函》，且货物由小微企业制造（即货物由小微企业生产且使用该小微企业商号或者注册商标），对其最后报价给予10%的扣除。</w:t>
            </w:r>
          </w:p>
          <w:p w14:paraId="784F8474">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744D48A2">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2521D3D">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（5）政策性扣除计算方法。</w:t>
            </w:r>
          </w:p>
          <w:p w14:paraId="766A9CCF">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在货物采购项目中，供应商所投标全部货物由小型或者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1-4%）。除上述情况外，评标报价=投标报价。</w:t>
            </w:r>
          </w:p>
          <w:p w14:paraId="330727DA">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（6）以进入综合评分环节的最低的评标报价为基准价，基准价报价得分为</w:t>
            </w:r>
            <w:r>
              <w:rPr>
                <w:rFonts w:hint="eastAsia" w:hAnsi="宋体" w:cs="Courier New"/>
                <w:bCs/>
                <w:color w:val="auto"/>
                <w:szCs w:val="21"/>
                <w:highlight w:val="none"/>
                <w:lang w:val="en-US" w:eastAsia="zh-CN"/>
              </w:rPr>
              <w:t>3</w:t>
            </w:r>
            <w:r>
              <w:rPr>
                <w:rFonts w:hint="eastAsia" w:hAnsi="宋体" w:cs="Courier New"/>
                <w:bCs/>
                <w:color w:val="auto"/>
                <w:szCs w:val="21"/>
                <w:highlight w:val="none"/>
              </w:rPr>
              <w:t>0分。</w:t>
            </w:r>
          </w:p>
          <w:p w14:paraId="5F6279A5">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 xml:space="preserve">（7）价格分计算公式：        </w:t>
            </w:r>
          </w:p>
          <w:p w14:paraId="4619C43A">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某投标人价格分=基准价/某投标人评标报价金额×</w:t>
            </w:r>
            <w:r>
              <w:rPr>
                <w:rFonts w:hint="eastAsia" w:hAnsi="宋体" w:cs="Courier New"/>
                <w:bCs/>
                <w:color w:val="auto"/>
                <w:szCs w:val="21"/>
                <w:highlight w:val="none"/>
                <w:lang w:val="en-US" w:eastAsia="zh-CN"/>
              </w:rPr>
              <w:t>3</w:t>
            </w:r>
            <w:r>
              <w:rPr>
                <w:rFonts w:hint="eastAsia" w:hAnsi="宋体" w:cs="Courier New"/>
                <w:bCs/>
                <w:color w:val="auto"/>
                <w:szCs w:val="21"/>
                <w:highlight w:val="none"/>
              </w:rPr>
              <w:t>0分</w:t>
            </w:r>
          </w:p>
        </w:tc>
      </w:tr>
      <w:tr w14:paraId="752D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525" w:type="dxa"/>
            <w:vMerge w:val="restart"/>
            <w:vAlign w:val="center"/>
          </w:tcPr>
          <w:p w14:paraId="53DE0A76">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2</w:t>
            </w:r>
          </w:p>
        </w:tc>
        <w:tc>
          <w:tcPr>
            <w:tcW w:w="1320" w:type="dxa"/>
            <w:vMerge w:val="restart"/>
            <w:vAlign w:val="center"/>
          </w:tcPr>
          <w:p w14:paraId="275CCA3E">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zCs w:val="21"/>
                <w:highlight w:val="none"/>
              </w:rPr>
            </w:pPr>
            <w:r>
              <w:rPr>
                <w:rFonts w:hint="eastAsia" w:ascii="宋体" w:hAnsi="宋体"/>
                <w:bCs/>
                <w:color w:val="auto"/>
                <w:szCs w:val="21"/>
                <w:highlight w:val="none"/>
              </w:rPr>
              <w:t>技术分</w:t>
            </w:r>
          </w:p>
          <w:p w14:paraId="0E3E5740">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pacing w:val="-18"/>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u w:val="single"/>
                <w:lang w:val="en-US" w:eastAsia="zh-CN"/>
              </w:rPr>
              <w:t>60</w:t>
            </w:r>
            <w:r>
              <w:rPr>
                <w:rFonts w:hint="eastAsia" w:ascii="宋体" w:hAnsi="宋体"/>
                <w:bCs/>
                <w:color w:val="auto"/>
                <w:szCs w:val="21"/>
                <w:highlight w:val="none"/>
              </w:rPr>
              <w:t>分）</w:t>
            </w:r>
          </w:p>
        </w:tc>
        <w:tc>
          <w:tcPr>
            <w:tcW w:w="1576" w:type="dxa"/>
            <w:vAlign w:val="center"/>
          </w:tcPr>
          <w:p w14:paraId="01B9A4BB">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基本分</w:t>
            </w:r>
          </w:p>
          <w:p w14:paraId="709EA71F">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4</w:t>
            </w:r>
            <w:r>
              <w:rPr>
                <w:rFonts w:hint="eastAsia" w:ascii="宋体" w:hAnsi="宋体"/>
                <w:bCs/>
                <w:color w:val="auto"/>
                <w:szCs w:val="21"/>
                <w:highlight w:val="none"/>
              </w:rPr>
              <w:t>分）</w:t>
            </w:r>
          </w:p>
        </w:tc>
        <w:tc>
          <w:tcPr>
            <w:tcW w:w="6191" w:type="dxa"/>
            <w:vAlign w:val="center"/>
          </w:tcPr>
          <w:p w14:paraId="74237105">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技术基本分得2</w:t>
            </w:r>
            <w:r>
              <w:rPr>
                <w:rFonts w:hint="eastAsia" w:hAnsi="宋体" w:cs="Courier New"/>
                <w:bCs/>
                <w:color w:val="auto"/>
                <w:szCs w:val="21"/>
                <w:highlight w:val="none"/>
                <w:lang w:val="en-US" w:eastAsia="zh-CN"/>
              </w:rPr>
              <w:t>4</w:t>
            </w:r>
            <w:r>
              <w:rPr>
                <w:rFonts w:hint="eastAsia" w:hAnsi="宋体" w:cs="Courier New"/>
                <w:bCs/>
                <w:color w:val="auto"/>
                <w:szCs w:val="21"/>
                <w:highlight w:val="none"/>
              </w:rPr>
              <w:t>分，除标注▲号的实质性参数外的技术参数及性能配置条款负偏离的每一项扣1分，扣完该项分数为止。</w:t>
            </w:r>
          </w:p>
        </w:tc>
      </w:tr>
      <w:tr w14:paraId="4713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25" w:type="dxa"/>
            <w:vMerge w:val="continue"/>
            <w:vAlign w:val="center"/>
          </w:tcPr>
          <w:p w14:paraId="35DCBFEE">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3B39F322">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zCs w:val="21"/>
                <w:highlight w:val="none"/>
              </w:rPr>
            </w:pPr>
          </w:p>
        </w:tc>
        <w:tc>
          <w:tcPr>
            <w:tcW w:w="1576" w:type="dxa"/>
            <w:vAlign w:val="center"/>
          </w:tcPr>
          <w:p w14:paraId="634DBF1C">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技术参数及性能配置分（</w:t>
            </w:r>
            <w:r>
              <w:rPr>
                <w:rFonts w:hint="eastAsia" w:ascii="宋体" w:hAnsi="宋体"/>
                <w:bCs/>
                <w:color w:val="auto"/>
                <w:szCs w:val="21"/>
                <w:highlight w:val="none"/>
                <w:lang w:val="en-US" w:eastAsia="zh-CN" w:bidi="ar"/>
              </w:rPr>
              <w:t>36</w:t>
            </w:r>
            <w:r>
              <w:rPr>
                <w:rFonts w:hint="eastAsia" w:ascii="宋体" w:hAnsi="宋体"/>
                <w:bCs/>
                <w:color w:val="auto"/>
                <w:szCs w:val="21"/>
                <w:highlight w:val="none"/>
                <w:lang w:bidi="ar"/>
              </w:rPr>
              <w:t>分</w:t>
            </w:r>
            <w:r>
              <w:rPr>
                <w:rFonts w:hint="eastAsia" w:ascii="宋体" w:hAnsi="宋体"/>
                <w:bCs/>
                <w:color w:val="auto"/>
                <w:szCs w:val="21"/>
                <w:highlight w:val="none"/>
              </w:rPr>
              <w:t>）</w:t>
            </w:r>
          </w:p>
        </w:tc>
        <w:tc>
          <w:tcPr>
            <w:tcW w:w="6191" w:type="dxa"/>
            <w:vAlign w:val="center"/>
          </w:tcPr>
          <w:p w14:paraId="2938A568">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 xml:space="preserve">除标注▲号的实质性参数外的技术参数及性能配置不满足招标文件要求，每一项扣2分，扣完该项分数为止。   </w:t>
            </w:r>
          </w:p>
        </w:tc>
      </w:tr>
      <w:tr w14:paraId="3769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14:paraId="740BC4BC">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3</w:t>
            </w:r>
          </w:p>
        </w:tc>
        <w:tc>
          <w:tcPr>
            <w:tcW w:w="1320" w:type="dxa"/>
            <w:vMerge w:val="restart"/>
            <w:vAlign w:val="center"/>
          </w:tcPr>
          <w:p w14:paraId="6F4F42A9">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商务分（满分</w:t>
            </w:r>
            <w:r>
              <w:rPr>
                <w:rFonts w:hint="eastAsia" w:ascii="宋体" w:hAnsi="宋体"/>
                <w:bCs/>
                <w:color w:val="auto"/>
                <w:szCs w:val="21"/>
                <w:highlight w:val="none"/>
                <w:u w:val="single"/>
              </w:rPr>
              <w:t>1</w:t>
            </w:r>
            <w:r>
              <w:rPr>
                <w:rFonts w:hint="eastAsia" w:ascii="宋体" w:hAnsi="宋体"/>
                <w:bCs/>
                <w:color w:val="auto"/>
                <w:szCs w:val="21"/>
                <w:highlight w:val="none"/>
                <w:u w:val="single"/>
                <w:lang w:val="en-US" w:eastAsia="zh-CN"/>
              </w:rPr>
              <w:t>0</w:t>
            </w:r>
            <w:r>
              <w:rPr>
                <w:rFonts w:hint="eastAsia" w:ascii="宋体" w:hAnsi="宋体"/>
                <w:bCs/>
                <w:color w:val="auto"/>
                <w:szCs w:val="21"/>
                <w:highlight w:val="none"/>
              </w:rPr>
              <w:t>分）</w:t>
            </w:r>
          </w:p>
        </w:tc>
        <w:tc>
          <w:tcPr>
            <w:tcW w:w="1576" w:type="dxa"/>
            <w:tcMar>
              <w:left w:w="57" w:type="dxa"/>
              <w:right w:w="57" w:type="dxa"/>
            </w:tcMar>
            <w:vAlign w:val="center"/>
          </w:tcPr>
          <w:p w14:paraId="16EFE7F4">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售后服务（</w:t>
            </w:r>
            <w:r>
              <w:rPr>
                <w:rFonts w:hint="eastAsia" w:ascii="宋体" w:hAnsi="宋体"/>
                <w:bCs/>
                <w:color w:val="auto"/>
                <w:szCs w:val="21"/>
                <w:highlight w:val="none"/>
                <w:lang w:val="en-US" w:eastAsia="zh-CN"/>
              </w:rPr>
              <w:t>6</w:t>
            </w:r>
            <w:r>
              <w:rPr>
                <w:rFonts w:hint="eastAsia" w:ascii="宋体" w:hAnsi="宋体"/>
                <w:bCs/>
                <w:color w:val="auto"/>
                <w:szCs w:val="21"/>
                <w:highlight w:val="none"/>
              </w:rPr>
              <w:t>分）</w:t>
            </w:r>
          </w:p>
        </w:tc>
        <w:tc>
          <w:tcPr>
            <w:tcW w:w="6191" w:type="dxa"/>
            <w:vAlign w:val="center"/>
          </w:tcPr>
          <w:p w14:paraId="01B3BE50">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rPr>
              <w:t>（1）基本分</w:t>
            </w:r>
          </w:p>
          <w:p w14:paraId="1807C2F2">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rPr>
              <w:t>投标人的培训计划是否清晰、目标是否明确等。</w:t>
            </w:r>
          </w:p>
          <w:p w14:paraId="2386951B">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rPr>
              <w:t>一档（0分）：培训计划条理模糊，培训目标不明确得0分。</w:t>
            </w:r>
          </w:p>
          <w:p w14:paraId="72A0C84F">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lang w:val="en-US" w:eastAsia="zh-CN"/>
              </w:rPr>
              <w:t>二</w:t>
            </w:r>
            <w:r>
              <w:rPr>
                <w:rFonts w:hint="eastAsia" w:ascii="宋体" w:hAnsi="宋体" w:cs="Courier New"/>
                <w:bCs/>
                <w:color w:val="auto"/>
                <w:szCs w:val="21"/>
                <w:highlight w:val="none"/>
              </w:rPr>
              <w:t>档（1分）：培训计划条理较清晰，培训目标较明确得1分。</w:t>
            </w:r>
          </w:p>
          <w:p w14:paraId="228278EF">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lang w:val="en-US" w:eastAsia="zh-CN"/>
              </w:rPr>
              <w:t>三</w:t>
            </w:r>
            <w:r>
              <w:rPr>
                <w:rFonts w:hint="eastAsia" w:ascii="宋体" w:hAnsi="宋体" w:cs="Courier New"/>
                <w:bCs/>
                <w:color w:val="auto"/>
                <w:szCs w:val="21"/>
                <w:highlight w:val="none"/>
              </w:rPr>
              <w:t>档（2分）：培训计划条理清晰，培训目标明确得2分。</w:t>
            </w:r>
          </w:p>
          <w:p w14:paraId="637B1766">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rPr>
              <w:t>（2）售后服务条款加分</w:t>
            </w:r>
          </w:p>
          <w:p w14:paraId="3416EB47">
            <w:pPr>
              <w:keepNext w:val="0"/>
              <w:keepLines w:val="0"/>
              <w:widowControl/>
              <w:suppressLineNumbers w:val="0"/>
              <w:spacing w:before="0" w:beforeAutospacing="0" w:after="0" w:afterAutospacing="0" w:line="320" w:lineRule="exact"/>
              <w:ind w:left="0" w:right="0"/>
              <w:jc w:val="left"/>
              <w:rPr>
                <w:rFonts w:hint="default" w:ascii="宋体" w:hAnsi="宋体" w:cs="Courier New"/>
                <w:bCs/>
                <w:color w:val="auto"/>
                <w:szCs w:val="21"/>
                <w:highlight w:val="none"/>
              </w:rPr>
            </w:pPr>
            <w:r>
              <w:rPr>
                <w:rFonts w:hint="eastAsia" w:ascii="宋体" w:hAnsi="宋体" w:cs="Courier New"/>
                <w:bCs/>
                <w:color w:val="auto"/>
                <w:szCs w:val="21"/>
                <w:highlight w:val="none"/>
              </w:rPr>
              <w:t>主要售后服务条款优于招标文件且评标时被评标委员会接受的，每提升一项加</w:t>
            </w:r>
            <w:r>
              <w:rPr>
                <w:rFonts w:hint="eastAsia" w:ascii="宋体" w:hAnsi="宋体" w:cs="Courier New"/>
                <w:bCs/>
                <w:color w:val="auto"/>
                <w:szCs w:val="21"/>
                <w:highlight w:val="none"/>
                <w:lang w:val="en-US" w:eastAsia="zh-CN"/>
              </w:rPr>
              <w:t>1</w:t>
            </w:r>
            <w:r>
              <w:rPr>
                <w:rFonts w:hint="eastAsia" w:ascii="宋体" w:hAnsi="宋体" w:cs="Courier New"/>
                <w:bCs/>
                <w:color w:val="auto"/>
                <w:szCs w:val="21"/>
                <w:highlight w:val="none"/>
              </w:rPr>
              <w:t>分，满分</w:t>
            </w:r>
            <w:r>
              <w:rPr>
                <w:rFonts w:hint="eastAsia" w:ascii="宋体" w:hAnsi="宋体" w:cs="Courier New"/>
                <w:bCs/>
                <w:color w:val="auto"/>
                <w:szCs w:val="21"/>
                <w:highlight w:val="none"/>
                <w:lang w:val="en-US" w:eastAsia="zh-CN"/>
              </w:rPr>
              <w:t>4</w:t>
            </w:r>
            <w:r>
              <w:rPr>
                <w:rFonts w:hint="eastAsia" w:ascii="宋体" w:hAnsi="宋体" w:cs="Courier New"/>
                <w:bCs/>
                <w:color w:val="auto"/>
                <w:szCs w:val="21"/>
                <w:highlight w:val="none"/>
              </w:rPr>
              <w:t xml:space="preserve">分。 </w:t>
            </w:r>
          </w:p>
        </w:tc>
      </w:tr>
      <w:tr w14:paraId="26452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2D24C0C0">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6D32B203">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576" w:type="dxa"/>
            <w:tcMar>
              <w:left w:w="57" w:type="dxa"/>
              <w:right w:w="57" w:type="dxa"/>
            </w:tcMar>
            <w:vAlign w:val="center"/>
          </w:tcPr>
          <w:p w14:paraId="5471118B">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业绩信誉实力分（</w:t>
            </w:r>
            <w:r>
              <w:rPr>
                <w:rFonts w:hint="eastAsia" w:ascii="宋体" w:hAnsi="宋体"/>
                <w:bCs/>
                <w:color w:val="auto"/>
                <w:szCs w:val="21"/>
                <w:highlight w:val="none"/>
                <w:lang w:val="en-US" w:eastAsia="zh-CN"/>
              </w:rPr>
              <w:t>4</w:t>
            </w:r>
            <w:r>
              <w:rPr>
                <w:rFonts w:hint="eastAsia" w:ascii="宋体" w:hAnsi="宋体"/>
                <w:bCs/>
                <w:color w:val="auto"/>
                <w:szCs w:val="21"/>
                <w:highlight w:val="none"/>
              </w:rPr>
              <w:t>分）</w:t>
            </w:r>
          </w:p>
        </w:tc>
        <w:tc>
          <w:tcPr>
            <w:tcW w:w="6191" w:type="dxa"/>
            <w:vAlign w:val="center"/>
          </w:tcPr>
          <w:p w14:paraId="30705055">
            <w:pPr>
              <w:keepNext w:val="0"/>
              <w:keepLines w:val="0"/>
              <w:widowControl/>
              <w:suppressLineNumbers w:val="0"/>
              <w:spacing w:before="0" w:beforeAutospacing="0" w:after="0" w:afterAutospacing="0" w:line="320" w:lineRule="exact"/>
              <w:ind w:left="0" w:right="0"/>
              <w:jc w:val="left"/>
              <w:rPr>
                <w:rFonts w:hint="eastAsia" w:ascii="宋体" w:hAnsi="宋体" w:eastAsia="宋体" w:cs="Courier New"/>
                <w:bCs/>
                <w:color w:val="auto"/>
                <w:kern w:val="2"/>
                <w:sz w:val="21"/>
                <w:szCs w:val="21"/>
                <w:highlight w:val="none"/>
                <w:lang w:val="en-US" w:eastAsia="zh-CN" w:bidi="ar-SA"/>
              </w:rPr>
            </w:pPr>
            <w:r>
              <w:rPr>
                <w:rFonts w:hint="eastAsia" w:ascii="宋体" w:hAnsi="宋体" w:eastAsia="宋体" w:cs="Courier New"/>
                <w:bCs/>
                <w:color w:val="auto"/>
                <w:kern w:val="2"/>
                <w:sz w:val="21"/>
                <w:szCs w:val="21"/>
                <w:highlight w:val="none"/>
                <w:lang w:val="en-US" w:eastAsia="zh-CN" w:bidi="ar-SA"/>
              </w:rPr>
              <w:t>1）为促进产教融合，投标人或所投产品生产厂家具备教材建设经验。（投标时需提供1门及以上出版教材图片、目录截图或其他证明材料复印件得2分，少提供或不提供不得分。）</w:t>
            </w:r>
          </w:p>
          <w:p w14:paraId="7D43397F">
            <w:pPr>
              <w:keepNext w:val="0"/>
              <w:keepLines w:val="0"/>
              <w:widowControl/>
              <w:suppressLineNumbers w:val="0"/>
              <w:spacing w:before="0" w:beforeAutospacing="0" w:after="0" w:afterAutospacing="0" w:line="320" w:lineRule="exact"/>
              <w:ind w:left="0" w:right="0"/>
              <w:jc w:val="left"/>
              <w:rPr>
                <w:rFonts w:hint="default" w:ascii="宋体" w:hAnsi="宋体" w:cs="Courier New"/>
                <w:bCs/>
                <w:color w:val="auto"/>
                <w:szCs w:val="21"/>
                <w:highlight w:val="none"/>
              </w:rPr>
            </w:pPr>
            <w:r>
              <w:rPr>
                <w:rFonts w:hint="eastAsia" w:ascii="宋体" w:hAnsi="宋体" w:eastAsia="宋体" w:cs="Courier New"/>
                <w:bCs/>
                <w:color w:val="auto"/>
                <w:kern w:val="2"/>
                <w:sz w:val="21"/>
                <w:szCs w:val="21"/>
                <w:highlight w:val="none"/>
                <w:lang w:val="en-US" w:eastAsia="zh-CN" w:bidi="ar-SA"/>
              </w:rPr>
              <w:t>2）投标人的研发队伍具备一定的研发能力。（投标时需提供由人力资源和社会保障部职业技能鉴定中心颁发的相关证书复印件及社保缴纳证明文件复印件，提供1份得2分，原件备查。少提供或不提供不得分。）</w:t>
            </w:r>
          </w:p>
        </w:tc>
      </w:tr>
      <w:tr w14:paraId="0FFC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09F0235C">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4</w:t>
            </w:r>
          </w:p>
        </w:tc>
        <w:tc>
          <w:tcPr>
            <w:tcW w:w="2896" w:type="dxa"/>
            <w:gridSpan w:val="2"/>
            <w:vAlign w:val="center"/>
          </w:tcPr>
          <w:p w14:paraId="4FF77938">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诚信分（客观分）</w:t>
            </w:r>
          </w:p>
        </w:tc>
        <w:tc>
          <w:tcPr>
            <w:tcW w:w="6191" w:type="dxa"/>
          </w:tcPr>
          <w:p w14:paraId="4A80639C">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投标人在截标日前1年内在政府采购活动中存在违约违规情形的（以财政部门出具的书面材料为评分依据），每次扣除3分，最高扣分6分。</w:t>
            </w:r>
          </w:p>
        </w:tc>
      </w:tr>
      <w:tr w14:paraId="2FE0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6A8E800B">
            <w:pPr>
              <w:pStyle w:val="15"/>
              <w:keepNext w:val="0"/>
              <w:keepLines w:val="0"/>
              <w:suppressLineNumbers w:val="0"/>
              <w:spacing w:before="0" w:beforeAutospacing="0" w:after="0" w:afterAutospacing="0" w:line="320" w:lineRule="exact"/>
              <w:ind w:left="0" w:right="0" w:firstLine="420"/>
              <w:rPr>
                <w:rFonts w:hint="default" w:hAnsi="宋体" w:cs="Courier New"/>
                <w:color w:val="auto"/>
                <w:highlight w:val="none"/>
              </w:rPr>
            </w:pPr>
            <w:r>
              <w:rPr>
                <w:rFonts w:hint="eastAsia" w:hAnsi="宋体" w:cs="Courier New"/>
                <w:color w:val="auto"/>
                <w:highlight w:val="none"/>
              </w:rPr>
              <w:t>总得分=1+2+3</w:t>
            </w:r>
            <w:r>
              <w:rPr>
                <w:rFonts w:hint="default" w:hAnsi="宋体" w:cs="Courier New"/>
                <w:color w:val="auto"/>
                <w:highlight w:val="none"/>
              </w:rPr>
              <w:t>+4</w:t>
            </w:r>
            <w:r>
              <w:rPr>
                <w:rFonts w:hint="eastAsia" w:hAnsi="宋体" w:cs="Courier New"/>
                <w:color w:val="auto"/>
                <w:highlight w:val="none"/>
              </w:rPr>
              <w:t>。</w:t>
            </w:r>
          </w:p>
        </w:tc>
      </w:tr>
      <w:tr w14:paraId="66805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720E7F80">
            <w:pPr>
              <w:pStyle w:val="15"/>
              <w:keepNext w:val="0"/>
              <w:keepLines w:val="0"/>
              <w:suppressLineNumbers w:val="0"/>
              <w:spacing w:before="0" w:beforeAutospacing="0" w:after="0" w:afterAutospacing="0" w:line="320" w:lineRule="exact"/>
              <w:ind w:left="0" w:right="0" w:firstLine="420"/>
              <w:rPr>
                <w:rFonts w:hint="default" w:hAnsi="宋体" w:cs="Courier New"/>
                <w:color w:val="auto"/>
                <w:highlight w:val="none"/>
              </w:rPr>
            </w:pPr>
            <w:r>
              <w:rPr>
                <w:rFonts w:hint="eastAsia" w:eastAsia="Times New Roman"/>
                <w:color w:val="auto"/>
                <w:sz w:val="20"/>
                <w:highlight w:val="none"/>
                <w:lang w:bidi="ar"/>
              </w:rPr>
              <w:t>中标标准：</w:t>
            </w:r>
            <w:r>
              <w:rPr>
                <w:rFonts w:hint="default" w:eastAsia="Times New Roman"/>
                <w:color w:val="auto"/>
                <w:sz w:val="20"/>
                <w:highlight w:val="none"/>
                <w:lang w:bidi="ar"/>
              </w:rPr>
              <w:t>评标委员会将按总得分由高到低推荐中标候选供应商顺序（总得分相同时，依次按投标报价低优先、技术分高优先、质量保证期长优先、交货期短优先、故障响应时间短优先的顺序排列），并依照次序确定中标供应商。</w:t>
            </w:r>
          </w:p>
        </w:tc>
      </w:tr>
    </w:tbl>
    <w:p w14:paraId="0AE0B7CE">
      <w:pPr>
        <w:rPr>
          <w:color w:val="auto"/>
          <w:highlight w:val="none"/>
        </w:rPr>
      </w:pPr>
      <w:r>
        <w:rPr>
          <w:rFonts w:hint="eastAsia"/>
          <w:color w:val="auto"/>
          <w:highlight w:val="none"/>
        </w:rPr>
        <w:br w:type="page"/>
      </w:r>
    </w:p>
    <w:p w14:paraId="5DA49E61">
      <w:pPr>
        <w:pStyle w:val="15"/>
        <w:spacing w:line="360" w:lineRule="auto"/>
        <w:ind w:firstLine="420"/>
        <w:rPr>
          <w:rFonts w:hAnsi="宋体"/>
          <w:b/>
          <w:color w:val="auto"/>
          <w:highlight w:val="none"/>
        </w:rPr>
      </w:pPr>
      <w:r>
        <w:rPr>
          <w:rFonts w:hint="eastAsia" w:hAnsi="宋体"/>
          <w:b/>
          <w:color w:val="auto"/>
          <w:highlight w:val="none"/>
        </w:rPr>
        <w:t>4分标评分方法：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76"/>
        <w:gridCol w:w="6191"/>
      </w:tblGrid>
      <w:tr w14:paraId="679F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vAlign w:val="center"/>
          </w:tcPr>
          <w:p w14:paraId="52AE0AAB">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序号</w:t>
            </w:r>
          </w:p>
        </w:tc>
        <w:tc>
          <w:tcPr>
            <w:tcW w:w="1576" w:type="dxa"/>
            <w:vAlign w:val="center"/>
          </w:tcPr>
          <w:p w14:paraId="51BE40E2">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评审因素</w:t>
            </w:r>
          </w:p>
        </w:tc>
        <w:tc>
          <w:tcPr>
            <w:tcW w:w="6191" w:type="dxa"/>
            <w:vAlign w:val="center"/>
          </w:tcPr>
          <w:p w14:paraId="344CB7FE">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评标标准</w:t>
            </w:r>
          </w:p>
        </w:tc>
      </w:tr>
      <w:tr w14:paraId="770A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0" w:hRule="atLeast"/>
          <w:jc w:val="center"/>
        </w:trPr>
        <w:tc>
          <w:tcPr>
            <w:tcW w:w="525" w:type="dxa"/>
            <w:vAlign w:val="center"/>
          </w:tcPr>
          <w:p w14:paraId="743F0ADF">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1</w:t>
            </w:r>
          </w:p>
        </w:tc>
        <w:tc>
          <w:tcPr>
            <w:tcW w:w="1320" w:type="dxa"/>
            <w:vAlign w:val="center"/>
          </w:tcPr>
          <w:p w14:paraId="70B11BC2">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价格分</w:t>
            </w:r>
          </w:p>
          <w:p w14:paraId="66A91C29">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u w:val="single"/>
              </w:rPr>
              <w:t xml:space="preserve"> 5</w:t>
            </w:r>
            <w:r>
              <w:rPr>
                <w:rFonts w:hint="default" w:ascii="宋体" w:hAnsi="宋体"/>
                <w:bCs/>
                <w:color w:val="auto"/>
                <w:szCs w:val="21"/>
                <w:highlight w:val="none"/>
                <w:u w:val="single"/>
              </w:rPr>
              <w:t>0</w:t>
            </w:r>
            <w:r>
              <w:rPr>
                <w:rFonts w:hint="eastAsia" w:ascii="宋体" w:hAnsi="宋体"/>
                <w:bCs/>
                <w:color w:val="auto"/>
                <w:szCs w:val="21"/>
                <w:highlight w:val="none"/>
              </w:rPr>
              <w:t>分）</w:t>
            </w:r>
          </w:p>
        </w:tc>
        <w:tc>
          <w:tcPr>
            <w:tcW w:w="1576" w:type="dxa"/>
            <w:vAlign w:val="center"/>
          </w:tcPr>
          <w:p w14:paraId="4F02B392">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投标报价</w:t>
            </w:r>
          </w:p>
          <w:p w14:paraId="63C2CAD3">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（50分）</w:t>
            </w:r>
          </w:p>
        </w:tc>
        <w:tc>
          <w:tcPr>
            <w:tcW w:w="6191" w:type="dxa"/>
            <w:vAlign w:val="center"/>
          </w:tcPr>
          <w:p w14:paraId="466890AA">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（1）评标价为投标人的投标报价进行政策性扣除后的价格，评标价只是作为评标时使用。最终中标人的中标金额＝投标报价。</w:t>
            </w:r>
          </w:p>
          <w:p w14:paraId="6890A085">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2）按照《政府采购促进中小企业发展管理办法》（财库〔2020〕46号）的规定，投标人在其投标文件中提供《中小企业声明函》，且货物由小微企业制造（即货物由小微企业生产且使用该小微企业商号或者注册商标），对其最后报价给予10%的扣除。</w:t>
            </w:r>
          </w:p>
          <w:p w14:paraId="2707393A">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14:paraId="1E9EC88E">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716C02A">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（5）政策性扣除计算方法。</w:t>
            </w:r>
          </w:p>
          <w:p w14:paraId="32193613">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在货物采购项目中，供应商所投标全部货物由小型或者微型企业制造。对符合上述要求的投标人的投标报价给予10%的扣除，扣除后的价格为评标报价，即评标报价=投标报价×（1-10%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4%的扣除，用扣除后的价格参加评审，扣除后的价格为评标价，即评标报价=投标报价×（1-4%）。除上述情况外，评标报价=投标报价。</w:t>
            </w:r>
          </w:p>
          <w:p w14:paraId="332AFB37">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（6）以进入综合评分环节的最低的评标报价为基准价，基准价报价得分为50分。</w:t>
            </w:r>
          </w:p>
          <w:p w14:paraId="35D7F26C">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 xml:space="preserve">（7）价格分计算公式：        </w:t>
            </w:r>
          </w:p>
          <w:p w14:paraId="50743D40">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某投标人价格分=基准价/某投标人评标报价金额×50分</w:t>
            </w:r>
          </w:p>
        </w:tc>
      </w:tr>
      <w:tr w14:paraId="1777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525" w:type="dxa"/>
            <w:vMerge w:val="restart"/>
            <w:vAlign w:val="center"/>
          </w:tcPr>
          <w:p w14:paraId="41D75273">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2</w:t>
            </w:r>
          </w:p>
        </w:tc>
        <w:tc>
          <w:tcPr>
            <w:tcW w:w="1320" w:type="dxa"/>
            <w:vMerge w:val="restart"/>
            <w:vAlign w:val="center"/>
          </w:tcPr>
          <w:p w14:paraId="7BD76065">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zCs w:val="21"/>
                <w:highlight w:val="none"/>
              </w:rPr>
            </w:pPr>
            <w:r>
              <w:rPr>
                <w:rFonts w:hint="eastAsia" w:ascii="宋体" w:hAnsi="宋体"/>
                <w:bCs/>
                <w:color w:val="auto"/>
                <w:szCs w:val="21"/>
                <w:highlight w:val="none"/>
              </w:rPr>
              <w:t>技术分</w:t>
            </w:r>
          </w:p>
          <w:p w14:paraId="7637C9CB">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pacing w:val="-18"/>
                <w:szCs w:val="21"/>
                <w:highlight w:val="none"/>
              </w:rPr>
            </w:pPr>
            <w:r>
              <w:rPr>
                <w:rFonts w:hint="eastAsia" w:ascii="宋体" w:hAnsi="宋体"/>
                <w:bCs/>
                <w:color w:val="auto"/>
                <w:szCs w:val="21"/>
                <w:highlight w:val="none"/>
              </w:rPr>
              <w:t>（满分</w:t>
            </w:r>
            <w:r>
              <w:rPr>
                <w:rFonts w:hint="eastAsia" w:ascii="宋体" w:hAnsi="宋体"/>
                <w:bCs/>
                <w:color w:val="auto"/>
                <w:szCs w:val="21"/>
                <w:highlight w:val="none"/>
                <w:u w:val="single"/>
              </w:rPr>
              <w:t>34</w:t>
            </w:r>
            <w:r>
              <w:rPr>
                <w:rFonts w:hint="eastAsia" w:ascii="宋体" w:hAnsi="宋体"/>
                <w:bCs/>
                <w:color w:val="auto"/>
                <w:szCs w:val="21"/>
                <w:highlight w:val="none"/>
              </w:rPr>
              <w:t>分）</w:t>
            </w:r>
          </w:p>
        </w:tc>
        <w:tc>
          <w:tcPr>
            <w:tcW w:w="1576" w:type="dxa"/>
            <w:vAlign w:val="center"/>
          </w:tcPr>
          <w:p w14:paraId="7F76037F">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基本分</w:t>
            </w:r>
          </w:p>
          <w:p w14:paraId="180FB38B">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（20分）</w:t>
            </w:r>
          </w:p>
        </w:tc>
        <w:tc>
          <w:tcPr>
            <w:tcW w:w="6191" w:type="dxa"/>
            <w:vAlign w:val="center"/>
          </w:tcPr>
          <w:p w14:paraId="6BA4EC15">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ascii="Times New Roman" w:hAnsi="Times New Roman"/>
                <w:color w:val="auto"/>
                <w:szCs w:val="21"/>
                <w:highlight w:val="none"/>
                <w:lang w:bidi="ar"/>
              </w:rPr>
              <w:t>技术基本分得</w:t>
            </w:r>
            <w:r>
              <w:rPr>
                <w:rFonts w:hint="default" w:ascii="Times New Roman" w:hAnsi="Times New Roman"/>
                <w:color w:val="auto"/>
                <w:szCs w:val="21"/>
                <w:highlight w:val="none"/>
                <w:lang w:bidi="ar"/>
              </w:rPr>
              <w:t>20</w:t>
            </w:r>
            <w:r>
              <w:rPr>
                <w:rFonts w:hint="eastAsia" w:ascii="Times New Roman" w:hAnsi="Times New Roman"/>
                <w:color w:val="auto"/>
                <w:szCs w:val="21"/>
                <w:highlight w:val="none"/>
                <w:lang w:bidi="ar"/>
              </w:rPr>
              <w:t>分，除标注▲号的实质性参数外的技术参数及性能配置不符合招标文件的，每负偏离</w:t>
            </w:r>
            <w:r>
              <w:rPr>
                <w:rFonts w:hint="default" w:ascii="Times New Roman" w:hAnsi="Times New Roman"/>
                <w:color w:val="auto"/>
                <w:szCs w:val="21"/>
                <w:highlight w:val="none"/>
                <w:lang w:bidi="ar"/>
              </w:rPr>
              <w:t>1</w:t>
            </w:r>
            <w:r>
              <w:rPr>
                <w:rFonts w:hint="eastAsia" w:ascii="Times New Roman" w:hAnsi="Times New Roman"/>
                <w:color w:val="auto"/>
                <w:szCs w:val="21"/>
                <w:highlight w:val="none"/>
                <w:lang w:bidi="ar"/>
              </w:rPr>
              <w:t>项扣</w:t>
            </w:r>
            <w:r>
              <w:rPr>
                <w:rFonts w:hint="default" w:ascii="Times New Roman" w:hAnsi="Times New Roman"/>
                <w:color w:val="auto"/>
                <w:szCs w:val="21"/>
                <w:highlight w:val="none"/>
                <w:lang w:bidi="ar"/>
              </w:rPr>
              <w:t>5</w:t>
            </w:r>
            <w:r>
              <w:rPr>
                <w:rFonts w:hint="eastAsia" w:ascii="Times New Roman" w:hAnsi="Times New Roman"/>
                <w:color w:val="auto"/>
                <w:szCs w:val="21"/>
                <w:highlight w:val="none"/>
                <w:lang w:bidi="ar"/>
              </w:rPr>
              <w:t>分，最高扣分</w:t>
            </w:r>
            <w:r>
              <w:rPr>
                <w:rFonts w:hint="default" w:ascii="Times New Roman" w:hAnsi="Times New Roman"/>
                <w:color w:val="auto"/>
                <w:szCs w:val="21"/>
                <w:highlight w:val="none"/>
                <w:lang w:bidi="ar"/>
              </w:rPr>
              <w:t>20</w:t>
            </w:r>
            <w:r>
              <w:rPr>
                <w:rFonts w:hint="eastAsia" w:ascii="Times New Roman" w:hAnsi="Times New Roman"/>
                <w:color w:val="auto"/>
                <w:szCs w:val="21"/>
                <w:highlight w:val="none"/>
                <w:lang w:bidi="ar"/>
              </w:rPr>
              <w:t>分</w:t>
            </w:r>
            <w:r>
              <w:rPr>
                <w:rFonts w:hint="eastAsia" w:hAnsi="宋体" w:cs="Courier New"/>
                <w:bCs/>
                <w:color w:val="auto"/>
                <w:szCs w:val="21"/>
                <w:highlight w:val="none"/>
              </w:rPr>
              <w:t>。</w:t>
            </w:r>
          </w:p>
        </w:tc>
      </w:tr>
      <w:tr w14:paraId="434B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525" w:type="dxa"/>
            <w:vMerge w:val="continue"/>
            <w:vAlign w:val="center"/>
          </w:tcPr>
          <w:p w14:paraId="5114E65F">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2076B47A">
            <w:pPr>
              <w:keepNext w:val="0"/>
              <w:keepLines w:val="0"/>
              <w:suppressLineNumbers w:val="0"/>
              <w:adjustRightInd w:val="0"/>
              <w:spacing w:before="0" w:beforeAutospacing="0" w:after="0" w:afterAutospacing="0" w:line="320" w:lineRule="exact"/>
              <w:ind w:left="-105" w:leftChars="-50" w:right="-105" w:rightChars="-50"/>
              <w:jc w:val="center"/>
              <w:textAlignment w:val="baseline"/>
              <w:rPr>
                <w:rFonts w:hint="default" w:ascii="宋体" w:hAnsi="宋体"/>
                <w:bCs/>
                <w:color w:val="auto"/>
                <w:szCs w:val="21"/>
                <w:highlight w:val="none"/>
              </w:rPr>
            </w:pPr>
          </w:p>
        </w:tc>
        <w:tc>
          <w:tcPr>
            <w:tcW w:w="1576" w:type="dxa"/>
            <w:vAlign w:val="center"/>
          </w:tcPr>
          <w:p w14:paraId="4A31460D">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技术参数及性能配置分（14分）</w:t>
            </w:r>
          </w:p>
        </w:tc>
        <w:tc>
          <w:tcPr>
            <w:tcW w:w="6191" w:type="dxa"/>
            <w:vAlign w:val="center"/>
          </w:tcPr>
          <w:p w14:paraId="0281320F">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重要技术参数及配置满足招标文件且评标时被评标委员会接受的，每满足一项加2分，满分14分。</w:t>
            </w:r>
          </w:p>
          <w:p w14:paraId="5A26FC57">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 xml:space="preserve">（①.重要技术参数指货物需求一览表中标注◆号的技术参数。②.以上“重要技术参数及配置”有满足招标文件要求的必须提供证明材料，可以是产品功能截图或官网截图或产品彩页或实物图，不提供不得分）   </w:t>
            </w:r>
          </w:p>
        </w:tc>
      </w:tr>
      <w:tr w14:paraId="5E12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vAlign w:val="center"/>
          </w:tcPr>
          <w:p w14:paraId="37A3A42D">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3</w:t>
            </w:r>
          </w:p>
        </w:tc>
        <w:tc>
          <w:tcPr>
            <w:tcW w:w="1320" w:type="dxa"/>
            <w:vMerge w:val="restart"/>
            <w:vAlign w:val="center"/>
          </w:tcPr>
          <w:p w14:paraId="5AD8C5C1">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商务分（满分</w:t>
            </w:r>
            <w:r>
              <w:rPr>
                <w:rFonts w:hint="eastAsia" w:ascii="宋体" w:hAnsi="宋体"/>
                <w:bCs/>
                <w:color w:val="auto"/>
                <w:szCs w:val="21"/>
                <w:highlight w:val="none"/>
                <w:u w:val="single"/>
              </w:rPr>
              <w:t>16</w:t>
            </w:r>
            <w:r>
              <w:rPr>
                <w:rFonts w:hint="eastAsia" w:ascii="宋体" w:hAnsi="宋体"/>
                <w:bCs/>
                <w:color w:val="auto"/>
                <w:szCs w:val="21"/>
                <w:highlight w:val="none"/>
              </w:rPr>
              <w:t>分）</w:t>
            </w:r>
          </w:p>
        </w:tc>
        <w:tc>
          <w:tcPr>
            <w:tcW w:w="1576" w:type="dxa"/>
            <w:tcMar>
              <w:left w:w="57" w:type="dxa"/>
              <w:right w:w="57" w:type="dxa"/>
            </w:tcMar>
            <w:vAlign w:val="center"/>
          </w:tcPr>
          <w:p w14:paraId="098A6EF2">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售后服务（</w:t>
            </w:r>
            <w:r>
              <w:rPr>
                <w:rFonts w:hint="eastAsia" w:ascii="宋体" w:hAnsi="宋体"/>
                <w:bCs/>
                <w:color w:val="auto"/>
                <w:szCs w:val="21"/>
                <w:highlight w:val="none"/>
                <w:lang w:val="en-US" w:eastAsia="zh-CN"/>
              </w:rPr>
              <w:t>9</w:t>
            </w:r>
            <w:r>
              <w:rPr>
                <w:rFonts w:hint="eastAsia" w:ascii="宋体" w:hAnsi="宋体"/>
                <w:bCs/>
                <w:color w:val="auto"/>
                <w:szCs w:val="21"/>
                <w:highlight w:val="none"/>
              </w:rPr>
              <w:t>分）</w:t>
            </w:r>
          </w:p>
        </w:tc>
        <w:tc>
          <w:tcPr>
            <w:tcW w:w="6191" w:type="dxa"/>
            <w:vAlign w:val="center"/>
          </w:tcPr>
          <w:p w14:paraId="1D4F8B95">
            <w:pPr>
              <w:keepNext w:val="0"/>
              <w:keepLines w:val="0"/>
              <w:widowControl/>
              <w:suppressLineNumbers w:val="0"/>
              <w:spacing w:before="0" w:beforeAutospacing="0" w:after="0" w:afterAutospacing="0" w:line="320" w:lineRule="exact"/>
              <w:ind w:left="0" w:right="0"/>
              <w:jc w:val="left"/>
              <w:rPr>
                <w:rFonts w:hint="eastAsia"/>
              </w:rPr>
            </w:pPr>
            <w:r>
              <w:rPr>
                <w:rFonts w:hint="eastAsia"/>
              </w:rPr>
              <w:t>（1）售后服务方案</w:t>
            </w:r>
          </w:p>
          <w:p w14:paraId="15B601C1">
            <w:pPr>
              <w:keepNext w:val="0"/>
              <w:keepLines w:val="0"/>
              <w:widowControl/>
              <w:suppressLineNumbers w:val="0"/>
              <w:spacing w:before="0" w:beforeAutospacing="0" w:after="0" w:afterAutospacing="0" w:line="320" w:lineRule="exact"/>
              <w:ind w:left="0" w:right="0"/>
              <w:jc w:val="left"/>
              <w:rPr>
                <w:rFonts w:hint="eastAsia"/>
              </w:rPr>
            </w:pPr>
            <w:r>
              <w:rPr>
                <w:rFonts w:hint="eastAsia"/>
              </w:rPr>
              <w:t>一档（3分）：售后服务方案描述简单，仅满足采购文件要求。</w:t>
            </w:r>
          </w:p>
          <w:p w14:paraId="47C22C2F">
            <w:pPr>
              <w:keepNext w:val="0"/>
              <w:keepLines w:val="0"/>
              <w:widowControl/>
              <w:suppressLineNumbers w:val="0"/>
              <w:spacing w:before="0" w:beforeAutospacing="0" w:after="0" w:afterAutospacing="0" w:line="320" w:lineRule="exact"/>
              <w:ind w:left="0" w:right="0"/>
              <w:jc w:val="left"/>
              <w:rPr>
                <w:rFonts w:hint="eastAsia"/>
              </w:rPr>
            </w:pPr>
            <w:r>
              <w:rPr>
                <w:rFonts w:hint="eastAsia"/>
              </w:rPr>
              <w:t>二档（5分）：满足一档要求，能提供快速的售后服务响应，并针对本项目提供专门的售后服务技术支持（回访措施、维护措施、耗材及备品备件优惠措施等方面），售后服务方案基本满足要求。</w:t>
            </w:r>
          </w:p>
          <w:p w14:paraId="0F40AE3C">
            <w:pPr>
              <w:keepNext w:val="0"/>
              <w:keepLines w:val="0"/>
              <w:widowControl/>
              <w:suppressLineNumbers w:val="0"/>
              <w:spacing w:before="0" w:beforeAutospacing="0" w:after="0" w:afterAutospacing="0" w:line="320" w:lineRule="exact"/>
              <w:ind w:left="0" w:right="0"/>
              <w:jc w:val="left"/>
              <w:rPr>
                <w:rFonts w:hint="eastAsia"/>
              </w:rPr>
            </w:pPr>
            <w:r>
              <w:rPr>
                <w:rFonts w:hint="eastAsia"/>
              </w:rPr>
              <w:t>三档（7分）：满足二档要求，能提供满足本项目的服务，可靠、快速的服务响应体系（接到通知到达时现场处理故障时间、一般故障承诺解决时间、故障无法排除时的解决方案等方面），完全满足用户需求。</w:t>
            </w:r>
          </w:p>
          <w:p w14:paraId="5C943B42">
            <w:pPr>
              <w:keepNext w:val="0"/>
              <w:keepLines w:val="0"/>
              <w:widowControl/>
              <w:suppressLineNumbers w:val="0"/>
              <w:spacing w:before="0" w:beforeAutospacing="0" w:after="0" w:afterAutospacing="0" w:line="320" w:lineRule="exact"/>
              <w:ind w:left="0" w:right="0"/>
              <w:jc w:val="left"/>
              <w:rPr>
                <w:rFonts w:hint="eastAsia"/>
              </w:rPr>
            </w:pPr>
            <w:r>
              <w:rPr>
                <w:rFonts w:hint="eastAsia"/>
              </w:rPr>
              <w:t>（注：投标人未提供或提供的内容不符合项目采购需求的或未达到一档要求的，不得分。）</w:t>
            </w:r>
          </w:p>
          <w:p w14:paraId="363D04CD">
            <w:pPr>
              <w:keepNext w:val="0"/>
              <w:keepLines w:val="0"/>
              <w:widowControl/>
              <w:suppressLineNumbers w:val="0"/>
              <w:spacing w:before="0" w:beforeAutospacing="0" w:after="0" w:afterAutospacing="0" w:line="320" w:lineRule="exact"/>
              <w:ind w:left="0" w:right="0"/>
              <w:jc w:val="left"/>
              <w:rPr>
                <w:rFonts w:hint="eastAsia"/>
              </w:rPr>
            </w:pPr>
            <w:r>
              <w:rPr>
                <w:rFonts w:hint="eastAsia"/>
              </w:rPr>
              <w:t>（2）售后服务条款加分</w:t>
            </w:r>
          </w:p>
          <w:p w14:paraId="67C283FD">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rPr>
              <w:t>货物“计算卡”在满足售后服务条款（1年质保）要求的基础上，每延长1年质保加1分，满分2分。（必须在投标文件中提供加盖投标人电子公章的承诺书复印件）</w:t>
            </w:r>
          </w:p>
        </w:tc>
      </w:tr>
      <w:tr w14:paraId="7DFD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vAlign w:val="center"/>
          </w:tcPr>
          <w:p w14:paraId="26F32F39">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320" w:type="dxa"/>
            <w:vMerge w:val="continue"/>
            <w:vAlign w:val="center"/>
          </w:tcPr>
          <w:p w14:paraId="3A6A4649">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p>
        </w:tc>
        <w:tc>
          <w:tcPr>
            <w:tcW w:w="1576" w:type="dxa"/>
            <w:tcMar>
              <w:left w:w="57" w:type="dxa"/>
              <w:right w:w="57" w:type="dxa"/>
            </w:tcMar>
            <w:vAlign w:val="center"/>
          </w:tcPr>
          <w:p w14:paraId="33367F82">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业绩信誉实力分（</w:t>
            </w:r>
            <w:r>
              <w:rPr>
                <w:rFonts w:hint="eastAsia" w:ascii="宋体" w:hAnsi="宋体"/>
                <w:bCs/>
                <w:color w:val="auto"/>
                <w:szCs w:val="21"/>
                <w:highlight w:val="none"/>
                <w:lang w:val="en-US" w:eastAsia="zh-CN"/>
              </w:rPr>
              <w:t>7</w:t>
            </w:r>
            <w:r>
              <w:rPr>
                <w:rFonts w:hint="eastAsia" w:ascii="宋体" w:hAnsi="宋体"/>
                <w:bCs/>
                <w:color w:val="auto"/>
                <w:szCs w:val="21"/>
                <w:highlight w:val="none"/>
              </w:rPr>
              <w:t>分）</w:t>
            </w:r>
          </w:p>
        </w:tc>
        <w:tc>
          <w:tcPr>
            <w:tcW w:w="6191" w:type="dxa"/>
            <w:vAlign w:val="center"/>
          </w:tcPr>
          <w:p w14:paraId="366B4510">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rPr>
              <w:t>1）投标人或所投产品生产厂家通过ISO9001质量体系认证的得2分；（提交证书复印件并加盖投标人电子公章）</w:t>
            </w:r>
          </w:p>
          <w:p w14:paraId="1109AC67">
            <w:pPr>
              <w:keepNext w:val="0"/>
              <w:keepLines w:val="0"/>
              <w:widowControl/>
              <w:suppressLineNumbers w:val="0"/>
              <w:spacing w:before="0" w:beforeAutospacing="0" w:after="0" w:afterAutospacing="0" w:line="320" w:lineRule="exact"/>
              <w:ind w:left="0" w:right="0"/>
              <w:jc w:val="left"/>
              <w:rPr>
                <w:rFonts w:hint="eastAsia" w:ascii="宋体" w:hAnsi="宋体" w:cs="Courier New"/>
                <w:bCs/>
                <w:color w:val="auto"/>
                <w:szCs w:val="21"/>
                <w:highlight w:val="none"/>
              </w:rPr>
            </w:pPr>
            <w:r>
              <w:rPr>
                <w:rFonts w:hint="eastAsia" w:ascii="宋体" w:hAnsi="宋体" w:cs="Courier New"/>
                <w:bCs/>
                <w:color w:val="auto"/>
                <w:szCs w:val="21"/>
                <w:highlight w:val="none"/>
              </w:rPr>
              <w:t>2）所投核心产品内置导播软件具有计算机软件著作权登记证书的得3分；（提交证书复印件并加盖投标人电子公章）</w:t>
            </w:r>
          </w:p>
          <w:p w14:paraId="06222628">
            <w:pPr>
              <w:keepNext w:val="0"/>
              <w:keepLines w:val="0"/>
              <w:widowControl/>
              <w:suppressLineNumbers w:val="0"/>
              <w:spacing w:before="0" w:beforeAutospacing="0" w:after="0" w:afterAutospacing="0" w:line="320" w:lineRule="exact"/>
              <w:ind w:left="0" w:right="0"/>
              <w:jc w:val="left"/>
              <w:rPr>
                <w:rFonts w:hint="default" w:ascii="宋体" w:hAnsi="宋体" w:cs="Courier New"/>
                <w:bCs/>
                <w:color w:val="auto"/>
                <w:szCs w:val="21"/>
                <w:highlight w:val="none"/>
              </w:rPr>
            </w:pPr>
            <w:r>
              <w:rPr>
                <w:rFonts w:hint="eastAsia" w:ascii="宋体" w:hAnsi="宋体" w:cs="Courier New"/>
                <w:bCs/>
                <w:color w:val="auto"/>
                <w:szCs w:val="21"/>
                <w:highlight w:val="none"/>
                <w:lang w:val="en-US" w:eastAsia="zh-CN"/>
              </w:rPr>
              <w:t>3</w:t>
            </w:r>
            <w:r>
              <w:rPr>
                <w:rFonts w:hint="eastAsia" w:ascii="宋体" w:hAnsi="宋体" w:cs="Courier New"/>
                <w:bCs/>
                <w:color w:val="auto"/>
                <w:szCs w:val="21"/>
                <w:highlight w:val="none"/>
              </w:rPr>
              <w:t>）属于财政部《节能产品政府采购品目清单》内优先采购（清单内未标注“★”的品目）的产品[投标文件中提供有效的认证证书复印件及品目清单（标注出投标产品在品目清单中所属的品目），并加盖供应商电子公章]，根据项目中节能产品合计金额所占该项目（或分标）总报价金额比例进行计算给分，满1分。</w:t>
            </w:r>
          </w:p>
          <w:p w14:paraId="7F6B9393">
            <w:pPr>
              <w:keepNext w:val="0"/>
              <w:keepLines w:val="0"/>
              <w:widowControl/>
              <w:suppressLineNumbers w:val="0"/>
              <w:spacing w:before="0" w:beforeAutospacing="0" w:after="0" w:afterAutospacing="0" w:line="320" w:lineRule="exact"/>
              <w:ind w:left="0" w:right="0"/>
              <w:jc w:val="left"/>
              <w:rPr>
                <w:rFonts w:hint="default" w:ascii="宋体" w:hAnsi="宋体" w:cs="Courier New"/>
                <w:bCs/>
                <w:color w:val="auto"/>
                <w:szCs w:val="21"/>
                <w:highlight w:val="none"/>
              </w:rPr>
            </w:pPr>
            <w:r>
              <w:rPr>
                <w:rFonts w:hint="eastAsia" w:ascii="宋体" w:hAnsi="宋体" w:cs="Courier New"/>
                <w:bCs/>
                <w:color w:val="auto"/>
                <w:szCs w:val="21"/>
                <w:highlight w:val="none"/>
                <w:lang w:val="en-US" w:eastAsia="zh-CN"/>
              </w:rPr>
              <w:t>4</w:t>
            </w:r>
            <w:r>
              <w:rPr>
                <w:rFonts w:hint="eastAsia" w:ascii="宋体" w:hAnsi="宋体" w:cs="Courier New"/>
                <w:bCs/>
                <w:color w:val="auto"/>
                <w:szCs w:val="21"/>
                <w:highlight w:val="none"/>
              </w:rPr>
              <w:t>）属于财政部《环境标志产品政府采购品目清单》内的产品[投标文件中提供有效的认证证书复印件及品目清单（标注出投标产品在品目清单中所属的品目），并加盖供应商电子公章]，根据项目中环保产品合计金额所占该项目（或分标）总报价金额比例进行计算给分，满1分。</w:t>
            </w:r>
          </w:p>
        </w:tc>
      </w:tr>
      <w:tr w14:paraId="5E99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Align w:val="center"/>
          </w:tcPr>
          <w:p w14:paraId="47DABE57">
            <w:pPr>
              <w:keepNext w:val="0"/>
              <w:keepLines w:val="0"/>
              <w:suppressLineNumbers w:val="0"/>
              <w:adjustRightInd w:val="0"/>
              <w:spacing w:before="0" w:beforeAutospacing="0" w:after="0" w:afterAutospacing="0" w:line="320" w:lineRule="exact"/>
              <w:ind w:left="0" w:right="0"/>
              <w:jc w:val="center"/>
              <w:textAlignment w:val="baseline"/>
              <w:rPr>
                <w:rFonts w:hint="default" w:ascii="宋体" w:hAnsi="宋体"/>
                <w:bCs/>
                <w:color w:val="auto"/>
                <w:szCs w:val="21"/>
                <w:highlight w:val="none"/>
              </w:rPr>
            </w:pPr>
            <w:r>
              <w:rPr>
                <w:rFonts w:hint="eastAsia" w:ascii="宋体" w:hAnsi="宋体"/>
                <w:bCs/>
                <w:color w:val="auto"/>
                <w:szCs w:val="21"/>
                <w:highlight w:val="none"/>
              </w:rPr>
              <w:t>4</w:t>
            </w:r>
          </w:p>
        </w:tc>
        <w:tc>
          <w:tcPr>
            <w:tcW w:w="2896" w:type="dxa"/>
            <w:gridSpan w:val="2"/>
            <w:vAlign w:val="center"/>
          </w:tcPr>
          <w:p w14:paraId="1BE944B1">
            <w:pPr>
              <w:keepNext w:val="0"/>
              <w:keepLines w:val="0"/>
              <w:suppressLineNumbers w:val="0"/>
              <w:spacing w:before="0" w:beforeAutospacing="0" w:after="0" w:afterAutospacing="0" w:line="320" w:lineRule="exact"/>
              <w:ind w:left="0" w:right="0"/>
              <w:jc w:val="center"/>
              <w:rPr>
                <w:rFonts w:hint="default" w:ascii="宋体" w:hAnsi="宋体"/>
                <w:bCs/>
                <w:color w:val="auto"/>
                <w:szCs w:val="21"/>
                <w:highlight w:val="none"/>
              </w:rPr>
            </w:pPr>
            <w:r>
              <w:rPr>
                <w:rFonts w:hint="eastAsia" w:ascii="宋体" w:hAnsi="宋体"/>
                <w:bCs/>
                <w:color w:val="auto"/>
                <w:szCs w:val="21"/>
                <w:highlight w:val="none"/>
              </w:rPr>
              <w:t>诚信分（客观分）</w:t>
            </w:r>
          </w:p>
        </w:tc>
        <w:tc>
          <w:tcPr>
            <w:tcW w:w="6191" w:type="dxa"/>
          </w:tcPr>
          <w:p w14:paraId="6B891189">
            <w:pPr>
              <w:pStyle w:val="15"/>
              <w:keepNext w:val="0"/>
              <w:keepLines w:val="0"/>
              <w:suppressLineNumbers w:val="0"/>
              <w:spacing w:before="0" w:beforeAutospacing="0" w:after="0" w:afterAutospacing="0" w:line="320" w:lineRule="exact"/>
              <w:ind w:left="0" w:right="0"/>
              <w:rPr>
                <w:rFonts w:hint="default" w:hAnsi="宋体" w:cs="Courier New"/>
                <w:bCs/>
                <w:color w:val="auto"/>
                <w:szCs w:val="21"/>
                <w:highlight w:val="none"/>
              </w:rPr>
            </w:pPr>
            <w:r>
              <w:rPr>
                <w:rFonts w:hint="eastAsia" w:hAnsi="宋体" w:cs="Courier New"/>
                <w:bCs/>
                <w:color w:val="auto"/>
                <w:szCs w:val="21"/>
                <w:highlight w:val="none"/>
              </w:rPr>
              <w:t>投标人在截标日前1年内在政府采购活动中存在违约违规情形的（以财政部门出具的书面材料为评分依据），每次扣除3分，最高扣分6分。</w:t>
            </w:r>
          </w:p>
        </w:tc>
      </w:tr>
      <w:tr w14:paraId="7449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4D52A6E3">
            <w:pPr>
              <w:pStyle w:val="15"/>
              <w:keepNext w:val="0"/>
              <w:keepLines w:val="0"/>
              <w:suppressLineNumbers w:val="0"/>
              <w:spacing w:before="0" w:beforeAutospacing="0" w:after="0" w:afterAutospacing="0" w:line="320" w:lineRule="exact"/>
              <w:ind w:left="0" w:right="0" w:firstLine="420"/>
              <w:rPr>
                <w:rFonts w:hint="default" w:hAnsi="宋体" w:cs="Courier New"/>
                <w:color w:val="auto"/>
                <w:highlight w:val="none"/>
              </w:rPr>
            </w:pPr>
            <w:r>
              <w:rPr>
                <w:rFonts w:hint="eastAsia" w:hAnsi="宋体" w:cs="Courier New"/>
                <w:color w:val="auto"/>
                <w:highlight w:val="none"/>
              </w:rPr>
              <w:t>总得分=1+2+3</w:t>
            </w:r>
            <w:r>
              <w:rPr>
                <w:rFonts w:hint="default" w:hAnsi="宋体" w:cs="Courier New"/>
                <w:color w:val="auto"/>
                <w:highlight w:val="none"/>
              </w:rPr>
              <w:t>+4</w:t>
            </w:r>
            <w:r>
              <w:rPr>
                <w:rFonts w:hint="eastAsia" w:hAnsi="宋体" w:cs="Courier New"/>
                <w:color w:val="auto"/>
                <w:highlight w:val="none"/>
              </w:rPr>
              <w:t>。</w:t>
            </w:r>
          </w:p>
        </w:tc>
      </w:tr>
      <w:tr w14:paraId="5FD2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2" w:type="dxa"/>
            <w:gridSpan w:val="4"/>
            <w:vAlign w:val="center"/>
          </w:tcPr>
          <w:p w14:paraId="692D3B66">
            <w:pPr>
              <w:pStyle w:val="15"/>
              <w:keepNext w:val="0"/>
              <w:keepLines w:val="0"/>
              <w:suppressLineNumbers w:val="0"/>
              <w:spacing w:before="0" w:beforeAutospacing="0" w:after="0" w:afterAutospacing="0" w:line="320" w:lineRule="exact"/>
              <w:ind w:left="0" w:right="0" w:firstLine="420"/>
              <w:rPr>
                <w:rFonts w:hint="default" w:hAnsi="宋体" w:cs="Courier New"/>
                <w:color w:val="auto"/>
                <w:highlight w:val="none"/>
              </w:rPr>
            </w:pPr>
            <w:r>
              <w:rPr>
                <w:rFonts w:hint="eastAsia" w:eastAsia="Times New Roman"/>
                <w:color w:val="auto"/>
                <w:sz w:val="20"/>
                <w:highlight w:val="none"/>
                <w:lang w:bidi="ar"/>
              </w:rPr>
              <w:t>中标标准：</w:t>
            </w:r>
            <w:r>
              <w:rPr>
                <w:rFonts w:hint="default" w:eastAsia="Times New Roman"/>
                <w:color w:val="auto"/>
                <w:sz w:val="20"/>
                <w:highlight w:val="none"/>
                <w:lang w:bidi="ar"/>
              </w:rPr>
              <w:t>评标委员会将按总得分由高到低推荐中标候选供应商顺序（总得分相同时，依次按投标报价低优先、技术分高优先、质量保证期长优先、交货期短优先、故障响应时间短优先的顺序排列），并依照次序确定中标供应商。</w:t>
            </w:r>
          </w:p>
        </w:tc>
      </w:tr>
    </w:tbl>
    <w:p w14:paraId="68AA72D2">
      <w:pPr>
        <w:pStyle w:val="33"/>
        <w:rPr>
          <w:color w:val="auto"/>
          <w:highlight w:val="none"/>
        </w:rPr>
      </w:pPr>
    </w:p>
    <w:p w14:paraId="25028A24">
      <w:pPr>
        <w:pStyle w:val="33"/>
        <w:rPr>
          <w:color w:val="auto"/>
          <w:highlight w:val="none"/>
        </w:rPr>
      </w:pPr>
    </w:p>
    <w:p w14:paraId="0A23060F">
      <w:pPr>
        <w:pStyle w:val="15"/>
        <w:spacing w:line="360" w:lineRule="auto"/>
        <w:ind w:firstLine="420"/>
        <w:rPr>
          <w:rFonts w:hAnsi="宋体"/>
          <w:bCs/>
          <w:color w:val="auto"/>
          <w:highlight w:val="none"/>
        </w:rPr>
      </w:pPr>
      <w:r>
        <w:rPr>
          <w:rFonts w:hint="eastAsia" w:hAnsi="宋体"/>
          <w:bCs/>
          <w:color w:val="auto"/>
          <w:highlight w:val="none"/>
        </w:rPr>
        <w:t xml:space="preserve"> </w:t>
      </w:r>
      <w:bookmarkEnd w:id="119"/>
    </w:p>
    <w:p w14:paraId="672C2160">
      <w:pPr>
        <w:pStyle w:val="3"/>
        <w:ind w:firstLine="600"/>
        <w:jc w:val="center"/>
        <w:rPr>
          <w:rFonts w:ascii="宋体" w:hAnsi="宋体" w:eastAsia="宋体"/>
          <w:b w:val="0"/>
          <w:color w:val="auto"/>
          <w:sz w:val="30"/>
          <w:szCs w:val="30"/>
          <w:highlight w:val="none"/>
        </w:rPr>
      </w:pPr>
      <w:bookmarkStart w:id="120" w:name="_Toc118383692"/>
      <w:r>
        <w:rPr>
          <w:rFonts w:hint="eastAsia" w:ascii="宋体" w:hAnsi="宋体" w:eastAsia="宋体"/>
          <w:b w:val="0"/>
          <w:color w:val="auto"/>
          <w:sz w:val="30"/>
          <w:szCs w:val="30"/>
          <w:highlight w:val="none"/>
        </w:rPr>
        <w:t>第四节</w:t>
      </w:r>
      <w:r>
        <w:rPr>
          <w:rFonts w:ascii="宋体" w:hAnsi="宋体" w:eastAsia="宋体"/>
          <w:b w:val="0"/>
          <w:color w:val="auto"/>
          <w:sz w:val="30"/>
          <w:szCs w:val="30"/>
          <w:highlight w:val="none"/>
        </w:rPr>
        <w:t xml:space="preserve"> </w:t>
      </w:r>
      <w:r>
        <w:rPr>
          <w:rFonts w:hint="eastAsia" w:ascii="宋体" w:hAnsi="宋体" w:eastAsia="宋体"/>
          <w:b w:val="0"/>
          <w:color w:val="auto"/>
          <w:sz w:val="30"/>
          <w:szCs w:val="30"/>
          <w:highlight w:val="none"/>
        </w:rPr>
        <w:t>中标候选人推荐原则</w:t>
      </w:r>
      <w:bookmarkEnd w:id="120"/>
    </w:p>
    <w:p w14:paraId="2DCAEE50">
      <w:pPr>
        <w:pStyle w:val="15"/>
        <w:numPr>
          <w:ilvl w:val="0"/>
          <w:numId w:val="7"/>
        </w:numPr>
        <w:spacing w:line="360" w:lineRule="auto"/>
        <w:ind w:left="0" w:firstLine="482" w:firstLineChars="200"/>
        <w:contextualSpacing/>
        <w:jc w:val="left"/>
        <w:rPr>
          <w:rFonts w:hAnsi="宋体"/>
          <w:b/>
          <w:bCs/>
          <w:color w:val="auto"/>
          <w:sz w:val="24"/>
          <w:szCs w:val="24"/>
          <w:highlight w:val="none"/>
        </w:rPr>
      </w:pPr>
      <w:r>
        <w:rPr>
          <w:rFonts w:hint="eastAsia" w:hAnsi="宋体"/>
          <w:b/>
          <w:bCs/>
          <w:color w:val="auto"/>
          <w:sz w:val="24"/>
          <w:szCs w:val="24"/>
          <w:highlight w:val="none"/>
        </w:rPr>
        <w:t>综合评分法</w:t>
      </w:r>
    </w:p>
    <w:p w14:paraId="6B108DF8">
      <w:pPr>
        <w:autoSpaceDE w:val="0"/>
        <w:autoSpaceDN w:val="0"/>
        <w:adjustRightInd w:val="0"/>
        <w:spacing w:line="440" w:lineRule="exact"/>
        <w:ind w:firstLine="420" w:firstLineChars="200"/>
        <w:rPr>
          <w:rFonts w:ascii="宋体" w:hAnsi="宋体"/>
          <w:color w:val="auto"/>
          <w:szCs w:val="20"/>
          <w:highlight w:val="none"/>
        </w:rPr>
      </w:pPr>
      <w:r>
        <w:rPr>
          <w:rFonts w:hint="eastAsia" w:ascii="宋体" w:hAnsi="宋体"/>
          <w:color w:val="auto"/>
          <w:szCs w:val="20"/>
          <w:highlight w:val="none"/>
        </w:rPr>
        <w:t>1.评标委员会将根据总得分由高到低排列次序并推荐中标候选人。若得分相同的，按投标报价由低到高顺序排列。得分且投标报价相同的并列。投标文件满足招标文件全部实质性要求，且按照评审因素的量化指标评审得分最高的投标人为排名第一的中标候选人。</w:t>
      </w:r>
    </w:p>
    <w:p w14:paraId="19666817">
      <w:pPr>
        <w:pStyle w:val="15"/>
        <w:spacing w:line="360" w:lineRule="auto"/>
        <w:ind w:firstLine="420" w:firstLineChars="200"/>
        <w:rPr>
          <w:rFonts w:hAnsi="宋体"/>
          <w:color w:val="auto"/>
          <w:highlight w:val="none"/>
        </w:rPr>
      </w:pPr>
      <w:r>
        <w:rPr>
          <w:rFonts w:hint="eastAsia" w:hAnsi="宋体"/>
          <w:color w:val="auto"/>
          <w:highlight w:val="none"/>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及“投标人须知正文”30.2规定推荐。</w:t>
      </w:r>
    </w:p>
    <w:p w14:paraId="63EDA75A">
      <w:pPr>
        <w:pStyle w:val="15"/>
        <w:spacing w:line="360" w:lineRule="auto"/>
        <w:ind w:firstLine="482" w:firstLineChars="200"/>
        <w:rPr>
          <w:rFonts w:hAnsi="宋体"/>
          <w:color w:val="auto"/>
          <w:highlight w:val="none"/>
        </w:rPr>
      </w:pPr>
      <w:r>
        <w:rPr>
          <w:rFonts w:hint="eastAsia" w:hAnsi="宋体"/>
          <w:b/>
          <w:bCs/>
          <w:color w:val="auto"/>
          <w:sz w:val="24"/>
          <w:szCs w:val="24"/>
          <w:highlight w:val="none"/>
        </w:rPr>
        <w:t>（二）最低评标报价法</w:t>
      </w:r>
    </w:p>
    <w:p w14:paraId="43BBD3CA">
      <w:pPr>
        <w:pStyle w:val="15"/>
        <w:tabs>
          <w:tab w:val="left" w:pos="2472"/>
        </w:tabs>
        <w:spacing w:line="480" w:lineRule="exact"/>
        <w:ind w:firstLine="420" w:firstLineChars="200"/>
        <w:rPr>
          <w:rFonts w:hAnsi="宋体"/>
          <w:color w:val="auto"/>
          <w:highlight w:val="none"/>
        </w:rPr>
      </w:pPr>
      <w:r>
        <w:rPr>
          <w:rFonts w:hint="eastAsia" w:hAnsi="宋体"/>
          <w:color w:val="auto"/>
          <w:highlight w:val="none"/>
        </w:rPr>
        <w:t>1.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72CCCD03">
      <w:pPr>
        <w:pStyle w:val="15"/>
        <w:spacing w:line="360" w:lineRule="auto"/>
        <w:ind w:firstLine="420" w:firstLineChars="200"/>
        <w:rPr>
          <w:rFonts w:hAnsi="宋体"/>
          <w:color w:val="auto"/>
          <w:highlight w:val="none"/>
        </w:rPr>
      </w:pPr>
      <w:r>
        <w:rPr>
          <w:rFonts w:hint="eastAsia" w:hAnsi="宋体"/>
          <w:color w:val="auto"/>
          <w:highlight w:val="none"/>
        </w:rPr>
        <w:t>2. 根据《政府采购货物和服务招标投标管理办法》（财政部令第87号）第三十一条第一款规定，采用最低评标价法的采购项目，提供相同品牌产品的不同投标人参加同一合同项下投标的，以其通过资格审查、符合性审查且报价最低的参加评标；报价相同的，按照“投标人须知前附表”及“投标人须知正文”30.2规定推荐。</w:t>
      </w:r>
    </w:p>
    <w:p w14:paraId="25222E4F">
      <w:pPr>
        <w:pStyle w:val="15"/>
        <w:tabs>
          <w:tab w:val="left" w:pos="2472"/>
        </w:tabs>
        <w:spacing w:line="480" w:lineRule="exact"/>
        <w:ind w:firstLine="420" w:firstLineChars="200"/>
        <w:rPr>
          <w:rFonts w:hAnsi="宋体"/>
          <w:color w:val="auto"/>
          <w:highlight w:val="none"/>
        </w:rPr>
      </w:pPr>
    </w:p>
    <w:p w14:paraId="47425C57">
      <w:pPr>
        <w:pStyle w:val="3"/>
        <w:spacing w:before="0" w:after="0" w:line="360" w:lineRule="auto"/>
        <w:ind w:firstLine="600" w:firstLineChars="200"/>
        <w:jc w:val="center"/>
        <w:rPr>
          <w:rFonts w:ascii="宋体" w:hAnsi="宋体" w:eastAsia="宋体"/>
          <w:b w:val="0"/>
          <w:color w:val="auto"/>
          <w:sz w:val="30"/>
          <w:szCs w:val="30"/>
          <w:highlight w:val="none"/>
        </w:rPr>
      </w:pPr>
      <w:bookmarkStart w:id="121" w:name="_Toc118383693"/>
      <w:r>
        <w:rPr>
          <w:rFonts w:hint="eastAsia" w:ascii="宋体" w:hAnsi="宋体" w:eastAsia="宋体"/>
          <w:b w:val="0"/>
          <w:color w:val="auto"/>
          <w:sz w:val="30"/>
          <w:szCs w:val="30"/>
          <w:highlight w:val="none"/>
        </w:rPr>
        <w:t>第五节</w:t>
      </w:r>
      <w:r>
        <w:rPr>
          <w:rFonts w:ascii="宋体" w:hAnsi="宋体" w:eastAsia="宋体"/>
          <w:b w:val="0"/>
          <w:color w:val="auto"/>
          <w:sz w:val="30"/>
          <w:szCs w:val="30"/>
          <w:highlight w:val="none"/>
        </w:rPr>
        <w:t xml:space="preserve"> </w:t>
      </w:r>
      <w:r>
        <w:rPr>
          <w:rFonts w:hint="eastAsia" w:ascii="宋体" w:hAnsi="宋体" w:eastAsia="宋体"/>
          <w:b w:val="0"/>
          <w:color w:val="auto"/>
          <w:sz w:val="30"/>
          <w:szCs w:val="30"/>
          <w:highlight w:val="none"/>
        </w:rPr>
        <w:t>评标报告</w:t>
      </w:r>
      <w:bookmarkEnd w:id="121"/>
    </w:p>
    <w:p w14:paraId="05FF2188">
      <w:pPr>
        <w:pStyle w:val="35"/>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14:paraId="5FBC8F4F">
      <w:pPr>
        <w:pStyle w:val="15"/>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6856B1AD">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14:paraId="6B89A427">
      <w:pPr>
        <w:pStyle w:val="15"/>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197CD28B">
      <w:pPr>
        <w:widowControl/>
        <w:ind w:firstLine="723"/>
        <w:jc w:val="left"/>
        <w:rPr>
          <w:rFonts w:ascii="宋体" w:hAnsi="宋体"/>
          <w:b/>
          <w:color w:val="auto"/>
          <w:sz w:val="36"/>
          <w:szCs w:val="20"/>
          <w:highlight w:val="none"/>
        </w:rPr>
        <w:sectPr>
          <w:pgSz w:w="11906" w:h="16838"/>
          <w:pgMar w:top="1134" w:right="1134" w:bottom="1134" w:left="1134" w:header="720" w:footer="720" w:gutter="0"/>
          <w:cols w:space="720" w:num="1"/>
          <w:docGrid w:type="lines" w:linePitch="331" w:charSpace="0"/>
        </w:sectPr>
      </w:pPr>
    </w:p>
    <w:p w14:paraId="4A80E99D">
      <w:pPr>
        <w:pStyle w:val="15"/>
        <w:tabs>
          <w:tab w:val="left" w:pos="2472"/>
        </w:tabs>
        <w:spacing w:line="460" w:lineRule="exact"/>
        <w:ind w:firstLine="723"/>
        <w:jc w:val="center"/>
        <w:rPr>
          <w:rFonts w:hAnsi="宋体"/>
          <w:b/>
          <w:color w:val="auto"/>
          <w:sz w:val="36"/>
          <w:highlight w:val="none"/>
        </w:rPr>
      </w:pPr>
    </w:p>
    <w:p w14:paraId="24485C9F">
      <w:pPr>
        <w:pStyle w:val="15"/>
        <w:tabs>
          <w:tab w:val="left" w:pos="2472"/>
        </w:tabs>
        <w:spacing w:line="460" w:lineRule="exact"/>
        <w:ind w:firstLine="723"/>
        <w:jc w:val="center"/>
        <w:rPr>
          <w:rFonts w:hAnsi="宋体"/>
          <w:b/>
          <w:color w:val="auto"/>
          <w:sz w:val="36"/>
          <w:highlight w:val="none"/>
        </w:rPr>
      </w:pPr>
    </w:p>
    <w:p w14:paraId="2432F2B6">
      <w:pPr>
        <w:pStyle w:val="15"/>
        <w:tabs>
          <w:tab w:val="left" w:pos="2472"/>
        </w:tabs>
        <w:spacing w:line="460" w:lineRule="exact"/>
        <w:ind w:firstLine="723"/>
        <w:jc w:val="center"/>
        <w:rPr>
          <w:rFonts w:hAnsi="宋体"/>
          <w:b/>
          <w:color w:val="auto"/>
          <w:sz w:val="36"/>
          <w:highlight w:val="none"/>
        </w:rPr>
      </w:pPr>
    </w:p>
    <w:p w14:paraId="5B7748AB">
      <w:pPr>
        <w:pStyle w:val="15"/>
        <w:tabs>
          <w:tab w:val="left" w:pos="2472"/>
        </w:tabs>
        <w:spacing w:line="460" w:lineRule="exact"/>
        <w:ind w:firstLine="723"/>
        <w:jc w:val="center"/>
        <w:rPr>
          <w:rFonts w:hAnsi="宋体"/>
          <w:b/>
          <w:color w:val="auto"/>
          <w:sz w:val="36"/>
          <w:highlight w:val="none"/>
        </w:rPr>
      </w:pPr>
    </w:p>
    <w:p w14:paraId="36D1E3A2">
      <w:pPr>
        <w:pStyle w:val="15"/>
        <w:tabs>
          <w:tab w:val="left" w:pos="2472"/>
        </w:tabs>
        <w:spacing w:line="460" w:lineRule="exact"/>
        <w:ind w:firstLine="723"/>
        <w:jc w:val="center"/>
        <w:rPr>
          <w:rFonts w:hAnsi="宋体"/>
          <w:b/>
          <w:color w:val="auto"/>
          <w:sz w:val="36"/>
          <w:highlight w:val="none"/>
        </w:rPr>
      </w:pPr>
    </w:p>
    <w:p w14:paraId="26C1AE02">
      <w:pPr>
        <w:pStyle w:val="15"/>
        <w:tabs>
          <w:tab w:val="left" w:pos="2472"/>
        </w:tabs>
        <w:spacing w:line="460" w:lineRule="exact"/>
        <w:ind w:firstLine="723"/>
        <w:jc w:val="center"/>
        <w:rPr>
          <w:rFonts w:hAnsi="宋体"/>
          <w:b/>
          <w:color w:val="auto"/>
          <w:sz w:val="36"/>
          <w:highlight w:val="none"/>
        </w:rPr>
      </w:pPr>
    </w:p>
    <w:p w14:paraId="41490B73">
      <w:pPr>
        <w:pStyle w:val="15"/>
        <w:tabs>
          <w:tab w:val="left" w:pos="2472"/>
        </w:tabs>
        <w:spacing w:line="460" w:lineRule="exact"/>
        <w:ind w:firstLine="723"/>
        <w:jc w:val="center"/>
        <w:rPr>
          <w:rFonts w:hAnsi="宋体"/>
          <w:b/>
          <w:color w:val="auto"/>
          <w:sz w:val="36"/>
          <w:highlight w:val="none"/>
        </w:rPr>
      </w:pPr>
    </w:p>
    <w:p w14:paraId="2AE6C166">
      <w:pPr>
        <w:pStyle w:val="15"/>
        <w:tabs>
          <w:tab w:val="left" w:pos="2472"/>
        </w:tabs>
        <w:spacing w:line="460" w:lineRule="exact"/>
        <w:ind w:firstLine="723"/>
        <w:jc w:val="center"/>
        <w:rPr>
          <w:rFonts w:hAnsi="宋体"/>
          <w:b/>
          <w:color w:val="auto"/>
          <w:sz w:val="36"/>
          <w:highlight w:val="none"/>
        </w:rPr>
      </w:pPr>
    </w:p>
    <w:p w14:paraId="1FEBE1EF">
      <w:pPr>
        <w:pStyle w:val="15"/>
        <w:tabs>
          <w:tab w:val="left" w:pos="2472"/>
        </w:tabs>
        <w:spacing w:line="460" w:lineRule="exact"/>
        <w:ind w:firstLine="723"/>
        <w:jc w:val="center"/>
        <w:rPr>
          <w:rFonts w:hAnsi="宋体"/>
          <w:b/>
          <w:color w:val="auto"/>
          <w:sz w:val="36"/>
          <w:highlight w:val="none"/>
        </w:rPr>
      </w:pPr>
    </w:p>
    <w:p w14:paraId="22BA4640">
      <w:pPr>
        <w:pStyle w:val="15"/>
        <w:tabs>
          <w:tab w:val="left" w:pos="2472"/>
        </w:tabs>
        <w:spacing w:line="460" w:lineRule="exact"/>
        <w:ind w:firstLine="723"/>
        <w:jc w:val="center"/>
        <w:rPr>
          <w:rFonts w:hAnsi="宋体"/>
          <w:b/>
          <w:color w:val="auto"/>
          <w:sz w:val="36"/>
          <w:highlight w:val="none"/>
        </w:rPr>
      </w:pPr>
    </w:p>
    <w:p w14:paraId="4211615C">
      <w:pPr>
        <w:pStyle w:val="15"/>
        <w:tabs>
          <w:tab w:val="left" w:pos="2472"/>
        </w:tabs>
        <w:spacing w:line="460" w:lineRule="exact"/>
        <w:ind w:firstLine="723"/>
        <w:jc w:val="center"/>
        <w:rPr>
          <w:rFonts w:hAnsi="宋体"/>
          <w:b/>
          <w:color w:val="auto"/>
          <w:sz w:val="36"/>
          <w:highlight w:val="none"/>
        </w:rPr>
      </w:pPr>
    </w:p>
    <w:p w14:paraId="43AF1699">
      <w:pPr>
        <w:pStyle w:val="15"/>
        <w:tabs>
          <w:tab w:val="left" w:pos="2472"/>
        </w:tabs>
        <w:spacing w:line="460" w:lineRule="exact"/>
        <w:ind w:firstLine="723"/>
        <w:jc w:val="center"/>
        <w:rPr>
          <w:rFonts w:hAnsi="宋体"/>
          <w:b/>
          <w:color w:val="auto"/>
          <w:sz w:val="36"/>
          <w:highlight w:val="none"/>
        </w:rPr>
      </w:pPr>
    </w:p>
    <w:p w14:paraId="05D393B2">
      <w:pPr>
        <w:pStyle w:val="15"/>
        <w:tabs>
          <w:tab w:val="left" w:pos="2472"/>
        </w:tabs>
        <w:spacing w:line="460" w:lineRule="exact"/>
        <w:ind w:firstLine="723"/>
        <w:jc w:val="center"/>
        <w:rPr>
          <w:rFonts w:hAnsi="宋体"/>
          <w:b/>
          <w:color w:val="auto"/>
          <w:sz w:val="36"/>
          <w:highlight w:val="none"/>
        </w:rPr>
      </w:pPr>
    </w:p>
    <w:p w14:paraId="1D20425B">
      <w:pPr>
        <w:pStyle w:val="15"/>
        <w:tabs>
          <w:tab w:val="left" w:pos="2472"/>
        </w:tabs>
        <w:spacing w:line="460" w:lineRule="exact"/>
        <w:ind w:firstLine="723"/>
        <w:jc w:val="center"/>
        <w:outlineLvl w:val="0"/>
        <w:rPr>
          <w:rFonts w:hAnsi="宋体"/>
          <w:b/>
          <w:color w:val="auto"/>
          <w:sz w:val="36"/>
          <w:highlight w:val="none"/>
        </w:rPr>
      </w:pPr>
      <w:bookmarkStart w:id="122" w:name="_Toc118383694"/>
      <w:r>
        <w:rPr>
          <w:rFonts w:hint="eastAsia" w:hAnsi="宋体"/>
          <w:b/>
          <w:color w:val="auto"/>
          <w:sz w:val="36"/>
          <w:highlight w:val="none"/>
        </w:rPr>
        <w:t>第五章</w:t>
      </w:r>
      <w:r>
        <w:rPr>
          <w:rFonts w:hAnsi="宋体"/>
          <w:b/>
          <w:color w:val="auto"/>
          <w:sz w:val="36"/>
          <w:highlight w:val="none"/>
        </w:rPr>
        <w:t xml:space="preserve"> </w:t>
      </w:r>
      <w:r>
        <w:rPr>
          <w:rFonts w:hint="eastAsia" w:hAnsi="宋体"/>
          <w:b/>
          <w:color w:val="auto"/>
          <w:sz w:val="36"/>
          <w:highlight w:val="none"/>
        </w:rPr>
        <w:t>拟签订的合同文本</w:t>
      </w:r>
      <w:bookmarkEnd w:id="122"/>
    </w:p>
    <w:p w14:paraId="7C0041A4">
      <w:pPr>
        <w:widowControl/>
        <w:jc w:val="left"/>
        <w:rPr>
          <w:rFonts w:ascii="宋体" w:hAnsi="宋体"/>
          <w:bCs/>
          <w:color w:val="auto"/>
          <w:szCs w:val="20"/>
          <w:highlight w:val="none"/>
        </w:rPr>
        <w:sectPr>
          <w:pgSz w:w="11906" w:h="16838"/>
          <w:pgMar w:top="1134" w:right="1134" w:bottom="1134" w:left="1134" w:header="720" w:footer="720" w:gutter="0"/>
          <w:cols w:space="720" w:num="1"/>
          <w:docGrid w:type="lines" w:linePitch="331" w:charSpace="0"/>
        </w:sectPr>
      </w:pPr>
    </w:p>
    <w:p w14:paraId="71633CF0">
      <w:pPr>
        <w:spacing w:line="360" w:lineRule="auto"/>
        <w:ind w:firstLine="480"/>
        <w:rPr>
          <w:rFonts w:ascii="宋体" w:hAnsi="宋体"/>
          <w:color w:val="auto"/>
          <w:sz w:val="24"/>
          <w:highlight w:val="none"/>
          <w:u w:val="single"/>
        </w:rPr>
      </w:pPr>
      <w:r>
        <w:rPr>
          <w:rFonts w:hint="eastAsia" w:ascii="宋体" w:hAnsi="宋体"/>
          <w:color w:val="auto"/>
          <w:sz w:val="24"/>
          <w:highlight w:val="none"/>
        </w:rPr>
        <w:t>“广西政府采购云平台”平台合同编号：</w:t>
      </w:r>
      <w:r>
        <w:rPr>
          <w:rFonts w:hint="eastAsia" w:ascii="宋体" w:hAnsi="宋体"/>
          <w:color w:val="auto"/>
          <w:sz w:val="24"/>
          <w:highlight w:val="none"/>
          <w:u w:val="single"/>
        </w:rPr>
        <w:t xml:space="preserve">           </w:t>
      </w:r>
    </w:p>
    <w:p w14:paraId="63F2F617">
      <w:pPr>
        <w:spacing w:line="360" w:lineRule="auto"/>
        <w:ind w:firstLine="1044"/>
        <w:jc w:val="center"/>
        <w:rPr>
          <w:rFonts w:ascii="宋体" w:hAnsi="宋体"/>
          <w:b/>
          <w:bCs/>
          <w:color w:val="auto"/>
          <w:sz w:val="52"/>
          <w:highlight w:val="none"/>
        </w:rPr>
      </w:pPr>
      <w:r>
        <w:rPr>
          <w:rFonts w:hint="eastAsia" w:ascii="宋体" w:hAnsi="宋体"/>
          <w:b/>
          <w:bCs/>
          <w:color w:val="auto"/>
          <w:sz w:val="52"/>
          <w:highlight w:val="none"/>
        </w:rPr>
        <w:t>南 宁 市 政 府 采 购</w:t>
      </w:r>
    </w:p>
    <w:p w14:paraId="487F02B9">
      <w:pPr>
        <w:spacing w:line="360" w:lineRule="auto"/>
        <w:ind w:firstLine="420" w:firstLineChars="200"/>
        <w:rPr>
          <w:rFonts w:ascii="宋体" w:hAnsi="宋体"/>
          <w:color w:val="auto"/>
          <w:highlight w:val="none"/>
        </w:rPr>
      </w:pPr>
    </w:p>
    <w:p w14:paraId="494E1E20">
      <w:pPr>
        <w:spacing w:line="360" w:lineRule="auto"/>
        <w:ind w:firstLine="420" w:firstLineChars="200"/>
        <w:rPr>
          <w:rFonts w:ascii="宋体" w:hAnsi="宋体"/>
          <w:color w:val="auto"/>
          <w:highlight w:val="none"/>
        </w:rPr>
      </w:pPr>
      <w:r>
        <w:rPr>
          <w:rFonts w:hint="eastAsia" w:ascii="宋体" w:hAnsi="宋体"/>
          <w:color w:val="auto"/>
          <w:highlight w:val="none"/>
        </w:rPr>
        <w:t xml:space="preserve">                                                 </w:t>
      </w:r>
    </w:p>
    <w:p w14:paraId="1FBAC975">
      <w:pPr>
        <w:spacing w:line="360" w:lineRule="auto"/>
        <w:ind w:firstLine="883"/>
        <w:jc w:val="center"/>
        <w:rPr>
          <w:rFonts w:ascii="宋体" w:hAnsi="宋体"/>
          <w:b/>
          <w:bCs/>
          <w:color w:val="auto"/>
          <w:sz w:val="44"/>
          <w:highlight w:val="none"/>
        </w:rPr>
      </w:pPr>
      <w:r>
        <w:rPr>
          <w:rFonts w:hint="eastAsia" w:ascii="宋体" w:hAnsi="宋体"/>
          <w:b/>
          <w:bCs/>
          <w:color w:val="auto"/>
          <w:sz w:val="44"/>
          <w:highlight w:val="none"/>
          <w:u w:val="single"/>
        </w:rPr>
        <w:t xml:space="preserve">  南宁职业技术大学跨境电子商务专业群实训室建设项目</w:t>
      </w:r>
      <w:r>
        <w:rPr>
          <w:rFonts w:hint="eastAsia" w:ascii="宋体" w:hAnsi="宋体"/>
          <w:b/>
          <w:bCs/>
          <w:color w:val="auto"/>
          <w:sz w:val="44"/>
          <w:highlight w:val="none"/>
        </w:rPr>
        <w:t>合同</w:t>
      </w:r>
    </w:p>
    <w:p w14:paraId="7293A9A2">
      <w:pPr>
        <w:spacing w:line="360" w:lineRule="auto"/>
        <w:ind w:firstLine="883"/>
        <w:jc w:val="center"/>
        <w:rPr>
          <w:rFonts w:ascii="宋体" w:hAnsi="宋体"/>
          <w:b/>
          <w:bCs/>
          <w:color w:val="auto"/>
          <w:sz w:val="44"/>
          <w:highlight w:val="none"/>
        </w:rPr>
      </w:pPr>
    </w:p>
    <w:p w14:paraId="0A2FE09E">
      <w:pPr>
        <w:spacing w:line="360" w:lineRule="auto"/>
        <w:ind w:firstLine="883"/>
        <w:jc w:val="center"/>
        <w:rPr>
          <w:rFonts w:ascii="宋体" w:hAnsi="宋体"/>
          <w:b/>
          <w:bCs/>
          <w:color w:val="auto"/>
          <w:sz w:val="44"/>
          <w:highlight w:val="none"/>
        </w:rPr>
      </w:pPr>
    </w:p>
    <w:p w14:paraId="025BC282">
      <w:pPr>
        <w:spacing w:line="360" w:lineRule="auto"/>
        <w:ind w:firstLine="3507" w:firstLineChars="794"/>
        <w:rPr>
          <w:rFonts w:ascii="宋体" w:hAnsi="宋体"/>
          <w:b/>
          <w:bCs/>
          <w:color w:val="auto"/>
          <w:sz w:val="44"/>
          <w:highlight w:val="none"/>
        </w:rPr>
      </w:pPr>
    </w:p>
    <w:p w14:paraId="1362760B">
      <w:pPr>
        <w:spacing w:line="360" w:lineRule="auto"/>
        <w:ind w:firstLine="3507" w:firstLineChars="794"/>
        <w:rPr>
          <w:rFonts w:ascii="宋体" w:hAnsi="宋体"/>
          <w:b/>
          <w:bCs/>
          <w:color w:val="auto"/>
          <w:sz w:val="44"/>
          <w:highlight w:val="none"/>
        </w:rPr>
      </w:pPr>
    </w:p>
    <w:p w14:paraId="6A2EC281">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项目编号：</w:t>
      </w:r>
      <w:r>
        <w:rPr>
          <w:rFonts w:hint="eastAsia" w:ascii="宋体" w:hAnsi="宋体"/>
          <w:b/>
          <w:color w:val="auto"/>
          <w:sz w:val="36"/>
          <w:szCs w:val="36"/>
          <w:highlight w:val="none"/>
          <w:u w:val="single"/>
          <w:lang w:eastAsia="zh-CN"/>
        </w:rPr>
        <w:t>NNZC2024-G1-991788-JDZB</w:t>
      </w:r>
      <w:r>
        <w:rPr>
          <w:rFonts w:hint="eastAsia" w:ascii="宋体" w:hAnsi="宋体"/>
          <w:b/>
          <w:color w:val="auto"/>
          <w:sz w:val="36"/>
          <w:szCs w:val="36"/>
          <w:highlight w:val="none"/>
          <w:u w:val="single"/>
        </w:rPr>
        <w:t xml:space="preserve">  </w:t>
      </w:r>
    </w:p>
    <w:p w14:paraId="2BF936FE">
      <w:pPr>
        <w:ind w:firstLine="1995" w:firstLineChars="552"/>
        <w:rPr>
          <w:rFonts w:ascii="宋体" w:hAnsi="宋体"/>
          <w:b/>
          <w:color w:val="auto"/>
          <w:sz w:val="36"/>
          <w:szCs w:val="36"/>
          <w:highlight w:val="none"/>
        </w:rPr>
      </w:pPr>
      <w:r>
        <w:rPr>
          <w:rFonts w:hint="eastAsia" w:ascii="宋体" w:hAnsi="宋体"/>
          <w:b/>
          <w:color w:val="auto"/>
          <w:sz w:val="36"/>
          <w:szCs w:val="36"/>
          <w:highlight w:val="none"/>
        </w:rPr>
        <w:t>计划编号：</w:t>
      </w:r>
      <w:r>
        <w:rPr>
          <w:rFonts w:hint="eastAsia" w:ascii="宋体" w:hAnsi="宋体"/>
          <w:b/>
          <w:color w:val="auto"/>
          <w:sz w:val="36"/>
          <w:szCs w:val="36"/>
          <w:highlight w:val="none"/>
          <w:u w:val="single"/>
        </w:rPr>
        <w:t xml:space="preserve">  </w:t>
      </w:r>
      <w:bookmarkStart w:id="123" w:name="PO_3000001867_PM001WMC001"/>
      <w:r>
        <w:rPr>
          <w:rFonts w:hint="eastAsia" w:ascii="宋体" w:hAnsi="宋体"/>
          <w:b/>
          <w:color w:val="auto"/>
          <w:sz w:val="36"/>
          <w:szCs w:val="36"/>
          <w:highlight w:val="none"/>
          <w:u w:val="single"/>
        </w:rPr>
        <w:t>[             ]</w:t>
      </w:r>
      <w:bookmarkEnd w:id="123"/>
      <w:r>
        <w:rPr>
          <w:rFonts w:hint="eastAsia" w:ascii="宋体" w:hAnsi="宋体"/>
          <w:b/>
          <w:color w:val="auto"/>
          <w:sz w:val="36"/>
          <w:szCs w:val="36"/>
          <w:highlight w:val="none"/>
          <w:u w:val="single"/>
        </w:rPr>
        <w:t xml:space="preserve">  </w:t>
      </w:r>
    </w:p>
    <w:p w14:paraId="60C35522">
      <w:pPr>
        <w:ind w:firstLine="1970" w:firstLineChars="545"/>
        <w:rPr>
          <w:rFonts w:ascii="宋体" w:hAnsi="宋体"/>
          <w:b/>
          <w:color w:val="auto"/>
          <w:sz w:val="36"/>
          <w:szCs w:val="36"/>
          <w:highlight w:val="none"/>
          <w:u w:val="single"/>
        </w:rPr>
      </w:pPr>
    </w:p>
    <w:p w14:paraId="66D2C306">
      <w:pPr>
        <w:ind w:firstLine="1995" w:firstLineChars="552"/>
        <w:rPr>
          <w:rFonts w:ascii="宋体" w:hAnsi="宋体"/>
          <w:b/>
          <w:color w:val="auto"/>
          <w:sz w:val="36"/>
          <w:szCs w:val="36"/>
          <w:highlight w:val="none"/>
          <w:u w:val="single"/>
        </w:rPr>
      </w:pPr>
    </w:p>
    <w:p w14:paraId="77BA0B05">
      <w:pPr>
        <w:ind w:firstLine="1995" w:firstLineChars="552"/>
        <w:rPr>
          <w:rFonts w:ascii="宋体" w:hAnsi="宋体"/>
          <w:b/>
          <w:color w:val="auto"/>
          <w:sz w:val="36"/>
          <w:szCs w:val="36"/>
          <w:highlight w:val="none"/>
          <w:u w:val="single"/>
        </w:rPr>
      </w:pPr>
    </w:p>
    <w:p w14:paraId="6CF61A06">
      <w:pPr>
        <w:tabs>
          <w:tab w:val="left" w:pos="7200"/>
        </w:tabs>
        <w:spacing w:line="360" w:lineRule="auto"/>
        <w:ind w:firstLine="1995" w:firstLineChars="552"/>
        <w:rPr>
          <w:rFonts w:ascii="宋体" w:hAnsi="宋体"/>
          <w:b/>
          <w:color w:val="auto"/>
          <w:sz w:val="36"/>
          <w:szCs w:val="36"/>
          <w:highlight w:val="none"/>
          <w:u w:val="single"/>
        </w:rPr>
      </w:pPr>
      <w:r>
        <w:rPr>
          <w:rFonts w:hint="eastAsia" w:ascii="宋体" w:hAnsi="宋体"/>
          <w:b/>
          <w:color w:val="auto"/>
          <w:sz w:val="36"/>
          <w:szCs w:val="36"/>
          <w:highlight w:val="none"/>
        </w:rPr>
        <w:t>采购人：</w:t>
      </w:r>
      <w:r>
        <w:rPr>
          <w:rFonts w:hint="eastAsia" w:ascii="宋体" w:hAnsi="宋体"/>
          <w:b/>
          <w:color w:val="auto"/>
          <w:sz w:val="36"/>
          <w:szCs w:val="36"/>
          <w:highlight w:val="none"/>
          <w:u w:val="single"/>
        </w:rPr>
        <w:t xml:space="preserve"> 南宁职业技术大学  </w:t>
      </w:r>
    </w:p>
    <w:p w14:paraId="72868FBB">
      <w:pPr>
        <w:tabs>
          <w:tab w:val="left" w:pos="7380"/>
        </w:tabs>
        <w:spacing w:line="360" w:lineRule="auto"/>
        <w:ind w:firstLine="1995" w:firstLineChars="552"/>
        <w:rPr>
          <w:rFonts w:ascii="宋体" w:hAnsi="宋体"/>
          <w:b/>
          <w:bCs/>
          <w:color w:val="auto"/>
          <w:sz w:val="44"/>
          <w:highlight w:val="none"/>
        </w:rPr>
      </w:pPr>
      <w:r>
        <w:rPr>
          <w:rFonts w:hint="eastAsia" w:ascii="宋体" w:hAnsi="宋体"/>
          <w:b/>
          <w:color w:val="auto"/>
          <w:sz w:val="36"/>
          <w:szCs w:val="36"/>
          <w:highlight w:val="none"/>
        </w:rPr>
        <w:t>中标供应商：</w:t>
      </w:r>
      <w:r>
        <w:rPr>
          <w:rFonts w:hint="eastAsia" w:ascii="宋体" w:hAnsi="宋体"/>
          <w:b/>
          <w:color w:val="auto"/>
          <w:sz w:val="36"/>
          <w:szCs w:val="36"/>
          <w:highlight w:val="none"/>
          <w:u w:val="single"/>
        </w:rPr>
        <w:t xml:space="preserve">                   </w:t>
      </w:r>
    </w:p>
    <w:p w14:paraId="299AF320">
      <w:pPr>
        <w:tabs>
          <w:tab w:val="left" w:pos="7380"/>
        </w:tabs>
        <w:spacing w:line="360" w:lineRule="auto"/>
        <w:ind w:firstLine="883"/>
        <w:rPr>
          <w:rFonts w:ascii="宋体" w:hAnsi="宋体"/>
          <w:b/>
          <w:bCs/>
          <w:color w:val="auto"/>
          <w:sz w:val="44"/>
          <w:highlight w:val="none"/>
        </w:rPr>
      </w:pPr>
    </w:p>
    <w:p w14:paraId="6F59286A">
      <w:pPr>
        <w:spacing w:before="120" w:line="360" w:lineRule="auto"/>
        <w:ind w:firstLine="960" w:firstLineChars="400"/>
        <w:rPr>
          <w:rFonts w:ascii="宋体" w:hAnsi="宋体"/>
          <w:color w:val="auto"/>
          <w:sz w:val="24"/>
          <w:highlight w:val="none"/>
        </w:rPr>
      </w:pPr>
    </w:p>
    <w:p w14:paraId="75D8E7FA">
      <w:pPr>
        <w:spacing w:before="120" w:line="360" w:lineRule="auto"/>
        <w:ind w:firstLine="960" w:firstLineChars="400"/>
        <w:rPr>
          <w:rFonts w:ascii="宋体" w:hAnsi="宋体"/>
          <w:color w:val="auto"/>
          <w:sz w:val="24"/>
          <w:highlight w:val="none"/>
        </w:rPr>
      </w:pPr>
    </w:p>
    <w:p w14:paraId="4081347F">
      <w:pPr>
        <w:spacing w:before="120" w:line="360" w:lineRule="auto"/>
        <w:ind w:firstLine="2280" w:firstLineChars="950"/>
        <w:rPr>
          <w:rFonts w:ascii="宋体" w:hAnsi="宋体"/>
          <w:color w:val="auto"/>
          <w:sz w:val="24"/>
          <w:highlight w:val="none"/>
          <w:u w:val="single"/>
        </w:rPr>
      </w:pPr>
      <w:r>
        <w:rPr>
          <w:rFonts w:hint="eastAsia" w:ascii="宋体" w:hAnsi="宋体"/>
          <w:color w:val="auto"/>
          <w:sz w:val="24"/>
          <w:highlight w:val="none"/>
        </w:rPr>
        <w:t>签订日期：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3F060463">
      <w:pPr>
        <w:pStyle w:val="36"/>
        <w:ind w:firstLine="883"/>
        <w:jc w:val="center"/>
        <w:rPr>
          <w:rFonts w:ascii="宋体" w:hAnsi="宋体"/>
          <w:b/>
          <w:bCs/>
          <w:color w:val="auto"/>
          <w:sz w:val="44"/>
          <w:highlight w:val="none"/>
        </w:rPr>
      </w:pPr>
    </w:p>
    <w:p w14:paraId="5609F24A">
      <w:pPr>
        <w:snapToGrid w:val="0"/>
        <w:spacing w:line="360" w:lineRule="auto"/>
        <w:ind w:firstLine="883"/>
        <w:jc w:val="center"/>
        <w:rPr>
          <w:rFonts w:ascii="宋体" w:hAnsi="宋体"/>
          <w:b/>
          <w:color w:val="auto"/>
          <w:sz w:val="24"/>
          <w:highlight w:val="none"/>
        </w:rPr>
      </w:pPr>
      <w:r>
        <w:rPr>
          <w:rFonts w:hint="eastAsia" w:ascii="宋体" w:hAnsi="宋体"/>
          <w:b/>
          <w:bCs/>
          <w:color w:val="auto"/>
          <w:sz w:val="44"/>
          <w:highlight w:val="none"/>
        </w:rPr>
        <w:br w:type="page"/>
      </w:r>
      <w:r>
        <w:rPr>
          <w:rFonts w:hint="eastAsia" w:ascii="宋体" w:hAnsi="宋体"/>
          <w:b/>
          <w:color w:val="auto"/>
          <w:sz w:val="24"/>
          <w:highlight w:val="none"/>
        </w:rPr>
        <w:t>合同目录</w:t>
      </w:r>
    </w:p>
    <w:p w14:paraId="69BA2252">
      <w:pPr>
        <w:snapToGrid w:val="0"/>
        <w:spacing w:line="360" w:lineRule="auto"/>
        <w:ind w:firstLine="883"/>
        <w:jc w:val="center"/>
        <w:rPr>
          <w:rFonts w:ascii="宋体" w:hAnsi="宋体"/>
          <w:b/>
          <w:bCs/>
          <w:color w:val="auto"/>
          <w:sz w:val="44"/>
          <w:highlight w:val="none"/>
        </w:rPr>
      </w:pPr>
    </w:p>
    <w:p w14:paraId="32BE7260">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一、</w:t>
      </w:r>
      <w:r>
        <w:rPr>
          <w:rFonts w:hint="eastAsia" w:ascii="宋体" w:hAnsi="宋体"/>
          <w:color w:val="auto"/>
          <w:sz w:val="24"/>
          <w:highlight w:val="none"/>
        </w:rPr>
        <w:t>第一部分 合同书</w:t>
      </w:r>
      <w:r>
        <w:rPr>
          <w:rFonts w:hint="eastAsia" w:ascii="宋体" w:hAnsi="宋体" w:cs="仿宋_GB2312"/>
          <w:color w:val="auto"/>
          <w:kern w:val="0"/>
          <w:sz w:val="24"/>
          <w:highlight w:val="none"/>
        </w:rPr>
        <w:t>……………………………………………………………（页码）</w:t>
      </w:r>
    </w:p>
    <w:p w14:paraId="2E3C69A4">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二、第二部分 合同一般条款……………………………………………………（页码）</w:t>
      </w:r>
    </w:p>
    <w:p w14:paraId="49C579F7">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三、第三部分 合同专用条款……………………………………………………（页码）</w:t>
      </w:r>
    </w:p>
    <w:p w14:paraId="744E64EB">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四、</w:t>
      </w:r>
      <w:r>
        <w:rPr>
          <w:rFonts w:hint="eastAsia" w:ascii="宋体" w:hAnsi="宋体"/>
          <w:color w:val="auto"/>
          <w:sz w:val="24"/>
          <w:highlight w:val="none"/>
        </w:rPr>
        <w:t>第四部分 合同附件</w:t>
      </w:r>
      <w:r>
        <w:rPr>
          <w:rFonts w:hint="eastAsia" w:ascii="宋体" w:hAnsi="宋体" w:cs="仿宋_GB2312"/>
          <w:color w:val="auto"/>
          <w:kern w:val="0"/>
          <w:sz w:val="24"/>
          <w:highlight w:val="none"/>
        </w:rPr>
        <w:t>…………………………………………………………（页码）</w:t>
      </w:r>
    </w:p>
    <w:p w14:paraId="69E9E2F0">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4.1中标通知书 …………………………………………………………………（页码）</w:t>
      </w:r>
    </w:p>
    <w:p w14:paraId="07945058">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4.2招标文件服务需求一览表 …………………………………………………（页码）</w:t>
      </w:r>
    </w:p>
    <w:p w14:paraId="72B9D87F">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4.3招标文件的更改通知（如有） ……………………………………………（页码）</w:t>
      </w:r>
    </w:p>
    <w:p w14:paraId="7CCC270E">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4.4投标函 ………………………………………………………………………（页码）</w:t>
      </w:r>
    </w:p>
    <w:p w14:paraId="5E710C30">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4.5开标一览表 ………………………………………………………………………（页码）</w:t>
      </w:r>
    </w:p>
    <w:p w14:paraId="20A1B6E8">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4.6投标服务技术偏离表 ………………………………………………………（页码）</w:t>
      </w:r>
    </w:p>
    <w:p w14:paraId="47E8F4CF">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4.7商务条款偏离表 ……………………………………………………………（页码）</w:t>
      </w:r>
    </w:p>
    <w:p w14:paraId="0D841F10">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4.8中标供应商澄清函（如有请提供） ………………………………………（页码）</w:t>
      </w:r>
    </w:p>
    <w:p w14:paraId="3BF94320">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4.9其他与本合同相关的资料（如有请提供） ………………………………（页码）</w:t>
      </w:r>
    </w:p>
    <w:p w14:paraId="4E4BB96B">
      <w:pPr>
        <w:snapToGrid w:val="0"/>
        <w:spacing w:line="360" w:lineRule="auto"/>
        <w:ind w:firstLine="480"/>
        <w:rPr>
          <w:rFonts w:ascii="宋体" w:hAnsi="宋体" w:cs="仿宋_GB2312"/>
          <w:color w:val="auto"/>
          <w:kern w:val="0"/>
          <w:sz w:val="24"/>
          <w:highlight w:val="none"/>
        </w:rPr>
      </w:pPr>
    </w:p>
    <w:p w14:paraId="549B77FE">
      <w:pPr>
        <w:widowControl/>
        <w:spacing w:beforeAutospacing="1" w:afterAutospacing="1"/>
        <w:ind w:firstLine="352"/>
        <w:jc w:val="left"/>
        <w:rPr>
          <w:rFonts w:ascii="宋体" w:hAnsi="宋体"/>
          <w:color w:val="auto"/>
          <w:spacing w:val="-4"/>
          <w:sz w:val="18"/>
          <w:szCs w:val="20"/>
          <w:highlight w:val="none"/>
        </w:rPr>
        <w:sectPr>
          <w:pgSz w:w="11906" w:h="16838"/>
          <w:pgMar w:top="1134" w:right="1134" w:bottom="1134" w:left="1134" w:header="720" w:footer="720" w:gutter="0"/>
          <w:cols w:space="720" w:num="1"/>
          <w:docGrid w:type="lines" w:linePitch="331" w:charSpace="0"/>
        </w:sectPr>
      </w:pPr>
    </w:p>
    <w:p w14:paraId="0024B84D">
      <w:pPr>
        <w:pStyle w:val="36"/>
        <w:ind w:firstLine="562"/>
        <w:jc w:val="center"/>
        <w:rPr>
          <w:rFonts w:ascii="宋体" w:hAnsi="宋体"/>
          <w:b/>
          <w:color w:val="auto"/>
          <w:sz w:val="28"/>
          <w:szCs w:val="28"/>
          <w:highlight w:val="none"/>
        </w:rPr>
      </w:pPr>
      <w:r>
        <w:rPr>
          <w:rFonts w:hint="eastAsia" w:ascii="宋体" w:hAnsi="宋体"/>
          <w:b/>
          <w:color w:val="auto"/>
          <w:sz w:val="28"/>
          <w:szCs w:val="28"/>
          <w:highlight w:val="none"/>
        </w:rPr>
        <w:t>第一部分 合同书</w:t>
      </w:r>
    </w:p>
    <w:p w14:paraId="704EE949">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hint="eastAsia"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hint="eastAsia" w:ascii="宋体" w:hAnsi="宋体"/>
          <w:color w:val="auto"/>
          <w:sz w:val="24"/>
          <w:highlight w:val="none"/>
          <w:u w:val="single"/>
        </w:rPr>
        <w:t xml:space="preserve">  南宁职业技术大学    </w:t>
      </w:r>
      <w:r>
        <w:rPr>
          <w:rFonts w:hint="eastAsia" w:ascii="宋体" w:hAnsi="宋体"/>
          <w:color w:val="auto"/>
          <w:sz w:val="24"/>
          <w:highlight w:val="none"/>
        </w:rPr>
        <w:t>以</w:t>
      </w:r>
      <w:r>
        <w:rPr>
          <w:rFonts w:hint="eastAsia" w:ascii="宋体" w:hAnsi="宋体"/>
          <w:color w:val="auto"/>
          <w:sz w:val="24"/>
          <w:highlight w:val="none"/>
          <w:u w:val="single"/>
        </w:rPr>
        <w:t xml:space="preserve">   公开招标方式  </w:t>
      </w:r>
      <w:r>
        <w:rPr>
          <w:rFonts w:hint="eastAsia" w:ascii="宋体" w:hAnsi="宋体"/>
          <w:color w:val="auto"/>
          <w:sz w:val="24"/>
          <w:highlight w:val="none"/>
        </w:rPr>
        <w:t>对</w:t>
      </w:r>
      <w:r>
        <w:rPr>
          <w:rFonts w:hint="eastAsia" w:ascii="宋体" w:hAnsi="宋体"/>
          <w:color w:val="auto"/>
          <w:sz w:val="24"/>
          <w:highlight w:val="none"/>
          <w:u w:val="single"/>
        </w:rPr>
        <w:t>南宁职业技术大学跨境电子商务专业群实训室建设项目</w:t>
      </w:r>
      <w:r>
        <w:rPr>
          <w:rFonts w:hint="eastAsia" w:ascii="宋体" w:hAnsi="宋体"/>
          <w:color w:val="auto"/>
          <w:sz w:val="24"/>
          <w:highlight w:val="none"/>
        </w:rPr>
        <w:t>项目进行了采购。经</w:t>
      </w:r>
      <w:r>
        <w:rPr>
          <w:rFonts w:hint="eastAsia"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hint="eastAsia" w:ascii="宋体" w:hAnsi="宋体"/>
          <w:color w:val="auto"/>
          <w:sz w:val="24"/>
          <w:highlight w:val="none"/>
          <w:u w:val="single"/>
        </w:rPr>
        <w:t xml:space="preserve">   （中标人名称）</w:t>
      </w:r>
      <w:r>
        <w:rPr>
          <w:rFonts w:hint="eastAsia" w:ascii="宋体" w:hAnsi="宋体"/>
          <w:color w:val="auto"/>
          <w:sz w:val="24"/>
          <w:highlight w:val="none"/>
        </w:rPr>
        <w:t>为该项目中标人。现于中标通知书发出之日起二十五日内，按照采购文件确定的事项签订本合同。</w:t>
      </w:r>
    </w:p>
    <w:p w14:paraId="0DEBE910">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olor w:val="auto"/>
          <w:sz w:val="24"/>
          <w:highlight w:val="none"/>
          <w:u w:val="single"/>
        </w:rPr>
        <w:t xml:space="preserve">  南宁职业技术大学  </w:t>
      </w:r>
      <w:r>
        <w:rPr>
          <w:rFonts w:hint="eastAsia" w:ascii="宋体" w:hAnsi="宋体"/>
          <w:color w:val="auto"/>
          <w:sz w:val="24"/>
          <w:highlight w:val="none"/>
          <w:lang w:val="zh-CN"/>
        </w:rPr>
        <w:t>(以下简称：甲方)和</w:t>
      </w:r>
      <w:r>
        <w:rPr>
          <w:rFonts w:hint="eastAsia" w:ascii="宋体" w:hAnsi="宋体"/>
          <w:color w:val="auto"/>
          <w:sz w:val="24"/>
          <w:highlight w:val="none"/>
          <w:u w:val="single"/>
        </w:rPr>
        <w:t xml:space="preserve">   （中标人名称）   </w:t>
      </w:r>
      <w:r>
        <w:rPr>
          <w:rFonts w:hint="eastAsia"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5D1130B8">
      <w:pPr>
        <w:spacing w:line="360" w:lineRule="auto"/>
        <w:ind w:firstLine="482" w:firstLineChars="200"/>
        <w:rPr>
          <w:rFonts w:ascii="宋体" w:hAnsi="宋体"/>
          <w:b/>
          <w:color w:val="auto"/>
          <w:sz w:val="24"/>
          <w:highlight w:val="none"/>
        </w:rPr>
      </w:pPr>
      <w:bookmarkStart w:id="124" w:name="_Toc24059"/>
      <w:bookmarkStart w:id="125" w:name="_Toc2232"/>
      <w:bookmarkStart w:id="126" w:name="_Toc3029"/>
      <w:r>
        <w:rPr>
          <w:rFonts w:hint="eastAsia" w:ascii="宋体" w:hAnsi="宋体"/>
          <w:b/>
          <w:color w:val="auto"/>
          <w:sz w:val="24"/>
          <w:highlight w:val="none"/>
        </w:rPr>
        <w:t>1.1 合同组成部分</w:t>
      </w:r>
      <w:bookmarkEnd w:id="124"/>
      <w:bookmarkEnd w:id="125"/>
      <w:bookmarkEnd w:id="126"/>
    </w:p>
    <w:p w14:paraId="779FE5A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446B58B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1.1.1 本合同及其补充合同、变更协议；</w:t>
      </w:r>
    </w:p>
    <w:p w14:paraId="01B009F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1.1.2 中标通知书；</w:t>
      </w:r>
    </w:p>
    <w:p w14:paraId="485DCFC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 投标文件及“投标报价”（含澄清或者说明文件）；</w:t>
      </w:r>
    </w:p>
    <w:p w14:paraId="6B635AF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1.1.4 招标文件（含澄清或者修改文件）；</w:t>
      </w:r>
    </w:p>
    <w:p w14:paraId="2C9E01F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1.1.5 其他相关采购文件。</w:t>
      </w:r>
    </w:p>
    <w:p w14:paraId="56A4075F">
      <w:pPr>
        <w:spacing w:line="360" w:lineRule="auto"/>
        <w:ind w:firstLine="482" w:firstLineChars="200"/>
        <w:rPr>
          <w:rFonts w:ascii="宋体" w:hAnsi="宋体"/>
          <w:b/>
          <w:color w:val="auto"/>
          <w:sz w:val="24"/>
          <w:highlight w:val="none"/>
        </w:rPr>
      </w:pPr>
      <w:bookmarkStart w:id="127" w:name="_Toc21295"/>
      <w:bookmarkStart w:id="128" w:name="_Toc27126"/>
      <w:bookmarkStart w:id="129" w:name="_Toc24300"/>
      <w:r>
        <w:rPr>
          <w:rFonts w:hint="eastAsia" w:ascii="宋体" w:hAnsi="宋体"/>
          <w:b/>
          <w:color w:val="auto"/>
          <w:sz w:val="24"/>
          <w:highlight w:val="none"/>
        </w:rPr>
        <w:t>1.2 标的物</w:t>
      </w:r>
      <w:bookmarkEnd w:id="127"/>
      <w:bookmarkEnd w:id="128"/>
      <w:bookmarkEnd w:id="129"/>
    </w:p>
    <w:p w14:paraId="6158526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 标的物1信息</w:t>
      </w:r>
    </w:p>
    <w:p w14:paraId="2B5FA066">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1.2.1.1名称：</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77E7B99B">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1.2.1.2数量：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CA4894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1.2.1.3质量：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5D5BBAA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p>
    <w:p w14:paraId="0E6CD0A0">
      <w:pPr>
        <w:spacing w:line="360" w:lineRule="auto"/>
        <w:ind w:firstLine="482" w:firstLineChars="200"/>
        <w:rPr>
          <w:rFonts w:ascii="宋体" w:hAnsi="宋体"/>
          <w:b/>
          <w:color w:val="auto"/>
          <w:sz w:val="24"/>
          <w:highlight w:val="none"/>
        </w:rPr>
      </w:pPr>
      <w:bookmarkStart w:id="130" w:name="_Toc21551"/>
      <w:bookmarkStart w:id="131" w:name="_Toc23292"/>
      <w:bookmarkStart w:id="132" w:name="_Toc21631"/>
      <w:r>
        <w:rPr>
          <w:rFonts w:hint="eastAsia" w:ascii="宋体" w:hAnsi="宋体"/>
          <w:b/>
          <w:color w:val="auto"/>
          <w:sz w:val="24"/>
          <w:highlight w:val="none"/>
        </w:rPr>
        <w:t>1.3 价款</w:t>
      </w:r>
      <w:bookmarkEnd w:id="130"/>
      <w:bookmarkEnd w:id="131"/>
      <w:bookmarkEnd w:id="132"/>
    </w:p>
    <w:p w14:paraId="33C84D1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本合同总价为：人民币</w:t>
      </w:r>
      <w:r>
        <w:rPr>
          <w:rFonts w:hint="eastAsia" w:ascii="宋体" w:hAnsi="宋体"/>
          <w:color w:val="auto"/>
          <w:sz w:val="24"/>
          <w:highlight w:val="none"/>
          <w:u w:val="single"/>
        </w:rPr>
        <w:t xml:space="preserve">           </w:t>
      </w:r>
      <w:r>
        <w:rPr>
          <w:rFonts w:hint="eastAsia" w:ascii="宋体" w:hAnsi="宋体"/>
          <w:color w:val="auto"/>
          <w:sz w:val="24"/>
          <w:highlight w:val="none"/>
        </w:rPr>
        <w:t>元（大写：</w:t>
      </w:r>
      <w:r>
        <w:rPr>
          <w:rFonts w:hint="eastAsia" w:ascii="宋体" w:hAnsi="宋体"/>
          <w:color w:val="auto"/>
          <w:sz w:val="24"/>
          <w:highlight w:val="none"/>
          <w:u w:val="single"/>
        </w:rPr>
        <w:t xml:space="preserve">                 </w:t>
      </w:r>
      <w:r>
        <w:rPr>
          <w:rFonts w:hint="eastAsia" w:ascii="宋体" w:hAnsi="宋体"/>
          <w:color w:val="auto"/>
          <w:sz w:val="24"/>
          <w:highlight w:val="none"/>
        </w:rPr>
        <w:t>元人民币，含税）。</w:t>
      </w:r>
    </w:p>
    <w:p w14:paraId="07256BE8">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分项价格：</w:t>
      </w:r>
    </w:p>
    <w:tbl>
      <w:tblPr>
        <w:tblStyle w:val="26"/>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232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1115B3">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r>
              <w:rPr>
                <w:rFonts w:hint="eastAsia" w:ascii="宋体" w:hAnsi="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AF34BF3">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r>
              <w:rPr>
                <w:rFonts w:hint="eastAsia" w:ascii="宋体" w:hAnsi="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5F26A3BA">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r>
              <w:rPr>
                <w:rFonts w:hint="eastAsia" w:ascii="宋体" w:hAnsi="宋体"/>
                <w:color w:val="auto"/>
                <w:sz w:val="24"/>
                <w:highlight w:val="none"/>
              </w:rPr>
              <w:t>分项价格</w:t>
            </w:r>
          </w:p>
        </w:tc>
      </w:tr>
      <w:tr w14:paraId="6648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C632BE0">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AD4A86B">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516F209">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r>
      <w:tr w14:paraId="20667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EAAA2CA">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332CE6A">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F0792E2">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r>
      <w:tr w14:paraId="6136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5BD0EBC">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45820E60">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143B722">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r>
      <w:tr w14:paraId="06651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6171603C">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r>
              <w:rPr>
                <w:rFonts w:hint="eastAsia" w:ascii="宋体" w:hAnsi="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0DDA89A">
            <w:pPr>
              <w:keepNext w:val="0"/>
              <w:keepLines w:val="0"/>
              <w:suppressLineNumbers w:val="0"/>
              <w:spacing w:before="0" w:beforeAutospacing="0" w:after="0" w:afterAutospacing="0" w:line="360" w:lineRule="auto"/>
              <w:ind w:left="0" w:right="0" w:firstLine="480" w:firstLineChars="200"/>
              <w:rPr>
                <w:rFonts w:hint="default" w:ascii="宋体" w:hAnsi="宋体"/>
                <w:color w:val="auto"/>
                <w:sz w:val="24"/>
                <w:highlight w:val="none"/>
              </w:rPr>
            </w:pPr>
          </w:p>
        </w:tc>
      </w:tr>
    </w:tbl>
    <w:p w14:paraId="209E222A">
      <w:pPr>
        <w:spacing w:line="360" w:lineRule="auto"/>
        <w:ind w:firstLine="482" w:firstLineChars="200"/>
        <w:rPr>
          <w:rFonts w:ascii="宋体" w:hAnsi="宋体"/>
          <w:b/>
          <w:color w:val="auto"/>
          <w:sz w:val="24"/>
          <w:highlight w:val="none"/>
        </w:rPr>
      </w:pPr>
      <w:bookmarkStart w:id="133" w:name="_Toc1814"/>
      <w:bookmarkStart w:id="134" w:name="_Toc10340"/>
      <w:bookmarkStart w:id="135" w:name="_Toc22618"/>
      <w:r>
        <w:rPr>
          <w:rFonts w:hint="eastAsia" w:ascii="宋体" w:hAnsi="宋体"/>
          <w:b/>
          <w:color w:val="auto"/>
          <w:sz w:val="24"/>
          <w:highlight w:val="none"/>
        </w:rPr>
        <w:t>1.4 付款方式和发票开具方式</w:t>
      </w:r>
      <w:bookmarkEnd w:id="133"/>
      <w:bookmarkEnd w:id="134"/>
      <w:bookmarkEnd w:id="135"/>
    </w:p>
    <w:p w14:paraId="4186ACEF">
      <w:pPr>
        <w:widowControl/>
        <w:spacing w:line="360" w:lineRule="auto"/>
        <w:ind w:left="479" w:leftChars="228" w:firstLine="480"/>
        <w:jc w:val="left"/>
        <w:rPr>
          <w:rFonts w:ascii="宋体" w:hAnsi="宋体"/>
          <w:color w:val="auto"/>
          <w:sz w:val="24"/>
          <w:highlight w:val="none"/>
          <w:u w:val="single"/>
        </w:rPr>
      </w:pPr>
      <w:r>
        <w:rPr>
          <w:rFonts w:hint="eastAsia" w:ascii="宋体" w:hAnsi="宋体"/>
          <w:color w:val="auto"/>
          <w:sz w:val="24"/>
          <w:highlight w:val="none"/>
        </w:rPr>
        <w:t xml:space="preserve">1.4.1 </w:t>
      </w:r>
      <w:r>
        <w:rPr>
          <w:rFonts w:hint="eastAsia" w:ascii="宋体" w:hAnsi="宋体"/>
          <w:color w:val="auto"/>
          <w:sz w:val="24"/>
          <w:highlight w:val="none"/>
          <w:u w:val="single"/>
        </w:rPr>
        <w:t xml:space="preserve">付款方式： </w:t>
      </w:r>
      <w:r>
        <w:rPr>
          <w:rFonts w:ascii="宋体" w:hAnsi="宋体"/>
          <w:color w:val="auto"/>
          <w:sz w:val="24"/>
          <w:highlight w:val="none"/>
          <w:u w:val="single"/>
        </w:rPr>
        <w:t xml:space="preserve">                            </w:t>
      </w:r>
    </w:p>
    <w:p w14:paraId="529ABCB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1.4.2 发票开具方式：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CE3F97A">
      <w:pPr>
        <w:spacing w:line="360" w:lineRule="auto"/>
        <w:ind w:firstLine="482" w:firstLineChars="200"/>
        <w:rPr>
          <w:rFonts w:ascii="宋体" w:hAnsi="宋体"/>
          <w:b/>
          <w:color w:val="auto"/>
          <w:sz w:val="24"/>
          <w:highlight w:val="none"/>
        </w:rPr>
      </w:pPr>
      <w:bookmarkStart w:id="136" w:name="_Toc32071"/>
      <w:bookmarkStart w:id="137" w:name="_Toc19304"/>
      <w:bookmarkStart w:id="138" w:name="_Toc2846"/>
      <w:r>
        <w:rPr>
          <w:rFonts w:hint="eastAsia" w:ascii="宋体" w:hAnsi="宋体"/>
          <w:b/>
          <w:color w:val="auto"/>
          <w:sz w:val="24"/>
          <w:highlight w:val="none"/>
        </w:rPr>
        <w:t>1.5 标的物交付期限、地点、方式</w:t>
      </w:r>
      <w:bookmarkEnd w:id="136"/>
      <w:bookmarkEnd w:id="137"/>
      <w:bookmarkEnd w:id="138"/>
      <w:r>
        <w:rPr>
          <w:rFonts w:hint="eastAsia" w:ascii="宋体" w:hAnsi="宋体"/>
          <w:b/>
          <w:color w:val="auto"/>
          <w:sz w:val="24"/>
          <w:highlight w:val="none"/>
        </w:rPr>
        <w:t>和货物期限</w:t>
      </w:r>
    </w:p>
    <w:p w14:paraId="53523D82">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1.5.1 交付期限：</w:t>
      </w:r>
      <w:r>
        <w:rPr>
          <w:rFonts w:hint="eastAsia" w:ascii="宋体" w:hAnsi="宋体"/>
          <w:color w:val="auto"/>
          <w:sz w:val="24"/>
          <w:highlight w:val="none"/>
          <w:u w:val="single"/>
        </w:rPr>
        <w:t xml:space="preserve">                                                 ；</w:t>
      </w:r>
    </w:p>
    <w:p w14:paraId="627D1BD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1.5.2 交付地点：</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A2DF88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1.5.3 交付方式：</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25F2404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1.5.4 货物及质保期限：</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125F6EFA">
      <w:pPr>
        <w:spacing w:line="360" w:lineRule="auto"/>
        <w:ind w:firstLine="482" w:firstLineChars="200"/>
        <w:rPr>
          <w:rFonts w:ascii="宋体" w:hAnsi="宋体"/>
          <w:b/>
          <w:color w:val="auto"/>
          <w:sz w:val="24"/>
          <w:highlight w:val="none"/>
        </w:rPr>
      </w:pPr>
      <w:bookmarkStart w:id="139" w:name="_Toc21423"/>
      <w:bookmarkStart w:id="140" w:name="_Toc19554"/>
      <w:bookmarkStart w:id="141" w:name="_Toc27250"/>
      <w:r>
        <w:rPr>
          <w:rFonts w:hint="eastAsia" w:ascii="宋体" w:hAnsi="宋体"/>
          <w:b/>
          <w:color w:val="auto"/>
          <w:sz w:val="24"/>
          <w:highlight w:val="none"/>
        </w:rPr>
        <w:t>1.6 违约责任</w:t>
      </w:r>
      <w:bookmarkEnd w:id="139"/>
      <w:bookmarkEnd w:id="140"/>
      <w:bookmarkEnd w:id="141"/>
    </w:p>
    <w:p w14:paraId="6FE1F67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olor w:val="auto"/>
          <w:sz w:val="24"/>
          <w:highlight w:val="none"/>
          <w:u w:val="single"/>
        </w:rPr>
        <w:t>万分之五</w:t>
      </w:r>
      <w:r>
        <w:rPr>
          <w:rFonts w:hint="eastAsia" w:ascii="宋体" w:hAnsi="宋体"/>
          <w:color w:val="auto"/>
          <w:sz w:val="24"/>
          <w:highlight w:val="none"/>
        </w:rPr>
        <w:t>计算，最高限额为本合同总价的</w:t>
      </w:r>
      <w:r>
        <w:rPr>
          <w:rFonts w:hint="eastAsia" w:ascii="宋体" w:hAnsi="宋体"/>
          <w:color w:val="auto"/>
          <w:sz w:val="24"/>
          <w:highlight w:val="none"/>
          <w:u w:val="single"/>
        </w:rPr>
        <w:t xml:space="preserve">   20  </w:t>
      </w:r>
      <w:r>
        <w:rPr>
          <w:rFonts w:hint="eastAsia" w:ascii="宋体" w:hAnsi="宋体"/>
          <w:color w:val="auto"/>
          <w:sz w:val="24"/>
          <w:highlight w:val="none"/>
        </w:rPr>
        <w:t>%；迟延超过【 10 】日的，甲方有权在要求乙方支付违约金的同时，书面通知乙方解除本合同，乙方应退回全部已收取的合同价款并按合同总金额的</w:t>
      </w:r>
      <w:r>
        <w:rPr>
          <w:rFonts w:hint="eastAsia" w:ascii="宋体" w:hAnsi="宋体"/>
          <w:color w:val="auto"/>
          <w:sz w:val="24"/>
          <w:highlight w:val="none"/>
          <w:u w:val="single"/>
        </w:rPr>
        <w:t>20%</w:t>
      </w:r>
      <w:r>
        <w:rPr>
          <w:rFonts w:hint="eastAsia" w:ascii="宋体" w:hAnsi="宋体"/>
          <w:color w:val="auto"/>
          <w:sz w:val="24"/>
          <w:highlight w:val="none"/>
        </w:rPr>
        <w:t>向甲方支付违约金；</w:t>
      </w:r>
    </w:p>
    <w:p w14:paraId="5D40BE2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olor w:val="auto"/>
          <w:sz w:val="24"/>
          <w:highlight w:val="none"/>
          <w:u w:val="single"/>
        </w:rPr>
        <w:t>万分之五</w:t>
      </w:r>
      <w:r>
        <w:rPr>
          <w:rFonts w:hint="eastAsia" w:ascii="宋体" w:hAnsi="宋体"/>
          <w:color w:val="auto"/>
          <w:sz w:val="24"/>
          <w:highlight w:val="none"/>
        </w:rPr>
        <w:t>计算，最高限额为欠付金额的</w:t>
      </w:r>
      <w:r>
        <w:rPr>
          <w:rFonts w:hint="eastAsia" w:ascii="宋体" w:hAnsi="宋体"/>
          <w:color w:val="auto"/>
          <w:sz w:val="24"/>
          <w:highlight w:val="none"/>
          <w:u w:val="single"/>
        </w:rPr>
        <w:t xml:space="preserve">  20   </w:t>
      </w:r>
      <w:r>
        <w:rPr>
          <w:rFonts w:hint="eastAsia" w:ascii="宋体" w:hAnsi="宋体"/>
          <w:color w:val="auto"/>
          <w:sz w:val="24"/>
          <w:highlight w:val="none"/>
        </w:rPr>
        <w:t>%；迟延付款的违约金计算数额达到前述最高限额之日起，乙方有权在要求甲方支付违约金的同时，书面通知甲方解除本合同；</w:t>
      </w:r>
    </w:p>
    <w:p w14:paraId="46B5915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8C1D3D5">
      <w:pPr>
        <w:spacing w:line="360" w:lineRule="auto"/>
        <w:ind w:firstLine="480" w:firstLineChars="200"/>
        <w:rPr>
          <w:rFonts w:ascii="宋体" w:hAnsi="宋体" w:cs="仿宋"/>
          <w:color w:val="auto"/>
          <w:sz w:val="24"/>
          <w:highlight w:val="none"/>
        </w:rPr>
      </w:pPr>
      <w:r>
        <w:rPr>
          <w:rFonts w:hint="eastAsia" w:ascii="宋体" w:hAnsi="宋体"/>
          <w:color w:val="auto"/>
          <w:sz w:val="24"/>
          <w:highlight w:val="none"/>
        </w:rPr>
        <w:t>1.6.4乙方在质保期内未按承诺提供售后等货物的，每发生一次向甲方支付</w:t>
      </w:r>
      <w:r>
        <w:rPr>
          <w:rFonts w:hint="eastAsia" w:ascii="宋体" w:hAnsi="宋体"/>
          <w:color w:val="auto"/>
          <w:sz w:val="24"/>
          <w:highlight w:val="none"/>
          <w:u w:val="single"/>
        </w:rPr>
        <w:t xml:space="preserve">  2000  </w:t>
      </w:r>
      <w:r>
        <w:rPr>
          <w:rFonts w:hint="eastAsia" w:ascii="宋体" w:hAnsi="宋体"/>
          <w:color w:val="auto"/>
          <w:sz w:val="24"/>
          <w:highlight w:val="none"/>
        </w:rPr>
        <w:t>元的违约金。</w:t>
      </w:r>
    </w:p>
    <w:p w14:paraId="5FAB3F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E0B5A9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281281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11E46DC6">
      <w:pPr>
        <w:spacing w:line="360" w:lineRule="auto"/>
        <w:ind w:firstLine="482" w:firstLineChars="200"/>
        <w:rPr>
          <w:rFonts w:ascii="宋体" w:hAnsi="宋体"/>
          <w:b/>
          <w:color w:val="auto"/>
          <w:sz w:val="24"/>
          <w:highlight w:val="none"/>
        </w:rPr>
      </w:pPr>
      <w:bookmarkStart w:id="142" w:name="_Toc15583"/>
      <w:bookmarkStart w:id="143" w:name="_Toc28375"/>
      <w:bookmarkStart w:id="144" w:name="_Toc16021"/>
      <w:r>
        <w:rPr>
          <w:rFonts w:hint="eastAsia" w:ascii="宋体" w:hAnsi="宋体"/>
          <w:b/>
          <w:color w:val="auto"/>
          <w:sz w:val="24"/>
          <w:highlight w:val="none"/>
        </w:rPr>
        <w:t>1.7 合同争议的解决</w:t>
      </w:r>
      <w:bookmarkEnd w:id="142"/>
      <w:bookmarkEnd w:id="143"/>
      <w:bookmarkEnd w:id="144"/>
    </w:p>
    <w:p w14:paraId="47D2CE5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olor w:val="auto"/>
          <w:sz w:val="24"/>
          <w:highlight w:val="none"/>
          <w:u w:val="single"/>
        </w:rPr>
        <w:t xml:space="preserve">  2   </w:t>
      </w:r>
      <w:r>
        <w:rPr>
          <w:rFonts w:hint="eastAsia" w:ascii="宋体" w:hAnsi="宋体"/>
          <w:color w:val="auto"/>
          <w:sz w:val="24"/>
          <w:highlight w:val="none"/>
        </w:rPr>
        <w:t>种方式解决：</w:t>
      </w:r>
    </w:p>
    <w:p w14:paraId="4188EE3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1.7.1 将争议提交</w:t>
      </w:r>
      <w:r>
        <w:rPr>
          <w:rFonts w:hint="eastAsia" w:ascii="宋体" w:hAnsi="宋体"/>
          <w:color w:val="auto"/>
          <w:sz w:val="24"/>
          <w:highlight w:val="none"/>
          <w:u w:val="single"/>
        </w:rPr>
        <w:t>南宁市</w:t>
      </w:r>
      <w:r>
        <w:rPr>
          <w:rFonts w:hint="eastAsia" w:ascii="宋体" w:hAnsi="宋体"/>
          <w:color w:val="auto"/>
          <w:sz w:val="24"/>
          <w:highlight w:val="none"/>
        </w:rPr>
        <w:t>仲裁委员会依申请仲裁时其现行有效的仲裁规则裁决；</w:t>
      </w:r>
    </w:p>
    <w:p w14:paraId="373553F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1.7.2 向</w:t>
      </w:r>
      <w:r>
        <w:rPr>
          <w:rFonts w:hint="eastAsia" w:ascii="宋体" w:hAnsi="宋体"/>
          <w:color w:val="auto"/>
          <w:sz w:val="24"/>
          <w:highlight w:val="none"/>
          <w:u w:val="single"/>
        </w:rPr>
        <w:t xml:space="preserve">   甲方所在地    </w:t>
      </w:r>
      <w:r>
        <w:rPr>
          <w:rFonts w:hint="eastAsia" w:ascii="宋体" w:hAnsi="宋体"/>
          <w:color w:val="auto"/>
          <w:sz w:val="24"/>
          <w:highlight w:val="none"/>
        </w:rPr>
        <w:t>有管辖权的人民法院起诉。</w:t>
      </w:r>
    </w:p>
    <w:p w14:paraId="4C0013F7">
      <w:pPr>
        <w:spacing w:line="360" w:lineRule="auto"/>
        <w:ind w:firstLine="482" w:firstLineChars="200"/>
        <w:rPr>
          <w:rFonts w:ascii="宋体" w:hAnsi="宋体"/>
          <w:b/>
          <w:color w:val="auto"/>
          <w:sz w:val="24"/>
          <w:highlight w:val="none"/>
        </w:rPr>
      </w:pPr>
      <w:bookmarkStart w:id="145" w:name="_Toc15322"/>
      <w:bookmarkStart w:id="146" w:name="_Toc7245"/>
      <w:bookmarkStart w:id="147" w:name="_Toc11173"/>
      <w:r>
        <w:rPr>
          <w:rFonts w:hint="eastAsia" w:ascii="宋体" w:hAnsi="宋体"/>
          <w:b/>
          <w:color w:val="auto"/>
          <w:sz w:val="24"/>
          <w:highlight w:val="none"/>
        </w:rPr>
        <w:t>1.8 合同生效</w:t>
      </w:r>
      <w:bookmarkEnd w:id="145"/>
      <w:bookmarkEnd w:id="146"/>
      <w:bookmarkEnd w:id="147"/>
    </w:p>
    <w:p w14:paraId="0691A96C">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本合同自双方当事人加盖有效电子公章时生效。</w:t>
      </w:r>
    </w:p>
    <w:p w14:paraId="3549170E">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甲方：                                   乙方：</w:t>
      </w:r>
    </w:p>
    <w:p w14:paraId="731D4C51">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统一社会信用代码：                        统一社会信用代码或身份证号码：</w:t>
      </w:r>
    </w:p>
    <w:p w14:paraId="03BE7B33">
      <w:pPr>
        <w:spacing w:line="360" w:lineRule="auto"/>
        <w:ind w:firstLine="480"/>
        <w:rPr>
          <w:rFonts w:ascii="宋体" w:hAnsi="宋体"/>
          <w:color w:val="auto"/>
          <w:sz w:val="24"/>
          <w:highlight w:val="none"/>
          <w:lang w:val="zh-CN"/>
        </w:rPr>
      </w:pPr>
    </w:p>
    <w:p w14:paraId="2FA7F461">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住所：                                   住所：</w:t>
      </w:r>
    </w:p>
    <w:p w14:paraId="155F6924">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法定代表人或                             法定代表人</w:t>
      </w:r>
    </w:p>
    <w:p w14:paraId="39310803">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 xml:space="preserve">授权代表（签字或盖章）：                  或授权代表（签字或盖章）: </w:t>
      </w:r>
    </w:p>
    <w:p w14:paraId="3C24DB45">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联系人：                                 联系人：</w:t>
      </w:r>
    </w:p>
    <w:p w14:paraId="5E19CAC9">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约定送达地址：                           约定送达地址：</w:t>
      </w:r>
    </w:p>
    <w:p w14:paraId="7CAB8592">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邮政编码：                               邮政编码：</w:t>
      </w:r>
    </w:p>
    <w:p w14:paraId="6652636B">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 xml:space="preserve">电话:                                    电话: </w:t>
      </w:r>
    </w:p>
    <w:p w14:paraId="05A8FFE9">
      <w:pPr>
        <w:spacing w:line="360" w:lineRule="auto"/>
        <w:ind w:firstLine="480"/>
        <w:rPr>
          <w:rFonts w:ascii="宋体" w:hAnsi="宋体"/>
          <w:color w:val="auto"/>
          <w:sz w:val="24"/>
          <w:highlight w:val="none"/>
          <w:lang w:val="zh-CN"/>
        </w:rPr>
      </w:pPr>
      <w:r>
        <w:rPr>
          <w:rFonts w:hint="eastAsia" w:ascii="宋体" w:hAnsi="宋体"/>
          <w:color w:val="auto"/>
          <w:sz w:val="24"/>
          <w:highlight w:val="none"/>
          <w:lang w:val="zh-CN"/>
        </w:rPr>
        <w:t>传真:                                    传真:</w:t>
      </w:r>
    </w:p>
    <w:p w14:paraId="0A6CF09A">
      <w:pPr>
        <w:spacing w:line="360" w:lineRule="auto"/>
        <w:ind w:firstLine="480"/>
        <w:rPr>
          <w:rFonts w:ascii="宋体" w:hAnsi="宋体"/>
          <w:color w:val="auto"/>
          <w:sz w:val="24"/>
          <w:highlight w:val="none"/>
        </w:rPr>
      </w:pPr>
      <w:r>
        <w:rPr>
          <w:rFonts w:hint="eastAsia" w:ascii="宋体" w:hAnsi="宋体"/>
          <w:color w:val="auto"/>
          <w:sz w:val="24"/>
          <w:highlight w:val="none"/>
          <w:lang w:val="zh-CN"/>
        </w:rPr>
        <w:t>电子邮箱：                               电子邮箱：</w:t>
      </w:r>
    </w:p>
    <w:p w14:paraId="22B18330">
      <w:pPr>
        <w:spacing w:line="360" w:lineRule="auto"/>
        <w:ind w:firstLine="480"/>
        <w:rPr>
          <w:rFonts w:ascii="宋体" w:hAnsi="宋体"/>
          <w:color w:val="auto"/>
          <w:sz w:val="24"/>
          <w:highlight w:val="none"/>
        </w:rPr>
      </w:pPr>
      <w:r>
        <w:rPr>
          <w:rFonts w:hint="eastAsia" w:ascii="宋体" w:hAnsi="宋体"/>
          <w:color w:val="auto"/>
          <w:sz w:val="24"/>
          <w:highlight w:val="none"/>
        </w:rPr>
        <w:t xml:space="preserve">开户银行：                               开户银行： </w:t>
      </w:r>
    </w:p>
    <w:p w14:paraId="6BB7E94E">
      <w:pPr>
        <w:spacing w:line="360" w:lineRule="auto"/>
        <w:ind w:firstLine="480"/>
        <w:rPr>
          <w:rFonts w:ascii="宋体" w:hAnsi="宋体"/>
          <w:color w:val="auto"/>
          <w:sz w:val="24"/>
          <w:highlight w:val="none"/>
        </w:rPr>
      </w:pPr>
      <w:r>
        <w:rPr>
          <w:rFonts w:hint="eastAsia" w:ascii="宋体" w:hAnsi="宋体"/>
          <w:color w:val="auto"/>
          <w:sz w:val="24"/>
          <w:highlight w:val="none"/>
        </w:rPr>
        <w:t xml:space="preserve">开户名称：                               开户名称： </w:t>
      </w:r>
    </w:p>
    <w:p w14:paraId="2DF5B163">
      <w:pPr>
        <w:spacing w:line="360" w:lineRule="auto"/>
        <w:ind w:firstLine="480"/>
        <w:rPr>
          <w:rFonts w:ascii="宋体" w:hAnsi="宋体"/>
          <w:color w:val="auto"/>
          <w:sz w:val="24"/>
          <w:highlight w:val="none"/>
        </w:rPr>
      </w:pPr>
      <w:r>
        <w:rPr>
          <w:rFonts w:hint="eastAsia" w:ascii="宋体" w:hAnsi="宋体"/>
          <w:color w:val="auto"/>
          <w:sz w:val="24"/>
          <w:highlight w:val="none"/>
        </w:rPr>
        <w:t>开户账号：</w:t>
      </w:r>
      <w:r>
        <w:rPr>
          <w:rFonts w:hint="eastAsia" w:ascii="宋体" w:hAnsi="宋体"/>
          <w:color w:val="auto"/>
          <w:sz w:val="24"/>
          <w:highlight w:val="none"/>
          <w:lang w:val="zh-CN"/>
        </w:rPr>
        <w:t xml:space="preserve">                               </w:t>
      </w:r>
      <w:r>
        <w:rPr>
          <w:rFonts w:hint="eastAsia" w:ascii="宋体" w:hAnsi="宋体"/>
          <w:color w:val="auto"/>
          <w:sz w:val="24"/>
          <w:highlight w:val="none"/>
        </w:rPr>
        <w:t>开户账号：</w:t>
      </w:r>
    </w:p>
    <w:p w14:paraId="732F919A">
      <w:pPr>
        <w:spacing w:line="360" w:lineRule="auto"/>
        <w:ind w:firstLine="422"/>
        <w:jc w:val="center"/>
        <w:rPr>
          <w:rFonts w:ascii="宋体" w:hAnsi="宋体"/>
          <w:b/>
          <w:color w:val="auto"/>
          <w:sz w:val="28"/>
          <w:szCs w:val="28"/>
          <w:highlight w:val="none"/>
        </w:rPr>
      </w:pPr>
      <w:r>
        <w:rPr>
          <w:rFonts w:hint="eastAsia" w:ascii="宋体" w:hAnsi="宋体"/>
          <w:b/>
          <w:color w:val="auto"/>
          <w:highlight w:val="none"/>
        </w:rPr>
        <w:br w:type="page"/>
      </w:r>
      <w:bookmarkStart w:id="148" w:name="_Toc331685783"/>
      <w:r>
        <w:rPr>
          <w:rFonts w:hint="eastAsia" w:ascii="宋体" w:hAnsi="宋体"/>
          <w:b/>
          <w:color w:val="auto"/>
          <w:sz w:val="28"/>
          <w:szCs w:val="28"/>
          <w:highlight w:val="none"/>
        </w:rPr>
        <w:t>第二部分 合同一般条款</w:t>
      </w:r>
      <w:bookmarkEnd w:id="148"/>
    </w:p>
    <w:p w14:paraId="7322EE8B">
      <w:pPr>
        <w:spacing w:line="360" w:lineRule="auto"/>
        <w:ind w:firstLine="482" w:firstLineChars="200"/>
        <w:rPr>
          <w:rFonts w:ascii="宋体" w:hAnsi="宋体"/>
          <w:b/>
          <w:color w:val="auto"/>
          <w:sz w:val="24"/>
          <w:highlight w:val="none"/>
        </w:rPr>
      </w:pPr>
      <w:bookmarkStart w:id="149" w:name="_Ref467379195"/>
      <w:bookmarkStart w:id="150" w:name="_Ref467379109"/>
      <w:bookmarkStart w:id="151" w:name="_Ref467379225"/>
      <w:bookmarkStart w:id="152" w:name="_Toc16917"/>
      <w:bookmarkStart w:id="153" w:name="_Toc28763"/>
      <w:bookmarkStart w:id="154" w:name="_Ref467378463"/>
      <w:bookmarkStart w:id="155" w:name="_Ref467379214"/>
      <w:bookmarkStart w:id="156" w:name="_Ref467379205"/>
      <w:bookmarkStart w:id="157" w:name="_Ref467379094"/>
      <w:bookmarkStart w:id="158" w:name="_Ref467379101"/>
      <w:bookmarkStart w:id="159" w:name="_Ref467378404"/>
      <w:bookmarkStart w:id="160" w:name="_Toc19614"/>
      <w:bookmarkStart w:id="161" w:name="_Ref467378499"/>
      <w:bookmarkStart w:id="162" w:name="_Toc259093669"/>
      <w:bookmarkStart w:id="163" w:name="_Toc487900349"/>
      <w:bookmarkStart w:id="164" w:name="_Toc279701240"/>
      <w:r>
        <w:rPr>
          <w:rFonts w:hint="eastAsia" w:ascii="宋体" w:hAnsi="宋体"/>
          <w:b/>
          <w:color w:val="auto"/>
          <w:sz w:val="24"/>
          <w:highlight w:val="none"/>
        </w:rPr>
        <w:t>2.1 定义</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0DDD9F4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本合同中的下列词语应按以下内容进行解释：</w:t>
      </w:r>
    </w:p>
    <w:p w14:paraId="358466A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 “合同”系指采购人和中标人签订的载明双方当事人所达成的协议，并包括所有的附件、附录和构成合同的其他文件。</w:t>
      </w:r>
    </w:p>
    <w:p w14:paraId="72EF01F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 “合同价”系指根据合同约定，中标人在完全履行合同义务后，采购人应支付给中标人的价格。</w:t>
      </w:r>
    </w:p>
    <w:p w14:paraId="255C5E2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 “标的物”系指中标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47DB5DF1">
      <w:pPr>
        <w:spacing w:line="360" w:lineRule="auto"/>
        <w:ind w:firstLine="480" w:firstLineChars="200"/>
        <w:rPr>
          <w:rFonts w:ascii="宋体" w:hAnsi="宋体"/>
          <w:color w:val="auto"/>
          <w:sz w:val="24"/>
          <w:highlight w:val="none"/>
        </w:rPr>
      </w:pPr>
      <w:bookmarkStart w:id="165" w:name="_Ref467378840"/>
      <w:r>
        <w:rPr>
          <w:rFonts w:hint="eastAsia" w:ascii="宋体" w:hAnsi="宋体"/>
          <w:color w:val="auto"/>
          <w:sz w:val="24"/>
          <w:highlight w:val="none"/>
        </w:rPr>
        <w:t>2.1.4 “甲方”系指与中标人签署合同的采购人</w:t>
      </w:r>
      <w:bookmarkEnd w:id="165"/>
      <w:r>
        <w:rPr>
          <w:rFonts w:hint="eastAsia" w:ascii="宋体" w:hAnsi="宋体"/>
          <w:color w:val="auto"/>
          <w:sz w:val="24"/>
          <w:highlight w:val="none"/>
        </w:rPr>
        <w:t>；采购人委托采购机构代表其与乙方签订合同的，采购人的授权委托书作为合同附件。</w:t>
      </w:r>
    </w:p>
    <w:p w14:paraId="6DFC0CD8">
      <w:pPr>
        <w:spacing w:line="360" w:lineRule="auto"/>
        <w:ind w:firstLine="480" w:firstLineChars="200"/>
        <w:rPr>
          <w:rFonts w:ascii="宋体" w:hAnsi="宋体"/>
          <w:color w:val="auto"/>
          <w:sz w:val="24"/>
          <w:highlight w:val="none"/>
        </w:rPr>
      </w:pPr>
      <w:bookmarkStart w:id="166" w:name="_Ref467379400"/>
      <w:r>
        <w:rPr>
          <w:rFonts w:hint="eastAsia" w:ascii="宋体" w:hAnsi="宋体"/>
          <w:color w:val="auto"/>
          <w:sz w:val="24"/>
          <w:highlight w:val="none"/>
        </w:rPr>
        <w:t>2.1.5 “乙方”系指根据合同约定交付标的物的</w:t>
      </w:r>
      <w:bookmarkEnd w:id="166"/>
      <w:r>
        <w:rPr>
          <w:rFonts w:hint="eastAsia" w:ascii="宋体" w:hAnsi="宋体"/>
          <w:color w:val="auto"/>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F7DE200">
      <w:pPr>
        <w:spacing w:line="360" w:lineRule="auto"/>
        <w:ind w:firstLine="480" w:firstLineChars="200"/>
        <w:rPr>
          <w:rFonts w:ascii="宋体" w:hAnsi="宋体"/>
          <w:color w:val="auto"/>
          <w:sz w:val="24"/>
          <w:highlight w:val="none"/>
        </w:rPr>
      </w:pPr>
      <w:bookmarkStart w:id="167" w:name="_Ref467379436"/>
      <w:r>
        <w:rPr>
          <w:rFonts w:hint="eastAsia" w:ascii="宋体" w:hAnsi="宋体"/>
          <w:color w:val="auto"/>
          <w:sz w:val="24"/>
          <w:highlight w:val="none"/>
        </w:rPr>
        <w:t>2.1.6 “现场”系指合同约定标的物将要运至或者实施或者安装的地点。</w:t>
      </w:r>
      <w:bookmarkEnd w:id="167"/>
    </w:p>
    <w:p w14:paraId="77181D21">
      <w:pPr>
        <w:spacing w:line="360" w:lineRule="auto"/>
        <w:ind w:firstLine="482" w:firstLineChars="200"/>
        <w:rPr>
          <w:rFonts w:ascii="宋体" w:hAnsi="宋体"/>
          <w:b/>
          <w:color w:val="auto"/>
          <w:sz w:val="24"/>
          <w:highlight w:val="none"/>
        </w:rPr>
      </w:pPr>
      <w:bookmarkStart w:id="168" w:name="_Toc32504"/>
      <w:bookmarkStart w:id="169" w:name="_Toc13336"/>
      <w:bookmarkStart w:id="170" w:name="_Toc259093670"/>
      <w:bookmarkStart w:id="171" w:name="_Toc279701241"/>
      <w:bookmarkStart w:id="172" w:name="_Toc27635"/>
      <w:bookmarkStart w:id="173" w:name="_Toc487900350"/>
      <w:r>
        <w:rPr>
          <w:rFonts w:hint="eastAsia" w:ascii="宋体" w:hAnsi="宋体"/>
          <w:b/>
          <w:color w:val="auto"/>
          <w:sz w:val="24"/>
          <w:highlight w:val="none"/>
        </w:rPr>
        <w:t>2.2 技术规范</w:t>
      </w:r>
      <w:bookmarkEnd w:id="168"/>
      <w:bookmarkEnd w:id="169"/>
      <w:bookmarkEnd w:id="170"/>
      <w:bookmarkEnd w:id="171"/>
      <w:bookmarkEnd w:id="172"/>
      <w:bookmarkEnd w:id="173"/>
    </w:p>
    <w:p w14:paraId="5ABD994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5BE42A6">
      <w:pPr>
        <w:spacing w:line="360" w:lineRule="auto"/>
        <w:ind w:firstLine="482" w:firstLineChars="200"/>
        <w:rPr>
          <w:rFonts w:ascii="宋体" w:hAnsi="宋体"/>
          <w:b/>
          <w:color w:val="auto"/>
          <w:sz w:val="24"/>
          <w:highlight w:val="none"/>
        </w:rPr>
      </w:pPr>
      <w:bookmarkStart w:id="174" w:name="_Toc31634"/>
      <w:bookmarkStart w:id="175" w:name="_Toc279701242"/>
      <w:bookmarkStart w:id="176" w:name="_Toc27853"/>
      <w:bookmarkStart w:id="177" w:name="_Toc487900351"/>
      <w:bookmarkStart w:id="178" w:name="_Toc259093671"/>
      <w:bookmarkStart w:id="179" w:name="_Toc9829"/>
      <w:r>
        <w:rPr>
          <w:rFonts w:hint="eastAsia" w:ascii="宋体" w:hAnsi="宋体"/>
          <w:b/>
          <w:color w:val="auto"/>
          <w:sz w:val="24"/>
          <w:highlight w:val="none"/>
        </w:rPr>
        <w:t>2.3 知识产权</w:t>
      </w:r>
      <w:bookmarkEnd w:id="174"/>
      <w:bookmarkEnd w:id="175"/>
      <w:bookmarkEnd w:id="176"/>
      <w:bookmarkEnd w:id="177"/>
      <w:bookmarkEnd w:id="178"/>
      <w:bookmarkEnd w:id="179"/>
    </w:p>
    <w:p w14:paraId="03FA847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01C0ABD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2.3.2具有知识产权的计算机软件等标的物的知识产权归属，详见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2DA8306">
      <w:pPr>
        <w:spacing w:line="360" w:lineRule="auto"/>
        <w:ind w:firstLine="482" w:firstLineChars="200"/>
        <w:rPr>
          <w:rFonts w:ascii="宋体" w:hAnsi="宋体"/>
          <w:b/>
          <w:color w:val="auto"/>
          <w:sz w:val="24"/>
          <w:highlight w:val="none"/>
        </w:rPr>
      </w:pPr>
      <w:bookmarkStart w:id="180" w:name="_Toc29149"/>
      <w:bookmarkStart w:id="181" w:name="_Toc11932"/>
      <w:bookmarkStart w:id="182" w:name="_Toc4194"/>
      <w:r>
        <w:rPr>
          <w:rFonts w:hint="eastAsia" w:ascii="宋体" w:hAnsi="宋体"/>
          <w:b/>
          <w:color w:val="auto"/>
          <w:sz w:val="24"/>
          <w:highlight w:val="none"/>
        </w:rPr>
        <w:t>2.4 包装和装运</w:t>
      </w:r>
      <w:bookmarkEnd w:id="180"/>
      <w:bookmarkEnd w:id="181"/>
      <w:bookmarkEnd w:id="182"/>
    </w:p>
    <w:p w14:paraId="6BF5878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2.4.1除</w:t>
      </w:r>
      <w:r>
        <w:rPr>
          <w:rFonts w:hint="eastAsia" w:ascii="宋体" w:hAnsi="宋体"/>
          <w:b/>
          <w:i/>
          <w:color w:val="auto"/>
          <w:sz w:val="24"/>
          <w:highlight w:val="none"/>
          <w:u w:val="single"/>
        </w:rPr>
        <w:t>合同专用条款</w:t>
      </w:r>
      <w:r>
        <w:rPr>
          <w:rFonts w:hint="eastAsia" w:ascii="宋体" w:hAnsi="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2C864C8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2.4.2 装运标的物的要求和通知，详见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4EEA6B64">
      <w:pPr>
        <w:spacing w:line="360" w:lineRule="auto"/>
        <w:ind w:firstLine="482" w:firstLineChars="200"/>
        <w:rPr>
          <w:rFonts w:ascii="宋体" w:hAnsi="宋体"/>
          <w:b/>
          <w:color w:val="auto"/>
          <w:sz w:val="24"/>
          <w:highlight w:val="none"/>
        </w:rPr>
      </w:pPr>
      <w:bookmarkStart w:id="183" w:name="_Toc259093674"/>
      <w:bookmarkStart w:id="184" w:name="_Ref467379536"/>
      <w:bookmarkStart w:id="185" w:name="_Ref467379542"/>
      <w:bookmarkStart w:id="186" w:name="_Toc487900354"/>
      <w:bookmarkStart w:id="187" w:name="_Ref467378591"/>
      <w:bookmarkStart w:id="188" w:name="_Ref467379527"/>
      <w:bookmarkStart w:id="189" w:name="_Toc279701245"/>
      <w:bookmarkStart w:id="190" w:name="_Ref467378541"/>
      <w:bookmarkStart w:id="191" w:name="_Toc19074"/>
      <w:bookmarkStart w:id="192" w:name="_Toc30272"/>
      <w:bookmarkStart w:id="193" w:name="_Toc26182"/>
      <w:r>
        <w:rPr>
          <w:rFonts w:hint="eastAsia" w:ascii="宋体" w:hAnsi="宋体"/>
          <w:b/>
          <w:color w:val="auto"/>
          <w:sz w:val="24"/>
          <w:highlight w:val="none"/>
        </w:rPr>
        <w:t>2.</w:t>
      </w:r>
      <w:bookmarkEnd w:id="183"/>
      <w:bookmarkEnd w:id="184"/>
      <w:bookmarkEnd w:id="185"/>
      <w:bookmarkEnd w:id="186"/>
      <w:bookmarkEnd w:id="187"/>
      <w:bookmarkEnd w:id="188"/>
      <w:bookmarkEnd w:id="189"/>
      <w:bookmarkEnd w:id="190"/>
      <w:r>
        <w:rPr>
          <w:rFonts w:hint="eastAsia" w:ascii="宋体" w:hAnsi="宋体"/>
          <w:b/>
          <w:color w:val="auto"/>
          <w:sz w:val="24"/>
          <w:highlight w:val="none"/>
        </w:rPr>
        <w:t>5 履约检查和问题反馈</w:t>
      </w:r>
      <w:bookmarkEnd w:id="191"/>
      <w:bookmarkEnd w:id="192"/>
      <w:bookmarkEnd w:id="193"/>
    </w:p>
    <w:p w14:paraId="04CC0EB5">
      <w:pPr>
        <w:spacing w:line="360" w:lineRule="auto"/>
        <w:ind w:firstLine="480" w:firstLineChars="200"/>
        <w:rPr>
          <w:rFonts w:ascii="宋体" w:hAnsi="宋体"/>
          <w:color w:val="auto"/>
          <w:sz w:val="24"/>
          <w:highlight w:val="none"/>
        </w:rPr>
      </w:pPr>
      <w:bookmarkStart w:id="194" w:name="_Ref467379657"/>
      <w:r>
        <w:rPr>
          <w:rFonts w:hint="eastAsia" w:ascii="宋体" w:hAnsi="宋体"/>
          <w:color w:val="auto"/>
          <w:sz w:val="24"/>
          <w:highlight w:val="none"/>
        </w:rPr>
        <w:t>2.5.1</w:t>
      </w:r>
      <w:bookmarkEnd w:id="194"/>
      <w:bookmarkStart w:id="195" w:name="_Toc186431854"/>
      <w:bookmarkStart w:id="196" w:name="_Toc279701247"/>
      <w:bookmarkStart w:id="197" w:name="_Toc259093676"/>
      <w:bookmarkStart w:id="198" w:name="_Ref467379793"/>
      <w:bookmarkStart w:id="199" w:name="_Toc487900357"/>
      <w:bookmarkStart w:id="200" w:name="_Ref467379807"/>
      <w:r>
        <w:rPr>
          <w:rFonts w:hint="eastAsia" w:ascii="宋体" w:hAnsi="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4BB81EE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2.5.2 合同履行期间，甲方有权将履行过程中出现的问题反馈给乙方，双方当事人应以书面形式约定需要完善和改进的内容</w:t>
      </w:r>
      <w:bookmarkEnd w:id="195"/>
      <w:bookmarkStart w:id="201" w:name="_Toc186431855"/>
      <w:r>
        <w:rPr>
          <w:rFonts w:hint="eastAsia" w:ascii="宋体" w:hAnsi="宋体"/>
          <w:color w:val="auto"/>
          <w:sz w:val="24"/>
          <w:highlight w:val="none"/>
        </w:rPr>
        <w:t>。</w:t>
      </w:r>
    </w:p>
    <w:bookmarkEnd w:id="201"/>
    <w:p w14:paraId="3870BEF4">
      <w:pPr>
        <w:spacing w:line="360" w:lineRule="auto"/>
        <w:ind w:firstLine="482" w:firstLineChars="200"/>
        <w:rPr>
          <w:rFonts w:ascii="宋体" w:hAnsi="宋体"/>
          <w:b/>
          <w:color w:val="auto"/>
          <w:sz w:val="24"/>
          <w:highlight w:val="none"/>
        </w:rPr>
      </w:pPr>
      <w:bookmarkStart w:id="202" w:name="_Toc19219"/>
      <w:bookmarkStart w:id="203" w:name="_Toc28451"/>
      <w:bookmarkStart w:id="204" w:name="_Toc7836"/>
      <w:r>
        <w:rPr>
          <w:rFonts w:hint="eastAsia" w:ascii="宋体" w:hAnsi="宋体"/>
          <w:b/>
          <w:color w:val="auto"/>
          <w:sz w:val="24"/>
          <w:highlight w:val="none"/>
        </w:rPr>
        <w:t>2.6 结算方式和付款条件</w:t>
      </w:r>
      <w:bookmarkEnd w:id="196"/>
      <w:bookmarkEnd w:id="197"/>
      <w:bookmarkEnd w:id="198"/>
      <w:bookmarkEnd w:id="199"/>
      <w:bookmarkEnd w:id="200"/>
      <w:bookmarkEnd w:id="202"/>
      <w:bookmarkEnd w:id="203"/>
      <w:bookmarkEnd w:id="204"/>
    </w:p>
    <w:p w14:paraId="6F5E0A2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C07798">
      <w:pPr>
        <w:spacing w:line="360" w:lineRule="auto"/>
        <w:ind w:firstLine="482" w:firstLineChars="200"/>
        <w:rPr>
          <w:rFonts w:ascii="宋体" w:hAnsi="宋体"/>
          <w:b/>
          <w:color w:val="auto"/>
          <w:sz w:val="24"/>
          <w:highlight w:val="none"/>
        </w:rPr>
      </w:pPr>
      <w:bookmarkStart w:id="205" w:name="_Ref467379852"/>
      <w:bookmarkStart w:id="206" w:name="_Toc259093677"/>
      <w:bookmarkStart w:id="207" w:name="_Toc487900358"/>
      <w:bookmarkStart w:id="208" w:name="_Toc279701248"/>
      <w:bookmarkStart w:id="209" w:name="_Ref467379863"/>
      <w:bookmarkStart w:id="210" w:name="_Ref467379923"/>
      <w:bookmarkStart w:id="211" w:name="_Toc16110"/>
      <w:bookmarkStart w:id="212" w:name="_Toc774"/>
      <w:bookmarkStart w:id="213" w:name="_Toc3225"/>
      <w:r>
        <w:rPr>
          <w:rFonts w:hint="eastAsia" w:ascii="宋体" w:hAnsi="宋体"/>
          <w:b/>
          <w:color w:val="auto"/>
          <w:sz w:val="24"/>
          <w:highlight w:val="none"/>
        </w:rPr>
        <w:t>2.7 技术资料</w:t>
      </w:r>
      <w:bookmarkEnd w:id="205"/>
      <w:bookmarkEnd w:id="206"/>
      <w:bookmarkEnd w:id="207"/>
      <w:bookmarkEnd w:id="208"/>
      <w:bookmarkEnd w:id="209"/>
      <w:bookmarkEnd w:id="210"/>
      <w:r>
        <w:rPr>
          <w:rFonts w:hint="eastAsia" w:ascii="宋体" w:hAnsi="宋体"/>
          <w:b/>
          <w:color w:val="auto"/>
          <w:sz w:val="24"/>
          <w:highlight w:val="none"/>
        </w:rPr>
        <w:t>和保密义务</w:t>
      </w:r>
      <w:bookmarkEnd w:id="211"/>
      <w:bookmarkEnd w:id="212"/>
      <w:bookmarkEnd w:id="213"/>
    </w:p>
    <w:p w14:paraId="0B34602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 乙方有权依据合同约定和项目需要，向甲方了解有关情况，调阅有关资料等，甲方应予积极配合；</w:t>
      </w:r>
    </w:p>
    <w:p w14:paraId="3AB6AAD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2.7.2 乙方有义务妥善保管和保护由甲方提供的前款信息和资料等；</w:t>
      </w:r>
    </w:p>
    <w:p w14:paraId="007A4A3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A636729">
      <w:pPr>
        <w:spacing w:line="360" w:lineRule="auto"/>
        <w:ind w:firstLine="482" w:firstLineChars="200"/>
        <w:rPr>
          <w:rFonts w:ascii="宋体" w:hAnsi="宋体"/>
          <w:b/>
          <w:color w:val="auto"/>
          <w:sz w:val="24"/>
          <w:highlight w:val="none"/>
        </w:rPr>
      </w:pPr>
      <w:bookmarkStart w:id="214" w:name="_Toc7860"/>
      <w:r>
        <w:rPr>
          <w:rFonts w:hint="eastAsia" w:ascii="宋体" w:hAnsi="宋体"/>
          <w:b/>
          <w:color w:val="auto"/>
          <w:sz w:val="24"/>
          <w:highlight w:val="none"/>
        </w:rPr>
        <w:t>2.8 质量保证</w:t>
      </w:r>
      <w:bookmarkEnd w:id="214"/>
    </w:p>
    <w:p w14:paraId="04F2FB1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2.8.1 乙方应建立和完善履行合同的内部质量保证体系，并提供相关内部规章制度给甲方，以便甲方进行监督检查；</w:t>
      </w:r>
    </w:p>
    <w:p w14:paraId="6E4CFB9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2.8.2 乙方应保证履行合同的人员数量和素质、软件和硬件设备的配置、场地、环境和设施等满足全面履行合同的要求，并应接受甲方的监督检查。</w:t>
      </w:r>
    </w:p>
    <w:p w14:paraId="00688646">
      <w:pPr>
        <w:spacing w:line="360" w:lineRule="auto"/>
        <w:ind w:firstLine="480" w:firstLineChars="200"/>
        <w:rPr>
          <w:rFonts w:ascii="宋体" w:hAnsi="宋体" w:cs="仿宋_GB2312"/>
          <w:color w:val="auto"/>
          <w:kern w:val="0"/>
          <w:sz w:val="24"/>
          <w:highlight w:val="none"/>
        </w:rPr>
      </w:pPr>
      <w:r>
        <w:rPr>
          <w:rFonts w:hint="eastAsia" w:ascii="宋体" w:hAnsi="宋体"/>
          <w:color w:val="auto"/>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仿宋_GB2312"/>
          <w:color w:val="auto"/>
          <w:kern w:val="0"/>
          <w:sz w:val="24"/>
          <w:highlight w:val="none"/>
        </w:rPr>
        <w:t>甲方有权放弃或终止合同，并没收履约保证金。</w:t>
      </w:r>
    </w:p>
    <w:p w14:paraId="6902F55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olor w:val="auto"/>
          <w:sz w:val="24"/>
          <w:highlight w:val="none"/>
          <w:u w:val="single"/>
        </w:rPr>
        <w:t>30%</w:t>
      </w:r>
      <w:r>
        <w:rPr>
          <w:rFonts w:hint="eastAsia" w:ascii="宋体" w:hAnsi="宋体"/>
          <w:color w:val="auto"/>
          <w:sz w:val="24"/>
          <w:highlight w:val="none"/>
        </w:rPr>
        <w:t>。</w:t>
      </w:r>
    </w:p>
    <w:p w14:paraId="43834FD7">
      <w:pPr>
        <w:spacing w:line="360" w:lineRule="auto"/>
        <w:ind w:firstLine="482" w:firstLineChars="200"/>
        <w:rPr>
          <w:rFonts w:ascii="宋体" w:hAnsi="宋体"/>
          <w:b/>
          <w:color w:val="auto"/>
          <w:sz w:val="24"/>
          <w:highlight w:val="none"/>
        </w:rPr>
      </w:pPr>
      <w:bookmarkStart w:id="215" w:name="_Toc17244"/>
      <w:bookmarkStart w:id="216" w:name="_Toc279701252"/>
      <w:bookmarkStart w:id="217" w:name="_Toc259093681"/>
      <w:bookmarkStart w:id="218" w:name="_Toc487900362"/>
      <w:r>
        <w:rPr>
          <w:rFonts w:hint="eastAsia" w:ascii="宋体" w:hAnsi="宋体"/>
          <w:b/>
          <w:color w:val="auto"/>
          <w:sz w:val="24"/>
          <w:highlight w:val="none"/>
        </w:rPr>
        <w:t>2.9 标的物的风险负担</w:t>
      </w:r>
      <w:bookmarkEnd w:id="215"/>
    </w:p>
    <w:p w14:paraId="2F28D75D">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标的物或者在途标的物或者交付给第一承运人后的标的物毁损、灭失的风险负担详见</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A6C26E8">
      <w:pPr>
        <w:spacing w:line="360" w:lineRule="auto"/>
        <w:ind w:firstLine="482" w:firstLineChars="200"/>
        <w:rPr>
          <w:rFonts w:ascii="宋体" w:hAnsi="宋体"/>
          <w:b/>
          <w:color w:val="auto"/>
          <w:sz w:val="24"/>
          <w:highlight w:val="none"/>
        </w:rPr>
      </w:pPr>
      <w:bookmarkStart w:id="219" w:name="_Toc14055"/>
      <w:r>
        <w:rPr>
          <w:rFonts w:hint="eastAsia" w:ascii="宋体" w:hAnsi="宋体"/>
          <w:b/>
          <w:color w:val="auto"/>
          <w:sz w:val="24"/>
          <w:highlight w:val="none"/>
        </w:rPr>
        <w:t>2.10 延迟交货</w:t>
      </w:r>
      <w:bookmarkEnd w:id="216"/>
      <w:bookmarkEnd w:id="217"/>
      <w:bookmarkEnd w:id="218"/>
      <w:bookmarkEnd w:id="219"/>
      <w:r>
        <w:rPr>
          <w:rFonts w:hint="eastAsia" w:ascii="宋体" w:hAnsi="宋体"/>
          <w:b/>
          <w:color w:val="auto"/>
          <w:sz w:val="24"/>
          <w:highlight w:val="none"/>
        </w:rPr>
        <w:t>/交付</w:t>
      </w:r>
    </w:p>
    <w:p w14:paraId="241985C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1446059A">
      <w:pPr>
        <w:spacing w:line="360" w:lineRule="auto"/>
        <w:ind w:firstLine="482" w:firstLineChars="200"/>
        <w:rPr>
          <w:rFonts w:ascii="宋体" w:hAnsi="宋体"/>
          <w:b/>
          <w:color w:val="auto"/>
          <w:sz w:val="24"/>
          <w:highlight w:val="none"/>
        </w:rPr>
      </w:pPr>
      <w:bookmarkStart w:id="220" w:name="_Toc7502"/>
      <w:bookmarkStart w:id="221" w:name="_Ref467378121"/>
      <w:bookmarkStart w:id="222" w:name="_Toc487900364"/>
      <w:bookmarkStart w:id="223" w:name="_Toc259093683"/>
      <w:bookmarkStart w:id="224" w:name="_Toc279701254"/>
      <w:r>
        <w:rPr>
          <w:rFonts w:hint="eastAsia" w:ascii="宋体" w:hAnsi="宋体"/>
          <w:b/>
          <w:color w:val="auto"/>
          <w:sz w:val="24"/>
          <w:highlight w:val="none"/>
        </w:rPr>
        <w:t>2.11 合同变更</w:t>
      </w:r>
      <w:bookmarkEnd w:id="220"/>
    </w:p>
    <w:p w14:paraId="7CACBFF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83BD89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25" w:name="_Toc259093688"/>
      <w:bookmarkStart w:id="226" w:name="_Toc487900369"/>
      <w:bookmarkStart w:id="227" w:name="_Toc279701259"/>
    </w:p>
    <w:p w14:paraId="14AA80E1">
      <w:pPr>
        <w:spacing w:line="360" w:lineRule="auto"/>
        <w:ind w:firstLine="482" w:firstLineChars="200"/>
        <w:rPr>
          <w:rFonts w:ascii="宋体" w:hAnsi="宋体"/>
          <w:b/>
          <w:color w:val="auto"/>
          <w:sz w:val="24"/>
          <w:highlight w:val="none"/>
        </w:rPr>
      </w:pPr>
      <w:bookmarkStart w:id="228" w:name="_Toc10366"/>
      <w:bookmarkStart w:id="229" w:name="_Toc15237"/>
      <w:bookmarkStart w:id="230" w:name="_Toc22955"/>
      <w:r>
        <w:rPr>
          <w:rFonts w:hint="eastAsia" w:ascii="宋体" w:hAnsi="宋体"/>
          <w:b/>
          <w:color w:val="auto"/>
          <w:sz w:val="24"/>
          <w:highlight w:val="none"/>
        </w:rPr>
        <w:t>2.12 合同转让</w:t>
      </w:r>
      <w:bookmarkEnd w:id="225"/>
      <w:bookmarkEnd w:id="226"/>
      <w:bookmarkEnd w:id="227"/>
      <w:r>
        <w:rPr>
          <w:rFonts w:hint="eastAsia" w:ascii="宋体" w:hAnsi="宋体"/>
          <w:b/>
          <w:color w:val="auto"/>
          <w:sz w:val="24"/>
          <w:highlight w:val="none"/>
        </w:rPr>
        <w:t>和分包</w:t>
      </w:r>
      <w:bookmarkEnd w:id="228"/>
      <w:bookmarkEnd w:id="229"/>
      <w:bookmarkEnd w:id="230"/>
    </w:p>
    <w:p w14:paraId="30A30C7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134CD97D">
      <w:pPr>
        <w:spacing w:line="360" w:lineRule="auto"/>
        <w:ind w:firstLine="482" w:firstLineChars="200"/>
        <w:rPr>
          <w:rFonts w:ascii="宋体" w:hAnsi="宋体"/>
          <w:b/>
          <w:color w:val="auto"/>
          <w:sz w:val="24"/>
          <w:highlight w:val="none"/>
        </w:rPr>
      </w:pPr>
      <w:bookmarkStart w:id="231" w:name="_Toc16508"/>
      <w:bookmarkStart w:id="232" w:name="_Toc13566"/>
      <w:bookmarkStart w:id="233" w:name="_Toc14066"/>
      <w:r>
        <w:rPr>
          <w:rFonts w:hint="eastAsia" w:ascii="宋体" w:hAnsi="宋体"/>
          <w:b/>
          <w:color w:val="auto"/>
          <w:sz w:val="24"/>
          <w:highlight w:val="none"/>
        </w:rPr>
        <w:t>2.13 不可抗力</w:t>
      </w:r>
      <w:bookmarkEnd w:id="231"/>
      <w:bookmarkEnd w:id="232"/>
      <w:bookmarkEnd w:id="233"/>
    </w:p>
    <w:p w14:paraId="60CD339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2.13.1如果任何一方遭遇法律规定的不可抗力，致使合同履行受阻时，履行合同的期限应予延长，延长的期限应相当于不可抗力所影响的时间；</w:t>
      </w:r>
    </w:p>
    <w:p w14:paraId="294F408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2.13.2受不可抗力影响的一方在不可抗力发生后，应在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约定时间内以书面形式通知对方当事人，并在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约定时间内，将有关部门出具的证明文件送达对方当事人。</w:t>
      </w:r>
    </w:p>
    <w:p w14:paraId="55E8BB5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2.13.3 因不可抗力致使不能实现合同目的的，当事人可以解除合同；</w:t>
      </w:r>
    </w:p>
    <w:p w14:paraId="2FE3B58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2.13.4 因不可抗力致使合同有变更必要的，双方当事人应在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约定时间内以书面形式变更合同；</w:t>
      </w:r>
    </w:p>
    <w:p w14:paraId="50E1910F">
      <w:pPr>
        <w:spacing w:line="360" w:lineRule="auto"/>
        <w:ind w:firstLine="482" w:firstLineChars="200"/>
        <w:rPr>
          <w:rFonts w:ascii="宋体" w:hAnsi="宋体"/>
          <w:b/>
          <w:color w:val="auto"/>
          <w:sz w:val="24"/>
          <w:highlight w:val="none"/>
        </w:rPr>
      </w:pPr>
      <w:bookmarkStart w:id="234" w:name="_Toc689"/>
      <w:bookmarkStart w:id="235" w:name="_Toc279701255"/>
      <w:bookmarkStart w:id="236" w:name="_Toc6969"/>
      <w:bookmarkStart w:id="237" w:name="_Toc30676"/>
      <w:bookmarkStart w:id="238" w:name="_Toc487900365"/>
      <w:bookmarkStart w:id="239" w:name="_Toc259093684"/>
      <w:r>
        <w:rPr>
          <w:rFonts w:hint="eastAsia" w:ascii="宋体" w:hAnsi="宋体"/>
          <w:b/>
          <w:color w:val="auto"/>
          <w:sz w:val="24"/>
          <w:highlight w:val="none"/>
        </w:rPr>
        <w:t>2.14 税费</w:t>
      </w:r>
      <w:bookmarkEnd w:id="234"/>
      <w:bookmarkEnd w:id="235"/>
      <w:bookmarkEnd w:id="236"/>
      <w:bookmarkEnd w:id="237"/>
      <w:bookmarkEnd w:id="238"/>
      <w:bookmarkEnd w:id="239"/>
    </w:p>
    <w:p w14:paraId="49D66A2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与合同有关的一切税费，均按照中华人民共和国法律的相关规定执行。</w:t>
      </w:r>
    </w:p>
    <w:p w14:paraId="1886A240">
      <w:pPr>
        <w:spacing w:line="360" w:lineRule="auto"/>
        <w:ind w:firstLine="482" w:firstLineChars="200"/>
        <w:rPr>
          <w:rFonts w:ascii="宋体" w:hAnsi="宋体"/>
          <w:b/>
          <w:color w:val="auto"/>
          <w:sz w:val="24"/>
          <w:highlight w:val="none"/>
        </w:rPr>
      </w:pPr>
      <w:bookmarkStart w:id="240" w:name="_Toc487900368"/>
      <w:bookmarkStart w:id="241" w:name="_Toc7102"/>
      <w:bookmarkStart w:id="242" w:name="_Toc279701258"/>
      <w:bookmarkStart w:id="243" w:name="_Toc16959"/>
      <w:bookmarkStart w:id="244" w:name="_Toc259093687"/>
      <w:bookmarkStart w:id="245" w:name="_Toc8298"/>
      <w:r>
        <w:rPr>
          <w:rFonts w:hint="eastAsia" w:ascii="宋体" w:hAnsi="宋体"/>
          <w:b/>
          <w:color w:val="auto"/>
          <w:sz w:val="24"/>
          <w:highlight w:val="none"/>
        </w:rPr>
        <w:t>2.15 乙方破产</w:t>
      </w:r>
      <w:bookmarkEnd w:id="240"/>
      <w:bookmarkEnd w:id="241"/>
      <w:bookmarkEnd w:id="242"/>
      <w:bookmarkEnd w:id="243"/>
      <w:bookmarkEnd w:id="244"/>
      <w:bookmarkEnd w:id="245"/>
    </w:p>
    <w:p w14:paraId="030435C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BABF5CE">
      <w:pPr>
        <w:spacing w:line="360" w:lineRule="auto"/>
        <w:ind w:firstLine="482" w:firstLineChars="200"/>
        <w:rPr>
          <w:rFonts w:ascii="宋体" w:hAnsi="宋体"/>
          <w:b/>
          <w:color w:val="auto"/>
          <w:sz w:val="24"/>
          <w:highlight w:val="none"/>
        </w:rPr>
      </w:pPr>
      <w:bookmarkStart w:id="246" w:name="_Toc6134"/>
      <w:bookmarkStart w:id="247" w:name="_Toc15387"/>
      <w:bookmarkStart w:id="248" w:name="_Toc29333"/>
      <w:r>
        <w:rPr>
          <w:rFonts w:hint="eastAsia" w:ascii="宋体" w:hAnsi="宋体"/>
          <w:b/>
          <w:color w:val="auto"/>
          <w:sz w:val="24"/>
          <w:highlight w:val="none"/>
        </w:rPr>
        <w:t>2.16 合同中止、终止</w:t>
      </w:r>
      <w:bookmarkEnd w:id="246"/>
      <w:bookmarkEnd w:id="247"/>
      <w:bookmarkEnd w:id="248"/>
    </w:p>
    <w:p w14:paraId="1F699E5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2.16.1 双方当事人不得擅自中止或者终止合同；</w:t>
      </w:r>
    </w:p>
    <w:p w14:paraId="23670EF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7B726E9D">
      <w:pPr>
        <w:spacing w:line="360" w:lineRule="auto"/>
        <w:ind w:firstLine="482" w:firstLineChars="200"/>
        <w:rPr>
          <w:rFonts w:ascii="宋体" w:hAnsi="宋体"/>
          <w:b/>
          <w:color w:val="auto"/>
          <w:sz w:val="24"/>
          <w:highlight w:val="none"/>
        </w:rPr>
      </w:pPr>
      <w:bookmarkStart w:id="249" w:name="_Toc1125"/>
      <w:bookmarkStart w:id="250" w:name="_Toc6596"/>
      <w:bookmarkStart w:id="251" w:name="_Toc14563"/>
      <w:r>
        <w:rPr>
          <w:rFonts w:hint="eastAsia" w:ascii="宋体" w:hAnsi="宋体"/>
          <w:b/>
          <w:color w:val="auto"/>
          <w:sz w:val="24"/>
          <w:highlight w:val="none"/>
        </w:rPr>
        <w:t>2.17 检验和验收</w:t>
      </w:r>
      <w:bookmarkEnd w:id="249"/>
      <w:bookmarkEnd w:id="250"/>
      <w:bookmarkEnd w:id="251"/>
    </w:p>
    <w:p w14:paraId="7C604B2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b/>
          <w:i/>
          <w:color w:val="auto"/>
          <w:sz w:val="24"/>
          <w:highlight w:val="none"/>
          <w:u w:val="single"/>
        </w:rPr>
        <w:t>合同专用条款</w:t>
      </w:r>
      <w:r>
        <w:rPr>
          <w:rFonts w:hint="eastAsia" w:ascii="宋体" w:hAnsi="宋体"/>
          <w:color w:val="auto"/>
          <w:sz w:val="24"/>
          <w:highlight w:val="none"/>
        </w:rPr>
        <w:t>约定时间内组织验收，并可依法邀请相关方参加，验收应出具验收书。</w:t>
      </w:r>
    </w:p>
    <w:p w14:paraId="0D0281B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468432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2.17.3 检验和验收标准、程序等具体内容以及前述验收书的效力详见</w:t>
      </w:r>
      <w:r>
        <w:rPr>
          <w:rFonts w:hint="eastAsia" w:ascii="宋体" w:hAnsi="宋体"/>
          <w:b/>
          <w:i/>
          <w:color w:val="auto"/>
          <w:sz w:val="24"/>
          <w:highlight w:val="none"/>
          <w:u w:val="single"/>
        </w:rPr>
        <w:t>合同专用条款</w:t>
      </w:r>
      <w:r>
        <w:rPr>
          <w:rFonts w:hint="eastAsia" w:ascii="宋体" w:hAnsi="宋体"/>
          <w:i/>
          <w:color w:val="auto"/>
          <w:sz w:val="24"/>
          <w:highlight w:val="none"/>
        </w:rPr>
        <w:t>。</w:t>
      </w:r>
    </w:p>
    <w:bookmarkEnd w:id="221"/>
    <w:bookmarkEnd w:id="222"/>
    <w:bookmarkEnd w:id="223"/>
    <w:bookmarkEnd w:id="224"/>
    <w:p w14:paraId="1CDB263A">
      <w:pPr>
        <w:spacing w:line="360" w:lineRule="auto"/>
        <w:ind w:firstLine="482" w:firstLineChars="200"/>
        <w:rPr>
          <w:rFonts w:ascii="宋体" w:hAnsi="宋体"/>
          <w:b/>
          <w:color w:val="auto"/>
          <w:sz w:val="24"/>
          <w:highlight w:val="none"/>
        </w:rPr>
      </w:pPr>
      <w:bookmarkStart w:id="252" w:name="_Toc279701261"/>
      <w:bookmarkStart w:id="253" w:name="_Toc487900371"/>
      <w:bookmarkStart w:id="254" w:name="_Toc259093690"/>
      <w:bookmarkStart w:id="255" w:name="_Toc25182"/>
      <w:bookmarkStart w:id="256" w:name="_Toc11284"/>
      <w:bookmarkStart w:id="257" w:name="_Toc19604"/>
      <w:r>
        <w:rPr>
          <w:rFonts w:hint="eastAsia" w:ascii="宋体" w:hAnsi="宋体"/>
          <w:b/>
          <w:color w:val="auto"/>
          <w:sz w:val="24"/>
          <w:highlight w:val="none"/>
        </w:rPr>
        <w:t>2.18 通知</w:t>
      </w:r>
      <w:bookmarkEnd w:id="252"/>
      <w:bookmarkEnd w:id="253"/>
      <w:bookmarkEnd w:id="254"/>
      <w:r>
        <w:rPr>
          <w:rFonts w:hint="eastAsia" w:ascii="宋体" w:hAnsi="宋体"/>
          <w:b/>
          <w:color w:val="auto"/>
          <w:sz w:val="24"/>
          <w:highlight w:val="none"/>
        </w:rPr>
        <w:t>和送达</w:t>
      </w:r>
      <w:bookmarkEnd w:id="255"/>
      <w:bookmarkEnd w:id="256"/>
      <w:bookmarkEnd w:id="257"/>
    </w:p>
    <w:p w14:paraId="39573833">
      <w:pPr>
        <w:spacing w:line="360" w:lineRule="auto"/>
        <w:ind w:firstLine="480" w:firstLineChars="200"/>
        <w:rPr>
          <w:rFonts w:ascii="宋体" w:hAnsi="宋体"/>
          <w:color w:val="auto"/>
          <w:sz w:val="24"/>
          <w:highlight w:val="none"/>
        </w:rPr>
      </w:pPr>
      <w:bookmarkStart w:id="258" w:name="_Toc6698"/>
      <w:bookmarkStart w:id="259" w:name="_Toc3135"/>
      <w:bookmarkStart w:id="260" w:name="_Toc279701262"/>
      <w:bookmarkStart w:id="261" w:name="_Toc259093691"/>
      <w:bookmarkStart w:id="262" w:name="_Toc487900372"/>
      <w:r>
        <w:rPr>
          <w:rFonts w:hint="eastAsia" w:ascii="宋体" w:hAnsi="宋体"/>
          <w:color w:val="auto"/>
          <w:sz w:val="24"/>
          <w:highlight w:val="none"/>
        </w:rPr>
        <w:t>2.18.1 任何一方因履行合同而以合同第一部分尾部所列明的</w:t>
      </w:r>
      <w:r>
        <w:rPr>
          <w:rFonts w:hint="eastAsia" w:ascii="宋体" w:hAnsi="宋体"/>
          <w:color w:val="auto"/>
          <w:sz w:val="24"/>
          <w:highlight w:val="none"/>
          <w:u w:val="single"/>
        </w:rPr>
        <w:t>“约定送达地址”</w:t>
      </w:r>
      <w:r>
        <w:rPr>
          <w:rFonts w:hint="eastAsia" w:ascii="宋体" w:hAnsi="宋体"/>
          <w:color w:val="auto"/>
          <w:sz w:val="24"/>
          <w:highlight w:val="none"/>
        </w:rPr>
        <w:t>为收件地址的所有通知、文件、材料，均视为已向对方当事人送达；任何一方变更上述送达方式或者地址的，应于</w:t>
      </w:r>
      <w:r>
        <w:rPr>
          <w:rFonts w:hint="eastAsia" w:ascii="宋体" w:hAnsi="宋体"/>
          <w:color w:val="auto"/>
          <w:sz w:val="24"/>
          <w:highlight w:val="none"/>
          <w:u w:val="single"/>
        </w:rPr>
        <w:t xml:space="preserve">  7  </w:t>
      </w:r>
      <w:r>
        <w:rPr>
          <w:rFonts w:hint="eastAsia" w:ascii="宋体" w:hAnsi="宋体"/>
          <w:color w:val="auto"/>
          <w:sz w:val="24"/>
          <w:highlight w:val="none"/>
        </w:rPr>
        <w:t>个工作日内书面通知对方当事人，在对方当事人收到有关变更通知之前，变更前的约定送达方式或者地址仍视为有效。</w:t>
      </w:r>
      <w:bookmarkEnd w:id="258"/>
      <w:bookmarkEnd w:id="259"/>
    </w:p>
    <w:p w14:paraId="29DC5FF5">
      <w:pPr>
        <w:spacing w:line="360" w:lineRule="auto"/>
        <w:ind w:firstLine="480" w:firstLineChars="200"/>
        <w:rPr>
          <w:rFonts w:ascii="宋体" w:hAnsi="宋体"/>
          <w:color w:val="auto"/>
          <w:sz w:val="24"/>
          <w:highlight w:val="none"/>
        </w:rPr>
      </w:pPr>
      <w:bookmarkStart w:id="263" w:name="_Toc23128"/>
      <w:bookmarkStart w:id="264" w:name="_Toc23294"/>
      <w:r>
        <w:rPr>
          <w:rFonts w:hint="eastAsia" w:ascii="宋体" w:hAnsi="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63"/>
      <w:bookmarkEnd w:id="264"/>
    </w:p>
    <w:p w14:paraId="6C55CEA0">
      <w:pPr>
        <w:spacing w:line="360" w:lineRule="auto"/>
        <w:ind w:firstLine="482" w:firstLineChars="200"/>
        <w:rPr>
          <w:rFonts w:ascii="宋体" w:hAnsi="宋体"/>
          <w:b/>
          <w:color w:val="auto"/>
          <w:sz w:val="24"/>
          <w:highlight w:val="none"/>
        </w:rPr>
      </w:pPr>
      <w:bookmarkStart w:id="265" w:name="_Toc18540"/>
      <w:bookmarkStart w:id="266" w:name="_Toc4355"/>
      <w:bookmarkStart w:id="267" w:name="_Toc30599"/>
      <w:r>
        <w:rPr>
          <w:rFonts w:hint="eastAsia" w:ascii="宋体" w:hAnsi="宋体"/>
          <w:b/>
          <w:color w:val="auto"/>
          <w:sz w:val="24"/>
          <w:highlight w:val="none"/>
        </w:rPr>
        <w:t>2.19 计量单位</w:t>
      </w:r>
      <w:bookmarkEnd w:id="260"/>
      <w:bookmarkEnd w:id="261"/>
      <w:bookmarkEnd w:id="262"/>
      <w:bookmarkEnd w:id="265"/>
      <w:bookmarkEnd w:id="266"/>
      <w:bookmarkEnd w:id="267"/>
    </w:p>
    <w:p w14:paraId="3BAAB60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除技术规范中另有规定外,合同的计量单位均使用国家法定计量单位。</w:t>
      </w:r>
    </w:p>
    <w:p w14:paraId="7BC90D0E">
      <w:pPr>
        <w:spacing w:line="360" w:lineRule="auto"/>
        <w:ind w:firstLine="482" w:firstLineChars="200"/>
        <w:rPr>
          <w:rFonts w:ascii="宋体" w:hAnsi="宋体"/>
          <w:b/>
          <w:color w:val="auto"/>
          <w:sz w:val="24"/>
          <w:highlight w:val="none"/>
        </w:rPr>
      </w:pPr>
      <w:bookmarkStart w:id="268" w:name="_Toc10330"/>
      <w:bookmarkStart w:id="269" w:name="_Toc259093692"/>
      <w:bookmarkStart w:id="270" w:name="_Toc18567"/>
      <w:bookmarkStart w:id="271" w:name="_Toc279701263"/>
      <w:bookmarkStart w:id="272" w:name="_Toc487900373"/>
      <w:bookmarkStart w:id="273" w:name="_Toc12773"/>
      <w:r>
        <w:rPr>
          <w:rFonts w:hint="eastAsia" w:ascii="宋体" w:hAnsi="宋体"/>
          <w:b/>
          <w:color w:val="auto"/>
          <w:sz w:val="24"/>
          <w:highlight w:val="none"/>
        </w:rPr>
        <w:t>2.20 合同使用的文字和适用的法律</w:t>
      </w:r>
      <w:bookmarkEnd w:id="268"/>
      <w:bookmarkEnd w:id="269"/>
      <w:bookmarkEnd w:id="270"/>
      <w:bookmarkEnd w:id="271"/>
      <w:bookmarkEnd w:id="272"/>
      <w:bookmarkEnd w:id="273"/>
    </w:p>
    <w:p w14:paraId="2E4F76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2.20.1 合同使用汉语书就、变更和解释；</w:t>
      </w:r>
    </w:p>
    <w:p w14:paraId="5E0AB0B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2.20.2 合同适用中华人民共和国法律。</w:t>
      </w:r>
    </w:p>
    <w:p w14:paraId="3439D0CB">
      <w:pPr>
        <w:spacing w:line="360" w:lineRule="auto"/>
        <w:ind w:firstLine="482" w:firstLineChars="200"/>
        <w:rPr>
          <w:rFonts w:ascii="宋体" w:hAnsi="宋体"/>
          <w:b/>
          <w:color w:val="auto"/>
          <w:sz w:val="24"/>
          <w:highlight w:val="none"/>
        </w:rPr>
      </w:pPr>
      <w:bookmarkStart w:id="274" w:name="_Toc12004"/>
      <w:bookmarkStart w:id="275" w:name="_Toc3148"/>
      <w:bookmarkStart w:id="276" w:name="_Toc259093693"/>
      <w:bookmarkStart w:id="277" w:name="_Toc279701264"/>
      <w:bookmarkStart w:id="278" w:name="_Toc16673"/>
      <w:bookmarkStart w:id="279" w:name="_Toc487900374"/>
      <w:r>
        <w:rPr>
          <w:rFonts w:hint="eastAsia" w:ascii="宋体" w:hAnsi="宋体"/>
          <w:b/>
          <w:color w:val="auto"/>
          <w:sz w:val="24"/>
          <w:highlight w:val="none"/>
        </w:rPr>
        <w:t>2.21 履约保证金</w:t>
      </w:r>
      <w:bookmarkEnd w:id="274"/>
      <w:bookmarkEnd w:id="275"/>
      <w:bookmarkEnd w:id="276"/>
      <w:bookmarkEnd w:id="277"/>
      <w:bookmarkEnd w:id="278"/>
    </w:p>
    <w:p w14:paraId="5C3DF3A3">
      <w:pPr>
        <w:spacing w:line="360" w:lineRule="auto"/>
        <w:ind w:firstLine="480" w:firstLineChars="200"/>
        <w:rPr>
          <w:rFonts w:ascii="宋体" w:hAnsi="宋体" w:cs="Arial"/>
          <w:snapToGrid w:val="0"/>
          <w:color w:val="auto"/>
          <w:kern w:val="0"/>
          <w:sz w:val="24"/>
          <w:highlight w:val="none"/>
        </w:rPr>
      </w:pPr>
      <w:r>
        <w:rPr>
          <w:rFonts w:hint="eastAsia" w:ascii="宋体" w:hAnsi="宋体"/>
          <w:color w:val="auto"/>
          <w:sz w:val="24"/>
          <w:highlight w:val="none"/>
        </w:rPr>
        <w:t>本项目不收取履约保证金</w:t>
      </w:r>
    </w:p>
    <w:p w14:paraId="23A31883">
      <w:pPr>
        <w:spacing w:line="360" w:lineRule="auto"/>
        <w:ind w:firstLine="482" w:firstLineChars="200"/>
        <w:rPr>
          <w:rFonts w:ascii="宋体" w:hAnsi="宋体"/>
          <w:color w:val="auto"/>
          <w:kern w:val="0"/>
          <w:sz w:val="24"/>
          <w:highlight w:val="none"/>
          <w:lang w:val="zh-CN"/>
        </w:rPr>
      </w:pPr>
      <w:r>
        <w:rPr>
          <w:rFonts w:hint="eastAsia" w:ascii="宋体" w:hAnsi="宋体"/>
          <w:b/>
          <w:color w:val="auto"/>
          <w:sz w:val="24"/>
          <w:highlight w:val="none"/>
        </w:rPr>
        <w:t>2.22 中小企业政策</w:t>
      </w:r>
    </w:p>
    <w:bookmarkEnd w:id="279"/>
    <w:p w14:paraId="4CF6BBFA">
      <w:pPr>
        <w:spacing w:line="360" w:lineRule="auto"/>
        <w:ind w:firstLine="480" w:firstLineChars="200"/>
        <w:rPr>
          <w:rFonts w:ascii="宋体" w:hAnsi="宋体"/>
          <w:color w:val="auto"/>
          <w:kern w:val="0"/>
          <w:sz w:val="24"/>
          <w:highlight w:val="none"/>
          <w:lang w:val="zh-CN"/>
        </w:rPr>
      </w:pPr>
      <w:bookmarkStart w:id="280" w:name="_Toc19890"/>
      <w:bookmarkStart w:id="281" w:name="_Toc14001"/>
      <w:bookmarkStart w:id="282" w:name="_Toc6885"/>
      <w:r>
        <w:rPr>
          <w:rFonts w:hint="eastAsia" w:ascii="宋体" w:hAnsi="宋体"/>
          <w:color w:val="auto"/>
          <w:kern w:val="0"/>
          <w:sz w:val="24"/>
          <w:highlight w:val="none"/>
          <w:lang w:val="zh-CN"/>
        </w:rPr>
        <w:t>2.22.1本合同（□是  □否）为中小企业“政采贷”可融资合同，关于中小企业信用融资事项见采购文件“投标人须知正文”。</w:t>
      </w:r>
    </w:p>
    <w:p w14:paraId="31D62F7E">
      <w:pPr>
        <w:spacing w:line="360" w:lineRule="auto"/>
        <w:ind w:firstLine="480" w:firstLineChars="200"/>
        <w:rPr>
          <w:rFonts w:ascii="宋体" w:hAnsi="宋体"/>
          <w:color w:val="auto"/>
          <w:kern w:val="0"/>
          <w:sz w:val="24"/>
          <w:highlight w:val="none"/>
          <w:lang w:val="zh-CN"/>
        </w:rPr>
      </w:pPr>
      <w:r>
        <w:rPr>
          <w:rFonts w:hint="eastAsia" w:ascii="宋体" w:hAnsi="宋体"/>
          <w:color w:val="auto"/>
          <w:kern w:val="0"/>
          <w:sz w:val="24"/>
          <w:highlight w:val="none"/>
          <w:lang w:val="zh-CN"/>
        </w:rPr>
        <w:t>2.22.2本合同（□是  ☑否）为中小企业预留合同。</w:t>
      </w:r>
    </w:p>
    <w:p w14:paraId="3734D3FF">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2.23 合同份数</w:t>
      </w:r>
      <w:bookmarkEnd w:id="280"/>
      <w:bookmarkEnd w:id="281"/>
      <w:bookmarkEnd w:id="282"/>
    </w:p>
    <w:p w14:paraId="5E3E153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本合同壹式</w:t>
      </w:r>
      <w:r>
        <w:rPr>
          <w:rFonts w:hint="eastAsia" w:ascii="宋体" w:hAnsi="宋体"/>
          <w:color w:val="auto"/>
          <w:sz w:val="24"/>
          <w:highlight w:val="none"/>
          <w:u w:val="single"/>
        </w:rPr>
        <w:t xml:space="preserve">   </w:t>
      </w:r>
      <w:r>
        <w:rPr>
          <w:rFonts w:hint="eastAsia" w:ascii="宋体" w:hAnsi="宋体"/>
          <w:color w:val="auto"/>
          <w:sz w:val="24"/>
          <w:highlight w:val="none"/>
        </w:rPr>
        <w:t>份，甲方执</w:t>
      </w:r>
      <w:r>
        <w:rPr>
          <w:rFonts w:hint="eastAsia" w:ascii="宋体" w:hAnsi="宋体"/>
          <w:color w:val="auto"/>
          <w:sz w:val="24"/>
          <w:highlight w:val="none"/>
          <w:u w:val="single"/>
        </w:rPr>
        <w:t xml:space="preserve">   </w:t>
      </w:r>
      <w:r>
        <w:rPr>
          <w:rFonts w:hint="eastAsia" w:ascii="宋体" w:hAnsi="宋体"/>
          <w:color w:val="auto"/>
          <w:sz w:val="24"/>
          <w:highlight w:val="none"/>
        </w:rPr>
        <w:t>份，乙方执</w:t>
      </w:r>
      <w:r>
        <w:rPr>
          <w:rFonts w:hint="eastAsia" w:ascii="宋体" w:hAnsi="宋体"/>
          <w:color w:val="auto"/>
          <w:sz w:val="24"/>
          <w:highlight w:val="none"/>
          <w:u w:val="single"/>
        </w:rPr>
        <w:t xml:space="preserve">   </w:t>
      </w:r>
      <w:r>
        <w:rPr>
          <w:rFonts w:hint="eastAsia" w:ascii="宋体" w:hAnsi="宋体"/>
          <w:color w:val="auto"/>
          <w:sz w:val="24"/>
          <w:highlight w:val="none"/>
        </w:rPr>
        <w:t>份。每份均具有同等法律效力。</w:t>
      </w:r>
    </w:p>
    <w:p w14:paraId="0078F591">
      <w:pPr>
        <w:spacing w:line="360" w:lineRule="auto"/>
        <w:jc w:val="center"/>
        <w:rPr>
          <w:rFonts w:ascii="宋体" w:hAnsi="宋体"/>
          <w:b/>
          <w:color w:val="auto"/>
          <w:sz w:val="28"/>
          <w:szCs w:val="28"/>
          <w:highlight w:val="none"/>
        </w:rPr>
      </w:pPr>
      <w:r>
        <w:rPr>
          <w:rFonts w:hint="eastAsia" w:ascii="宋体" w:hAnsi="宋体"/>
          <w:color w:val="auto"/>
          <w:highlight w:val="none"/>
        </w:rPr>
        <w:br w:type="page"/>
      </w:r>
      <w:bookmarkStart w:id="283" w:name="_Toc331685784"/>
      <w:r>
        <w:rPr>
          <w:rFonts w:hint="eastAsia" w:ascii="宋体" w:hAnsi="宋体"/>
          <w:b/>
          <w:color w:val="auto"/>
          <w:sz w:val="28"/>
          <w:szCs w:val="28"/>
          <w:highlight w:val="none"/>
        </w:rPr>
        <w:t>第三部分  合同专用条款</w:t>
      </w:r>
      <w:bookmarkEnd w:id="283"/>
    </w:p>
    <w:p w14:paraId="3FC0F4E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C7896E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3.1具有知识产权的标的物知识产权归属：</w:t>
      </w:r>
    </w:p>
    <w:p w14:paraId="58DAE7A6">
      <w:pPr>
        <w:spacing w:line="360" w:lineRule="auto"/>
        <w:ind w:firstLine="480" w:firstLineChars="200"/>
        <w:rPr>
          <w:rFonts w:ascii="宋体" w:hAnsi="宋体"/>
          <w:color w:val="auto"/>
          <w:sz w:val="24"/>
          <w:highlight w:val="none"/>
        </w:rPr>
      </w:pPr>
    </w:p>
    <w:p w14:paraId="2A0B0AE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3.2包装和装运专用条款（如果有）：</w:t>
      </w:r>
    </w:p>
    <w:p w14:paraId="1CE21540">
      <w:pPr>
        <w:spacing w:line="360" w:lineRule="auto"/>
        <w:ind w:firstLine="480" w:firstLineChars="200"/>
        <w:rPr>
          <w:rFonts w:ascii="宋体" w:hAnsi="宋体"/>
          <w:color w:val="auto"/>
          <w:sz w:val="24"/>
          <w:highlight w:val="none"/>
        </w:rPr>
      </w:pPr>
    </w:p>
    <w:p w14:paraId="17BB2D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3.3装运标的物的要求和通知：</w:t>
      </w:r>
    </w:p>
    <w:p w14:paraId="176A3AED">
      <w:pPr>
        <w:spacing w:line="360" w:lineRule="auto"/>
        <w:ind w:firstLine="480" w:firstLineChars="200"/>
        <w:rPr>
          <w:rFonts w:ascii="宋体" w:hAnsi="宋体"/>
          <w:color w:val="auto"/>
          <w:sz w:val="24"/>
          <w:highlight w:val="none"/>
        </w:rPr>
      </w:pPr>
    </w:p>
    <w:p w14:paraId="1FC23755">
      <w:pPr>
        <w:spacing w:line="360" w:lineRule="auto"/>
        <w:ind w:firstLine="480" w:firstLineChars="200"/>
        <w:rPr>
          <w:rFonts w:ascii="宋体" w:hAnsi="宋体" w:cs="仿宋_GB2312"/>
          <w:color w:val="auto"/>
          <w:kern w:val="0"/>
          <w:sz w:val="24"/>
          <w:highlight w:val="none"/>
          <w:lang w:val="zh-CN"/>
        </w:rPr>
      </w:pPr>
      <w:r>
        <w:rPr>
          <w:rFonts w:hint="eastAsia" w:ascii="宋体" w:hAnsi="宋体"/>
          <w:color w:val="auto"/>
          <w:sz w:val="24"/>
          <w:highlight w:val="none"/>
        </w:rPr>
        <w:t>3.4结算方式和付款条件</w:t>
      </w:r>
      <w:r>
        <w:rPr>
          <w:rFonts w:hint="eastAsia" w:ascii="宋体" w:hAnsi="宋体" w:cs="仿宋_GB2312"/>
          <w:color w:val="auto"/>
          <w:kern w:val="0"/>
          <w:sz w:val="24"/>
          <w:highlight w:val="none"/>
          <w:lang w:val="zh-CN"/>
        </w:rPr>
        <w:t>本次项目合同总价为大写人民币</w:t>
      </w:r>
      <w:r>
        <w:rPr>
          <w:rFonts w:hint="eastAsia" w:ascii="宋体" w:hAnsi="宋体" w:cs="仿宋_GB2312"/>
          <w:color w:val="auto"/>
          <w:kern w:val="0"/>
          <w:sz w:val="24"/>
          <w:highlight w:val="none"/>
          <w:u w:val="single"/>
          <w:lang w:val="zh-CN"/>
        </w:rPr>
        <w:t xml:space="preserve">            （</w:t>
      </w:r>
      <w:r>
        <w:rPr>
          <w:rFonts w:hint="eastAsia" w:ascii="宋体" w:hAnsi="宋体" w:cs="仿宋_GB2312"/>
          <w:color w:val="auto"/>
          <w:kern w:val="0"/>
          <w:sz w:val="24"/>
          <w:highlight w:val="none"/>
          <w:lang w:val="zh-CN"/>
        </w:rPr>
        <w:t>￥    元）。本项目采用以下勾选结算方式进行支付：</w:t>
      </w:r>
    </w:p>
    <w:p w14:paraId="41961C82">
      <w:pPr>
        <w:widowControl/>
        <w:spacing w:line="360" w:lineRule="auto"/>
        <w:ind w:firstLine="480" w:firstLineChars="200"/>
        <w:jc w:val="left"/>
        <w:rPr>
          <w:rFonts w:ascii="宋体" w:hAnsi="宋体" w:cs="仿宋_GB2312"/>
          <w:color w:val="auto"/>
          <w:kern w:val="0"/>
          <w:sz w:val="24"/>
          <w:highlight w:val="none"/>
          <w:u w:val="single"/>
          <w:lang w:val="zh-CN"/>
        </w:rPr>
      </w:pPr>
      <w:r>
        <w:rPr>
          <w:rFonts w:hint="eastAsia" w:ascii="宋体" w:hAnsi="宋体" w:cs="仿宋_GB2312"/>
          <w:color w:val="auto"/>
          <w:kern w:val="0"/>
          <w:sz w:val="24"/>
          <w:highlight w:val="none"/>
          <w:lang w:val="zh-CN"/>
        </w:rPr>
        <w:sym w:font="Wingdings 2" w:char="0052"/>
      </w:r>
      <w:r>
        <w:rPr>
          <w:rFonts w:hint="eastAsia" w:ascii="宋体" w:hAnsi="宋体" w:cs="仿宋_GB2312"/>
          <w:color w:val="auto"/>
          <w:kern w:val="0"/>
          <w:sz w:val="24"/>
          <w:highlight w:val="none"/>
          <w:lang w:val="zh-CN"/>
        </w:rPr>
        <w:t xml:space="preserve">采用一次性支付方式，付款条件为：整个项目验收合格后，一次性支付合同款。 </w:t>
      </w:r>
    </w:p>
    <w:p w14:paraId="22DA9C58">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□采用分期付款方式，付款条件为</w:t>
      </w:r>
      <w:r>
        <w:rPr>
          <w:rFonts w:hint="eastAsia" w:ascii="宋体" w:hAnsi="宋体" w:cs="仿宋_GB2312"/>
          <w:color w:val="auto"/>
          <w:kern w:val="0"/>
          <w:sz w:val="24"/>
          <w:highlight w:val="none"/>
        </w:rPr>
        <w:t>：</w:t>
      </w:r>
    </w:p>
    <w:p w14:paraId="2606F065">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第一期付款</w:t>
      </w:r>
      <w:r>
        <w:rPr>
          <w:rFonts w:hint="eastAsia" w:ascii="宋体" w:hAnsi="宋体" w:cs="仿宋_GB2312"/>
          <w:color w:val="auto"/>
          <w:kern w:val="0"/>
          <w:sz w:val="24"/>
          <w:highlight w:val="none"/>
        </w:rPr>
        <w:t>：</w:t>
      </w:r>
    </w:p>
    <w:p w14:paraId="1F0DE923">
      <w:pPr>
        <w:spacing w:line="360" w:lineRule="auto"/>
        <w:ind w:firstLine="480" w:firstLineChars="2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第二期付款</w:t>
      </w:r>
      <w:r>
        <w:rPr>
          <w:rFonts w:hint="eastAsia" w:ascii="宋体" w:hAnsi="宋体" w:cs="仿宋_GB2312"/>
          <w:color w:val="auto"/>
          <w:kern w:val="0"/>
          <w:sz w:val="24"/>
          <w:highlight w:val="none"/>
        </w:rPr>
        <w:t xml:space="preserve">： </w:t>
      </w:r>
    </w:p>
    <w:p w14:paraId="72B5FEB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甲方无故逾期支付货物费用的，按照每逾期一日支付欠付货物费额度的</w:t>
      </w:r>
      <w:r>
        <w:rPr>
          <w:rFonts w:hint="eastAsia" w:ascii="宋体" w:hAnsi="宋体"/>
          <w:color w:val="auto"/>
          <w:sz w:val="24"/>
          <w:highlight w:val="none"/>
          <w:u w:val="single"/>
        </w:rPr>
        <w:t>万分之五</w:t>
      </w:r>
      <w:r>
        <w:rPr>
          <w:rFonts w:hint="eastAsia" w:ascii="宋体" w:hAnsi="宋体"/>
          <w:color w:val="auto"/>
          <w:sz w:val="24"/>
          <w:highlight w:val="none"/>
        </w:rPr>
        <w:t>承担违约责任，违约金上限按照《合同书》约定执行。</w:t>
      </w:r>
    </w:p>
    <w:p w14:paraId="0E32B11A">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温馨提示：根据《广西壮族自治区财政厅关于进一步发挥政府采购政策功能促进企业发展的通知》（桂财采〔2022〕30号）规定，政府采购货物和服务的采购人在政府采购合同中约定预付款比例的，对中小企业合同预付款比例原则上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2112862A">
      <w:pPr>
        <w:spacing w:line="360" w:lineRule="auto"/>
        <w:ind w:firstLine="480" w:firstLineChars="200"/>
        <w:rPr>
          <w:rFonts w:ascii="宋体" w:hAnsi="宋体"/>
          <w:b/>
          <w:color w:val="auto"/>
          <w:sz w:val="24"/>
          <w:highlight w:val="none"/>
        </w:rPr>
      </w:pPr>
      <w:r>
        <w:rPr>
          <w:rFonts w:hint="eastAsia" w:ascii="宋体" w:hAnsi="宋体"/>
          <w:color w:val="auto"/>
          <w:sz w:val="24"/>
          <w:highlight w:val="none"/>
        </w:rPr>
        <w:t>3.5</w:t>
      </w:r>
      <w:r>
        <w:rPr>
          <w:rFonts w:hint="eastAsia" w:ascii="宋体" w:hAnsi="宋体"/>
          <w:b/>
          <w:color w:val="auto"/>
          <w:sz w:val="24"/>
          <w:highlight w:val="none"/>
        </w:rPr>
        <w:t>标的物的风险负担</w:t>
      </w:r>
    </w:p>
    <w:p w14:paraId="289A051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标的物或者在途标的物或者交付给第一承运人后的标的物毁损、灭失的风险负担：</w:t>
      </w:r>
    </w:p>
    <w:p w14:paraId="65379DEF">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乙方                                                                       </w:t>
      </w:r>
    </w:p>
    <w:p w14:paraId="122FAAF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3.5.1受不可抗力影响的一方在不可抗力发生后，应在日内（根据项目实际填写）以书面形式通知对方当事人，并在日内（根据项目实际填写），将有关部门出具的证明文件送达对方当事人。</w:t>
      </w:r>
    </w:p>
    <w:p w14:paraId="687EF81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3.5.2因不可抗力致使合同有变更必要的，双方当事人应在日内（根据项目实际填写）以书面形式变更合同；</w:t>
      </w:r>
    </w:p>
    <w:p w14:paraId="22792C6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3.5.3标的物交付前，乙方应对标的物的质量、数量等方面进行详细、全面的检验，并向甲方出具证明标的物符合合同约定的文件；标的物交付时，乙方在日内（根据项目实际填写）发起验收，并可依法邀请相关方参加，验收应出具验收书。</w:t>
      </w:r>
    </w:p>
    <w:p w14:paraId="5D2FD93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3.5.4检验和验收标准、程序等具体内容以及前述验收书的效力：</w:t>
      </w:r>
    </w:p>
    <w:p w14:paraId="2199553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3.5.5 其他：</w:t>
      </w:r>
    </w:p>
    <w:p w14:paraId="3416AC9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3.6项目验收：</w:t>
      </w:r>
    </w:p>
    <w:p w14:paraId="20C0716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16F769F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689EC2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75A243A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3.6.4验收产生的费用首次验收费用由甲方承担，如首次验收不合格，后续验收费用由乙方支付。</w:t>
      </w:r>
    </w:p>
    <w:p w14:paraId="07E2907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3.6.5验收内容及资料要求：</w:t>
      </w:r>
    </w:p>
    <w:p w14:paraId="0E8E856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根根据采购文件确定的技术指标或者货物要求确定验收指标和标准。未进行相应约定的，应当符合国家强制性规定、政策要求、安全标准、行业或企业有关标准等。</w:t>
      </w:r>
    </w:p>
    <w:p w14:paraId="4240749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3.6.6验收内容</w:t>
      </w:r>
    </w:p>
    <w:tbl>
      <w:tblPr>
        <w:tblStyle w:val="26"/>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3090"/>
        <w:gridCol w:w="4475"/>
      </w:tblGrid>
      <w:tr w14:paraId="2DC08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 w:type="dxa"/>
            <w:tcBorders>
              <w:top w:val="single" w:color="auto" w:sz="4" w:space="0"/>
              <w:left w:val="single" w:color="auto" w:sz="4" w:space="0"/>
              <w:bottom w:val="single" w:color="auto" w:sz="4" w:space="0"/>
              <w:right w:val="single" w:color="auto" w:sz="4" w:space="0"/>
            </w:tcBorders>
            <w:vAlign w:val="center"/>
          </w:tcPr>
          <w:p w14:paraId="324334C4">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序号</w:t>
            </w:r>
          </w:p>
        </w:tc>
        <w:tc>
          <w:tcPr>
            <w:tcW w:w="3090" w:type="dxa"/>
            <w:tcBorders>
              <w:top w:val="single" w:color="auto" w:sz="4" w:space="0"/>
              <w:left w:val="single" w:color="auto" w:sz="4" w:space="0"/>
              <w:bottom w:val="single" w:color="auto" w:sz="4" w:space="0"/>
              <w:right w:val="single" w:color="auto" w:sz="4" w:space="0"/>
            </w:tcBorders>
            <w:vAlign w:val="center"/>
          </w:tcPr>
          <w:p w14:paraId="57AAC6B3">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验收内容</w:t>
            </w:r>
          </w:p>
        </w:tc>
        <w:tc>
          <w:tcPr>
            <w:tcW w:w="4475" w:type="dxa"/>
            <w:tcBorders>
              <w:top w:val="single" w:color="auto" w:sz="4" w:space="0"/>
              <w:left w:val="single" w:color="auto" w:sz="4" w:space="0"/>
              <w:bottom w:val="single" w:color="auto" w:sz="4" w:space="0"/>
              <w:right w:val="single" w:color="auto" w:sz="4" w:space="0"/>
            </w:tcBorders>
            <w:vAlign w:val="center"/>
          </w:tcPr>
          <w:p w14:paraId="5ACB8D53">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 xml:space="preserve"> 验收标准</w:t>
            </w:r>
          </w:p>
        </w:tc>
      </w:tr>
      <w:tr w14:paraId="35CC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427A4E1A">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1</w:t>
            </w:r>
          </w:p>
        </w:tc>
        <w:tc>
          <w:tcPr>
            <w:tcW w:w="3090" w:type="dxa"/>
            <w:tcBorders>
              <w:top w:val="single" w:color="auto" w:sz="4" w:space="0"/>
              <w:left w:val="single" w:color="auto" w:sz="4" w:space="0"/>
              <w:bottom w:val="single" w:color="auto" w:sz="4" w:space="0"/>
              <w:right w:val="single" w:color="auto" w:sz="4" w:space="0"/>
            </w:tcBorders>
            <w:vAlign w:val="center"/>
          </w:tcPr>
          <w:p w14:paraId="6E74B128">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交货产品数量</w:t>
            </w:r>
          </w:p>
        </w:tc>
        <w:tc>
          <w:tcPr>
            <w:tcW w:w="4475" w:type="dxa"/>
            <w:tcBorders>
              <w:top w:val="single" w:color="auto" w:sz="4" w:space="0"/>
              <w:left w:val="single" w:color="auto" w:sz="4" w:space="0"/>
              <w:bottom w:val="single" w:color="auto" w:sz="4" w:space="0"/>
              <w:right w:val="single" w:color="auto" w:sz="4" w:space="0"/>
            </w:tcBorders>
            <w:vAlign w:val="center"/>
          </w:tcPr>
          <w:p w14:paraId="7973D10F">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color w:val="auto"/>
                <w:kern w:val="0"/>
                <w:sz w:val="24"/>
                <w:highlight w:val="none"/>
              </w:rPr>
            </w:pPr>
          </w:p>
        </w:tc>
      </w:tr>
      <w:tr w14:paraId="3029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6B279742">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2</w:t>
            </w:r>
          </w:p>
        </w:tc>
        <w:tc>
          <w:tcPr>
            <w:tcW w:w="3090" w:type="dxa"/>
            <w:tcBorders>
              <w:top w:val="single" w:color="auto" w:sz="4" w:space="0"/>
              <w:left w:val="single" w:color="auto" w:sz="4" w:space="0"/>
              <w:bottom w:val="single" w:color="auto" w:sz="4" w:space="0"/>
              <w:right w:val="single" w:color="auto" w:sz="4" w:space="0"/>
            </w:tcBorders>
            <w:vAlign w:val="center"/>
          </w:tcPr>
          <w:p w14:paraId="59CA93D3">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交货产品的质量文件</w:t>
            </w:r>
          </w:p>
        </w:tc>
        <w:tc>
          <w:tcPr>
            <w:tcW w:w="4475" w:type="dxa"/>
            <w:tcBorders>
              <w:top w:val="single" w:color="auto" w:sz="4" w:space="0"/>
              <w:left w:val="single" w:color="auto" w:sz="4" w:space="0"/>
              <w:bottom w:val="single" w:color="auto" w:sz="4" w:space="0"/>
              <w:right w:val="single" w:color="auto" w:sz="4" w:space="0"/>
            </w:tcBorders>
            <w:vAlign w:val="center"/>
          </w:tcPr>
          <w:p w14:paraId="42276268">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color w:val="auto"/>
                <w:kern w:val="0"/>
                <w:sz w:val="24"/>
                <w:highlight w:val="none"/>
              </w:rPr>
            </w:pPr>
          </w:p>
        </w:tc>
      </w:tr>
      <w:tr w14:paraId="08A3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625D87F0">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4</w:t>
            </w:r>
          </w:p>
        </w:tc>
        <w:tc>
          <w:tcPr>
            <w:tcW w:w="3090" w:type="dxa"/>
            <w:tcBorders>
              <w:top w:val="single" w:color="auto" w:sz="4" w:space="0"/>
              <w:left w:val="single" w:color="auto" w:sz="4" w:space="0"/>
              <w:bottom w:val="single" w:color="auto" w:sz="4" w:space="0"/>
              <w:right w:val="single" w:color="auto" w:sz="4" w:space="0"/>
            </w:tcBorders>
            <w:vAlign w:val="center"/>
          </w:tcPr>
          <w:p w14:paraId="4892C02B">
            <w:pPr>
              <w:keepNext w:val="0"/>
              <w:keepLines w:val="0"/>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 xml:space="preserve">交货产品技术、性能指标 </w:t>
            </w:r>
          </w:p>
        </w:tc>
        <w:tc>
          <w:tcPr>
            <w:tcW w:w="4475" w:type="dxa"/>
            <w:tcBorders>
              <w:top w:val="single" w:color="auto" w:sz="4" w:space="0"/>
              <w:left w:val="single" w:color="auto" w:sz="4" w:space="0"/>
              <w:bottom w:val="single" w:color="auto" w:sz="4" w:space="0"/>
              <w:right w:val="single" w:color="auto" w:sz="4" w:space="0"/>
            </w:tcBorders>
            <w:vAlign w:val="center"/>
          </w:tcPr>
          <w:p w14:paraId="7D73BDD9">
            <w:pPr>
              <w:pStyle w:val="12"/>
              <w:keepNext w:val="0"/>
              <w:keepLines w:val="0"/>
              <w:suppressLineNumbers w:val="0"/>
              <w:spacing w:before="0" w:beforeAutospacing="0" w:after="0" w:afterAutospacing="0" w:line="360" w:lineRule="auto"/>
              <w:ind w:left="0" w:right="0" w:firstLine="420"/>
              <w:jc w:val="left"/>
              <w:rPr>
                <w:rFonts w:hint="default" w:ascii="宋体" w:hAnsi="宋体" w:cs="仿宋"/>
                <w:color w:val="auto"/>
                <w:highlight w:val="none"/>
              </w:rPr>
            </w:pPr>
          </w:p>
        </w:tc>
      </w:tr>
      <w:tr w14:paraId="46C6B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61F70180">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color w:val="auto"/>
                <w:kern w:val="0"/>
                <w:sz w:val="24"/>
                <w:highlight w:val="none"/>
              </w:rPr>
            </w:pPr>
            <w:r>
              <w:rPr>
                <w:rFonts w:hint="eastAsia" w:ascii="宋体" w:hAnsi="宋体" w:cs="仿宋"/>
                <w:color w:val="auto"/>
                <w:kern w:val="0"/>
                <w:sz w:val="24"/>
                <w:highlight w:val="none"/>
              </w:rPr>
              <w:t>5</w:t>
            </w:r>
          </w:p>
        </w:tc>
        <w:tc>
          <w:tcPr>
            <w:tcW w:w="3090" w:type="dxa"/>
            <w:tcBorders>
              <w:top w:val="single" w:color="auto" w:sz="4" w:space="0"/>
              <w:left w:val="single" w:color="auto" w:sz="4" w:space="0"/>
              <w:bottom w:val="single" w:color="auto" w:sz="4" w:space="0"/>
              <w:right w:val="single" w:color="auto" w:sz="4" w:space="0"/>
            </w:tcBorders>
            <w:vAlign w:val="center"/>
          </w:tcPr>
          <w:p w14:paraId="75904DE7">
            <w:pPr>
              <w:keepNext w:val="0"/>
              <w:keepLines w:val="0"/>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color w:val="auto"/>
                <w:sz w:val="24"/>
                <w:highlight w:val="none"/>
              </w:rPr>
              <w:t>售后服务承诺</w:t>
            </w:r>
          </w:p>
        </w:tc>
        <w:tc>
          <w:tcPr>
            <w:tcW w:w="4475" w:type="dxa"/>
            <w:tcBorders>
              <w:top w:val="single" w:color="auto" w:sz="4" w:space="0"/>
              <w:left w:val="single" w:color="auto" w:sz="4" w:space="0"/>
              <w:bottom w:val="single" w:color="auto" w:sz="4" w:space="0"/>
              <w:right w:val="single" w:color="auto" w:sz="4" w:space="0"/>
            </w:tcBorders>
            <w:vAlign w:val="center"/>
          </w:tcPr>
          <w:p w14:paraId="58CD05AB">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color w:val="auto"/>
                <w:kern w:val="0"/>
                <w:sz w:val="24"/>
                <w:highlight w:val="none"/>
              </w:rPr>
            </w:pPr>
          </w:p>
        </w:tc>
      </w:tr>
      <w:tr w14:paraId="2228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14:paraId="1008DB03">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6</w:t>
            </w:r>
          </w:p>
        </w:tc>
        <w:tc>
          <w:tcPr>
            <w:tcW w:w="3090" w:type="dxa"/>
            <w:tcBorders>
              <w:top w:val="single" w:color="auto" w:sz="4" w:space="0"/>
              <w:left w:val="single" w:color="auto" w:sz="4" w:space="0"/>
              <w:bottom w:val="single" w:color="auto" w:sz="4" w:space="0"/>
              <w:right w:val="single" w:color="auto" w:sz="4" w:space="0"/>
            </w:tcBorders>
            <w:vAlign w:val="center"/>
          </w:tcPr>
          <w:p w14:paraId="3C02A660">
            <w:pPr>
              <w:keepNext w:val="0"/>
              <w:keepLines w:val="0"/>
              <w:widowControl/>
              <w:suppressLineNumbers w:val="0"/>
              <w:spacing w:before="0" w:beforeAutospacing="0" w:after="0" w:afterAutospacing="0" w:line="360" w:lineRule="auto"/>
              <w:ind w:left="0" w:right="0" w:firstLine="480"/>
              <w:jc w:val="center"/>
              <w:rPr>
                <w:rFonts w:hint="default" w:ascii="宋体" w:hAnsi="宋体" w:cs="仿宋"/>
                <w:bCs/>
                <w:color w:val="auto"/>
                <w:kern w:val="0"/>
                <w:sz w:val="24"/>
                <w:highlight w:val="none"/>
              </w:rPr>
            </w:pPr>
            <w:r>
              <w:rPr>
                <w:rFonts w:hint="eastAsia" w:ascii="宋体" w:hAnsi="宋体" w:cs="仿宋"/>
                <w:bCs/>
                <w:color w:val="auto"/>
                <w:kern w:val="0"/>
                <w:sz w:val="24"/>
                <w:highlight w:val="none"/>
              </w:rPr>
              <w:t>其他工作</w:t>
            </w:r>
          </w:p>
        </w:tc>
        <w:tc>
          <w:tcPr>
            <w:tcW w:w="4475" w:type="dxa"/>
            <w:tcBorders>
              <w:top w:val="single" w:color="auto" w:sz="4" w:space="0"/>
              <w:left w:val="single" w:color="auto" w:sz="4" w:space="0"/>
              <w:bottom w:val="single" w:color="auto" w:sz="4" w:space="0"/>
              <w:right w:val="single" w:color="auto" w:sz="4" w:space="0"/>
            </w:tcBorders>
            <w:vAlign w:val="center"/>
          </w:tcPr>
          <w:p w14:paraId="5CF29BEE">
            <w:pPr>
              <w:keepNext w:val="0"/>
              <w:keepLines w:val="0"/>
              <w:widowControl/>
              <w:suppressLineNumbers w:val="0"/>
              <w:spacing w:before="0" w:beforeAutospacing="0" w:after="0" w:afterAutospacing="0" w:line="360" w:lineRule="auto"/>
              <w:ind w:left="0" w:right="0" w:firstLine="480"/>
              <w:jc w:val="left"/>
              <w:rPr>
                <w:rFonts w:hint="default" w:ascii="宋体" w:hAnsi="宋体" w:cs="仿宋"/>
                <w:color w:val="auto"/>
                <w:kern w:val="0"/>
                <w:sz w:val="24"/>
                <w:highlight w:val="none"/>
              </w:rPr>
            </w:pPr>
          </w:p>
        </w:tc>
      </w:tr>
    </w:tbl>
    <w:p w14:paraId="3AA69514">
      <w:pPr>
        <w:tabs>
          <w:tab w:val="left" w:pos="904"/>
        </w:tabs>
        <w:snapToGrid w:val="0"/>
        <w:spacing w:line="360" w:lineRule="auto"/>
        <w:ind w:firstLine="480" w:firstLineChars="200"/>
        <w:jc w:val="left"/>
        <w:rPr>
          <w:rFonts w:ascii="宋体" w:hAnsi="宋体" w:cs="仿宋"/>
          <w:color w:val="auto"/>
          <w:sz w:val="24"/>
          <w:highlight w:val="none"/>
        </w:rPr>
      </w:pPr>
      <w:r>
        <w:rPr>
          <w:rFonts w:hint="eastAsia" w:ascii="宋体" w:hAnsi="宋体" w:cs="仿宋"/>
          <w:color w:val="auto"/>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14:paraId="6C9F9E5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3.6.7验收资料要求</w:t>
      </w:r>
    </w:p>
    <w:p w14:paraId="77778F1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验收资料要求包括（不限于）以下内容：</w:t>
      </w:r>
    </w:p>
    <w:p w14:paraId="2B8BCE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（1）采购文件；</w:t>
      </w:r>
    </w:p>
    <w:p w14:paraId="5616359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（2）投标文件；</w:t>
      </w:r>
    </w:p>
    <w:p w14:paraId="1B87584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（3）采购合同；</w:t>
      </w:r>
    </w:p>
    <w:p w14:paraId="1B9F5E6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（4）到货核验单（需采购核验人、复核人及乙方交货人三方签字盖章）、产品拍照图片、产品说明书、产品合格证、质量保证书原件、三包凭证、产品的检测报告、原厂质保承诺函等；</w:t>
      </w:r>
    </w:p>
    <w:p w14:paraId="0C2426D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（5）其他需提供的相关材料。</w:t>
      </w:r>
    </w:p>
    <w:p w14:paraId="54D4B53A">
      <w:pPr>
        <w:widowControl/>
        <w:ind w:firstLine="720" w:firstLineChars="300"/>
        <w:jc w:val="left"/>
        <w:rPr>
          <w:rFonts w:ascii="宋体" w:hAnsi="宋体"/>
          <w:bCs/>
          <w:color w:val="auto"/>
          <w:sz w:val="24"/>
          <w:highlight w:val="none"/>
        </w:rPr>
      </w:pPr>
    </w:p>
    <w:p w14:paraId="1FBDD790">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 xml:space="preserve">                                                                       </w:t>
      </w:r>
    </w:p>
    <w:p w14:paraId="43676FDB">
      <w:pPr>
        <w:pStyle w:val="15"/>
        <w:spacing w:line="360" w:lineRule="auto"/>
        <w:ind w:left="178" w:leftChars="85"/>
        <w:rPr>
          <w:rFonts w:hAnsi="宋体"/>
          <w:color w:val="auto"/>
          <w:highlight w:val="none"/>
        </w:rPr>
      </w:pPr>
    </w:p>
    <w:p w14:paraId="4092E5D3">
      <w:pPr>
        <w:pStyle w:val="15"/>
        <w:tabs>
          <w:tab w:val="left" w:pos="2472"/>
        </w:tabs>
        <w:spacing w:line="460" w:lineRule="exact"/>
        <w:ind w:firstLine="723"/>
        <w:jc w:val="center"/>
        <w:rPr>
          <w:rFonts w:hAnsi="宋体"/>
          <w:b/>
          <w:color w:val="auto"/>
          <w:sz w:val="36"/>
          <w:highlight w:val="none"/>
        </w:rPr>
      </w:pPr>
    </w:p>
    <w:p w14:paraId="4F9FABDA">
      <w:pPr>
        <w:pStyle w:val="15"/>
        <w:tabs>
          <w:tab w:val="left" w:pos="2472"/>
        </w:tabs>
        <w:spacing w:line="460" w:lineRule="exact"/>
        <w:ind w:firstLine="723"/>
        <w:jc w:val="center"/>
        <w:rPr>
          <w:rFonts w:hAnsi="宋体"/>
          <w:b/>
          <w:color w:val="auto"/>
          <w:sz w:val="36"/>
          <w:highlight w:val="none"/>
        </w:rPr>
      </w:pPr>
    </w:p>
    <w:p w14:paraId="27D500D9">
      <w:pPr>
        <w:pStyle w:val="15"/>
        <w:tabs>
          <w:tab w:val="left" w:pos="2472"/>
        </w:tabs>
        <w:spacing w:line="460" w:lineRule="exact"/>
        <w:ind w:firstLine="723"/>
        <w:jc w:val="center"/>
        <w:rPr>
          <w:rFonts w:hAnsi="宋体"/>
          <w:b/>
          <w:color w:val="auto"/>
          <w:sz w:val="36"/>
          <w:highlight w:val="none"/>
        </w:rPr>
      </w:pPr>
    </w:p>
    <w:p w14:paraId="081D4AB4">
      <w:pPr>
        <w:pStyle w:val="15"/>
        <w:tabs>
          <w:tab w:val="left" w:pos="2472"/>
        </w:tabs>
        <w:spacing w:line="460" w:lineRule="exact"/>
        <w:ind w:firstLine="723"/>
        <w:jc w:val="center"/>
        <w:rPr>
          <w:rFonts w:hAnsi="宋体"/>
          <w:b/>
          <w:color w:val="auto"/>
          <w:sz w:val="36"/>
          <w:highlight w:val="none"/>
        </w:rPr>
      </w:pPr>
    </w:p>
    <w:p w14:paraId="328133F9">
      <w:pPr>
        <w:pStyle w:val="15"/>
        <w:tabs>
          <w:tab w:val="left" w:pos="2472"/>
        </w:tabs>
        <w:spacing w:line="460" w:lineRule="exact"/>
        <w:ind w:firstLine="723"/>
        <w:jc w:val="center"/>
        <w:rPr>
          <w:rFonts w:hAnsi="宋体"/>
          <w:b/>
          <w:color w:val="auto"/>
          <w:sz w:val="36"/>
          <w:highlight w:val="none"/>
        </w:rPr>
      </w:pPr>
    </w:p>
    <w:p w14:paraId="268FAAD5">
      <w:pPr>
        <w:pStyle w:val="15"/>
        <w:tabs>
          <w:tab w:val="left" w:pos="2472"/>
        </w:tabs>
        <w:spacing w:line="460" w:lineRule="exact"/>
        <w:ind w:firstLine="723"/>
        <w:jc w:val="center"/>
        <w:rPr>
          <w:rFonts w:hAnsi="宋体"/>
          <w:b/>
          <w:color w:val="auto"/>
          <w:sz w:val="36"/>
          <w:highlight w:val="none"/>
        </w:rPr>
      </w:pPr>
    </w:p>
    <w:p w14:paraId="53F815B0">
      <w:pPr>
        <w:pStyle w:val="15"/>
        <w:tabs>
          <w:tab w:val="left" w:pos="2472"/>
        </w:tabs>
        <w:spacing w:line="460" w:lineRule="exact"/>
        <w:ind w:firstLine="723"/>
        <w:jc w:val="center"/>
        <w:rPr>
          <w:rFonts w:hAnsi="宋体"/>
          <w:b/>
          <w:color w:val="auto"/>
          <w:sz w:val="36"/>
          <w:highlight w:val="none"/>
        </w:rPr>
      </w:pPr>
    </w:p>
    <w:p w14:paraId="002FBA13">
      <w:pPr>
        <w:pStyle w:val="15"/>
        <w:tabs>
          <w:tab w:val="left" w:pos="2472"/>
        </w:tabs>
        <w:spacing w:line="460" w:lineRule="exact"/>
        <w:ind w:firstLine="723"/>
        <w:jc w:val="center"/>
        <w:rPr>
          <w:rFonts w:hAnsi="宋体"/>
          <w:b/>
          <w:color w:val="auto"/>
          <w:sz w:val="36"/>
          <w:highlight w:val="none"/>
        </w:rPr>
      </w:pPr>
    </w:p>
    <w:p w14:paraId="405A80AF">
      <w:pPr>
        <w:pStyle w:val="15"/>
        <w:tabs>
          <w:tab w:val="left" w:pos="2472"/>
        </w:tabs>
        <w:spacing w:line="460" w:lineRule="exact"/>
        <w:ind w:firstLine="723"/>
        <w:jc w:val="center"/>
        <w:rPr>
          <w:rFonts w:hAnsi="宋体"/>
          <w:b/>
          <w:color w:val="auto"/>
          <w:sz w:val="36"/>
          <w:highlight w:val="none"/>
        </w:rPr>
      </w:pPr>
    </w:p>
    <w:p w14:paraId="180BE1D2">
      <w:pPr>
        <w:pStyle w:val="15"/>
        <w:tabs>
          <w:tab w:val="left" w:pos="2472"/>
        </w:tabs>
        <w:spacing w:line="460" w:lineRule="exact"/>
        <w:ind w:firstLine="723"/>
        <w:jc w:val="center"/>
        <w:outlineLvl w:val="0"/>
        <w:rPr>
          <w:rFonts w:hAnsi="宋体"/>
          <w:b/>
          <w:color w:val="auto"/>
          <w:sz w:val="36"/>
          <w:highlight w:val="none"/>
        </w:rPr>
      </w:pPr>
      <w:bookmarkStart w:id="284" w:name="_Toc118383695"/>
      <w:r>
        <w:rPr>
          <w:rFonts w:hint="eastAsia" w:hAnsi="宋体"/>
          <w:b/>
          <w:color w:val="auto"/>
          <w:sz w:val="36"/>
          <w:highlight w:val="none"/>
        </w:rPr>
        <w:t>第六章</w:t>
      </w:r>
      <w:r>
        <w:rPr>
          <w:rFonts w:hAnsi="宋体"/>
          <w:b/>
          <w:color w:val="auto"/>
          <w:sz w:val="36"/>
          <w:highlight w:val="none"/>
        </w:rPr>
        <w:t xml:space="preserve"> </w:t>
      </w:r>
      <w:r>
        <w:rPr>
          <w:rFonts w:hint="eastAsia" w:hAnsi="宋体"/>
          <w:b/>
          <w:color w:val="auto"/>
          <w:sz w:val="36"/>
          <w:highlight w:val="none"/>
        </w:rPr>
        <w:t>投标文件格式</w:t>
      </w:r>
      <w:bookmarkEnd w:id="284"/>
    </w:p>
    <w:p w14:paraId="66CD7B80">
      <w:pPr>
        <w:widowControl/>
        <w:spacing w:beforeAutospacing="1" w:line="360" w:lineRule="auto"/>
        <w:jc w:val="left"/>
        <w:rPr>
          <w:rFonts w:ascii="宋体" w:hAnsi="宋体"/>
          <w:color w:val="auto"/>
          <w:szCs w:val="20"/>
          <w:highlight w:val="none"/>
        </w:rPr>
        <w:sectPr>
          <w:pgSz w:w="11906" w:h="16838"/>
          <w:pgMar w:top="1134" w:right="1134" w:bottom="1134" w:left="1134" w:header="720" w:footer="720" w:gutter="0"/>
          <w:cols w:space="720" w:num="1"/>
          <w:docGrid w:type="lines" w:linePitch="331" w:charSpace="0"/>
        </w:sectPr>
      </w:pPr>
    </w:p>
    <w:p w14:paraId="25930840">
      <w:pPr>
        <w:pStyle w:val="15"/>
        <w:ind w:firstLine="551" w:firstLineChars="196"/>
        <w:jc w:val="center"/>
        <w:outlineLvl w:val="1"/>
        <w:rPr>
          <w:rFonts w:hAnsi="宋体"/>
          <w:b/>
          <w:bCs/>
          <w:color w:val="auto"/>
          <w:sz w:val="28"/>
          <w:szCs w:val="28"/>
          <w:highlight w:val="none"/>
        </w:rPr>
      </w:pPr>
      <w:bookmarkStart w:id="285" w:name="_Toc118383696"/>
      <w:r>
        <w:rPr>
          <w:rFonts w:hint="eastAsia" w:hAnsi="宋体"/>
          <w:b/>
          <w:bCs/>
          <w:color w:val="auto"/>
          <w:sz w:val="28"/>
          <w:szCs w:val="28"/>
          <w:highlight w:val="none"/>
        </w:rPr>
        <w:t>第一节 投标文件外层包装封面</w:t>
      </w:r>
      <w:bookmarkEnd w:id="285"/>
    </w:p>
    <w:p w14:paraId="555DADED">
      <w:pPr>
        <w:spacing w:before="120" w:beforeLines="50" w:after="120" w:afterLines="50"/>
        <w:ind w:firstLine="920"/>
        <w:jc w:val="center"/>
        <w:rPr>
          <w:rFonts w:ascii="宋体" w:hAnsi="宋体" w:cs="宋体"/>
          <w:color w:val="auto"/>
          <w:spacing w:val="20"/>
          <w:sz w:val="44"/>
          <w:szCs w:val="44"/>
          <w:highlight w:val="none"/>
        </w:rPr>
      </w:pPr>
    </w:p>
    <w:p w14:paraId="05A4FAAC">
      <w:pPr>
        <w:spacing w:before="120" w:beforeLines="50" w:after="120" w:afterLines="50"/>
        <w:ind w:firstLine="920"/>
        <w:jc w:val="center"/>
        <w:rPr>
          <w:rFonts w:ascii="宋体" w:hAnsi="宋体" w:cs="宋体"/>
          <w:color w:val="auto"/>
          <w:spacing w:val="20"/>
          <w:sz w:val="44"/>
          <w:szCs w:val="44"/>
          <w:highlight w:val="none"/>
        </w:rPr>
      </w:pPr>
    </w:p>
    <w:p w14:paraId="75084968">
      <w:pPr>
        <w:spacing w:before="120" w:beforeLines="50" w:after="120" w:afterLines="50"/>
        <w:ind w:firstLine="920"/>
        <w:jc w:val="center"/>
        <w:rPr>
          <w:rFonts w:ascii="宋体" w:hAnsi="宋体" w:cs="宋体"/>
          <w:color w:val="auto"/>
          <w:spacing w:val="20"/>
          <w:sz w:val="44"/>
          <w:szCs w:val="44"/>
          <w:highlight w:val="none"/>
        </w:rPr>
      </w:pPr>
    </w:p>
    <w:p w14:paraId="6560B999">
      <w:pPr>
        <w:spacing w:before="120" w:beforeLines="50" w:after="120" w:afterLines="50"/>
        <w:ind w:firstLine="920"/>
        <w:jc w:val="center"/>
        <w:rPr>
          <w:rFonts w:ascii="宋体" w:hAnsi="宋体" w:cs="宋体"/>
          <w:color w:val="auto"/>
          <w:spacing w:val="20"/>
          <w:sz w:val="44"/>
          <w:szCs w:val="44"/>
          <w:highlight w:val="none"/>
        </w:rPr>
      </w:pPr>
    </w:p>
    <w:p w14:paraId="7CE9B4CE">
      <w:pPr>
        <w:spacing w:before="120" w:beforeLines="50" w:after="120" w:afterLines="50"/>
        <w:ind w:firstLine="920"/>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rPr>
        <w:t>南宁职业技术大学跨境电子商务专业群实训室建设项目</w:t>
      </w:r>
    </w:p>
    <w:p w14:paraId="5DFB784C">
      <w:pPr>
        <w:spacing w:before="120" w:beforeLines="50" w:after="120" w:afterLines="50"/>
        <w:ind w:firstLine="1043"/>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14:paraId="71D6B3AC">
      <w:pPr>
        <w:ind w:firstLine="480"/>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26"/>
        <w:tblpPr w:leftFromText="180" w:rightFromText="180" w:vertAnchor="text" w:horzAnchor="page" w:tblpX="2170" w:tblpY="315"/>
        <w:tblOverlap w:val="never"/>
        <w:tblW w:w="7773" w:type="dxa"/>
        <w:tblInd w:w="0" w:type="dxa"/>
        <w:tblLayout w:type="fixed"/>
        <w:tblCellMar>
          <w:top w:w="0" w:type="dxa"/>
          <w:left w:w="108" w:type="dxa"/>
          <w:bottom w:w="0" w:type="dxa"/>
          <w:right w:w="108" w:type="dxa"/>
        </w:tblCellMar>
      </w:tblPr>
      <w:tblGrid>
        <w:gridCol w:w="1601"/>
        <w:gridCol w:w="6172"/>
      </w:tblGrid>
      <w:tr w14:paraId="38C78E7D">
        <w:tblPrEx>
          <w:tblCellMar>
            <w:top w:w="0" w:type="dxa"/>
            <w:left w:w="108" w:type="dxa"/>
            <w:bottom w:w="0" w:type="dxa"/>
            <w:right w:w="108" w:type="dxa"/>
          </w:tblCellMar>
        </w:tblPrEx>
        <w:trPr>
          <w:trHeight w:val="622" w:hRule="atLeast"/>
        </w:trPr>
        <w:tc>
          <w:tcPr>
            <w:tcW w:w="1601" w:type="dxa"/>
            <w:vAlign w:val="bottom"/>
          </w:tcPr>
          <w:p w14:paraId="1E23CFEC">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top w:val="nil"/>
              <w:left w:val="nil"/>
              <w:bottom w:val="single" w:color="000000" w:sz="4" w:space="0"/>
              <w:right w:val="nil"/>
            </w:tcBorders>
            <w:vAlign w:val="bottom"/>
          </w:tcPr>
          <w:p w14:paraId="1485F4B7">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r>
              <w:rPr>
                <w:rFonts w:hint="eastAsia" w:ascii="宋体" w:hAnsi="宋体" w:cs="宋体"/>
                <w:color w:val="auto"/>
                <w:sz w:val="24"/>
                <w:highlight w:val="none"/>
              </w:rPr>
              <w:t>南宁职业技术大学跨境电子商务专业群实训室建设项目</w:t>
            </w:r>
          </w:p>
        </w:tc>
      </w:tr>
      <w:tr w14:paraId="367C88CC">
        <w:tblPrEx>
          <w:tblCellMar>
            <w:top w:w="0" w:type="dxa"/>
            <w:left w:w="108" w:type="dxa"/>
            <w:bottom w:w="0" w:type="dxa"/>
            <w:right w:w="108" w:type="dxa"/>
          </w:tblCellMar>
        </w:tblPrEx>
        <w:trPr>
          <w:trHeight w:val="622" w:hRule="atLeast"/>
        </w:trPr>
        <w:tc>
          <w:tcPr>
            <w:tcW w:w="1601" w:type="dxa"/>
            <w:vAlign w:val="bottom"/>
          </w:tcPr>
          <w:p w14:paraId="45C7091B">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left w:val="nil"/>
              <w:bottom w:val="single" w:color="000000" w:sz="4" w:space="0"/>
              <w:right w:val="nil"/>
            </w:tcBorders>
            <w:vAlign w:val="bottom"/>
          </w:tcPr>
          <w:p w14:paraId="2B7937CE">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bookmarkStart w:id="286" w:name="PO_3000001867_PM003"/>
            <w:r>
              <w:rPr>
                <w:rFonts w:hint="eastAsia" w:ascii="宋体" w:hAnsi="宋体" w:cs="宋体"/>
                <w:color w:val="auto"/>
                <w:sz w:val="24"/>
                <w:highlight w:val="none"/>
              </w:rPr>
              <w:t>在线投标响应</w:t>
            </w:r>
            <w:bookmarkEnd w:id="286"/>
          </w:p>
        </w:tc>
      </w:tr>
      <w:tr w14:paraId="562D1453">
        <w:tblPrEx>
          <w:tblCellMar>
            <w:top w:w="0" w:type="dxa"/>
            <w:left w:w="108" w:type="dxa"/>
            <w:bottom w:w="0" w:type="dxa"/>
            <w:right w:w="108" w:type="dxa"/>
          </w:tblCellMar>
        </w:tblPrEx>
        <w:trPr>
          <w:trHeight w:val="622" w:hRule="atLeast"/>
        </w:trPr>
        <w:tc>
          <w:tcPr>
            <w:tcW w:w="1601" w:type="dxa"/>
            <w:vAlign w:val="bottom"/>
          </w:tcPr>
          <w:p w14:paraId="345480CC">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left w:val="nil"/>
              <w:bottom w:val="single" w:color="000000" w:sz="4" w:space="0"/>
              <w:right w:val="nil"/>
            </w:tcBorders>
            <w:vAlign w:val="bottom"/>
          </w:tcPr>
          <w:p w14:paraId="26E0D4BD">
            <w:pPr>
              <w:keepNext w:val="0"/>
              <w:keepLines w:val="0"/>
              <w:suppressLineNumbers w:val="0"/>
              <w:spacing w:before="0" w:beforeAutospacing="0" w:after="0" w:afterAutospacing="0"/>
              <w:ind w:left="0" w:right="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NNZC2024-G1-991788-JDZB</w:t>
            </w:r>
          </w:p>
        </w:tc>
      </w:tr>
      <w:tr w14:paraId="5A06A16F">
        <w:tblPrEx>
          <w:tblCellMar>
            <w:top w:w="0" w:type="dxa"/>
            <w:left w:w="108" w:type="dxa"/>
            <w:bottom w:w="0" w:type="dxa"/>
            <w:right w:w="108" w:type="dxa"/>
          </w:tblCellMar>
        </w:tblPrEx>
        <w:trPr>
          <w:trHeight w:val="622" w:hRule="atLeast"/>
        </w:trPr>
        <w:tc>
          <w:tcPr>
            <w:tcW w:w="1601" w:type="dxa"/>
            <w:vAlign w:val="bottom"/>
          </w:tcPr>
          <w:p w14:paraId="65683D40">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left w:val="nil"/>
              <w:bottom w:val="single" w:color="000000" w:sz="4" w:space="0"/>
              <w:right w:val="nil"/>
            </w:tcBorders>
            <w:vAlign w:val="bottom"/>
          </w:tcPr>
          <w:p w14:paraId="3746237F">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p>
        </w:tc>
      </w:tr>
      <w:tr w14:paraId="75C13592">
        <w:tblPrEx>
          <w:tblCellMar>
            <w:top w:w="0" w:type="dxa"/>
            <w:left w:w="108" w:type="dxa"/>
            <w:bottom w:w="0" w:type="dxa"/>
            <w:right w:w="108" w:type="dxa"/>
          </w:tblCellMar>
        </w:tblPrEx>
        <w:trPr>
          <w:trHeight w:val="622" w:hRule="atLeast"/>
        </w:trPr>
        <w:tc>
          <w:tcPr>
            <w:tcW w:w="1601" w:type="dxa"/>
            <w:vAlign w:val="bottom"/>
          </w:tcPr>
          <w:p w14:paraId="3DF514D9">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left w:val="nil"/>
              <w:bottom w:val="single" w:color="000000" w:sz="4" w:space="0"/>
              <w:right w:val="nil"/>
            </w:tcBorders>
            <w:vAlign w:val="bottom"/>
          </w:tcPr>
          <w:p w14:paraId="35BF9705">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p>
        </w:tc>
      </w:tr>
      <w:tr w14:paraId="609C727C">
        <w:tblPrEx>
          <w:tblCellMar>
            <w:top w:w="0" w:type="dxa"/>
            <w:left w:w="108" w:type="dxa"/>
            <w:bottom w:w="0" w:type="dxa"/>
            <w:right w:w="108" w:type="dxa"/>
          </w:tblCellMar>
        </w:tblPrEx>
        <w:trPr>
          <w:trHeight w:val="622" w:hRule="atLeast"/>
        </w:trPr>
        <w:tc>
          <w:tcPr>
            <w:tcW w:w="1601" w:type="dxa"/>
            <w:vAlign w:val="bottom"/>
          </w:tcPr>
          <w:p w14:paraId="6749A30C">
            <w:pPr>
              <w:keepNext w:val="0"/>
              <w:keepLines w:val="0"/>
              <w:suppressLineNumbers w:val="0"/>
              <w:spacing w:before="0" w:beforeAutospacing="0" w:after="0" w:afterAutospacing="0"/>
              <w:ind w:left="0" w:right="0"/>
              <w:jc w:val="distribute"/>
              <w:rPr>
                <w:rFonts w:hint="default"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left w:val="nil"/>
              <w:bottom w:val="single" w:color="000000" w:sz="4" w:space="0"/>
              <w:right w:val="nil"/>
            </w:tcBorders>
            <w:vAlign w:val="bottom"/>
          </w:tcPr>
          <w:p w14:paraId="57F6BF67">
            <w:pPr>
              <w:keepNext w:val="0"/>
              <w:keepLines w:val="0"/>
              <w:suppressLineNumbers w:val="0"/>
              <w:spacing w:before="0" w:beforeAutospacing="0" w:after="0" w:afterAutospacing="0"/>
              <w:ind w:left="0" w:right="0"/>
              <w:jc w:val="left"/>
              <w:rPr>
                <w:rFonts w:hint="default" w:ascii="宋体" w:hAnsi="宋体" w:cs="宋体"/>
                <w:color w:val="auto"/>
                <w:sz w:val="24"/>
                <w:highlight w:val="none"/>
              </w:rPr>
            </w:pPr>
          </w:p>
        </w:tc>
      </w:tr>
    </w:tbl>
    <w:p w14:paraId="6ED190D8">
      <w:pPr>
        <w:ind w:firstLine="4200" w:firstLineChars="1750"/>
        <w:rPr>
          <w:rFonts w:ascii="宋体" w:hAnsi="宋体" w:cs="宋体"/>
          <w:color w:val="auto"/>
          <w:sz w:val="24"/>
          <w:highlight w:val="none"/>
        </w:rPr>
      </w:pPr>
    </w:p>
    <w:p w14:paraId="1F07B604">
      <w:pPr>
        <w:ind w:firstLine="4200" w:firstLineChars="1750"/>
        <w:rPr>
          <w:rFonts w:ascii="宋体" w:hAnsi="宋体" w:cs="宋体"/>
          <w:color w:val="auto"/>
          <w:sz w:val="24"/>
          <w:highlight w:val="none"/>
        </w:rPr>
      </w:pPr>
    </w:p>
    <w:p w14:paraId="18F620DD">
      <w:pPr>
        <w:ind w:firstLine="4200" w:firstLineChars="1750"/>
        <w:rPr>
          <w:rFonts w:ascii="宋体" w:hAnsi="宋体" w:cs="宋体"/>
          <w:color w:val="auto"/>
          <w:sz w:val="24"/>
          <w:highlight w:val="none"/>
        </w:rPr>
      </w:pPr>
    </w:p>
    <w:p w14:paraId="7A2C7E6D">
      <w:pPr>
        <w:ind w:firstLine="5880" w:firstLineChars="2450"/>
        <w:rPr>
          <w:rFonts w:ascii="宋体" w:hAnsi="宋体" w:cs="宋体"/>
          <w:color w:val="auto"/>
          <w:sz w:val="24"/>
          <w:highlight w:val="none"/>
        </w:rPr>
      </w:pPr>
      <w:r>
        <w:rPr>
          <w:rFonts w:hint="eastAsia" w:ascii="宋体" w:hAnsi="宋体" w:cs="宋体"/>
          <w:color w:val="auto"/>
          <w:sz w:val="24"/>
          <w:highlight w:val="none"/>
        </w:rPr>
        <w:t>投标截止时间前不得解密</w:t>
      </w:r>
    </w:p>
    <w:p w14:paraId="568678B6">
      <w:pPr>
        <w:ind w:firstLine="6480" w:firstLineChars="2700"/>
        <w:rPr>
          <w:rFonts w:ascii="宋体" w:hAnsi="宋体" w:cs="宋体"/>
          <w:color w:val="auto"/>
          <w:sz w:val="24"/>
          <w:highlight w:val="none"/>
        </w:rPr>
      </w:pPr>
      <w:r>
        <w:rPr>
          <w:rFonts w:hint="eastAsia" w:ascii="宋体" w:hAnsi="宋体" w:cs="宋体"/>
          <w:color w:val="auto"/>
          <w:sz w:val="24"/>
          <w:highlight w:val="none"/>
        </w:rPr>
        <w:t>年   月   日</w:t>
      </w:r>
    </w:p>
    <w:p w14:paraId="65071DFC">
      <w:pPr>
        <w:widowControl/>
        <w:ind w:firstLine="480"/>
        <w:jc w:val="left"/>
        <w:rPr>
          <w:rFonts w:ascii="宋体" w:hAnsi="宋体" w:cs="宋体"/>
          <w:color w:val="auto"/>
          <w:sz w:val="24"/>
          <w:highlight w:val="none"/>
        </w:rPr>
        <w:sectPr>
          <w:pgSz w:w="11907" w:h="16840"/>
          <w:pgMar w:top="1531" w:right="1418" w:bottom="1361" w:left="1418" w:header="720" w:footer="720" w:gutter="0"/>
          <w:cols w:space="720" w:num="1"/>
        </w:sectPr>
      </w:pPr>
    </w:p>
    <w:p w14:paraId="6328569D">
      <w:pPr>
        <w:pStyle w:val="15"/>
        <w:ind w:firstLine="562"/>
        <w:jc w:val="center"/>
        <w:outlineLvl w:val="1"/>
        <w:rPr>
          <w:rFonts w:hAnsi="宋体"/>
          <w:b/>
          <w:bCs/>
          <w:color w:val="auto"/>
          <w:sz w:val="28"/>
          <w:szCs w:val="28"/>
          <w:highlight w:val="none"/>
        </w:rPr>
      </w:pPr>
      <w:bookmarkStart w:id="287" w:name="_Toc118383697"/>
      <w:r>
        <w:rPr>
          <w:rFonts w:hint="eastAsia" w:hAnsi="宋体"/>
          <w:b/>
          <w:bCs/>
          <w:color w:val="auto"/>
          <w:sz w:val="28"/>
          <w:szCs w:val="28"/>
          <w:highlight w:val="none"/>
        </w:rPr>
        <w:t>第二节 资格证明文件格式</w:t>
      </w:r>
      <w:bookmarkEnd w:id="287"/>
    </w:p>
    <w:p w14:paraId="649D9768">
      <w:pPr>
        <w:pStyle w:val="15"/>
        <w:spacing w:line="360" w:lineRule="auto"/>
        <w:ind w:firstLine="600"/>
        <w:rPr>
          <w:rFonts w:hAnsi="宋体"/>
          <w:color w:val="auto"/>
          <w:sz w:val="30"/>
          <w:highlight w:val="none"/>
        </w:rPr>
      </w:pPr>
    </w:p>
    <w:p w14:paraId="69601DD8">
      <w:pPr>
        <w:snapToGrid w:val="0"/>
        <w:spacing w:before="165" w:beforeLines="50" w:after="50"/>
        <w:ind w:firstLine="48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32AA0B74">
      <w:pPr>
        <w:snapToGrid w:val="0"/>
        <w:spacing w:before="165" w:beforeLines="50" w:after="50"/>
        <w:ind w:firstLine="480"/>
        <w:rPr>
          <w:rFonts w:ascii="宋体" w:hAnsi="宋体"/>
          <w:color w:val="auto"/>
          <w:sz w:val="24"/>
          <w:szCs w:val="20"/>
          <w:highlight w:val="none"/>
        </w:rPr>
      </w:pPr>
    </w:p>
    <w:p w14:paraId="1E628CA3">
      <w:pPr>
        <w:snapToGrid w:val="0"/>
        <w:spacing w:before="165" w:beforeLines="50" w:after="50"/>
        <w:ind w:firstLine="643"/>
        <w:jc w:val="center"/>
        <w:rPr>
          <w:rFonts w:ascii="宋体" w:hAnsi="宋体"/>
          <w:b/>
          <w:color w:val="auto"/>
          <w:sz w:val="24"/>
          <w:szCs w:val="20"/>
          <w:highlight w:val="none"/>
        </w:rPr>
      </w:pPr>
      <w:r>
        <w:rPr>
          <w:rFonts w:hint="eastAsia" w:ascii="宋体" w:hAnsi="宋体"/>
          <w:b/>
          <w:color w:val="auto"/>
          <w:sz w:val="32"/>
          <w:szCs w:val="32"/>
          <w:highlight w:val="none"/>
        </w:rPr>
        <w:t>资格证明文件（封面）</w:t>
      </w:r>
    </w:p>
    <w:p w14:paraId="5417B5A1">
      <w:pPr>
        <w:snapToGrid w:val="0"/>
        <w:spacing w:before="165" w:beforeLines="50" w:after="50"/>
        <w:ind w:firstLine="480"/>
        <w:rPr>
          <w:rFonts w:ascii="宋体" w:hAnsi="宋体"/>
          <w:bCs/>
          <w:color w:val="auto"/>
          <w:sz w:val="24"/>
          <w:szCs w:val="20"/>
          <w:highlight w:val="none"/>
        </w:rPr>
      </w:pPr>
    </w:p>
    <w:p w14:paraId="6D15524B">
      <w:pPr>
        <w:snapToGrid w:val="0"/>
        <w:spacing w:before="165" w:beforeLines="50" w:after="50"/>
        <w:ind w:firstLine="480"/>
        <w:rPr>
          <w:rFonts w:ascii="宋体" w:hAnsi="宋体"/>
          <w:bCs/>
          <w:color w:val="auto"/>
          <w:sz w:val="24"/>
          <w:szCs w:val="20"/>
          <w:highlight w:val="none"/>
        </w:rPr>
      </w:pPr>
    </w:p>
    <w:p w14:paraId="48074F67">
      <w:pPr>
        <w:snapToGrid w:val="0"/>
        <w:spacing w:before="165" w:beforeLines="50" w:after="50"/>
        <w:ind w:firstLine="480"/>
        <w:rPr>
          <w:rFonts w:ascii="宋体" w:hAnsi="宋体"/>
          <w:bCs/>
          <w:color w:val="auto"/>
          <w:sz w:val="24"/>
          <w:szCs w:val="20"/>
          <w:highlight w:val="none"/>
        </w:rPr>
      </w:pPr>
    </w:p>
    <w:p w14:paraId="33D00203">
      <w:pPr>
        <w:snapToGrid w:val="0"/>
        <w:spacing w:before="165" w:beforeLines="50" w:after="50"/>
        <w:ind w:firstLine="480"/>
        <w:rPr>
          <w:rFonts w:ascii="宋体" w:hAnsi="宋体"/>
          <w:bCs/>
          <w:color w:val="auto"/>
          <w:sz w:val="24"/>
          <w:szCs w:val="20"/>
          <w:highlight w:val="none"/>
        </w:rPr>
      </w:pPr>
    </w:p>
    <w:p w14:paraId="14A5B2C3">
      <w:pPr>
        <w:snapToGrid w:val="0"/>
        <w:spacing w:before="165" w:beforeLines="50" w:after="50"/>
        <w:ind w:firstLine="480"/>
        <w:rPr>
          <w:rFonts w:ascii="宋体" w:hAnsi="宋体"/>
          <w:bCs/>
          <w:color w:val="auto"/>
          <w:sz w:val="24"/>
          <w:szCs w:val="20"/>
          <w:highlight w:val="none"/>
        </w:rPr>
      </w:pPr>
    </w:p>
    <w:p w14:paraId="4624571B">
      <w:pPr>
        <w:snapToGrid w:val="0"/>
        <w:spacing w:before="165" w:beforeLines="50" w:after="50"/>
        <w:ind w:firstLine="480"/>
        <w:rPr>
          <w:rFonts w:ascii="宋体" w:hAnsi="宋体"/>
          <w:bCs/>
          <w:color w:val="auto"/>
          <w:sz w:val="24"/>
          <w:szCs w:val="20"/>
          <w:highlight w:val="none"/>
        </w:rPr>
      </w:pPr>
    </w:p>
    <w:p w14:paraId="5529D461">
      <w:pPr>
        <w:snapToGrid w:val="0"/>
        <w:spacing w:before="165" w:beforeLines="50" w:after="50"/>
        <w:ind w:firstLine="480"/>
        <w:rPr>
          <w:rFonts w:ascii="宋体" w:hAnsi="宋体"/>
          <w:bCs/>
          <w:color w:val="auto"/>
          <w:sz w:val="24"/>
          <w:szCs w:val="20"/>
          <w:highlight w:val="none"/>
        </w:rPr>
      </w:pPr>
    </w:p>
    <w:p w14:paraId="0CB7BF68">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项目名称：南宁职业技术大学跨境电子商务专业群实训室建设项目</w:t>
      </w:r>
    </w:p>
    <w:p w14:paraId="36BF5C4E">
      <w:pPr>
        <w:snapToGrid w:val="0"/>
        <w:spacing w:before="165" w:beforeLines="50" w:after="50"/>
        <w:ind w:firstLine="540" w:firstLineChars="225"/>
        <w:rPr>
          <w:rFonts w:ascii="宋体" w:hAnsi="宋体"/>
          <w:bCs/>
          <w:color w:val="auto"/>
          <w:sz w:val="24"/>
          <w:szCs w:val="20"/>
          <w:highlight w:val="none"/>
        </w:rPr>
      </w:pPr>
    </w:p>
    <w:p w14:paraId="2C55B4F6">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NNZC2024-G1-991788-JDZB</w:t>
      </w:r>
    </w:p>
    <w:p w14:paraId="1662B8F0">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2C81FC1D">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2AD0BD4D">
      <w:pPr>
        <w:pStyle w:val="8"/>
        <w:snapToGrid w:val="0"/>
        <w:spacing w:before="50" w:after="50"/>
        <w:ind w:firstLine="540" w:firstLineChars="225"/>
        <w:rPr>
          <w:rFonts w:ascii="宋体" w:hAnsi="宋体"/>
          <w:bCs/>
          <w:color w:val="auto"/>
          <w:sz w:val="24"/>
          <w:szCs w:val="24"/>
          <w:highlight w:val="none"/>
        </w:rPr>
      </w:pPr>
    </w:p>
    <w:p w14:paraId="1F19A11A">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60062ED8">
      <w:pPr>
        <w:pStyle w:val="8"/>
        <w:snapToGrid w:val="0"/>
        <w:spacing w:before="50" w:after="50"/>
        <w:ind w:firstLine="540" w:firstLineChars="225"/>
        <w:rPr>
          <w:rFonts w:ascii="宋体" w:hAnsi="宋体"/>
          <w:bCs/>
          <w:color w:val="auto"/>
          <w:sz w:val="24"/>
          <w:szCs w:val="24"/>
          <w:highlight w:val="none"/>
        </w:rPr>
      </w:pPr>
    </w:p>
    <w:p w14:paraId="1135CAD2">
      <w:pPr>
        <w:pStyle w:val="8"/>
        <w:snapToGrid w:val="0"/>
        <w:spacing w:before="50" w:after="50"/>
        <w:ind w:firstLine="960" w:firstLineChars="400"/>
        <w:rPr>
          <w:rFonts w:ascii="宋体" w:hAnsi="宋体"/>
          <w:bCs/>
          <w:color w:val="auto"/>
          <w:sz w:val="24"/>
          <w:szCs w:val="24"/>
          <w:highlight w:val="none"/>
        </w:rPr>
      </w:pPr>
    </w:p>
    <w:p w14:paraId="38BC035C">
      <w:pPr>
        <w:snapToGrid w:val="0"/>
        <w:spacing w:before="165" w:beforeLines="50" w:after="50"/>
        <w:ind w:firstLine="480"/>
        <w:jc w:val="center"/>
        <w:rPr>
          <w:rFonts w:ascii="宋体" w:hAnsi="宋体"/>
          <w:color w:val="auto"/>
          <w:sz w:val="24"/>
          <w:highlight w:val="none"/>
        </w:rPr>
      </w:pPr>
      <w:r>
        <w:rPr>
          <w:rFonts w:hint="eastAsia" w:ascii="宋体" w:hAnsi="宋体"/>
          <w:color w:val="auto"/>
          <w:sz w:val="24"/>
          <w:highlight w:val="none"/>
        </w:rPr>
        <w:t>年  月  日</w:t>
      </w:r>
    </w:p>
    <w:p w14:paraId="05A49850">
      <w:pPr>
        <w:widowControl/>
        <w:spacing w:line="360" w:lineRule="auto"/>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2FF3257B">
      <w:pPr>
        <w:ind w:firstLine="723"/>
        <w:jc w:val="center"/>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资格证明文件目录</w:t>
      </w:r>
    </w:p>
    <w:p w14:paraId="0B743F6A">
      <w:pPr>
        <w:snapToGrid w:val="0"/>
        <w:spacing w:line="360" w:lineRule="auto"/>
        <w:ind w:firstLine="480"/>
        <w:rPr>
          <w:rFonts w:ascii="宋体" w:hAnsi="宋体" w:cs="仿宋_GB2312"/>
          <w:color w:val="auto"/>
          <w:kern w:val="0"/>
          <w:sz w:val="24"/>
          <w:highlight w:val="none"/>
        </w:rPr>
      </w:pPr>
    </w:p>
    <w:p w14:paraId="7D45CD25">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一、</w:t>
      </w:r>
      <w:r>
        <w:rPr>
          <w:rFonts w:hint="eastAsia" w:ascii="宋体" w:hAnsi="宋体"/>
          <w:color w:val="auto"/>
          <w:sz w:val="24"/>
          <w:highlight w:val="none"/>
        </w:rPr>
        <w:t>营业执照(或事业法人登记证或其他工商等登记证明材料)复印件（投标人为自然人的，须提供</w:t>
      </w:r>
      <w:r>
        <w:rPr>
          <w:rFonts w:hint="eastAsia" w:ascii="宋体" w:hAnsi="宋体" w:cs="Helvetica"/>
          <w:color w:val="auto"/>
          <w:kern w:val="0"/>
          <w:sz w:val="24"/>
          <w:highlight w:val="none"/>
        </w:rPr>
        <w:t>自然人的身份证明</w:t>
      </w:r>
      <w:r>
        <w:rPr>
          <w:rFonts w:hint="eastAsia" w:ascii="宋体" w:hAnsi="宋体"/>
          <w:color w:val="auto"/>
          <w:sz w:val="24"/>
          <w:highlight w:val="none"/>
        </w:rPr>
        <w:t>）</w:t>
      </w:r>
      <w:r>
        <w:rPr>
          <w:rFonts w:hint="eastAsia" w:ascii="宋体" w:hAnsi="宋体" w:cs="仿宋_GB2312"/>
          <w:color w:val="auto"/>
          <w:kern w:val="0"/>
          <w:sz w:val="24"/>
          <w:highlight w:val="none"/>
        </w:rPr>
        <w:t>……………………………………………………………（页码）</w:t>
      </w:r>
    </w:p>
    <w:p w14:paraId="4AC9CDF6">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二、符合参与政府采购活动的资格条件依法缴纳税收、社会保障资金等方面的材料…………………………………………………………………………………………（页码）</w:t>
      </w:r>
    </w:p>
    <w:p w14:paraId="6EE576DF">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三、财务状况报告方面的材料…………………………………………………………（页码）</w:t>
      </w:r>
    </w:p>
    <w:p w14:paraId="190CB1E5">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sz w:val="24"/>
          <w:highlight w:val="none"/>
        </w:rPr>
        <w:t>四、投标人直接控股股东信息</w:t>
      </w:r>
      <w:r>
        <w:rPr>
          <w:rFonts w:hint="eastAsia" w:ascii="宋体" w:hAnsi="宋体" w:cs="仿宋_GB2312"/>
          <w:color w:val="auto"/>
          <w:kern w:val="0"/>
          <w:sz w:val="24"/>
          <w:highlight w:val="none"/>
        </w:rPr>
        <w:t>…………………………………………………………（页码）</w:t>
      </w:r>
    </w:p>
    <w:p w14:paraId="570A7165">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sz w:val="24"/>
          <w:highlight w:val="none"/>
        </w:rPr>
        <w:t>五、投标人直接关联关系信息表</w:t>
      </w:r>
      <w:r>
        <w:rPr>
          <w:rFonts w:hint="eastAsia" w:ascii="宋体" w:hAnsi="宋体" w:cs="仿宋_GB2312"/>
          <w:color w:val="auto"/>
          <w:kern w:val="0"/>
          <w:sz w:val="24"/>
          <w:highlight w:val="none"/>
        </w:rPr>
        <w:t>………………………………………………………（页码）</w:t>
      </w:r>
    </w:p>
    <w:p w14:paraId="76F47E1E">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六、投标资格声明函……………………………………………………………………（页码）</w:t>
      </w:r>
    </w:p>
    <w:p w14:paraId="4FE86197">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七、中小企业声明函……………………………………………………………………（页码）</w:t>
      </w:r>
    </w:p>
    <w:p w14:paraId="1A3DABD8">
      <w:pPr>
        <w:snapToGrid w:val="0"/>
        <w:spacing w:line="360" w:lineRule="auto"/>
        <w:ind w:firstLine="480"/>
        <w:rPr>
          <w:rFonts w:ascii="宋体" w:hAnsi="宋体" w:cs="仿宋_GB2312"/>
          <w:color w:val="auto"/>
          <w:kern w:val="0"/>
          <w:sz w:val="24"/>
          <w:highlight w:val="none"/>
        </w:rPr>
      </w:pPr>
      <w:r>
        <w:rPr>
          <w:rFonts w:hint="eastAsia" w:ascii="宋体" w:hAnsi="宋体" w:cs="仿宋_GB2312"/>
          <w:color w:val="auto"/>
          <w:sz w:val="24"/>
          <w:highlight w:val="none"/>
        </w:rPr>
        <w:t>八、符合特定资格条件（如有）的有关证明材料（复印件）</w:t>
      </w:r>
      <w:r>
        <w:rPr>
          <w:rFonts w:hint="eastAsia" w:ascii="宋体" w:hAnsi="宋体" w:cs="仿宋_GB2312"/>
          <w:color w:val="auto"/>
          <w:kern w:val="0"/>
          <w:sz w:val="24"/>
          <w:highlight w:val="none"/>
        </w:rPr>
        <w:t>………………………（页码）</w:t>
      </w:r>
    </w:p>
    <w:p w14:paraId="5551BF8C">
      <w:pPr>
        <w:spacing w:line="360" w:lineRule="auto"/>
        <w:ind w:firstLine="482"/>
        <w:rPr>
          <w:rFonts w:ascii="宋体" w:hAnsi="宋体" w:cs="仿宋_GB2312"/>
          <w:b/>
          <w:bCs/>
          <w:color w:val="auto"/>
          <w:sz w:val="24"/>
          <w:highlight w:val="none"/>
        </w:rPr>
      </w:pPr>
      <w:r>
        <w:rPr>
          <w:rFonts w:hint="eastAsia" w:ascii="宋体" w:hAnsi="宋体" w:cs="仿宋_GB2312"/>
          <w:b/>
          <w:bCs/>
          <w:color w:val="auto"/>
          <w:sz w:val="24"/>
          <w:highlight w:val="none"/>
        </w:rPr>
        <w:t>注：以上目录是基本格式要求，各投标人可根据自身情况进一步向下增加内容或细化。</w:t>
      </w:r>
    </w:p>
    <w:p w14:paraId="6953FB8E">
      <w:pPr>
        <w:widowControl/>
        <w:spacing w:line="360" w:lineRule="auto"/>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2746E69C">
      <w:pPr>
        <w:snapToGrid w:val="0"/>
        <w:spacing w:line="360" w:lineRule="auto"/>
        <w:ind w:firstLine="643"/>
        <w:rPr>
          <w:rFonts w:ascii="宋体" w:hAnsi="宋体" w:cs="仿宋_GB2312"/>
          <w:b/>
          <w:color w:val="auto"/>
          <w:kern w:val="0"/>
          <w:sz w:val="32"/>
          <w:szCs w:val="32"/>
          <w:highlight w:val="none"/>
          <w:lang w:val="zh-CN"/>
        </w:rPr>
      </w:pPr>
    </w:p>
    <w:p w14:paraId="4CB6EBB2">
      <w:pPr>
        <w:spacing w:line="360" w:lineRule="auto"/>
        <w:ind w:firstLine="643"/>
        <w:jc w:val="center"/>
        <w:rPr>
          <w:rFonts w:ascii="宋体" w:hAnsi="宋体" w:cs="仿宋_GB2312"/>
          <w:b/>
          <w:color w:val="auto"/>
          <w:sz w:val="30"/>
          <w:szCs w:val="30"/>
          <w:highlight w:val="none"/>
        </w:rPr>
      </w:pPr>
      <w:r>
        <w:rPr>
          <w:rFonts w:hint="eastAsia" w:ascii="宋体" w:hAnsi="宋体" w:cs="仿宋_GB2312"/>
          <w:b/>
          <w:color w:val="auto"/>
          <w:kern w:val="0"/>
          <w:sz w:val="32"/>
          <w:szCs w:val="32"/>
          <w:highlight w:val="none"/>
          <w:lang w:val="zh-CN"/>
        </w:rPr>
        <w:t>一、</w:t>
      </w:r>
      <w:r>
        <w:rPr>
          <w:rFonts w:hint="eastAsia" w:ascii="宋体" w:hAnsi="宋体" w:cs="仿宋_GB2312"/>
          <w:b/>
          <w:color w:val="auto"/>
          <w:sz w:val="30"/>
          <w:szCs w:val="30"/>
          <w:highlight w:val="none"/>
        </w:rPr>
        <w:t>营业执照(或事业法人登记证或其他工商等登记证明材料)复印件（投标人为自然人的，提供自然人的身份证明）</w:t>
      </w:r>
    </w:p>
    <w:p w14:paraId="14304D3C">
      <w:pPr>
        <w:spacing w:line="360" w:lineRule="auto"/>
        <w:ind w:firstLine="602"/>
        <w:rPr>
          <w:rFonts w:ascii="宋体" w:hAnsi="宋体" w:cs="仿宋_GB2312"/>
          <w:b/>
          <w:color w:val="auto"/>
          <w:sz w:val="30"/>
          <w:szCs w:val="30"/>
          <w:highlight w:val="none"/>
        </w:rPr>
      </w:pPr>
    </w:p>
    <w:p w14:paraId="63657E85">
      <w:pPr>
        <w:snapToGrid w:val="0"/>
        <w:spacing w:line="360" w:lineRule="auto"/>
        <w:ind w:firstLine="480"/>
        <w:jc w:val="center"/>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投标人名称(电子签章)：                              </w:t>
      </w:r>
    </w:p>
    <w:p w14:paraId="58313939">
      <w:pPr>
        <w:spacing w:line="360" w:lineRule="auto"/>
        <w:ind w:firstLine="480"/>
        <w:jc w:val="center"/>
        <w:rPr>
          <w:rFonts w:ascii="宋体" w:hAnsi="宋体" w:cs="仿宋_GB2312"/>
          <w:b/>
          <w:color w:val="auto"/>
          <w:sz w:val="30"/>
          <w:szCs w:val="30"/>
          <w:highlight w:val="none"/>
        </w:rPr>
      </w:pPr>
      <w:r>
        <w:rPr>
          <w:rFonts w:hint="eastAsia" w:ascii="宋体" w:hAnsi="宋体" w:cs="仿宋_GB2312"/>
          <w:color w:val="auto"/>
          <w:kern w:val="0"/>
          <w:sz w:val="24"/>
          <w:highlight w:val="none"/>
          <w:lang w:val="zh-CN"/>
        </w:rPr>
        <w:t xml:space="preserve">                   日期：  年  月</w:t>
      </w:r>
    </w:p>
    <w:p w14:paraId="0DFCD531">
      <w:pPr>
        <w:spacing w:line="360" w:lineRule="auto"/>
        <w:ind w:firstLine="602"/>
        <w:jc w:val="center"/>
        <w:rPr>
          <w:rFonts w:ascii="宋体" w:hAnsi="宋体" w:cs="仿宋_GB2312"/>
          <w:b/>
          <w:color w:val="auto"/>
          <w:sz w:val="30"/>
          <w:szCs w:val="30"/>
          <w:highlight w:val="none"/>
        </w:rPr>
      </w:pPr>
    </w:p>
    <w:p w14:paraId="582E1CFA">
      <w:pPr>
        <w:snapToGrid w:val="0"/>
        <w:spacing w:line="360" w:lineRule="auto"/>
        <w:ind w:right="480" w:firstLine="602"/>
        <w:jc w:val="center"/>
        <w:rPr>
          <w:rFonts w:ascii="宋体" w:hAnsi="宋体" w:cs="仿宋_GB2312"/>
          <w:b/>
          <w:color w:val="auto"/>
          <w:kern w:val="0"/>
          <w:sz w:val="32"/>
          <w:szCs w:val="32"/>
          <w:highlight w:val="none"/>
        </w:rPr>
      </w:pPr>
      <w:r>
        <w:rPr>
          <w:rFonts w:hint="eastAsia" w:ascii="宋体" w:hAnsi="宋体" w:cs="仿宋_GB2312"/>
          <w:b/>
          <w:color w:val="auto"/>
          <w:sz w:val="30"/>
          <w:szCs w:val="30"/>
          <w:highlight w:val="none"/>
        </w:rPr>
        <w:t>二、</w:t>
      </w:r>
      <w:r>
        <w:rPr>
          <w:rFonts w:hint="eastAsia" w:ascii="宋体" w:hAnsi="宋体" w:cs="仿宋_GB2312"/>
          <w:b/>
          <w:color w:val="auto"/>
          <w:kern w:val="0"/>
          <w:sz w:val="32"/>
          <w:szCs w:val="32"/>
          <w:highlight w:val="none"/>
        </w:rPr>
        <w:t>符合参与政府采购活动的资格条件依法缴纳税收、社会保障资金等方面的材料</w:t>
      </w:r>
    </w:p>
    <w:p w14:paraId="2A9C9150">
      <w:pPr>
        <w:snapToGrid w:val="0"/>
        <w:spacing w:line="360" w:lineRule="auto"/>
        <w:ind w:firstLine="480" w:firstLineChars="200"/>
        <w:rPr>
          <w:rFonts w:ascii="宋体" w:hAnsi="宋体" w:cs="仿宋_GB2312"/>
          <w:color w:val="auto"/>
          <w:sz w:val="24"/>
          <w:highlight w:val="none"/>
        </w:rPr>
      </w:pPr>
    </w:p>
    <w:p w14:paraId="6FF5DE97">
      <w:pPr>
        <w:snapToGrid w:val="0"/>
        <w:spacing w:line="360" w:lineRule="auto"/>
        <w:ind w:firstLine="48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p>
    <w:p w14:paraId="51E069B9">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投标人名称(电子签章)：</w:t>
      </w:r>
    </w:p>
    <w:p w14:paraId="5835E12E">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367B23EE">
      <w:pPr>
        <w:snapToGrid w:val="0"/>
        <w:spacing w:line="360" w:lineRule="auto"/>
        <w:ind w:right="480" w:firstLine="602"/>
        <w:jc w:val="center"/>
        <w:rPr>
          <w:rFonts w:ascii="宋体" w:hAnsi="宋体" w:cs="仿宋_GB2312"/>
          <w:b/>
          <w:color w:val="auto"/>
          <w:kern w:val="0"/>
          <w:sz w:val="32"/>
          <w:szCs w:val="32"/>
          <w:highlight w:val="none"/>
        </w:rPr>
      </w:pPr>
      <w:r>
        <w:rPr>
          <w:rFonts w:hint="eastAsia" w:ascii="宋体" w:hAnsi="宋体" w:cs="仿宋_GB2312"/>
          <w:b/>
          <w:color w:val="auto"/>
          <w:sz w:val="30"/>
          <w:szCs w:val="30"/>
          <w:highlight w:val="none"/>
        </w:rPr>
        <w:t>三、</w:t>
      </w:r>
      <w:r>
        <w:rPr>
          <w:rFonts w:hint="eastAsia" w:ascii="宋体" w:hAnsi="宋体" w:cs="仿宋_GB2312"/>
          <w:b/>
          <w:color w:val="auto"/>
          <w:kern w:val="0"/>
          <w:sz w:val="32"/>
          <w:szCs w:val="32"/>
          <w:highlight w:val="none"/>
        </w:rPr>
        <w:t>财务状况报告方面的材料</w:t>
      </w:r>
    </w:p>
    <w:p w14:paraId="6847D3F0">
      <w:pPr>
        <w:snapToGrid w:val="0"/>
        <w:spacing w:line="360" w:lineRule="auto"/>
        <w:ind w:firstLine="480" w:firstLineChars="200"/>
        <w:rPr>
          <w:rFonts w:ascii="宋体" w:hAnsi="宋体" w:cs="仿宋_GB2312"/>
          <w:color w:val="auto"/>
          <w:sz w:val="24"/>
          <w:highlight w:val="none"/>
        </w:rPr>
      </w:pPr>
    </w:p>
    <w:p w14:paraId="4D581218">
      <w:pPr>
        <w:snapToGrid w:val="0"/>
        <w:spacing w:line="360" w:lineRule="auto"/>
        <w:ind w:firstLine="48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p>
    <w:p w14:paraId="1CE7A0E4">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 xml:space="preserve"> 投标人名称(电子签章)：</w:t>
      </w:r>
    </w:p>
    <w:p w14:paraId="65474AEE">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6DAF961C">
      <w:pPr>
        <w:snapToGrid w:val="0"/>
        <w:spacing w:line="360" w:lineRule="auto"/>
        <w:ind w:firstLine="5160" w:firstLineChars="2150"/>
        <w:rPr>
          <w:rFonts w:ascii="宋体" w:hAnsi="宋体" w:cs="仿宋_GB2312"/>
          <w:color w:val="auto"/>
          <w:kern w:val="0"/>
          <w:sz w:val="24"/>
          <w:highlight w:val="none"/>
          <w:lang w:val="zh-CN"/>
        </w:rPr>
      </w:pPr>
    </w:p>
    <w:p w14:paraId="265E7068">
      <w:pPr>
        <w:snapToGrid w:val="0"/>
        <w:spacing w:line="360" w:lineRule="auto"/>
        <w:ind w:right="480" w:firstLine="643"/>
        <w:jc w:val="center"/>
        <w:rPr>
          <w:rFonts w:ascii="宋体" w:hAnsi="宋体" w:cs="仿宋_GB2312"/>
          <w:b/>
          <w:color w:val="auto"/>
          <w:kern w:val="0"/>
          <w:sz w:val="32"/>
          <w:szCs w:val="32"/>
          <w:highlight w:val="none"/>
          <w:lang w:val="zh-CN"/>
        </w:rPr>
      </w:pPr>
    </w:p>
    <w:p w14:paraId="43AD57AF">
      <w:pPr>
        <w:snapToGrid w:val="0"/>
        <w:spacing w:line="360" w:lineRule="auto"/>
        <w:ind w:right="480" w:firstLine="643"/>
        <w:jc w:val="center"/>
        <w:rPr>
          <w:rFonts w:ascii="宋体" w:hAnsi="宋体"/>
          <w:b/>
          <w:color w:val="auto"/>
          <w:sz w:val="28"/>
          <w:szCs w:val="28"/>
          <w:highlight w:val="none"/>
        </w:rPr>
      </w:pPr>
      <w:r>
        <w:rPr>
          <w:rFonts w:hint="eastAsia" w:ascii="宋体" w:hAnsi="宋体" w:cs="仿宋_GB2312"/>
          <w:b/>
          <w:color w:val="auto"/>
          <w:kern w:val="0"/>
          <w:sz w:val="32"/>
          <w:szCs w:val="32"/>
          <w:highlight w:val="none"/>
        </w:rPr>
        <w:br w:type="page"/>
      </w:r>
    </w:p>
    <w:p w14:paraId="44AD355F">
      <w:pPr>
        <w:snapToGrid w:val="0"/>
        <w:spacing w:before="50" w:after="165" w:afterLines="50" w:line="360" w:lineRule="auto"/>
        <w:ind w:firstLine="643"/>
        <w:jc w:val="center"/>
        <w:rPr>
          <w:rFonts w:ascii="宋体" w:hAnsi="宋体" w:cs="仿宋_GB2312"/>
          <w:b/>
          <w:color w:val="auto"/>
          <w:kern w:val="0"/>
          <w:sz w:val="32"/>
          <w:szCs w:val="32"/>
          <w:highlight w:val="none"/>
        </w:rPr>
      </w:pPr>
      <w:r>
        <w:rPr>
          <w:rFonts w:hint="eastAsia" w:ascii="宋体" w:hAnsi="宋体" w:cs="仿宋_GB2312"/>
          <w:b/>
          <w:color w:val="auto"/>
          <w:kern w:val="0"/>
          <w:sz w:val="32"/>
          <w:szCs w:val="32"/>
          <w:highlight w:val="none"/>
        </w:rPr>
        <w:t>四、投标人直接控股股东信息表</w:t>
      </w:r>
    </w:p>
    <w:tbl>
      <w:tblPr>
        <w:tblStyle w:val="26"/>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2B3DF82E">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9A2D6E">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09D2337">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F680F7">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12372CD">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EB6533">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89BFB34">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6DE77D0">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366950">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61DD01">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F81428">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93EF43">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14:paraId="4D430F76">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27DFAC">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55D25">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8CC18B">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D8EC58">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19EA6A8">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14:paraId="01A80917">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11153D">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65A047">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B57E282">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C6FF42">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3D8322">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14:paraId="47041DC5">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CA7532">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283DDA">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6A88CDF">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87D127">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53F2275">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bl>
    <w:p w14:paraId="32B2C7DF">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注：</w:t>
      </w:r>
    </w:p>
    <w:p w14:paraId="18D04B5E">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E5CE457">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41F193DC">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14:paraId="5A4BFC28">
      <w:pPr>
        <w:snapToGrid w:val="0"/>
        <w:spacing w:line="360" w:lineRule="auto"/>
        <w:ind w:firstLine="480"/>
        <w:jc w:val="left"/>
        <w:rPr>
          <w:rFonts w:ascii="宋体" w:hAnsi="宋体"/>
          <w:color w:val="auto"/>
          <w:sz w:val="24"/>
          <w:highlight w:val="none"/>
        </w:rPr>
      </w:pPr>
    </w:p>
    <w:p w14:paraId="5282E71B">
      <w:pPr>
        <w:snapToGrid w:val="0"/>
        <w:spacing w:line="360" w:lineRule="auto"/>
        <w:ind w:firstLine="480"/>
        <w:jc w:val="left"/>
        <w:rPr>
          <w:rFonts w:ascii="宋体" w:hAnsi="宋体"/>
          <w:color w:val="auto"/>
          <w:sz w:val="24"/>
          <w:highlight w:val="none"/>
        </w:rPr>
      </w:pPr>
    </w:p>
    <w:p w14:paraId="16866494">
      <w:pPr>
        <w:snapToGrid w:val="0"/>
        <w:spacing w:line="360" w:lineRule="auto"/>
        <w:ind w:firstLine="480"/>
        <w:jc w:val="left"/>
        <w:rPr>
          <w:rFonts w:ascii="宋体" w:hAnsi="宋体"/>
          <w:color w:val="auto"/>
          <w:sz w:val="24"/>
          <w:highlight w:val="none"/>
        </w:rPr>
      </w:pPr>
    </w:p>
    <w:p w14:paraId="173D667E">
      <w:pPr>
        <w:snapToGrid w:val="0"/>
        <w:spacing w:line="360" w:lineRule="auto"/>
        <w:ind w:firstLine="480"/>
        <w:jc w:val="left"/>
        <w:rPr>
          <w:rFonts w:ascii="宋体" w:hAnsi="宋体"/>
          <w:color w:val="auto"/>
          <w:sz w:val="24"/>
          <w:highlight w:val="none"/>
        </w:rPr>
      </w:pPr>
    </w:p>
    <w:p w14:paraId="20BCCA6E">
      <w:pPr>
        <w:snapToGrid w:val="0"/>
        <w:spacing w:line="360" w:lineRule="auto"/>
        <w:ind w:firstLine="480"/>
        <w:jc w:val="left"/>
        <w:rPr>
          <w:rFonts w:ascii="宋体" w:hAnsi="宋体"/>
          <w:color w:val="auto"/>
          <w:sz w:val="24"/>
          <w:highlight w:val="none"/>
        </w:rPr>
      </w:pPr>
    </w:p>
    <w:p w14:paraId="01313E5A">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499DA0A5">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5F78C7C">
      <w:pPr>
        <w:snapToGrid w:val="0"/>
        <w:ind w:firstLine="562"/>
        <w:jc w:val="center"/>
        <w:rPr>
          <w:rFonts w:ascii="宋体" w:hAnsi="宋体"/>
          <w:b/>
          <w:color w:val="auto"/>
          <w:sz w:val="28"/>
          <w:szCs w:val="28"/>
          <w:highlight w:val="none"/>
        </w:rPr>
      </w:pPr>
      <w:r>
        <w:rPr>
          <w:rFonts w:hint="eastAsia" w:ascii="宋体" w:hAnsi="宋体"/>
          <w:b/>
          <w:color w:val="auto"/>
          <w:sz w:val="28"/>
          <w:szCs w:val="28"/>
          <w:highlight w:val="none"/>
        </w:rPr>
        <w:br w:type="page"/>
      </w:r>
    </w:p>
    <w:p w14:paraId="6D0ED9A8">
      <w:pPr>
        <w:snapToGrid w:val="0"/>
        <w:spacing w:line="360" w:lineRule="auto"/>
        <w:ind w:firstLine="643"/>
        <w:jc w:val="center"/>
        <w:rPr>
          <w:rFonts w:ascii="宋体" w:hAnsi="宋体"/>
          <w:color w:val="auto"/>
          <w:sz w:val="32"/>
          <w:szCs w:val="32"/>
          <w:highlight w:val="none"/>
        </w:rPr>
      </w:pPr>
      <w:r>
        <w:rPr>
          <w:rFonts w:hint="eastAsia" w:ascii="宋体" w:hAnsi="宋体"/>
          <w:b/>
          <w:color w:val="auto"/>
          <w:sz w:val="32"/>
          <w:szCs w:val="32"/>
          <w:highlight w:val="none"/>
        </w:rPr>
        <w:t>五、投标人直接管理关系信息表</w:t>
      </w:r>
    </w:p>
    <w:tbl>
      <w:tblPr>
        <w:tblStyle w:val="26"/>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4395C073">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E9B196B">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2F31B67">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04F40C">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F21B180">
            <w:pPr>
              <w:keepNext w:val="0"/>
              <w:keepLines w:val="0"/>
              <w:suppressLineNumbers w:val="0"/>
              <w:spacing w:before="0" w:beforeAutospacing="0" w:after="0" w:afterAutospacing="0" w:line="360" w:lineRule="auto"/>
              <w:ind w:left="0" w:right="0" w:firstLine="482"/>
              <w:jc w:val="center"/>
              <w:rPr>
                <w:rFonts w:hint="default"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5D603E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B01579">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F5BE0E">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CBA649">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C201D3">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14:paraId="3B29E86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DF2D60">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AE21C9">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823680">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C4726F">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14:paraId="2F149DF6">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BD4FFC">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A82530">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0451B8">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48908F">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r w14:paraId="29D48AA4">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BFF776">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3F01E95">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F4BE3E">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D54BA1">
            <w:pPr>
              <w:keepNext w:val="0"/>
              <w:keepLines w:val="0"/>
              <w:suppressLineNumbers w:val="0"/>
              <w:spacing w:before="0" w:beforeAutospacing="0" w:after="0" w:afterAutospacing="0" w:line="360" w:lineRule="auto"/>
              <w:ind w:left="0" w:right="0" w:firstLine="480"/>
              <w:jc w:val="center"/>
              <w:rPr>
                <w:rFonts w:hint="default" w:ascii="宋体" w:hAnsi="宋体" w:cs="宋体"/>
                <w:color w:val="auto"/>
                <w:kern w:val="0"/>
                <w:sz w:val="24"/>
                <w:highlight w:val="none"/>
              </w:rPr>
            </w:pPr>
          </w:p>
        </w:tc>
      </w:tr>
    </w:tbl>
    <w:p w14:paraId="76F6198B">
      <w:pPr>
        <w:snapToGrid w:val="0"/>
        <w:spacing w:line="360" w:lineRule="auto"/>
        <w:ind w:firstLine="480"/>
        <w:jc w:val="left"/>
        <w:rPr>
          <w:rFonts w:ascii="宋体" w:hAnsi="宋体"/>
          <w:color w:val="auto"/>
          <w:sz w:val="24"/>
          <w:highlight w:val="none"/>
        </w:rPr>
      </w:pPr>
      <w:r>
        <w:rPr>
          <w:rFonts w:hint="eastAsia" w:ascii="宋体" w:hAnsi="宋体"/>
          <w:color w:val="auto"/>
          <w:sz w:val="24"/>
          <w:highlight w:val="none"/>
        </w:rPr>
        <w:t>注：</w:t>
      </w:r>
    </w:p>
    <w:p w14:paraId="1B3C35DE">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ABD2EC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0129D7A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14:paraId="0D16ADDB">
      <w:pPr>
        <w:snapToGrid w:val="0"/>
        <w:spacing w:line="360" w:lineRule="auto"/>
        <w:ind w:firstLine="480"/>
        <w:jc w:val="left"/>
        <w:rPr>
          <w:rFonts w:ascii="宋体" w:hAnsi="宋体"/>
          <w:color w:val="auto"/>
          <w:sz w:val="24"/>
          <w:highlight w:val="none"/>
        </w:rPr>
      </w:pPr>
    </w:p>
    <w:p w14:paraId="0047CFDB">
      <w:pPr>
        <w:snapToGrid w:val="0"/>
        <w:spacing w:line="360" w:lineRule="auto"/>
        <w:ind w:firstLine="480"/>
        <w:jc w:val="left"/>
        <w:rPr>
          <w:rFonts w:ascii="宋体" w:hAnsi="宋体"/>
          <w:color w:val="auto"/>
          <w:sz w:val="24"/>
          <w:highlight w:val="none"/>
        </w:rPr>
      </w:pPr>
    </w:p>
    <w:p w14:paraId="1B262338">
      <w:pPr>
        <w:snapToGrid w:val="0"/>
        <w:spacing w:line="360" w:lineRule="auto"/>
        <w:ind w:firstLine="480"/>
        <w:jc w:val="left"/>
        <w:rPr>
          <w:rFonts w:ascii="宋体" w:hAnsi="宋体"/>
          <w:color w:val="auto"/>
          <w:sz w:val="24"/>
          <w:highlight w:val="none"/>
        </w:rPr>
      </w:pPr>
    </w:p>
    <w:p w14:paraId="087EDBA6">
      <w:pPr>
        <w:snapToGrid w:val="0"/>
        <w:spacing w:line="360" w:lineRule="auto"/>
        <w:ind w:firstLine="480"/>
        <w:jc w:val="left"/>
        <w:rPr>
          <w:rFonts w:ascii="宋体" w:hAnsi="宋体"/>
          <w:color w:val="auto"/>
          <w:sz w:val="24"/>
          <w:highlight w:val="none"/>
        </w:rPr>
      </w:pPr>
    </w:p>
    <w:p w14:paraId="29ECC1D2">
      <w:pPr>
        <w:snapToGrid w:val="0"/>
        <w:spacing w:line="360" w:lineRule="auto"/>
        <w:ind w:firstLine="480"/>
        <w:jc w:val="left"/>
        <w:rPr>
          <w:rFonts w:ascii="宋体" w:hAnsi="宋体"/>
          <w:color w:val="auto"/>
          <w:sz w:val="24"/>
          <w:highlight w:val="none"/>
        </w:rPr>
      </w:pPr>
    </w:p>
    <w:p w14:paraId="62636553">
      <w:pPr>
        <w:snapToGrid w:val="0"/>
        <w:spacing w:line="360" w:lineRule="auto"/>
        <w:ind w:firstLine="480"/>
        <w:jc w:val="left"/>
        <w:rPr>
          <w:rFonts w:ascii="宋体" w:hAnsi="宋体"/>
          <w:color w:val="auto"/>
          <w:sz w:val="24"/>
          <w:highlight w:val="none"/>
        </w:rPr>
      </w:pPr>
    </w:p>
    <w:p w14:paraId="7565DDC8">
      <w:pPr>
        <w:snapToGrid w:val="0"/>
        <w:spacing w:line="360" w:lineRule="auto"/>
        <w:ind w:firstLine="480"/>
        <w:jc w:val="left"/>
        <w:rPr>
          <w:rFonts w:ascii="宋体" w:hAnsi="宋体"/>
          <w:color w:val="auto"/>
          <w:sz w:val="24"/>
          <w:highlight w:val="none"/>
        </w:rPr>
      </w:pPr>
    </w:p>
    <w:p w14:paraId="04AE22DC">
      <w:pPr>
        <w:snapToGrid w:val="0"/>
        <w:spacing w:line="360" w:lineRule="auto"/>
        <w:ind w:firstLine="480"/>
        <w:jc w:val="left"/>
        <w:rPr>
          <w:rFonts w:ascii="宋体" w:hAnsi="宋体"/>
          <w:color w:val="auto"/>
          <w:sz w:val="24"/>
          <w:highlight w:val="none"/>
        </w:rPr>
      </w:pPr>
    </w:p>
    <w:p w14:paraId="36780425">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16207F99">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2DFD891E">
      <w:pPr>
        <w:snapToGrid w:val="0"/>
        <w:spacing w:before="50" w:after="165" w:afterLines="50"/>
        <w:jc w:val="left"/>
        <w:rPr>
          <w:rFonts w:ascii="宋体" w:hAnsi="宋体"/>
          <w:color w:val="auto"/>
          <w:szCs w:val="21"/>
          <w:highlight w:val="none"/>
        </w:rPr>
      </w:pPr>
    </w:p>
    <w:p w14:paraId="1FEDF7A3">
      <w:pPr>
        <w:snapToGrid w:val="0"/>
        <w:spacing w:before="165" w:beforeLines="50" w:after="50"/>
        <w:ind w:firstLine="482"/>
        <w:jc w:val="left"/>
        <w:rPr>
          <w:rFonts w:ascii="宋体" w:hAnsi="宋体"/>
          <w:b/>
          <w:color w:val="auto"/>
          <w:sz w:val="24"/>
          <w:szCs w:val="20"/>
          <w:highlight w:val="none"/>
        </w:rPr>
      </w:pPr>
    </w:p>
    <w:p w14:paraId="4BA31240">
      <w:pPr>
        <w:snapToGrid w:val="0"/>
        <w:spacing w:before="165" w:beforeLines="50" w:after="50"/>
        <w:ind w:firstLine="482"/>
        <w:jc w:val="left"/>
        <w:rPr>
          <w:rFonts w:ascii="宋体" w:hAnsi="宋体"/>
          <w:b/>
          <w:color w:val="auto"/>
          <w:sz w:val="24"/>
          <w:highlight w:val="none"/>
        </w:rPr>
      </w:pPr>
    </w:p>
    <w:p w14:paraId="5A02D82F">
      <w:pPr>
        <w:snapToGrid w:val="0"/>
        <w:spacing w:before="165" w:beforeLines="50" w:after="50"/>
        <w:ind w:firstLine="482"/>
        <w:jc w:val="left"/>
        <w:rPr>
          <w:rFonts w:ascii="宋体" w:hAnsi="宋体"/>
          <w:b/>
          <w:color w:val="auto"/>
          <w:sz w:val="24"/>
          <w:szCs w:val="20"/>
          <w:highlight w:val="none"/>
        </w:rPr>
      </w:pPr>
      <w:r>
        <w:rPr>
          <w:rFonts w:hint="eastAsia" w:ascii="宋体" w:hAnsi="宋体"/>
          <w:b/>
          <w:color w:val="auto"/>
          <w:sz w:val="24"/>
          <w:szCs w:val="20"/>
          <w:highlight w:val="none"/>
        </w:rPr>
        <w:t xml:space="preserve"> </w:t>
      </w:r>
    </w:p>
    <w:p w14:paraId="24DB87C2">
      <w:pPr>
        <w:pStyle w:val="25"/>
        <w:rPr>
          <w:rFonts w:ascii="宋体" w:hAnsi="宋体"/>
          <w:color w:val="auto"/>
          <w:highlight w:val="none"/>
        </w:rPr>
      </w:pPr>
    </w:p>
    <w:p w14:paraId="0CDB76C7">
      <w:pPr>
        <w:snapToGrid w:val="0"/>
        <w:spacing w:before="50" w:after="165" w:afterLines="50"/>
        <w:jc w:val="left"/>
        <w:rPr>
          <w:rFonts w:ascii="宋体" w:hAnsi="宋体"/>
          <w:color w:val="auto"/>
          <w:highlight w:val="none"/>
        </w:rPr>
      </w:pPr>
    </w:p>
    <w:p w14:paraId="3929F295">
      <w:pPr>
        <w:snapToGrid w:val="0"/>
        <w:spacing w:before="50" w:after="165" w:afterLines="50"/>
        <w:ind w:firstLine="643"/>
        <w:jc w:val="center"/>
        <w:rPr>
          <w:rFonts w:ascii="宋体" w:hAnsi="宋体"/>
          <w:b/>
          <w:color w:val="auto"/>
          <w:sz w:val="32"/>
          <w:szCs w:val="32"/>
          <w:highlight w:val="none"/>
        </w:rPr>
      </w:pPr>
      <w:r>
        <w:rPr>
          <w:rFonts w:hint="eastAsia" w:ascii="宋体" w:hAnsi="宋体"/>
          <w:b/>
          <w:color w:val="auto"/>
          <w:sz w:val="32"/>
          <w:szCs w:val="32"/>
          <w:highlight w:val="none"/>
        </w:rPr>
        <w:t>六、投标资格声明函</w:t>
      </w:r>
    </w:p>
    <w:p w14:paraId="4ED462B0">
      <w:pPr>
        <w:tabs>
          <w:tab w:val="left" w:pos="7200"/>
        </w:tabs>
        <w:spacing w:line="360" w:lineRule="auto"/>
        <w:ind w:firstLine="480"/>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广西机电设备招标有限公司 </w:t>
      </w:r>
    </w:p>
    <w:p w14:paraId="2B7F6B5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我方愿意参加贵方组织的_</w:t>
      </w:r>
      <w:r>
        <w:rPr>
          <w:rFonts w:hint="eastAsia" w:ascii="宋体" w:hAnsi="宋体"/>
          <w:color w:val="auto"/>
          <w:sz w:val="24"/>
          <w:highlight w:val="none"/>
          <w:u w:val="single"/>
        </w:rPr>
        <w:t>南宁职业技术大学跨境电子商务专业群实训室建设项目</w:t>
      </w:r>
      <w:r>
        <w:rPr>
          <w:rFonts w:hint="eastAsia" w:ascii="宋体" w:hAnsi="宋体"/>
          <w:color w:val="auto"/>
          <w:sz w:val="24"/>
          <w:highlight w:val="none"/>
        </w:rPr>
        <w:t>（项目编号：</w:t>
      </w:r>
      <w:r>
        <w:rPr>
          <w:rFonts w:hint="eastAsia" w:ascii="宋体" w:hAnsi="宋体"/>
          <w:color w:val="auto"/>
          <w:sz w:val="24"/>
          <w:highlight w:val="none"/>
          <w:lang w:eastAsia="zh-CN"/>
        </w:rPr>
        <w:t>NNZC2024-G1-991788-JDZB</w:t>
      </w:r>
      <w:r>
        <w:rPr>
          <w:rFonts w:hint="eastAsia" w:ascii="宋体" w:hAnsi="宋体"/>
          <w:color w:val="auto"/>
          <w:sz w:val="24"/>
          <w:highlight w:val="none"/>
        </w:rPr>
        <w:t xml:space="preserve"> ）项目的投标，为便于贵方公正、择优地确定中标人，我方就本次投标有关事项郑重声明如下：</w:t>
      </w:r>
    </w:p>
    <w:p w14:paraId="338999D1">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0A7E1F0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00C1436">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3.经查询，在“信用中国”和“中国政府采购网”网站我方未被列入失信被执行人、重大税收违法失信主体、政府采购严重违法失信行为记录名单。</w:t>
      </w:r>
    </w:p>
    <w:p w14:paraId="55A9F318">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4.以上事项如有虚假或隐瞒，我方愿意承担一切后果，并不再寻求任何旨在减轻或免除法律责任的辩解。 </w:t>
      </w:r>
    </w:p>
    <w:p w14:paraId="7B41689D">
      <w:pPr>
        <w:tabs>
          <w:tab w:val="left" w:pos="7200"/>
        </w:tabs>
        <w:spacing w:line="360" w:lineRule="auto"/>
        <w:ind w:firstLine="360" w:firstLineChars="150"/>
        <w:rPr>
          <w:rFonts w:ascii="宋体" w:hAnsi="宋体"/>
          <w:color w:val="auto"/>
          <w:sz w:val="24"/>
          <w:highlight w:val="none"/>
        </w:rPr>
      </w:pPr>
      <w:r>
        <w:rPr>
          <w:rFonts w:hint="eastAsia" w:ascii="宋体" w:hAnsi="宋体"/>
          <w:color w:val="auto"/>
          <w:sz w:val="24"/>
          <w:highlight w:val="none"/>
        </w:rPr>
        <w:t>说明：</w:t>
      </w:r>
    </w:p>
    <w:p w14:paraId="309825C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641A19F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A7A34E6">
      <w:pPr>
        <w:snapToGrid w:val="0"/>
        <w:spacing w:before="50" w:after="165" w:afterLines="50" w:line="360" w:lineRule="auto"/>
        <w:ind w:firstLine="480"/>
        <w:jc w:val="lef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b/>
          <w:color w:val="auto"/>
          <w:sz w:val="24"/>
          <w:highlight w:val="none"/>
        </w:rPr>
        <w:t xml:space="preserve">  3.如为联合体投标，盖章处须加盖联合体各方公章并由联合体各方法定代表人分别签署，否则投标无效。</w:t>
      </w:r>
    </w:p>
    <w:p w14:paraId="346F5B3F">
      <w:pPr>
        <w:snapToGrid w:val="0"/>
        <w:spacing w:before="50" w:after="331" w:afterLines="100" w:line="360" w:lineRule="auto"/>
        <w:ind w:firstLine="480"/>
        <w:jc w:val="left"/>
        <w:rPr>
          <w:rFonts w:ascii="宋体" w:hAnsi="宋体"/>
          <w:color w:val="auto"/>
          <w:sz w:val="24"/>
          <w:highlight w:val="none"/>
        </w:rPr>
      </w:pPr>
      <w:r>
        <w:rPr>
          <w:rFonts w:hint="eastAsia" w:ascii="宋体" w:hAnsi="宋体"/>
          <w:color w:val="auto"/>
          <w:sz w:val="24"/>
          <w:highlight w:val="none"/>
        </w:rPr>
        <w:t xml:space="preserve">                                    </w:t>
      </w:r>
    </w:p>
    <w:p w14:paraId="5B6C5E84">
      <w:pPr>
        <w:snapToGrid w:val="0"/>
        <w:spacing w:before="50" w:after="331" w:afterLines="100" w:line="360" w:lineRule="auto"/>
        <w:ind w:left="7428" w:leftChars="2223" w:hanging="2760" w:hangingChars="1150"/>
        <w:jc w:val="left"/>
        <w:rPr>
          <w:color w:val="auto"/>
          <w:highlight w:val="none"/>
          <w:lang w:val="zh-CN"/>
        </w:rPr>
      </w:pPr>
      <w:r>
        <w:rPr>
          <w:rFonts w:hint="eastAsia" w:ascii="宋体" w:hAnsi="宋体"/>
          <w:color w:val="auto"/>
          <w:sz w:val="24"/>
          <w:highlight w:val="none"/>
        </w:rPr>
        <w:t xml:space="preserve">  </w:t>
      </w:r>
      <w:r>
        <w:rPr>
          <w:rFonts w:hint="eastAsia" w:ascii="宋体" w:hAnsi="宋体" w:cs="仿宋_GB2312"/>
          <w:color w:val="auto"/>
          <w:kern w:val="0"/>
          <w:sz w:val="24"/>
          <w:highlight w:val="none"/>
          <w:lang w:val="zh-CN"/>
        </w:rPr>
        <w:t>投标人名称(电子签章)：</w:t>
      </w:r>
      <w:r>
        <w:rPr>
          <w:rFonts w:hint="eastAsia" w:ascii="宋体" w:hAnsi="宋体"/>
          <w:color w:val="auto"/>
          <w:szCs w:val="21"/>
          <w:highlight w:val="none"/>
        </w:rPr>
        <w:t xml:space="preserve">                                     年    月    日</w:t>
      </w:r>
    </w:p>
    <w:p w14:paraId="3B84D5FE">
      <w:pPr>
        <w:pStyle w:val="15"/>
        <w:numPr>
          <w:ilvl w:val="0"/>
          <w:numId w:val="8"/>
        </w:numPr>
        <w:spacing w:line="600" w:lineRule="exact"/>
        <w:ind w:firstLine="602"/>
        <w:jc w:val="center"/>
        <w:rPr>
          <w:rFonts w:hAnsi="宋体"/>
          <w:b/>
          <w:bCs/>
          <w:color w:val="auto"/>
          <w:sz w:val="30"/>
          <w:szCs w:val="30"/>
          <w:highlight w:val="none"/>
        </w:rPr>
      </w:pPr>
      <w:r>
        <w:rPr>
          <w:rFonts w:hint="eastAsia" w:hAnsi="宋体"/>
          <w:b/>
          <w:bCs/>
          <w:color w:val="auto"/>
          <w:sz w:val="30"/>
          <w:szCs w:val="30"/>
          <w:highlight w:val="none"/>
        </w:rPr>
        <w:t>中小企业声明函</w:t>
      </w:r>
    </w:p>
    <w:p w14:paraId="4F54DB83">
      <w:pPr>
        <w:pStyle w:val="7"/>
        <w:ind w:left="0"/>
        <w:rPr>
          <w:rFonts w:ascii="宋体" w:hAnsi="宋体"/>
          <w:color w:val="auto"/>
          <w:highlight w:val="none"/>
        </w:rPr>
      </w:pPr>
    </w:p>
    <w:p w14:paraId="1859B227">
      <w:pPr>
        <w:pStyle w:val="13"/>
        <w:spacing w:line="240" w:lineRule="auto"/>
        <w:ind w:firstLine="412"/>
        <w:rPr>
          <w:rFonts w:hAnsi="宋体"/>
          <w:color w:val="auto"/>
          <w:sz w:val="21"/>
          <w:szCs w:val="21"/>
          <w:highlight w:val="none"/>
        </w:rPr>
      </w:pPr>
      <w:r>
        <w:rPr>
          <w:rFonts w:hint="eastAsia" w:hAnsi="宋体"/>
          <w:color w:val="auto"/>
          <w:sz w:val="21"/>
          <w:szCs w:val="21"/>
          <w:highlight w:val="none"/>
        </w:rPr>
        <w:t>说明：</w:t>
      </w:r>
    </w:p>
    <w:p w14:paraId="6FEB5BF6">
      <w:pPr>
        <w:pStyle w:val="13"/>
        <w:spacing w:line="240" w:lineRule="auto"/>
        <w:ind w:firstLine="404"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、本声明函主要供参加政府采购活动的中小企业填写，非中小企业无需填写。</w:t>
      </w:r>
    </w:p>
    <w:p w14:paraId="537E745F">
      <w:pPr>
        <w:pStyle w:val="13"/>
        <w:spacing w:line="240" w:lineRule="auto"/>
        <w:ind w:firstLine="404"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、小型、微型企业提供中型企业提供的货物的，视同为中型企业。</w:t>
      </w:r>
    </w:p>
    <w:p w14:paraId="59C96A3A">
      <w:pPr>
        <w:pStyle w:val="13"/>
        <w:spacing w:line="240" w:lineRule="auto"/>
        <w:ind w:firstLine="404" w:firstLineChars="200"/>
        <w:rPr>
          <w:rFonts w:hAnsi="宋体"/>
          <w:color w:val="auto"/>
          <w:sz w:val="21"/>
          <w:szCs w:val="21"/>
          <w:highlight w:val="none"/>
        </w:rPr>
      </w:pPr>
    </w:p>
    <w:p w14:paraId="4F1407AB">
      <w:pPr>
        <w:pStyle w:val="12"/>
        <w:spacing w:line="360" w:lineRule="auto"/>
        <w:ind w:left="-426" w:leftChars="-203" w:right="142" w:firstLine="420" w:firstLineChars="200"/>
        <w:contextualSpacing/>
        <w:rPr>
          <w:rFonts w:ascii="宋体" w:hAnsi="宋体"/>
          <w:color w:val="auto"/>
          <w:kern w:val="24"/>
          <w:highlight w:val="none"/>
        </w:rPr>
      </w:pPr>
      <w:r>
        <w:rPr>
          <w:rFonts w:hint="eastAsia" w:ascii="宋体" w:hAnsi="宋体"/>
          <w:color w:val="auto"/>
          <w:kern w:val="24"/>
          <w:highlight w:val="none"/>
        </w:rPr>
        <w:t>本公司（联合体）郑重声明，根据《政府采购促进中小企业发展管理办法》（财库﹝2020﹞46号）的规定，本公司（联合体）参加</w:t>
      </w:r>
      <w:r>
        <w:rPr>
          <w:rFonts w:hint="eastAsia" w:ascii="宋体" w:hAnsi="宋体"/>
          <w:color w:val="auto"/>
          <w:kern w:val="24"/>
          <w:highlight w:val="none"/>
          <w:u w:val="single"/>
        </w:rPr>
        <w:t xml:space="preserve">南宁职业技术大学 </w:t>
      </w:r>
      <w:r>
        <w:rPr>
          <w:rFonts w:hint="eastAsia" w:ascii="宋体" w:hAnsi="宋体"/>
          <w:color w:val="auto"/>
          <w:kern w:val="24"/>
          <w:highlight w:val="none"/>
        </w:rPr>
        <w:t>的</w:t>
      </w:r>
      <w:r>
        <w:rPr>
          <w:rFonts w:hint="eastAsia" w:ascii="宋体" w:hAnsi="宋体"/>
          <w:color w:val="auto"/>
          <w:kern w:val="24"/>
          <w:highlight w:val="none"/>
          <w:u w:val="single"/>
        </w:rPr>
        <w:t>南宁职业技术大学跨境电子商务专业群实训室建设项目</w:t>
      </w:r>
      <w:r>
        <w:rPr>
          <w:rFonts w:hint="eastAsia"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69224D78">
      <w:pPr>
        <w:tabs>
          <w:tab w:val="left" w:pos="1384"/>
          <w:tab w:val="left" w:pos="4562"/>
          <w:tab w:val="left" w:pos="6803"/>
        </w:tabs>
        <w:spacing w:line="360" w:lineRule="auto"/>
        <w:ind w:left="-426" w:right="-58" w:firstLine="480"/>
        <w:contextualSpacing/>
        <w:rPr>
          <w:rFonts w:ascii="宋体" w:hAnsi="宋体"/>
          <w:color w:val="auto"/>
          <w:kern w:val="24"/>
          <w:sz w:val="24"/>
          <w:highlight w:val="none"/>
        </w:rPr>
      </w:pPr>
      <w:r>
        <w:rPr>
          <w:rFonts w:hint="eastAsia" w:ascii="宋体" w:hAnsi="宋体"/>
          <w:color w:val="auto"/>
          <w:kern w:val="24"/>
          <w:sz w:val="24"/>
          <w:highlight w:val="none"/>
        </w:rPr>
        <w:t>1.</w:t>
      </w:r>
      <w:r>
        <w:rPr>
          <w:rFonts w:hint="eastAsia" w:ascii="宋体" w:hAnsi="宋体"/>
          <w:color w:val="auto"/>
          <w:kern w:val="24"/>
          <w:sz w:val="24"/>
          <w:highlight w:val="none"/>
          <w:u w:val="single"/>
        </w:rPr>
        <w:t>（标的名称）</w:t>
      </w:r>
      <w:r>
        <w:rPr>
          <w:rFonts w:hint="eastAsia" w:ascii="宋体" w:hAnsi="宋体"/>
          <w:color w:val="auto"/>
          <w:kern w:val="24"/>
          <w:sz w:val="24"/>
          <w:highlight w:val="none"/>
        </w:rPr>
        <w:t>，属于</w:t>
      </w:r>
      <w:r>
        <w:rPr>
          <w:rFonts w:hint="eastAsia" w:ascii="宋体" w:hAnsi="宋体"/>
          <w:color w:val="auto"/>
          <w:kern w:val="24"/>
          <w:sz w:val="24"/>
          <w:highlight w:val="none"/>
          <w:u w:val="single"/>
        </w:rPr>
        <w:t>（采购文件中明确的所属行业）</w:t>
      </w:r>
      <w:r>
        <w:rPr>
          <w:rFonts w:hint="eastAsia" w:ascii="宋体" w:hAnsi="宋体"/>
          <w:color w:val="auto"/>
          <w:kern w:val="24"/>
          <w:sz w:val="24"/>
          <w:highlight w:val="none"/>
        </w:rPr>
        <w:t>行业；制造商为</w:t>
      </w:r>
      <w:r>
        <w:rPr>
          <w:rFonts w:hint="eastAsia" w:ascii="宋体" w:hAnsi="宋体"/>
          <w:color w:val="auto"/>
          <w:kern w:val="24"/>
          <w:sz w:val="24"/>
          <w:highlight w:val="none"/>
          <w:u w:val="single"/>
        </w:rPr>
        <w:t>（企业名称）</w:t>
      </w:r>
      <w:r>
        <w:rPr>
          <w:rFonts w:hint="eastAsia"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万元，属于</w:t>
      </w:r>
      <w:r>
        <w:rPr>
          <w:rFonts w:hint="eastAsia" w:ascii="宋体" w:hAnsi="宋体"/>
          <w:color w:val="auto"/>
          <w:kern w:val="24"/>
          <w:sz w:val="24"/>
          <w:highlight w:val="none"/>
          <w:u w:val="single"/>
        </w:rPr>
        <w:t>（中型企业、小型企业、微型企业）</w:t>
      </w:r>
      <w:r>
        <w:rPr>
          <w:rFonts w:hint="eastAsia" w:ascii="宋体" w:hAnsi="宋体"/>
          <w:color w:val="auto"/>
          <w:kern w:val="24"/>
          <w:sz w:val="24"/>
          <w:highlight w:val="none"/>
        </w:rPr>
        <w:t>；</w:t>
      </w:r>
    </w:p>
    <w:p w14:paraId="50800BC8">
      <w:pPr>
        <w:tabs>
          <w:tab w:val="left" w:pos="1065"/>
          <w:tab w:val="left" w:pos="6477"/>
        </w:tabs>
        <w:spacing w:line="360" w:lineRule="auto"/>
        <w:ind w:left="-426" w:right="-58" w:firstLine="480"/>
        <w:contextualSpacing/>
        <w:rPr>
          <w:rFonts w:ascii="宋体" w:hAnsi="宋体"/>
          <w:color w:val="auto"/>
          <w:kern w:val="24"/>
          <w:sz w:val="24"/>
          <w:highlight w:val="none"/>
        </w:rPr>
      </w:pPr>
      <w:r>
        <w:rPr>
          <w:rFonts w:hint="eastAsia" w:ascii="宋体" w:hAnsi="宋体"/>
          <w:color w:val="auto"/>
          <w:kern w:val="24"/>
          <w:sz w:val="24"/>
          <w:highlight w:val="none"/>
        </w:rPr>
        <w:t>2.</w:t>
      </w:r>
      <w:r>
        <w:rPr>
          <w:rFonts w:hint="eastAsia" w:ascii="宋体" w:hAnsi="宋体"/>
          <w:color w:val="auto"/>
          <w:kern w:val="24"/>
          <w:sz w:val="24"/>
          <w:highlight w:val="none"/>
          <w:u w:val="single"/>
        </w:rPr>
        <w:t>（标的名称）</w:t>
      </w:r>
      <w:r>
        <w:rPr>
          <w:rFonts w:hint="eastAsia" w:ascii="宋体" w:hAnsi="宋体"/>
          <w:color w:val="auto"/>
          <w:kern w:val="24"/>
          <w:sz w:val="24"/>
          <w:highlight w:val="none"/>
        </w:rPr>
        <w:t>，属于</w:t>
      </w:r>
      <w:r>
        <w:rPr>
          <w:rFonts w:hint="eastAsia" w:ascii="宋体" w:hAnsi="宋体"/>
          <w:color w:val="auto"/>
          <w:kern w:val="24"/>
          <w:sz w:val="24"/>
          <w:highlight w:val="none"/>
          <w:u w:val="single"/>
        </w:rPr>
        <w:t>（采购文件中明确的所属行业）</w:t>
      </w:r>
      <w:r>
        <w:rPr>
          <w:rFonts w:hint="eastAsia" w:ascii="宋体" w:hAnsi="宋体"/>
          <w:color w:val="auto"/>
          <w:kern w:val="24"/>
          <w:sz w:val="24"/>
          <w:highlight w:val="none"/>
        </w:rPr>
        <w:t>行业；制造商为</w:t>
      </w:r>
      <w:r>
        <w:rPr>
          <w:rFonts w:hint="eastAsia" w:ascii="宋体" w:hAnsi="宋体"/>
          <w:color w:val="auto"/>
          <w:kern w:val="24"/>
          <w:sz w:val="24"/>
          <w:highlight w:val="none"/>
          <w:u w:val="single"/>
        </w:rPr>
        <w:t>（企业名称）</w:t>
      </w:r>
      <w:r>
        <w:rPr>
          <w:rFonts w:hint="eastAsia"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万元，属于</w:t>
      </w:r>
      <w:r>
        <w:rPr>
          <w:rFonts w:hint="eastAsia" w:ascii="宋体" w:hAnsi="宋体"/>
          <w:color w:val="auto"/>
          <w:kern w:val="24"/>
          <w:sz w:val="24"/>
          <w:highlight w:val="none"/>
          <w:u w:val="single"/>
        </w:rPr>
        <w:t>（中型企业、小型企业、微型企业）</w:t>
      </w:r>
      <w:r>
        <w:rPr>
          <w:rFonts w:hint="eastAsia" w:ascii="宋体" w:hAnsi="宋体"/>
          <w:color w:val="auto"/>
          <w:kern w:val="24"/>
          <w:sz w:val="24"/>
          <w:highlight w:val="none"/>
        </w:rPr>
        <w:t>；</w:t>
      </w:r>
    </w:p>
    <w:p w14:paraId="4B5481D5">
      <w:pPr>
        <w:pStyle w:val="12"/>
        <w:spacing w:line="360" w:lineRule="auto"/>
        <w:ind w:left="142" w:right="142"/>
        <w:contextualSpacing/>
        <w:rPr>
          <w:rFonts w:ascii="宋体" w:hAnsi="宋体"/>
          <w:color w:val="auto"/>
          <w:kern w:val="24"/>
          <w:highlight w:val="none"/>
        </w:rPr>
      </w:pPr>
      <w:r>
        <w:rPr>
          <w:rFonts w:hint="eastAsia" w:ascii="宋体" w:hAnsi="宋体"/>
          <w:color w:val="auto"/>
          <w:kern w:val="24"/>
          <w:highlight w:val="none"/>
        </w:rPr>
        <w:t xml:space="preserve">…… </w:t>
      </w:r>
    </w:p>
    <w:p w14:paraId="02204028">
      <w:pPr>
        <w:pStyle w:val="12"/>
        <w:spacing w:line="360" w:lineRule="auto"/>
        <w:ind w:left="-405" w:leftChars="-193" w:right="142" w:firstLine="396" w:firstLineChars="189"/>
        <w:contextualSpacing/>
        <w:rPr>
          <w:rFonts w:ascii="宋体" w:hAnsi="宋体"/>
          <w:color w:val="auto"/>
          <w:kern w:val="24"/>
          <w:highlight w:val="none"/>
        </w:rPr>
      </w:pPr>
      <w:r>
        <w:rPr>
          <w:rFonts w:hint="eastAsia" w:ascii="宋体" w:hAnsi="宋体"/>
          <w:color w:val="auto"/>
          <w:kern w:val="24"/>
          <w:highlight w:val="none"/>
        </w:rPr>
        <w:t>以上企业，不属于大企业的分支机构，不存在控股股东为大企业的情形，也不存在与大企业的负责人为同一人的情形。</w:t>
      </w:r>
    </w:p>
    <w:p w14:paraId="69B1A191">
      <w:pPr>
        <w:pStyle w:val="12"/>
        <w:spacing w:line="360" w:lineRule="auto"/>
        <w:ind w:left="-426" w:right="142" w:firstLine="420"/>
        <w:contextualSpacing/>
        <w:rPr>
          <w:rFonts w:ascii="宋体" w:hAnsi="宋体"/>
          <w:color w:val="auto"/>
          <w:kern w:val="24"/>
          <w:highlight w:val="none"/>
        </w:rPr>
      </w:pPr>
      <w:r>
        <w:rPr>
          <w:rFonts w:hint="eastAsia" w:ascii="宋体" w:hAnsi="宋体"/>
          <w:color w:val="auto"/>
          <w:kern w:val="24"/>
          <w:highlight w:val="none"/>
        </w:rPr>
        <w:t>本企业对上述声明内容的真实性负责。如有虚假，将依法承担相应责任。</w:t>
      </w:r>
    </w:p>
    <w:p w14:paraId="53AF6807">
      <w:pPr>
        <w:pStyle w:val="15"/>
        <w:spacing w:line="360" w:lineRule="auto"/>
        <w:ind w:firstLine="420" w:firstLineChars="200"/>
        <w:rPr>
          <w:rFonts w:hAnsi="宋体"/>
          <w:color w:val="auto"/>
          <w:szCs w:val="21"/>
          <w:highlight w:val="none"/>
        </w:rPr>
      </w:pPr>
    </w:p>
    <w:p w14:paraId="45E75DFC">
      <w:pPr>
        <w:pStyle w:val="15"/>
        <w:spacing w:line="360" w:lineRule="auto"/>
        <w:ind w:firstLine="420" w:firstLineChars="200"/>
        <w:rPr>
          <w:rFonts w:hAnsi="宋体"/>
          <w:color w:val="auto"/>
          <w:szCs w:val="21"/>
          <w:highlight w:val="none"/>
        </w:rPr>
      </w:pPr>
    </w:p>
    <w:p w14:paraId="6A217607">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2D1F48B9">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6E2C3A5A">
      <w:pPr>
        <w:pStyle w:val="15"/>
        <w:spacing w:line="360" w:lineRule="auto"/>
        <w:ind w:firstLine="420" w:firstLineChars="200"/>
        <w:rPr>
          <w:rFonts w:hAnsi="宋体"/>
          <w:color w:val="auto"/>
          <w:szCs w:val="21"/>
          <w:highlight w:val="none"/>
        </w:rPr>
      </w:pPr>
    </w:p>
    <w:p w14:paraId="592F360F">
      <w:pPr>
        <w:snapToGrid w:val="0"/>
        <w:spacing w:before="50" w:after="165" w:afterLines="50" w:line="360" w:lineRule="auto"/>
        <w:ind w:firstLine="400"/>
        <w:jc w:val="left"/>
        <w:rPr>
          <w:rFonts w:ascii="宋体" w:hAnsi="宋体" w:cs="宋体"/>
          <w:color w:val="auto"/>
          <w:sz w:val="20"/>
          <w:highlight w:val="none"/>
        </w:rPr>
      </w:pPr>
      <w:r>
        <w:rPr>
          <w:rFonts w:hint="eastAsia" w:ascii="宋体" w:hAnsi="宋体" w:cs="宋体"/>
          <w:color w:val="auto"/>
          <w:sz w:val="20"/>
          <w:highlight w:val="none"/>
        </w:rPr>
        <w:t>注：</w:t>
      </w:r>
    </w:p>
    <w:p w14:paraId="2D4AF629">
      <w:pPr>
        <w:numPr>
          <w:ilvl w:val="0"/>
          <w:numId w:val="9"/>
        </w:numPr>
        <w:snapToGrid w:val="0"/>
        <w:spacing w:before="50" w:after="165" w:afterLines="50" w:line="360" w:lineRule="auto"/>
        <w:ind w:firstLine="400"/>
        <w:jc w:val="left"/>
        <w:rPr>
          <w:rFonts w:ascii="宋体" w:hAnsi="宋体"/>
          <w:color w:val="auto"/>
          <w:sz w:val="20"/>
          <w:highlight w:val="none"/>
        </w:rPr>
      </w:pPr>
      <w:r>
        <w:rPr>
          <w:rFonts w:hint="eastAsia" w:ascii="宋体" w:hAnsi="宋体"/>
          <w:color w:val="auto"/>
          <w:sz w:val="20"/>
          <w:highlight w:val="none"/>
        </w:rPr>
        <w:t>从业人员、营业收入、资产总额填报上一年度数据，无上一年度数据的新成立企业可不填报。</w:t>
      </w:r>
    </w:p>
    <w:p w14:paraId="164181E6">
      <w:pPr>
        <w:snapToGrid w:val="0"/>
        <w:spacing w:before="50" w:after="165" w:afterLines="50" w:line="360" w:lineRule="auto"/>
        <w:ind w:firstLine="300" w:firstLineChars="150"/>
        <w:jc w:val="left"/>
        <w:rPr>
          <w:rFonts w:ascii="宋体" w:hAnsi="宋体"/>
          <w:color w:val="auto"/>
          <w:sz w:val="20"/>
          <w:highlight w:val="none"/>
        </w:rPr>
      </w:pPr>
      <w:r>
        <w:rPr>
          <w:rFonts w:ascii="宋体" w:hAnsi="宋体"/>
          <w:color w:val="auto"/>
          <w:sz w:val="20"/>
          <w:highlight w:val="none"/>
        </w:rPr>
        <w:t>2</w:t>
      </w:r>
      <w:r>
        <w:rPr>
          <w:rFonts w:hint="eastAsia" w:ascii="宋体" w:hAnsi="宋体"/>
          <w:color w:val="auto"/>
          <w:sz w:val="20"/>
          <w:highlight w:val="none"/>
        </w:rPr>
        <w:t>、请根据自己的真实情况出具《中小企业声明函》。依法享受中小企业优惠政策的，采购人或者采购代理机构在公告中标结果时，同时公告其《中小企业声明函》，接受社会监督。</w:t>
      </w:r>
    </w:p>
    <w:p w14:paraId="61063EEE">
      <w:pPr>
        <w:widowControl/>
        <w:spacing w:line="360" w:lineRule="auto"/>
        <w:ind w:firstLine="400"/>
        <w:jc w:val="left"/>
        <w:rPr>
          <w:rFonts w:ascii="宋体" w:hAnsi="宋体"/>
          <w:color w:val="auto"/>
          <w:sz w:val="20"/>
          <w:highlight w:val="none"/>
        </w:rPr>
        <w:sectPr>
          <w:pgSz w:w="11906" w:h="16838"/>
          <w:pgMar w:top="1134" w:right="1134" w:bottom="1134" w:left="1134" w:header="720" w:footer="720" w:gutter="0"/>
          <w:cols w:space="720" w:num="1"/>
          <w:docGrid w:type="lines" w:linePitch="331" w:charSpace="0"/>
        </w:sectPr>
      </w:pPr>
    </w:p>
    <w:p w14:paraId="20610CB0">
      <w:pPr>
        <w:rPr>
          <w:rFonts w:ascii="宋体" w:hAnsi="宋体"/>
          <w:color w:val="auto"/>
          <w:highlight w:val="none"/>
        </w:rPr>
      </w:pPr>
    </w:p>
    <w:p w14:paraId="22C9C522">
      <w:pPr>
        <w:pStyle w:val="15"/>
        <w:spacing w:line="600" w:lineRule="exact"/>
        <w:jc w:val="center"/>
        <w:rPr>
          <w:rFonts w:hAnsi="宋体" w:cs="宋体"/>
          <w:color w:val="auto"/>
          <w:kern w:val="0"/>
          <w:szCs w:val="21"/>
          <w:highlight w:val="none"/>
        </w:rPr>
      </w:pPr>
    </w:p>
    <w:p w14:paraId="0A1BF023">
      <w:pPr>
        <w:pStyle w:val="15"/>
        <w:spacing w:line="600" w:lineRule="exact"/>
        <w:ind w:firstLine="602"/>
        <w:jc w:val="center"/>
        <w:rPr>
          <w:rFonts w:hAnsi="宋体"/>
          <w:b/>
          <w:bCs/>
          <w:color w:val="auto"/>
          <w:sz w:val="30"/>
          <w:szCs w:val="30"/>
          <w:highlight w:val="none"/>
        </w:rPr>
      </w:pPr>
      <w:r>
        <w:rPr>
          <w:rFonts w:hint="eastAsia" w:hAnsi="宋体"/>
          <w:b/>
          <w:bCs/>
          <w:color w:val="auto"/>
          <w:sz w:val="30"/>
          <w:szCs w:val="30"/>
          <w:highlight w:val="none"/>
        </w:rPr>
        <w:t>八、符合特定资格条件（如有）的有关证明材料</w:t>
      </w:r>
    </w:p>
    <w:p w14:paraId="6598687E">
      <w:pPr>
        <w:pStyle w:val="15"/>
        <w:spacing w:line="600" w:lineRule="exact"/>
        <w:ind w:firstLine="602"/>
        <w:jc w:val="center"/>
        <w:rPr>
          <w:rFonts w:hAnsi="宋体"/>
          <w:b/>
          <w:bCs/>
          <w:color w:val="auto"/>
          <w:sz w:val="30"/>
          <w:szCs w:val="30"/>
          <w:highlight w:val="none"/>
        </w:rPr>
      </w:pPr>
    </w:p>
    <w:p w14:paraId="69B9302C">
      <w:pPr>
        <w:pStyle w:val="15"/>
        <w:spacing w:line="600" w:lineRule="exact"/>
        <w:ind w:firstLine="602"/>
        <w:jc w:val="center"/>
        <w:rPr>
          <w:rFonts w:hAnsi="宋体"/>
          <w:b/>
          <w:bCs/>
          <w:color w:val="auto"/>
          <w:sz w:val="30"/>
          <w:szCs w:val="30"/>
          <w:highlight w:val="none"/>
        </w:rPr>
      </w:pPr>
    </w:p>
    <w:p w14:paraId="4A4CC3AB">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11254B7A">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99210E2">
      <w:pPr>
        <w:pStyle w:val="15"/>
        <w:spacing w:line="600" w:lineRule="exact"/>
        <w:jc w:val="center"/>
        <w:rPr>
          <w:rFonts w:hAnsi="宋体"/>
          <w:color w:val="auto"/>
          <w:highlight w:val="none"/>
        </w:rPr>
      </w:pPr>
    </w:p>
    <w:p w14:paraId="15D198A0">
      <w:pPr>
        <w:widowControl/>
        <w:spacing w:line="360" w:lineRule="auto"/>
        <w:jc w:val="left"/>
        <w:rPr>
          <w:rFonts w:ascii="宋体" w:hAnsi="宋体"/>
          <w:color w:val="auto"/>
          <w:szCs w:val="21"/>
          <w:highlight w:val="none"/>
        </w:rPr>
        <w:sectPr>
          <w:pgSz w:w="11906" w:h="16838"/>
          <w:pgMar w:top="1134" w:right="1134" w:bottom="1134" w:left="1134" w:header="720" w:footer="720" w:gutter="0"/>
          <w:cols w:space="720" w:num="1"/>
          <w:docGrid w:type="lines" w:linePitch="331" w:charSpace="0"/>
        </w:sectPr>
      </w:pPr>
    </w:p>
    <w:p w14:paraId="7FDE32E3">
      <w:pPr>
        <w:pStyle w:val="15"/>
        <w:jc w:val="center"/>
        <w:rPr>
          <w:rFonts w:hAnsi="宋体"/>
          <w:color w:val="auto"/>
          <w:szCs w:val="21"/>
          <w:highlight w:val="none"/>
        </w:rPr>
      </w:pPr>
    </w:p>
    <w:p w14:paraId="30D08F33">
      <w:pPr>
        <w:pStyle w:val="15"/>
        <w:ind w:firstLine="562"/>
        <w:jc w:val="center"/>
        <w:outlineLvl w:val="1"/>
        <w:rPr>
          <w:rFonts w:hAnsi="宋体"/>
          <w:b/>
          <w:bCs/>
          <w:color w:val="auto"/>
          <w:sz w:val="28"/>
          <w:szCs w:val="28"/>
          <w:highlight w:val="none"/>
        </w:rPr>
      </w:pPr>
      <w:bookmarkStart w:id="288" w:name="_Toc19686838"/>
      <w:bookmarkStart w:id="289" w:name="_Toc118383698"/>
      <w:r>
        <w:rPr>
          <w:rFonts w:hint="eastAsia" w:hAnsi="宋体"/>
          <w:b/>
          <w:bCs/>
          <w:color w:val="auto"/>
          <w:sz w:val="28"/>
          <w:szCs w:val="28"/>
          <w:highlight w:val="none"/>
        </w:rPr>
        <w:t>第三节 商务文件格式</w:t>
      </w:r>
      <w:bookmarkEnd w:id="288"/>
      <w:bookmarkEnd w:id="289"/>
    </w:p>
    <w:p w14:paraId="49E3CF40">
      <w:pPr>
        <w:snapToGrid w:val="0"/>
        <w:spacing w:before="165" w:beforeLines="50" w:after="50"/>
        <w:ind w:firstLine="600"/>
        <w:rPr>
          <w:rFonts w:ascii="宋体" w:hAnsi="宋体"/>
          <w:color w:val="auto"/>
          <w:sz w:val="30"/>
          <w:szCs w:val="20"/>
          <w:highlight w:val="none"/>
        </w:rPr>
      </w:pPr>
    </w:p>
    <w:p w14:paraId="59562B09">
      <w:pPr>
        <w:snapToGrid w:val="0"/>
        <w:spacing w:before="165" w:beforeLines="50" w:after="50"/>
        <w:ind w:firstLine="48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39870754">
      <w:pPr>
        <w:snapToGrid w:val="0"/>
        <w:spacing w:before="165" w:beforeLines="50" w:after="50"/>
        <w:ind w:firstLine="480"/>
        <w:rPr>
          <w:rFonts w:ascii="宋体" w:hAnsi="宋体"/>
          <w:color w:val="auto"/>
          <w:sz w:val="24"/>
          <w:szCs w:val="20"/>
          <w:highlight w:val="none"/>
        </w:rPr>
      </w:pPr>
    </w:p>
    <w:p w14:paraId="326F9FD6">
      <w:pPr>
        <w:snapToGrid w:val="0"/>
        <w:spacing w:before="165" w:beforeLines="50" w:after="50"/>
        <w:ind w:firstLine="643"/>
        <w:jc w:val="center"/>
        <w:rPr>
          <w:rFonts w:ascii="宋体" w:hAnsi="宋体"/>
          <w:b/>
          <w:color w:val="auto"/>
          <w:sz w:val="24"/>
          <w:szCs w:val="20"/>
          <w:highlight w:val="none"/>
        </w:rPr>
      </w:pPr>
      <w:r>
        <w:rPr>
          <w:rFonts w:hint="eastAsia" w:ascii="宋体" w:hAnsi="宋体"/>
          <w:b/>
          <w:color w:val="auto"/>
          <w:sz w:val="32"/>
          <w:szCs w:val="32"/>
          <w:highlight w:val="none"/>
        </w:rPr>
        <w:t>商务文件（封面）</w:t>
      </w:r>
    </w:p>
    <w:p w14:paraId="073020B6">
      <w:pPr>
        <w:snapToGrid w:val="0"/>
        <w:spacing w:before="165" w:beforeLines="50" w:after="50"/>
        <w:ind w:firstLine="480"/>
        <w:rPr>
          <w:rFonts w:ascii="宋体" w:hAnsi="宋体"/>
          <w:bCs/>
          <w:color w:val="auto"/>
          <w:sz w:val="24"/>
          <w:szCs w:val="20"/>
          <w:highlight w:val="none"/>
        </w:rPr>
      </w:pPr>
    </w:p>
    <w:p w14:paraId="238EB9CB">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项目名称：南宁职业技术大学跨境电子商务专业群实训室建设项目</w:t>
      </w:r>
    </w:p>
    <w:p w14:paraId="541CED4C">
      <w:pPr>
        <w:snapToGrid w:val="0"/>
        <w:spacing w:before="165" w:beforeLines="50" w:after="50"/>
        <w:ind w:firstLine="540" w:firstLineChars="225"/>
        <w:rPr>
          <w:rFonts w:ascii="宋体" w:hAnsi="宋体"/>
          <w:bCs/>
          <w:color w:val="auto"/>
          <w:sz w:val="24"/>
          <w:szCs w:val="20"/>
          <w:highlight w:val="none"/>
        </w:rPr>
      </w:pPr>
    </w:p>
    <w:p w14:paraId="2E212000">
      <w:pPr>
        <w:snapToGrid w:val="0"/>
        <w:spacing w:before="165" w:beforeLines="50" w:after="50"/>
        <w:ind w:firstLine="540" w:firstLineChars="225"/>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NNZC2024-G1-991788-JDZB</w:t>
      </w:r>
    </w:p>
    <w:p w14:paraId="384D74A9">
      <w:pPr>
        <w:snapToGrid w:val="0"/>
        <w:spacing w:before="165"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3CCFB0C3">
      <w:pPr>
        <w:snapToGrid w:val="0"/>
        <w:spacing w:before="165" w:beforeLines="50" w:after="50"/>
        <w:ind w:firstLine="540" w:firstLineChars="225"/>
        <w:rPr>
          <w:rFonts w:ascii="宋体" w:hAnsi="宋体"/>
          <w:bCs/>
          <w:color w:val="auto"/>
          <w:sz w:val="24"/>
          <w:highlight w:val="none"/>
        </w:rPr>
      </w:pPr>
      <w:r>
        <w:rPr>
          <w:rFonts w:hint="eastAsia" w:ascii="宋体" w:hAnsi="宋体"/>
          <w:bCs/>
          <w:color w:val="auto"/>
          <w:sz w:val="24"/>
          <w:highlight w:val="none"/>
        </w:rPr>
        <w:t>所投分标：</w:t>
      </w:r>
    </w:p>
    <w:p w14:paraId="56C8DD59">
      <w:pPr>
        <w:snapToGrid w:val="0"/>
        <w:spacing w:before="165" w:beforeLines="50" w:after="50"/>
        <w:ind w:firstLine="540" w:firstLineChars="225"/>
        <w:rPr>
          <w:rFonts w:ascii="宋体" w:hAnsi="宋体"/>
          <w:bCs/>
          <w:color w:val="auto"/>
          <w:sz w:val="24"/>
          <w:szCs w:val="20"/>
          <w:highlight w:val="none"/>
        </w:rPr>
      </w:pPr>
    </w:p>
    <w:p w14:paraId="5D6D91D4">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35FF3CB7">
      <w:pPr>
        <w:pStyle w:val="8"/>
        <w:snapToGrid w:val="0"/>
        <w:spacing w:before="50" w:after="50"/>
        <w:ind w:firstLine="540" w:firstLineChars="225"/>
        <w:rPr>
          <w:rFonts w:ascii="宋体" w:hAnsi="宋体"/>
          <w:bCs/>
          <w:color w:val="auto"/>
          <w:sz w:val="24"/>
          <w:szCs w:val="24"/>
          <w:highlight w:val="none"/>
        </w:rPr>
      </w:pPr>
    </w:p>
    <w:p w14:paraId="7F62A352">
      <w:pPr>
        <w:pStyle w:val="8"/>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投标人地址：</w:t>
      </w:r>
    </w:p>
    <w:p w14:paraId="1D9EC03D">
      <w:pPr>
        <w:pStyle w:val="8"/>
        <w:snapToGrid w:val="0"/>
        <w:spacing w:before="50" w:after="50"/>
        <w:ind w:firstLine="960" w:firstLineChars="400"/>
        <w:rPr>
          <w:rFonts w:ascii="宋体" w:hAnsi="宋体"/>
          <w:bCs/>
          <w:color w:val="auto"/>
          <w:sz w:val="24"/>
          <w:szCs w:val="24"/>
          <w:highlight w:val="none"/>
        </w:rPr>
      </w:pPr>
    </w:p>
    <w:p w14:paraId="0FA104D2">
      <w:pPr>
        <w:snapToGrid w:val="0"/>
        <w:spacing w:before="165" w:beforeLines="50" w:after="50"/>
        <w:ind w:firstLine="480"/>
        <w:rPr>
          <w:rFonts w:ascii="宋体" w:hAnsi="宋体"/>
          <w:color w:val="auto"/>
          <w:sz w:val="24"/>
          <w:highlight w:val="none"/>
        </w:rPr>
      </w:pPr>
      <w:r>
        <w:rPr>
          <w:rFonts w:hint="eastAsia" w:ascii="宋体" w:hAnsi="宋体"/>
          <w:color w:val="auto"/>
          <w:sz w:val="24"/>
          <w:highlight w:val="none"/>
        </w:rPr>
        <w:t xml:space="preserve">                        年  月  日</w:t>
      </w:r>
    </w:p>
    <w:p w14:paraId="1CEC97F8">
      <w:pPr>
        <w:snapToGrid w:val="0"/>
        <w:spacing w:before="165" w:beforeLines="50" w:after="50"/>
        <w:ind w:firstLine="480"/>
        <w:rPr>
          <w:rFonts w:ascii="宋体" w:hAnsi="宋体"/>
          <w:color w:val="auto"/>
          <w:sz w:val="24"/>
          <w:szCs w:val="20"/>
          <w:highlight w:val="none"/>
        </w:rPr>
      </w:pPr>
      <w:r>
        <w:rPr>
          <w:rFonts w:hint="eastAsia" w:ascii="宋体" w:hAnsi="宋体"/>
          <w:color w:val="auto"/>
          <w:sz w:val="24"/>
          <w:szCs w:val="20"/>
          <w:highlight w:val="none"/>
        </w:rPr>
        <w:t xml:space="preserve"> </w:t>
      </w:r>
    </w:p>
    <w:p w14:paraId="3E2F5247">
      <w:pPr>
        <w:spacing w:line="360" w:lineRule="auto"/>
        <w:ind w:right="420" w:firstLine="480"/>
        <w:rPr>
          <w:rFonts w:ascii="宋体" w:hAnsi="宋体"/>
          <w:color w:val="auto"/>
          <w:sz w:val="24"/>
          <w:szCs w:val="20"/>
          <w:highlight w:val="none"/>
        </w:rPr>
      </w:pPr>
    </w:p>
    <w:p w14:paraId="28FCE6CE">
      <w:pPr>
        <w:spacing w:line="360" w:lineRule="auto"/>
        <w:ind w:right="420" w:firstLine="480"/>
        <w:rPr>
          <w:rFonts w:ascii="宋体" w:hAnsi="宋体"/>
          <w:color w:val="auto"/>
          <w:sz w:val="24"/>
          <w:szCs w:val="20"/>
          <w:highlight w:val="none"/>
        </w:rPr>
      </w:pPr>
    </w:p>
    <w:p w14:paraId="7999B08E">
      <w:pPr>
        <w:spacing w:line="360" w:lineRule="auto"/>
        <w:ind w:right="420" w:firstLine="480"/>
        <w:rPr>
          <w:rFonts w:ascii="宋体" w:hAnsi="宋体"/>
          <w:color w:val="auto"/>
          <w:sz w:val="24"/>
          <w:szCs w:val="20"/>
          <w:highlight w:val="none"/>
        </w:rPr>
      </w:pPr>
    </w:p>
    <w:p w14:paraId="648E69DC">
      <w:pPr>
        <w:spacing w:line="360" w:lineRule="auto"/>
        <w:ind w:right="420" w:firstLine="480"/>
        <w:rPr>
          <w:rFonts w:ascii="宋体" w:hAnsi="宋体"/>
          <w:color w:val="auto"/>
          <w:sz w:val="24"/>
          <w:szCs w:val="20"/>
          <w:highlight w:val="none"/>
        </w:rPr>
      </w:pPr>
    </w:p>
    <w:p w14:paraId="3D205D95">
      <w:pPr>
        <w:spacing w:line="360" w:lineRule="auto"/>
        <w:ind w:right="420" w:firstLine="480"/>
        <w:rPr>
          <w:rFonts w:ascii="宋体" w:hAnsi="宋体"/>
          <w:color w:val="auto"/>
          <w:sz w:val="24"/>
          <w:szCs w:val="20"/>
          <w:highlight w:val="none"/>
        </w:rPr>
      </w:pPr>
    </w:p>
    <w:p w14:paraId="70A376B9">
      <w:pPr>
        <w:spacing w:line="360" w:lineRule="auto"/>
        <w:ind w:right="420" w:firstLine="480"/>
        <w:rPr>
          <w:rFonts w:ascii="宋体" w:hAnsi="宋体"/>
          <w:color w:val="auto"/>
          <w:sz w:val="24"/>
          <w:szCs w:val="20"/>
          <w:highlight w:val="none"/>
        </w:rPr>
      </w:pPr>
    </w:p>
    <w:p w14:paraId="31639E9E">
      <w:pPr>
        <w:spacing w:line="360" w:lineRule="auto"/>
        <w:ind w:right="420" w:firstLine="480"/>
        <w:rPr>
          <w:rFonts w:ascii="宋体" w:hAnsi="宋体"/>
          <w:color w:val="auto"/>
          <w:sz w:val="24"/>
          <w:szCs w:val="20"/>
          <w:highlight w:val="none"/>
        </w:rPr>
      </w:pPr>
    </w:p>
    <w:p w14:paraId="0C7D5147">
      <w:pPr>
        <w:spacing w:line="360" w:lineRule="auto"/>
        <w:ind w:right="420" w:firstLine="480"/>
        <w:rPr>
          <w:rFonts w:ascii="宋体" w:hAnsi="宋体"/>
          <w:color w:val="auto"/>
          <w:sz w:val="24"/>
          <w:szCs w:val="20"/>
          <w:highlight w:val="none"/>
        </w:rPr>
      </w:pPr>
    </w:p>
    <w:p w14:paraId="4A6A2F7E">
      <w:pPr>
        <w:spacing w:line="360" w:lineRule="auto"/>
        <w:ind w:right="420" w:firstLine="480"/>
        <w:rPr>
          <w:rFonts w:ascii="宋体" w:hAnsi="宋体"/>
          <w:color w:val="auto"/>
          <w:sz w:val="24"/>
          <w:szCs w:val="20"/>
          <w:highlight w:val="none"/>
        </w:rPr>
      </w:pPr>
    </w:p>
    <w:p w14:paraId="1CB8DDF2">
      <w:pPr>
        <w:spacing w:line="360" w:lineRule="auto"/>
        <w:ind w:right="420" w:firstLine="723"/>
        <w:rPr>
          <w:rFonts w:ascii="宋体" w:hAnsi="宋体" w:cs="仿宋_GB2312"/>
          <w:b/>
          <w:color w:val="auto"/>
          <w:kern w:val="0"/>
          <w:sz w:val="36"/>
          <w:szCs w:val="36"/>
          <w:highlight w:val="none"/>
        </w:rPr>
      </w:pPr>
      <w:r>
        <w:rPr>
          <w:rFonts w:hint="eastAsia" w:ascii="宋体" w:hAnsi="宋体" w:cs="仿宋_GB2312"/>
          <w:b/>
          <w:color w:val="auto"/>
          <w:kern w:val="0"/>
          <w:sz w:val="36"/>
          <w:szCs w:val="36"/>
          <w:highlight w:val="none"/>
        </w:rPr>
        <w:t xml:space="preserve"> </w:t>
      </w:r>
    </w:p>
    <w:p w14:paraId="4C52A0B2">
      <w:pPr>
        <w:ind w:firstLine="482"/>
        <w:rPr>
          <w:rFonts w:ascii="宋体" w:hAnsi="宋体" w:cs="仿宋_GB2312"/>
          <w:b/>
          <w:color w:val="auto"/>
          <w:kern w:val="0"/>
          <w:sz w:val="24"/>
          <w:highlight w:val="none"/>
        </w:rPr>
      </w:pPr>
    </w:p>
    <w:p w14:paraId="3E2690E4">
      <w:pPr>
        <w:ind w:firstLine="562"/>
        <w:jc w:val="center"/>
        <w:rPr>
          <w:rFonts w:ascii="宋体" w:hAnsi="宋体" w:cs="仿宋_GB2312"/>
          <w:b/>
          <w:color w:val="auto"/>
          <w:kern w:val="0"/>
          <w:sz w:val="28"/>
          <w:szCs w:val="28"/>
          <w:highlight w:val="none"/>
        </w:rPr>
      </w:pPr>
      <w:r>
        <w:rPr>
          <w:rFonts w:hint="eastAsia" w:ascii="宋体" w:hAnsi="宋体" w:cs="仿宋_GB2312"/>
          <w:b/>
          <w:color w:val="auto"/>
          <w:kern w:val="0"/>
          <w:sz w:val="28"/>
          <w:szCs w:val="28"/>
          <w:highlight w:val="none"/>
        </w:rPr>
        <w:t>商务文件目录</w:t>
      </w:r>
    </w:p>
    <w:p w14:paraId="72DDFA10">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一、无串标行为承诺函………………………………………………………（页码）</w:t>
      </w:r>
    </w:p>
    <w:p w14:paraId="02DEA279">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二、法定代表人身份证明及法定代表人有效身份证正反面复印件………（页码）</w:t>
      </w:r>
    </w:p>
    <w:p w14:paraId="2507C9D4">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三、法定代表人授权委托书（如有委托时）………………………………（页码）</w:t>
      </w:r>
    </w:p>
    <w:p w14:paraId="3CD13FAD">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四、</w:t>
      </w:r>
      <w:r>
        <w:rPr>
          <w:rFonts w:hint="eastAsia" w:ascii="宋体" w:hAnsi="宋体" w:eastAsia="宋体" w:cs="仿宋_GB2312"/>
          <w:color w:val="auto"/>
          <w:highlight w:val="none"/>
          <w:lang w:val="zh-CN"/>
        </w:rPr>
        <w:t>商务条款偏离表………………………………</w:t>
      </w:r>
      <w:r>
        <w:rPr>
          <w:rFonts w:hint="eastAsia" w:ascii="宋体" w:hAnsi="宋体" w:eastAsia="宋体" w:cs="仿宋_GB2312"/>
          <w:color w:val="auto"/>
          <w:highlight w:val="none"/>
        </w:rPr>
        <w:t>…………………………（页码）</w:t>
      </w:r>
    </w:p>
    <w:p w14:paraId="0347BC7B">
      <w:pPr>
        <w:pStyle w:val="37"/>
        <w:spacing w:line="360" w:lineRule="auto"/>
        <w:rPr>
          <w:rFonts w:ascii="宋体" w:hAnsi="宋体" w:eastAsia="宋体" w:cs="仿宋_GB2312"/>
          <w:color w:val="auto"/>
          <w:highlight w:val="none"/>
        </w:rPr>
      </w:pPr>
      <w:bookmarkStart w:id="290" w:name="OLE_LINK6"/>
      <w:bookmarkStart w:id="291" w:name="OLE_LINK7"/>
      <w:bookmarkStart w:id="292" w:name="OLE_LINK5"/>
      <w:r>
        <w:rPr>
          <w:rFonts w:hint="eastAsia" w:ascii="宋体" w:hAnsi="宋体" w:eastAsia="宋体" w:cs="仿宋_GB2312"/>
          <w:color w:val="auto"/>
          <w:highlight w:val="none"/>
        </w:rPr>
        <w:t>五、投标人情况介绍</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5612CF49">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六、投标人类似业绩的证明文件（如有要求）</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bookmarkEnd w:id="290"/>
      <w:bookmarkEnd w:id="291"/>
    </w:p>
    <w:p w14:paraId="4A6EA1DE">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七、其他商务文件或说明</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bookmarkEnd w:id="292"/>
    <w:p w14:paraId="76C8749E">
      <w:pPr>
        <w:spacing w:line="360" w:lineRule="auto"/>
        <w:ind w:firstLine="482"/>
        <w:rPr>
          <w:rFonts w:ascii="宋体" w:hAnsi="宋体" w:cs="仿宋_GB2312"/>
          <w:b/>
          <w:bCs/>
          <w:color w:val="auto"/>
          <w:sz w:val="24"/>
          <w:highlight w:val="none"/>
        </w:rPr>
      </w:pPr>
      <w:r>
        <w:rPr>
          <w:rFonts w:hint="eastAsia" w:ascii="宋体" w:hAnsi="宋体" w:cs="仿宋_GB2312"/>
          <w:b/>
          <w:bCs/>
          <w:color w:val="auto"/>
          <w:sz w:val="24"/>
          <w:highlight w:val="none"/>
        </w:rPr>
        <w:t>注：以上目录是基本格式要求，各投标人可根据自身情况进一步向下增加内容或细化。</w:t>
      </w:r>
    </w:p>
    <w:p w14:paraId="187332AD">
      <w:pPr>
        <w:widowControl/>
        <w:spacing w:line="360" w:lineRule="auto"/>
        <w:jc w:val="left"/>
        <w:rPr>
          <w:rFonts w:ascii="宋体" w:hAnsi="宋体"/>
          <w:color w:val="auto"/>
          <w:highlight w:val="none"/>
        </w:rPr>
        <w:sectPr>
          <w:pgSz w:w="11906" w:h="16838"/>
          <w:pgMar w:top="1134" w:right="1134" w:bottom="1134" w:left="1134" w:header="720" w:footer="720" w:gutter="0"/>
          <w:cols w:space="720" w:num="1"/>
          <w:docGrid w:type="lines" w:linePitch="331" w:charSpace="0"/>
        </w:sectPr>
      </w:pPr>
    </w:p>
    <w:p w14:paraId="410D1859">
      <w:pPr>
        <w:snapToGrid w:val="0"/>
        <w:spacing w:before="120" w:beforeLines="50" w:after="50"/>
        <w:ind w:left="420" w:firstLine="602"/>
        <w:jc w:val="center"/>
        <w:rPr>
          <w:rFonts w:ascii="宋体" w:hAnsi="宋体"/>
          <w:b/>
          <w:bCs/>
          <w:color w:val="auto"/>
          <w:sz w:val="30"/>
          <w:szCs w:val="30"/>
          <w:highlight w:val="none"/>
        </w:rPr>
      </w:pPr>
      <w:r>
        <w:rPr>
          <w:rFonts w:hint="eastAsia" w:ascii="宋体" w:hAnsi="宋体"/>
          <w:b/>
          <w:bCs/>
          <w:color w:val="auto"/>
          <w:sz w:val="30"/>
          <w:szCs w:val="30"/>
          <w:highlight w:val="none"/>
        </w:rPr>
        <w:t>一、无串标行为承诺函</w:t>
      </w:r>
    </w:p>
    <w:p w14:paraId="33B9F1FE">
      <w:pPr>
        <w:snapToGrid w:val="0"/>
        <w:spacing w:before="120" w:beforeLines="50" w:after="50"/>
        <w:ind w:left="420" w:firstLine="643"/>
        <w:jc w:val="center"/>
        <w:rPr>
          <w:rFonts w:ascii="宋体" w:hAnsi="宋体"/>
          <w:b/>
          <w:color w:val="auto"/>
          <w:sz w:val="32"/>
          <w:szCs w:val="32"/>
          <w:highlight w:val="none"/>
        </w:rPr>
      </w:pPr>
      <w:r>
        <w:rPr>
          <w:rFonts w:hint="eastAsia" w:ascii="宋体" w:hAnsi="宋体"/>
          <w:b/>
          <w:color w:val="auto"/>
          <w:sz w:val="32"/>
          <w:szCs w:val="32"/>
          <w:highlight w:val="none"/>
        </w:rPr>
        <w:t>投标人参加本项目无围标串标行为的承诺函</w:t>
      </w:r>
    </w:p>
    <w:p w14:paraId="391E704A">
      <w:pPr>
        <w:snapToGrid w:val="0"/>
        <w:spacing w:before="120" w:beforeLines="50" w:after="50"/>
        <w:ind w:firstLine="422"/>
        <w:rPr>
          <w:rFonts w:ascii="宋体" w:hAnsi="宋体"/>
          <w:b/>
          <w:color w:val="auto"/>
          <w:szCs w:val="21"/>
          <w:highlight w:val="none"/>
        </w:rPr>
      </w:pPr>
    </w:p>
    <w:p w14:paraId="25404427">
      <w:pPr>
        <w:snapToGrid w:val="0"/>
        <w:spacing w:before="120" w:beforeLines="50" w:after="50" w:line="360" w:lineRule="auto"/>
        <w:ind w:firstLine="422"/>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14:paraId="210CA6F7">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14:paraId="4B60F0F6">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14A534E9">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159F6D37">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1C7D690E">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14:paraId="5EEF28E9">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14:paraId="7452B017">
      <w:pPr>
        <w:snapToGrid w:val="0"/>
        <w:spacing w:before="120" w:beforeLines="50" w:after="50" w:line="360" w:lineRule="auto"/>
        <w:ind w:firstLine="422"/>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14:paraId="24C08B9D">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1.投标人直接或者间接从采购人或者采购代理机构处获得其他投标人的相关信息并修改其投标文件或者投标文件；</w:t>
      </w:r>
    </w:p>
    <w:p w14:paraId="0CF9D31D">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2.投标人按照采购人或者采购代理机构的授意撤换、修改投标文件或者投标文件；</w:t>
      </w:r>
    </w:p>
    <w:p w14:paraId="263CB24A">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3.投标人之间协商报价、技术方案等投标文件或者投标文件的实质性内容；</w:t>
      </w:r>
    </w:p>
    <w:p w14:paraId="123F631F">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31740985">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56673031">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75306278">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5D7AFAB6">
      <w:pPr>
        <w:snapToGrid w:val="0"/>
        <w:spacing w:before="120"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159F45D6">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0DE51F46">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08B44379">
      <w:pPr>
        <w:pStyle w:val="15"/>
        <w:snapToGrid w:val="0"/>
        <w:spacing w:before="295" w:after="295" w:line="360" w:lineRule="auto"/>
        <w:ind w:firstLine="482"/>
        <w:jc w:val="center"/>
        <w:rPr>
          <w:rFonts w:hAnsi="宋体"/>
          <w:b/>
          <w:color w:val="auto"/>
          <w:sz w:val="24"/>
          <w:highlight w:val="none"/>
        </w:rPr>
      </w:pPr>
      <w:r>
        <w:rPr>
          <w:rFonts w:hint="eastAsia" w:hAnsi="宋体"/>
          <w:b/>
          <w:color w:val="auto"/>
          <w:sz w:val="24"/>
          <w:highlight w:val="none"/>
        </w:rPr>
        <w:br w:type="page"/>
      </w:r>
      <w:r>
        <w:rPr>
          <w:rFonts w:hint="eastAsia" w:hAnsi="宋体"/>
          <w:b/>
          <w:bCs/>
          <w:color w:val="auto"/>
          <w:sz w:val="30"/>
          <w:szCs w:val="30"/>
          <w:highlight w:val="none"/>
        </w:rPr>
        <w:t>二、法定代表人身份证明</w:t>
      </w:r>
    </w:p>
    <w:p w14:paraId="4F715F2E">
      <w:pPr>
        <w:spacing w:before="240" w:beforeLines="100" w:after="120" w:afterLines="50"/>
        <w:ind w:left="540" w:firstLine="643"/>
        <w:jc w:val="center"/>
        <w:rPr>
          <w:rFonts w:ascii="宋体" w:hAnsi="宋体"/>
          <w:b/>
          <w:color w:val="auto"/>
          <w:sz w:val="32"/>
          <w:szCs w:val="32"/>
          <w:highlight w:val="none"/>
        </w:rPr>
      </w:pPr>
    </w:p>
    <w:p w14:paraId="74DCA566">
      <w:pPr>
        <w:spacing w:before="240" w:beforeLines="100" w:after="120" w:afterLines="50"/>
        <w:ind w:left="540" w:firstLine="643"/>
        <w:jc w:val="center"/>
        <w:rPr>
          <w:rFonts w:ascii="宋体" w:hAnsi="宋体"/>
          <w:color w:val="auto"/>
          <w:sz w:val="32"/>
          <w:szCs w:val="32"/>
          <w:highlight w:val="none"/>
        </w:rPr>
      </w:pPr>
      <w:r>
        <w:rPr>
          <w:rFonts w:hint="eastAsia" w:ascii="宋体" w:hAnsi="宋体"/>
          <w:b/>
          <w:color w:val="auto"/>
          <w:sz w:val="32"/>
          <w:szCs w:val="32"/>
          <w:highlight w:val="none"/>
        </w:rPr>
        <w:t>法定代表人身份证明</w:t>
      </w:r>
    </w:p>
    <w:p w14:paraId="71758C93">
      <w:pPr>
        <w:spacing w:line="500" w:lineRule="exact"/>
        <w:ind w:left="540" w:firstLine="48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3033CF4A">
      <w:pPr>
        <w:spacing w:line="500" w:lineRule="exact"/>
        <w:ind w:left="540" w:firstLine="48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04BF1C51">
      <w:pPr>
        <w:spacing w:line="500" w:lineRule="exact"/>
        <w:ind w:left="540" w:firstLine="48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6A680B8C">
      <w:pPr>
        <w:spacing w:line="500" w:lineRule="exact"/>
        <w:ind w:left="540" w:firstLine="48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18CD6802">
      <w:pPr>
        <w:spacing w:line="500" w:lineRule="exact"/>
        <w:ind w:left="540" w:firstLine="480"/>
        <w:rPr>
          <w:rFonts w:ascii="宋体" w:hAnsi="宋体"/>
          <w:color w:val="auto"/>
          <w:sz w:val="24"/>
          <w:highlight w:val="none"/>
        </w:rPr>
      </w:pPr>
      <w:r>
        <w:rPr>
          <w:rFonts w:hint="eastAsia" w:ascii="宋体" w:hAnsi="宋体"/>
          <w:color w:val="auto"/>
          <w:sz w:val="24"/>
          <w:highlight w:val="none"/>
        </w:rPr>
        <w:t>身份证号码：</w:t>
      </w:r>
      <w:r>
        <w:rPr>
          <w:rFonts w:ascii="宋体" w:hAnsi="宋体"/>
          <w:color w:val="auto"/>
          <w:sz w:val="24"/>
          <w:highlight w:val="none"/>
          <w:u w:val="single"/>
        </w:rPr>
        <w:t xml:space="preserve">                                 </w:t>
      </w:r>
    </w:p>
    <w:p w14:paraId="62714D42">
      <w:pPr>
        <w:spacing w:line="500" w:lineRule="exact"/>
        <w:ind w:left="540" w:firstLine="48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14:paraId="0E2BC8C3">
      <w:pPr>
        <w:spacing w:line="500" w:lineRule="exact"/>
        <w:ind w:left="540" w:firstLine="480"/>
        <w:rPr>
          <w:rFonts w:ascii="宋体" w:hAnsi="宋体"/>
          <w:color w:val="auto"/>
          <w:sz w:val="24"/>
          <w:highlight w:val="none"/>
        </w:rPr>
      </w:pPr>
      <w:r>
        <w:rPr>
          <w:rFonts w:hint="eastAsia" w:ascii="宋体" w:hAnsi="宋体"/>
          <w:color w:val="auto"/>
          <w:sz w:val="24"/>
          <w:highlight w:val="none"/>
        </w:rPr>
        <w:t>特此证明。</w:t>
      </w:r>
    </w:p>
    <w:p w14:paraId="14A67F44">
      <w:pPr>
        <w:spacing w:line="500" w:lineRule="exact"/>
        <w:ind w:left="540" w:firstLine="480"/>
        <w:rPr>
          <w:rFonts w:ascii="宋体" w:hAnsi="宋体"/>
          <w:color w:val="auto"/>
          <w:sz w:val="24"/>
          <w:highlight w:val="none"/>
        </w:rPr>
      </w:pPr>
    </w:p>
    <w:p w14:paraId="11F07664">
      <w:pPr>
        <w:spacing w:line="500" w:lineRule="exact"/>
        <w:ind w:left="540" w:firstLine="480"/>
        <w:rPr>
          <w:rFonts w:ascii="宋体" w:hAnsi="宋体"/>
          <w:color w:val="auto"/>
          <w:sz w:val="24"/>
          <w:highlight w:val="none"/>
        </w:rPr>
      </w:pPr>
    </w:p>
    <w:p w14:paraId="244746B0">
      <w:pPr>
        <w:spacing w:line="500" w:lineRule="exact"/>
        <w:ind w:left="540" w:firstLine="48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7B734C74">
      <w:pPr>
        <w:spacing w:line="500" w:lineRule="exact"/>
        <w:ind w:left="540" w:firstLine="480"/>
        <w:rPr>
          <w:rFonts w:ascii="宋体" w:hAnsi="宋体"/>
          <w:color w:val="auto"/>
          <w:sz w:val="24"/>
          <w:highlight w:val="none"/>
        </w:rPr>
      </w:pPr>
    </w:p>
    <w:p w14:paraId="6CD9D9DA">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500CFC47">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08AA97B6">
      <w:pPr>
        <w:snapToGrid w:val="0"/>
        <w:spacing w:before="120" w:beforeLines="50" w:after="50"/>
        <w:ind w:firstLine="482"/>
        <w:jc w:val="center"/>
        <w:rPr>
          <w:rFonts w:ascii="宋体" w:hAnsi="宋体"/>
          <w:b/>
          <w:color w:val="auto"/>
          <w:sz w:val="24"/>
          <w:highlight w:val="none"/>
        </w:rPr>
      </w:pPr>
    </w:p>
    <w:p w14:paraId="3FC6C926">
      <w:pPr>
        <w:snapToGrid w:val="0"/>
        <w:spacing w:before="120" w:beforeLines="50" w:after="50"/>
        <w:ind w:firstLine="600" w:firstLineChars="250"/>
        <w:jc w:val="left"/>
        <w:rPr>
          <w:rFonts w:ascii="宋体" w:hAnsi="宋体"/>
          <w:color w:val="auto"/>
          <w:sz w:val="24"/>
          <w:highlight w:val="none"/>
        </w:rPr>
      </w:pPr>
      <w:r>
        <w:rPr>
          <w:rFonts w:hint="eastAsia" w:ascii="宋体" w:hAnsi="宋体"/>
          <w:color w:val="auto"/>
          <w:sz w:val="24"/>
          <w:highlight w:val="none"/>
        </w:rPr>
        <w:t>注：自然人投标的无需提供</w:t>
      </w:r>
    </w:p>
    <w:p w14:paraId="7F9F2768">
      <w:pPr>
        <w:snapToGrid w:val="0"/>
        <w:spacing w:before="120" w:beforeLines="50" w:after="50"/>
        <w:ind w:firstLine="600" w:firstLineChars="250"/>
        <w:jc w:val="left"/>
        <w:rPr>
          <w:rFonts w:ascii="宋体" w:hAnsi="宋体"/>
          <w:color w:val="auto"/>
          <w:sz w:val="24"/>
          <w:highlight w:val="none"/>
        </w:rPr>
      </w:pPr>
    </w:p>
    <w:p w14:paraId="381B427A">
      <w:pPr>
        <w:snapToGrid w:val="0"/>
        <w:spacing w:before="120" w:beforeLines="50" w:after="50"/>
        <w:ind w:firstLine="602" w:firstLineChars="250"/>
        <w:jc w:val="left"/>
        <w:rPr>
          <w:rFonts w:ascii="宋体" w:hAnsi="宋体"/>
          <w:b/>
          <w:color w:val="auto"/>
          <w:sz w:val="24"/>
          <w:szCs w:val="20"/>
          <w:highlight w:val="none"/>
        </w:rPr>
      </w:pPr>
    </w:p>
    <w:tbl>
      <w:tblPr>
        <w:tblStyle w:val="26"/>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1F7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276AAD8B">
            <w:pPr>
              <w:keepNext w:val="0"/>
              <w:keepLines w:val="0"/>
              <w:suppressLineNumbers w:val="0"/>
              <w:spacing w:before="0" w:beforeAutospacing="0" w:after="0" w:afterAutospacing="0" w:line="360" w:lineRule="auto"/>
              <w:ind w:left="0" w:right="0" w:firstLine="482"/>
              <w:rPr>
                <w:rFonts w:hint="default" w:ascii="宋体" w:hAnsi="宋体"/>
                <w:b/>
                <w:color w:val="auto"/>
                <w:sz w:val="24"/>
                <w:highlight w:val="none"/>
              </w:rPr>
            </w:pPr>
          </w:p>
          <w:p w14:paraId="41729E31">
            <w:pPr>
              <w:keepNext w:val="0"/>
              <w:keepLines w:val="0"/>
              <w:suppressLineNumbers w:val="0"/>
              <w:spacing w:before="0" w:beforeAutospacing="0" w:after="0" w:afterAutospacing="0" w:line="360" w:lineRule="auto"/>
              <w:ind w:left="0" w:right="0" w:firstLine="482"/>
              <w:rPr>
                <w:rFonts w:hint="default" w:ascii="宋体" w:hAnsi="宋体"/>
                <w:b/>
                <w:color w:val="auto"/>
                <w:sz w:val="24"/>
                <w:highlight w:val="none"/>
              </w:rPr>
            </w:pPr>
            <w:r>
              <w:rPr>
                <w:rFonts w:hint="eastAsia" w:ascii="宋体" w:hAnsi="宋体"/>
                <w:b/>
                <w:color w:val="auto"/>
                <w:sz w:val="24"/>
                <w:highlight w:val="none"/>
              </w:rPr>
              <w:t>法定代表身份证复印件粘帖处（正、反面）</w:t>
            </w:r>
          </w:p>
        </w:tc>
      </w:tr>
    </w:tbl>
    <w:p w14:paraId="08CD6C88">
      <w:pPr>
        <w:pStyle w:val="15"/>
        <w:snapToGrid w:val="0"/>
        <w:spacing w:before="295" w:after="295" w:line="360" w:lineRule="auto"/>
        <w:ind w:firstLine="482"/>
        <w:jc w:val="center"/>
        <w:rPr>
          <w:rFonts w:hAnsi="宋体"/>
          <w:b/>
          <w:color w:val="auto"/>
          <w:sz w:val="24"/>
          <w:highlight w:val="none"/>
        </w:rPr>
      </w:pPr>
      <w:r>
        <w:rPr>
          <w:rFonts w:hint="eastAsia" w:hAnsi="宋体"/>
          <w:b/>
          <w:color w:val="auto"/>
          <w:sz w:val="24"/>
          <w:highlight w:val="none"/>
        </w:rPr>
        <w:t>附件：</w:t>
      </w:r>
      <w:r>
        <w:rPr>
          <w:rFonts w:hint="eastAsia" w:hAnsi="宋体"/>
          <w:b/>
          <w:color w:val="auto"/>
          <w:sz w:val="24"/>
          <w:highlight w:val="none"/>
        </w:rPr>
        <w:br w:type="page"/>
      </w:r>
      <w:r>
        <w:rPr>
          <w:rFonts w:hint="eastAsia" w:hAnsi="宋体"/>
          <w:b/>
          <w:bCs/>
          <w:color w:val="auto"/>
          <w:sz w:val="30"/>
          <w:szCs w:val="30"/>
          <w:highlight w:val="none"/>
        </w:rPr>
        <w:t>三、法定代表人授权委托书（如有委托时）</w:t>
      </w:r>
    </w:p>
    <w:p w14:paraId="64A932C4">
      <w:pPr>
        <w:snapToGrid w:val="0"/>
        <w:spacing w:before="120" w:beforeLines="50" w:after="50"/>
        <w:ind w:firstLine="643"/>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14:paraId="65471F4E">
      <w:pPr>
        <w:snapToGrid w:val="0"/>
        <w:spacing w:before="120" w:beforeLines="50" w:after="50"/>
        <w:ind w:firstLine="482"/>
        <w:jc w:val="center"/>
        <w:rPr>
          <w:rFonts w:ascii="宋体" w:hAnsi="宋体"/>
          <w:b/>
          <w:color w:val="auto"/>
          <w:sz w:val="24"/>
          <w:highlight w:val="none"/>
        </w:rPr>
      </w:pPr>
    </w:p>
    <w:p w14:paraId="3DEC7A83">
      <w:pPr>
        <w:pStyle w:val="15"/>
        <w:spacing w:line="440" w:lineRule="exact"/>
        <w:ind w:firstLine="420" w:firstLineChars="200"/>
        <w:rPr>
          <w:rFonts w:hAnsi="宋体"/>
          <w:color w:val="auto"/>
          <w:highlight w:val="none"/>
        </w:rPr>
      </w:pPr>
      <w:r>
        <w:rPr>
          <w:rFonts w:hint="eastAsia" w:hAnsi="宋体"/>
          <w:color w:val="auto"/>
          <w:highlight w:val="none"/>
        </w:rPr>
        <w:t>致：</w:t>
      </w:r>
      <w:r>
        <w:rPr>
          <w:rFonts w:hAnsi="宋体"/>
          <w:color w:val="auto"/>
          <w:highlight w:val="none"/>
          <w:u w:val="single"/>
        </w:rPr>
        <w:t xml:space="preserve"> </w:t>
      </w:r>
      <w:r>
        <w:rPr>
          <w:rFonts w:hint="eastAsia" w:hAnsi="宋体"/>
          <w:color w:val="auto"/>
          <w:highlight w:val="none"/>
          <w:u w:val="single"/>
        </w:rPr>
        <w:t>广西机电设备招标有限公司</w:t>
      </w:r>
      <w:r>
        <w:rPr>
          <w:rFonts w:hAnsi="宋体"/>
          <w:color w:val="auto"/>
          <w:highlight w:val="none"/>
          <w:u w:val="single"/>
        </w:rPr>
        <w:t xml:space="preserve"> </w:t>
      </w:r>
    </w:p>
    <w:p w14:paraId="7CBAD7E5">
      <w:pPr>
        <w:pStyle w:val="15"/>
        <w:spacing w:line="440" w:lineRule="exact"/>
        <w:ind w:firstLine="420" w:firstLineChars="200"/>
        <w:rPr>
          <w:rFonts w:hAnsi="宋体"/>
          <w:color w:val="auto"/>
          <w:highlight w:val="none"/>
        </w:rPr>
      </w:pPr>
      <w:r>
        <w:rPr>
          <w:rFonts w:hint="eastAsia" w:hAnsi="宋体"/>
          <w:color w:val="auto"/>
          <w:highlight w:val="none"/>
        </w:rPr>
        <w:t>本人</w:t>
      </w:r>
      <w:r>
        <w:rPr>
          <w:rFonts w:hAnsi="宋体"/>
          <w:color w:val="auto"/>
          <w:highlight w:val="none"/>
          <w:u w:val="single"/>
        </w:rPr>
        <w:t xml:space="preserve">        </w:t>
      </w:r>
      <w:r>
        <w:rPr>
          <w:rFonts w:hint="eastAsia" w:hAnsi="宋体"/>
          <w:color w:val="auto"/>
          <w:highlight w:val="none"/>
        </w:rPr>
        <w:t>（姓名）系</w:t>
      </w:r>
      <w:r>
        <w:rPr>
          <w:rFonts w:hAnsi="宋体"/>
          <w:color w:val="auto"/>
          <w:highlight w:val="none"/>
          <w:u w:val="single"/>
        </w:rPr>
        <w:t xml:space="preserve">                 </w:t>
      </w:r>
      <w:r>
        <w:rPr>
          <w:rFonts w:hint="eastAsia" w:hAnsi="宋体"/>
          <w:color w:val="auto"/>
          <w:highlight w:val="none"/>
        </w:rPr>
        <w:t>（投标人名称）的法定代表人，现授权我单位在职正式员工</w:t>
      </w:r>
      <w:r>
        <w:rPr>
          <w:rFonts w:hAnsi="宋体"/>
          <w:color w:val="auto"/>
          <w:highlight w:val="none"/>
          <w:u w:val="single"/>
        </w:rPr>
        <w:t xml:space="preserve">        </w:t>
      </w:r>
      <w:r>
        <w:rPr>
          <w:rFonts w:hint="eastAsia" w:hAnsi="宋体"/>
          <w:color w:val="auto"/>
          <w:highlight w:val="none"/>
        </w:rPr>
        <w:t>（姓名和职务）为我方代理人。代理人根据授权，以我方名义签署、澄清、说明、补正、递交、撤回、修改贵方组织的</w:t>
      </w:r>
      <w:r>
        <w:rPr>
          <w:rFonts w:hint="eastAsia" w:hAnsi="宋体"/>
          <w:color w:val="auto"/>
          <w:highlight w:val="none"/>
          <w:u w:val="single"/>
        </w:rPr>
        <w:t xml:space="preserve">  南宁职业技术大学跨境电子商务专业群实训室建设项目 </w:t>
      </w:r>
      <w:r>
        <w:rPr>
          <w:rFonts w:hint="eastAsia" w:hAnsi="宋体"/>
          <w:color w:val="auto"/>
          <w:highlight w:val="none"/>
        </w:rPr>
        <w:t>项目（项目编号：</w:t>
      </w:r>
      <w:r>
        <w:rPr>
          <w:rFonts w:hint="eastAsia" w:hAnsi="宋体"/>
          <w:color w:val="auto"/>
          <w:highlight w:val="none"/>
          <w:u w:val="single"/>
        </w:rPr>
        <w:t xml:space="preserve">          </w:t>
      </w:r>
      <w:r>
        <w:rPr>
          <w:rFonts w:hint="eastAsia" w:hAnsi="宋体"/>
          <w:color w:val="auto"/>
          <w:highlight w:val="none"/>
        </w:rPr>
        <w:t>）的投标文件、签订合同和处理一切有关事宜，其法律后果由我方承担。</w:t>
      </w:r>
    </w:p>
    <w:p w14:paraId="4E573D10">
      <w:pPr>
        <w:pStyle w:val="15"/>
        <w:spacing w:line="440" w:lineRule="exact"/>
        <w:ind w:firstLine="420" w:firstLineChars="200"/>
        <w:rPr>
          <w:rFonts w:hAnsi="宋体"/>
          <w:color w:val="auto"/>
          <w:highlight w:val="none"/>
        </w:rPr>
      </w:pPr>
      <w:r>
        <w:rPr>
          <w:rFonts w:hint="eastAsia" w:hAnsi="宋体"/>
          <w:color w:val="auto"/>
          <w:highlight w:val="none"/>
        </w:rPr>
        <w:t>本授权书于</w:t>
      </w:r>
      <w:r>
        <w:rPr>
          <w:rFonts w:hint="eastAsia" w:hAnsi="宋体"/>
          <w:color w:val="auto"/>
          <w:spacing w:val="10"/>
          <w:sz w:val="24"/>
          <w:highlight w:val="none"/>
          <w:u w:val="single"/>
        </w:rPr>
        <w:t xml:space="preserve">    </w:t>
      </w:r>
      <w:r>
        <w:rPr>
          <w:rFonts w:hint="eastAsia" w:hAnsi="宋体"/>
          <w:color w:val="auto"/>
          <w:highlight w:val="none"/>
        </w:rPr>
        <w:t>年</w:t>
      </w:r>
      <w:r>
        <w:rPr>
          <w:rFonts w:hint="eastAsia" w:hAnsi="宋体"/>
          <w:color w:val="auto"/>
          <w:spacing w:val="10"/>
          <w:sz w:val="24"/>
          <w:highlight w:val="none"/>
          <w:u w:val="single"/>
        </w:rPr>
        <w:t xml:space="preserve">    </w:t>
      </w:r>
      <w:r>
        <w:rPr>
          <w:rFonts w:hint="eastAsia" w:hAnsi="宋体"/>
          <w:color w:val="auto"/>
          <w:highlight w:val="none"/>
        </w:rPr>
        <w:t>月</w:t>
      </w:r>
      <w:r>
        <w:rPr>
          <w:rFonts w:hint="eastAsia" w:hAnsi="宋体"/>
          <w:color w:val="auto"/>
          <w:spacing w:val="10"/>
          <w:sz w:val="24"/>
          <w:highlight w:val="none"/>
          <w:u w:val="single"/>
        </w:rPr>
        <w:t xml:space="preserve">    </w:t>
      </w:r>
      <w:r>
        <w:rPr>
          <w:rFonts w:hint="eastAsia" w:hAnsi="宋体"/>
          <w:color w:val="auto"/>
          <w:highlight w:val="none"/>
        </w:rPr>
        <w:t>日签字生效，委托期限：</w:t>
      </w:r>
      <w:r>
        <w:rPr>
          <w:rFonts w:hint="eastAsia" w:hAnsi="宋体"/>
          <w:color w:val="auto"/>
          <w:spacing w:val="10"/>
          <w:sz w:val="24"/>
          <w:highlight w:val="none"/>
          <w:u w:val="single"/>
        </w:rPr>
        <w:t xml:space="preserve">    </w:t>
      </w:r>
      <w:r>
        <w:rPr>
          <w:rFonts w:hint="eastAsia" w:hAnsi="宋体"/>
          <w:color w:val="auto"/>
          <w:highlight w:val="none"/>
        </w:rPr>
        <w:t>。</w:t>
      </w:r>
    </w:p>
    <w:p w14:paraId="67EF3425">
      <w:pPr>
        <w:pStyle w:val="15"/>
        <w:spacing w:line="360" w:lineRule="auto"/>
        <w:ind w:firstLine="420"/>
        <w:rPr>
          <w:rFonts w:hAnsi="宋体"/>
          <w:color w:val="auto"/>
          <w:highlight w:val="none"/>
        </w:rPr>
      </w:pPr>
      <w:r>
        <w:rPr>
          <w:rFonts w:hint="eastAsia" w:hAnsi="宋体"/>
          <w:color w:val="auto"/>
          <w:highlight w:val="none"/>
        </w:rPr>
        <w:t>代理人无转委托权。</w:t>
      </w:r>
    </w:p>
    <w:p w14:paraId="43C5BC99">
      <w:pPr>
        <w:pStyle w:val="15"/>
        <w:spacing w:line="360" w:lineRule="auto"/>
        <w:ind w:firstLine="420"/>
        <w:rPr>
          <w:rFonts w:hAnsi="宋体"/>
          <w:color w:val="auto"/>
          <w:highlight w:val="none"/>
        </w:rPr>
      </w:pPr>
    </w:p>
    <w:p w14:paraId="4D23415D">
      <w:pPr>
        <w:pStyle w:val="15"/>
        <w:spacing w:line="360" w:lineRule="auto"/>
        <w:ind w:firstLine="420"/>
        <w:rPr>
          <w:rFonts w:hAnsi="宋体"/>
          <w:color w:val="auto"/>
          <w:highlight w:val="none"/>
          <w:u w:val="single"/>
        </w:rPr>
      </w:pPr>
      <w:r>
        <w:rPr>
          <w:rFonts w:hint="eastAsia" w:hAnsi="宋体"/>
          <w:color w:val="auto"/>
          <w:highlight w:val="none"/>
        </w:rPr>
        <w:t>投标人（或联合体投标</w:t>
      </w:r>
      <w:r>
        <w:rPr>
          <w:rFonts w:hint="eastAsia" w:hAnsi="宋体" w:cs="宋体"/>
          <w:color w:val="auto"/>
          <w:kern w:val="0"/>
          <w:szCs w:val="21"/>
          <w:highlight w:val="none"/>
        </w:rPr>
        <w:t>牵头人名称</w:t>
      </w:r>
      <w:r>
        <w:rPr>
          <w:rFonts w:hint="eastAsia" w:hAnsi="宋体"/>
          <w:color w:val="auto"/>
          <w:highlight w:val="none"/>
        </w:rPr>
        <w:t>）（盖单位公章）：</w:t>
      </w:r>
      <w:r>
        <w:rPr>
          <w:rFonts w:hAnsi="宋体"/>
          <w:color w:val="auto"/>
          <w:highlight w:val="none"/>
          <w:u w:val="single"/>
        </w:rPr>
        <w:t xml:space="preserve">                                    </w:t>
      </w:r>
    </w:p>
    <w:p w14:paraId="635E9390">
      <w:pPr>
        <w:pStyle w:val="15"/>
        <w:spacing w:line="360" w:lineRule="auto"/>
        <w:ind w:firstLine="420"/>
        <w:rPr>
          <w:rFonts w:hAnsi="宋体"/>
          <w:color w:val="auto"/>
          <w:highlight w:val="none"/>
          <w:u w:val="single"/>
        </w:rPr>
      </w:pPr>
      <w:r>
        <w:rPr>
          <w:rFonts w:hint="eastAsia" w:hAnsi="宋体"/>
          <w:color w:val="auto"/>
          <w:highlight w:val="none"/>
        </w:rPr>
        <w:t>法定代表人（签字）：</w:t>
      </w:r>
      <w:r>
        <w:rPr>
          <w:rFonts w:hAnsi="宋体"/>
          <w:color w:val="auto"/>
          <w:highlight w:val="none"/>
          <w:u w:val="single"/>
        </w:rPr>
        <w:t xml:space="preserve">                                </w:t>
      </w:r>
    </w:p>
    <w:p w14:paraId="0EDC1931">
      <w:pPr>
        <w:pStyle w:val="15"/>
        <w:spacing w:line="360" w:lineRule="auto"/>
        <w:ind w:firstLine="420"/>
        <w:rPr>
          <w:rFonts w:hAnsi="宋体"/>
          <w:color w:val="auto"/>
          <w:highlight w:val="none"/>
          <w:u w:val="single"/>
        </w:rPr>
      </w:pPr>
      <w:r>
        <w:rPr>
          <w:rFonts w:hint="eastAsia" w:hAnsi="宋体"/>
          <w:color w:val="auto"/>
          <w:highlight w:val="none"/>
        </w:rPr>
        <w:t>法定代表人身份证号码：</w:t>
      </w:r>
      <w:r>
        <w:rPr>
          <w:rFonts w:hAnsi="宋体"/>
          <w:color w:val="auto"/>
          <w:highlight w:val="none"/>
          <w:u w:val="single"/>
        </w:rPr>
        <w:t xml:space="preserve">                                   </w:t>
      </w:r>
    </w:p>
    <w:p w14:paraId="1163AEFB">
      <w:pPr>
        <w:pStyle w:val="15"/>
        <w:spacing w:line="360" w:lineRule="auto"/>
        <w:ind w:firstLine="420" w:firstLineChars="200"/>
        <w:rPr>
          <w:rFonts w:hAnsi="宋体"/>
          <w:color w:val="auto"/>
          <w:highlight w:val="none"/>
        </w:rPr>
      </w:pPr>
      <w:r>
        <w:rPr>
          <w:rFonts w:hint="eastAsia" w:hAnsi="宋体"/>
          <w:color w:val="auto"/>
          <w:highlight w:val="none"/>
        </w:rPr>
        <w:t>委托代理人（签字）：</w:t>
      </w:r>
      <w:r>
        <w:rPr>
          <w:rFonts w:hAnsi="宋体"/>
          <w:color w:val="auto"/>
          <w:highlight w:val="none"/>
          <w:u w:val="single"/>
        </w:rPr>
        <w:t xml:space="preserve">                                </w:t>
      </w:r>
    </w:p>
    <w:p w14:paraId="5DD333D8">
      <w:pPr>
        <w:pStyle w:val="15"/>
        <w:spacing w:line="360" w:lineRule="auto"/>
        <w:ind w:firstLine="420"/>
        <w:rPr>
          <w:rFonts w:hAnsi="宋体"/>
          <w:color w:val="auto"/>
          <w:highlight w:val="none"/>
          <w:u w:val="single"/>
        </w:rPr>
      </w:pPr>
      <w:r>
        <w:rPr>
          <w:rFonts w:hint="eastAsia" w:hAnsi="宋体"/>
          <w:color w:val="auto"/>
          <w:highlight w:val="none"/>
        </w:rPr>
        <w:t>委托代理人身份证号码：</w:t>
      </w:r>
      <w:r>
        <w:rPr>
          <w:rFonts w:hAnsi="宋体"/>
          <w:color w:val="auto"/>
          <w:highlight w:val="none"/>
          <w:u w:val="single"/>
        </w:rPr>
        <w:t xml:space="preserve">                                   </w:t>
      </w:r>
    </w:p>
    <w:p w14:paraId="32B30666">
      <w:pPr>
        <w:pStyle w:val="15"/>
        <w:spacing w:line="360" w:lineRule="auto"/>
        <w:ind w:firstLine="420"/>
        <w:rPr>
          <w:rFonts w:hAnsi="宋体"/>
          <w:color w:val="auto"/>
          <w:highlight w:val="none"/>
          <w:u w:val="single"/>
        </w:rPr>
      </w:pPr>
    </w:p>
    <w:p w14:paraId="75A293B7">
      <w:pPr>
        <w:pStyle w:val="15"/>
        <w:spacing w:line="360" w:lineRule="auto"/>
        <w:ind w:firstLine="420"/>
        <w:rPr>
          <w:rFonts w:hAnsi="宋体"/>
          <w:color w:val="auto"/>
          <w:highlight w:val="none"/>
          <w:u w:val="single"/>
        </w:rPr>
      </w:pPr>
      <w:r>
        <w:rPr>
          <w:rFonts w:hint="eastAsia" w:hAnsi="宋体" w:cs="宋体"/>
          <w:color w:val="auto"/>
          <w:kern w:val="0"/>
          <w:szCs w:val="21"/>
          <w:highlight w:val="none"/>
        </w:rPr>
        <w:t>成员一名称：</w:t>
      </w:r>
      <w:r>
        <w:rPr>
          <w:rFonts w:hint="eastAsia" w:hAnsi="宋体"/>
          <w:color w:val="auto"/>
          <w:highlight w:val="none"/>
        </w:rPr>
        <w:t>（盖单位公章）：</w:t>
      </w:r>
      <w:r>
        <w:rPr>
          <w:rFonts w:hAnsi="宋体"/>
          <w:color w:val="auto"/>
          <w:highlight w:val="none"/>
          <w:u w:val="single"/>
        </w:rPr>
        <w:t xml:space="preserve">                                    </w:t>
      </w:r>
    </w:p>
    <w:p w14:paraId="28597AC6">
      <w:pPr>
        <w:pStyle w:val="15"/>
        <w:spacing w:line="360" w:lineRule="auto"/>
        <w:ind w:firstLine="420"/>
        <w:rPr>
          <w:rFonts w:hAnsi="宋体"/>
          <w:color w:val="auto"/>
          <w:highlight w:val="none"/>
          <w:u w:val="single"/>
        </w:rPr>
      </w:pPr>
      <w:r>
        <w:rPr>
          <w:rFonts w:hint="eastAsia" w:hAnsi="宋体"/>
          <w:color w:val="auto"/>
          <w:highlight w:val="none"/>
        </w:rPr>
        <w:t>法定代表人（签字）：</w:t>
      </w:r>
      <w:r>
        <w:rPr>
          <w:rFonts w:hAnsi="宋体"/>
          <w:color w:val="auto"/>
          <w:highlight w:val="none"/>
          <w:u w:val="single"/>
        </w:rPr>
        <w:t xml:space="preserve">                                </w:t>
      </w:r>
    </w:p>
    <w:p w14:paraId="1E5C749B">
      <w:pPr>
        <w:pStyle w:val="15"/>
        <w:spacing w:line="360" w:lineRule="auto"/>
        <w:ind w:firstLine="420"/>
        <w:rPr>
          <w:rFonts w:hAnsi="宋体"/>
          <w:color w:val="auto"/>
          <w:highlight w:val="none"/>
          <w:u w:val="single"/>
        </w:rPr>
      </w:pPr>
    </w:p>
    <w:p w14:paraId="3F4C2726">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（盖单位公章）</w:t>
      </w:r>
    </w:p>
    <w:p w14:paraId="13C46DE7">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w:t>
      </w:r>
    </w:p>
    <w:p w14:paraId="623579FB">
      <w:pPr>
        <w:pStyle w:val="15"/>
        <w:ind w:firstLine="420" w:firstLineChars="200"/>
        <w:rPr>
          <w:rFonts w:hAnsi="宋体"/>
          <w:color w:val="auto"/>
          <w:highlight w:val="none"/>
        </w:rPr>
      </w:pPr>
      <w:r>
        <w:rPr>
          <w:rFonts w:hint="eastAsia" w:hAnsi="宋体"/>
          <w:color w:val="auto"/>
          <w:highlight w:val="none"/>
        </w:rPr>
        <w:t>......</w:t>
      </w:r>
    </w:p>
    <w:p w14:paraId="25E20E4B">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w:t>
      </w:r>
    </w:p>
    <w:p w14:paraId="71BC88DF">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1.法定代表人和委托代理人必须在授权委托书上亲笔签名，不得使用印章、签名章或者其他电子制版签名代替，</w:t>
      </w:r>
      <w:r>
        <w:rPr>
          <w:rFonts w:hint="eastAsia" w:ascii="宋体" w:hAnsi="宋体" w:cs="仿宋_GB2312"/>
          <w:b/>
          <w:bCs/>
          <w:color w:val="auto"/>
          <w:szCs w:val="21"/>
          <w:highlight w:val="none"/>
        </w:rPr>
        <w:t>否则作无效投标处理</w:t>
      </w:r>
      <w:r>
        <w:rPr>
          <w:rFonts w:hint="eastAsia" w:ascii="宋体" w:hAnsi="宋体" w:cs="仿宋_GB2312"/>
          <w:color w:val="auto"/>
          <w:szCs w:val="21"/>
          <w:highlight w:val="none"/>
        </w:rPr>
        <w:t>；</w:t>
      </w:r>
    </w:p>
    <w:p w14:paraId="7FCE708C">
      <w:pPr>
        <w:spacing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2.以联合体形式投标的，本授权委托书应由联合体牵头人的法定代表人按上述规定签署。</w:t>
      </w:r>
    </w:p>
    <w:p w14:paraId="66261EA7">
      <w:pPr>
        <w:snapToGrid w:val="0"/>
        <w:spacing w:before="50" w:after="120" w:afterLines="50"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8FED61F">
      <w:pPr>
        <w:snapToGrid w:val="0"/>
        <w:spacing w:before="50" w:after="120" w:afterLines="50" w:line="360" w:lineRule="auto"/>
        <w:jc w:val="left"/>
        <w:rPr>
          <w:rFonts w:ascii="宋体" w:hAnsi="宋体" w:cs="仿宋_GB2312"/>
          <w:color w:val="auto"/>
          <w:szCs w:val="21"/>
          <w:highlight w:val="none"/>
        </w:rPr>
      </w:pPr>
      <w:r>
        <w:rPr>
          <w:rFonts w:hint="eastAsia" w:ascii="宋体" w:hAnsi="宋体" w:cs="仿宋_GB2312"/>
          <w:color w:val="auto"/>
          <w:szCs w:val="21"/>
          <w:highlight w:val="none"/>
        </w:rPr>
        <w:t>4. 若为联合体投标须各方签字或盖章。</w:t>
      </w:r>
    </w:p>
    <w:p w14:paraId="0ABC21C5">
      <w:pPr>
        <w:spacing w:line="360" w:lineRule="auto"/>
        <w:ind w:firstLine="482"/>
        <w:rPr>
          <w:rFonts w:ascii="宋体" w:hAnsi="宋体"/>
          <w:b/>
          <w:color w:val="auto"/>
          <w:sz w:val="24"/>
          <w:highlight w:val="none"/>
        </w:rPr>
      </w:pPr>
    </w:p>
    <w:p w14:paraId="086297ED">
      <w:pPr>
        <w:spacing w:line="360" w:lineRule="auto"/>
        <w:ind w:firstLine="482"/>
        <w:rPr>
          <w:rFonts w:ascii="宋体" w:hAnsi="宋体"/>
          <w:b/>
          <w:color w:val="auto"/>
          <w:sz w:val="24"/>
          <w:highlight w:val="none"/>
        </w:rPr>
      </w:pPr>
      <w:r>
        <w:rPr>
          <w:rFonts w:hint="eastAsia" w:ascii="宋体" w:hAnsi="宋体"/>
          <w:b/>
          <w:color w:val="auto"/>
          <w:sz w:val="24"/>
          <w:highlight w:val="none"/>
        </w:rPr>
        <w:t>附件：</w:t>
      </w:r>
    </w:p>
    <w:tbl>
      <w:tblPr>
        <w:tblStyle w:val="26"/>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81F0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14:paraId="442B4767">
            <w:pPr>
              <w:keepNext w:val="0"/>
              <w:keepLines w:val="0"/>
              <w:suppressLineNumbers w:val="0"/>
              <w:spacing w:before="0" w:beforeAutospacing="0" w:after="0" w:afterAutospacing="0" w:line="360" w:lineRule="auto"/>
              <w:ind w:left="0" w:right="0" w:firstLine="482"/>
              <w:rPr>
                <w:rFonts w:hint="default" w:ascii="宋体" w:hAnsi="宋体"/>
                <w:b/>
                <w:color w:val="auto"/>
                <w:sz w:val="24"/>
                <w:highlight w:val="none"/>
              </w:rPr>
            </w:pPr>
          </w:p>
          <w:p w14:paraId="291ADDC4">
            <w:pPr>
              <w:keepNext w:val="0"/>
              <w:keepLines w:val="0"/>
              <w:suppressLineNumbers w:val="0"/>
              <w:spacing w:before="0" w:beforeAutospacing="0" w:after="0" w:afterAutospacing="0" w:line="360" w:lineRule="auto"/>
              <w:ind w:left="0" w:right="0" w:firstLine="482"/>
              <w:rPr>
                <w:rFonts w:hint="default" w:ascii="宋体" w:hAnsi="宋体"/>
                <w:b/>
                <w:color w:val="auto"/>
                <w:sz w:val="24"/>
                <w:highlight w:val="none"/>
              </w:rPr>
            </w:pPr>
            <w:r>
              <w:rPr>
                <w:rFonts w:hint="eastAsia" w:ascii="宋体" w:hAnsi="宋体"/>
                <w:b/>
                <w:color w:val="auto"/>
                <w:sz w:val="24"/>
                <w:highlight w:val="none"/>
              </w:rPr>
              <w:t>全权代表身份证复印件粘帖处（正、反面）</w:t>
            </w:r>
          </w:p>
        </w:tc>
      </w:tr>
    </w:tbl>
    <w:p w14:paraId="3B658D0A">
      <w:pPr>
        <w:snapToGrid w:val="0"/>
        <w:spacing w:before="50" w:after="120" w:afterLines="50" w:line="360" w:lineRule="auto"/>
        <w:jc w:val="left"/>
        <w:rPr>
          <w:rFonts w:ascii="宋体" w:hAnsi="宋体" w:cs="仿宋_GB2312"/>
          <w:color w:val="auto"/>
          <w:szCs w:val="21"/>
          <w:highlight w:val="none"/>
        </w:rPr>
      </w:pPr>
    </w:p>
    <w:p w14:paraId="569EA02D">
      <w:pPr>
        <w:snapToGrid w:val="0"/>
        <w:spacing w:before="120" w:beforeLines="50" w:after="50"/>
        <w:ind w:firstLine="566" w:firstLineChars="236"/>
        <w:jc w:val="center"/>
        <w:rPr>
          <w:rFonts w:ascii="宋体" w:hAnsi="宋体"/>
          <w:color w:val="auto"/>
          <w:highlight w:val="none"/>
        </w:rPr>
      </w:pPr>
      <w:r>
        <w:rPr>
          <w:rFonts w:hint="eastAsia" w:ascii="宋体" w:hAnsi="宋体"/>
          <w:color w:val="auto"/>
          <w:sz w:val="24"/>
          <w:highlight w:val="none"/>
        </w:rPr>
        <w:t xml:space="preserve"> </w:t>
      </w:r>
      <w:r>
        <w:rPr>
          <w:rFonts w:hint="eastAsia" w:ascii="宋体" w:hAnsi="宋体"/>
          <w:color w:val="auto"/>
          <w:sz w:val="24"/>
          <w:highlight w:val="none"/>
        </w:rPr>
        <w:br w:type="page"/>
      </w:r>
    </w:p>
    <w:p w14:paraId="486EAE2C">
      <w:pPr>
        <w:ind w:firstLine="602"/>
        <w:jc w:val="center"/>
        <w:rPr>
          <w:rFonts w:ascii="宋体" w:hAnsi="宋体"/>
          <w:b/>
          <w:bCs/>
          <w:color w:val="auto"/>
          <w:sz w:val="30"/>
          <w:szCs w:val="30"/>
          <w:highlight w:val="none"/>
        </w:rPr>
      </w:pPr>
      <w:r>
        <w:rPr>
          <w:rFonts w:hint="eastAsia" w:ascii="宋体" w:hAnsi="宋体"/>
          <w:b/>
          <w:bCs/>
          <w:color w:val="auto"/>
          <w:sz w:val="30"/>
          <w:szCs w:val="30"/>
          <w:highlight w:val="none"/>
        </w:rPr>
        <w:t>四、商务条款偏离表</w:t>
      </w:r>
    </w:p>
    <w:p w14:paraId="22721934">
      <w:pPr>
        <w:ind w:firstLine="600"/>
        <w:jc w:val="center"/>
        <w:rPr>
          <w:rFonts w:ascii="宋体" w:hAnsi="宋体"/>
          <w:b/>
          <w:color w:val="auto"/>
          <w:sz w:val="24"/>
          <w:szCs w:val="20"/>
          <w:highlight w:val="none"/>
        </w:rPr>
      </w:pPr>
      <w:r>
        <w:rPr>
          <w:rFonts w:hint="eastAsia" w:ascii="宋体" w:hAnsi="宋体"/>
          <w:color w:val="auto"/>
          <w:sz w:val="30"/>
          <w:szCs w:val="20"/>
          <w:highlight w:val="none"/>
        </w:rPr>
        <w:t>(注：按项目需求表具体项目修改)</w:t>
      </w:r>
    </w:p>
    <w:p w14:paraId="1BAEDCFA">
      <w:pPr>
        <w:snapToGrid w:val="0"/>
        <w:spacing w:before="50"/>
        <w:ind w:firstLine="480"/>
        <w:jc w:val="left"/>
        <w:rPr>
          <w:rFonts w:ascii="宋体" w:hAnsi="宋体"/>
          <w:color w:val="auto"/>
          <w:sz w:val="24"/>
          <w:highlight w:val="none"/>
        </w:rPr>
      </w:pPr>
    </w:p>
    <w:p w14:paraId="4B031687">
      <w:pPr>
        <w:pStyle w:val="15"/>
        <w:spacing w:line="360" w:lineRule="auto"/>
        <w:ind w:left="-424" w:leftChars="-202" w:firstLine="420"/>
        <w:rPr>
          <w:rFonts w:hAnsi="宋体"/>
          <w:color w:val="auto"/>
          <w:sz w:val="24"/>
          <w:szCs w:val="24"/>
          <w:highlight w:val="none"/>
        </w:rPr>
      </w:pPr>
      <w:r>
        <w:rPr>
          <w:rFonts w:hint="eastAsia" w:hAnsi="宋体"/>
          <w:color w:val="auto"/>
          <w:highlight w:val="none"/>
        </w:rPr>
        <w:t>请逐条对应本项目招标文件第二章“货物需求一览表”中“商务条款”的要求，详细填写相应的具体内容。“偏离说明”一栏应当选择“正偏离”、“负偏离”或“无偏离”进行填写。</w:t>
      </w:r>
    </w:p>
    <w:tbl>
      <w:tblPr>
        <w:tblStyle w:val="26"/>
        <w:tblpPr w:leftFromText="180" w:rightFromText="180" w:vertAnchor="text" w:horzAnchor="margin" w:tblpXSpec="center" w:tblpY="94"/>
        <w:tblW w:w="9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446"/>
        <w:gridCol w:w="2827"/>
        <w:gridCol w:w="2794"/>
      </w:tblGrid>
      <w:tr w14:paraId="0FA3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tcPr>
          <w:p w14:paraId="27B919E5">
            <w:pPr>
              <w:keepNext w:val="0"/>
              <w:keepLines w:val="0"/>
              <w:suppressLineNumbers w:val="0"/>
              <w:spacing w:before="0" w:beforeAutospacing="0" w:after="0" w:afterAutospacing="0" w:line="340" w:lineRule="exact"/>
              <w:ind w:left="0" w:right="0"/>
              <w:jc w:val="center"/>
              <w:rPr>
                <w:rFonts w:hint="default" w:ascii="宋体" w:hAnsi="宋体"/>
                <w:color w:val="auto"/>
                <w:szCs w:val="21"/>
                <w:highlight w:val="none"/>
              </w:rPr>
            </w:pPr>
            <w:r>
              <w:rPr>
                <w:rFonts w:hint="eastAsia" w:ascii="宋体" w:hAnsi="宋体"/>
                <w:color w:val="auto"/>
                <w:szCs w:val="21"/>
                <w:highlight w:val="none"/>
              </w:rPr>
              <w:t>项号</w:t>
            </w:r>
          </w:p>
        </w:tc>
        <w:tc>
          <w:tcPr>
            <w:tcW w:w="3446" w:type="dxa"/>
            <w:tcBorders>
              <w:top w:val="single" w:color="auto" w:sz="4" w:space="0"/>
              <w:left w:val="single" w:color="auto" w:sz="4" w:space="0"/>
              <w:bottom w:val="single" w:color="auto" w:sz="4" w:space="0"/>
              <w:right w:val="single" w:color="auto" w:sz="4" w:space="0"/>
            </w:tcBorders>
          </w:tcPr>
          <w:p w14:paraId="51BD7CF0">
            <w:pPr>
              <w:keepNext w:val="0"/>
              <w:keepLines w:val="0"/>
              <w:suppressLineNumbers w:val="0"/>
              <w:spacing w:before="0" w:beforeAutospacing="0" w:after="0" w:afterAutospacing="0" w:line="340" w:lineRule="exact"/>
              <w:ind w:left="0" w:right="0"/>
              <w:jc w:val="center"/>
              <w:rPr>
                <w:rFonts w:hint="default" w:ascii="宋体" w:hAnsi="宋体"/>
                <w:color w:val="auto"/>
                <w:szCs w:val="21"/>
                <w:highlight w:val="none"/>
              </w:rPr>
            </w:pPr>
            <w:r>
              <w:rPr>
                <w:rFonts w:hint="eastAsia" w:ascii="宋体" w:hAnsi="宋体"/>
                <w:color w:val="auto"/>
                <w:szCs w:val="21"/>
                <w:highlight w:val="none"/>
              </w:rPr>
              <w:t>招标文件的商务需求</w:t>
            </w:r>
          </w:p>
        </w:tc>
        <w:tc>
          <w:tcPr>
            <w:tcW w:w="2827" w:type="dxa"/>
            <w:tcBorders>
              <w:top w:val="single" w:color="auto" w:sz="4" w:space="0"/>
              <w:left w:val="single" w:color="auto" w:sz="4" w:space="0"/>
              <w:right w:val="single" w:color="auto" w:sz="4" w:space="0"/>
            </w:tcBorders>
          </w:tcPr>
          <w:p w14:paraId="7452EF4B">
            <w:pPr>
              <w:keepNext w:val="0"/>
              <w:keepLines w:val="0"/>
              <w:suppressLineNumbers w:val="0"/>
              <w:spacing w:before="0" w:beforeAutospacing="0" w:after="0" w:afterAutospacing="0" w:line="34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投标文件承诺的商务条款</w:t>
            </w:r>
          </w:p>
        </w:tc>
        <w:tc>
          <w:tcPr>
            <w:tcW w:w="2794" w:type="dxa"/>
            <w:tcBorders>
              <w:top w:val="single" w:color="auto" w:sz="4" w:space="0"/>
              <w:left w:val="single" w:color="auto" w:sz="4" w:space="0"/>
              <w:right w:val="single" w:color="auto" w:sz="4" w:space="0"/>
            </w:tcBorders>
          </w:tcPr>
          <w:p w14:paraId="309A4607">
            <w:pPr>
              <w:keepNext w:val="0"/>
              <w:keepLines w:val="0"/>
              <w:suppressLineNumbers w:val="0"/>
              <w:spacing w:before="0" w:beforeAutospacing="0" w:after="0" w:afterAutospacing="0" w:line="300" w:lineRule="exact"/>
              <w:ind w:left="0" w:right="0"/>
              <w:jc w:val="center"/>
              <w:rPr>
                <w:rFonts w:hint="default" w:ascii="宋体" w:hAnsi="宋体"/>
                <w:color w:val="auto"/>
                <w:szCs w:val="21"/>
                <w:highlight w:val="none"/>
              </w:rPr>
            </w:pPr>
            <w:r>
              <w:rPr>
                <w:rFonts w:hint="eastAsia" w:ascii="宋体" w:hAnsi="宋体"/>
                <w:color w:val="auto"/>
                <w:szCs w:val="21"/>
                <w:highlight w:val="none"/>
              </w:rPr>
              <w:t>偏离说明</w:t>
            </w:r>
          </w:p>
        </w:tc>
      </w:tr>
      <w:tr w14:paraId="22FA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198008DA">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一</w:t>
            </w:r>
          </w:p>
        </w:tc>
        <w:tc>
          <w:tcPr>
            <w:tcW w:w="3446" w:type="dxa"/>
            <w:tcBorders>
              <w:top w:val="single" w:color="auto" w:sz="4" w:space="0"/>
              <w:left w:val="single" w:color="auto" w:sz="4" w:space="0"/>
              <w:bottom w:val="single" w:color="auto" w:sz="4" w:space="0"/>
              <w:right w:val="single" w:color="auto" w:sz="4" w:space="0"/>
            </w:tcBorders>
          </w:tcPr>
          <w:p w14:paraId="48C4933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827" w:type="dxa"/>
            <w:tcBorders>
              <w:top w:val="single" w:color="auto" w:sz="4" w:space="0"/>
              <w:left w:val="single" w:color="auto" w:sz="4" w:space="0"/>
              <w:right w:val="single" w:color="auto" w:sz="4" w:space="0"/>
            </w:tcBorders>
          </w:tcPr>
          <w:p w14:paraId="1D47880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794" w:type="dxa"/>
            <w:tcBorders>
              <w:top w:val="single" w:color="auto" w:sz="4" w:space="0"/>
              <w:left w:val="single" w:color="auto" w:sz="4" w:space="0"/>
              <w:right w:val="single" w:color="auto" w:sz="4" w:space="0"/>
            </w:tcBorders>
          </w:tcPr>
          <w:p w14:paraId="1AF4F5E3">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210E693F">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08ED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4A29D3BA">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4F0BE14F">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7BAF1665">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827" w:type="dxa"/>
            <w:tcBorders>
              <w:left w:val="single" w:color="auto" w:sz="4" w:space="0"/>
              <w:right w:val="single" w:color="auto" w:sz="4" w:space="0"/>
            </w:tcBorders>
          </w:tcPr>
          <w:p w14:paraId="45791F34">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588B3F67">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794" w:type="dxa"/>
            <w:tcBorders>
              <w:left w:val="single" w:color="auto" w:sz="4" w:space="0"/>
              <w:right w:val="single" w:color="auto" w:sz="4" w:space="0"/>
            </w:tcBorders>
          </w:tcPr>
          <w:p w14:paraId="2A734E2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7C5D8067">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7E3C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6A87FC35">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01EBDC42">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7C8DE28D">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827" w:type="dxa"/>
            <w:tcBorders>
              <w:left w:val="single" w:color="auto" w:sz="4" w:space="0"/>
              <w:right w:val="single" w:color="auto" w:sz="4" w:space="0"/>
            </w:tcBorders>
          </w:tcPr>
          <w:p w14:paraId="3F8211B1">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24C3FF3E">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794" w:type="dxa"/>
            <w:tcBorders>
              <w:left w:val="single" w:color="auto" w:sz="4" w:space="0"/>
              <w:right w:val="single" w:color="auto" w:sz="4" w:space="0"/>
            </w:tcBorders>
          </w:tcPr>
          <w:p w14:paraId="2911C20F">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630C2D1C">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7A5A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3B72DF3C">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206B28A0">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827" w:type="dxa"/>
            <w:tcBorders>
              <w:left w:val="single" w:color="auto" w:sz="4" w:space="0"/>
              <w:bottom w:val="single" w:color="auto" w:sz="4" w:space="0"/>
              <w:right w:val="single" w:color="auto" w:sz="4" w:space="0"/>
            </w:tcBorders>
          </w:tcPr>
          <w:p w14:paraId="6ED77D7B">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794" w:type="dxa"/>
            <w:tcBorders>
              <w:left w:val="single" w:color="auto" w:sz="4" w:space="0"/>
              <w:bottom w:val="single" w:color="auto" w:sz="4" w:space="0"/>
              <w:right w:val="single" w:color="auto" w:sz="4" w:space="0"/>
            </w:tcBorders>
          </w:tcPr>
          <w:p w14:paraId="7B0F8C8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0E6AC21A">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6CCE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478B019B">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二</w:t>
            </w:r>
          </w:p>
        </w:tc>
        <w:tc>
          <w:tcPr>
            <w:tcW w:w="3446" w:type="dxa"/>
            <w:tcBorders>
              <w:top w:val="single" w:color="auto" w:sz="4" w:space="0"/>
              <w:left w:val="single" w:color="auto" w:sz="4" w:space="0"/>
              <w:bottom w:val="single" w:color="auto" w:sz="4" w:space="0"/>
              <w:right w:val="single" w:color="auto" w:sz="4" w:space="0"/>
            </w:tcBorders>
          </w:tcPr>
          <w:p w14:paraId="7FD45D7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827" w:type="dxa"/>
            <w:tcBorders>
              <w:top w:val="single" w:color="auto" w:sz="4" w:space="0"/>
              <w:left w:val="single" w:color="auto" w:sz="4" w:space="0"/>
              <w:right w:val="single" w:color="auto" w:sz="4" w:space="0"/>
            </w:tcBorders>
          </w:tcPr>
          <w:p w14:paraId="0CE3D90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794" w:type="dxa"/>
            <w:tcBorders>
              <w:top w:val="single" w:color="auto" w:sz="4" w:space="0"/>
              <w:left w:val="single" w:color="auto" w:sz="4" w:space="0"/>
              <w:right w:val="single" w:color="auto" w:sz="4" w:space="0"/>
            </w:tcBorders>
          </w:tcPr>
          <w:p w14:paraId="6DFF28E5">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4CC7509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501F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1A803AE4">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117F46B9">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64ACD070">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827" w:type="dxa"/>
            <w:tcBorders>
              <w:left w:val="single" w:color="auto" w:sz="4" w:space="0"/>
              <w:right w:val="single" w:color="auto" w:sz="4" w:space="0"/>
            </w:tcBorders>
          </w:tcPr>
          <w:p w14:paraId="78945A41">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2D1B2C6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794" w:type="dxa"/>
            <w:tcBorders>
              <w:left w:val="single" w:color="auto" w:sz="4" w:space="0"/>
              <w:right w:val="single" w:color="auto" w:sz="4" w:space="0"/>
            </w:tcBorders>
          </w:tcPr>
          <w:p w14:paraId="39FEA15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4A6F5EB0">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768E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2648C51F">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2FAF7855">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3F336232">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827" w:type="dxa"/>
            <w:tcBorders>
              <w:left w:val="single" w:color="auto" w:sz="4" w:space="0"/>
              <w:right w:val="single" w:color="auto" w:sz="4" w:space="0"/>
            </w:tcBorders>
          </w:tcPr>
          <w:p w14:paraId="5CDD34D3">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12C832DF">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794" w:type="dxa"/>
            <w:tcBorders>
              <w:left w:val="single" w:color="auto" w:sz="4" w:space="0"/>
              <w:right w:val="single" w:color="auto" w:sz="4" w:space="0"/>
            </w:tcBorders>
          </w:tcPr>
          <w:p w14:paraId="5402F974">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3E9AB0A0">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1ECD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71FE13CC">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62D5DFE9">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827" w:type="dxa"/>
            <w:tcBorders>
              <w:left w:val="single" w:color="auto" w:sz="4" w:space="0"/>
              <w:bottom w:val="single" w:color="auto" w:sz="4" w:space="0"/>
              <w:right w:val="single" w:color="auto" w:sz="4" w:space="0"/>
            </w:tcBorders>
          </w:tcPr>
          <w:p w14:paraId="5A560358">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794" w:type="dxa"/>
            <w:tcBorders>
              <w:left w:val="single" w:color="auto" w:sz="4" w:space="0"/>
              <w:bottom w:val="single" w:color="auto" w:sz="4" w:space="0"/>
              <w:right w:val="single" w:color="auto" w:sz="4" w:space="0"/>
            </w:tcBorders>
          </w:tcPr>
          <w:p w14:paraId="4C88D056">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4CAB6434">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720D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14:paraId="2B2E54D4">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3446" w:type="dxa"/>
            <w:tcBorders>
              <w:top w:val="single" w:color="auto" w:sz="4" w:space="0"/>
              <w:left w:val="single" w:color="auto" w:sz="4" w:space="0"/>
              <w:bottom w:val="single" w:color="auto" w:sz="4" w:space="0"/>
              <w:right w:val="single" w:color="auto" w:sz="4" w:space="0"/>
            </w:tcBorders>
          </w:tcPr>
          <w:p w14:paraId="2BFE909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827" w:type="dxa"/>
            <w:tcBorders>
              <w:top w:val="single" w:color="auto" w:sz="4" w:space="0"/>
              <w:left w:val="single" w:color="auto" w:sz="4" w:space="0"/>
              <w:right w:val="single" w:color="auto" w:sz="4" w:space="0"/>
            </w:tcBorders>
          </w:tcPr>
          <w:p w14:paraId="04F8F3E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tc>
        <w:tc>
          <w:tcPr>
            <w:tcW w:w="2794" w:type="dxa"/>
            <w:tcBorders>
              <w:top w:val="single" w:color="auto" w:sz="4" w:space="0"/>
              <w:left w:val="single" w:color="auto" w:sz="4" w:space="0"/>
              <w:right w:val="single" w:color="auto" w:sz="4" w:space="0"/>
            </w:tcBorders>
          </w:tcPr>
          <w:p w14:paraId="0D9F67F3">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10DC2E8E">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01BA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222F8CD1">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73F6250A">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05C68A46">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827" w:type="dxa"/>
            <w:tcBorders>
              <w:left w:val="single" w:color="auto" w:sz="4" w:space="0"/>
              <w:right w:val="single" w:color="auto" w:sz="4" w:space="0"/>
            </w:tcBorders>
          </w:tcPr>
          <w:p w14:paraId="44737AF5">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2  ……</w:t>
            </w:r>
          </w:p>
          <w:p w14:paraId="38E404A5">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794" w:type="dxa"/>
            <w:tcBorders>
              <w:left w:val="single" w:color="auto" w:sz="4" w:space="0"/>
              <w:right w:val="single" w:color="auto" w:sz="4" w:space="0"/>
            </w:tcBorders>
          </w:tcPr>
          <w:p w14:paraId="3C07996F">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6F312149">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00CA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14:paraId="29F3C588">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54ECC327">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04C275E0">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2827" w:type="dxa"/>
            <w:tcBorders>
              <w:left w:val="single" w:color="auto" w:sz="4" w:space="0"/>
              <w:right w:val="single" w:color="auto" w:sz="4" w:space="0"/>
            </w:tcBorders>
          </w:tcPr>
          <w:p w14:paraId="09CC381A">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3  ……</w:t>
            </w:r>
          </w:p>
          <w:p w14:paraId="1F459600">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c>
          <w:tcPr>
            <w:tcW w:w="2794" w:type="dxa"/>
            <w:tcBorders>
              <w:left w:val="single" w:color="auto" w:sz="4" w:space="0"/>
              <w:right w:val="single" w:color="auto" w:sz="4" w:space="0"/>
            </w:tcBorders>
          </w:tcPr>
          <w:p w14:paraId="3331CB69">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3DB64039">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34E3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14:paraId="52B54B67">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p>
        </w:tc>
        <w:tc>
          <w:tcPr>
            <w:tcW w:w="3446" w:type="dxa"/>
            <w:tcBorders>
              <w:top w:val="single" w:color="auto" w:sz="4" w:space="0"/>
              <w:left w:val="single" w:color="auto" w:sz="4" w:space="0"/>
              <w:bottom w:val="single" w:color="auto" w:sz="4" w:space="0"/>
              <w:right w:val="single" w:color="auto" w:sz="4" w:space="0"/>
            </w:tcBorders>
          </w:tcPr>
          <w:p w14:paraId="3977AFE0">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827" w:type="dxa"/>
            <w:tcBorders>
              <w:left w:val="single" w:color="auto" w:sz="4" w:space="0"/>
              <w:bottom w:val="single" w:color="auto" w:sz="4" w:space="0"/>
              <w:right w:val="single" w:color="auto" w:sz="4" w:space="0"/>
            </w:tcBorders>
          </w:tcPr>
          <w:p w14:paraId="5642D9E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w:t>
            </w:r>
          </w:p>
        </w:tc>
        <w:tc>
          <w:tcPr>
            <w:tcW w:w="2794" w:type="dxa"/>
            <w:tcBorders>
              <w:left w:val="single" w:color="auto" w:sz="4" w:space="0"/>
              <w:bottom w:val="single" w:color="auto" w:sz="4" w:space="0"/>
              <w:right w:val="single" w:color="auto" w:sz="4" w:space="0"/>
            </w:tcBorders>
          </w:tcPr>
          <w:p w14:paraId="1D99FC6D">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p w14:paraId="020F4549">
            <w:pPr>
              <w:keepNext w:val="0"/>
              <w:keepLines w:val="0"/>
              <w:suppressLineNumbers w:val="0"/>
              <w:spacing w:before="0" w:beforeAutospacing="0" w:after="0" w:afterAutospacing="0" w:line="300" w:lineRule="exact"/>
              <w:ind w:left="0" w:right="0"/>
              <w:rPr>
                <w:rFonts w:hint="default" w:ascii="宋体" w:hAnsi="宋体"/>
                <w:color w:val="auto"/>
                <w:szCs w:val="21"/>
                <w:highlight w:val="none"/>
              </w:rPr>
            </w:pPr>
          </w:p>
        </w:tc>
      </w:tr>
      <w:tr w14:paraId="4A7A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758" w:type="dxa"/>
            <w:gridSpan w:val="4"/>
            <w:tcBorders>
              <w:top w:val="single" w:color="auto" w:sz="4" w:space="0"/>
              <w:left w:val="single" w:color="auto" w:sz="4" w:space="0"/>
              <w:bottom w:val="single" w:color="auto" w:sz="4" w:space="0"/>
              <w:right w:val="single" w:color="auto" w:sz="4" w:space="0"/>
            </w:tcBorders>
          </w:tcPr>
          <w:p w14:paraId="5B6C45C5">
            <w:pPr>
              <w:keepNext w:val="0"/>
              <w:keepLines w:val="0"/>
              <w:suppressLineNumbers w:val="0"/>
              <w:spacing w:before="0" w:beforeAutospacing="0" w:after="0" w:afterAutospacing="0" w:line="340" w:lineRule="exact"/>
              <w:ind w:left="0" w:right="0"/>
              <w:rPr>
                <w:rFonts w:hint="default"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2FD1A0DC">
      <w:pPr>
        <w:pStyle w:val="15"/>
        <w:spacing w:line="360" w:lineRule="auto"/>
        <w:ind w:left="-708" w:leftChars="-337"/>
        <w:rPr>
          <w:rFonts w:hAnsi="宋体"/>
          <w:color w:val="auto"/>
          <w:highlight w:val="none"/>
        </w:rPr>
      </w:pPr>
    </w:p>
    <w:p w14:paraId="6C0127CF">
      <w:pPr>
        <w:pStyle w:val="15"/>
        <w:spacing w:line="360" w:lineRule="auto"/>
        <w:ind w:left="-708" w:leftChars="-337"/>
        <w:rPr>
          <w:rFonts w:hAnsi="宋体"/>
          <w:color w:val="auto"/>
          <w:highlight w:val="none"/>
        </w:rPr>
      </w:pPr>
      <w:r>
        <w:rPr>
          <w:rFonts w:hint="eastAsia" w:hAnsi="宋体"/>
          <w:color w:val="auto"/>
          <w:highlight w:val="none"/>
        </w:rPr>
        <w:t>注：</w:t>
      </w:r>
    </w:p>
    <w:p w14:paraId="7EA5FFBA">
      <w:pPr>
        <w:pStyle w:val="15"/>
        <w:spacing w:line="360" w:lineRule="auto"/>
        <w:ind w:left="-708" w:leftChars="-337" w:firstLine="420" w:firstLineChars="200"/>
        <w:rPr>
          <w:rFonts w:hAnsi="宋体"/>
          <w:color w:val="auto"/>
          <w:highlight w:val="none"/>
        </w:rPr>
      </w:pPr>
      <w:r>
        <w:rPr>
          <w:rFonts w:hAnsi="宋体"/>
          <w:color w:val="auto"/>
          <w:highlight w:val="none"/>
        </w:rPr>
        <w:t>1.</w:t>
      </w:r>
      <w:r>
        <w:rPr>
          <w:rFonts w:hint="eastAsia" w:hAnsi="宋体"/>
          <w:color w:val="auto"/>
          <w:highlight w:val="none"/>
        </w:rPr>
        <w:t>表格内容均需按要求填写并盖章，不得留空，否则按投标无效处理。</w:t>
      </w:r>
    </w:p>
    <w:p w14:paraId="489A3C60">
      <w:pPr>
        <w:pStyle w:val="15"/>
        <w:spacing w:line="360" w:lineRule="auto"/>
        <w:ind w:left="-603" w:leftChars="-287" w:firstLine="315" w:firstLineChars="150"/>
        <w:rPr>
          <w:rFonts w:hAnsi="宋体"/>
          <w:color w:val="auto"/>
          <w:highlight w:val="none"/>
        </w:rPr>
      </w:pPr>
      <w:r>
        <w:rPr>
          <w:rFonts w:hAnsi="宋体"/>
          <w:color w:val="auto"/>
          <w:highlight w:val="none"/>
        </w:rPr>
        <w:t>2.</w:t>
      </w:r>
      <w:r>
        <w:rPr>
          <w:rFonts w:hint="eastAsia" w:hAnsi="宋体"/>
          <w:color w:val="auto"/>
          <w:highlight w:val="none"/>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1C949DD7">
      <w:pPr>
        <w:pStyle w:val="15"/>
        <w:spacing w:line="360" w:lineRule="auto"/>
        <w:ind w:left="-708" w:leftChars="-337" w:firstLine="420" w:firstLineChars="200"/>
        <w:rPr>
          <w:rFonts w:hAnsi="宋体"/>
          <w:color w:val="auto"/>
          <w:highlight w:val="none"/>
        </w:rPr>
      </w:pPr>
      <w:r>
        <w:rPr>
          <w:rFonts w:hAnsi="宋体"/>
          <w:color w:val="auto"/>
          <w:highlight w:val="none"/>
        </w:rPr>
        <w:t>3.</w:t>
      </w:r>
      <w:r>
        <w:rPr>
          <w:rFonts w:hint="eastAsia" w:hAnsi="宋体"/>
          <w:color w:val="auto"/>
          <w:highlight w:val="none"/>
        </w:rPr>
        <w:t>当投标文件的商务内容低于招标文件要求时，投标人应当如实写明“负偏离”，否则视为虚假应标。</w:t>
      </w:r>
    </w:p>
    <w:p w14:paraId="4C2CA82D">
      <w:pPr>
        <w:pStyle w:val="15"/>
        <w:spacing w:line="360" w:lineRule="auto"/>
        <w:ind w:left="-708" w:leftChars="-337" w:firstLine="420" w:firstLineChars="200"/>
        <w:rPr>
          <w:rFonts w:hAnsi="宋体"/>
          <w:color w:val="auto"/>
          <w:highlight w:val="none"/>
        </w:rPr>
      </w:pPr>
      <w:r>
        <w:rPr>
          <w:rFonts w:hint="eastAsia" w:hAnsi="宋体" w:cs="宋体"/>
          <w:color w:val="auto"/>
          <w:szCs w:val="21"/>
          <w:highlight w:val="none"/>
        </w:rPr>
        <w:t>4.采购需求中带“▲”及“★”的条款，也要分别在本表“</w:t>
      </w:r>
      <w:r>
        <w:rPr>
          <w:rFonts w:hint="eastAsia" w:hAnsi="宋体"/>
          <w:color w:val="auto"/>
          <w:szCs w:val="21"/>
          <w:highlight w:val="none"/>
        </w:rPr>
        <w:t>投标文件的商务需求</w:t>
      </w:r>
      <w:r>
        <w:rPr>
          <w:rFonts w:hint="eastAsia" w:hAnsi="宋体" w:cs="宋体"/>
          <w:color w:val="auto"/>
          <w:szCs w:val="21"/>
          <w:highlight w:val="none"/>
        </w:rPr>
        <w:t>”、“</w:t>
      </w:r>
      <w:r>
        <w:rPr>
          <w:rFonts w:hint="eastAsia" w:hAnsi="宋体"/>
          <w:color w:val="auto"/>
          <w:szCs w:val="21"/>
          <w:highlight w:val="none"/>
        </w:rPr>
        <w:t>投标文件承诺的商务条款</w:t>
      </w:r>
      <w:r>
        <w:rPr>
          <w:rFonts w:hint="eastAsia" w:hAnsi="宋体" w:cs="宋体"/>
          <w:color w:val="auto"/>
          <w:szCs w:val="21"/>
          <w:highlight w:val="none"/>
        </w:rPr>
        <w:t>”中标记。</w:t>
      </w:r>
    </w:p>
    <w:p w14:paraId="1B675CB0">
      <w:pPr>
        <w:snapToGrid w:val="0"/>
        <w:spacing w:before="50" w:after="50"/>
        <w:ind w:firstLine="480"/>
        <w:rPr>
          <w:rFonts w:ascii="宋体" w:hAnsi="宋体"/>
          <w:color w:val="auto"/>
          <w:sz w:val="24"/>
          <w:highlight w:val="none"/>
        </w:rPr>
      </w:pPr>
    </w:p>
    <w:p w14:paraId="420F50F9">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455716E8">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062AF5E3">
      <w:pPr>
        <w:widowControl/>
        <w:jc w:val="left"/>
        <w:rPr>
          <w:rFonts w:ascii="宋体" w:hAnsi="宋体"/>
          <w:color w:val="auto"/>
          <w:szCs w:val="21"/>
          <w:highlight w:val="none"/>
        </w:rPr>
        <w:sectPr>
          <w:pgSz w:w="11906" w:h="16838"/>
          <w:pgMar w:top="1440" w:right="1797" w:bottom="1440" w:left="1797" w:header="851" w:footer="992" w:gutter="0"/>
          <w:cols w:space="720" w:num="1"/>
        </w:sectPr>
      </w:pPr>
    </w:p>
    <w:p w14:paraId="496F99BD">
      <w:pPr>
        <w:snapToGrid w:val="0"/>
        <w:spacing w:before="165" w:beforeLines="50" w:after="50"/>
        <w:ind w:firstLine="602" w:firstLineChars="200"/>
        <w:jc w:val="center"/>
        <w:rPr>
          <w:rFonts w:ascii="宋体" w:hAnsi="宋体"/>
          <w:b/>
          <w:bCs/>
          <w:color w:val="auto"/>
          <w:sz w:val="30"/>
          <w:szCs w:val="30"/>
          <w:highlight w:val="none"/>
        </w:rPr>
      </w:pPr>
      <w:r>
        <w:rPr>
          <w:rFonts w:hint="eastAsia" w:ascii="宋体" w:hAnsi="宋体"/>
          <w:b/>
          <w:bCs/>
          <w:color w:val="auto"/>
          <w:sz w:val="30"/>
          <w:szCs w:val="30"/>
          <w:highlight w:val="none"/>
        </w:rPr>
        <w:t>五、投标人情况介绍</w:t>
      </w:r>
    </w:p>
    <w:p w14:paraId="1417107E">
      <w:pPr>
        <w:spacing w:line="360" w:lineRule="auto"/>
        <w:ind w:firstLine="4048" w:firstLineChars="1687"/>
        <w:rPr>
          <w:rFonts w:ascii="宋体" w:hAnsi="宋体" w:cs="仿宋_GB2312"/>
          <w:color w:val="auto"/>
          <w:kern w:val="0"/>
          <w:sz w:val="24"/>
          <w:highlight w:val="none"/>
        </w:rPr>
      </w:pPr>
      <w:r>
        <w:rPr>
          <w:rFonts w:hint="eastAsia" w:ascii="宋体" w:hAnsi="宋体"/>
          <w:color w:val="auto"/>
          <w:sz w:val="24"/>
          <w:highlight w:val="none"/>
        </w:rPr>
        <w:t>（格式自拟）</w:t>
      </w:r>
    </w:p>
    <w:p w14:paraId="0957D56D">
      <w:pPr>
        <w:snapToGrid w:val="0"/>
        <w:spacing w:line="360" w:lineRule="auto"/>
        <w:ind w:firstLine="4935" w:firstLineChars="2350"/>
        <w:rPr>
          <w:rFonts w:ascii="宋体" w:hAnsi="宋体"/>
          <w:color w:val="auto"/>
          <w:szCs w:val="21"/>
          <w:highlight w:val="none"/>
        </w:rPr>
      </w:pPr>
      <w:r>
        <w:rPr>
          <w:rFonts w:ascii="宋体" w:hAnsi="宋体"/>
          <w:color w:val="auto"/>
          <w:szCs w:val="21"/>
          <w:highlight w:val="none"/>
        </w:rPr>
        <w:t xml:space="preserve"> </w:t>
      </w:r>
    </w:p>
    <w:p w14:paraId="74FDB403">
      <w:pPr>
        <w:snapToGrid w:val="0"/>
        <w:spacing w:line="360" w:lineRule="auto"/>
        <w:ind w:firstLine="4935" w:firstLineChars="2350"/>
        <w:rPr>
          <w:rFonts w:ascii="宋体" w:hAnsi="宋体"/>
          <w:color w:val="auto"/>
          <w:szCs w:val="21"/>
          <w:highlight w:val="none"/>
        </w:rPr>
      </w:pPr>
    </w:p>
    <w:p w14:paraId="6CF54AB3">
      <w:pPr>
        <w:snapToGrid w:val="0"/>
        <w:spacing w:line="360" w:lineRule="auto"/>
        <w:ind w:firstLine="4935" w:firstLineChars="2350"/>
        <w:rPr>
          <w:rFonts w:ascii="宋体" w:hAnsi="宋体"/>
          <w:color w:val="auto"/>
          <w:szCs w:val="21"/>
          <w:highlight w:val="none"/>
        </w:rPr>
      </w:pPr>
    </w:p>
    <w:p w14:paraId="01BCF81E">
      <w:pPr>
        <w:snapToGrid w:val="0"/>
        <w:spacing w:line="360" w:lineRule="auto"/>
        <w:ind w:firstLine="4935" w:firstLineChars="2350"/>
        <w:rPr>
          <w:rFonts w:ascii="宋体" w:hAnsi="宋体"/>
          <w:color w:val="auto"/>
          <w:szCs w:val="21"/>
          <w:highlight w:val="none"/>
        </w:rPr>
      </w:pPr>
    </w:p>
    <w:p w14:paraId="51C75A20">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71FFCF0E">
      <w:pPr>
        <w:snapToGrid w:val="0"/>
        <w:spacing w:before="165" w:beforeLines="50" w:after="50"/>
        <w:ind w:firstLine="480" w:firstLineChars="200"/>
        <w:jc w:val="center"/>
        <w:rPr>
          <w:rFonts w:ascii="宋体" w:hAnsi="宋体"/>
          <w:b/>
          <w:bCs/>
          <w:color w:val="auto"/>
          <w:sz w:val="30"/>
          <w:szCs w:val="30"/>
          <w:highlight w:val="none"/>
        </w:rPr>
      </w:pPr>
      <w:r>
        <w:rPr>
          <w:rFonts w:hint="eastAsia" w:ascii="宋体" w:hAnsi="宋体" w:cs="仿宋_GB2312"/>
          <w:color w:val="auto"/>
          <w:kern w:val="0"/>
          <w:sz w:val="24"/>
          <w:highlight w:val="none"/>
          <w:lang w:val="zh-CN"/>
        </w:rPr>
        <w:t xml:space="preserve">                                                    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38DB8AAA">
      <w:pPr>
        <w:widowControl/>
        <w:ind w:firstLine="602"/>
        <w:jc w:val="left"/>
        <w:rPr>
          <w:rFonts w:ascii="宋体" w:hAnsi="宋体"/>
          <w:b/>
          <w:bCs/>
          <w:color w:val="auto"/>
          <w:sz w:val="30"/>
          <w:szCs w:val="30"/>
          <w:highlight w:val="none"/>
        </w:rPr>
        <w:sectPr>
          <w:pgSz w:w="11906" w:h="16838"/>
          <w:pgMar w:top="1134" w:right="1134" w:bottom="1134" w:left="1134" w:header="720" w:footer="720" w:gutter="0"/>
          <w:cols w:space="720" w:num="1"/>
          <w:docGrid w:type="lines" w:linePitch="331" w:charSpace="0"/>
        </w:sectPr>
      </w:pPr>
    </w:p>
    <w:p w14:paraId="152C1406">
      <w:pPr>
        <w:snapToGrid w:val="0"/>
        <w:spacing w:before="165" w:beforeLines="50" w:after="50"/>
        <w:ind w:firstLine="602" w:firstLineChars="200"/>
        <w:jc w:val="center"/>
        <w:rPr>
          <w:rFonts w:ascii="宋体" w:hAnsi="宋体"/>
          <w:b/>
          <w:bCs/>
          <w:color w:val="auto"/>
          <w:sz w:val="30"/>
          <w:szCs w:val="30"/>
          <w:highlight w:val="none"/>
        </w:rPr>
      </w:pPr>
      <w:r>
        <w:rPr>
          <w:rFonts w:hint="eastAsia" w:ascii="宋体" w:hAnsi="宋体"/>
          <w:b/>
          <w:bCs/>
          <w:color w:val="auto"/>
          <w:sz w:val="30"/>
          <w:szCs w:val="30"/>
          <w:highlight w:val="none"/>
        </w:rPr>
        <w:t>六、投标人类似的业绩证明文件（如有要求）</w:t>
      </w:r>
    </w:p>
    <w:p w14:paraId="01C10EEE">
      <w:pPr>
        <w:pStyle w:val="20"/>
        <w:snapToGrid w:val="0"/>
        <w:ind w:left="480" w:hanging="480"/>
        <w:rPr>
          <w:rFonts w:ascii="宋体" w:hAnsi="宋体"/>
          <w:color w:val="auto"/>
          <w:sz w:val="24"/>
          <w:highlight w:val="none"/>
        </w:rPr>
      </w:pPr>
    </w:p>
    <w:p w14:paraId="25772C0F">
      <w:pPr>
        <w:pStyle w:val="20"/>
        <w:snapToGrid w:val="0"/>
        <w:ind w:left="480" w:hanging="480"/>
        <w:rPr>
          <w:rFonts w:ascii="宋体" w:hAnsi="宋体"/>
          <w:color w:val="auto"/>
          <w:sz w:val="24"/>
          <w:highlight w:val="none"/>
        </w:rPr>
      </w:pPr>
    </w:p>
    <w:p w14:paraId="6291CED9">
      <w:pPr>
        <w:pStyle w:val="20"/>
        <w:snapToGrid w:val="0"/>
        <w:ind w:left="480" w:hanging="480"/>
        <w:rPr>
          <w:rFonts w:ascii="宋体" w:hAnsi="宋体"/>
          <w:color w:val="auto"/>
          <w:sz w:val="24"/>
          <w:highlight w:val="none"/>
        </w:rPr>
      </w:pPr>
    </w:p>
    <w:p w14:paraId="1D938C93">
      <w:pPr>
        <w:autoSpaceDE w:val="0"/>
        <w:autoSpaceDN w:val="0"/>
        <w:spacing w:line="360" w:lineRule="auto"/>
        <w:ind w:firstLine="482"/>
        <w:rPr>
          <w:rFonts w:ascii="宋体" w:hAnsi="宋体"/>
          <w:color w:val="auto"/>
          <w:sz w:val="24"/>
          <w:highlight w:val="none"/>
        </w:rPr>
      </w:pPr>
      <w:r>
        <w:rPr>
          <w:rFonts w:hint="eastAsia" w:ascii="宋体" w:hAnsi="宋体" w:cs="仿宋_GB2312"/>
          <w:b/>
          <w:color w:val="auto"/>
          <w:sz w:val="24"/>
          <w:highlight w:val="none"/>
        </w:rPr>
        <w:t>附表 :相关项目业绩一览表（投标人同类项目合同复印件、用户验收报告、用户评价意见格式自拟）</w:t>
      </w:r>
    </w:p>
    <w:tbl>
      <w:tblPr>
        <w:tblStyle w:val="26"/>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7D7FB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44162570">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602D27AE">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302B5AB0">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合同</w:t>
            </w:r>
          </w:p>
          <w:p w14:paraId="76BB1414">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金额</w:t>
            </w:r>
          </w:p>
          <w:p w14:paraId="01A494DB">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13A584E5">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25D8322">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采购人联系人及</w:t>
            </w:r>
          </w:p>
          <w:p w14:paraId="79D90436">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联系电话</w:t>
            </w:r>
          </w:p>
        </w:tc>
      </w:tr>
      <w:tr w14:paraId="1A0130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1D9EFCD7">
            <w:pPr>
              <w:keepNext w:val="0"/>
              <w:keepLines w:val="0"/>
              <w:widowControl/>
              <w:suppressLineNumbers w:val="0"/>
              <w:spacing w:before="0" w:beforeAutospacing="0" w:after="0" w:afterAutospacing="0"/>
              <w:ind w:left="0" w:right="0" w:firstLine="480"/>
              <w:jc w:val="left"/>
              <w:rPr>
                <w:rFonts w:hint="default" w:ascii="宋体" w:hAnsi="宋体"/>
                <w:color w:val="auto"/>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75CA243F">
            <w:pPr>
              <w:keepNext w:val="0"/>
              <w:keepLines w:val="0"/>
              <w:widowControl/>
              <w:suppressLineNumbers w:val="0"/>
              <w:spacing w:before="0" w:beforeAutospacing="0" w:after="0" w:afterAutospacing="0"/>
              <w:ind w:left="0" w:right="0" w:firstLine="480"/>
              <w:jc w:val="left"/>
              <w:rPr>
                <w:rFonts w:hint="default" w:ascii="宋体" w:hAnsi="宋体"/>
                <w:color w:val="auto"/>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05075B50">
            <w:pPr>
              <w:keepNext w:val="0"/>
              <w:keepLines w:val="0"/>
              <w:widowControl/>
              <w:suppressLineNumbers w:val="0"/>
              <w:spacing w:before="0" w:beforeAutospacing="0" w:after="0" w:afterAutospacing="0"/>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14:paraId="03EA980F">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6DD90750">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242CEBB7">
            <w:pPr>
              <w:keepNext w:val="0"/>
              <w:keepLines w:val="0"/>
              <w:suppressLineNumbers w:val="0"/>
              <w:snapToGrid w:val="0"/>
              <w:spacing w:before="0" w:beforeAutospacing="0" w:after="0" w:afterAutospacing="0" w:line="240" w:lineRule="exact"/>
              <w:ind w:left="0" w:right="0" w:firstLine="480"/>
              <w:jc w:val="center"/>
              <w:rPr>
                <w:rFonts w:hint="default" w:ascii="宋体" w:hAnsi="宋体"/>
                <w:color w:val="auto"/>
                <w:sz w:val="24"/>
                <w:highlight w:val="none"/>
              </w:rPr>
            </w:pPr>
            <w:r>
              <w:rPr>
                <w:rFonts w:hint="eastAsia" w:ascii="宋体" w:hAnsi="宋体"/>
                <w:color w:val="auto"/>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01745F91">
            <w:pPr>
              <w:keepNext w:val="0"/>
              <w:keepLines w:val="0"/>
              <w:widowControl/>
              <w:suppressLineNumbers w:val="0"/>
              <w:spacing w:before="0" w:beforeAutospacing="0" w:after="0" w:afterAutospacing="0"/>
              <w:ind w:left="0" w:right="0" w:firstLine="480"/>
              <w:jc w:val="left"/>
              <w:rPr>
                <w:rFonts w:hint="default" w:ascii="宋体" w:hAnsi="宋体"/>
                <w:color w:val="auto"/>
                <w:sz w:val="24"/>
                <w:highlight w:val="none"/>
              </w:rPr>
            </w:pPr>
          </w:p>
        </w:tc>
      </w:tr>
      <w:tr w14:paraId="2EA15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01E5151D">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C7FBB18">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09ADA884">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67200273">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42988E3">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55436DF">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39519FB">
            <w:pPr>
              <w:keepNext w:val="0"/>
              <w:keepLines w:val="0"/>
              <w:suppressLineNumbers w:val="0"/>
              <w:snapToGrid w:val="0"/>
              <w:spacing w:before="0" w:beforeAutospacing="0" w:after="0" w:afterAutospacing="0" w:line="240" w:lineRule="exact"/>
              <w:ind w:left="0" w:right="0" w:firstLine="480"/>
              <w:jc w:val="left"/>
              <w:rPr>
                <w:rFonts w:hint="default" w:ascii="宋体" w:hAnsi="宋体"/>
                <w:color w:val="auto"/>
                <w:sz w:val="24"/>
                <w:highlight w:val="none"/>
              </w:rPr>
            </w:pPr>
          </w:p>
        </w:tc>
      </w:tr>
      <w:tr w14:paraId="387AC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0DC0DF07">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2B88FA36">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D5140D5">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24575C73">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5CC0B12B">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2D109599">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1D28C38">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r>
      <w:tr w14:paraId="5862B5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7CDA396D">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5656548C">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A9BD096">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4BF58FCB">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518E432">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9170975">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35B55A07">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r>
      <w:tr w14:paraId="1C042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0D25956">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6238DBDA">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32855628">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5ABC141">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307EB8E6">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0BB59F95">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21B8B9F0">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r>
      <w:tr w14:paraId="00DFF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1134BEE5">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3420" w:type="dxa"/>
            <w:tcBorders>
              <w:top w:val="single" w:color="auto" w:sz="4" w:space="0"/>
              <w:left w:val="single" w:color="auto" w:sz="4" w:space="0"/>
              <w:bottom w:val="single" w:color="auto" w:sz="4" w:space="0"/>
              <w:right w:val="single" w:color="auto" w:sz="4" w:space="0"/>
            </w:tcBorders>
          </w:tcPr>
          <w:p w14:paraId="7A30F957">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715" w:type="dxa"/>
            <w:tcBorders>
              <w:top w:val="single" w:color="auto" w:sz="4" w:space="0"/>
              <w:left w:val="single" w:color="auto" w:sz="4" w:space="0"/>
              <w:bottom w:val="single" w:color="auto" w:sz="4" w:space="0"/>
              <w:right w:val="single" w:color="auto" w:sz="4" w:space="0"/>
            </w:tcBorders>
          </w:tcPr>
          <w:p w14:paraId="1D25AF61">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19058E13">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tcPr>
          <w:p w14:paraId="779B0FEF">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54263760">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c>
          <w:tcPr>
            <w:tcW w:w="2268" w:type="dxa"/>
            <w:tcBorders>
              <w:top w:val="single" w:color="auto" w:sz="4" w:space="0"/>
              <w:left w:val="single" w:color="auto" w:sz="4" w:space="0"/>
              <w:bottom w:val="single" w:color="auto" w:sz="4" w:space="0"/>
              <w:right w:val="single" w:color="auto" w:sz="4" w:space="0"/>
            </w:tcBorders>
          </w:tcPr>
          <w:p w14:paraId="0BA65373">
            <w:pPr>
              <w:keepNext w:val="0"/>
              <w:keepLines w:val="0"/>
              <w:suppressLineNumbers w:val="0"/>
              <w:snapToGrid w:val="0"/>
              <w:spacing w:before="50" w:beforeAutospacing="0" w:after="165" w:afterLines="50" w:afterAutospacing="0" w:line="400" w:lineRule="exact"/>
              <w:ind w:left="0" w:right="0" w:firstLine="480"/>
              <w:jc w:val="left"/>
              <w:rPr>
                <w:rFonts w:hint="default" w:ascii="宋体" w:hAnsi="宋体"/>
                <w:color w:val="auto"/>
                <w:sz w:val="24"/>
                <w:highlight w:val="none"/>
              </w:rPr>
            </w:pPr>
          </w:p>
        </w:tc>
      </w:tr>
    </w:tbl>
    <w:p w14:paraId="0AF5EA4F">
      <w:pPr>
        <w:pStyle w:val="15"/>
        <w:spacing w:line="360" w:lineRule="auto"/>
        <w:ind w:left="72"/>
        <w:rPr>
          <w:rFonts w:hAnsi="宋体"/>
          <w:color w:val="auto"/>
          <w:highlight w:val="none"/>
        </w:rPr>
      </w:pPr>
      <w:r>
        <w:rPr>
          <w:rFonts w:hint="eastAsia" w:hAnsi="宋体"/>
          <w:color w:val="auto"/>
          <w:highlight w:val="none"/>
        </w:rPr>
        <w:t>注：投标人可按上述的格式自行编制，须随表提交相应的合同复印件和用户单位验收证明并注明所在投标人商务技术文件页码。</w:t>
      </w:r>
    </w:p>
    <w:p w14:paraId="68DF23DC">
      <w:pPr>
        <w:snapToGrid w:val="0"/>
        <w:spacing w:line="360" w:lineRule="auto"/>
        <w:ind w:firstLine="4935" w:firstLineChars="2350"/>
        <w:rPr>
          <w:rFonts w:ascii="宋体" w:hAnsi="宋体"/>
          <w:color w:val="auto"/>
          <w:szCs w:val="21"/>
          <w:highlight w:val="none"/>
        </w:rPr>
      </w:pPr>
      <w:r>
        <w:rPr>
          <w:rFonts w:ascii="宋体" w:hAnsi="宋体"/>
          <w:color w:val="auto"/>
          <w:szCs w:val="21"/>
          <w:highlight w:val="none"/>
        </w:rPr>
        <w:t xml:space="preserve"> </w:t>
      </w:r>
    </w:p>
    <w:p w14:paraId="751DDAAD">
      <w:pPr>
        <w:snapToGrid w:val="0"/>
        <w:spacing w:line="360" w:lineRule="auto"/>
        <w:ind w:firstLine="4935" w:firstLineChars="2350"/>
        <w:rPr>
          <w:rFonts w:ascii="宋体" w:hAnsi="宋体"/>
          <w:color w:val="auto"/>
          <w:szCs w:val="21"/>
          <w:highlight w:val="none"/>
        </w:rPr>
      </w:pPr>
    </w:p>
    <w:p w14:paraId="27E5B95C">
      <w:pPr>
        <w:snapToGrid w:val="0"/>
        <w:spacing w:line="360" w:lineRule="auto"/>
        <w:ind w:firstLine="10080" w:firstLineChars="480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1960BDED">
      <w:pPr>
        <w:snapToGrid w:val="0"/>
        <w:spacing w:line="360" w:lineRule="auto"/>
        <w:ind w:firstLine="10080" w:firstLineChars="4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0489EBD">
      <w:pPr>
        <w:widowControl/>
        <w:spacing w:line="360" w:lineRule="auto"/>
        <w:ind w:firstLine="480"/>
        <w:jc w:val="left"/>
        <w:rPr>
          <w:rFonts w:ascii="宋体" w:hAnsi="宋体" w:cs="仿宋_GB2312"/>
          <w:color w:val="auto"/>
          <w:kern w:val="0"/>
          <w:sz w:val="24"/>
          <w:highlight w:val="none"/>
          <w:lang w:val="zh-CN"/>
        </w:rPr>
        <w:sectPr>
          <w:pgSz w:w="16838" w:h="11906" w:orient="landscape"/>
          <w:pgMar w:top="1134" w:right="1134" w:bottom="1134" w:left="1134" w:header="720" w:footer="720" w:gutter="0"/>
          <w:cols w:space="720" w:num="1"/>
          <w:docGrid w:type="lines" w:linePitch="331" w:charSpace="0"/>
        </w:sectPr>
      </w:pPr>
    </w:p>
    <w:p w14:paraId="672517A7">
      <w:pPr>
        <w:pStyle w:val="15"/>
        <w:ind w:firstLine="562"/>
        <w:jc w:val="center"/>
        <w:outlineLvl w:val="1"/>
        <w:rPr>
          <w:rFonts w:hAnsi="宋体"/>
          <w:b/>
          <w:bCs/>
          <w:color w:val="auto"/>
          <w:sz w:val="28"/>
          <w:szCs w:val="28"/>
          <w:highlight w:val="none"/>
        </w:rPr>
      </w:pPr>
      <w:bookmarkStart w:id="293" w:name="_Toc19686839"/>
      <w:bookmarkStart w:id="294" w:name="_Toc118383699"/>
      <w:r>
        <w:rPr>
          <w:rFonts w:hint="eastAsia" w:hAnsi="宋体"/>
          <w:b/>
          <w:bCs/>
          <w:color w:val="auto"/>
          <w:sz w:val="28"/>
          <w:szCs w:val="28"/>
          <w:highlight w:val="none"/>
        </w:rPr>
        <w:t>第四节 技术文件格式</w:t>
      </w:r>
      <w:bookmarkEnd w:id="293"/>
      <w:bookmarkEnd w:id="294"/>
    </w:p>
    <w:p w14:paraId="59AAD4A7">
      <w:pPr>
        <w:snapToGrid w:val="0"/>
        <w:spacing w:before="165" w:beforeLines="50" w:after="50"/>
        <w:ind w:firstLine="48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2E39ED7D">
      <w:pPr>
        <w:snapToGrid w:val="0"/>
        <w:spacing w:before="165" w:beforeLines="50" w:after="50"/>
        <w:ind w:firstLine="480"/>
        <w:rPr>
          <w:rFonts w:ascii="宋体" w:hAnsi="宋体"/>
          <w:color w:val="auto"/>
          <w:sz w:val="24"/>
          <w:szCs w:val="20"/>
          <w:highlight w:val="none"/>
        </w:rPr>
      </w:pPr>
    </w:p>
    <w:p w14:paraId="591BC4C2">
      <w:pPr>
        <w:snapToGrid w:val="0"/>
        <w:spacing w:before="165" w:beforeLines="50" w:after="50"/>
        <w:ind w:firstLine="643"/>
        <w:jc w:val="center"/>
        <w:rPr>
          <w:rFonts w:ascii="宋体" w:hAnsi="宋体"/>
          <w:b/>
          <w:bCs/>
          <w:color w:val="auto"/>
          <w:sz w:val="32"/>
          <w:szCs w:val="32"/>
          <w:highlight w:val="none"/>
        </w:rPr>
      </w:pPr>
    </w:p>
    <w:p w14:paraId="6FAFE3D5">
      <w:pPr>
        <w:snapToGrid w:val="0"/>
        <w:spacing w:before="165" w:beforeLines="50" w:after="50"/>
        <w:ind w:firstLine="643"/>
        <w:jc w:val="center"/>
        <w:rPr>
          <w:rFonts w:ascii="宋体" w:hAnsi="宋体"/>
          <w:b/>
          <w:bCs/>
          <w:color w:val="auto"/>
          <w:sz w:val="32"/>
          <w:szCs w:val="32"/>
          <w:highlight w:val="none"/>
        </w:rPr>
      </w:pPr>
    </w:p>
    <w:p w14:paraId="7BA97B10">
      <w:pPr>
        <w:snapToGrid w:val="0"/>
        <w:spacing w:before="165" w:beforeLines="50" w:after="50"/>
        <w:ind w:firstLine="643"/>
        <w:jc w:val="center"/>
        <w:rPr>
          <w:rFonts w:ascii="宋体" w:hAnsi="宋体"/>
          <w:b/>
          <w:bCs/>
          <w:color w:val="auto"/>
          <w:sz w:val="32"/>
          <w:szCs w:val="32"/>
          <w:highlight w:val="none"/>
        </w:rPr>
      </w:pPr>
    </w:p>
    <w:p w14:paraId="3319C1C4">
      <w:pPr>
        <w:snapToGrid w:val="0"/>
        <w:spacing w:before="165" w:beforeLines="50" w:after="50"/>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技术文件（封面）</w:t>
      </w:r>
    </w:p>
    <w:p w14:paraId="591895D2">
      <w:pPr>
        <w:snapToGrid w:val="0"/>
        <w:spacing w:before="165" w:beforeLines="50" w:after="50"/>
        <w:ind w:firstLine="480"/>
        <w:rPr>
          <w:rFonts w:ascii="宋体" w:hAnsi="宋体"/>
          <w:bCs/>
          <w:color w:val="auto"/>
          <w:sz w:val="24"/>
          <w:szCs w:val="20"/>
          <w:highlight w:val="none"/>
        </w:rPr>
      </w:pPr>
    </w:p>
    <w:p w14:paraId="2BBE0F99">
      <w:pPr>
        <w:snapToGrid w:val="0"/>
        <w:spacing w:before="165" w:beforeLines="50" w:after="50" w:line="400" w:lineRule="exact"/>
        <w:ind w:firstLine="360" w:firstLineChars="150"/>
        <w:rPr>
          <w:rFonts w:ascii="宋体" w:hAnsi="宋体"/>
          <w:bCs/>
          <w:color w:val="auto"/>
          <w:sz w:val="24"/>
          <w:szCs w:val="20"/>
          <w:highlight w:val="none"/>
        </w:rPr>
      </w:pPr>
      <w:r>
        <w:rPr>
          <w:rFonts w:hint="eastAsia" w:ascii="宋体" w:hAnsi="宋体"/>
          <w:bCs/>
          <w:color w:val="auto"/>
          <w:sz w:val="24"/>
          <w:highlight w:val="none"/>
        </w:rPr>
        <w:t>项目名称： 南宁职业技术大学跨境电子商务专业群实训室建设项目</w:t>
      </w:r>
    </w:p>
    <w:p w14:paraId="6EB0DC5A">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NNZC2024-G1-991788-JDZB</w:t>
      </w:r>
    </w:p>
    <w:p w14:paraId="481F8C6D">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1F93E2DC">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283AB5FF">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78A00F3A">
      <w:pPr>
        <w:snapToGrid w:val="0"/>
        <w:spacing w:before="165" w:beforeLines="50" w:after="50"/>
        <w:ind w:firstLine="480"/>
        <w:jc w:val="center"/>
        <w:rPr>
          <w:rFonts w:ascii="宋体" w:hAnsi="宋体"/>
          <w:color w:val="auto"/>
          <w:sz w:val="24"/>
          <w:highlight w:val="none"/>
        </w:rPr>
      </w:pPr>
      <w:r>
        <w:rPr>
          <w:rFonts w:hint="eastAsia" w:ascii="宋体" w:hAnsi="宋体"/>
          <w:color w:val="auto"/>
          <w:sz w:val="24"/>
          <w:highlight w:val="none"/>
        </w:rPr>
        <w:t xml:space="preserve">                        年    月    日</w:t>
      </w:r>
    </w:p>
    <w:p w14:paraId="153A17C7">
      <w:pPr>
        <w:snapToGrid w:val="0"/>
        <w:spacing w:before="165" w:beforeLines="50" w:after="50"/>
        <w:ind w:firstLine="480"/>
        <w:jc w:val="center"/>
        <w:rPr>
          <w:rFonts w:ascii="宋体" w:hAnsi="宋体"/>
          <w:color w:val="auto"/>
          <w:sz w:val="24"/>
          <w:szCs w:val="20"/>
          <w:highlight w:val="none"/>
        </w:rPr>
      </w:pPr>
    </w:p>
    <w:p w14:paraId="1DB4180C">
      <w:pPr>
        <w:ind w:firstLine="482"/>
        <w:jc w:val="center"/>
        <w:rPr>
          <w:rFonts w:ascii="宋体" w:hAnsi="宋体" w:cs="仿宋_GB2312"/>
          <w:b/>
          <w:color w:val="auto"/>
          <w:kern w:val="0"/>
          <w:sz w:val="28"/>
          <w:szCs w:val="28"/>
          <w:highlight w:val="none"/>
        </w:rPr>
      </w:pPr>
      <w:r>
        <w:rPr>
          <w:rFonts w:hint="eastAsia" w:ascii="宋体" w:hAnsi="宋体"/>
          <w:b/>
          <w:bCs/>
          <w:color w:val="auto"/>
          <w:sz w:val="24"/>
          <w:highlight w:val="none"/>
        </w:rPr>
        <w:br w:type="page"/>
      </w:r>
      <w:r>
        <w:rPr>
          <w:rFonts w:hint="eastAsia" w:ascii="宋体" w:hAnsi="宋体" w:cs="仿宋_GB2312"/>
          <w:b/>
          <w:color w:val="auto"/>
          <w:kern w:val="0"/>
          <w:sz w:val="28"/>
          <w:szCs w:val="28"/>
          <w:highlight w:val="none"/>
        </w:rPr>
        <w:t>技术文件目录</w:t>
      </w:r>
    </w:p>
    <w:p w14:paraId="41905AEB">
      <w:pPr>
        <w:pStyle w:val="25"/>
        <w:rPr>
          <w:rFonts w:ascii="宋体" w:hAnsi="宋体"/>
          <w:color w:val="auto"/>
          <w:highlight w:val="none"/>
        </w:rPr>
      </w:pPr>
    </w:p>
    <w:p w14:paraId="6B545399">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一、技术需求偏离表……………………………………………………………（页码）</w:t>
      </w:r>
    </w:p>
    <w:p w14:paraId="2041F457">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二、项目实施组织货物方案……………………………………………………（页码）</w:t>
      </w:r>
    </w:p>
    <w:p w14:paraId="211D7131">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三、对本项目总体要求的理解（如有要求）…………………………………（页码）</w:t>
      </w:r>
    </w:p>
    <w:p w14:paraId="5FB709B0">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四、</w:t>
      </w:r>
      <w:r>
        <w:rPr>
          <w:rFonts w:hint="eastAsia" w:ascii="宋体" w:hAnsi="宋体" w:eastAsia="宋体" w:cs="仿宋_GB2312"/>
          <w:color w:val="auto"/>
          <w:highlight w:val="none"/>
          <w:lang w:val="zh-CN"/>
        </w:rPr>
        <w:t>产品出产标准及质量检测报告……………………</w:t>
      </w:r>
      <w:r>
        <w:rPr>
          <w:rFonts w:hint="eastAsia" w:ascii="宋体" w:hAnsi="宋体" w:eastAsia="宋体" w:cs="仿宋_GB2312"/>
          <w:color w:val="auto"/>
          <w:highlight w:val="none"/>
        </w:rPr>
        <w:t>………………………（页码）</w:t>
      </w:r>
    </w:p>
    <w:p w14:paraId="18B77184">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五、优惠条件及特殊承诺（如有要求）</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2B06D027">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六、对项目的合理化建议和改进措施</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0F47D4CF">
      <w:pPr>
        <w:pStyle w:val="37"/>
        <w:spacing w:line="360" w:lineRule="auto"/>
        <w:rPr>
          <w:rFonts w:ascii="宋体" w:hAnsi="宋体" w:eastAsia="宋体" w:cs="仿宋_GB2312"/>
          <w:color w:val="auto"/>
          <w:highlight w:val="none"/>
        </w:rPr>
      </w:pPr>
      <w:r>
        <w:rPr>
          <w:rFonts w:hint="eastAsia" w:ascii="宋体" w:hAnsi="宋体" w:eastAsia="宋体" w:cs="仿宋_GB2312"/>
          <w:color w:val="auto"/>
          <w:highlight w:val="none"/>
        </w:rPr>
        <w:t>七、认为需要的其他技术文件或说明（如有）</w:t>
      </w:r>
      <w:r>
        <w:rPr>
          <w:rFonts w:hint="eastAsia" w:ascii="宋体" w:hAnsi="宋体" w:eastAsia="宋体" w:cs="仿宋_GB2312"/>
          <w:color w:val="auto"/>
          <w:highlight w:val="none"/>
          <w:lang w:val="zh-CN"/>
        </w:rPr>
        <w:t>………………………………</w:t>
      </w:r>
      <w:r>
        <w:rPr>
          <w:rFonts w:hint="eastAsia" w:ascii="宋体" w:hAnsi="宋体" w:eastAsia="宋体" w:cs="仿宋_GB2312"/>
          <w:color w:val="auto"/>
          <w:highlight w:val="none"/>
        </w:rPr>
        <w:t>（页码）</w:t>
      </w:r>
    </w:p>
    <w:p w14:paraId="2F9CA705">
      <w:pPr>
        <w:spacing w:line="360" w:lineRule="auto"/>
        <w:ind w:firstLine="482"/>
        <w:rPr>
          <w:rFonts w:ascii="宋体" w:hAnsi="宋体" w:cs="仿宋_GB2312"/>
          <w:b/>
          <w:bCs/>
          <w:color w:val="auto"/>
          <w:sz w:val="24"/>
          <w:highlight w:val="none"/>
        </w:rPr>
      </w:pPr>
      <w:r>
        <w:rPr>
          <w:rFonts w:hint="eastAsia" w:ascii="宋体" w:hAnsi="宋体" w:cs="仿宋_GB2312"/>
          <w:b/>
          <w:bCs/>
          <w:color w:val="auto"/>
          <w:sz w:val="24"/>
          <w:highlight w:val="none"/>
        </w:rPr>
        <w:t>注：以上目录是基本格式要求，各投标人可根据自身情况进一步向下增加内容或细化。</w:t>
      </w:r>
    </w:p>
    <w:p w14:paraId="14EF2E1E">
      <w:pPr>
        <w:snapToGrid w:val="0"/>
        <w:spacing w:before="165" w:beforeLines="50" w:after="50"/>
        <w:ind w:left="143" w:leftChars="68" w:firstLine="472" w:firstLineChars="196"/>
        <w:jc w:val="left"/>
        <w:rPr>
          <w:rFonts w:ascii="宋体" w:hAnsi="宋体"/>
          <w:b/>
          <w:color w:val="auto"/>
          <w:sz w:val="24"/>
          <w:highlight w:val="none"/>
        </w:rPr>
      </w:pPr>
    </w:p>
    <w:p w14:paraId="77633CA2">
      <w:pPr>
        <w:snapToGrid w:val="0"/>
        <w:spacing w:before="165" w:beforeLines="50" w:after="50"/>
        <w:ind w:left="143" w:leftChars="68" w:firstLine="472" w:firstLineChars="196"/>
        <w:jc w:val="center"/>
        <w:rPr>
          <w:rFonts w:ascii="宋体" w:hAnsi="宋体"/>
          <w:b/>
          <w:bCs/>
          <w:color w:val="auto"/>
          <w:sz w:val="30"/>
          <w:szCs w:val="30"/>
          <w:highlight w:val="none"/>
        </w:rPr>
      </w:pPr>
      <w:r>
        <w:rPr>
          <w:rFonts w:hint="eastAsia" w:ascii="宋体" w:hAnsi="宋体"/>
          <w:b/>
          <w:color w:val="auto"/>
          <w:sz w:val="24"/>
          <w:highlight w:val="none"/>
        </w:rPr>
        <w:br w:type="page"/>
      </w:r>
      <w:r>
        <w:rPr>
          <w:rFonts w:hint="eastAsia" w:ascii="宋体" w:hAnsi="宋体"/>
          <w:b/>
          <w:color w:val="auto"/>
          <w:sz w:val="24"/>
          <w:highlight w:val="none"/>
        </w:rPr>
        <w:t xml:space="preserve"> </w:t>
      </w:r>
      <w:r>
        <w:rPr>
          <w:rFonts w:hint="eastAsia" w:ascii="宋体" w:hAnsi="宋体"/>
          <w:b/>
          <w:bCs/>
          <w:color w:val="auto"/>
          <w:sz w:val="30"/>
          <w:szCs w:val="30"/>
          <w:highlight w:val="none"/>
        </w:rPr>
        <w:t>一、技术需求偏离表</w:t>
      </w:r>
    </w:p>
    <w:p w14:paraId="43A3C708">
      <w:pPr>
        <w:pStyle w:val="15"/>
        <w:spacing w:line="440" w:lineRule="exact"/>
        <w:ind w:firstLine="420" w:firstLineChars="200"/>
        <w:rPr>
          <w:rFonts w:hAnsi="宋体"/>
          <w:color w:val="auto"/>
          <w:highlight w:val="none"/>
        </w:rPr>
      </w:pPr>
    </w:p>
    <w:p w14:paraId="07B5D6BC">
      <w:pPr>
        <w:pStyle w:val="15"/>
        <w:spacing w:line="600" w:lineRule="exact"/>
        <w:ind w:firstLine="480" w:firstLineChars="200"/>
        <w:rPr>
          <w:rFonts w:hAnsi="宋体"/>
          <w:color w:val="auto"/>
          <w:sz w:val="24"/>
          <w:szCs w:val="24"/>
          <w:highlight w:val="none"/>
        </w:rPr>
      </w:pPr>
      <w:r>
        <w:rPr>
          <w:rFonts w:hint="eastAsia" w:hAnsi="宋体"/>
          <w:color w:val="auto"/>
          <w:sz w:val="24"/>
          <w:szCs w:val="24"/>
          <w:highlight w:val="none"/>
        </w:rPr>
        <w:t>请根据所投货物的实际技术参数，</w:t>
      </w:r>
      <w:r>
        <w:rPr>
          <w:rFonts w:hint="eastAsia" w:hAnsi="宋体"/>
          <w:b/>
          <w:color w:val="auto"/>
          <w:sz w:val="28"/>
          <w:szCs w:val="28"/>
          <w:highlight w:val="none"/>
        </w:rPr>
        <w:t>逐条对应</w:t>
      </w:r>
      <w:r>
        <w:rPr>
          <w:rFonts w:hint="eastAsia" w:hAnsi="宋体"/>
          <w:color w:val="auto"/>
          <w:sz w:val="24"/>
          <w:szCs w:val="24"/>
          <w:highlight w:val="none"/>
        </w:rPr>
        <w:t>本项目招标文件第二章“货物需求一览表”中的</w:t>
      </w:r>
      <w:r>
        <w:rPr>
          <w:rFonts w:hint="eastAsia" w:hAnsi="宋体"/>
          <w:b/>
          <w:color w:val="auto"/>
          <w:sz w:val="28"/>
          <w:szCs w:val="28"/>
          <w:highlight w:val="none"/>
        </w:rPr>
        <w:t>采购清单及货物参数</w:t>
      </w:r>
      <w:r>
        <w:rPr>
          <w:rFonts w:hint="eastAsia" w:hAnsi="宋体"/>
          <w:color w:val="auto"/>
          <w:sz w:val="24"/>
          <w:szCs w:val="24"/>
          <w:highlight w:val="none"/>
        </w:rPr>
        <w:t>详细填写相应的具体内容。“偏离说明”一栏应当选择“正偏离”、“负偏离”或“无偏离”进行填写。</w:t>
      </w:r>
    </w:p>
    <w:tbl>
      <w:tblPr>
        <w:tblStyle w:val="26"/>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171BB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660BE06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73DADBA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3932FB9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1B77F88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偏离说明</w:t>
            </w:r>
          </w:p>
        </w:tc>
      </w:tr>
      <w:tr w14:paraId="78A3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7B215093">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18A9FC">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货物名称</w:t>
            </w:r>
          </w:p>
        </w:tc>
        <w:tc>
          <w:tcPr>
            <w:tcW w:w="2310" w:type="dxa"/>
            <w:tcBorders>
              <w:top w:val="single" w:color="auto" w:sz="4" w:space="0"/>
              <w:left w:val="single" w:color="auto" w:sz="4" w:space="0"/>
              <w:bottom w:val="single" w:color="auto" w:sz="4" w:space="0"/>
              <w:right w:val="single" w:color="auto" w:sz="4" w:space="0"/>
            </w:tcBorders>
            <w:vAlign w:val="center"/>
          </w:tcPr>
          <w:p w14:paraId="09623837">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货物参数</w:t>
            </w:r>
          </w:p>
        </w:tc>
        <w:tc>
          <w:tcPr>
            <w:tcW w:w="1516" w:type="dxa"/>
            <w:tcBorders>
              <w:top w:val="single" w:color="auto" w:sz="4" w:space="0"/>
              <w:left w:val="single" w:color="auto" w:sz="4" w:space="0"/>
              <w:bottom w:val="single" w:color="auto" w:sz="4" w:space="0"/>
              <w:right w:val="single" w:color="auto" w:sz="4" w:space="0"/>
            </w:tcBorders>
            <w:vAlign w:val="center"/>
          </w:tcPr>
          <w:p w14:paraId="0F110A6A">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货物名称</w:t>
            </w:r>
          </w:p>
        </w:tc>
        <w:tc>
          <w:tcPr>
            <w:tcW w:w="3297" w:type="dxa"/>
            <w:tcBorders>
              <w:top w:val="single" w:color="auto" w:sz="4" w:space="0"/>
              <w:left w:val="single" w:color="auto" w:sz="4" w:space="0"/>
              <w:bottom w:val="single" w:color="auto" w:sz="4" w:space="0"/>
              <w:right w:val="single" w:color="auto" w:sz="4" w:space="0"/>
            </w:tcBorders>
            <w:vAlign w:val="center"/>
          </w:tcPr>
          <w:p w14:paraId="28C5D094">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eastAsia" w:ascii="宋体" w:hAnsi="宋体"/>
                <w:color w:val="auto"/>
                <w:szCs w:val="21"/>
                <w:highlight w:val="none"/>
              </w:rPr>
              <w:t>所提供货物的内容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2C4FD3F4">
            <w:pPr>
              <w:keepNext w:val="0"/>
              <w:keepLines w:val="0"/>
              <w:widowControl/>
              <w:suppressLineNumbers w:val="0"/>
              <w:spacing w:before="0" w:beforeAutospacing="0" w:after="0" w:afterAutospacing="0"/>
              <w:ind w:left="0" w:right="0"/>
              <w:jc w:val="left"/>
              <w:rPr>
                <w:rFonts w:hint="default" w:ascii="宋体" w:hAnsi="宋体"/>
                <w:color w:val="auto"/>
                <w:szCs w:val="21"/>
                <w:highlight w:val="none"/>
              </w:rPr>
            </w:pPr>
          </w:p>
        </w:tc>
      </w:tr>
      <w:tr w14:paraId="59A3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28C852C">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14:paraId="30AFDF2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514A9CC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p w14:paraId="16B42B0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  ……</w:t>
            </w:r>
          </w:p>
          <w:p w14:paraId="7AE12D7F">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  ……</w:t>
            </w:r>
          </w:p>
          <w:p w14:paraId="59FC311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4F49DDC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3D056A9A">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p w14:paraId="26708B4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  ……</w:t>
            </w:r>
          </w:p>
          <w:p w14:paraId="2187F4D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  ……</w:t>
            </w:r>
          </w:p>
          <w:p w14:paraId="56C87B66">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28AC97A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tc>
      </w:tr>
      <w:tr w14:paraId="4D67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7E643BF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14:paraId="5CC568A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14:paraId="57A0A235">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p w14:paraId="46BDE229">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  ……</w:t>
            </w:r>
          </w:p>
          <w:p w14:paraId="0DD57560">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  ……</w:t>
            </w:r>
          </w:p>
          <w:p w14:paraId="70EBFF3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14:paraId="7416038B">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14:paraId="5C6ACED7">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1  ……</w:t>
            </w:r>
          </w:p>
          <w:p w14:paraId="74475CD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2  ……</w:t>
            </w:r>
          </w:p>
          <w:p w14:paraId="28E50E23">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3  ……</w:t>
            </w:r>
          </w:p>
          <w:p w14:paraId="02703132">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14:paraId="7FC1D2F8">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正偏离（负偏离或无偏离）</w:t>
            </w:r>
          </w:p>
        </w:tc>
      </w:tr>
      <w:tr w14:paraId="710D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34" w:type="dxa"/>
            <w:tcBorders>
              <w:top w:val="single" w:color="auto" w:sz="4" w:space="0"/>
              <w:left w:val="single" w:color="auto" w:sz="4" w:space="0"/>
              <w:bottom w:val="single" w:color="auto" w:sz="4" w:space="0"/>
              <w:right w:val="single" w:color="auto" w:sz="4" w:space="0"/>
            </w:tcBorders>
            <w:vAlign w:val="center"/>
          </w:tcPr>
          <w:p w14:paraId="1700BD64">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14:paraId="34AFB68F">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14:paraId="7CDDA7AD">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E6FECB2">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14:paraId="4FC3DF70">
            <w:pPr>
              <w:keepNext w:val="0"/>
              <w:keepLines w:val="0"/>
              <w:suppressLineNumbers w:val="0"/>
              <w:spacing w:before="0" w:beforeAutospacing="0" w:after="0" w:afterAutospacing="0"/>
              <w:ind w:left="0" w:right="0"/>
              <w:rPr>
                <w:rFonts w:hint="default"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3600CB82">
            <w:pPr>
              <w:keepNext w:val="0"/>
              <w:keepLines w:val="0"/>
              <w:suppressLineNumbers w:val="0"/>
              <w:spacing w:before="0" w:beforeAutospacing="0" w:after="0" w:afterAutospacing="0"/>
              <w:ind w:left="0" w:right="0"/>
              <w:rPr>
                <w:rFonts w:hint="default" w:ascii="宋体" w:hAnsi="宋体"/>
                <w:color w:val="auto"/>
                <w:szCs w:val="21"/>
                <w:highlight w:val="none"/>
              </w:rPr>
            </w:pPr>
          </w:p>
        </w:tc>
      </w:tr>
      <w:tr w14:paraId="4929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37748431">
            <w:pPr>
              <w:keepNext w:val="0"/>
              <w:keepLines w:val="0"/>
              <w:suppressLineNumbers w:val="0"/>
              <w:spacing w:before="0" w:beforeAutospacing="0" w:after="0" w:afterAutospacing="0"/>
              <w:ind w:left="0" w:right="0"/>
              <w:rPr>
                <w:rFonts w:hint="default"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14:paraId="328DF684">
      <w:pPr>
        <w:pStyle w:val="15"/>
        <w:spacing w:line="360" w:lineRule="auto"/>
        <w:rPr>
          <w:rFonts w:hAnsi="宋体"/>
          <w:color w:val="auto"/>
          <w:szCs w:val="21"/>
          <w:highlight w:val="none"/>
        </w:rPr>
      </w:pPr>
      <w:r>
        <w:rPr>
          <w:rFonts w:hint="eastAsia" w:hAnsi="宋体"/>
          <w:color w:val="auto"/>
          <w:szCs w:val="21"/>
          <w:highlight w:val="none"/>
        </w:rPr>
        <w:t>注：</w:t>
      </w:r>
    </w:p>
    <w:p w14:paraId="78752D4C">
      <w:pPr>
        <w:pStyle w:val="15"/>
        <w:spacing w:line="360" w:lineRule="auto"/>
        <w:rPr>
          <w:rFonts w:hAnsi="宋体"/>
          <w:color w:val="auto"/>
          <w:szCs w:val="21"/>
          <w:highlight w:val="none"/>
        </w:rPr>
      </w:pPr>
      <w:r>
        <w:rPr>
          <w:rFonts w:hint="eastAsia" w:hAnsi="宋体" w:cs="宋体"/>
          <w:color w:val="auto"/>
          <w:szCs w:val="21"/>
          <w:highlight w:val="none"/>
        </w:rPr>
        <w:t>1.</w:t>
      </w:r>
      <w:r>
        <w:rPr>
          <w:rFonts w:hint="eastAsia" w:hAnsi="宋体"/>
          <w:color w:val="auto"/>
          <w:szCs w:val="21"/>
          <w:highlight w:val="none"/>
        </w:rPr>
        <w:t>表格内容均需按要求填写并盖章，不得留空，</w:t>
      </w:r>
      <w:r>
        <w:rPr>
          <w:rFonts w:hint="eastAsia" w:hAnsi="宋体"/>
          <w:bCs/>
          <w:color w:val="auto"/>
          <w:szCs w:val="21"/>
          <w:highlight w:val="none"/>
        </w:rPr>
        <w:t>否则按投标无效处理</w:t>
      </w:r>
      <w:r>
        <w:rPr>
          <w:rFonts w:hint="eastAsia" w:hAnsi="宋体"/>
          <w:color w:val="auto"/>
          <w:szCs w:val="21"/>
          <w:highlight w:val="none"/>
        </w:rPr>
        <w:t>。</w:t>
      </w:r>
    </w:p>
    <w:p w14:paraId="71AD5AEF">
      <w:pPr>
        <w:pStyle w:val="15"/>
        <w:spacing w:line="360" w:lineRule="auto"/>
        <w:rPr>
          <w:rFonts w:hAnsi="宋体"/>
          <w:color w:val="auto"/>
          <w:szCs w:val="21"/>
          <w:highlight w:val="none"/>
        </w:rPr>
      </w:pPr>
      <w:r>
        <w:rPr>
          <w:rFonts w:hint="eastAsia" w:hAnsi="宋体"/>
          <w:bCs/>
          <w:color w:val="auto"/>
          <w:szCs w:val="21"/>
          <w:highlight w:val="none"/>
        </w:rPr>
        <w:t>2.当投标文件的货物内容低于招标文件要求时，投标人应当如实写明“负偏离”，否则视为虚假应标。</w:t>
      </w:r>
    </w:p>
    <w:p w14:paraId="0DAF36B4">
      <w:pPr>
        <w:pStyle w:val="15"/>
        <w:spacing w:line="360" w:lineRule="auto"/>
        <w:rPr>
          <w:rFonts w:hAnsi="宋体"/>
          <w:color w:val="auto"/>
          <w:highlight w:val="none"/>
        </w:rPr>
      </w:pPr>
      <w:r>
        <w:rPr>
          <w:rFonts w:hint="eastAsia" w:hAnsi="宋体"/>
          <w:color w:val="auto"/>
          <w:highlight w:val="none"/>
        </w:rPr>
        <w:t>3.</w:t>
      </w:r>
      <w:r>
        <w:rPr>
          <w:rFonts w:hint="eastAsia" w:hAnsi="宋体" w:cs="宋体"/>
          <w:color w:val="auto"/>
          <w:szCs w:val="21"/>
          <w:highlight w:val="none"/>
        </w:rPr>
        <w:t>采购需求中带“▲”、“★”及其他标注有符号的条款，也要分别在本表“</w:t>
      </w:r>
      <w:r>
        <w:rPr>
          <w:rFonts w:hint="eastAsia" w:hAnsi="宋体"/>
          <w:color w:val="auto"/>
          <w:szCs w:val="21"/>
          <w:highlight w:val="none"/>
        </w:rPr>
        <w:t>货物参数</w:t>
      </w:r>
      <w:r>
        <w:rPr>
          <w:rFonts w:hint="eastAsia" w:hAnsi="宋体" w:cs="宋体"/>
          <w:color w:val="auto"/>
          <w:szCs w:val="21"/>
          <w:highlight w:val="none"/>
        </w:rPr>
        <w:t>”、“</w:t>
      </w:r>
      <w:r>
        <w:rPr>
          <w:rFonts w:hint="eastAsia" w:hAnsi="宋体"/>
          <w:color w:val="auto"/>
          <w:szCs w:val="21"/>
          <w:highlight w:val="none"/>
        </w:rPr>
        <w:t>所提供货物的内容</w:t>
      </w:r>
      <w:r>
        <w:rPr>
          <w:rFonts w:hint="eastAsia" w:hAnsi="宋体" w:cs="宋体"/>
          <w:color w:val="auto"/>
          <w:szCs w:val="21"/>
          <w:highlight w:val="none"/>
        </w:rPr>
        <w:t>”中标记。</w:t>
      </w:r>
    </w:p>
    <w:p w14:paraId="45B6B4B4">
      <w:pPr>
        <w:snapToGrid w:val="0"/>
        <w:spacing w:line="360" w:lineRule="auto"/>
        <w:ind w:firstLine="5640" w:firstLineChars="2350"/>
        <w:rPr>
          <w:rFonts w:ascii="宋体" w:hAnsi="宋体" w:cs="仿宋_GB2312"/>
          <w:color w:val="auto"/>
          <w:kern w:val="0"/>
          <w:sz w:val="24"/>
          <w:highlight w:val="none"/>
          <w:lang w:val="zh-CN"/>
        </w:rPr>
      </w:pPr>
    </w:p>
    <w:p w14:paraId="0DA7BDE5">
      <w:pPr>
        <w:snapToGrid w:val="0"/>
        <w:spacing w:line="360" w:lineRule="auto"/>
        <w:ind w:firstLine="5640" w:firstLineChars="23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55F23AC3">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65C54726">
      <w:pPr>
        <w:widowControl/>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0F46B1C3">
      <w:pPr>
        <w:snapToGrid w:val="0"/>
        <w:spacing w:before="165" w:beforeLines="50" w:after="50"/>
        <w:ind w:firstLine="602"/>
        <w:jc w:val="center"/>
        <w:rPr>
          <w:rFonts w:ascii="宋体" w:hAnsi="宋体"/>
          <w:b/>
          <w:bCs/>
          <w:color w:val="auto"/>
          <w:sz w:val="30"/>
          <w:szCs w:val="30"/>
          <w:highlight w:val="none"/>
        </w:rPr>
      </w:pPr>
      <w:r>
        <w:rPr>
          <w:rFonts w:hint="eastAsia" w:ascii="宋体" w:hAnsi="宋体"/>
          <w:b/>
          <w:bCs/>
          <w:color w:val="auto"/>
          <w:sz w:val="30"/>
          <w:szCs w:val="30"/>
          <w:highlight w:val="none"/>
        </w:rPr>
        <w:t>二、项目实施组织货物方案</w:t>
      </w:r>
    </w:p>
    <w:p w14:paraId="20EBD92D">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6CD9829D">
      <w:pPr>
        <w:ind w:firstLine="482"/>
        <w:rPr>
          <w:rFonts w:ascii="宋体" w:hAnsi="宋体" w:cs="仿宋_GB2312"/>
          <w:b/>
          <w:bCs/>
          <w:color w:val="auto"/>
          <w:kern w:val="0"/>
          <w:sz w:val="24"/>
          <w:highlight w:val="none"/>
          <w:lang w:val="zh-CN"/>
        </w:rPr>
      </w:pPr>
    </w:p>
    <w:p w14:paraId="60FE6C25">
      <w:pPr>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（一）项目前期准备</w:t>
      </w:r>
    </w:p>
    <w:p w14:paraId="3634B45E">
      <w:pPr>
        <w:autoSpaceDE w:val="0"/>
        <w:autoSpaceDN w:val="0"/>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0589CBB2">
      <w:pPr>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（二）项目实施计划</w:t>
      </w:r>
    </w:p>
    <w:p w14:paraId="217037E1">
      <w:pPr>
        <w:ind w:firstLine="482"/>
        <w:rPr>
          <w:rFonts w:ascii="宋体" w:hAnsi="宋体" w:cs="仿宋_GB2312"/>
          <w:b/>
          <w:bCs/>
          <w:color w:val="auto"/>
          <w:kern w:val="0"/>
          <w:sz w:val="24"/>
          <w:highlight w:val="none"/>
          <w:lang w:val="zh-CN"/>
        </w:rPr>
      </w:pPr>
      <w:bookmarkStart w:id="295" w:name="_Toc78473822"/>
      <w:r>
        <w:rPr>
          <w:rFonts w:hint="eastAsia" w:ascii="宋体" w:hAnsi="宋体" w:cs="仿宋_GB2312"/>
          <w:b/>
          <w:bCs/>
          <w:color w:val="auto"/>
          <w:kern w:val="0"/>
          <w:sz w:val="24"/>
          <w:highlight w:val="none"/>
          <w:lang w:val="zh-CN"/>
        </w:rPr>
        <w:t>附表:项目实施进度计划表</w:t>
      </w:r>
      <w:r>
        <w:rPr>
          <w:rFonts w:hint="eastAsia" w:ascii="宋体" w:hAnsi="宋体" w:cs="仿宋_GB2312"/>
          <w:b/>
          <w:color w:val="auto"/>
          <w:sz w:val="24"/>
          <w:highlight w:val="none"/>
        </w:rPr>
        <w:t>(以生效日算起)</w:t>
      </w:r>
      <w:bookmarkEnd w:id="295"/>
      <w:r>
        <w:rPr>
          <w:rFonts w:hint="eastAsia" w:ascii="宋体" w:hAnsi="宋体" w:cs="仿宋_GB2312"/>
          <w:b/>
          <w:color w:val="auto"/>
          <w:sz w:val="24"/>
          <w:highlight w:val="none"/>
        </w:rPr>
        <w:t xml:space="preserve"> </w:t>
      </w:r>
    </w:p>
    <w:tbl>
      <w:tblPr>
        <w:tblStyle w:val="26"/>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10F1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188" w:type="dxa"/>
            <w:tcBorders>
              <w:top w:val="single" w:color="auto" w:sz="4" w:space="0"/>
              <w:left w:val="single" w:color="auto" w:sz="4" w:space="0"/>
              <w:bottom w:val="single" w:color="auto" w:sz="4" w:space="0"/>
              <w:right w:val="single" w:color="auto" w:sz="4" w:space="0"/>
            </w:tcBorders>
            <w:vAlign w:val="center"/>
          </w:tcPr>
          <w:p w14:paraId="6E3A359D">
            <w:pPr>
              <w:keepNext w:val="0"/>
              <w:keepLines w:val="0"/>
              <w:suppressLineNumbers w:val="0"/>
              <w:spacing w:before="0" w:beforeAutospacing="0" w:after="0" w:afterAutospacing="0" w:line="360" w:lineRule="auto"/>
              <w:ind w:left="0" w:right="0"/>
              <w:rPr>
                <w:rFonts w:hint="default" w:ascii="宋体" w:hAnsi="宋体" w:cs="仿宋_GB2312"/>
                <w:color w:val="auto"/>
                <w:sz w:val="24"/>
                <w:highlight w:val="none"/>
              </w:rPr>
            </w:pPr>
            <w:r>
              <w:rPr>
                <w:rFonts w:hint="default" w:ascii="宋体" w:hAnsi="宋体"/>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-65405</wp:posOffset>
                      </wp:positionH>
                      <wp:positionV relativeFrom="paragraph">
                        <wp:posOffset>0</wp:posOffset>
                      </wp:positionV>
                      <wp:extent cx="748030" cy="1181100"/>
                      <wp:effectExtent l="0" t="0" r="13970" b="0"/>
                      <wp:wrapNone/>
                      <wp:docPr id="3" name="组合 3"/>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11" name="__TH_L2"/>
                              <wps:cNvCnPr/>
                              <wps:spPr bwMode="auto">
                                <a:xfrm>
                                  <a:off x="0" y="0"/>
                                  <a:ext cx="1178" cy="1860"/>
                                </a:xfrm>
                                <a:prstGeom prst="line">
                                  <a:avLst/>
                                </a:prstGeom>
                                <a:noFill/>
                                <a:ln w="6350">
                                  <a:solidFill>
                                    <a:srgbClr val="000000"/>
                                  </a:solidFill>
                                  <a:round/>
                                </a:ln>
                                <a:effectLst/>
                              </wps:spPr>
                              <wps:bodyPr/>
                            </wps:wsp>
                            <wps:wsp>
                              <wps:cNvPr id="12" name="__TH_B113"/>
                              <wps:cNvSpPr txBox="1">
                                <a:spLocks noChangeArrowheads="1"/>
                              </wps:cNvSpPr>
                              <wps:spPr bwMode="auto">
                                <a:xfrm>
                                  <a:off x="455" y="122"/>
                                  <a:ext cx="253" cy="263"/>
                                </a:xfrm>
                                <a:prstGeom prst="rect">
                                  <a:avLst/>
                                </a:prstGeom>
                                <a:noFill/>
                                <a:ln>
                                  <a:noFill/>
                                </a:ln>
                                <a:effectLst/>
                              </wps:spPr>
                              <wps:txbx>
                                <w:txbxContent>
                                  <w:p w14:paraId="2F498B7B">
                                    <w:pPr>
                                      <w:snapToGrid w:val="0"/>
                                    </w:pPr>
                                    <w:r>
                                      <w:rPr>
                                        <w:rFonts w:hint="eastAsia"/>
                                      </w:rPr>
                                      <w:t>工</w:t>
                                    </w:r>
                                  </w:p>
                                </w:txbxContent>
                              </wps:txbx>
                              <wps:bodyPr rot="0" vert="horz" wrap="square" lIns="0" tIns="0" rIns="0" bIns="0" anchor="t" anchorCtr="0" upright="1">
                                <a:noAutofit/>
                              </wps:bodyPr>
                            </wps:wsp>
                            <wps:wsp>
                              <wps:cNvPr id="13" name="__TH_B124"/>
                              <wps:cNvSpPr txBox="1">
                                <a:spLocks noChangeArrowheads="1"/>
                              </wps:cNvSpPr>
                              <wps:spPr bwMode="auto">
                                <a:xfrm>
                                  <a:off x="643" y="419"/>
                                  <a:ext cx="253" cy="263"/>
                                </a:xfrm>
                                <a:prstGeom prst="rect">
                                  <a:avLst/>
                                </a:prstGeom>
                                <a:noFill/>
                                <a:ln>
                                  <a:noFill/>
                                </a:ln>
                                <a:effectLst/>
                              </wps:spPr>
                              <wps:txbx>
                                <w:txbxContent>
                                  <w:p w14:paraId="694B191D">
                                    <w:pPr>
                                      <w:snapToGrid w:val="0"/>
                                    </w:pPr>
                                    <w:r>
                                      <w:rPr>
                                        <w:rFonts w:hint="eastAsia"/>
                                      </w:rPr>
                                      <w:t>作</w:t>
                                    </w:r>
                                  </w:p>
                                </w:txbxContent>
                              </wps:txbx>
                              <wps:bodyPr rot="0" vert="horz" wrap="square" lIns="0" tIns="0" rIns="0" bIns="0" anchor="t" anchorCtr="0" upright="1">
                                <a:noAutofit/>
                              </wps:bodyPr>
                            </wps:wsp>
                            <wps:wsp>
                              <wps:cNvPr id="14" name="__TH_B135"/>
                              <wps:cNvSpPr txBox="1">
                                <a:spLocks noChangeArrowheads="1"/>
                              </wps:cNvSpPr>
                              <wps:spPr bwMode="auto">
                                <a:xfrm>
                                  <a:off x="831" y="717"/>
                                  <a:ext cx="253" cy="262"/>
                                </a:xfrm>
                                <a:prstGeom prst="rect">
                                  <a:avLst/>
                                </a:prstGeom>
                                <a:noFill/>
                                <a:ln>
                                  <a:noFill/>
                                </a:ln>
                                <a:effectLst/>
                              </wps:spPr>
                              <wps:txbx>
                                <w:txbxContent>
                                  <w:p w14:paraId="2DF0171A">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93pt;width:58.9pt;z-index:251660288;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D1y1ye2AAAAAgBAAAPAAAAAAAAAAEAIAAAACIAAABkcnMvZG93bnJldi54&#10;bWxQSwECFAAUAAAACACHTuJAghmcchcDAABICwAADgAAAAAAAAABACAAAAAnAQAAZHJzL2Uyb0Rv&#10;Yy54bWxQSwUGAAAAAAYABgBZAQAAsAYAAAAA&#10;">
                      <o:lock v:ext="edit" aspectratio="f"/>
                      <v:line id="__TH_L2" o:spid="_x0000_s1026" o:spt="20" style="position:absolute;left:0;top:0;height:1860;width:1178;" filled="f" stroked="t" coordsize="21600,21600" o:gfxdata="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9fiCLgAAADb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F498B7B">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94B191D">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DF0171A">
                              <w:pPr>
                                <w:snapToGrid w:val="0"/>
                              </w:pPr>
                              <w:r>
                                <w:rPr>
                                  <w:rFonts w:hint="eastAsia"/>
                                </w:rPr>
                                <w:t>日</w:t>
                              </w:r>
                            </w:p>
                          </w:txbxContent>
                        </v:textbox>
                      </v:shape>
                    </v:group>
                  </w:pict>
                </mc:Fallback>
              </mc:AlternateContent>
            </w:r>
          </w:p>
          <w:p w14:paraId="1FC4A34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p w14:paraId="7E42099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p w14:paraId="724728C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内容</w:t>
            </w:r>
          </w:p>
        </w:tc>
        <w:tc>
          <w:tcPr>
            <w:tcW w:w="552" w:type="dxa"/>
            <w:tcBorders>
              <w:top w:val="single" w:color="auto" w:sz="4" w:space="0"/>
              <w:left w:val="single" w:color="auto" w:sz="4" w:space="0"/>
              <w:bottom w:val="single" w:color="auto" w:sz="4" w:space="0"/>
              <w:right w:val="single" w:color="auto" w:sz="4" w:space="0"/>
            </w:tcBorders>
            <w:vAlign w:val="center"/>
          </w:tcPr>
          <w:p w14:paraId="20AE04E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w:t>
            </w:r>
          </w:p>
        </w:tc>
        <w:tc>
          <w:tcPr>
            <w:tcW w:w="552" w:type="dxa"/>
            <w:tcBorders>
              <w:top w:val="single" w:color="auto" w:sz="4" w:space="0"/>
              <w:left w:val="single" w:color="auto" w:sz="4" w:space="0"/>
              <w:bottom w:val="single" w:color="auto" w:sz="4" w:space="0"/>
              <w:right w:val="single" w:color="auto" w:sz="4" w:space="0"/>
            </w:tcBorders>
            <w:vAlign w:val="center"/>
          </w:tcPr>
          <w:p w14:paraId="33D9805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2</w:t>
            </w:r>
          </w:p>
        </w:tc>
        <w:tc>
          <w:tcPr>
            <w:tcW w:w="552" w:type="dxa"/>
            <w:tcBorders>
              <w:top w:val="single" w:color="auto" w:sz="4" w:space="0"/>
              <w:left w:val="single" w:color="auto" w:sz="4" w:space="0"/>
              <w:bottom w:val="single" w:color="auto" w:sz="4" w:space="0"/>
              <w:right w:val="single" w:color="auto" w:sz="4" w:space="0"/>
            </w:tcBorders>
            <w:vAlign w:val="center"/>
          </w:tcPr>
          <w:p w14:paraId="32C5D1F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3</w:t>
            </w:r>
          </w:p>
        </w:tc>
        <w:tc>
          <w:tcPr>
            <w:tcW w:w="552" w:type="dxa"/>
            <w:tcBorders>
              <w:top w:val="single" w:color="auto" w:sz="4" w:space="0"/>
              <w:left w:val="single" w:color="auto" w:sz="4" w:space="0"/>
              <w:bottom w:val="single" w:color="auto" w:sz="4" w:space="0"/>
              <w:right w:val="single" w:color="auto" w:sz="4" w:space="0"/>
            </w:tcBorders>
            <w:vAlign w:val="center"/>
          </w:tcPr>
          <w:p w14:paraId="2B6FC17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4</w:t>
            </w:r>
          </w:p>
        </w:tc>
        <w:tc>
          <w:tcPr>
            <w:tcW w:w="552" w:type="dxa"/>
            <w:tcBorders>
              <w:top w:val="single" w:color="auto" w:sz="4" w:space="0"/>
              <w:left w:val="single" w:color="auto" w:sz="4" w:space="0"/>
              <w:bottom w:val="single" w:color="auto" w:sz="4" w:space="0"/>
              <w:right w:val="single" w:color="auto" w:sz="4" w:space="0"/>
            </w:tcBorders>
            <w:vAlign w:val="center"/>
          </w:tcPr>
          <w:p w14:paraId="23A715B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5</w:t>
            </w:r>
          </w:p>
        </w:tc>
        <w:tc>
          <w:tcPr>
            <w:tcW w:w="552" w:type="dxa"/>
            <w:tcBorders>
              <w:top w:val="single" w:color="auto" w:sz="4" w:space="0"/>
              <w:left w:val="single" w:color="auto" w:sz="4" w:space="0"/>
              <w:bottom w:val="single" w:color="auto" w:sz="4" w:space="0"/>
              <w:right w:val="single" w:color="auto" w:sz="4" w:space="0"/>
            </w:tcBorders>
            <w:vAlign w:val="center"/>
          </w:tcPr>
          <w:p w14:paraId="640300B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6</w:t>
            </w:r>
          </w:p>
        </w:tc>
        <w:tc>
          <w:tcPr>
            <w:tcW w:w="553" w:type="dxa"/>
            <w:tcBorders>
              <w:top w:val="single" w:color="auto" w:sz="4" w:space="0"/>
              <w:left w:val="single" w:color="auto" w:sz="4" w:space="0"/>
              <w:bottom w:val="single" w:color="auto" w:sz="4" w:space="0"/>
              <w:right w:val="single" w:color="auto" w:sz="4" w:space="0"/>
            </w:tcBorders>
            <w:vAlign w:val="center"/>
          </w:tcPr>
          <w:p w14:paraId="71DD868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7</w:t>
            </w:r>
          </w:p>
        </w:tc>
        <w:tc>
          <w:tcPr>
            <w:tcW w:w="553" w:type="dxa"/>
            <w:tcBorders>
              <w:top w:val="single" w:color="auto" w:sz="4" w:space="0"/>
              <w:left w:val="single" w:color="auto" w:sz="4" w:space="0"/>
              <w:bottom w:val="single" w:color="auto" w:sz="4" w:space="0"/>
              <w:right w:val="single" w:color="auto" w:sz="4" w:space="0"/>
            </w:tcBorders>
            <w:vAlign w:val="center"/>
          </w:tcPr>
          <w:p w14:paraId="16BF0B3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8</w:t>
            </w:r>
          </w:p>
        </w:tc>
        <w:tc>
          <w:tcPr>
            <w:tcW w:w="553" w:type="dxa"/>
            <w:tcBorders>
              <w:top w:val="single" w:color="auto" w:sz="4" w:space="0"/>
              <w:left w:val="single" w:color="auto" w:sz="4" w:space="0"/>
              <w:bottom w:val="single" w:color="auto" w:sz="4" w:space="0"/>
              <w:right w:val="single" w:color="auto" w:sz="4" w:space="0"/>
            </w:tcBorders>
            <w:vAlign w:val="center"/>
          </w:tcPr>
          <w:p w14:paraId="34FBD55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9</w:t>
            </w:r>
          </w:p>
        </w:tc>
        <w:tc>
          <w:tcPr>
            <w:tcW w:w="553" w:type="dxa"/>
            <w:tcBorders>
              <w:top w:val="single" w:color="auto" w:sz="4" w:space="0"/>
              <w:left w:val="single" w:color="auto" w:sz="4" w:space="0"/>
              <w:bottom w:val="single" w:color="auto" w:sz="4" w:space="0"/>
              <w:right w:val="single" w:color="auto" w:sz="4" w:space="0"/>
            </w:tcBorders>
            <w:vAlign w:val="center"/>
          </w:tcPr>
          <w:p w14:paraId="5653A8F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10</w:t>
            </w:r>
          </w:p>
        </w:tc>
        <w:tc>
          <w:tcPr>
            <w:tcW w:w="553" w:type="dxa"/>
            <w:tcBorders>
              <w:top w:val="single" w:color="auto" w:sz="4" w:space="0"/>
              <w:left w:val="single" w:color="auto" w:sz="4" w:space="0"/>
              <w:bottom w:val="single" w:color="auto" w:sz="4" w:space="0"/>
              <w:right w:val="single" w:color="auto" w:sz="4" w:space="0"/>
            </w:tcBorders>
            <w:vAlign w:val="center"/>
          </w:tcPr>
          <w:p w14:paraId="552C42A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11</w:t>
            </w:r>
          </w:p>
        </w:tc>
        <w:tc>
          <w:tcPr>
            <w:tcW w:w="553" w:type="dxa"/>
            <w:tcBorders>
              <w:top w:val="single" w:color="auto" w:sz="4" w:space="0"/>
              <w:left w:val="single" w:color="auto" w:sz="4" w:space="0"/>
              <w:bottom w:val="single" w:color="auto" w:sz="4" w:space="0"/>
              <w:right w:val="single" w:color="auto" w:sz="4" w:space="0"/>
            </w:tcBorders>
            <w:vAlign w:val="center"/>
          </w:tcPr>
          <w:p w14:paraId="4C06E8C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12</w:t>
            </w:r>
          </w:p>
        </w:tc>
        <w:tc>
          <w:tcPr>
            <w:tcW w:w="553" w:type="dxa"/>
            <w:tcBorders>
              <w:top w:val="single" w:color="auto" w:sz="4" w:space="0"/>
              <w:left w:val="single" w:color="auto" w:sz="4" w:space="0"/>
              <w:bottom w:val="single" w:color="auto" w:sz="4" w:space="0"/>
              <w:right w:val="single" w:color="auto" w:sz="4" w:space="0"/>
            </w:tcBorders>
            <w:vAlign w:val="center"/>
          </w:tcPr>
          <w:p w14:paraId="2D7B9D7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13</w:t>
            </w:r>
          </w:p>
        </w:tc>
        <w:tc>
          <w:tcPr>
            <w:tcW w:w="553" w:type="dxa"/>
            <w:tcBorders>
              <w:top w:val="single" w:color="auto" w:sz="4" w:space="0"/>
              <w:left w:val="single" w:color="auto" w:sz="4" w:space="0"/>
              <w:bottom w:val="single" w:color="auto" w:sz="4" w:space="0"/>
              <w:right w:val="single" w:color="auto" w:sz="4" w:space="0"/>
            </w:tcBorders>
            <w:vAlign w:val="center"/>
          </w:tcPr>
          <w:p w14:paraId="40A6E64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14</w:t>
            </w:r>
          </w:p>
        </w:tc>
        <w:tc>
          <w:tcPr>
            <w:tcW w:w="553" w:type="dxa"/>
            <w:tcBorders>
              <w:top w:val="single" w:color="auto" w:sz="4" w:space="0"/>
              <w:left w:val="single" w:color="auto" w:sz="4" w:space="0"/>
              <w:bottom w:val="single" w:color="auto" w:sz="4" w:space="0"/>
              <w:right w:val="single" w:color="auto" w:sz="4" w:space="0"/>
            </w:tcBorders>
            <w:vAlign w:val="center"/>
          </w:tcPr>
          <w:p w14:paraId="3C20415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15</w:t>
            </w:r>
          </w:p>
        </w:tc>
        <w:tc>
          <w:tcPr>
            <w:tcW w:w="553" w:type="dxa"/>
            <w:tcBorders>
              <w:top w:val="single" w:color="auto" w:sz="4" w:space="0"/>
              <w:left w:val="single" w:color="auto" w:sz="4" w:space="0"/>
              <w:bottom w:val="single" w:color="auto" w:sz="4" w:space="0"/>
              <w:right w:val="single" w:color="auto" w:sz="4" w:space="0"/>
            </w:tcBorders>
            <w:vAlign w:val="center"/>
          </w:tcPr>
          <w:p w14:paraId="739CF856">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w:t>
            </w:r>
          </w:p>
        </w:tc>
      </w:tr>
      <w:tr w14:paraId="5AB0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60D2E3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A3E36C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F908BF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98733C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619244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744BE0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D62C4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327F0E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3294B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A6FD55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9A1624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CB820B6">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8C7DA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70999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F1CE1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9E5F91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BAA8E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51D0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02D54686">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6BF71E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830CA5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C59627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CA1BA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7465FE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48DB66">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11237C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A51B0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D89DA2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66CCD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90F78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CC180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85E0C5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32F607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A492A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5B5CA0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07245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FB9D44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D5A5E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FAAD1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0FB6E3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646A20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AE14C3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8D3C2C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CC22D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59E2AF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8446BD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7ACC27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7F0AA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59702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352B9E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A28F15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FC7B1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C87C6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0ED2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B8B718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C40A68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AB992C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546557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8A7C6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6D4D11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1A1E51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B5D92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3446B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0FB1AE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288B7B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0890B8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7D39D4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01DD63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F68925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AC255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617C82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3799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B3E45A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FB3C3B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F63FC8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5EA1B4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8A744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50A19F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D71966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D1A3CF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FB33B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EB7A9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D1204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EBFF55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F03E86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D56B65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93580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CCED4D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F18F5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0EF9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5D7068F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F9BE4D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82E872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259A52F">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C522D1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7C9153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A84BF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1B98FB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B430A3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D5CA70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AC1986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3A110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75697A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8EE389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D64AA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9B545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2F5B67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31BF6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DEDFC6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EAA42C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439BFD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17938D4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CA8B8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0FA3AF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6723D2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F71259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839C88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00B2A3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F067FA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B06090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048EE1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EF2D7C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2F290A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ECC6F2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E84E3C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0A01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7F7ADD8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DF46AC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EE51F5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5B408A68">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21F256E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97955C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6FE150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FC4EA1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A86BF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3A81EB3">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5BE1657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4EB7C0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19D853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E575ED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DEA7ED5">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A190FC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D7B58BC">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r w14:paraId="4B89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14:paraId="607B28D4">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73953E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60C23377">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4790B52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0651CD12">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7195F56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2" w:type="dxa"/>
            <w:tcBorders>
              <w:top w:val="single" w:color="auto" w:sz="4" w:space="0"/>
              <w:left w:val="single" w:color="auto" w:sz="4" w:space="0"/>
              <w:bottom w:val="single" w:color="auto" w:sz="4" w:space="0"/>
              <w:right w:val="single" w:color="auto" w:sz="4" w:space="0"/>
            </w:tcBorders>
          </w:tcPr>
          <w:p w14:paraId="3944052A">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0A27B49E">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3C57F2D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155616C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12199A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A66FC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B4BDB2B">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26D78199">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6926C3CD">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7650D860">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53" w:type="dxa"/>
            <w:tcBorders>
              <w:top w:val="single" w:color="auto" w:sz="4" w:space="0"/>
              <w:left w:val="single" w:color="auto" w:sz="4" w:space="0"/>
              <w:bottom w:val="single" w:color="auto" w:sz="4" w:space="0"/>
              <w:right w:val="single" w:color="auto" w:sz="4" w:space="0"/>
            </w:tcBorders>
          </w:tcPr>
          <w:p w14:paraId="420187C1">
            <w:pPr>
              <w:keepNext w:val="0"/>
              <w:keepLines w:val="0"/>
              <w:suppressLineNumbers w:val="0"/>
              <w:spacing w:before="0" w:beforeAutospacing="0" w:after="0" w:afterAutospacing="0" w:line="360" w:lineRule="auto"/>
              <w:ind w:left="0" w:right="0" w:firstLine="480"/>
              <w:rPr>
                <w:rFonts w:hint="default" w:ascii="宋体" w:hAnsi="宋体" w:cs="仿宋_GB2312"/>
                <w:color w:val="auto"/>
                <w:sz w:val="24"/>
                <w:highlight w:val="none"/>
              </w:rPr>
            </w:pPr>
          </w:p>
        </w:tc>
      </w:tr>
    </w:tbl>
    <w:p w14:paraId="1A2E98AD">
      <w:pPr>
        <w:snapToGrid w:val="0"/>
        <w:spacing w:line="360" w:lineRule="auto"/>
        <w:ind w:firstLine="482"/>
        <w:rPr>
          <w:rFonts w:ascii="宋体" w:hAnsi="宋体" w:cs="仿宋_GB2312"/>
          <w:b/>
          <w:color w:val="auto"/>
          <w:sz w:val="24"/>
          <w:highlight w:val="none"/>
        </w:rPr>
      </w:pPr>
    </w:p>
    <w:p w14:paraId="41E97524">
      <w:pPr>
        <w:snapToGrid w:val="0"/>
        <w:spacing w:line="360" w:lineRule="auto"/>
        <w:ind w:firstLine="482"/>
        <w:rPr>
          <w:rFonts w:ascii="宋体" w:hAnsi="宋体"/>
          <w:color w:val="auto"/>
          <w:szCs w:val="21"/>
          <w:highlight w:val="none"/>
        </w:rPr>
      </w:pPr>
      <w:r>
        <w:rPr>
          <w:rFonts w:hint="eastAsia" w:ascii="宋体" w:hAnsi="宋体" w:cs="仿宋_GB2312"/>
          <w:b/>
          <w:color w:val="auto"/>
          <w:sz w:val="24"/>
          <w:highlight w:val="none"/>
        </w:rPr>
        <w:t>注：投标人可按上述时间表的格式自行编制切合实际的具体时间表。</w:t>
      </w:r>
      <w:r>
        <w:rPr>
          <w:rFonts w:ascii="宋体" w:hAnsi="宋体"/>
          <w:color w:val="auto"/>
          <w:szCs w:val="21"/>
          <w:highlight w:val="none"/>
        </w:rPr>
        <w:t xml:space="preserve"> </w:t>
      </w:r>
    </w:p>
    <w:p w14:paraId="1169F3E7">
      <w:pPr>
        <w:snapToGrid w:val="0"/>
        <w:spacing w:line="360" w:lineRule="auto"/>
        <w:ind w:firstLine="472" w:firstLineChars="196"/>
        <w:rPr>
          <w:rFonts w:ascii="宋体" w:hAnsi="宋体" w:cs="仿宋_GB2312"/>
          <w:b/>
          <w:bCs/>
          <w:color w:val="auto"/>
          <w:kern w:val="0"/>
          <w:sz w:val="24"/>
          <w:highlight w:val="none"/>
          <w:lang w:val="zh-CN"/>
        </w:rPr>
      </w:pPr>
    </w:p>
    <w:p w14:paraId="5A753E26">
      <w:pPr>
        <w:snapToGrid w:val="0"/>
        <w:spacing w:line="360" w:lineRule="auto"/>
        <w:ind w:firstLine="472" w:firstLineChars="196"/>
        <w:rPr>
          <w:rFonts w:ascii="宋体" w:hAnsi="宋体" w:cs="仿宋_GB2312"/>
          <w:b/>
          <w:bCs/>
          <w:color w:val="auto"/>
          <w:kern w:val="0"/>
          <w:sz w:val="24"/>
          <w:highlight w:val="none"/>
          <w:lang w:val="zh-CN"/>
        </w:rPr>
      </w:pPr>
    </w:p>
    <w:p w14:paraId="555409EA">
      <w:pPr>
        <w:snapToGrid w:val="0"/>
        <w:spacing w:line="360" w:lineRule="auto"/>
        <w:ind w:firstLine="472" w:firstLineChars="196"/>
        <w:rPr>
          <w:rFonts w:ascii="宋体" w:hAnsi="宋体" w:cs="仿宋_GB2312"/>
          <w:b/>
          <w:bCs/>
          <w:color w:val="auto"/>
          <w:kern w:val="0"/>
          <w:sz w:val="24"/>
          <w:highlight w:val="none"/>
          <w:lang w:val="zh-CN"/>
        </w:rPr>
      </w:pPr>
    </w:p>
    <w:p w14:paraId="05571792">
      <w:pPr>
        <w:snapToGrid w:val="0"/>
        <w:spacing w:line="360" w:lineRule="auto"/>
        <w:ind w:firstLine="472" w:firstLineChars="196"/>
        <w:rPr>
          <w:rFonts w:ascii="宋体" w:hAnsi="宋体" w:cs="仿宋_GB2312"/>
          <w:b/>
          <w:bCs/>
          <w:color w:val="auto"/>
          <w:kern w:val="0"/>
          <w:sz w:val="24"/>
          <w:highlight w:val="none"/>
          <w:lang w:val="zh-CN"/>
        </w:rPr>
      </w:pPr>
    </w:p>
    <w:p w14:paraId="17E28E28">
      <w:pPr>
        <w:snapToGrid w:val="0"/>
        <w:spacing w:line="360" w:lineRule="auto"/>
        <w:ind w:firstLine="472" w:firstLineChars="196"/>
        <w:rPr>
          <w:rFonts w:ascii="宋体" w:hAnsi="宋体" w:cs="仿宋_GB2312"/>
          <w:b/>
          <w:bCs/>
          <w:color w:val="auto"/>
          <w:kern w:val="0"/>
          <w:sz w:val="24"/>
          <w:highlight w:val="none"/>
          <w:lang w:val="zh-CN"/>
        </w:rPr>
      </w:pPr>
    </w:p>
    <w:p w14:paraId="6A7DB4B1">
      <w:pPr>
        <w:snapToGrid w:val="0"/>
        <w:spacing w:line="360" w:lineRule="auto"/>
        <w:ind w:firstLine="472" w:firstLineChars="196"/>
        <w:rPr>
          <w:rFonts w:ascii="宋体" w:hAnsi="宋体" w:cs="仿宋_GB2312"/>
          <w:b/>
          <w:bCs/>
          <w:color w:val="auto"/>
          <w:kern w:val="0"/>
          <w:sz w:val="24"/>
          <w:highlight w:val="none"/>
          <w:lang w:val="zh-CN"/>
        </w:rPr>
      </w:pPr>
    </w:p>
    <w:p w14:paraId="538FEAD5">
      <w:pPr>
        <w:snapToGrid w:val="0"/>
        <w:spacing w:line="360" w:lineRule="auto"/>
        <w:ind w:firstLine="472" w:firstLineChars="196"/>
        <w:rPr>
          <w:rFonts w:ascii="宋体" w:hAnsi="宋体" w:cs="仿宋_GB2312"/>
          <w:b/>
          <w:bCs/>
          <w:color w:val="auto"/>
          <w:kern w:val="0"/>
          <w:sz w:val="24"/>
          <w:highlight w:val="none"/>
          <w:lang w:val="zh-CN"/>
        </w:rPr>
      </w:pPr>
    </w:p>
    <w:p w14:paraId="0F6E1E5E">
      <w:pPr>
        <w:snapToGrid w:val="0"/>
        <w:spacing w:line="360" w:lineRule="auto"/>
        <w:ind w:firstLine="472" w:firstLineChars="196"/>
        <w:rPr>
          <w:rFonts w:ascii="宋体" w:hAnsi="宋体" w:cs="仿宋_GB2312"/>
          <w:b/>
          <w:bCs/>
          <w:color w:val="auto"/>
          <w:kern w:val="0"/>
          <w:sz w:val="24"/>
          <w:highlight w:val="none"/>
          <w:lang w:val="zh-CN"/>
        </w:rPr>
      </w:pPr>
    </w:p>
    <w:p w14:paraId="571B30B2">
      <w:pPr>
        <w:snapToGrid w:val="0"/>
        <w:spacing w:line="360" w:lineRule="auto"/>
        <w:ind w:firstLine="472" w:firstLineChars="196"/>
        <w:rPr>
          <w:rFonts w:ascii="宋体" w:hAnsi="宋体" w:cs="仿宋_GB2312"/>
          <w:b/>
          <w:bCs/>
          <w:color w:val="auto"/>
          <w:kern w:val="0"/>
          <w:sz w:val="24"/>
          <w:highlight w:val="none"/>
          <w:lang w:val="zh-CN"/>
        </w:rPr>
      </w:pPr>
    </w:p>
    <w:p w14:paraId="67AFA2A8">
      <w:pPr>
        <w:snapToGrid w:val="0"/>
        <w:spacing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（三）项目实施人员一览表</w:t>
      </w:r>
    </w:p>
    <w:p w14:paraId="14C07E9B">
      <w:pPr>
        <w:spacing w:line="360" w:lineRule="auto"/>
        <w:ind w:firstLine="480"/>
        <w:jc w:val="center"/>
        <w:rPr>
          <w:rFonts w:ascii="宋体" w:hAnsi="宋体" w:cs="仿宋_GB2312"/>
          <w:b/>
          <w:bCs/>
          <w:color w:val="auto"/>
          <w:sz w:val="24"/>
          <w:highlight w:val="none"/>
        </w:rPr>
      </w:pPr>
      <w:r>
        <w:rPr>
          <w:rFonts w:hint="eastAsia" w:ascii="宋体" w:hAnsi="宋体" w:cs="仿宋_GB2312"/>
          <w:color w:val="auto"/>
          <w:sz w:val="24"/>
          <w:highlight w:val="none"/>
        </w:rPr>
        <w:t>（由投标人根据采购需求及招标文件要求编制）</w:t>
      </w:r>
    </w:p>
    <w:p w14:paraId="4C427B73">
      <w:pPr>
        <w:pStyle w:val="15"/>
        <w:ind w:firstLine="480"/>
        <w:rPr>
          <w:rFonts w:hAnsi="宋体"/>
          <w:color w:val="auto"/>
          <w:sz w:val="24"/>
          <w:szCs w:val="24"/>
          <w:highlight w:val="none"/>
        </w:rPr>
      </w:pPr>
      <w:r>
        <w:rPr>
          <w:rFonts w:hint="eastAsia" w:hAnsi="宋体"/>
          <w:color w:val="auto"/>
          <w:sz w:val="24"/>
          <w:szCs w:val="24"/>
          <w:highlight w:val="none"/>
        </w:rPr>
        <w:t>所投分标：</w:t>
      </w:r>
      <w:r>
        <w:rPr>
          <w:rFonts w:hint="eastAsia" w:hAnsi="宋体"/>
          <w:color w:val="auto"/>
          <w:sz w:val="24"/>
          <w:szCs w:val="24"/>
          <w:highlight w:val="none"/>
          <w:u w:val="single"/>
        </w:rPr>
        <w:t xml:space="preserve">     </w:t>
      </w:r>
      <w:r>
        <w:rPr>
          <w:rFonts w:hint="eastAsia" w:hAnsi="宋体"/>
          <w:color w:val="auto"/>
          <w:sz w:val="24"/>
          <w:szCs w:val="24"/>
          <w:highlight w:val="none"/>
        </w:rPr>
        <w:t>分标</w:t>
      </w:r>
    </w:p>
    <w:p w14:paraId="160AEF0D">
      <w:pPr>
        <w:keepNext/>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附表A:本项目的项目经理情况表</w:t>
      </w:r>
    </w:p>
    <w:tbl>
      <w:tblPr>
        <w:tblStyle w:val="26"/>
        <w:tblW w:w="8755" w:type="dxa"/>
        <w:tblInd w:w="116" w:type="dxa"/>
        <w:tblLayout w:type="fixed"/>
        <w:tblCellMar>
          <w:top w:w="0" w:type="dxa"/>
          <w:left w:w="108" w:type="dxa"/>
          <w:bottom w:w="0" w:type="dxa"/>
          <w:right w:w="108" w:type="dxa"/>
        </w:tblCellMar>
      </w:tblPr>
      <w:tblGrid>
        <w:gridCol w:w="2061"/>
        <w:gridCol w:w="1287"/>
        <w:gridCol w:w="1260"/>
        <w:gridCol w:w="4147"/>
      </w:tblGrid>
      <w:tr w14:paraId="2C350496">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723922CA">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14:paraId="5BAFC75A">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A028AAD">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04CB5F8C">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r>
              <w:rPr>
                <w:rFonts w:hint="eastAsia" w:ascii="宋体" w:hAnsi="宋体" w:cs="仿宋_GB2312"/>
                <w:color w:val="auto"/>
                <w:sz w:val="24"/>
                <w:highlight w:val="none"/>
              </w:rPr>
              <w:t>投标截止时间前三年业绩及承担的主要工作情况，曾担任项目经理的项目应列明细</w:t>
            </w:r>
          </w:p>
        </w:tc>
      </w:tr>
      <w:tr w14:paraId="730FAFB6">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0BA286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1AFBD0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181F163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44CAC70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r>
      <w:tr w14:paraId="481229D5">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2367ED4D">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27E712F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3155B80F">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FD41999">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03964DCB">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2151A466">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14:paraId="6AB6EBE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064F4544">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ED025CA">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558FF3F3">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14:paraId="0F90A722">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14:paraId="78C9B5E4">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47B60C9A">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7D5AD09D">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62611ABC">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14:paraId="63FEBDE4">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14:paraId="74C8F8B1">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AA492DF">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650070FF">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6FE9727F">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14:paraId="697CB1C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14:paraId="57CCF6E9">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57906A22">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304D4F6">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23374ED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14:paraId="3E8C079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14:paraId="3B7EED9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25FAE7E3">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1605AC3">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335D35D7">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14:paraId="6E2FF671">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14:paraId="024E21D1">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14:paraId="34E77DAD">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297A1F6">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r w14:paraId="0E8CC50C">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DD655A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0E3784D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14:paraId="0FE64DD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207F5A8E">
            <w:pPr>
              <w:keepNext w:val="0"/>
              <w:keepLines w:val="0"/>
              <w:widowControl/>
              <w:suppressLineNumbers w:val="0"/>
              <w:spacing w:before="0" w:beforeAutospacing="0" w:after="0" w:afterAutospacing="0"/>
              <w:ind w:left="0" w:right="0" w:firstLine="480"/>
              <w:jc w:val="left"/>
              <w:rPr>
                <w:rFonts w:hint="default" w:ascii="宋体" w:hAnsi="宋体" w:cs="仿宋_GB2312"/>
                <w:color w:val="auto"/>
                <w:sz w:val="24"/>
                <w:highlight w:val="none"/>
              </w:rPr>
            </w:pPr>
          </w:p>
        </w:tc>
      </w:tr>
    </w:tbl>
    <w:p w14:paraId="273A89CB">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注：须随表提交相应的证书复印件并注明所在投标技术文件页码。</w:t>
      </w:r>
    </w:p>
    <w:p w14:paraId="3F4E4AED">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附表B:本项目的项目小组人员情况表</w:t>
      </w:r>
      <w:r>
        <w:rPr>
          <w:rFonts w:hint="eastAsia" w:ascii="宋体" w:hAnsi="宋体" w:cs="仿宋_GB2312"/>
          <w:color w:val="auto"/>
          <w:sz w:val="24"/>
          <w:highlight w:val="none"/>
        </w:rPr>
        <w:t>（按此格式自制）</w:t>
      </w:r>
    </w:p>
    <w:tbl>
      <w:tblPr>
        <w:tblStyle w:val="26"/>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064575D3">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471C05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A97B36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151B210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4F47BB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1CBEAE0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学历</w:t>
            </w:r>
          </w:p>
          <w:p w14:paraId="3258768D">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3620518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专业</w:t>
            </w:r>
          </w:p>
          <w:p w14:paraId="3C3A157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8265E41">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职称</w:t>
            </w:r>
          </w:p>
          <w:p w14:paraId="2618F38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6D98E0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B15524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59C4AF94">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参与本项目的到位情况</w:t>
            </w:r>
          </w:p>
        </w:tc>
      </w:tr>
      <w:tr w14:paraId="16AD962D">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60C156CA">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6CD2036C">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7C9411D">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0FEBBC77">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2E5BD5D7">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641673D">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1B03689">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0ED5404">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60A4CBF5">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3A10270">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r w14:paraId="368CD361">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8CF969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1FBE24CE">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39E074C">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1418A926">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6058EF51">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3954573E">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9952459">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ECA46C6">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F64E14B">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36F00B88">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bl>
    <w:p w14:paraId="6B6B7274">
      <w:pPr>
        <w:spacing w:line="360" w:lineRule="auto"/>
        <w:ind w:firstLine="482"/>
        <w:rPr>
          <w:rFonts w:ascii="宋体" w:hAnsi="宋体" w:cs="仿宋_GB2312"/>
          <w:b/>
          <w:bCs/>
          <w:color w:val="auto"/>
          <w:sz w:val="24"/>
          <w:highlight w:val="none"/>
        </w:rPr>
      </w:pPr>
      <w:r>
        <w:rPr>
          <w:rFonts w:hint="eastAsia" w:ascii="宋体" w:hAnsi="宋体" w:cs="仿宋_GB2312"/>
          <w:b/>
          <w:color w:val="auto"/>
          <w:sz w:val="24"/>
          <w:highlight w:val="none"/>
        </w:rPr>
        <w:t>注：投标人可按上述的格式自行编制，须随表提交相应的证书复印件并注明所在投标技术文件页码。</w:t>
      </w:r>
    </w:p>
    <w:p w14:paraId="078CB768">
      <w:pPr>
        <w:spacing w:line="360" w:lineRule="auto"/>
        <w:ind w:firstLine="482"/>
        <w:rPr>
          <w:rFonts w:ascii="宋体" w:hAnsi="宋体" w:cs="仿宋_GB2312"/>
          <w:b/>
          <w:bCs/>
          <w:color w:val="auto"/>
          <w:sz w:val="24"/>
          <w:highlight w:val="none"/>
        </w:rPr>
      </w:pPr>
      <w:r>
        <w:rPr>
          <w:rFonts w:hint="eastAsia" w:ascii="宋体" w:hAnsi="宋体" w:cs="仿宋_GB2312"/>
          <w:b/>
          <w:color w:val="auto"/>
          <w:sz w:val="24"/>
          <w:highlight w:val="none"/>
        </w:rPr>
        <w:t>附表C:本项目的项目经理和小组人员近3个月交纳社保记录情况表</w:t>
      </w:r>
      <w:r>
        <w:rPr>
          <w:rFonts w:hint="eastAsia" w:ascii="宋体" w:hAnsi="宋体" w:cs="仿宋_GB2312"/>
          <w:color w:val="auto"/>
          <w:sz w:val="24"/>
          <w:highlight w:val="none"/>
        </w:rPr>
        <w:t>（以社保局缴纳凭证作附件）</w:t>
      </w:r>
    </w:p>
    <w:p w14:paraId="07C67FEC">
      <w:pPr>
        <w:snapToGrid w:val="0"/>
        <w:spacing w:line="360" w:lineRule="auto"/>
        <w:ind w:firstLine="472" w:firstLineChars="196"/>
        <w:rPr>
          <w:rFonts w:ascii="宋体" w:hAnsi="宋体" w:cs="仿宋_GB2312"/>
          <w:b/>
          <w:bCs/>
          <w:color w:val="auto"/>
          <w:kern w:val="0"/>
          <w:sz w:val="24"/>
          <w:highlight w:val="none"/>
          <w:lang w:val="zh-CN"/>
        </w:rPr>
      </w:pPr>
    </w:p>
    <w:p w14:paraId="0F8DB88D">
      <w:pPr>
        <w:snapToGrid w:val="0"/>
        <w:spacing w:line="360" w:lineRule="auto"/>
        <w:ind w:firstLine="472" w:firstLineChars="196"/>
        <w:rPr>
          <w:rFonts w:ascii="宋体" w:hAnsi="宋体" w:cs="仿宋_GB2312"/>
          <w:b/>
          <w:bCs/>
          <w:color w:val="auto"/>
          <w:kern w:val="0"/>
          <w:sz w:val="24"/>
          <w:highlight w:val="none"/>
          <w:lang w:val="zh-CN"/>
        </w:rPr>
      </w:pPr>
    </w:p>
    <w:p w14:paraId="24CD0CE1">
      <w:pPr>
        <w:snapToGrid w:val="0"/>
        <w:spacing w:line="360" w:lineRule="auto"/>
        <w:ind w:firstLine="472" w:firstLineChars="196"/>
        <w:rPr>
          <w:rFonts w:ascii="宋体" w:hAnsi="宋体" w:cs="仿宋_GB2312"/>
          <w:b/>
          <w:bCs/>
          <w:color w:val="auto"/>
          <w:kern w:val="0"/>
          <w:sz w:val="24"/>
          <w:highlight w:val="none"/>
          <w:lang w:val="zh-CN"/>
        </w:rPr>
      </w:pPr>
    </w:p>
    <w:p w14:paraId="37D8B64F">
      <w:pPr>
        <w:snapToGrid w:val="0"/>
        <w:spacing w:line="360" w:lineRule="auto"/>
        <w:ind w:firstLine="472" w:firstLineChars="196"/>
        <w:rPr>
          <w:rFonts w:ascii="宋体" w:hAnsi="宋体" w:cs="仿宋_GB2312"/>
          <w:b/>
          <w:bCs/>
          <w:color w:val="auto"/>
          <w:kern w:val="0"/>
          <w:sz w:val="24"/>
          <w:highlight w:val="none"/>
          <w:lang w:val="zh-CN"/>
        </w:rPr>
      </w:pPr>
    </w:p>
    <w:p w14:paraId="06E8B739">
      <w:pPr>
        <w:snapToGrid w:val="0"/>
        <w:spacing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（四）技术服务内容</w:t>
      </w:r>
    </w:p>
    <w:p w14:paraId="7B6A3B92">
      <w:pPr>
        <w:autoSpaceDE w:val="0"/>
        <w:autoSpaceDN w:val="0"/>
        <w:spacing w:line="360" w:lineRule="auto"/>
        <w:ind w:firstLine="480" w:firstLineChars="200"/>
        <w:jc w:val="left"/>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3CED7243">
      <w:pPr>
        <w:snapToGrid w:val="0"/>
        <w:spacing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（五）技术培训内容</w:t>
      </w:r>
    </w:p>
    <w:p w14:paraId="15767403">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6C64C783">
      <w:pPr>
        <w:keepNext/>
        <w:autoSpaceDE w:val="0"/>
        <w:autoSpaceDN w:val="0"/>
        <w:spacing w:line="360" w:lineRule="auto"/>
        <w:ind w:firstLine="482"/>
        <w:jc w:val="left"/>
        <w:rPr>
          <w:rFonts w:ascii="宋体" w:hAnsi="宋体" w:cs="仿宋_GB2312"/>
          <w:b/>
          <w:color w:val="auto"/>
          <w:sz w:val="24"/>
          <w:highlight w:val="none"/>
        </w:rPr>
      </w:pPr>
      <w:r>
        <w:rPr>
          <w:rFonts w:hint="eastAsia" w:ascii="宋体" w:hAnsi="宋体" w:cs="仿宋_GB2312"/>
          <w:b/>
          <w:color w:val="auto"/>
          <w:sz w:val="24"/>
          <w:highlight w:val="none"/>
        </w:rPr>
        <w:t>附表: 培训日程及费用</w:t>
      </w:r>
    </w:p>
    <w:tbl>
      <w:tblPr>
        <w:tblStyle w:val="26"/>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02F1E725">
        <w:tblPrEx>
          <w:tblCellMar>
            <w:top w:w="0" w:type="dxa"/>
            <w:left w:w="120" w:type="dxa"/>
            <w:bottom w:w="0" w:type="dxa"/>
            <w:right w:w="120" w:type="dxa"/>
          </w:tblCellMar>
        </w:tblPrEx>
        <w:trPr>
          <w:trHeight w:val="764" w:hRule="atLeast"/>
        </w:trPr>
        <w:tc>
          <w:tcPr>
            <w:tcW w:w="1806" w:type="dxa"/>
            <w:tcBorders>
              <w:top w:val="single" w:color="auto" w:sz="6" w:space="0"/>
              <w:left w:val="single" w:color="auto" w:sz="6" w:space="0"/>
              <w:bottom w:val="nil"/>
              <w:right w:val="nil"/>
            </w:tcBorders>
            <w:shd w:val="pct10" w:color="auto" w:fill="auto"/>
            <w:vAlign w:val="center"/>
          </w:tcPr>
          <w:p w14:paraId="419E12DC">
            <w:pPr>
              <w:keepNext w:val="0"/>
              <w:keepLines w:val="0"/>
              <w:suppressLineNumbers w:val="0"/>
              <w:tabs>
                <w:tab w:val="center" w:pos="1690"/>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课程名称</w:t>
            </w:r>
          </w:p>
        </w:tc>
        <w:tc>
          <w:tcPr>
            <w:tcW w:w="1254" w:type="dxa"/>
            <w:tcBorders>
              <w:top w:val="single" w:color="auto" w:sz="6" w:space="0"/>
              <w:left w:val="single" w:color="auto" w:sz="6" w:space="0"/>
              <w:bottom w:val="nil"/>
              <w:right w:val="single" w:color="auto" w:sz="6" w:space="0"/>
            </w:tcBorders>
            <w:shd w:val="pct10" w:color="auto" w:fill="auto"/>
          </w:tcPr>
          <w:p w14:paraId="3236E717">
            <w:pPr>
              <w:keepNext w:val="0"/>
              <w:keepLines w:val="0"/>
              <w:suppressLineNumbers w:val="0"/>
              <w:tabs>
                <w:tab w:val="center" w:pos="595"/>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提供的资料</w:t>
            </w:r>
          </w:p>
        </w:tc>
        <w:tc>
          <w:tcPr>
            <w:tcW w:w="930" w:type="dxa"/>
            <w:tcBorders>
              <w:top w:val="single" w:color="auto" w:sz="6" w:space="0"/>
              <w:left w:val="single" w:color="auto" w:sz="6" w:space="0"/>
              <w:bottom w:val="nil"/>
              <w:right w:val="nil"/>
            </w:tcBorders>
            <w:shd w:val="pct10" w:color="auto" w:fill="auto"/>
            <w:vAlign w:val="center"/>
          </w:tcPr>
          <w:p w14:paraId="35017078">
            <w:pPr>
              <w:keepNext w:val="0"/>
              <w:keepLines w:val="0"/>
              <w:suppressLineNumbers w:val="0"/>
              <w:tabs>
                <w:tab w:val="center" w:pos="595"/>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持续时间</w:t>
            </w:r>
          </w:p>
        </w:tc>
        <w:tc>
          <w:tcPr>
            <w:tcW w:w="953" w:type="dxa"/>
            <w:tcBorders>
              <w:top w:val="single" w:color="auto" w:sz="6" w:space="0"/>
              <w:left w:val="single" w:color="auto" w:sz="6" w:space="0"/>
              <w:bottom w:val="nil"/>
              <w:right w:val="nil"/>
            </w:tcBorders>
            <w:shd w:val="pct10" w:color="auto" w:fill="auto"/>
            <w:vAlign w:val="center"/>
          </w:tcPr>
          <w:p w14:paraId="6D0159E4">
            <w:pPr>
              <w:keepNext w:val="0"/>
              <w:keepLines w:val="0"/>
              <w:suppressLineNumbers w:val="0"/>
              <w:tabs>
                <w:tab w:val="center" w:pos="1028"/>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授课教师</w:t>
            </w:r>
          </w:p>
        </w:tc>
        <w:tc>
          <w:tcPr>
            <w:tcW w:w="997" w:type="dxa"/>
            <w:tcBorders>
              <w:top w:val="single" w:color="auto" w:sz="6" w:space="0"/>
              <w:left w:val="single" w:color="auto" w:sz="6" w:space="0"/>
              <w:bottom w:val="nil"/>
              <w:right w:val="nil"/>
            </w:tcBorders>
            <w:shd w:val="pct10" w:color="auto" w:fill="auto"/>
            <w:vAlign w:val="center"/>
          </w:tcPr>
          <w:p w14:paraId="234B986F">
            <w:pPr>
              <w:keepNext w:val="0"/>
              <w:keepLines w:val="0"/>
              <w:suppressLineNumbers w:val="0"/>
              <w:tabs>
                <w:tab w:val="center" w:pos="595"/>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培训对象</w:t>
            </w:r>
          </w:p>
        </w:tc>
        <w:tc>
          <w:tcPr>
            <w:tcW w:w="1440" w:type="dxa"/>
            <w:tcBorders>
              <w:top w:val="single" w:color="auto" w:sz="6" w:space="0"/>
              <w:left w:val="single" w:color="auto" w:sz="6" w:space="0"/>
              <w:bottom w:val="nil"/>
              <w:right w:val="nil"/>
            </w:tcBorders>
            <w:shd w:val="pct10" w:color="auto" w:fill="auto"/>
            <w:vAlign w:val="center"/>
          </w:tcPr>
          <w:p w14:paraId="500C0B1A">
            <w:pPr>
              <w:keepNext w:val="0"/>
              <w:keepLines w:val="0"/>
              <w:suppressLineNumbers w:val="0"/>
              <w:tabs>
                <w:tab w:val="center" w:pos="520"/>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34FD9E64">
            <w:pPr>
              <w:keepNext w:val="0"/>
              <w:keepLines w:val="0"/>
              <w:suppressLineNumbers w:val="0"/>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课程费用</w:t>
            </w:r>
          </w:p>
        </w:tc>
      </w:tr>
      <w:tr w14:paraId="6164C81B">
        <w:tblPrEx>
          <w:tblCellMar>
            <w:top w:w="0" w:type="dxa"/>
            <w:left w:w="120" w:type="dxa"/>
            <w:bottom w:w="0" w:type="dxa"/>
            <w:right w:w="120" w:type="dxa"/>
          </w:tblCellMar>
        </w:tblPrEx>
        <w:trPr>
          <w:trHeight w:val="281" w:hRule="atLeast"/>
        </w:trPr>
        <w:tc>
          <w:tcPr>
            <w:tcW w:w="1806" w:type="dxa"/>
            <w:tcBorders>
              <w:top w:val="single" w:color="auto" w:sz="6" w:space="0"/>
              <w:left w:val="single" w:color="auto" w:sz="6" w:space="0"/>
              <w:bottom w:val="nil"/>
              <w:right w:val="nil"/>
            </w:tcBorders>
          </w:tcPr>
          <w:p w14:paraId="301E869F">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54" w:type="dxa"/>
            <w:tcBorders>
              <w:top w:val="single" w:color="auto" w:sz="6" w:space="0"/>
              <w:left w:val="single" w:color="auto" w:sz="6" w:space="0"/>
              <w:bottom w:val="nil"/>
              <w:right w:val="single" w:color="auto" w:sz="6" w:space="0"/>
            </w:tcBorders>
          </w:tcPr>
          <w:p w14:paraId="29435372">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30" w:type="dxa"/>
            <w:tcBorders>
              <w:top w:val="single" w:color="auto" w:sz="6" w:space="0"/>
              <w:left w:val="single" w:color="auto" w:sz="6" w:space="0"/>
              <w:bottom w:val="nil"/>
              <w:right w:val="nil"/>
            </w:tcBorders>
          </w:tcPr>
          <w:p w14:paraId="4EF43548">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53" w:type="dxa"/>
            <w:tcBorders>
              <w:top w:val="single" w:color="auto" w:sz="6" w:space="0"/>
              <w:left w:val="single" w:color="auto" w:sz="6" w:space="0"/>
              <w:bottom w:val="nil"/>
              <w:right w:val="nil"/>
            </w:tcBorders>
          </w:tcPr>
          <w:p w14:paraId="1914FBB9">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97" w:type="dxa"/>
            <w:tcBorders>
              <w:top w:val="single" w:color="auto" w:sz="6" w:space="0"/>
              <w:left w:val="single" w:color="auto" w:sz="6" w:space="0"/>
              <w:bottom w:val="nil"/>
              <w:right w:val="nil"/>
            </w:tcBorders>
          </w:tcPr>
          <w:p w14:paraId="57029AE0">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440" w:type="dxa"/>
            <w:tcBorders>
              <w:top w:val="single" w:color="auto" w:sz="6" w:space="0"/>
              <w:left w:val="single" w:color="auto" w:sz="6" w:space="0"/>
              <w:bottom w:val="nil"/>
              <w:right w:val="nil"/>
            </w:tcBorders>
          </w:tcPr>
          <w:p w14:paraId="68F345C8">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620" w:type="dxa"/>
            <w:tcBorders>
              <w:top w:val="single" w:color="auto" w:sz="6" w:space="0"/>
              <w:left w:val="single" w:color="auto" w:sz="6" w:space="0"/>
              <w:bottom w:val="nil"/>
              <w:right w:val="single" w:color="auto" w:sz="6" w:space="0"/>
            </w:tcBorders>
          </w:tcPr>
          <w:p w14:paraId="0AD32306">
            <w:pPr>
              <w:keepNext w:val="0"/>
              <w:keepLines w:val="0"/>
              <w:suppressLineNumbers w:val="0"/>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r w14:paraId="37C44BF5">
        <w:tblPrEx>
          <w:tblCellMar>
            <w:top w:w="0" w:type="dxa"/>
            <w:left w:w="120" w:type="dxa"/>
            <w:bottom w:w="0" w:type="dxa"/>
            <w:right w:w="120" w:type="dxa"/>
          </w:tblCellMar>
        </w:tblPrEx>
        <w:trPr>
          <w:trHeight w:val="273" w:hRule="atLeast"/>
        </w:trPr>
        <w:tc>
          <w:tcPr>
            <w:tcW w:w="1806" w:type="dxa"/>
            <w:tcBorders>
              <w:top w:val="single" w:color="auto" w:sz="6" w:space="0"/>
              <w:left w:val="single" w:color="auto" w:sz="6" w:space="0"/>
              <w:bottom w:val="nil"/>
              <w:right w:val="nil"/>
            </w:tcBorders>
          </w:tcPr>
          <w:p w14:paraId="19765480">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54" w:type="dxa"/>
            <w:tcBorders>
              <w:top w:val="single" w:color="auto" w:sz="6" w:space="0"/>
              <w:left w:val="single" w:color="auto" w:sz="6" w:space="0"/>
              <w:bottom w:val="nil"/>
              <w:right w:val="single" w:color="auto" w:sz="6" w:space="0"/>
            </w:tcBorders>
          </w:tcPr>
          <w:p w14:paraId="25368366">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30" w:type="dxa"/>
            <w:tcBorders>
              <w:top w:val="single" w:color="auto" w:sz="6" w:space="0"/>
              <w:left w:val="single" w:color="auto" w:sz="6" w:space="0"/>
              <w:bottom w:val="nil"/>
              <w:right w:val="nil"/>
            </w:tcBorders>
          </w:tcPr>
          <w:p w14:paraId="23871AF0">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53" w:type="dxa"/>
            <w:tcBorders>
              <w:top w:val="single" w:color="auto" w:sz="6" w:space="0"/>
              <w:left w:val="single" w:color="auto" w:sz="6" w:space="0"/>
              <w:bottom w:val="nil"/>
              <w:right w:val="nil"/>
            </w:tcBorders>
          </w:tcPr>
          <w:p w14:paraId="08FDA852">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97" w:type="dxa"/>
            <w:tcBorders>
              <w:top w:val="single" w:color="auto" w:sz="6" w:space="0"/>
              <w:left w:val="single" w:color="auto" w:sz="6" w:space="0"/>
              <w:bottom w:val="nil"/>
              <w:right w:val="nil"/>
            </w:tcBorders>
          </w:tcPr>
          <w:p w14:paraId="62E8C8F0">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440" w:type="dxa"/>
            <w:tcBorders>
              <w:top w:val="single" w:color="auto" w:sz="6" w:space="0"/>
              <w:left w:val="single" w:color="auto" w:sz="6" w:space="0"/>
              <w:bottom w:val="nil"/>
              <w:right w:val="nil"/>
            </w:tcBorders>
          </w:tcPr>
          <w:p w14:paraId="19157408">
            <w:pPr>
              <w:keepNext w:val="0"/>
              <w:keepLines w:val="0"/>
              <w:suppressLineNumbers w:val="0"/>
              <w:tabs>
                <w:tab w:val="left" w:pos="7"/>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620" w:type="dxa"/>
            <w:tcBorders>
              <w:top w:val="single" w:color="auto" w:sz="6" w:space="0"/>
              <w:left w:val="single" w:color="auto" w:sz="6" w:space="0"/>
              <w:bottom w:val="nil"/>
              <w:right w:val="single" w:color="auto" w:sz="6" w:space="0"/>
            </w:tcBorders>
          </w:tcPr>
          <w:p w14:paraId="6109AA33">
            <w:pPr>
              <w:keepNext w:val="0"/>
              <w:keepLines w:val="0"/>
              <w:suppressLineNumbers w:val="0"/>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r w14:paraId="7278A96B">
        <w:tblPrEx>
          <w:tblCellMar>
            <w:top w:w="0" w:type="dxa"/>
            <w:left w:w="120" w:type="dxa"/>
            <w:bottom w:w="0" w:type="dxa"/>
            <w:right w:w="120" w:type="dxa"/>
          </w:tblCellMar>
        </w:tblPrEx>
        <w:trPr>
          <w:trHeight w:val="110" w:hRule="atLeast"/>
        </w:trPr>
        <w:tc>
          <w:tcPr>
            <w:tcW w:w="1806" w:type="dxa"/>
            <w:tcBorders>
              <w:top w:val="single" w:color="auto" w:sz="6" w:space="0"/>
              <w:left w:val="single" w:color="auto" w:sz="6" w:space="0"/>
              <w:bottom w:val="single" w:color="auto" w:sz="6" w:space="0"/>
              <w:right w:val="single" w:color="auto" w:sz="6" w:space="0"/>
            </w:tcBorders>
            <w:vAlign w:val="center"/>
          </w:tcPr>
          <w:p w14:paraId="70A128C5">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费用总计</w:t>
            </w:r>
          </w:p>
        </w:tc>
        <w:tc>
          <w:tcPr>
            <w:tcW w:w="1254" w:type="dxa"/>
            <w:tcBorders>
              <w:top w:val="single" w:color="auto" w:sz="6" w:space="0"/>
              <w:left w:val="single" w:color="auto" w:sz="6" w:space="0"/>
              <w:bottom w:val="single" w:color="auto" w:sz="6" w:space="0"/>
              <w:right w:val="single" w:color="auto" w:sz="6" w:space="0"/>
            </w:tcBorders>
          </w:tcPr>
          <w:p w14:paraId="3A1DCAD0">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30" w:type="dxa"/>
            <w:tcBorders>
              <w:top w:val="single" w:color="auto" w:sz="6" w:space="0"/>
              <w:left w:val="single" w:color="auto" w:sz="6" w:space="0"/>
              <w:bottom w:val="single" w:color="auto" w:sz="6" w:space="0"/>
              <w:right w:val="single" w:color="auto" w:sz="6" w:space="0"/>
            </w:tcBorders>
          </w:tcPr>
          <w:p w14:paraId="5A67F38B">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53" w:type="dxa"/>
            <w:tcBorders>
              <w:top w:val="single" w:color="auto" w:sz="6" w:space="0"/>
              <w:left w:val="single" w:color="auto" w:sz="6" w:space="0"/>
              <w:bottom w:val="single" w:color="auto" w:sz="6" w:space="0"/>
              <w:right w:val="single" w:color="auto" w:sz="6" w:space="0"/>
            </w:tcBorders>
          </w:tcPr>
          <w:p w14:paraId="77BC2594">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97" w:type="dxa"/>
            <w:tcBorders>
              <w:top w:val="single" w:color="auto" w:sz="6" w:space="0"/>
              <w:left w:val="single" w:color="auto" w:sz="6" w:space="0"/>
              <w:bottom w:val="single" w:color="auto" w:sz="6" w:space="0"/>
              <w:right w:val="single" w:color="auto" w:sz="6" w:space="0"/>
            </w:tcBorders>
          </w:tcPr>
          <w:p w14:paraId="35647B9B">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440" w:type="dxa"/>
            <w:tcBorders>
              <w:top w:val="single" w:color="auto" w:sz="6" w:space="0"/>
              <w:left w:val="single" w:color="auto" w:sz="6" w:space="0"/>
              <w:bottom w:val="single" w:color="auto" w:sz="6" w:space="0"/>
              <w:right w:val="single" w:color="auto" w:sz="6" w:space="0"/>
            </w:tcBorders>
          </w:tcPr>
          <w:p w14:paraId="6897C551">
            <w:pPr>
              <w:keepNext w:val="0"/>
              <w:keepLines w:val="0"/>
              <w:suppressLineNumbers w:val="0"/>
              <w:tabs>
                <w:tab w:val="left" w:pos="7"/>
              </w:tabs>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620" w:type="dxa"/>
            <w:tcBorders>
              <w:top w:val="single" w:color="auto" w:sz="6" w:space="0"/>
              <w:left w:val="single" w:color="auto" w:sz="6" w:space="0"/>
              <w:bottom w:val="single" w:color="auto" w:sz="6" w:space="0"/>
              <w:right w:val="single" w:color="auto" w:sz="6" w:space="0"/>
            </w:tcBorders>
          </w:tcPr>
          <w:p w14:paraId="7964805F">
            <w:pPr>
              <w:keepNext w:val="0"/>
              <w:keepLines w:val="0"/>
              <w:suppressLineNumbers w:val="0"/>
              <w:suppressAutoHyphens/>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bl>
    <w:p w14:paraId="2A83233C">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注解:A</w:t>
      </w:r>
      <w:r>
        <w:rPr>
          <w:rFonts w:hint="eastAsia" w:ascii="宋体" w:hAnsi="宋体" w:cs="仿宋_GB2312"/>
          <w:color w:val="auto"/>
          <w:sz w:val="24"/>
          <w:highlight w:val="none"/>
        </w:rPr>
        <w:tab/>
      </w:r>
      <w:r>
        <w:rPr>
          <w:rFonts w:hint="eastAsia" w:ascii="宋体" w:hAnsi="宋体" w:cs="仿宋_GB2312"/>
          <w:color w:val="auto"/>
          <w:sz w:val="24"/>
          <w:highlight w:val="none"/>
        </w:rPr>
        <w:t>课程清单按时间顺序排列，并提供以下详细资料：</w:t>
      </w:r>
    </w:p>
    <w:p w14:paraId="0595B787">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ascii="宋体" w:hAnsi="宋体" w:cs="仿宋_GB2312"/>
          <w:color w:val="auto"/>
          <w:sz w:val="24"/>
          <w:highlight w:val="none"/>
        </w:rPr>
      </w:pPr>
      <w:r>
        <w:rPr>
          <w:rFonts w:hint="eastAsia" w:ascii="宋体" w:hAnsi="宋体" w:cs="仿宋_GB2312"/>
          <w:color w:val="auto"/>
          <w:sz w:val="24"/>
          <w:highlight w:val="none"/>
        </w:rPr>
        <w:t>课程概要</w:t>
      </w:r>
    </w:p>
    <w:p w14:paraId="32551258">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ascii="宋体" w:hAnsi="宋体" w:cs="仿宋_GB2312"/>
          <w:color w:val="auto"/>
          <w:sz w:val="24"/>
          <w:highlight w:val="none"/>
        </w:rPr>
      </w:pPr>
      <w:r>
        <w:rPr>
          <w:rFonts w:hint="eastAsia" w:ascii="宋体" w:hAnsi="宋体" w:cs="仿宋_GB2312"/>
          <w:color w:val="auto"/>
          <w:sz w:val="24"/>
          <w:highlight w:val="none"/>
        </w:rPr>
        <w:t>课程目的</w:t>
      </w:r>
    </w:p>
    <w:p w14:paraId="30AF83A0">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ascii="宋体" w:hAnsi="宋体" w:cs="仿宋_GB2312"/>
          <w:color w:val="auto"/>
          <w:sz w:val="24"/>
          <w:highlight w:val="none"/>
        </w:rPr>
      </w:pPr>
      <w:r>
        <w:rPr>
          <w:rFonts w:hint="eastAsia" w:ascii="宋体" w:hAnsi="宋体" w:cs="仿宋_GB2312"/>
          <w:color w:val="auto"/>
          <w:sz w:val="24"/>
          <w:highlight w:val="none"/>
        </w:rPr>
        <w:t>教学方式</w:t>
      </w:r>
    </w:p>
    <w:p w14:paraId="6DC1813A">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ascii="宋体" w:hAnsi="宋体" w:cs="仿宋_GB2312"/>
          <w:color w:val="auto"/>
          <w:sz w:val="24"/>
          <w:highlight w:val="none"/>
        </w:rPr>
      </w:pPr>
      <w:r>
        <w:rPr>
          <w:rFonts w:hint="eastAsia" w:ascii="宋体" w:hAnsi="宋体" w:cs="仿宋_GB2312"/>
          <w:color w:val="auto"/>
          <w:sz w:val="24"/>
          <w:highlight w:val="none"/>
        </w:rPr>
        <w:t>先决条件</w:t>
      </w:r>
    </w:p>
    <w:p w14:paraId="2B86FEF7">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firstLine="480"/>
        <w:rPr>
          <w:rFonts w:ascii="宋体" w:hAnsi="宋体" w:cs="仿宋_GB2312"/>
          <w:color w:val="auto"/>
          <w:sz w:val="24"/>
          <w:highlight w:val="none"/>
        </w:rPr>
      </w:pPr>
      <w:r>
        <w:rPr>
          <w:rFonts w:hint="eastAsia" w:ascii="宋体" w:hAnsi="宋体" w:cs="仿宋_GB2312"/>
          <w:color w:val="auto"/>
          <w:sz w:val="24"/>
          <w:highlight w:val="none"/>
        </w:rPr>
        <w:t>教材目录</w:t>
      </w:r>
    </w:p>
    <w:p w14:paraId="482807FF">
      <w:pPr>
        <w:autoSpaceDE w:val="0"/>
        <w:autoSpaceDN w:val="0"/>
        <w:spacing w:line="360" w:lineRule="auto"/>
        <w:ind w:firstLine="480"/>
        <w:rPr>
          <w:rFonts w:ascii="宋体" w:hAnsi="宋体" w:cs="仿宋_GB2312"/>
          <w:color w:val="auto"/>
          <w:sz w:val="24"/>
          <w:highlight w:val="none"/>
        </w:rPr>
      </w:pPr>
      <w:r>
        <w:rPr>
          <w:rFonts w:hint="eastAsia" w:ascii="宋体" w:hAnsi="宋体" w:cs="仿宋_GB2312"/>
          <w:color w:val="auto"/>
          <w:sz w:val="24"/>
          <w:highlight w:val="none"/>
        </w:rPr>
        <w:t>B  按照附表A提供授课教师的简历</w:t>
      </w:r>
    </w:p>
    <w:p w14:paraId="3CC316CC">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注：须随表提交相应的证书复印件并注明所在投标技术文件页码。</w:t>
      </w:r>
    </w:p>
    <w:p w14:paraId="7A0CED38">
      <w:pPr>
        <w:snapToGrid w:val="0"/>
        <w:spacing w:line="360" w:lineRule="auto"/>
        <w:ind w:firstLine="482"/>
        <w:rPr>
          <w:rFonts w:ascii="宋体" w:hAnsi="宋体" w:cs="仿宋_GB2312"/>
          <w:b/>
          <w:bCs/>
          <w:color w:val="auto"/>
          <w:kern w:val="0"/>
          <w:sz w:val="24"/>
          <w:highlight w:val="none"/>
        </w:rPr>
      </w:pPr>
    </w:p>
    <w:p w14:paraId="2BDEDCC2">
      <w:pPr>
        <w:snapToGrid w:val="0"/>
        <w:spacing w:line="360" w:lineRule="auto"/>
        <w:ind w:firstLine="4935" w:firstLineChars="2350"/>
        <w:rPr>
          <w:rFonts w:ascii="宋体" w:hAnsi="宋体"/>
          <w:color w:val="auto"/>
          <w:szCs w:val="21"/>
          <w:highlight w:val="none"/>
        </w:rPr>
      </w:pPr>
    </w:p>
    <w:p w14:paraId="5626A17D">
      <w:pPr>
        <w:pStyle w:val="25"/>
        <w:rPr>
          <w:rFonts w:ascii="宋体" w:hAnsi="宋体"/>
          <w:color w:val="auto"/>
          <w:szCs w:val="21"/>
          <w:highlight w:val="none"/>
        </w:rPr>
      </w:pPr>
    </w:p>
    <w:p w14:paraId="7BA7223B">
      <w:pPr>
        <w:pStyle w:val="25"/>
        <w:rPr>
          <w:rFonts w:ascii="宋体" w:hAnsi="宋体"/>
          <w:color w:val="auto"/>
          <w:szCs w:val="21"/>
          <w:highlight w:val="none"/>
        </w:rPr>
      </w:pPr>
    </w:p>
    <w:p w14:paraId="5189503B">
      <w:pPr>
        <w:pStyle w:val="25"/>
        <w:rPr>
          <w:rFonts w:ascii="宋体" w:hAnsi="宋体"/>
          <w:color w:val="auto"/>
          <w:szCs w:val="21"/>
          <w:highlight w:val="none"/>
        </w:rPr>
      </w:pPr>
    </w:p>
    <w:p w14:paraId="3AD82B76">
      <w:pPr>
        <w:pStyle w:val="25"/>
        <w:rPr>
          <w:rFonts w:ascii="宋体" w:hAnsi="宋体"/>
          <w:color w:val="auto"/>
          <w:szCs w:val="21"/>
          <w:highlight w:val="none"/>
        </w:rPr>
      </w:pPr>
    </w:p>
    <w:p w14:paraId="2D356BFA">
      <w:pPr>
        <w:pStyle w:val="25"/>
        <w:rPr>
          <w:rFonts w:ascii="宋体" w:hAnsi="宋体"/>
          <w:color w:val="auto"/>
          <w:szCs w:val="21"/>
          <w:highlight w:val="none"/>
        </w:rPr>
      </w:pPr>
    </w:p>
    <w:p w14:paraId="638A88C3">
      <w:pPr>
        <w:pStyle w:val="25"/>
        <w:rPr>
          <w:rFonts w:ascii="宋体" w:hAnsi="宋体"/>
          <w:color w:val="auto"/>
          <w:szCs w:val="21"/>
          <w:highlight w:val="none"/>
        </w:rPr>
      </w:pPr>
    </w:p>
    <w:p w14:paraId="4F5D0BDA">
      <w:pPr>
        <w:pStyle w:val="25"/>
        <w:rPr>
          <w:rFonts w:ascii="宋体" w:hAnsi="宋体"/>
          <w:color w:val="auto"/>
          <w:szCs w:val="21"/>
          <w:highlight w:val="none"/>
        </w:rPr>
      </w:pPr>
    </w:p>
    <w:p w14:paraId="6E3A9075">
      <w:pPr>
        <w:pStyle w:val="25"/>
        <w:rPr>
          <w:rFonts w:ascii="宋体" w:hAnsi="宋体"/>
          <w:color w:val="auto"/>
          <w:szCs w:val="21"/>
          <w:highlight w:val="none"/>
        </w:rPr>
      </w:pPr>
    </w:p>
    <w:p w14:paraId="168B7262">
      <w:pPr>
        <w:pStyle w:val="25"/>
        <w:rPr>
          <w:rFonts w:ascii="宋体" w:hAnsi="宋体"/>
          <w:color w:val="auto"/>
          <w:szCs w:val="21"/>
          <w:highlight w:val="none"/>
        </w:rPr>
      </w:pPr>
    </w:p>
    <w:p w14:paraId="4B798D13">
      <w:pPr>
        <w:pStyle w:val="25"/>
        <w:rPr>
          <w:rFonts w:ascii="宋体" w:hAnsi="宋体"/>
          <w:color w:val="auto"/>
          <w:szCs w:val="21"/>
          <w:highlight w:val="none"/>
        </w:rPr>
      </w:pPr>
    </w:p>
    <w:p w14:paraId="32980C9E">
      <w:pPr>
        <w:pStyle w:val="25"/>
        <w:rPr>
          <w:rFonts w:ascii="宋体" w:hAnsi="宋体"/>
          <w:color w:val="auto"/>
          <w:szCs w:val="21"/>
          <w:highlight w:val="none"/>
        </w:rPr>
      </w:pPr>
    </w:p>
    <w:p w14:paraId="7A7AC636">
      <w:pPr>
        <w:pStyle w:val="25"/>
        <w:rPr>
          <w:rFonts w:ascii="宋体" w:hAnsi="宋体"/>
          <w:color w:val="auto"/>
          <w:szCs w:val="21"/>
          <w:highlight w:val="none"/>
        </w:rPr>
      </w:pPr>
    </w:p>
    <w:p w14:paraId="1511A3B4">
      <w:pPr>
        <w:pStyle w:val="25"/>
        <w:rPr>
          <w:rFonts w:ascii="宋体" w:hAnsi="宋体"/>
          <w:color w:val="auto"/>
          <w:szCs w:val="21"/>
          <w:highlight w:val="none"/>
        </w:rPr>
      </w:pPr>
    </w:p>
    <w:p w14:paraId="0FB1EA83">
      <w:pPr>
        <w:pStyle w:val="25"/>
        <w:rPr>
          <w:rFonts w:ascii="宋体" w:hAnsi="宋体"/>
          <w:color w:val="auto"/>
          <w:szCs w:val="21"/>
          <w:highlight w:val="none"/>
        </w:rPr>
      </w:pPr>
    </w:p>
    <w:p w14:paraId="691EAF85">
      <w:pPr>
        <w:snapToGrid w:val="0"/>
        <w:spacing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（六）售后服务方案</w:t>
      </w:r>
    </w:p>
    <w:p w14:paraId="57FB282A">
      <w:pPr>
        <w:autoSpaceDE w:val="0"/>
        <w:autoSpaceDN w:val="0"/>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（由投标人根据采购需求及招标文件要求编制）</w:t>
      </w:r>
    </w:p>
    <w:p w14:paraId="78D0B0C6">
      <w:pPr>
        <w:snapToGrid w:val="0"/>
        <w:spacing w:before="165" w:beforeLines="50" w:after="50"/>
        <w:ind w:left="142" w:firstLine="643"/>
        <w:jc w:val="center"/>
        <w:rPr>
          <w:rFonts w:ascii="宋体" w:hAnsi="宋体"/>
          <w:b/>
          <w:color w:val="auto"/>
          <w:sz w:val="32"/>
          <w:szCs w:val="32"/>
          <w:highlight w:val="none"/>
        </w:rPr>
      </w:pPr>
      <w:r>
        <w:rPr>
          <w:rFonts w:hint="eastAsia" w:ascii="宋体" w:hAnsi="宋体"/>
          <w:b/>
          <w:color w:val="auto"/>
          <w:sz w:val="32"/>
          <w:szCs w:val="32"/>
          <w:highlight w:val="none"/>
        </w:rPr>
        <w:t>1、售后服务承诺</w:t>
      </w:r>
    </w:p>
    <w:p w14:paraId="4097DDC0">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附表A:售后服务机构情况表</w:t>
      </w:r>
      <w:r>
        <w:rPr>
          <w:rFonts w:hint="eastAsia" w:ascii="宋体" w:hAnsi="宋体" w:cs="仿宋_GB2312"/>
          <w:color w:val="auto"/>
          <w:sz w:val="24"/>
          <w:highlight w:val="none"/>
        </w:rPr>
        <w:t>（按此格式自制）</w:t>
      </w:r>
    </w:p>
    <w:tbl>
      <w:tblPr>
        <w:tblStyle w:val="26"/>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14:paraId="2B5D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5F4BD673">
            <w:pPr>
              <w:keepNext w:val="0"/>
              <w:keepLines w:val="0"/>
              <w:suppressLineNumbers w:val="0"/>
              <w:autoSpaceDE w:val="0"/>
              <w:autoSpaceDN w:val="0"/>
              <w:spacing w:before="0" w:beforeAutospacing="0" w:after="0" w:afterAutospacing="0" w:line="360" w:lineRule="auto"/>
              <w:ind w:left="0" w:right="0" w:firstLine="482"/>
              <w:jc w:val="center"/>
              <w:rPr>
                <w:rFonts w:hint="default" w:ascii="宋体" w:hAnsi="宋体" w:cs="仿宋_GB2312"/>
                <w:b/>
                <w:color w:val="auto"/>
                <w:sz w:val="24"/>
                <w:highlight w:val="none"/>
              </w:rPr>
            </w:pPr>
            <w:r>
              <w:rPr>
                <w:rFonts w:hint="eastAsia" w:ascii="宋体" w:hAnsi="宋体" w:cs="仿宋_GB2312"/>
                <w:b/>
                <w:color w:val="auto"/>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14:paraId="224E64E2">
            <w:pPr>
              <w:keepNext w:val="0"/>
              <w:keepLines w:val="0"/>
              <w:suppressLineNumbers w:val="0"/>
              <w:autoSpaceDE w:val="0"/>
              <w:autoSpaceDN w:val="0"/>
              <w:spacing w:before="0" w:beforeAutospacing="0" w:after="0" w:afterAutospacing="0" w:line="360" w:lineRule="auto"/>
              <w:ind w:left="0" w:right="0" w:firstLine="482"/>
              <w:jc w:val="center"/>
              <w:rPr>
                <w:rFonts w:hint="default" w:ascii="宋体" w:hAnsi="宋体" w:cs="仿宋_GB2312"/>
                <w:b/>
                <w:color w:val="auto"/>
                <w:sz w:val="24"/>
                <w:highlight w:val="none"/>
              </w:rPr>
            </w:pPr>
            <w:r>
              <w:rPr>
                <w:rFonts w:hint="eastAsia" w:ascii="宋体" w:hAnsi="宋体" w:cs="仿宋_GB2312"/>
                <w:b/>
                <w:color w:val="auto"/>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14:paraId="210DB173">
            <w:pPr>
              <w:keepNext w:val="0"/>
              <w:keepLines w:val="0"/>
              <w:suppressLineNumbers w:val="0"/>
              <w:autoSpaceDE w:val="0"/>
              <w:autoSpaceDN w:val="0"/>
              <w:spacing w:before="0" w:beforeAutospacing="0" w:after="0" w:afterAutospacing="0" w:line="360" w:lineRule="auto"/>
              <w:ind w:left="0" w:right="0" w:firstLine="482"/>
              <w:jc w:val="center"/>
              <w:rPr>
                <w:rFonts w:hint="default" w:ascii="宋体" w:hAnsi="宋体" w:cs="仿宋_GB2312"/>
                <w:b/>
                <w:color w:val="auto"/>
                <w:sz w:val="24"/>
                <w:highlight w:val="none"/>
              </w:rPr>
            </w:pPr>
            <w:r>
              <w:rPr>
                <w:rFonts w:hint="eastAsia" w:ascii="宋体" w:hAnsi="宋体" w:cs="仿宋_GB2312"/>
                <w:b/>
                <w:color w:val="auto"/>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14:paraId="02C3079F">
            <w:pPr>
              <w:keepNext w:val="0"/>
              <w:keepLines w:val="0"/>
              <w:suppressLineNumbers w:val="0"/>
              <w:autoSpaceDE w:val="0"/>
              <w:autoSpaceDN w:val="0"/>
              <w:spacing w:before="0" w:beforeAutospacing="0" w:after="0" w:afterAutospacing="0" w:line="360" w:lineRule="auto"/>
              <w:ind w:left="0" w:right="0" w:firstLine="482"/>
              <w:jc w:val="center"/>
              <w:rPr>
                <w:rFonts w:hint="default" w:ascii="宋体" w:hAnsi="宋体" w:cs="仿宋_GB2312"/>
                <w:b/>
                <w:color w:val="auto"/>
                <w:sz w:val="24"/>
                <w:highlight w:val="none"/>
              </w:rPr>
            </w:pPr>
            <w:r>
              <w:rPr>
                <w:rFonts w:hint="eastAsia" w:ascii="宋体" w:hAnsi="宋体" w:cs="仿宋_GB2312"/>
                <w:b/>
                <w:color w:val="auto"/>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14:paraId="28A3DF45">
            <w:pPr>
              <w:keepNext w:val="0"/>
              <w:keepLines w:val="0"/>
              <w:suppressLineNumbers w:val="0"/>
              <w:autoSpaceDE w:val="0"/>
              <w:autoSpaceDN w:val="0"/>
              <w:spacing w:before="0" w:beforeAutospacing="0" w:after="0" w:afterAutospacing="0" w:line="360" w:lineRule="auto"/>
              <w:ind w:left="0" w:right="0" w:firstLine="482"/>
              <w:jc w:val="center"/>
              <w:rPr>
                <w:rFonts w:hint="default" w:ascii="宋体" w:hAnsi="宋体" w:cs="仿宋_GB2312"/>
                <w:b/>
                <w:color w:val="auto"/>
                <w:sz w:val="24"/>
                <w:highlight w:val="none"/>
              </w:rPr>
            </w:pPr>
            <w:r>
              <w:rPr>
                <w:rFonts w:hint="eastAsia" w:ascii="宋体" w:hAnsi="宋体" w:cs="仿宋_GB2312"/>
                <w:b/>
                <w:color w:val="auto"/>
                <w:sz w:val="24"/>
                <w:highlight w:val="none"/>
              </w:rPr>
              <w:t>货物技术人员数量</w:t>
            </w:r>
          </w:p>
        </w:tc>
        <w:tc>
          <w:tcPr>
            <w:tcW w:w="1260" w:type="dxa"/>
            <w:tcBorders>
              <w:top w:val="single" w:color="auto" w:sz="4" w:space="0"/>
              <w:left w:val="single" w:color="auto" w:sz="4" w:space="0"/>
              <w:bottom w:val="single" w:color="auto" w:sz="4" w:space="0"/>
              <w:right w:val="single" w:color="auto" w:sz="4" w:space="0"/>
            </w:tcBorders>
          </w:tcPr>
          <w:p w14:paraId="0BEFEEC9">
            <w:pPr>
              <w:keepNext w:val="0"/>
              <w:keepLines w:val="0"/>
              <w:suppressLineNumbers w:val="0"/>
              <w:autoSpaceDE w:val="0"/>
              <w:autoSpaceDN w:val="0"/>
              <w:spacing w:before="0" w:beforeAutospacing="0" w:after="0" w:afterAutospacing="0" w:line="360" w:lineRule="auto"/>
              <w:ind w:left="0" w:right="0" w:firstLine="482"/>
              <w:jc w:val="center"/>
              <w:rPr>
                <w:rFonts w:hint="default" w:ascii="宋体" w:hAnsi="宋体" w:cs="仿宋_GB2312"/>
                <w:b/>
                <w:color w:val="auto"/>
                <w:sz w:val="24"/>
                <w:highlight w:val="none"/>
              </w:rPr>
            </w:pPr>
            <w:r>
              <w:rPr>
                <w:rFonts w:hint="eastAsia" w:ascii="宋体" w:hAnsi="宋体" w:cs="仿宋_GB2312"/>
                <w:b/>
                <w:color w:val="auto"/>
                <w:sz w:val="24"/>
                <w:highlight w:val="none"/>
              </w:rPr>
              <w:t>联系电话</w:t>
            </w:r>
          </w:p>
        </w:tc>
      </w:tr>
      <w:tr w14:paraId="60C6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A03FD33">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6EBDD5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01F19E3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66CFCC39">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DDD075E">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4FBF39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r>
      <w:tr w14:paraId="3805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35303C4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063866B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2E26E84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4152608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B230B6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87B81FF">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r>
      <w:tr w14:paraId="73D7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14:paraId="1EE70CFD">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7752DE1F">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095" w:type="dxa"/>
            <w:tcBorders>
              <w:top w:val="single" w:color="auto" w:sz="4" w:space="0"/>
              <w:left w:val="single" w:color="auto" w:sz="4" w:space="0"/>
              <w:bottom w:val="single" w:color="auto" w:sz="4" w:space="0"/>
              <w:right w:val="single" w:color="auto" w:sz="4" w:space="0"/>
            </w:tcBorders>
          </w:tcPr>
          <w:p w14:paraId="7A6E56A1">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45" w:type="dxa"/>
            <w:tcBorders>
              <w:top w:val="single" w:color="auto" w:sz="4" w:space="0"/>
              <w:left w:val="single" w:color="auto" w:sz="4" w:space="0"/>
              <w:bottom w:val="single" w:color="auto" w:sz="4" w:space="0"/>
              <w:right w:val="single" w:color="auto" w:sz="4" w:space="0"/>
            </w:tcBorders>
          </w:tcPr>
          <w:p w14:paraId="3DD9E97D">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6AF0EFEF">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68B4F702">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r>
    </w:tbl>
    <w:p w14:paraId="23216381">
      <w:pPr>
        <w:autoSpaceDE w:val="0"/>
        <w:autoSpaceDN w:val="0"/>
        <w:spacing w:line="360" w:lineRule="auto"/>
        <w:ind w:firstLine="482"/>
        <w:rPr>
          <w:rFonts w:ascii="宋体" w:hAnsi="宋体" w:cs="仿宋_GB2312"/>
          <w:b/>
          <w:color w:val="auto"/>
          <w:sz w:val="24"/>
          <w:highlight w:val="none"/>
        </w:rPr>
      </w:pPr>
      <w:r>
        <w:rPr>
          <w:rFonts w:hint="eastAsia" w:ascii="宋体" w:hAnsi="宋体" w:cs="仿宋_GB2312"/>
          <w:b/>
          <w:color w:val="auto"/>
          <w:sz w:val="24"/>
          <w:highlight w:val="none"/>
        </w:rPr>
        <w:t>注：关于项目涉及的所有售后服务机构均在本表注明，包括投标人本单位和符合条件的第三方货物机构；</w:t>
      </w:r>
    </w:p>
    <w:p w14:paraId="7105CFD2">
      <w:pPr>
        <w:autoSpaceDE w:val="0"/>
        <w:autoSpaceDN w:val="0"/>
        <w:spacing w:line="360" w:lineRule="auto"/>
        <w:ind w:firstLine="480"/>
        <w:rPr>
          <w:rFonts w:ascii="宋体" w:hAnsi="宋体" w:cs="仿宋_GB2312"/>
          <w:color w:val="auto"/>
          <w:kern w:val="0"/>
          <w:sz w:val="24"/>
          <w:highlight w:val="none"/>
        </w:rPr>
      </w:pPr>
    </w:p>
    <w:p w14:paraId="7A0F0E2E">
      <w:pPr>
        <w:autoSpaceDE w:val="0"/>
        <w:autoSpaceDN w:val="0"/>
        <w:spacing w:line="360" w:lineRule="auto"/>
        <w:ind w:firstLine="482"/>
        <w:rPr>
          <w:rFonts w:ascii="宋体" w:hAnsi="宋体" w:cs="仿宋_GB2312"/>
          <w:color w:val="auto"/>
          <w:kern w:val="0"/>
          <w:sz w:val="24"/>
          <w:highlight w:val="none"/>
        </w:rPr>
      </w:pPr>
      <w:r>
        <w:rPr>
          <w:rFonts w:hint="eastAsia" w:ascii="宋体" w:hAnsi="宋体" w:cs="仿宋_GB2312"/>
          <w:b/>
          <w:color w:val="auto"/>
          <w:kern w:val="0"/>
          <w:sz w:val="24"/>
          <w:highlight w:val="none"/>
        </w:rPr>
        <w:t>附表B：售后服务人员情况表</w:t>
      </w:r>
      <w:r>
        <w:rPr>
          <w:rFonts w:hint="eastAsia" w:ascii="宋体" w:hAnsi="宋体" w:cs="仿宋_GB2312"/>
          <w:color w:val="auto"/>
          <w:sz w:val="24"/>
          <w:highlight w:val="none"/>
        </w:rPr>
        <w:t>（按此格式自制）</w:t>
      </w:r>
    </w:p>
    <w:tbl>
      <w:tblPr>
        <w:tblStyle w:val="26"/>
        <w:tblW w:w="10000" w:type="dxa"/>
        <w:jc w:val="center"/>
        <w:tblLayout w:type="fixed"/>
        <w:tblCellMar>
          <w:top w:w="0" w:type="dxa"/>
          <w:left w:w="108" w:type="dxa"/>
          <w:bottom w:w="0" w:type="dxa"/>
          <w:right w:w="108" w:type="dxa"/>
        </w:tblCellMar>
      </w:tblPr>
      <w:tblGrid>
        <w:gridCol w:w="645"/>
        <w:gridCol w:w="745"/>
        <w:gridCol w:w="787"/>
        <w:gridCol w:w="412"/>
        <w:gridCol w:w="900"/>
        <w:gridCol w:w="1080"/>
        <w:gridCol w:w="1080"/>
        <w:gridCol w:w="1080"/>
        <w:gridCol w:w="1260"/>
        <w:gridCol w:w="900"/>
        <w:gridCol w:w="1111"/>
      </w:tblGrid>
      <w:tr w14:paraId="081F9B7E">
        <w:tblPrEx>
          <w:tblCellMar>
            <w:top w:w="0" w:type="dxa"/>
            <w:left w:w="108" w:type="dxa"/>
            <w:bottom w:w="0" w:type="dxa"/>
            <w:right w:w="108" w:type="dxa"/>
          </w:tblCellMar>
        </w:tblPrEx>
        <w:trPr>
          <w:jc w:val="center"/>
        </w:trPr>
        <w:tc>
          <w:tcPr>
            <w:tcW w:w="645" w:type="dxa"/>
            <w:tcBorders>
              <w:top w:val="single" w:color="auto" w:sz="6" w:space="0"/>
              <w:left w:val="single" w:color="auto" w:sz="6" w:space="0"/>
              <w:bottom w:val="single" w:color="auto" w:sz="6" w:space="0"/>
              <w:right w:val="single" w:color="auto" w:sz="4" w:space="0"/>
            </w:tcBorders>
            <w:vAlign w:val="center"/>
          </w:tcPr>
          <w:p w14:paraId="5384FCE8">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序号</w:t>
            </w:r>
          </w:p>
          <w:p w14:paraId="683BF2B6">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vAlign w:val="center"/>
          </w:tcPr>
          <w:p w14:paraId="6D69B92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14:paraId="3A8FD35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68D8FF0F">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14:paraId="70538DE1">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2426A6A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14:paraId="49EBF434">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14:paraId="551B2C76">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14:paraId="62C741F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6B3BD3B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14:paraId="3496A08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到达现场时间</w:t>
            </w:r>
          </w:p>
        </w:tc>
      </w:tr>
      <w:tr w14:paraId="7D126A01">
        <w:tblPrEx>
          <w:tblCellMar>
            <w:top w:w="0" w:type="dxa"/>
            <w:left w:w="108" w:type="dxa"/>
            <w:bottom w:w="0" w:type="dxa"/>
            <w:right w:w="108" w:type="dxa"/>
          </w:tblCellMar>
        </w:tblPrEx>
        <w:trPr>
          <w:trHeight w:val="607" w:hRule="atLeast"/>
          <w:jc w:val="center"/>
        </w:trPr>
        <w:tc>
          <w:tcPr>
            <w:tcW w:w="645" w:type="dxa"/>
            <w:tcBorders>
              <w:top w:val="single" w:color="auto" w:sz="6" w:space="0"/>
              <w:left w:val="single" w:color="auto" w:sz="6" w:space="0"/>
              <w:bottom w:val="single" w:color="auto" w:sz="6" w:space="0"/>
              <w:right w:val="single" w:color="auto" w:sz="4" w:space="0"/>
            </w:tcBorders>
          </w:tcPr>
          <w:p w14:paraId="25191BC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tcPr>
          <w:p w14:paraId="2C7197BC">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14:paraId="4979A523">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25D3A681">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36B870A">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598E2EB">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B2BC885">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1DC9DFB">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9EC89DF">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9F5F671">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72173DE7">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r w14:paraId="3E2E75DE">
        <w:tblPrEx>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tcPr>
          <w:p w14:paraId="62CC0907">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tcPr>
          <w:p w14:paraId="75C6E03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r>
              <w:rPr>
                <w:rFonts w:hint="eastAsia" w:ascii="宋体" w:hAnsi="宋体"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14:paraId="4B199470">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CB48872">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49C8AA0">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2445CDE">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5318DAD">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43A76900">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439355F">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246849FA">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3FD17BE2">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r w14:paraId="50625207">
        <w:tblPrEx>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tcPr>
          <w:p w14:paraId="059323AB">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tcPr>
          <w:p w14:paraId="0635C0F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0B3816C">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743B790B">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BA599A9">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A4E75BB">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DA1AD63">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E9E33E9">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49B0A8D">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44BB5DBF">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515E4236">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r w14:paraId="1615266C">
        <w:tblPrEx>
          <w:tblCellMar>
            <w:top w:w="0" w:type="dxa"/>
            <w:left w:w="108" w:type="dxa"/>
            <w:bottom w:w="0" w:type="dxa"/>
            <w:right w:w="108" w:type="dxa"/>
          </w:tblCellMar>
        </w:tblPrEx>
        <w:trPr>
          <w:trHeight w:val="595" w:hRule="atLeast"/>
          <w:jc w:val="center"/>
        </w:trPr>
        <w:tc>
          <w:tcPr>
            <w:tcW w:w="645" w:type="dxa"/>
            <w:tcBorders>
              <w:top w:val="single" w:color="auto" w:sz="6" w:space="0"/>
              <w:left w:val="single" w:color="auto" w:sz="6" w:space="0"/>
              <w:bottom w:val="single" w:color="auto" w:sz="6" w:space="0"/>
              <w:right w:val="single" w:color="auto" w:sz="4" w:space="0"/>
            </w:tcBorders>
          </w:tcPr>
          <w:p w14:paraId="59E45980">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45" w:type="dxa"/>
            <w:tcBorders>
              <w:top w:val="single" w:color="auto" w:sz="6" w:space="0"/>
              <w:left w:val="single" w:color="auto" w:sz="4" w:space="0"/>
              <w:bottom w:val="single" w:color="auto" w:sz="6" w:space="0"/>
              <w:right w:val="single" w:color="auto" w:sz="6" w:space="0"/>
            </w:tcBorders>
          </w:tcPr>
          <w:p w14:paraId="74B207C5">
            <w:pPr>
              <w:keepNext w:val="0"/>
              <w:keepLines w:val="0"/>
              <w:suppressLineNumbers w:val="0"/>
              <w:autoSpaceDE w:val="0"/>
              <w:autoSpaceDN w:val="0"/>
              <w:spacing w:before="0" w:beforeAutospacing="0" w:after="0" w:afterAutospacing="0" w:line="360" w:lineRule="auto"/>
              <w:ind w:left="0" w:right="0" w:firstLine="480"/>
              <w:jc w:val="center"/>
              <w:rPr>
                <w:rFonts w:hint="default" w:ascii="宋体" w:hAnsi="宋体"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5D480A7">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6E7C97AA">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03B63D04">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EA4D57D">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6D788653">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3A8FE15">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F65853A">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50E89251">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tcPr>
          <w:p w14:paraId="2631AE1B">
            <w:pPr>
              <w:keepNext w:val="0"/>
              <w:keepLines w:val="0"/>
              <w:suppressLineNumbers w:val="0"/>
              <w:autoSpaceDE w:val="0"/>
              <w:autoSpaceDN w:val="0"/>
              <w:spacing w:before="0" w:beforeAutospacing="0" w:after="0" w:afterAutospacing="0" w:line="360" w:lineRule="auto"/>
              <w:ind w:left="0" w:right="0" w:firstLine="480"/>
              <w:rPr>
                <w:rFonts w:hint="default" w:ascii="宋体" w:hAnsi="宋体" w:cs="仿宋_GB2312"/>
                <w:color w:val="auto"/>
                <w:sz w:val="24"/>
                <w:highlight w:val="none"/>
              </w:rPr>
            </w:pPr>
          </w:p>
        </w:tc>
      </w:tr>
    </w:tbl>
    <w:p w14:paraId="15E204BC">
      <w:pPr>
        <w:snapToGrid w:val="0"/>
        <w:spacing w:before="120" w:line="360" w:lineRule="auto"/>
        <w:ind w:firstLine="472" w:firstLineChars="196"/>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（七）其他（根据采购需求内容由投标人自行决定是否还有其他内容）</w:t>
      </w:r>
    </w:p>
    <w:p w14:paraId="23BE4CF6">
      <w:pPr>
        <w:snapToGrid w:val="0"/>
        <w:spacing w:before="165" w:beforeLines="50" w:after="50"/>
        <w:ind w:left="142" w:firstLine="643"/>
        <w:jc w:val="center"/>
        <w:rPr>
          <w:rFonts w:ascii="宋体" w:hAnsi="宋体"/>
          <w:b/>
          <w:color w:val="auto"/>
          <w:sz w:val="32"/>
          <w:szCs w:val="32"/>
          <w:highlight w:val="none"/>
        </w:rPr>
      </w:pPr>
    </w:p>
    <w:p w14:paraId="7175E093">
      <w:pPr>
        <w:snapToGrid w:val="0"/>
        <w:spacing w:before="165" w:beforeLines="50" w:line="360" w:lineRule="auto"/>
        <w:ind w:right="480" w:firstLine="3967" w:firstLineChars="1653"/>
        <w:rPr>
          <w:rFonts w:ascii="宋体" w:hAnsi="宋体"/>
          <w:color w:val="auto"/>
          <w:sz w:val="24"/>
          <w:highlight w:val="none"/>
        </w:rPr>
      </w:pPr>
    </w:p>
    <w:p w14:paraId="34F65242">
      <w:pPr>
        <w:snapToGrid w:val="0"/>
        <w:spacing w:line="360" w:lineRule="auto"/>
        <w:ind w:firstLine="5160" w:firstLineChars="21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056375BD">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40858014">
      <w:pPr>
        <w:snapToGrid w:val="0"/>
        <w:spacing w:before="165" w:beforeLines="50" w:after="50"/>
        <w:ind w:firstLine="482"/>
        <w:jc w:val="left"/>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color w:val="auto"/>
          <w:sz w:val="24"/>
          <w:highlight w:val="none"/>
        </w:rPr>
        <w:t xml:space="preserve"> </w:t>
      </w:r>
    </w:p>
    <w:p w14:paraId="42DDC856">
      <w:pPr>
        <w:snapToGrid w:val="0"/>
        <w:spacing w:before="165" w:beforeLines="50" w:after="50"/>
        <w:ind w:left="142" w:firstLine="643"/>
        <w:jc w:val="center"/>
        <w:rPr>
          <w:rFonts w:ascii="宋体" w:hAnsi="宋体"/>
          <w:b/>
          <w:color w:val="auto"/>
          <w:sz w:val="32"/>
          <w:szCs w:val="32"/>
          <w:highlight w:val="none"/>
        </w:rPr>
      </w:pPr>
      <w:r>
        <w:rPr>
          <w:rFonts w:hint="eastAsia" w:ascii="宋体" w:hAnsi="宋体"/>
          <w:b/>
          <w:color w:val="auto"/>
          <w:sz w:val="32"/>
          <w:szCs w:val="32"/>
          <w:highlight w:val="none"/>
        </w:rPr>
        <w:t>三、对本项目总体要求和理解（如有要求）</w:t>
      </w:r>
    </w:p>
    <w:p w14:paraId="78C06AAB">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48FF0C54">
      <w:pPr>
        <w:snapToGrid w:val="0"/>
        <w:spacing w:line="360" w:lineRule="auto"/>
        <w:ind w:firstLine="5160" w:firstLineChars="2150"/>
        <w:rPr>
          <w:rFonts w:ascii="宋体" w:hAnsi="宋体" w:cs="仿宋_GB2312"/>
          <w:color w:val="auto"/>
          <w:kern w:val="0"/>
          <w:sz w:val="24"/>
          <w:highlight w:val="none"/>
          <w:lang w:val="zh-CN"/>
        </w:rPr>
      </w:pPr>
    </w:p>
    <w:p w14:paraId="432737E1">
      <w:pPr>
        <w:snapToGrid w:val="0"/>
        <w:spacing w:line="360" w:lineRule="auto"/>
        <w:ind w:firstLine="5160" w:firstLineChars="21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1479F3DE">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25523584">
      <w:pPr>
        <w:snapToGrid w:val="0"/>
        <w:spacing w:before="165" w:beforeLines="50" w:after="50"/>
        <w:ind w:left="142" w:firstLine="643"/>
        <w:jc w:val="center"/>
        <w:rPr>
          <w:rFonts w:ascii="宋体" w:hAnsi="宋体"/>
          <w:b/>
          <w:color w:val="auto"/>
          <w:sz w:val="32"/>
          <w:szCs w:val="32"/>
          <w:highlight w:val="none"/>
        </w:rPr>
      </w:pPr>
      <w:r>
        <w:rPr>
          <w:rFonts w:hint="eastAsia" w:ascii="宋体" w:hAnsi="宋体"/>
          <w:b/>
          <w:color w:val="auto"/>
          <w:sz w:val="32"/>
          <w:szCs w:val="32"/>
          <w:highlight w:val="none"/>
        </w:rPr>
        <w:t>四、产品出厂标准、质量检测报告</w:t>
      </w:r>
    </w:p>
    <w:p w14:paraId="7AFE69DC">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0A560046">
      <w:pPr>
        <w:snapToGrid w:val="0"/>
        <w:spacing w:before="165" w:beforeLines="50" w:after="50"/>
        <w:ind w:left="142" w:firstLine="643"/>
        <w:jc w:val="center"/>
        <w:rPr>
          <w:rFonts w:ascii="宋体" w:hAnsi="宋体"/>
          <w:b/>
          <w:color w:val="auto"/>
          <w:sz w:val="32"/>
          <w:szCs w:val="32"/>
          <w:highlight w:val="none"/>
        </w:rPr>
      </w:pPr>
    </w:p>
    <w:p w14:paraId="702CCB32">
      <w:pPr>
        <w:snapToGrid w:val="0"/>
        <w:spacing w:line="360" w:lineRule="auto"/>
        <w:ind w:firstLine="5160" w:firstLineChars="215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0E66FBB4">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96745FC">
      <w:pPr>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五、优惠条件及特殊承诺</w:t>
      </w:r>
    </w:p>
    <w:p w14:paraId="7D07E3A7">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27FA4AB5">
      <w:pPr>
        <w:spacing w:line="360" w:lineRule="auto"/>
        <w:ind w:firstLine="360"/>
        <w:jc w:val="center"/>
        <w:rPr>
          <w:rFonts w:ascii="宋体" w:hAnsi="宋体" w:cs="仿宋_GB2312"/>
          <w:color w:val="auto"/>
          <w:sz w:val="18"/>
          <w:szCs w:val="18"/>
          <w:highlight w:val="none"/>
        </w:rPr>
      </w:pPr>
    </w:p>
    <w:p w14:paraId="176A0E14">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34AE38BC">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68C3AA1F">
      <w:pPr>
        <w:snapToGrid w:val="0"/>
        <w:spacing w:before="165" w:beforeLines="50" w:after="50"/>
        <w:ind w:left="142" w:firstLine="643"/>
        <w:jc w:val="center"/>
        <w:rPr>
          <w:rFonts w:ascii="宋体" w:hAnsi="宋体"/>
          <w:b/>
          <w:color w:val="auto"/>
          <w:sz w:val="32"/>
          <w:szCs w:val="32"/>
          <w:highlight w:val="none"/>
        </w:rPr>
      </w:pPr>
      <w:r>
        <w:rPr>
          <w:rFonts w:hint="eastAsia" w:ascii="宋体" w:hAnsi="宋体"/>
          <w:b/>
          <w:color w:val="auto"/>
          <w:sz w:val="32"/>
          <w:szCs w:val="32"/>
          <w:highlight w:val="none"/>
        </w:rPr>
        <w:t>六、投标人对项目的合理化建议和改进措施</w:t>
      </w:r>
    </w:p>
    <w:p w14:paraId="6DF9BFD3">
      <w:pPr>
        <w:spacing w:line="360" w:lineRule="auto"/>
        <w:ind w:firstLine="4048" w:firstLineChars="1687"/>
        <w:rPr>
          <w:rFonts w:ascii="宋体" w:hAnsi="宋体" w:cs="仿宋_GB2312"/>
          <w:color w:val="auto"/>
          <w:sz w:val="24"/>
          <w:highlight w:val="none"/>
        </w:rPr>
      </w:pPr>
      <w:r>
        <w:rPr>
          <w:rFonts w:hint="eastAsia" w:ascii="宋体" w:hAnsi="宋体" w:cs="仿宋_GB2312"/>
          <w:color w:val="auto"/>
          <w:sz w:val="24"/>
          <w:highlight w:val="none"/>
        </w:rPr>
        <w:t>（格式自拟）</w:t>
      </w:r>
    </w:p>
    <w:p w14:paraId="52027794">
      <w:pPr>
        <w:snapToGrid w:val="0"/>
        <w:spacing w:line="360" w:lineRule="auto"/>
        <w:ind w:firstLine="4935" w:firstLineChars="2350"/>
        <w:rPr>
          <w:rFonts w:ascii="宋体" w:hAnsi="宋体"/>
          <w:color w:val="auto"/>
          <w:szCs w:val="21"/>
          <w:highlight w:val="none"/>
        </w:rPr>
      </w:pPr>
      <w:r>
        <w:rPr>
          <w:rFonts w:ascii="宋体" w:hAnsi="宋体"/>
          <w:color w:val="auto"/>
          <w:szCs w:val="21"/>
          <w:highlight w:val="none"/>
        </w:rPr>
        <w:t xml:space="preserve"> </w:t>
      </w:r>
    </w:p>
    <w:p w14:paraId="56F35484">
      <w:pPr>
        <w:snapToGrid w:val="0"/>
        <w:spacing w:line="360" w:lineRule="auto"/>
        <w:ind w:firstLine="4935" w:firstLineChars="2350"/>
        <w:rPr>
          <w:rFonts w:ascii="宋体" w:hAnsi="宋体"/>
          <w:color w:val="auto"/>
          <w:szCs w:val="21"/>
          <w:highlight w:val="none"/>
        </w:rPr>
      </w:pPr>
    </w:p>
    <w:p w14:paraId="1CF4929C">
      <w:pPr>
        <w:snapToGrid w:val="0"/>
        <w:spacing w:line="360" w:lineRule="auto"/>
        <w:rPr>
          <w:rFonts w:ascii="宋体" w:hAnsi="宋体"/>
          <w:color w:val="auto"/>
          <w:szCs w:val="21"/>
          <w:highlight w:val="none"/>
        </w:rPr>
      </w:pPr>
    </w:p>
    <w:p w14:paraId="09690712">
      <w:pPr>
        <w:snapToGrid w:val="0"/>
        <w:spacing w:line="360" w:lineRule="auto"/>
        <w:ind w:firstLine="4935" w:firstLineChars="2350"/>
        <w:rPr>
          <w:rFonts w:ascii="宋体" w:hAnsi="宋体" w:cs="仿宋_GB2312"/>
          <w:color w:val="auto"/>
          <w:kern w:val="0"/>
          <w:sz w:val="24"/>
          <w:highlight w:val="none"/>
        </w:rPr>
      </w:pPr>
      <w:r>
        <w:rPr>
          <w:rFonts w:ascii="宋体" w:hAnsi="宋体"/>
          <w:color w:val="auto"/>
          <w:szCs w:val="21"/>
          <w:highlight w:val="none"/>
        </w:rPr>
        <w:t xml:space="preserve">  </w:t>
      </w:r>
      <w:r>
        <w:rPr>
          <w:rFonts w:hint="eastAsia" w:ascii="宋体" w:hAnsi="宋体" w:cs="仿宋_GB2312"/>
          <w:color w:val="auto"/>
          <w:kern w:val="0"/>
          <w:sz w:val="24"/>
          <w:highlight w:val="none"/>
          <w:lang w:val="zh-CN"/>
        </w:rPr>
        <w:t>投标人名称(电子签章)：</w:t>
      </w:r>
    </w:p>
    <w:p w14:paraId="14C02DAC">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651C5BFE">
      <w:pPr>
        <w:autoSpaceDE w:val="0"/>
        <w:autoSpaceDN w:val="0"/>
        <w:spacing w:line="360" w:lineRule="auto"/>
        <w:ind w:firstLine="480"/>
        <w:rPr>
          <w:rFonts w:ascii="宋体" w:hAnsi="宋体" w:cs="仿宋_GB2312"/>
          <w:color w:val="auto"/>
          <w:sz w:val="24"/>
          <w:highlight w:val="none"/>
        </w:rPr>
      </w:pPr>
    </w:p>
    <w:p w14:paraId="00181BF3">
      <w:pPr>
        <w:spacing w:line="360" w:lineRule="auto"/>
        <w:ind w:firstLine="643"/>
        <w:jc w:val="center"/>
        <w:rPr>
          <w:rFonts w:ascii="宋体" w:hAnsi="宋体"/>
          <w:b/>
          <w:color w:val="auto"/>
          <w:sz w:val="32"/>
          <w:szCs w:val="32"/>
          <w:highlight w:val="none"/>
        </w:rPr>
      </w:pPr>
      <w:r>
        <w:rPr>
          <w:rFonts w:hint="eastAsia" w:ascii="宋体" w:hAnsi="宋体"/>
          <w:b/>
          <w:color w:val="auto"/>
          <w:sz w:val="32"/>
          <w:szCs w:val="32"/>
          <w:highlight w:val="none"/>
        </w:rPr>
        <w:t>七、认为需要的其他技术文件或说明</w:t>
      </w:r>
    </w:p>
    <w:p w14:paraId="35702F9E">
      <w:pPr>
        <w:spacing w:line="360" w:lineRule="auto"/>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（由投标人根据采购需求自行编制）</w:t>
      </w:r>
    </w:p>
    <w:p w14:paraId="163DA6A0">
      <w:pPr>
        <w:spacing w:line="360" w:lineRule="auto"/>
        <w:ind w:firstLine="480"/>
        <w:jc w:val="center"/>
        <w:rPr>
          <w:rFonts w:ascii="宋体" w:hAnsi="宋体" w:cs="仿宋_GB2312"/>
          <w:color w:val="auto"/>
          <w:sz w:val="24"/>
          <w:highlight w:val="none"/>
        </w:rPr>
      </w:pPr>
    </w:p>
    <w:p w14:paraId="2C1C104B">
      <w:pPr>
        <w:autoSpaceDE w:val="0"/>
        <w:autoSpaceDN w:val="0"/>
        <w:spacing w:line="360" w:lineRule="auto"/>
        <w:ind w:firstLine="4800" w:firstLineChars="2000"/>
        <w:rPr>
          <w:rFonts w:ascii="宋体" w:hAnsi="宋体" w:cs="仿宋_GB2312"/>
          <w:color w:val="auto"/>
          <w:sz w:val="24"/>
          <w:highlight w:val="none"/>
        </w:rPr>
      </w:pPr>
      <w:r>
        <w:rPr>
          <w:rFonts w:hint="eastAsia" w:ascii="宋体" w:hAnsi="宋体" w:cs="仿宋_GB2312"/>
          <w:color w:val="auto"/>
          <w:kern w:val="0"/>
          <w:sz w:val="24"/>
          <w:highlight w:val="none"/>
        </w:rPr>
        <w:t>投标人名称（电子</w:t>
      </w:r>
      <w:r>
        <w:rPr>
          <w:rFonts w:hint="eastAsia" w:ascii="宋体" w:hAnsi="宋体" w:cs="仿宋_GB2312"/>
          <w:color w:val="auto"/>
          <w:kern w:val="0"/>
          <w:sz w:val="24"/>
          <w:highlight w:val="none"/>
          <w:lang w:val="zh-CN"/>
        </w:rPr>
        <w:t>签章</w:t>
      </w:r>
      <w:r>
        <w:rPr>
          <w:rFonts w:hint="eastAsia" w:ascii="宋体" w:hAnsi="宋体" w:cs="仿宋_GB2312"/>
          <w:color w:val="auto"/>
          <w:kern w:val="0"/>
          <w:sz w:val="24"/>
          <w:highlight w:val="none"/>
        </w:rPr>
        <w:t xml:space="preserve">）：                       </w:t>
      </w:r>
    </w:p>
    <w:p w14:paraId="3331501B">
      <w:pPr>
        <w:autoSpaceDE w:val="0"/>
        <w:autoSpaceDN w:val="0"/>
        <w:spacing w:line="360" w:lineRule="auto"/>
        <w:ind w:firstLine="480"/>
        <w:rPr>
          <w:rFonts w:ascii="宋体" w:hAnsi="宋体" w:cs="仿宋_GB2312"/>
          <w:b/>
          <w:bCs/>
          <w:color w:val="auto"/>
          <w:sz w:val="30"/>
          <w:szCs w:val="30"/>
          <w:highlight w:val="none"/>
        </w:rPr>
      </w:pP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日期：  年  月   日</w:t>
      </w:r>
    </w:p>
    <w:p w14:paraId="6C957F6B">
      <w:pPr>
        <w:widowControl/>
        <w:ind w:firstLine="482"/>
        <w:jc w:val="left"/>
        <w:rPr>
          <w:rFonts w:ascii="宋体" w:hAnsi="宋体"/>
          <w:b/>
          <w:bCs/>
          <w:color w:val="auto"/>
          <w:sz w:val="24"/>
          <w:highlight w:val="none"/>
        </w:rPr>
        <w:sectPr>
          <w:pgSz w:w="11906" w:h="16838"/>
          <w:pgMar w:top="1134" w:right="1134" w:bottom="1134" w:left="1134" w:header="720" w:footer="720" w:gutter="0"/>
          <w:cols w:space="720" w:num="1"/>
          <w:docGrid w:type="lines" w:linePitch="331" w:charSpace="0"/>
        </w:sectPr>
      </w:pPr>
    </w:p>
    <w:p w14:paraId="69828996">
      <w:pPr>
        <w:pStyle w:val="15"/>
        <w:ind w:firstLine="562"/>
        <w:jc w:val="center"/>
        <w:outlineLvl w:val="1"/>
        <w:rPr>
          <w:rFonts w:hAnsi="宋体"/>
          <w:b/>
          <w:bCs/>
          <w:color w:val="auto"/>
          <w:sz w:val="28"/>
          <w:szCs w:val="28"/>
          <w:highlight w:val="none"/>
        </w:rPr>
      </w:pPr>
      <w:bookmarkStart w:id="296" w:name="_Toc118383700"/>
      <w:r>
        <w:rPr>
          <w:rFonts w:hint="eastAsia" w:hAnsi="宋体"/>
          <w:b/>
          <w:bCs/>
          <w:color w:val="auto"/>
          <w:sz w:val="28"/>
          <w:szCs w:val="28"/>
          <w:highlight w:val="none"/>
        </w:rPr>
        <w:t>第五节 报价文件格式</w:t>
      </w:r>
      <w:bookmarkEnd w:id="296"/>
    </w:p>
    <w:p w14:paraId="6A9DE96B">
      <w:pPr>
        <w:snapToGrid w:val="0"/>
        <w:spacing w:before="165" w:beforeLines="50" w:after="50" w:line="400" w:lineRule="exact"/>
        <w:ind w:firstLine="48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6D53144A">
      <w:pPr>
        <w:snapToGrid w:val="0"/>
        <w:spacing w:before="165" w:beforeLines="50" w:after="50" w:line="400" w:lineRule="exact"/>
        <w:ind w:firstLine="480"/>
        <w:jc w:val="center"/>
        <w:rPr>
          <w:rFonts w:ascii="宋体" w:hAnsi="宋体"/>
          <w:bCs/>
          <w:color w:val="auto"/>
          <w:sz w:val="24"/>
          <w:szCs w:val="20"/>
          <w:highlight w:val="none"/>
        </w:rPr>
      </w:pPr>
    </w:p>
    <w:p w14:paraId="61027D92">
      <w:pPr>
        <w:snapToGrid w:val="0"/>
        <w:spacing w:before="165" w:beforeLines="50" w:after="50" w:line="400" w:lineRule="exact"/>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报价文件（封面）</w:t>
      </w:r>
    </w:p>
    <w:p w14:paraId="6B799B91">
      <w:pPr>
        <w:snapToGrid w:val="0"/>
        <w:spacing w:before="165" w:beforeLines="50" w:after="50" w:line="400" w:lineRule="exact"/>
        <w:ind w:firstLine="480"/>
        <w:rPr>
          <w:rFonts w:ascii="宋体" w:hAnsi="宋体"/>
          <w:bCs/>
          <w:color w:val="auto"/>
          <w:sz w:val="24"/>
          <w:szCs w:val="20"/>
          <w:highlight w:val="none"/>
        </w:rPr>
      </w:pPr>
    </w:p>
    <w:p w14:paraId="5D40CCEB">
      <w:pPr>
        <w:snapToGrid w:val="0"/>
        <w:spacing w:before="165" w:beforeLines="50" w:after="50" w:line="400" w:lineRule="exact"/>
        <w:ind w:firstLine="480"/>
        <w:rPr>
          <w:rFonts w:ascii="宋体" w:hAnsi="宋体"/>
          <w:bCs/>
          <w:color w:val="auto"/>
          <w:sz w:val="24"/>
          <w:szCs w:val="20"/>
          <w:highlight w:val="none"/>
        </w:rPr>
      </w:pPr>
    </w:p>
    <w:p w14:paraId="7523E911">
      <w:pPr>
        <w:snapToGrid w:val="0"/>
        <w:spacing w:before="165" w:beforeLines="50" w:after="50" w:line="400" w:lineRule="exact"/>
        <w:ind w:firstLine="480"/>
        <w:rPr>
          <w:rFonts w:ascii="宋体" w:hAnsi="宋体"/>
          <w:bCs/>
          <w:color w:val="auto"/>
          <w:sz w:val="24"/>
          <w:szCs w:val="20"/>
          <w:highlight w:val="none"/>
        </w:rPr>
      </w:pPr>
    </w:p>
    <w:p w14:paraId="32C894B0">
      <w:pPr>
        <w:snapToGrid w:val="0"/>
        <w:spacing w:before="165" w:beforeLines="50" w:after="50" w:line="400" w:lineRule="exact"/>
        <w:ind w:firstLine="480"/>
        <w:rPr>
          <w:rFonts w:ascii="宋体" w:hAnsi="宋体"/>
          <w:bCs/>
          <w:color w:val="auto"/>
          <w:sz w:val="24"/>
          <w:szCs w:val="20"/>
          <w:highlight w:val="none"/>
        </w:rPr>
      </w:pPr>
    </w:p>
    <w:p w14:paraId="3D7E23E3">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项目名称： 南宁职业技术大学跨境电子商务专业群实训室建设项目</w:t>
      </w:r>
    </w:p>
    <w:p w14:paraId="70A46961">
      <w:pPr>
        <w:snapToGrid w:val="0"/>
        <w:spacing w:before="165" w:beforeLines="50" w:after="50" w:line="400" w:lineRule="exact"/>
        <w:ind w:firstLine="360" w:firstLineChars="150"/>
        <w:rPr>
          <w:rFonts w:ascii="宋体" w:hAnsi="宋体"/>
          <w:bCs/>
          <w:color w:val="auto"/>
          <w:sz w:val="24"/>
          <w:highlight w:val="none"/>
        </w:rPr>
      </w:pPr>
    </w:p>
    <w:p w14:paraId="0BA7F70A">
      <w:pPr>
        <w:snapToGrid w:val="0"/>
        <w:spacing w:before="165" w:beforeLines="50" w:after="50" w:line="400" w:lineRule="exact"/>
        <w:ind w:firstLine="360" w:firstLineChars="150"/>
        <w:rPr>
          <w:rFonts w:hint="eastAsia" w:ascii="宋体" w:hAnsi="宋体" w:eastAsia="宋体"/>
          <w:bCs/>
          <w:color w:val="auto"/>
          <w:sz w:val="24"/>
          <w:highlight w:val="none"/>
          <w:lang w:eastAsia="zh-CN"/>
        </w:rPr>
      </w:pPr>
      <w:r>
        <w:rPr>
          <w:rFonts w:hint="eastAsia" w:ascii="宋体" w:hAnsi="宋体"/>
          <w:bCs/>
          <w:color w:val="auto"/>
          <w:sz w:val="24"/>
          <w:highlight w:val="none"/>
        </w:rPr>
        <w:t>项目编号：</w:t>
      </w:r>
      <w:r>
        <w:rPr>
          <w:rFonts w:hint="eastAsia" w:ascii="宋体" w:hAnsi="宋体"/>
          <w:bCs/>
          <w:color w:val="auto"/>
          <w:sz w:val="24"/>
          <w:highlight w:val="none"/>
          <w:lang w:eastAsia="zh-CN"/>
        </w:rPr>
        <w:t>NNZC2024-G1-991788-JDZB</w:t>
      </w:r>
    </w:p>
    <w:p w14:paraId="72CAE4EF">
      <w:pPr>
        <w:snapToGrid w:val="0"/>
        <w:spacing w:before="165" w:beforeLines="50" w:after="50" w:line="400" w:lineRule="exact"/>
        <w:ind w:firstLine="360" w:firstLineChars="150"/>
        <w:rPr>
          <w:rFonts w:ascii="宋体" w:hAnsi="宋体"/>
          <w:bCs/>
          <w:color w:val="auto"/>
          <w:sz w:val="24"/>
          <w:highlight w:val="none"/>
        </w:rPr>
      </w:pPr>
    </w:p>
    <w:p w14:paraId="082642BB">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14:paraId="225DE153">
      <w:pPr>
        <w:snapToGrid w:val="0"/>
        <w:spacing w:before="165" w:beforeLines="50" w:after="50" w:line="400" w:lineRule="exact"/>
        <w:ind w:firstLine="360" w:firstLineChars="150"/>
        <w:rPr>
          <w:rFonts w:ascii="宋体" w:hAnsi="宋体"/>
          <w:bCs/>
          <w:color w:val="auto"/>
          <w:sz w:val="24"/>
          <w:highlight w:val="none"/>
        </w:rPr>
      </w:pPr>
    </w:p>
    <w:p w14:paraId="7D4C16E0">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303FF22A">
      <w:pPr>
        <w:snapToGrid w:val="0"/>
        <w:spacing w:before="165" w:beforeLines="50" w:after="50" w:line="400" w:lineRule="exact"/>
        <w:ind w:firstLine="360" w:firstLineChars="150"/>
        <w:rPr>
          <w:rFonts w:ascii="宋体" w:hAnsi="宋体"/>
          <w:bCs/>
          <w:color w:val="auto"/>
          <w:sz w:val="24"/>
          <w:highlight w:val="none"/>
        </w:rPr>
      </w:pPr>
    </w:p>
    <w:p w14:paraId="6C3879DD">
      <w:pPr>
        <w:snapToGrid w:val="0"/>
        <w:spacing w:before="165"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投标人地址：</w:t>
      </w:r>
    </w:p>
    <w:p w14:paraId="53964274">
      <w:pPr>
        <w:pStyle w:val="8"/>
        <w:snapToGrid w:val="0"/>
        <w:spacing w:before="50" w:after="50" w:line="400" w:lineRule="exact"/>
        <w:ind w:firstLine="960" w:firstLineChars="400"/>
        <w:rPr>
          <w:rFonts w:ascii="宋体" w:hAnsi="宋体"/>
          <w:bCs/>
          <w:color w:val="auto"/>
          <w:sz w:val="24"/>
          <w:szCs w:val="24"/>
          <w:highlight w:val="none"/>
        </w:rPr>
      </w:pPr>
    </w:p>
    <w:p w14:paraId="5AF187A8">
      <w:pPr>
        <w:snapToGrid w:val="0"/>
        <w:spacing w:before="165" w:beforeLines="50" w:after="50" w:line="400" w:lineRule="exact"/>
        <w:ind w:firstLine="480"/>
        <w:rPr>
          <w:rFonts w:ascii="宋体" w:hAnsi="宋体"/>
          <w:color w:val="auto"/>
          <w:sz w:val="24"/>
          <w:highlight w:val="none"/>
        </w:rPr>
      </w:pPr>
      <w:r>
        <w:rPr>
          <w:rFonts w:hint="eastAsia" w:ascii="宋体" w:hAnsi="宋体"/>
          <w:color w:val="auto"/>
          <w:sz w:val="24"/>
          <w:highlight w:val="none"/>
        </w:rPr>
        <w:t xml:space="preserve">                                                       年  月  日</w:t>
      </w:r>
    </w:p>
    <w:p w14:paraId="057B9BF6">
      <w:pPr>
        <w:widowControl/>
        <w:ind w:firstLine="480"/>
        <w:jc w:val="left"/>
        <w:rPr>
          <w:rFonts w:ascii="宋体" w:hAnsi="宋体"/>
          <w:color w:val="auto"/>
          <w:sz w:val="24"/>
          <w:highlight w:val="none"/>
        </w:rPr>
        <w:sectPr>
          <w:pgSz w:w="11906" w:h="16838"/>
          <w:pgMar w:top="1134" w:right="1134" w:bottom="1134" w:left="1134" w:header="720" w:footer="720" w:gutter="0"/>
          <w:cols w:space="720" w:num="1"/>
          <w:docGrid w:type="lines" w:linePitch="331" w:charSpace="0"/>
        </w:sectPr>
      </w:pPr>
    </w:p>
    <w:p w14:paraId="3D34FCD2">
      <w:pPr>
        <w:rPr>
          <w:rFonts w:ascii="宋体" w:hAnsi="宋体" w:cs="宋体"/>
          <w:color w:val="auto"/>
          <w:highlight w:val="none"/>
        </w:rPr>
      </w:pPr>
    </w:p>
    <w:p w14:paraId="526B60B9">
      <w:pPr>
        <w:snapToGrid w:val="0"/>
        <w:spacing w:before="165" w:beforeLines="50" w:after="50" w:line="400" w:lineRule="exact"/>
        <w:ind w:firstLine="643"/>
        <w:jc w:val="center"/>
        <w:rPr>
          <w:rFonts w:ascii="宋体" w:hAnsi="宋体"/>
          <w:b/>
          <w:bCs/>
          <w:color w:val="auto"/>
          <w:sz w:val="32"/>
          <w:szCs w:val="32"/>
          <w:highlight w:val="none"/>
        </w:rPr>
      </w:pPr>
      <w:r>
        <w:rPr>
          <w:rFonts w:hint="eastAsia" w:ascii="宋体" w:hAnsi="宋体"/>
          <w:b/>
          <w:bCs/>
          <w:color w:val="auto"/>
          <w:sz w:val="32"/>
          <w:szCs w:val="32"/>
          <w:highlight w:val="none"/>
        </w:rPr>
        <w:t>报价文件目录</w:t>
      </w:r>
    </w:p>
    <w:p w14:paraId="676727C9">
      <w:pPr>
        <w:rPr>
          <w:rFonts w:ascii="宋体" w:hAnsi="宋体" w:cs="宋体"/>
          <w:color w:val="auto"/>
          <w:highlight w:val="none"/>
        </w:rPr>
      </w:pPr>
    </w:p>
    <w:p w14:paraId="5F6C9D32">
      <w:pPr>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一、投标函………………………………………………………（页码）</w:t>
      </w:r>
    </w:p>
    <w:p w14:paraId="7D908A9B">
      <w:pPr>
        <w:ind w:firstLine="480"/>
        <w:rPr>
          <w:rFonts w:ascii="宋体" w:hAnsi="宋体" w:cs="仿宋_GB2312"/>
          <w:color w:val="auto"/>
          <w:kern w:val="0"/>
          <w:sz w:val="24"/>
          <w:highlight w:val="none"/>
        </w:rPr>
      </w:pPr>
      <w:r>
        <w:rPr>
          <w:rFonts w:hint="eastAsia" w:ascii="宋体" w:hAnsi="宋体" w:cs="仿宋_GB2312"/>
          <w:color w:val="auto"/>
          <w:kern w:val="0"/>
          <w:sz w:val="24"/>
          <w:highlight w:val="none"/>
        </w:rPr>
        <w:t>二、开标一览表…………………………………………………（页码）</w:t>
      </w:r>
    </w:p>
    <w:p w14:paraId="6C5CBEAC">
      <w:pPr>
        <w:spacing w:line="360" w:lineRule="auto"/>
        <w:ind w:firstLine="480"/>
        <w:rPr>
          <w:rFonts w:ascii="宋体" w:hAnsi="宋体" w:cs="仿宋_GB2312"/>
          <w:color w:val="auto"/>
          <w:sz w:val="24"/>
          <w:highlight w:val="none"/>
        </w:rPr>
      </w:pPr>
      <w:r>
        <w:rPr>
          <w:rFonts w:hint="eastAsia" w:ascii="宋体" w:hAnsi="宋体" w:cs="仿宋_GB2312"/>
          <w:color w:val="auto"/>
          <w:kern w:val="0"/>
          <w:sz w:val="24"/>
          <w:highlight w:val="none"/>
        </w:rPr>
        <w:t>三、中小企业声明函……………………………………………（页码）</w:t>
      </w:r>
    </w:p>
    <w:p w14:paraId="0117DEDD">
      <w:pPr>
        <w:widowControl/>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216D29BB">
      <w:pPr>
        <w:pStyle w:val="15"/>
        <w:spacing w:line="500" w:lineRule="exact"/>
        <w:ind w:firstLine="602"/>
        <w:jc w:val="center"/>
        <w:rPr>
          <w:rFonts w:hAnsi="宋体"/>
          <w:b/>
          <w:bCs/>
          <w:color w:val="auto"/>
          <w:sz w:val="30"/>
          <w:szCs w:val="30"/>
          <w:highlight w:val="none"/>
        </w:rPr>
      </w:pPr>
      <w:r>
        <w:rPr>
          <w:rFonts w:hint="eastAsia" w:hAnsi="宋体"/>
          <w:b/>
          <w:bCs/>
          <w:color w:val="auto"/>
          <w:sz w:val="30"/>
          <w:szCs w:val="30"/>
          <w:highlight w:val="none"/>
        </w:rPr>
        <w:t>一、投标函</w:t>
      </w:r>
    </w:p>
    <w:p w14:paraId="49ED6C82">
      <w:pPr>
        <w:pStyle w:val="15"/>
        <w:spacing w:line="440" w:lineRule="exact"/>
        <w:ind w:firstLine="420" w:firstLineChars="200"/>
        <w:rPr>
          <w:rFonts w:hAnsi="宋体"/>
          <w:color w:val="auto"/>
          <w:highlight w:val="none"/>
        </w:rPr>
      </w:pPr>
      <w:r>
        <w:rPr>
          <w:rFonts w:hint="eastAsia" w:hAnsi="宋体"/>
          <w:color w:val="auto"/>
          <w:highlight w:val="none"/>
        </w:rPr>
        <w:t>致：</w:t>
      </w:r>
      <w:r>
        <w:rPr>
          <w:rFonts w:hint="eastAsia" w:hAnsi="宋体"/>
          <w:color w:val="auto"/>
          <w:highlight w:val="none"/>
          <w:u w:val="single"/>
        </w:rPr>
        <w:t>广西机电设备招标有限公司</w:t>
      </w:r>
      <w:r>
        <w:rPr>
          <w:rFonts w:hAnsi="宋体"/>
          <w:color w:val="auto"/>
          <w:highlight w:val="none"/>
        </w:rPr>
        <w:t xml:space="preserve"> </w:t>
      </w:r>
    </w:p>
    <w:p w14:paraId="3AEE3D0C">
      <w:pPr>
        <w:pStyle w:val="15"/>
        <w:spacing w:line="440" w:lineRule="exact"/>
        <w:ind w:firstLine="420" w:firstLineChars="200"/>
        <w:rPr>
          <w:rFonts w:hAnsi="宋体"/>
          <w:color w:val="auto"/>
          <w:highlight w:val="none"/>
        </w:rPr>
      </w:pPr>
      <w:r>
        <w:rPr>
          <w:rFonts w:hint="eastAsia" w:hAnsi="宋体"/>
          <w:color w:val="auto"/>
          <w:highlight w:val="none"/>
        </w:rPr>
        <w:t>我方已仔细阅读了贵方组织的</w:t>
      </w:r>
      <w:r>
        <w:rPr>
          <w:rFonts w:hAnsi="宋体"/>
          <w:color w:val="auto"/>
          <w:highlight w:val="none"/>
          <w:u w:val="single"/>
        </w:rPr>
        <w:t xml:space="preserve">  </w:t>
      </w:r>
      <w:r>
        <w:rPr>
          <w:rFonts w:hint="eastAsia" w:hAnsi="宋体"/>
          <w:color w:val="auto"/>
          <w:highlight w:val="none"/>
          <w:u w:val="single"/>
        </w:rPr>
        <w:t>南宁职业技术大学跨境电子商务专业群实训室建设项目</w:t>
      </w:r>
      <w:r>
        <w:rPr>
          <w:rFonts w:hint="eastAsia" w:hAnsi="宋体"/>
          <w:color w:val="auto"/>
          <w:highlight w:val="none"/>
        </w:rPr>
        <w:t>项目（项目编号：</w:t>
      </w:r>
      <w:r>
        <w:rPr>
          <w:rFonts w:hint="eastAsia" w:hAnsi="宋体"/>
          <w:color w:val="auto"/>
          <w:highlight w:val="none"/>
          <w:lang w:eastAsia="zh-CN"/>
        </w:rPr>
        <w:t>NNZC2024-G1-991788-JDZB</w:t>
      </w:r>
      <w:r>
        <w:rPr>
          <w:rFonts w:hint="eastAsia" w:hAnsi="宋体"/>
          <w:color w:val="auto"/>
          <w:highlight w:val="none"/>
        </w:rPr>
        <w:t>）的招标文件的全部内容，授权</w:t>
      </w:r>
      <w:r>
        <w:rPr>
          <w:rFonts w:hAnsi="宋体"/>
          <w:color w:val="auto"/>
          <w:highlight w:val="none"/>
          <w:u w:val="single"/>
        </w:rPr>
        <w:t xml:space="preserve">                      </w:t>
      </w:r>
      <w:r>
        <w:rPr>
          <w:rFonts w:hint="eastAsia" w:hAnsi="宋体"/>
          <w:color w:val="auto"/>
          <w:highlight w:val="none"/>
        </w:rPr>
        <w:t>(全权代表姓名)</w:t>
      </w:r>
      <w:r>
        <w:rPr>
          <w:rFonts w:hAnsi="宋体"/>
          <w:color w:val="auto"/>
          <w:highlight w:val="none"/>
          <w:u w:val="single"/>
        </w:rPr>
        <w:t xml:space="preserve">          </w:t>
      </w:r>
      <w:r>
        <w:rPr>
          <w:rFonts w:hint="eastAsia" w:hAnsi="宋体"/>
          <w:color w:val="auto"/>
          <w:highlight w:val="none"/>
        </w:rPr>
        <w:t xml:space="preserve"> (职务、职称)为全权代表，现正式递交下述文件参加贵方组织的本次政府采购活动： </w:t>
      </w:r>
    </w:p>
    <w:p w14:paraId="7FB9EE48">
      <w:pPr>
        <w:pStyle w:val="15"/>
        <w:spacing w:line="440" w:lineRule="exact"/>
        <w:ind w:firstLine="420" w:firstLineChars="200"/>
        <w:rPr>
          <w:rFonts w:hAnsi="宋体"/>
          <w:color w:val="auto"/>
          <w:highlight w:val="none"/>
        </w:rPr>
      </w:pPr>
      <w:r>
        <w:rPr>
          <w:rFonts w:hint="eastAsia" w:hAnsi="宋体"/>
          <w:color w:val="auto"/>
          <w:highlight w:val="none"/>
        </w:rPr>
        <w:t>一、报价文件电子版一份（包含按投标人须知前附表要求提交的全部文件）；</w:t>
      </w:r>
    </w:p>
    <w:p w14:paraId="43FFD06E">
      <w:pPr>
        <w:pStyle w:val="15"/>
        <w:spacing w:line="440" w:lineRule="exact"/>
        <w:ind w:firstLine="420"/>
        <w:rPr>
          <w:rFonts w:hAnsi="宋体"/>
          <w:color w:val="auto"/>
          <w:highlight w:val="none"/>
        </w:rPr>
      </w:pPr>
      <w:r>
        <w:rPr>
          <w:rFonts w:hint="eastAsia" w:hAnsi="宋体"/>
          <w:color w:val="auto"/>
          <w:highlight w:val="none"/>
        </w:rPr>
        <w:t>二、资格文件电子版一份（包含按投标人须知前附表要求提交的全部文件）；</w:t>
      </w:r>
    </w:p>
    <w:p w14:paraId="37209E8E">
      <w:pPr>
        <w:pStyle w:val="15"/>
        <w:spacing w:line="440" w:lineRule="exact"/>
        <w:ind w:firstLine="420"/>
        <w:rPr>
          <w:rFonts w:hAnsi="宋体"/>
          <w:color w:val="auto"/>
          <w:highlight w:val="none"/>
        </w:rPr>
      </w:pPr>
      <w:r>
        <w:rPr>
          <w:rFonts w:hint="eastAsia" w:hAnsi="宋体"/>
          <w:color w:val="auto"/>
          <w:highlight w:val="none"/>
        </w:rPr>
        <w:t>三、技术文件电子版一份（包含按投标人须知前附表要求提交的全部文件）；</w:t>
      </w:r>
    </w:p>
    <w:p w14:paraId="7A1BC197">
      <w:pPr>
        <w:pStyle w:val="15"/>
        <w:spacing w:line="440" w:lineRule="exact"/>
        <w:ind w:firstLine="420"/>
        <w:rPr>
          <w:rFonts w:hAnsi="宋体"/>
          <w:color w:val="auto"/>
          <w:highlight w:val="none"/>
        </w:rPr>
      </w:pPr>
      <w:r>
        <w:rPr>
          <w:rFonts w:hint="eastAsia" w:hAnsi="宋体"/>
          <w:color w:val="auto"/>
          <w:highlight w:val="none"/>
        </w:rPr>
        <w:t>四、商务文件电子版一份（包含按投标人须知前附表要求提交的全部文件）；</w:t>
      </w:r>
    </w:p>
    <w:p w14:paraId="4D6B8A7D">
      <w:pPr>
        <w:pStyle w:val="15"/>
        <w:spacing w:line="440" w:lineRule="exact"/>
        <w:ind w:firstLine="420"/>
        <w:rPr>
          <w:rFonts w:hAnsi="宋体"/>
          <w:color w:val="auto"/>
          <w:highlight w:val="none"/>
        </w:rPr>
      </w:pPr>
      <w:r>
        <w:rPr>
          <w:rFonts w:hint="eastAsia" w:hAnsi="宋体"/>
          <w:color w:val="auto"/>
          <w:highlight w:val="none"/>
        </w:rPr>
        <w:t>据此函，签字人兹宣布：</w:t>
      </w:r>
    </w:p>
    <w:p w14:paraId="4C52DBF5">
      <w:pPr>
        <w:pStyle w:val="15"/>
        <w:spacing w:line="440" w:lineRule="exact"/>
        <w:ind w:firstLine="420" w:firstLineChars="200"/>
        <w:rPr>
          <w:rFonts w:hAnsi="宋体"/>
          <w:color w:val="auto"/>
          <w:highlight w:val="none"/>
        </w:rPr>
      </w:pPr>
      <w:r>
        <w:rPr>
          <w:rFonts w:hint="eastAsia" w:hAnsi="宋体"/>
          <w:color w:val="auto"/>
          <w:highlight w:val="none"/>
        </w:rPr>
        <w:t>1、我方愿意以（大写）人民币</w:t>
      </w:r>
      <w:r>
        <w:rPr>
          <w:rFonts w:hint="eastAsia" w:hAnsi="宋体"/>
          <w:color w:val="auto"/>
          <w:highlight w:val="none"/>
          <w:u w:val="single"/>
        </w:rPr>
        <w:t xml:space="preserve">              </w:t>
      </w:r>
      <w:r>
        <w:rPr>
          <w:rFonts w:hint="eastAsia" w:hAnsi="宋体"/>
          <w:color w:val="auto"/>
          <w:highlight w:val="none"/>
        </w:rPr>
        <w:t>元 (￥</w:t>
      </w:r>
      <w:r>
        <w:rPr>
          <w:rFonts w:hint="eastAsia" w:hAnsi="宋体"/>
          <w:color w:val="auto"/>
          <w:highlight w:val="none"/>
          <w:u w:val="single"/>
        </w:rPr>
        <w:t xml:space="preserve">          </w:t>
      </w:r>
      <w:r>
        <w:rPr>
          <w:rFonts w:hint="eastAsia" w:hAnsi="宋体"/>
          <w:color w:val="auto"/>
          <w:highlight w:val="none"/>
        </w:rPr>
        <w:t>元)的投标总报价，提交货物成果时间（无分标时填写）</w:t>
      </w:r>
      <w:r>
        <w:rPr>
          <w:rFonts w:hint="eastAsia" w:hAnsi="宋体"/>
          <w:color w:val="auto"/>
          <w:highlight w:val="none"/>
          <w:u w:val="single"/>
        </w:rPr>
        <w:t xml:space="preserve">              </w:t>
      </w:r>
      <w:r>
        <w:rPr>
          <w:rFonts w:hint="eastAsia" w:hAnsi="宋体"/>
          <w:color w:val="auto"/>
          <w:highlight w:val="none"/>
        </w:rPr>
        <w:t>，提供本项目招标文件第二章“货物需求”中的相应的采购内容。</w:t>
      </w:r>
    </w:p>
    <w:p w14:paraId="338F0233">
      <w:pPr>
        <w:pStyle w:val="15"/>
        <w:spacing w:line="440" w:lineRule="exact"/>
        <w:ind w:firstLine="420" w:firstLineChars="200"/>
        <w:rPr>
          <w:rFonts w:hAnsi="宋体"/>
          <w:color w:val="auto"/>
          <w:highlight w:val="none"/>
        </w:rPr>
      </w:pPr>
      <w:r>
        <w:rPr>
          <w:rFonts w:hint="eastAsia" w:hAnsi="宋体"/>
          <w:color w:val="auto"/>
          <w:highlight w:val="none"/>
        </w:rPr>
        <w:t>其中（有分标时填写）：</w:t>
      </w:r>
    </w:p>
    <w:p w14:paraId="72DAB65E">
      <w:pPr>
        <w:pStyle w:val="15"/>
        <w:spacing w:line="360" w:lineRule="exact"/>
        <w:ind w:firstLine="420" w:firstLineChars="200"/>
        <w:rPr>
          <w:rFonts w:hAnsi="宋体"/>
          <w:color w:val="auto"/>
          <w:highlight w:val="none"/>
          <w:u w:val="single"/>
        </w:rPr>
      </w:pPr>
      <w:r>
        <w:rPr>
          <w:rFonts w:hint="eastAsia" w:hAnsi="宋体"/>
          <w:color w:val="auto"/>
          <w:highlight w:val="none"/>
          <w:u w:val="single"/>
        </w:rPr>
        <w:t xml:space="preserve">  </w:t>
      </w:r>
      <w:r>
        <w:rPr>
          <w:rFonts w:hint="eastAsia" w:hAnsi="宋体"/>
          <w:color w:val="auto"/>
          <w:highlight w:val="none"/>
        </w:rPr>
        <w:t>分标报价为（大写）人民币</w:t>
      </w:r>
      <w:r>
        <w:rPr>
          <w:rFonts w:hint="eastAsia" w:hAnsi="宋体"/>
          <w:color w:val="auto"/>
          <w:highlight w:val="none"/>
          <w:u w:val="single"/>
        </w:rPr>
        <w:t xml:space="preserve">              </w:t>
      </w:r>
      <w:r>
        <w:rPr>
          <w:rFonts w:hint="eastAsia" w:hAnsi="宋体"/>
          <w:color w:val="auto"/>
          <w:highlight w:val="none"/>
        </w:rPr>
        <w:t>元 (￥</w:t>
      </w:r>
      <w:r>
        <w:rPr>
          <w:rFonts w:hint="eastAsia" w:hAnsi="宋体"/>
          <w:color w:val="auto"/>
          <w:highlight w:val="none"/>
          <w:u w:val="single"/>
        </w:rPr>
        <w:t xml:space="preserve">          </w:t>
      </w:r>
      <w:r>
        <w:rPr>
          <w:rFonts w:hint="eastAsia" w:hAnsi="宋体"/>
          <w:color w:val="auto"/>
          <w:highlight w:val="none"/>
        </w:rPr>
        <w:t>元)，提交货物成果时间：</w:t>
      </w:r>
      <w:r>
        <w:rPr>
          <w:rFonts w:hint="eastAsia" w:hAnsi="宋体"/>
          <w:color w:val="auto"/>
          <w:highlight w:val="none"/>
          <w:u w:val="single"/>
        </w:rPr>
        <w:t xml:space="preserve">          </w:t>
      </w:r>
      <w:r>
        <w:rPr>
          <w:rFonts w:hint="eastAsia" w:hAnsi="宋体"/>
          <w:color w:val="auto"/>
          <w:highlight w:val="none"/>
        </w:rPr>
        <w:t>；</w:t>
      </w:r>
    </w:p>
    <w:p w14:paraId="1216B24E">
      <w:pPr>
        <w:pStyle w:val="15"/>
        <w:spacing w:line="360" w:lineRule="exact"/>
        <w:ind w:firstLine="420" w:firstLineChars="200"/>
        <w:rPr>
          <w:rFonts w:hAnsi="宋体"/>
          <w:color w:val="auto"/>
          <w:highlight w:val="none"/>
          <w:u w:val="single"/>
        </w:rPr>
      </w:pPr>
      <w:r>
        <w:rPr>
          <w:rFonts w:hint="eastAsia" w:hAnsi="宋体"/>
          <w:color w:val="auto"/>
          <w:highlight w:val="none"/>
          <w:u w:val="single"/>
        </w:rPr>
        <w:t xml:space="preserve">  </w:t>
      </w:r>
      <w:r>
        <w:rPr>
          <w:rFonts w:hint="eastAsia" w:hAnsi="宋体"/>
          <w:color w:val="auto"/>
          <w:highlight w:val="none"/>
        </w:rPr>
        <w:t>分标报价为（大写）人民币</w:t>
      </w:r>
      <w:r>
        <w:rPr>
          <w:rFonts w:hint="eastAsia" w:hAnsi="宋体"/>
          <w:color w:val="auto"/>
          <w:highlight w:val="none"/>
          <w:u w:val="single"/>
        </w:rPr>
        <w:t xml:space="preserve">              </w:t>
      </w:r>
      <w:r>
        <w:rPr>
          <w:rFonts w:hint="eastAsia" w:hAnsi="宋体"/>
          <w:color w:val="auto"/>
          <w:highlight w:val="none"/>
        </w:rPr>
        <w:t>元 (￥</w:t>
      </w:r>
      <w:r>
        <w:rPr>
          <w:rFonts w:hint="eastAsia" w:hAnsi="宋体"/>
          <w:color w:val="auto"/>
          <w:highlight w:val="none"/>
          <w:u w:val="single"/>
        </w:rPr>
        <w:t xml:space="preserve">          </w:t>
      </w:r>
      <w:r>
        <w:rPr>
          <w:rFonts w:hint="eastAsia" w:hAnsi="宋体"/>
          <w:color w:val="auto"/>
          <w:highlight w:val="none"/>
        </w:rPr>
        <w:t>元)，提交货物成果时间：</w:t>
      </w:r>
      <w:r>
        <w:rPr>
          <w:rFonts w:hint="eastAsia" w:hAnsi="宋体"/>
          <w:color w:val="auto"/>
          <w:highlight w:val="none"/>
          <w:u w:val="single"/>
        </w:rPr>
        <w:t xml:space="preserve">          </w:t>
      </w:r>
      <w:r>
        <w:rPr>
          <w:rFonts w:hint="eastAsia" w:hAnsi="宋体"/>
          <w:color w:val="auto"/>
          <w:highlight w:val="none"/>
        </w:rPr>
        <w:t>；</w:t>
      </w:r>
    </w:p>
    <w:p w14:paraId="4957C90C">
      <w:pPr>
        <w:pStyle w:val="15"/>
        <w:spacing w:line="360" w:lineRule="exact"/>
        <w:ind w:firstLine="420" w:firstLineChars="200"/>
        <w:rPr>
          <w:rFonts w:hAnsi="宋体"/>
          <w:color w:val="auto"/>
          <w:highlight w:val="none"/>
          <w:u w:val="single"/>
        </w:rPr>
      </w:pPr>
      <w:r>
        <w:rPr>
          <w:rFonts w:hint="eastAsia" w:hAnsi="宋体"/>
          <w:color w:val="auto"/>
          <w:highlight w:val="none"/>
        </w:rPr>
        <w:t>......</w:t>
      </w:r>
    </w:p>
    <w:p w14:paraId="2C041888">
      <w:pPr>
        <w:pStyle w:val="15"/>
        <w:spacing w:line="360" w:lineRule="exact"/>
        <w:ind w:firstLine="420" w:firstLineChars="200"/>
        <w:rPr>
          <w:rFonts w:hAnsi="宋体"/>
          <w:color w:val="auto"/>
          <w:highlight w:val="none"/>
          <w:u w:val="single"/>
        </w:rPr>
      </w:pPr>
      <w:r>
        <w:rPr>
          <w:rFonts w:hint="eastAsia" w:hAnsi="宋体"/>
          <w:color w:val="auto"/>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311F53E1">
      <w:pPr>
        <w:pStyle w:val="15"/>
        <w:spacing w:line="360" w:lineRule="exact"/>
        <w:ind w:firstLine="420" w:firstLineChars="200"/>
        <w:rPr>
          <w:rFonts w:hAnsi="宋体"/>
          <w:color w:val="auto"/>
          <w:highlight w:val="none"/>
          <w:u w:val="single"/>
        </w:rPr>
      </w:pPr>
      <w:r>
        <w:rPr>
          <w:rFonts w:hint="eastAsia" w:hAnsi="宋体"/>
          <w:color w:val="auto"/>
          <w:highlight w:val="none"/>
        </w:rPr>
        <w:t>3、我方所递交的投标文件及有关资料都是内容完整、真实和准确的。</w:t>
      </w:r>
    </w:p>
    <w:p w14:paraId="73D10190">
      <w:pPr>
        <w:pStyle w:val="15"/>
        <w:spacing w:line="440" w:lineRule="exact"/>
        <w:ind w:firstLine="420"/>
        <w:rPr>
          <w:rFonts w:hAnsi="宋体"/>
          <w:color w:val="auto"/>
          <w:highlight w:val="none"/>
        </w:rPr>
      </w:pPr>
      <w:r>
        <w:rPr>
          <w:rFonts w:hint="eastAsia" w:hAnsi="宋体"/>
          <w:color w:val="auto"/>
          <w:highlight w:val="none"/>
        </w:rPr>
        <w:t>4、</w:t>
      </w:r>
      <w:r>
        <w:rPr>
          <w:rFonts w:hint="eastAsia" w:hAnsi="宋体"/>
          <w:color w:val="auto"/>
          <w:szCs w:val="21"/>
          <w:highlight w:val="none"/>
        </w:rPr>
        <w:t>如本项目采购内容涉及须符合国家强制规定的，我方承诺我方本次投标（包括资格条件和所投产品）均符合国家有关强制规定。</w:t>
      </w:r>
    </w:p>
    <w:p w14:paraId="56A88C8D">
      <w:pPr>
        <w:pStyle w:val="15"/>
        <w:spacing w:line="440" w:lineRule="exact"/>
        <w:ind w:firstLine="420" w:firstLineChars="200"/>
        <w:rPr>
          <w:rFonts w:hAnsi="宋体"/>
          <w:color w:val="auto"/>
          <w:highlight w:val="none"/>
        </w:rPr>
      </w:pPr>
      <w:r>
        <w:rPr>
          <w:rFonts w:hint="eastAsia" w:hAnsi="宋体"/>
          <w:color w:val="auto"/>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25570D64">
      <w:pPr>
        <w:pStyle w:val="15"/>
        <w:spacing w:line="440" w:lineRule="exact"/>
        <w:ind w:firstLine="420" w:firstLineChars="200"/>
        <w:rPr>
          <w:rFonts w:hAnsi="宋体"/>
          <w:color w:val="auto"/>
          <w:highlight w:val="none"/>
        </w:rPr>
      </w:pPr>
      <w:r>
        <w:rPr>
          <w:rFonts w:hint="eastAsia" w:hAnsi="宋体"/>
          <w:color w:val="auto"/>
          <w:highlight w:val="none"/>
        </w:rPr>
        <w:t>6、我方已详细审核招标文件，我方知道必须放弃提出含糊不清或误解问题的权利。</w:t>
      </w:r>
    </w:p>
    <w:p w14:paraId="094A52DD">
      <w:pPr>
        <w:pStyle w:val="15"/>
        <w:spacing w:line="440" w:lineRule="exact"/>
        <w:ind w:firstLine="420" w:firstLineChars="200"/>
        <w:rPr>
          <w:rFonts w:hAnsi="宋体"/>
          <w:color w:val="auto"/>
          <w:highlight w:val="none"/>
        </w:rPr>
      </w:pPr>
      <w:r>
        <w:rPr>
          <w:rFonts w:hint="eastAsia" w:hAnsi="宋体"/>
          <w:color w:val="auto"/>
          <w:highlight w:val="none"/>
        </w:rPr>
        <w:t>7、我方同意应贵方要求提供与本投标有关的任何数据或资料。若贵方需要，我方愿意提供我方作出的一切承诺的证明材料。</w:t>
      </w:r>
    </w:p>
    <w:p w14:paraId="07CDC439">
      <w:pPr>
        <w:pStyle w:val="15"/>
        <w:spacing w:line="440" w:lineRule="exact"/>
        <w:ind w:firstLine="420" w:firstLineChars="200"/>
        <w:rPr>
          <w:rFonts w:hAnsi="宋体"/>
          <w:color w:val="auto"/>
          <w:highlight w:val="none"/>
        </w:rPr>
      </w:pPr>
      <w:r>
        <w:rPr>
          <w:rFonts w:hint="eastAsia" w:hAnsi="宋体"/>
          <w:color w:val="auto"/>
          <w:highlight w:val="none"/>
        </w:rPr>
        <w:t>8、我方完全理解贵方不一定接受投标报价最低的投标人为中标供应商的行为。</w:t>
      </w:r>
    </w:p>
    <w:p w14:paraId="07127162">
      <w:pPr>
        <w:pStyle w:val="15"/>
        <w:spacing w:line="440" w:lineRule="exact"/>
        <w:ind w:firstLine="420" w:firstLineChars="200"/>
        <w:rPr>
          <w:rFonts w:hAnsi="宋体"/>
          <w:color w:val="auto"/>
          <w:highlight w:val="none"/>
        </w:rPr>
      </w:pPr>
      <w:r>
        <w:rPr>
          <w:rFonts w:hint="eastAsia" w:hAnsi="宋体"/>
          <w:color w:val="auto"/>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4A57F59">
      <w:pPr>
        <w:pStyle w:val="15"/>
        <w:numPr>
          <w:ilvl w:val="0"/>
          <w:numId w:val="10"/>
        </w:numPr>
        <w:spacing w:line="440" w:lineRule="exact"/>
        <w:ind w:firstLine="420"/>
        <w:rPr>
          <w:rFonts w:hAnsi="宋体"/>
          <w:color w:val="auto"/>
          <w:highlight w:val="none"/>
        </w:rPr>
      </w:pPr>
      <w:r>
        <w:rPr>
          <w:rFonts w:hint="eastAsia" w:hAnsi="宋体"/>
          <w:color w:val="auto"/>
          <w:highlight w:val="none"/>
        </w:rPr>
        <w:t>提供虚假材料谋取中标、成交的；</w:t>
      </w:r>
    </w:p>
    <w:p w14:paraId="3005F9FE">
      <w:pPr>
        <w:pStyle w:val="15"/>
        <w:numPr>
          <w:ilvl w:val="0"/>
          <w:numId w:val="10"/>
        </w:numPr>
        <w:spacing w:line="440" w:lineRule="exact"/>
        <w:ind w:firstLine="420"/>
        <w:rPr>
          <w:rFonts w:hAnsi="宋体"/>
          <w:color w:val="auto"/>
          <w:highlight w:val="none"/>
        </w:rPr>
      </w:pPr>
      <w:r>
        <w:rPr>
          <w:rFonts w:hint="eastAsia" w:hAnsi="宋体"/>
          <w:color w:val="auto"/>
          <w:highlight w:val="none"/>
        </w:rPr>
        <w:t>采取不正当手段诋毁、排挤其他供应商的；</w:t>
      </w:r>
    </w:p>
    <w:p w14:paraId="688FF53E">
      <w:pPr>
        <w:pStyle w:val="15"/>
        <w:numPr>
          <w:ilvl w:val="0"/>
          <w:numId w:val="10"/>
        </w:numPr>
        <w:spacing w:line="440" w:lineRule="exact"/>
        <w:ind w:firstLine="420"/>
        <w:rPr>
          <w:rFonts w:hAnsi="宋体"/>
          <w:color w:val="auto"/>
          <w:highlight w:val="none"/>
        </w:rPr>
      </w:pPr>
      <w:r>
        <w:rPr>
          <w:rFonts w:hint="eastAsia" w:hAnsi="宋体"/>
          <w:color w:val="auto"/>
          <w:highlight w:val="none"/>
        </w:rPr>
        <w:t>与采购人、其他供应商或者采购代理机构恶意串通的；</w:t>
      </w:r>
    </w:p>
    <w:p w14:paraId="4531BC92">
      <w:pPr>
        <w:pStyle w:val="15"/>
        <w:numPr>
          <w:ilvl w:val="0"/>
          <w:numId w:val="10"/>
        </w:numPr>
        <w:spacing w:line="440" w:lineRule="exact"/>
        <w:ind w:firstLine="420"/>
        <w:rPr>
          <w:rFonts w:hAnsi="宋体"/>
          <w:color w:val="auto"/>
          <w:highlight w:val="none"/>
        </w:rPr>
      </w:pPr>
      <w:r>
        <w:rPr>
          <w:rFonts w:hint="eastAsia" w:hAnsi="宋体"/>
          <w:color w:val="auto"/>
          <w:highlight w:val="none"/>
        </w:rPr>
        <w:t>向采购人、采购代理机构行贿或者提供其他不正当利益的；</w:t>
      </w:r>
    </w:p>
    <w:p w14:paraId="79DF8670">
      <w:pPr>
        <w:pStyle w:val="15"/>
        <w:numPr>
          <w:ilvl w:val="0"/>
          <w:numId w:val="10"/>
        </w:numPr>
        <w:spacing w:line="440" w:lineRule="exact"/>
        <w:ind w:firstLine="420"/>
        <w:rPr>
          <w:rFonts w:hAnsi="宋体"/>
          <w:color w:val="auto"/>
          <w:highlight w:val="none"/>
        </w:rPr>
      </w:pPr>
      <w:r>
        <w:rPr>
          <w:rFonts w:hint="eastAsia" w:hAnsi="宋体"/>
          <w:color w:val="auto"/>
          <w:highlight w:val="none"/>
        </w:rPr>
        <w:t>在招标采购过程中与采购人进行协商谈判的；</w:t>
      </w:r>
    </w:p>
    <w:p w14:paraId="733770FB">
      <w:pPr>
        <w:pStyle w:val="15"/>
        <w:numPr>
          <w:ilvl w:val="0"/>
          <w:numId w:val="10"/>
        </w:numPr>
        <w:spacing w:line="440" w:lineRule="exact"/>
        <w:ind w:firstLine="420"/>
        <w:rPr>
          <w:rFonts w:hAnsi="宋体"/>
          <w:color w:val="auto"/>
          <w:highlight w:val="none"/>
        </w:rPr>
      </w:pPr>
      <w:r>
        <w:rPr>
          <w:rFonts w:hint="eastAsia" w:hAnsi="宋体"/>
          <w:color w:val="auto"/>
          <w:highlight w:val="none"/>
        </w:rPr>
        <w:t>拒绝有关部门监督检查或提供虚假情况的。</w:t>
      </w:r>
    </w:p>
    <w:p w14:paraId="0BED1D9A">
      <w:pPr>
        <w:pStyle w:val="15"/>
        <w:spacing w:line="440" w:lineRule="exact"/>
        <w:ind w:left="420"/>
        <w:rPr>
          <w:rFonts w:hAnsi="宋体"/>
          <w:color w:val="auto"/>
          <w:highlight w:val="none"/>
        </w:rPr>
      </w:pPr>
      <w:r>
        <w:rPr>
          <w:rFonts w:hint="eastAsia" w:hAnsi="宋体"/>
          <w:color w:val="auto"/>
          <w:highlight w:val="none"/>
        </w:rPr>
        <w:t>10、我方及由本人担任法定代表人的其他机构最近三年内被处罚的违法行为有：</w:t>
      </w:r>
      <w:r>
        <w:rPr>
          <w:rFonts w:hint="eastAsia" w:hAnsi="宋体"/>
          <w:color w:val="auto"/>
          <w:highlight w:val="none"/>
          <w:u w:val="single"/>
        </w:rPr>
        <w:t xml:space="preserve">                                        </w:t>
      </w:r>
    </w:p>
    <w:p w14:paraId="7C708999">
      <w:pPr>
        <w:pStyle w:val="15"/>
        <w:spacing w:line="440" w:lineRule="exact"/>
        <w:ind w:left="420"/>
        <w:rPr>
          <w:rFonts w:hAnsi="宋体"/>
          <w:color w:val="auto"/>
          <w:highlight w:val="none"/>
        </w:rPr>
      </w:pPr>
      <w:r>
        <w:rPr>
          <w:rFonts w:hint="eastAsia" w:hAnsi="宋体"/>
          <w:color w:val="auto"/>
          <w:highlight w:val="none"/>
          <w:u w:val="single"/>
        </w:rPr>
        <w:t xml:space="preserve">                                                                                                                        </w:t>
      </w:r>
    </w:p>
    <w:p w14:paraId="163F0FC7">
      <w:pPr>
        <w:pStyle w:val="15"/>
        <w:spacing w:line="360" w:lineRule="auto"/>
        <w:ind w:firstLine="420"/>
        <w:rPr>
          <w:rFonts w:hAnsi="宋体"/>
          <w:color w:val="auto"/>
          <w:highlight w:val="none"/>
        </w:rPr>
      </w:pPr>
      <w:r>
        <w:rPr>
          <w:rFonts w:hint="eastAsia" w:hAnsi="宋体"/>
          <w:color w:val="auto"/>
          <w:highlight w:val="none"/>
        </w:rPr>
        <w:t>11、以上事项如有虚假或隐瞒，我方愿意承担一切后果，并不再寻求任何旨在减轻或免除法律责任的辩解。</w:t>
      </w:r>
    </w:p>
    <w:p w14:paraId="49A5B994">
      <w:pPr>
        <w:pStyle w:val="15"/>
        <w:spacing w:line="360" w:lineRule="auto"/>
        <w:ind w:firstLine="420"/>
        <w:rPr>
          <w:rFonts w:hAnsi="宋体"/>
          <w:color w:val="auto"/>
          <w:highlight w:val="none"/>
        </w:rPr>
      </w:pPr>
      <w:r>
        <w:rPr>
          <w:rFonts w:hint="eastAsia" w:hAnsi="宋体"/>
          <w:color w:val="auto"/>
          <w:highlight w:val="none"/>
        </w:rPr>
        <w:t>12、与本投标有关的一切正式往来信函请寄：</w:t>
      </w:r>
      <w:r>
        <w:rPr>
          <w:rFonts w:hint="eastAsia" w:hAnsi="宋体"/>
          <w:color w:val="auto"/>
          <w:highlight w:val="none"/>
          <w:u w:val="single"/>
        </w:rPr>
        <w:t xml:space="preserve"> </w:t>
      </w:r>
    </w:p>
    <w:p w14:paraId="27EB335B">
      <w:pPr>
        <w:pStyle w:val="15"/>
        <w:spacing w:line="360" w:lineRule="auto"/>
        <w:ind w:firstLine="420"/>
        <w:rPr>
          <w:rFonts w:hAnsi="宋体"/>
          <w:color w:val="auto"/>
          <w:highlight w:val="non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w:t>
      </w:r>
    </w:p>
    <w:p w14:paraId="14AF1AC4">
      <w:pPr>
        <w:pStyle w:val="15"/>
        <w:spacing w:line="360" w:lineRule="auto"/>
        <w:ind w:firstLine="420"/>
        <w:rPr>
          <w:rFonts w:hAnsi="宋体"/>
          <w:color w:val="auto"/>
          <w:highlight w:val="none"/>
          <w:u w:val="single"/>
        </w:rPr>
      </w:pPr>
      <w:r>
        <w:rPr>
          <w:rFonts w:hint="eastAsia" w:hAnsi="宋体"/>
          <w:color w:val="auto"/>
          <w:highlight w:val="none"/>
        </w:rPr>
        <w:t>电话：</w:t>
      </w:r>
      <w:r>
        <w:rPr>
          <w:rFonts w:hint="eastAsia" w:hAnsi="宋体"/>
          <w:color w:val="auto"/>
          <w:highlight w:val="none"/>
          <w:u w:val="single"/>
        </w:rPr>
        <w:t xml:space="preserve">                                      　　　　　　　　　</w:t>
      </w:r>
    </w:p>
    <w:p w14:paraId="73E9427D">
      <w:pPr>
        <w:pStyle w:val="15"/>
        <w:spacing w:line="360" w:lineRule="auto"/>
        <w:ind w:firstLine="420"/>
        <w:rPr>
          <w:rFonts w:hAnsi="宋体"/>
          <w:color w:val="auto"/>
          <w:highlight w:val="none"/>
        </w:rPr>
      </w:pPr>
      <w:r>
        <w:rPr>
          <w:rFonts w:hint="eastAsia" w:hAnsi="宋体"/>
          <w:color w:val="auto"/>
          <w:highlight w:val="none"/>
        </w:rPr>
        <w:t>传真：</w:t>
      </w:r>
      <w:r>
        <w:rPr>
          <w:rFonts w:hint="eastAsia" w:hAnsi="宋体"/>
          <w:color w:val="auto"/>
          <w:highlight w:val="none"/>
          <w:u w:val="single"/>
        </w:rPr>
        <w:t>　　　　　　　　　　　　　　　　　　　　　　　　　　　　</w:t>
      </w:r>
    </w:p>
    <w:p w14:paraId="4E406922">
      <w:pPr>
        <w:pStyle w:val="15"/>
        <w:spacing w:line="360" w:lineRule="auto"/>
        <w:ind w:firstLine="420"/>
        <w:rPr>
          <w:rFonts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p>
    <w:p w14:paraId="3FB168FC">
      <w:pPr>
        <w:pStyle w:val="15"/>
        <w:spacing w:line="360" w:lineRule="auto"/>
        <w:ind w:firstLine="420"/>
        <w:rPr>
          <w:rFonts w:hAnsi="宋体"/>
          <w:color w:val="auto"/>
          <w:highlight w:val="none"/>
          <w:u w:val="single"/>
        </w:rPr>
      </w:pPr>
      <w:r>
        <w:rPr>
          <w:rFonts w:hint="eastAsia" w:hAnsi="宋体"/>
          <w:color w:val="auto"/>
          <w:highlight w:val="none"/>
        </w:rPr>
        <w:t>开户名称：</w:t>
      </w:r>
      <w:r>
        <w:rPr>
          <w:rFonts w:hint="eastAsia" w:hAnsi="宋体"/>
          <w:color w:val="auto"/>
          <w:highlight w:val="none"/>
          <w:u w:val="single"/>
        </w:rPr>
        <w:t xml:space="preserve">                                                    </w:t>
      </w:r>
    </w:p>
    <w:p w14:paraId="608E3416">
      <w:pPr>
        <w:pStyle w:val="15"/>
        <w:spacing w:line="360" w:lineRule="auto"/>
        <w:ind w:firstLine="420"/>
        <w:rPr>
          <w:rFonts w:hAnsi="宋体"/>
          <w:color w:val="auto"/>
          <w:highlight w:val="none"/>
          <w:u w:val="single"/>
        </w:rPr>
      </w:pPr>
      <w:r>
        <w:rPr>
          <w:rFonts w:hint="eastAsia" w:hAnsi="宋体"/>
          <w:color w:val="auto"/>
          <w:highlight w:val="none"/>
        </w:rPr>
        <w:t>开户银行：</w:t>
      </w:r>
      <w:r>
        <w:rPr>
          <w:rFonts w:hint="eastAsia" w:hAnsi="宋体"/>
          <w:color w:val="auto"/>
          <w:highlight w:val="none"/>
          <w:u w:val="single"/>
        </w:rPr>
        <w:t xml:space="preserve">                                                    </w:t>
      </w:r>
    </w:p>
    <w:p w14:paraId="43EFD0DE">
      <w:pPr>
        <w:pStyle w:val="15"/>
        <w:spacing w:line="360" w:lineRule="auto"/>
        <w:ind w:firstLine="420"/>
        <w:rPr>
          <w:rFonts w:hAnsi="宋体"/>
          <w:color w:val="auto"/>
          <w:highlight w:val="none"/>
          <w:u w:val="single"/>
        </w:rPr>
      </w:pPr>
      <w:r>
        <w:rPr>
          <w:rFonts w:hint="eastAsia" w:hAnsi="宋体"/>
          <w:color w:val="auto"/>
          <w:highlight w:val="none"/>
        </w:rPr>
        <w:t>银行账号：</w:t>
      </w:r>
      <w:r>
        <w:rPr>
          <w:rFonts w:hint="eastAsia" w:hAnsi="宋体"/>
          <w:color w:val="auto"/>
          <w:highlight w:val="none"/>
          <w:u w:val="single"/>
        </w:rPr>
        <w:t xml:space="preserve">                                                    </w:t>
      </w:r>
    </w:p>
    <w:p w14:paraId="1492187B">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4C1E4C0F">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5A7D1B14">
      <w:pPr>
        <w:widowControl/>
        <w:spacing w:line="360" w:lineRule="auto"/>
        <w:ind w:firstLine="480"/>
        <w:jc w:val="left"/>
        <w:rPr>
          <w:rFonts w:ascii="宋体" w:hAnsi="宋体" w:cs="仿宋_GB2312"/>
          <w:color w:val="auto"/>
          <w:kern w:val="0"/>
          <w:sz w:val="24"/>
          <w:highlight w:val="none"/>
          <w:lang w:val="zh-CN"/>
        </w:rPr>
        <w:sectPr>
          <w:pgSz w:w="11906" w:h="16838"/>
          <w:pgMar w:top="1134" w:right="1134" w:bottom="1134" w:left="1134" w:header="720" w:footer="720" w:gutter="0"/>
          <w:cols w:space="720" w:num="1"/>
          <w:docGrid w:type="lines" w:linePitch="331" w:charSpace="0"/>
        </w:sectPr>
      </w:pPr>
    </w:p>
    <w:p w14:paraId="5F4C6813">
      <w:pPr>
        <w:pStyle w:val="15"/>
        <w:spacing w:line="360" w:lineRule="auto"/>
        <w:ind w:firstLine="600"/>
        <w:jc w:val="center"/>
        <w:rPr>
          <w:rFonts w:hAnsi="宋体"/>
          <w:b/>
          <w:color w:val="auto"/>
          <w:sz w:val="30"/>
          <w:szCs w:val="30"/>
          <w:highlight w:val="none"/>
        </w:rPr>
      </w:pPr>
      <w:r>
        <w:rPr>
          <w:rFonts w:hint="eastAsia" w:hAnsi="宋体"/>
          <w:color w:val="auto"/>
          <w:sz w:val="30"/>
          <w:highlight w:val="none"/>
        </w:rPr>
        <w:t>二、</w:t>
      </w:r>
      <w:r>
        <w:rPr>
          <w:rFonts w:hint="eastAsia" w:hAnsi="宋体"/>
          <w:b/>
          <w:color w:val="auto"/>
          <w:sz w:val="30"/>
          <w:szCs w:val="30"/>
          <w:highlight w:val="none"/>
        </w:rPr>
        <w:t>开标一览表</w:t>
      </w:r>
      <w:r>
        <w:rPr>
          <w:rFonts w:hint="eastAsia" w:hAnsi="宋体" w:cs="仿宋_GB2312"/>
          <w:b/>
          <w:color w:val="auto"/>
          <w:kern w:val="0"/>
          <w:sz w:val="24"/>
          <w:highlight w:val="none"/>
          <w:lang w:val="zh-CN"/>
        </w:rPr>
        <w:t>(单位均为人民币元)</w:t>
      </w:r>
    </w:p>
    <w:p w14:paraId="2D5C33C8">
      <w:pPr>
        <w:snapToGrid w:val="0"/>
        <w:spacing w:before="50" w:after="50" w:line="360" w:lineRule="auto"/>
        <w:ind w:firstLine="48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南宁职业技术大学跨境电子商务专业群实训室建设项目</w:t>
      </w:r>
      <w:r>
        <w:rPr>
          <w:rFonts w:hint="eastAsia" w:ascii="宋体" w:hAnsi="宋体"/>
          <w:color w:val="auto"/>
          <w:sz w:val="24"/>
          <w:highlight w:val="none"/>
        </w:rPr>
        <w:t xml:space="preserve">  </w:t>
      </w:r>
    </w:p>
    <w:p w14:paraId="0BF7B32A">
      <w:pPr>
        <w:snapToGrid w:val="0"/>
        <w:spacing w:before="50" w:after="50" w:line="360" w:lineRule="auto"/>
        <w:ind w:firstLine="480"/>
        <w:rPr>
          <w:rFonts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lang w:eastAsia="zh-CN"/>
        </w:rPr>
        <w:t>NNZC2024-G1-991788-JDZB</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分标：</w:t>
      </w:r>
      <w:r>
        <w:rPr>
          <w:rFonts w:hint="eastAsia" w:ascii="宋体" w:hAnsi="宋体"/>
          <w:color w:val="auto"/>
          <w:sz w:val="24"/>
          <w:highlight w:val="none"/>
          <w:u w:val="single"/>
        </w:rPr>
        <w:t xml:space="preserve">           </w:t>
      </w:r>
    </w:p>
    <w:p w14:paraId="3C01E82F">
      <w:pPr>
        <w:pStyle w:val="15"/>
        <w:spacing w:line="360" w:lineRule="auto"/>
        <w:ind w:firstLine="480"/>
        <w:rPr>
          <w:rFonts w:hAnsi="宋体"/>
          <w:b/>
          <w:color w:val="auto"/>
          <w:sz w:val="32"/>
          <w:highlight w:val="none"/>
        </w:rPr>
      </w:pPr>
      <w:r>
        <w:rPr>
          <w:rFonts w:hint="eastAsia" w:hAnsi="宋体"/>
          <w:color w:val="auto"/>
          <w:sz w:val="24"/>
          <w:highlight w:val="none"/>
        </w:rPr>
        <w:t>投标人名称：</w:t>
      </w:r>
      <w:r>
        <w:rPr>
          <w:rFonts w:hint="eastAsia" w:hAnsi="宋体"/>
          <w:color w:val="auto"/>
          <w:sz w:val="24"/>
          <w:highlight w:val="none"/>
          <w:u w:val="single"/>
        </w:rPr>
        <w:t xml:space="preserve">                     </w:t>
      </w:r>
      <w:r>
        <w:rPr>
          <w:rFonts w:hint="eastAsia" w:hAnsi="宋体"/>
          <w:color w:val="auto"/>
          <w:sz w:val="24"/>
          <w:highlight w:val="none"/>
        </w:rPr>
        <w:t xml:space="preserve">   </w:t>
      </w:r>
    </w:p>
    <w:tbl>
      <w:tblPr>
        <w:tblStyle w:val="26"/>
        <w:tblW w:w="963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10"/>
        <w:gridCol w:w="1670"/>
        <w:gridCol w:w="1050"/>
        <w:gridCol w:w="870"/>
        <w:gridCol w:w="1280"/>
        <w:gridCol w:w="1800"/>
        <w:gridCol w:w="1210"/>
      </w:tblGrid>
      <w:tr w14:paraId="5D58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42" w:type="dxa"/>
            <w:tcBorders>
              <w:top w:val="single" w:color="auto" w:sz="4" w:space="0"/>
              <w:left w:val="single" w:color="auto" w:sz="4" w:space="0"/>
              <w:bottom w:val="single" w:color="auto" w:sz="4" w:space="0"/>
              <w:right w:val="single" w:color="auto" w:sz="4" w:space="0"/>
            </w:tcBorders>
            <w:vAlign w:val="center"/>
          </w:tcPr>
          <w:p w14:paraId="4076F34F">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序号</w:t>
            </w:r>
          </w:p>
        </w:tc>
        <w:tc>
          <w:tcPr>
            <w:tcW w:w="1210" w:type="dxa"/>
            <w:tcBorders>
              <w:top w:val="single" w:color="auto" w:sz="4" w:space="0"/>
              <w:left w:val="single" w:color="auto" w:sz="4" w:space="0"/>
              <w:bottom w:val="single" w:color="auto" w:sz="4" w:space="0"/>
              <w:right w:val="single" w:color="auto" w:sz="4" w:space="0"/>
            </w:tcBorders>
            <w:vAlign w:val="center"/>
          </w:tcPr>
          <w:p w14:paraId="4869A1F8">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货物名称</w:t>
            </w:r>
          </w:p>
        </w:tc>
        <w:tc>
          <w:tcPr>
            <w:tcW w:w="1670" w:type="dxa"/>
            <w:tcBorders>
              <w:top w:val="single" w:color="auto" w:sz="4" w:space="0"/>
              <w:left w:val="single" w:color="auto" w:sz="4" w:space="0"/>
              <w:bottom w:val="single" w:color="auto" w:sz="4" w:space="0"/>
              <w:right w:val="single" w:color="auto" w:sz="4" w:space="0"/>
            </w:tcBorders>
            <w:vAlign w:val="center"/>
          </w:tcPr>
          <w:p w14:paraId="31C34A23">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货物规格型号</w:t>
            </w:r>
          </w:p>
        </w:tc>
        <w:tc>
          <w:tcPr>
            <w:tcW w:w="1050" w:type="dxa"/>
            <w:tcBorders>
              <w:top w:val="single" w:color="auto" w:sz="4" w:space="0"/>
              <w:left w:val="single" w:color="auto" w:sz="4" w:space="0"/>
              <w:bottom w:val="single" w:color="auto" w:sz="4" w:space="0"/>
              <w:right w:val="single" w:color="auto" w:sz="4" w:space="0"/>
            </w:tcBorders>
          </w:tcPr>
          <w:p w14:paraId="1726EE44">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品牌</w:t>
            </w:r>
          </w:p>
          <w:p w14:paraId="131C6F0D">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（如有）</w:t>
            </w:r>
          </w:p>
        </w:tc>
        <w:tc>
          <w:tcPr>
            <w:tcW w:w="870" w:type="dxa"/>
            <w:tcBorders>
              <w:top w:val="single" w:color="auto" w:sz="4" w:space="0"/>
              <w:left w:val="single" w:color="auto" w:sz="4" w:space="0"/>
              <w:bottom w:val="single" w:color="auto" w:sz="4" w:space="0"/>
              <w:right w:val="single" w:color="auto" w:sz="4" w:space="0"/>
            </w:tcBorders>
            <w:vAlign w:val="center"/>
          </w:tcPr>
          <w:p w14:paraId="10AF7C87">
            <w:pPr>
              <w:keepNext w:val="0"/>
              <w:keepLines w:val="0"/>
              <w:suppressLineNumbers w:val="0"/>
              <w:spacing w:before="0" w:beforeAutospacing="0" w:after="0" w:afterAutospacing="0"/>
              <w:ind w:left="0" w:right="0"/>
              <w:jc w:val="center"/>
              <w:rPr>
                <w:rFonts w:hint="default" w:ascii="宋体" w:hAnsi="宋体"/>
                <w:color w:val="auto"/>
                <w:szCs w:val="22"/>
                <w:highlight w:val="none"/>
              </w:rPr>
            </w:pPr>
            <w:r>
              <w:rPr>
                <w:rFonts w:hint="eastAsia" w:ascii="宋体" w:hAnsi="宋体"/>
                <w:color w:val="auto"/>
                <w:szCs w:val="22"/>
                <w:highlight w:val="none"/>
              </w:rPr>
              <w:t>数量①</w:t>
            </w:r>
          </w:p>
        </w:tc>
        <w:tc>
          <w:tcPr>
            <w:tcW w:w="1280" w:type="dxa"/>
            <w:tcBorders>
              <w:top w:val="single" w:color="auto" w:sz="4" w:space="0"/>
              <w:left w:val="single" w:color="auto" w:sz="4" w:space="0"/>
              <w:bottom w:val="single" w:color="auto" w:sz="4" w:space="0"/>
              <w:right w:val="single" w:color="auto" w:sz="4" w:space="0"/>
            </w:tcBorders>
            <w:vAlign w:val="center"/>
          </w:tcPr>
          <w:p w14:paraId="47C09F29">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单价(元)②</w:t>
            </w:r>
          </w:p>
        </w:tc>
        <w:tc>
          <w:tcPr>
            <w:tcW w:w="1800" w:type="dxa"/>
            <w:tcBorders>
              <w:top w:val="single" w:color="auto" w:sz="4" w:space="0"/>
              <w:left w:val="single" w:color="auto" w:sz="4" w:space="0"/>
              <w:bottom w:val="single" w:color="auto" w:sz="4" w:space="0"/>
              <w:right w:val="single" w:color="auto" w:sz="4" w:space="0"/>
            </w:tcBorders>
            <w:vAlign w:val="center"/>
          </w:tcPr>
          <w:p w14:paraId="5FCCCF88">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单项合价（元）</w:t>
            </w:r>
          </w:p>
          <w:p w14:paraId="20DAA543">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③＝①×②</w:t>
            </w:r>
          </w:p>
        </w:tc>
        <w:tc>
          <w:tcPr>
            <w:tcW w:w="1210" w:type="dxa"/>
            <w:tcBorders>
              <w:top w:val="single" w:color="auto" w:sz="4" w:space="0"/>
              <w:left w:val="single" w:color="auto" w:sz="4" w:space="0"/>
              <w:bottom w:val="single" w:color="auto" w:sz="4" w:space="0"/>
              <w:right w:val="single" w:color="auto" w:sz="4" w:space="0"/>
            </w:tcBorders>
          </w:tcPr>
          <w:p w14:paraId="3D44F091">
            <w:pPr>
              <w:keepNext w:val="0"/>
              <w:keepLines w:val="0"/>
              <w:suppressLineNumbers w:val="0"/>
              <w:spacing w:before="0" w:beforeAutospacing="0" w:after="0" w:afterAutospacing="0" w:line="360" w:lineRule="auto"/>
              <w:ind w:left="0" w:right="0"/>
              <w:jc w:val="center"/>
              <w:rPr>
                <w:rFonts w:hint="default" w:ascii="宋体" w:hAnsi="宋体"/>
                <w:color w:val="auto"/>
                <w:szCs w:val="22"/>
                <w:highlight w:val="none"/>
              </w:rPr>
            </w:pPr>
            <w:r>
              <w:rPr>
                <w:rFonts w:hint="eastAsia" w:ascii="宋体" w:hAnsi="宋体"/>
                <w:color w:val="auto"/>
                <w:szCs w:val="22"/>
                <w:highlight w:val="none"/>
              </w:rPr>
              <w:t>备注</w:t>
            </w:r>
          </w:p>
        </w:tc>
      </w:tr>
      <w:tr w14:paraId="77A3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42" w:type="dxa"/>
            <w:tcBorders>
              <w:top w:val="single" w:color="auto" w:sz="4" w:space="0"/>
              <w:left w:val="single" w:color="auto" w:sz="4" w:space="0"/>
              <w:bottom w:val="single" w:color="auto" w:sz="4" w:space="0"/>
              <w:right w:val="single" w:color="auto" w:sz="4" w:space="0"/>
            </w:tcBorders>
            <w:vAlign w:val="center"/>
          </w:tcPr>
          <w:p w14:paraId="5460ED06">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1</w:t>
            </w:r>
          </w:p>
        </w:tc>
        <w:tc>
          <w:tcPr>
            <w:tcW w:w="1210" w:type="dxa"/>
            <w:tcBorders>
              <w:top w:val="single" w:color="auto" w:sz="4" w:space="0"/>
              <w:left w:val="single" w:color="auto" w:sz="4" w:space="0"/>
              <w:bottom w:val="single" w:color="auto" w:sz="4" w:space="0"/>
              <w:right w:val="single" w:color="auto" w:sz="4" w:space="0"/>
            </w:tcBorders>
            <w:vAlign w:val="center"/>
          </w:tcPr>
          <w:p w14:paraId="6C7986C7">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606B2015">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tcPr>
          <w:p w14:paraId="15CE7A39">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0ED3E080">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325BCDEB">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E3E0283">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tcPr>
          <w:p w14:paraId="48B25FC3">
            <w:pPr>
              <w:keepNext w:val="0"/>
              <w:keepLines w:val="0"/>
              <w:suppressLineNumbers w:val="0"/>
              <w:spacing w:before="0" w:beforeAutospacing="0" w:after="0" w:afterAutospacing="0"/>
              <w:ind w:left="0" w:right="0"/>
              <w:rPr>
                <w:rFonts w:hint="default" w:ascii="宋体" w:hAnsi="宋体"/>
                <w:color w:val="auto"/>
                <w:szCs w:val="22"/>
                <w:highlight w:val="none"/>
              </w:rPr>
            </w:pPr>
          </w:p>
        </w:tc>
      </w:tr>
      <w:tr w14:paraId="30DD1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42" w:type="dxa"/>
            <w:tcBorders>
              <w:top w:val="single" w:color="auto" w:sz="4" w:space="0"/>
              <w:left w:val="single" w:color="auto" w:sz="4" w:space="0"/>
              <w:bottom w:val="single" w:color="auto" w:sz="4" w:space="0"/>
              <w:right w:val="single" w:color="auto" w:sz="4" w:space="0"/>
            </w:tcBorders>
            <w:vAlign w:val="center"/>
          </w:tcPr>
          <w:p w14:paraId="5A6522C5">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2</w:t>
            </w:r>
          </w:p>
        </w:tc>
        <w:tc>
          <w:tcPr>
            <w:tcW w:w="1210" w:type="dxa"/>
            <w:tcBorders>
              <w:top w:val="single" w:color="auto" w:sz="4" w:space="0"/>
              <w:left w:val="single" w:color="auto" w:sz="4" w:space="0"/>
              <w:bottom w:val="single" w:color="auto" w:sz="4" w:space="0"/>
              <w:right w:val="single" w:color="auto" w:sz="4" w:space="0"/>
            </w:tcBorders>
            <w:vAlign w:val="center"/>
          </w:tcPr>
          <w:p w14:paraId="2DAA2F25">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47741810">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tcPr>
          <w:p w14:paraId="37F2CD8B">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241D325A">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16AF5FFD">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7983128">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tcPr>
          <w:p w14:paraId="23A0EEBD">
            <w:pPr>
              <w:keepNext w:val="0"/>
              <w:keepLines w:val="0"/>
              <w:suppressLineNumbers w:val="0"/>
              <w:spacing w:before="0" w:beforeAutospacing="0" w:after="0" w:afterAutospacing="0"/>
              <w:ind w:left="0" w:right="0"/>
              <w:rPr>
                <w:rFonts w:hint="default" w:ascii="宋体" w:hAnsi="宋体"/>
                <w:color w:val="auto"/>
                <w:szCs w:val="22"/>
                <w:highlight w:val="none"/>
              </w:rPr>
            </w:pPr>
          </w:p>
        </w:tc>
      </w:tr>
      <w:tr w14:paraId="53D0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542" w:type="dxa"/>
            <w:tcBorders>
              <w:top w:val="single" w:color="auto" w:sz="4" w:space="0"/>
              <w:left w:val="single" w:color="auto" w:sz="4" w:space="0"/>
              <w:bottom w:val="single" w:color="auto" w:sz="4" w:space="0"/>
              <w:right w:val="single" w:color="auto" w:sz="4" w:space="0"/>
            </w:tcBorders>
            <w:vAlign w:val="center"/>
          </w:tcPr>
          <w:p w14:paraId="402AFAB7">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w:t>
            </w:r>
          </w:p>
        </w:tc>
        <w:tc>
          <w:tcPr>
            <w:tcW w:w="1210" w:type="dxa"/>
            <w:tcBorders>
              <w:top w:val="single" w:color="auto" w:sz="4" w:space="0"/>
              <w:left w:val="single" w:color="auto" w:sz="4" w:space="0"/>
              <w:bottom w:val="single" w:color="auto" w:sz="4" w:space="0"/>
              <w:right w:val="single" w:color="auto" w:sz="4" w:space="0"/>
            </w:tcBorders>
            <w:vAlign w:val="center"/>
          </w:tcPr>
          <w:p w14:paraId="51365302">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670" w:type="dxa"/>
            <w:tcBorders>
              <w:top w:val="single" w:color="auto" w:sz="4" w:space="0"/>
              <w:left w:val="single" w:color="auto" w:sz="4" w:space="0"/>
              <w:bottom w:val="single" w:color="auto" w:sz="4" w:space="0"/>
              <w:right w:val="single" w:color="auto" w:sz="4" w:space="0"/>
            </w:tcBorders>
            <w:vAlign w:val="center"/>
          </w:tcPr>
          <w:p w14:paraId="1C013551">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050" w:type="dxa"/>
            <w:tcBorders>
              <w:top w:val="single" w:color="auto" w:sz="4" w:space="0"/>
              <w:left w:val="single" w:color="auto" w:sz="4" w:space="0"/>
              <w:bottom w:val="single" w:color="auto" w:sz="4" w:space="0"/>
              <w:right w:val="single" w:color="auto" w:sz="4" w:space="0"/>
            </w:tcBorders>
          </w:tcPr>
          <w:p w14:paraId="1DEEF7F7">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870" w:type="dxa"/>
            <w:tcBorders>
              <w:top w:val="single" w:color="auto" w:sz="4" w:space="0"/>
              <w:left w:val="single" w:color="auto" w:sz="4" w:space="0"/>
              <w:bottom w:val="single" w:color="auto" w:sz="4" w:space="0"/>
              <w:right w:val="single" w:color="auto" w:sz="4" w:space="0"/>
            </w:tcBorders>
            <w:vAlign w:val="center"/>
          </w:tcPr>
          <w:p w14:paraId="5CD57A0F">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45EEE495">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716DFE43">
            <w:pPr>
              <w:keepNext w:val="0"/>
              <w:keepLines w:val="0"/>
              <w:suppressLineNumbers w:val="0"/>
              <w:spacing w:before="0" w:beforeAutospacing="0" w:after="0" w:afterAutospacing="0"/>
              <w:ind w:left="0" w:right="0"/>
              <w:rPr>
                <w:rFonts w:hint="default" w:ascii="宋体" w:hAnsi="宋体"/>
                <w:color w:val="auto"/>
                <w:szCs w:val="22"/>
                <w:highlight w:val="none"/>
              </w:rPr>
            </w:pPr>
          </w:p>
        </w:tc>
        <w:tc>
          <w:tcPr>
            <w:tcW w:w="1210" w:type="dxa"/>
            <w:tcBorders>
              <w:top w:val="single" w:color="auto" w:sz="4" w:space="0"/>
              <w:left w:val="single" w:color="auto" w:sz="4" w:space="0"/>
              <w:bottom w:val="single" w:color="auto" w:sz="4" w:space="0"/>
              <w:right w:val="single" w:color="auto" w:sz="4" w:space="0"/>
            </w:tcBorders>
          </w:tcPr>
          <w:p w14:paraId="2B8FBC16">
            <w:pPr>
              <w:keepNext w:val="0"/>
              <w:keepLines w:val="0"/>
              <w:suppressLineNumbers w:val="0"/>
              <w:spacing w:before="0" w:beforeAutospacing="0" w:after="0" w:afterAutospacing="0"/>
              <w:ind w:left="0" w:right="0"/>
              <w:rPr>
                <w:rFonts w:hint="default" w:ascii="宋体" w:hAnsi="宋体"/>
                <w:color w:val="auto"/>
                <w:szCs w:val="22"/>
                <w:highlight w:val="none"/>
              </w:rPr>
            </w:pPr>
          </w:p>
        </w:tc>
      </w:tr>
      <w:tr w14:paraId="7B33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6F0BEA5F">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报价合计（包含税费等所有费用）：（大写）人民币（￥元）</w:t>
            </w:r>
          </w:p>
        </w:tc>
      </w:tr>
      <w:tr w14:paraId="5483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4C5252BB">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r w14:paraId="7AD4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632" w:type="dxa"/>
            <w:gridSpan w:val="8"/>
            <w:tcBorders>
              <w:top w:val="single" w:color="auto" w:sz="4" w:space="0"/>
              <w:left w:val="single" w:color="auto" w:sz="4" w:space="0"/>
              <w:bottom w:val="single" w:color="auto" w:sz="4" w:space="0"/>
              <w:right w:val="single" w:color="auto" w:sz="4" w:space="0"/>
            </w:tcBorders>
          </w:tcPr>
          <w:p w14:paraId="52F9B7DC">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验收标准：</w:t>
            </w:r>
          </w:p>
        </w:tc>
      </w:tr>
      <w:tr w14:paraId="57FF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632" w:type="dxa"/>
            <w:gridSpan w:val="8"/>
            <w:tcBorders>
              <w:top w:val="single" w:color="auto" w:sz="4" w:space="0"/>
              <w:left w:val="single" w:color="auto" w:sz="4" w:space="0"/>
              <w:bottom w:val="single" w:color="auto" w:sz="4" w:space="0"/>
              <w:right w:val="single" w:color="auto" w:sz="4" w:space="0"/>
            </w:tcBorders>
          </w:tcPr>
          <w:p w14:paraId="0D156D6B">
            <w:pPr>
              <w:keepNext w:val="0"/>
              <w:keepLines w:val="0"/>
              <w:suppressLineNumbers w:val="0"/>
              <w:spacing w:before="0" w:beforeAutospacing="0" w:after="0" w:afterAutospacing="0"/>
              <w:ind w:left="0" w:right="0"/>
              <w:rPr>
                <w:rFonts w:hint="default" w:ascii="宋体" w:hAnsi="宋体"/>
                <w:color w:val="auto"/>
                <w:szCs w:val="22"/>
                <w:highlight w:val="none"/>
              </w:rPr>
            </w:pPr>
            <w:r>
              <w:rPr>
                <w:rFonts w:hint="eastAsia" w:ascii="宋体" w:hAnsi="宋体"/>
                <w:color w:val="auto"/>
                <w:szCs w:val="22"/>
                <w:highlight w:val="none"/>
              </w:rPr>
              <w:t>优惠及其它：</w:t>
            </w:r>
          </w:p>
        </w:tc>
      </w:tr>
    </w:tbl>
    <w:p w14:paraId="5D7782E1">
      <w:pPr>
        <w:snapToGrid w:val="0"/>
        <w:spacing w:before="50" w:after="50"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注： </w:t>
      </w:r>
    </w:p>
    <w:p w14:paraId="28963E34">
      <w:pPr>
        <w:snapToGrid w:val="0"/>
        <w:spacing w:before="50" w:after="50"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仿宋_GB2312"/>
          <w:b/>
          <w:color w:val="auto"/>
          <w:kern w:val="0"/>
          <w:sz w:val="24"/>
          <w:highlight w:val="none"/>
          <w:lang w:val="zh-CN"/>
        </w:rPr>
        <w:t>否则其投标作无效标处理。</w:t>
      </w:r>
    </w:p>
    <w:p w14:paraId="7DA7C778">
      <w:pPr>
        <w:snapToGrid w:val="0"/>
        <w:spacing w:before="50" w:after="50"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2、本表内容均不能涂改，</w:t>
      </w:r>
      <w:r>
        <w:rPr>
          <w:rFonts w:hint="eastAsia" w:ascii="宋体" w:hAnsi="宋体" w:cs="仿宋_GB2312"/>
          <w:b/>
          <w:color w:val="auto"/>
          <w:kern w:val="0"/>
          <w:sz w:val="24"/>
          <w:highlight w:val="none"/>
          <w:lang w:val="zh-CN"/>
        </w:rPr>
        <w:t>否则其投标作无效标处理。</w:t>
      </w:r>
    </w:p>
    <w:p w14:paraId="1288D66A">
      <w:pPr>
        <w:snapToGrid w:val="0"/>
        <w:spacing w:before="50" w:after="50" w:line="360" w:lineRule="auto"/>
        <w:ind w:firstLine="480" w:firstLineChars="200"/>
        <w:jc w:val="left"/>
        <w:rPr>
          <w:rFonts w:ascii="宋体" w:hAnsi="宋体" w:cs="仿宋_GB2312"/>
          <w:b/>
          <w:color w:val="auto"/>
          <w:kern w:val="0"/>
          <w:sz w:val="24"/>
          <w:highlight w:val="none"/>
          <w:lang w:val="zh-CN"/>
        </w:rPr>
      </w:pPr>
      <w:r>
        <w:rPr>
          <w:rFonts w:hint="eastAsia" w:ascii="宋体" w:hAnsi="宋体"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仿宋_GB2312"/>
          <w:b/>
          <w:color w:val="auto"/>
          <w:kern w:val="0"/>
          <w:sz w:val="24"/>
          <w:highlight w:val="none"/>
          <w:lang w:val="zh-CN"/>
        </w:rPr>
        <w:t>否则其投标作无效标处理。</w:t>
      </w:r>
    </w:p>
    <w:p w14:paraId="4A41C91A">
      <w:pPr>
        <w:snapToGrid w:val="0"/>
        <w:spacing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4、以上表格要求细分项目及报价，在“具体货物内容”一栏中，填写具体货物，</w:t>
      </w:r>
      <w:r>
        <w:rPr>
          <w:rFonts w:hint="eastAsia" w:ascii="宋体" w:hAnsi="宋体" w:cs="仿宋_GB2312"/>
          <w:b/>
          <w:color w:val="auto"/>
          <w:kern w:val="0"/>
          <w:sz w:val="24"/>
          <w:highlight w:val="none"/>
          <w:lang w:val="zh-CN"/>
        </w:rPr>
        <w:t>否则其投标作无效标处理。</w:t>
      </w:r>
      <w:r>
        <w:rPr>
          <w:rFonts w:hint="eastAsia" w:ascii="宋体" w:hAnsi="宋体" w:cs="仿宋_GB2312"/>
          <w:color w:val="auto"/>
          <w:kern w:val="0"/>
          <w:sz w:val="24"/>
          <w:highlight w:val="none"/>
          <w:lang w:val="zh-CN"/>
        </w:rPr>
        <w:t>。</w:t>
      </w:r>
    </w:p>
    <w:p w14:paraId="3A0F023A">
      <w:pPr>
        <w:snapToGrid w:val="0"/>
        <w:spacing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5、特别提示：采购机构将对项目名称和项目编号，中标供应商名称、地址和中标金额，主要中标标的的名称、规格型号、数量、单价、货物要求等予以公示。</w:t>
      </w:r>
    </w:p>
    <w:p w14:paraId="761B8947">
      <w:pPr>
        <w:snapToGrid w:val="0"/>
        <w:spacing w:line="360" w:lineRule="auto"/>
        <w:ind w:firstLine="480" w:firstLineChars="200"/>
        <w:jc w:val="left"/>
        <w:rPr>
          <w:rFonts w:ascii="宋体" w:hAnsi="宋体" w:cs="仿宋_GB2312"/>
          <w:color w:val="auto"/>
          <w:kern w:val="0"/>
          <w:sz w:val="24"/>
          <w:highlight w:val="none"/>
          <w:lang w:val="zh-CN"/>
        </w:rPr>
      </w:pPr>
      <w:r>
        <w:rPr>
          <w:rFonts w:hint="eastAsia" w:ascii="宋体" w:hAnsi="宋体" w:cs="仿宋_GB2312"/>
          <w:color w:val="auto"/>
          <w:kern w:val="0"/>
          <w:sz w:val="24"/>
          <w:szCs w:val="22"/>
          <w:highlight w:val="none"/>
          <w:lang w:val="zh-CN"/>
        </w:rPr>
        <w:t>6、</w:t>
      </w:r>
      <w:r>
        <w:rPr>
          <w:rFonts w:hint="eastAsia" w:ascii="宋体" w:hAnsi="宋体"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EE5B74E">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7CBA0F3E">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498643D8">
      <w:pPr>
        <w:widowControl/>
        <w:ind w:firstLine="600"/>
        <w:jc w:val="left"/>
        <w:rPr>
          <w:rFonts w:ascii="宋体" w:hAnsi="宋体"/>
          <w:color w:val="auto"/>
          <w:sz w:val="30"/>
          <w:szCs w:val="20"/>
          <w:highlight w:val="none"/>
        </w:rPr>
        <w:sectPr>
          <w:pgSz w:w="11906" w:h="16838"/>
          <w:pgMar w:top="1134" w:right="1134" w:bottom="1134" w:left="1134" w:header="720" w:footer="720" w:gutter="0"/>
          <w:cols w:space="720" w:num="1"/>
          <w:docGrid w:type="lines" w:linePitch="331" w:charSpace="0"/>
        </w:sectPr>
      </w:pPr>
    </w:p>
    <w:p w14:paraId="5882E2DB">
      <w:pPr>
        <w:pStyle w:val="15"/>
        <w:ind w:firstLine="602"/>
        <w:jc w:val="center"/>
        <w:rPr>
          <w:rFonts w:hAnsi="宋体"/>
          <w:b/>
          <w:color w:val="auto"/>
          <w:sz w:val="30"/>
          <w:szCs w:val="30"/>
          <w:highlight w:val="none"/>
        </w:rPr>
      </w:pPr>
      <w:r>
        <w:rPr>
          <w:rFonts w:hint="eastAsia" w:hAnsi="宋体"/>
          <w:b/>
          <w:color w:val="auto"/>
          <w:sz w:val="30"/>
          <w:szCs w:val="30"/>
          <w:highlight w:val="none"/>
        </w:rPr>
        <w:t>三、中小企业声明函</w:t>
      </w:r>
    </w:p>
    <w:p w14:paraId="28CE7CBC">
      <w:pPr>
        <w:pStyle w:val="13"/>
        <w:spacing w:line="240" w:lineRule="auto"/>
        <w:ind w:firstLine="412"/>
        <w:rPr>
          <w:rFonts w:hAnsi="宋体"/>
          <w:color w:val="auto"/>
          <w:sz w:val="21"/>
          <w:szCs w:val="21"/>
          <w:highlight w:val="none"/>
        </w:rPr>
      </w:pPr>
      <w:r>
        <w:rPr>
          <w:rFonts w:hint="eastAsia" w:hAnsi="宋体"/>
          <w:color w:val="auto"/>
          <w:sz w:val="21"/>
          <w:szCs w:val="21"/>
          <w:highlight w:val="none"/>
        </w:rPr>
        <w:t>说明：</w:t>
      </w:r>
    </w:p>
    <w:p w14:paraId="02E70565">
      <w:pPr>
        <w:pStyle w:val="13"/>
        <w:spacing w:line="240" w:lineRule="auto"/>
        <w:ind w:firstLine="404" w:firstLineChars="200"/>
        <w:rPr>
          <w:rFonts w:hAnsi="宋体"/>
          <w:color w:val="auto"/>
          <w:sz w:val="21"/>
          <w:szCs w:val="21"/>
          <w:highlight w:val="none"/>
        </w:rPr>
      </w:pPr>
      <w:r>
        <w:rPr>
          <w:rFonts w:hAnsi="宋体"/>
          <w:color w:val="auto"/>
          <w:sz w:val="21"/>
          <w:szCs w:val="21"/>
          <w:highlight w:val="none"/>
        </w:rPr>
        <w:t>1</w:t>
      </w:r>
      <w:r>
        <w:rPr>
          <w:rFonts w:hint="eastAsia" w:hAnsi="宋体"/>
          <w:color w:val="auto"/>
          <w:sz w:val="21"/>
          <w:szCs w:val="21"/>
          <w:highlight w:val="none"/>
        </w:rPr>
        <w:t>、本声明函主要供参加政府采购活动的中小企业填写，非中小企业无需填写。</w:t>
      </w:r>
    </w:p>
    <w:p w14:paraId="17E9FFF1">
      <w:pPr>
        <w:pStyle w:val="13"/>
        <w:spacing w:line="240" w:lineRule="auto"/>
        <w:ind w:firstLine="404" w:firstLineChars="20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、小型、微型企业提供中型企业提供的货物的，视同为中型企业。</w:t>
      </w:r>
    </w:p>
    <w:p w14:paraId="0C104408">
      <w:pPr>
        <w:pStyle w:val="13"/>
        <w:spacing w:line="240" w:lineRule="auto"/>
        <w:ind w:firstLine="404" w:firstLineChars="200"/>
        <w:rPr>
          <w:rFonts w:hAnsi="宋体"/>
          <w:color w:val="auto"/>
          <w:sz w:val="21"/>
          <w:szCs w:val="21"/>
          <w:highlight w:val="none"/>
        </w:rPr>
      </w:pPr>
    </w:p>
    <w:p w14:paraId="3318F6C0">
      <w:pPr>
        <w:pStyle w:val="12"/>
        <w:spacing w:line="360" w:lineRule="auto"/>
        <w:ind w:left="-426" w:leftChars="-203" w:right="142" w:firstLine="420" w:firstLineChars="200"/>
        <w:contextualSpacing/>
        <w:rPr>
          <w:rFonts w:ascii="宋体" w:hAnsi="宋体"/>
          <w:color w:val="auto"/>
          <w:kern w:val="24"/>
          <w:highlight w:val="none"/>
        </w:rPr>
      </w:pPr>
      <w:r>
        <w:rPr>
          <w:rFonts w:hint="eastAsia" w:ascii="宋体" w:hAnsi="宋体"/>
          <w:color w:val="auto"/>
          <w:kern w:val="24"/>
          <w:highlight w:val="none"/>
        </w:rPr>
        <w:t>本公司（联合体）郑重声明，根据《政府采购促进中小企业发展管理办法》（财库﹝2020﹞46号）的规定，本公司（联合体）参加</w:t>
      </w:r>
      <w:r>
        <w:rPr>
          <w:rFonts w:hint="eastAsia" w:ascii="宋体" w:hAnsi="宋体"/>
          <w:color w:val="auto"/>
          <w:kern w:val="24"/>
          <w:highlight w:val="none"/>
          <w:u w:val="single"/>
        </w:rPr>
        <w:t xml:space="preserve">南宁职业技术大学 </w:t>
      </w:r>
      <w:r>
        <w:rPr>
          <w:rFonts w:hint="eastAsia" w:ascii="宋体" w:hAnsi="宋体"/>
          <w:color w:val="auto"/>
          <w:kern w:val="24"/>
          <w:highlight w:val="none"/>
        </w:rPr>
        <w:t>的</w:t>
      </w:r>
      <w:r>
        <w:rPr>
          <w:rFonts w:hint="eastAsia" w:ascii="宋体" w:hAnsi="宋体"/>
          <w:color w:val="auto"/>
          <w:kern w:val="24"/>
          <w:highlight w:val="none"/>
          <w:u w:val="single"/>
        </w:rPr>
        <w:t>南宁职业技术大学跨境电子商务专业群实训室建设项目</w:t>
      </w:r>
      <w:r>
        <w:rPr>
          <w:rFonts w:hint="eastAsia" w:ascii="宋体" w:hAnsi="宋体"/>
          <w:color w:val="auto"/>
          <w:kern w:val="24"/>
          <w:highlight w:val="none"/>
        </w:rPr>
        <w:t>采购活动，提供的货物全部由符合政策要求的中小企业制造。相关企业（含联合体中的中小企业、签订分包意向协议的中小企业）的具体情况如下：</w:t>
      </w:r>
    </w:p>
    <w:p w14:paraId="47CBC549">
      <w:pPr>
        <w:tabs>
          <w:tab w:val="left" w:pos="1384"/>
          <w:tab w:val="left" w:pos="4562"/>
          <w:tab w:val="left" w:pos="6803"/>
        </w:tabs>
        <w:spacing w:line="360" w:lineRule="auto"/>
        <w:ind w:left="-426" w:right="-58" w:firstLine="480"/>
        <w:contextualSpacing/>
        <w:rPr>
          <w:rFonts w:ascii="宋体" w:hAnsi="宋体"/>
          <w:color w:val="auto"/>
          <w:kern w:val="24"/>
          <w:sz w:val="24"/>
          <w:highlight w:val="none"/>
        </w:rPr>
      </w:pPr>
      <w:r>
        <w:rPr>
          <w:rFonts w:hint="eastAsia" w:ascii="宋体" w:hAnsi="宋体"/>
          <w:color w:val="auto"/>
          <w:kern w:val="24"/>
          <w:sz w:val="24"/>
          <w:highlight w:val="none"/>
        </w:rPr>
        <w:t>1.</w:t>
      </w:r>
      <w:r>
        <w:rPr>
          <w:rFonts w:hint="eastAsia" w:ascii="宋体" w:hAnsi="宋体"/>
          <w:color w:val="auto"/>
          <w:kern w:val="24"/>
          <w:sz w:val="24"/>
          <w:highlight w:val="none"/>
          <w:u w:val="single"/>
        </w:rPr>
        <w:t>（标的名称）</w:t>
      </w:r>
      <w:r>
        <w:rPr>
          <w:rFonts w:hint="eastAsia" w:ascii="宋体" w:hAnsi="宋体"/>
          <w:color w:val="auto"/>
          <w:kern w:val="24"/>
          <w:sz w:val="24"/>
          <w:highlight w:val="none"/>
        </w:rPr>
        <w:t>，属于</w:t>
      </w:r>
      <w:r>
        <w:rPr>
          <w:rFonts w:hint="eastAsia" w:ascii="宋体" w:hAnsi="宋体"/>
          <w:color w:val="auto"/>
          <w:kern w:val="24"/>
          <w:sz w:val="24"/>
          <w:highlight w:val="none"/>
          <w:u w:val="single"/>
        </w:rPr>
        <w:t>（采购文件中明确的所属行业）</w:t>
      </w:r>
      <w:r>
        <w:rPr>
          <w:rFonts w:hint="eastAsia" w:ascii="宋体" w:hAnsi="宋体"/>
          <w:color w:val="auto"/>
          <w:kern w:val="24"/>
          <w:sz w:val="24"/>
          <w:highlight w:val="none"/>
        </w:rPr>
        <w:t>行业；制造商为</w:t>
      </w:r>
      <w:r>
        <w:rPr>
          <w:rFonts w:hint="eastAsia" w:ascii="宋体" w:hAnsi="宋体"/>
          <w:color w:val="auto"/>
          <w:kern w:val="24"/>
          <w:sz w:val="24"/>
          <w:highlight w:val="none"/>
          <w:u w:val="single"/>
        </w:rPr>
        <w:t>（企业名称）</w:t>
      </w:r>
      <w:r>
        <w:rPr>
          <w:rFonts w:hint="eastAsia"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万元，属于</w:t>
      </w:r>
      <w:r>
        <w:rPr>
          <w:rFonts w:hint="eastAsia" w:ascii="宋体" w:hAnsi="宋体"/>
          <w:color w:val="auto"/>
          <w:kern w:val="24"/>
          <w:sz w:val="24"/>
          <w:highlight w:val="none"/>
          <w:u w:val="single"/>
        </w:rPr>
        <w:t>（中型企业、小型企业、微型企业）</w:t>
      </w:r>
      <w:r>
        <w:rPr>
          <w:rFonts w:hint="eastAsia" w:ascii="宋体" w:hAnsi="宋体"/>
          <w:color w:val="auto"/>
          <w:kern w:val="24"/>
          <w:sz w:val="24"/>
          <w:highlight w:val="none"/>
        </w:rPr>
        <w:t>；</w:t>
      </w:r>
    </w:p>
    <w:p w14:paraId="26C65C28">
      <w:pPr>
        <w:tabs>
          <w:tab w:val="left" w:pos="1065"/>
          <w:tab w:val="left" w:pos="6477"/>
        </w:tabs>
        <w:spacing w:line="360" w:lineRule="auto"/>
        <w:ind w:left="-426" w:right="-58" w:firstLine="480"/>
        <w:contextualSpacing/>
        <w:rPr>
          <w:rFonts w:ascii="宋体" w:hAnsi="宋体"/>
          <w:color w:val="auto"/>
          <w:kern w:val="24"/>
          <w:sz w:val="24"/>
          <w:highlight w:val="none"/>
        </w:rPr>
      </w:pPr>
      <w:r>
        <w:rPr>
          <w:rFonts w:hint="eastAsia" w:ascii="宋体" w:hAnsi="宋体"/>
          <w:color w:val="auto"/>
          <w:kern w:val="24"/>
          <w:sz w:val="24"/>
          <w:highlight w:val="none"/>
        </w:rPr>
        <w:t>2.</w:t>
      </w:r>
      <w:r>
        <w:rPr>
          <w:rFonts w:hint="eastAsia" w:ascii="宋体" w:hAnsi="宋体"/>
          <w:color w:val="auto"/>
          <w:kern w:val="24"/>
          <w:sz w:val="24"/>
          <w:highlight w:val="none"/>
          <w:u w:val="single"/>
        </w:rPr>
        <w:t>（标的名称）</w:t>
      </w:r>
      <w:r>
        <w:rPr>
          <w:rFonts w:hint="eastAsia" w:ascii="宋体" w:hAnsi="宋体"/>
          <w:color w:val="auto"/>
          <w:kern w:val="24"/>
          <w:sz w:val="24"/>
          <w:highlight w:val="none"/>
        </w:rPr>
        <w:t>，属于</w:t>
      </w:r>
      <w:r>
        <w:rPr>
          <w:rFonts w:hint="eastAsia" w:ascii="宋体" w:hAnsi="宋体"/>
          <w:color w:val="auto"/>
          <w:kern w:val="24"/>
          <w:sz w:val="24"/>
          <w:highlight w:val="none"/>
          <w:u w:val="single"/>
        </w:rPr>
        <w:t>（采购文件中明确的所属行业）</w:t>
      </w:r>
      <w:r>
        <w:rPr>
          <w:rFonts w:hint="eastAsia" w:ascii="宋体" w:hAnsi="宋体"/>
          <w:color w:val="auto"/>
          <w:kern w:val="24"/>
          <w:sz w:val="24"/>
          <w:highlight w:val="none"/>
        </w:rPr>
        <w:t>行业；制造商为</w:t>
      </w:r>
      <w:r>
        <w:rPr>
          <w:rFonts w:hint="eastAsia" w:ascii="宋体" w:hAnsi="宋体"/>
          <w:color w:val="auto"/>
          <w:kern w:val="24"/>
          <w:sz w:val="24"/>
          <w:highlight w:val="none"/>
          <w:u w:val="single"/>
        </w:rPr>
        <w:t>（企业名称）</w:t>
      </w:r>
      <w:r>
        <w:rPr>
          <w:rFonts w:hint="eastAsia" w:ascii="宋体" w:hAnsi="宋体"/>
          <w:color w:val="auto"/>
          <w:kern w:val="24"/>
          <w:sz w:val="24"/>
          <w:highlight w:val="none"/>
        </w:rPr>
        <w:t>，从业人员</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人，营业收入为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万元，资产总额为</w:t>
      </w:r>
      <w:r>
        <w:rPr>
          <w:rFonts w:hint="eastAsia" w:ascii="宋体" w:hAnsi="宋体"/>
          <w:color w:val="auto"/>
          <w:kern w:val="24"/>
          <w:sz w:val="24"/>
          <w:highlight w:val="none"/>
          <w:u w:val="single"/>
        </w:rPr>
        <w:t xml:space="preserve">      </w:t>
      </w:r>
      <w:r>
        <w:rPr>
          <w:rFonts w:hint="eastAsia" w:ascii="宋体" w:hAnsi="宋体"/>
          <w:color w:val="auto"/>
          <w:kern w:val="24"/>
          <w:sz w:val="24"/>
          <w:highlight w:val="none"/>
        </w:rPr>
        <w:t>万元，属于</w:t>
      </w:r>
      <w:r>
        <w:rPr>
          <w:rFonts w:hint="eastAsia" w:ascii="宋体" w:hAnsi="宋体"/>
          <w:color w:val="auto"/>
          <w:kern w:val="24"/>
          <w:sz w:val="24"/>
          <w:highlight w:val="none"/>
          <w:u w:val="single"/>
        </w:rPr>
        <w:t>（中型企业、小型企业、微型企业）</w:t>
      </w:r>
      <w:r>
        <w:rPr>
          <w:rFonts w:hint="eastAsia" w:ascii="宋体" w:hAnsi="宋体"/>
          <w:color w:val="auto"/>
          <w:kern w:val="24"/>
          <w:sz w:val="24"/>
          <w:highlight w:val="none"/>
        </w:rPr>
        <w:t>；</w:t>
      </w:r>
    </w:p>
    <w:p w14:paraId="1A555434">
      <w:pPr>
        <w:pStyle w:val="12"/>
        <w:spacing w:line="360" w:lineRule="auto"/>
        <w:ind w:left="142" w:right="142"/>
        <w:contextualSpacing/>
        <w:rPr>
          <w:rFonts w:ascii="宋体" w:hAnsi="宋体"/>
          <w:color w:val="auto"/>
          <w:kern w:val="24"/>
          <w:highlight w:val="none"/>
        </w:rPr>
      </w:pPr>
      <w:r>
        <w:rPr>
          <w:rFonts w:hint="eastAsia" w:ascii="宋体" w:hAnsi="宋体"/>
          <w:color w:val="auto"/>
          <w:kern w:val="24"/>
          <w:highlight w:val="none"/>
        </w:rPr>
        <w:t xml:space="preserve">…… </w:t>
      </w:r>
    </w:p>
    <w:p w14:paraId="4D450B89">
      <w:pPr>
        <w:pStyle w:val="12"/>
        <w:spacing w:line="360" w:lineRule="auto"/>
        <w:ind w:left="-405" w:leftChars="-193" w:right="142" w:firstLine="396" w:firstLineChars="189"/>
        <w:contextualSpacing/>
        <w:rPr>
          <w:rFonts w:ascii="宋体" w:hAnsi="宋体"/>
          <w:color w:val="auto"/>
          <w:kern w:val="24"/>
          <w:highlight w:val="none"/>
        </w:rPr>
      </w:pPr>
      <w:r>
        <w:rPr>
          <w:rFonts w:hint="eastAsia" w:ascii="宋体" w:hAnsi="宋体"/>
          <w:color w:val="auto"/>
          <w:kern w:val="24"/>
          <w:highlight w:val="none"/>
        </w:rPr>
        <w:t>以上企业，不属于大企业的分支机构，不存在控股股东为大企业的情形，也不存在与大企业的负责人为同一人的情形。</w:t>
      </w:r>
    </w:p>
    <w:p w14:paraId="784995BF">
      <w:pPr>
        <w:pStyle w:val="12"/>
        <w:spacing w:line="360" w:lineRule="auto"/>
        <w:ind w:left="-426" w:right="142" w:firstLine="420"/>
        <w:contextualSpacing/>
        <w:rPr>
          <w:rFonts w:ascii="宋体" w:hAnsi="宋体"/>
          <w:color w:val="auto"/>
          <w:kern w:val="24"/>
          <w:highlight w:val="none"/>
        </w:rPr>
      </w:pPr>
      <w:r>
        <w:rPr>
          <w:rFonts w:hint="eastAsia" w:ascii="宋体" w:hAnsi="宋体"/>
          <w:color w:val="auto"/>
          <w:kern w:val="24"/>
          <w:highlight w:val="none"/>
        </w:rPr>
        <w:t>本企业对上述声明内容的真实性负责。如有虚假，将依法承担相应责任。</w:t>
      </w:r>
    </w:p>
    <w:p w14:paraId="383C51C9">
      <w:pPr>
        <w:pStyle w:val="15"/>
        <w:spacing w:line="360" w:lineRule="auto"/>
        <w:ind w:firstLine="420" w:firstLineChars="200"/>
        <w:rPr>
          <w:rFonts w:hAnsi="宋体"/>
          <w:color w:val="auto"/>
          <w:szCs w:val="21"/>
          <w:highlight w:val="none"/>
        </w:rPr>
      </w:pPr>
    </w:p>
    <w:p w14:paraId="7B518D20">
      <w:pPr>
        <w:pStyle w:val="15"/>
        <w:spacing w:line="360" w:lineRule="auto"/>
        <w:ind w:firstLine="420" w:firstLineChars="200"/>
        <w:rPr>
          <w:rFonts w:hAnsi="宋体"/>
          <w:color w:val="auto"/>
          <w:szCs w:val="21"/>
          <w:highlight w:val="none"/>
        </w:rPr>
      </w:pPr>
    </w:p>
    <w:p w14:paraId="15A8C06E">
      <w:pPr>
        <w:snapToGrid w:val="0"/>
        <w:spacing w:line="360" w:lineRule="auto"/>
        <w:ind w:firstLine="5040" w:firstLineChars="2100"/>
        <w:rPr>
          <w:rFonts w:ascii="宋体" w:hAnsi="宋体" w:cs="仿宋_GB2312"/>
          <w:color w:val="auto"/>
          <w:kern w:val="0"/>
          <w:sz w:val="24"/>
          <w:highlight w:val="none"/>
        </w:rPr>
      </w:pPr>
      <w:r>
        <w:rPr>
          <w:rFonts w:hint="eastAsia" w:ascii="宋体" w:hAnsi="宋体" w:cs="仿宋_GB2312"/>
          <w:color w:val="auto"/>
          <w:kern w:val="0"/>
          <w:sz w:val="24"/>
          <w:highlight w:val="none"/>
          <w:lang w:val="zh-CN"/>
        </w:rPr>
        <w:t>投标人名称(电子签章)：</w:t>
      </w:r>
    </w:p>
    <w:p w14:paraId="55588712">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5F0378B">
      <w:pPr>
        <w:pStyle w:val="15"/>
        <w:spacing w:line="360" w:lineRule="auto"/>
        <w:ind w:firstLine="420" w:firstLineChars="200"/>
        <w:rPr>
          <w:rFonts w:hAnsi="宋体"/>
          <w:color w:val="auto"/>
          <w:szCs w:val="21"/>
          <w:highlight w:val="none"/>
        </w:rPr>
      </w:pPr>
    </w:p>
    <w:p w14:paraId="54B6C845">
      <w:pPr>
        <w:snapToGrid w:val="0"/>
        <w:spacing w:before="50" w:after="165" w:afterLines="50" w:line="360" w:lineRule="auto"/>
        <w:ind w:firstLine="400"/>
        <w:jc w:val="left"/>
        <w:rPr>
          <w:rFonts w:ascii="宋体" w:hAnsi="宋体" w:cs="宋体"/>
          <w:color w:val="auto"/>
          <w:sz w:val="20"/>
          <w:highlight w:val="none"/>
        </w:rPr>
      </w:pPr>
      <w:r>
        <w:rPr>
          <w:rFonts w:hint="eastAsia" w:ascii="宋体" w:hAnsi="宋体" w:cs="宋体"/>
          <w:color w:val="auto"/>
          <w:sz w:val="20"/>
          <w:highlight w:val="none"/>
        </w:rPr>
        <w:t>注：</w:t>
      </w:r>
    </w:p>
    <w:p w14:paraId="4C6CAF7F">
      <w:pPr>
        <w:snapToGrid w:val="0"/>
        <w:spacing w:before="50" w:after="165" w:afterLines="50" w:line="360" w:lineRule="auto"/>
        <w:ind w:left="210" w:firstLine="400"/>
        <w:jc w:val="left"/>
        <w:rPr>
          <w:rFonts w:ascii="宋体" w:hAnsi="宋体"/>
          <w:color w:val="auto"/>
          <w:sz w:val="20"/>
          <w:highlight w:val="none"/>
        </w:rPr>
      </w:pPr>
      <w:r>
        <w:rPr>
          <w:rFonts w:hint="eastAsia" w:ascii="宋体" w:hAnsi="宋体"/>
          <w:color w:val="auto"/>
          <w:sz w:val="20"/>
          <w:highlight w:val="none"/>
        </w:rPr>
        <w:t>1.从业人员、营业收入、资产总额填报上一年度数据，无上一年度数据的新成立企业可不填报。</w:t>
      </w:r>
    </w:p>
    <w:p w14:paraId="2177542A">
      <w:pPr>
        <w:snapToGrid w:val="0"/>
        <w:spacing w:before="50" w:after="165" w:afterLines="50" w:line="360" w:lineRule="auto"/>
        <w:ind w:firstLine="300" w:firstLineChars="150"/>
        <w:jc w:val="left"/>
        <w:rPr>
          <w:rFonts w:ascii="宋体" w:hAnsi="宋体"/>
          <w:color w:val="auto"/>
          <w:sz w:val="20"/>
          <w:highlight w:val="none"/>
        </w:rPr>
      </w:pPr>
      <w:r>
        <w:rPr>
          <w:rFonts w:hint="eastAsia" w:ascii="宋体" w:hAnsi="宋体"/>
          <w:color w:val="auto"/>
          <w:sz w:val="20"/>
          <w:highlight w:val="none"/>
        </w:rPr>
        <w:t>2.请根据自己的真实情况出具《中小企业声明函》。依法享受中小企业优惠政策的，采购人或者采购代理机构在公告中标结果时，同时公告其《中小企业声明函》，接受社会监督。</w:t>
      </w:r>
    </w:p>
    <w:p w14:paraId="73F16D77">
      <w:pPr>
        <w:widowControl/>
        <w:spacing w:line="360" w:lineRule="auto"/>
        <w:ind w:firstLine="400"/>
        <w:jc w:val="left"/>
        <w:rPr>
          <w:rFonts w:ascii="宋体" w:hAnsi="宋体"/>
          <w:color w:val="auto"/>
          <w:sz w:val="20"/>
          <w:highlight w:val="none"/>
        </w:rPr>
        <w:sectPr>
          <w:pgSz w:w="11906" w:h="16838"/>
          <w:pgMar w:top="1134" w:right="1134" w:bottom="1134" w:left="1134" w:header="720" w:footer="720" w:gutter="0"/>
          <w:cols w:space="720" w:num="1"/>
          <w:docGrid w:type="lines" w:linePitch="331" w:charSpace="0"/>
        </w:sectPr>
      </w:pPr>
    </w:p>
    <w:p w14:paraId="3B66DF4D">
      <w:pPr>
        <w:snapToGrid w:val="0"/>
        <w:spacing w:before="165" w:beforeLines="50" w:after="50"/>
        <w:ind w:firstLine="562"/>
        <w:jc w:val="center"/>
        <w:outlineLvl w:val="1"/>
        <w:rPr>
          <w:rFonts w:ascii="宋体" w:hAnsi="宋体"/>
          <w:b/>
          <w:bCs/>
          <w:color w:val="auto"/>
          <w:sz w:val="28"/>
          <w:szCs w:val="28"/>
          <w:highlight w:val="none"/>
        </w:rPr>
      </w:pPr>
      <w:bookmarkStart w:id="297" w:name="_Toc118383701"/>
      <w:bookmarkStart w:id="298" w:name="_Toc19686840"/>
      <w:r>
        <w:rPr>
          <w:rFonts w:hint="eastAsia" w:ascii="宋体" w:hAnsi="宋体"/>
          <w:b/>
          <w:bCs/>
          <w:color w:val="auto"/>
          <w:sz w:val="28"/>
          <w:szCs w:val="28"/>
          <w:highlight w:val="none"/>
        </w:rPr>
        <w:t>第六节 其他文书、文件格式</w:t>
      </w:r>
      <w:bookmarkEnd w:id="297"/>
      <w:bookmarkEnd w:id="298"/>
    </w:p>
    <w:p w14:paraId="0458B286">
      <w:pPr>
        <w:pStyle w:val="15"/>
        <w:spacing w:line="360" w:lineRule="auto"/>
        <w:ind w:firstLine="602"/>
        <w:jc w:val="center"/>
        <w:rPr>
          <w:rFonts w:hAnsi="宋体"/>
          <w:b/>
          <w:color w:val="auto"/>
          <w:sz w:val="30"/>
          <w:szCs w:val="30"/>
          <w:highlight w:val="none"/>
        </w:rPr>
      </w:pPr>
    </w:p>
    <w:p w14:paraId="609EF1E5">
      <w:pPr>
        <w:ind w:firstLine="643"/>
        <w:jc w:val="center"/>
        <w:rPr>
          <w:rFonts w:ascii="宋体" w:hAnsi="宋体" w:cs="宋体"/>
          <w:b/>
          <w:bCs/>
          <w:color w:val="auto"/>
          <w:sz w:val="32"/>
          <w:szCs w:val="32"/>
          <w:highlight w:val="none"/>
          <w:lang w:val="en"/>
        </w:rPr>
      </w:pPr>
      <w:r>
        <w:rPr>
          <w:rFonts w:hint="eastAsia" w:ascii="宋体" w:hAnsi="宋体" w:cs="宋体"/>
          <w:b/>
          <w:bCs/>
          <w:color w:val="auto"/>
          <w:sz w:val="32"/>
          <w:szCs w:val="32"/>
          <w:highlight w:val="none"/>
          <w:lang w:val="en"/>
        </w:rPr>
        <w:t>知识产权合规性声明</w:t>
      </w:r>
    </w:p>
    <w:p w14:paraId="26A79746">
      <w:pPr>
        <w:ind w:firstLine="600"/>
        <w:rPr>
          <w:rFonts w:ascii="宋体" w:hAnsi="宋体" w:cs="仿宋_GB2312"/>
          <w:color w:val="auto"/>
          <w:sz w:val="30"/>
          <w:szCs w:val="30"/>
          <w:highlight w:val="none"/>
        </w:rPr>
      </w:pPr>
      <w:r>
        <w:rPr>
          <w:rFonts w:hint="eastAsia" w:ascii="宋体" w:hAnsi="宋体" w:cs="仿宋_GB2312"/>
          <w:color w:val="auto"/>
          <w:sz w:val="30"/>
          <w:szCs w:val="30"/>
          <w:highlight w:val="none"/>
        </w:rPr>
        <w:t xml:space="preserve">    </w:t>
      </w:r>
    </w:p>
    <w:p w14:paraId="556CCB16">
      <w:pPr>
        <w:ind w:firstLine="600"/>
        <w:rPr>
          <w:rFonts w:ascii="宋体" w:hAnsi="宋体" w:cs="仿宋_GB2312"/>
          <w:color w:val="auto"/>
          <w:sz w:val="30"/>
          <w:szCs w:val="30"/>
          <w:highlight w:val="none"/>
          <w:lang w:val="en"/>
        </w:rPr>
      </w:pPr>
      <w:r>
        <w:rPr>
          <w:rFonts w:hint="eastAsia" w:ascii="宋体" w:hAnsi="宋体" w:cs="仿宋_GB2312"/>
          <w:color w:val="auto"/>
          <w:sz w:val="30"/>
          <w:szCs w:val="30"/>
          <w:highlight w:val="none"/>
        </w:rPr>
        <w:t xml:space="preserve">    本</w:t>
      </w:r>
      <w:r>
        <w:rPr>
          <w:rFonts w:hint="eastAsia" w:ascii="宋体" w:hAnsi="宋体" w:cs="仿宋_GB2312"/>
          <w:color w:val="auto"/>
          <w:sz w:val="30"/>
          <w:szCs w:val="30"/>
          <w:highlight w:val="none"/>
          <w:lang w:val="en"/>
        </w:rPr>
        <w:t>企业（单位）自愿参与政府投资政府采购的</w:t>
      </w:r>
      <w:r>
        <w:rPr>
          <w:rFonts w:hint="eastAsia" w:ascii="宋体" w:hAnsi="宋体" w:cs="仿宋_GB2312"/>
          <w:color w:val="auto"/>
          <w:sz w:val="30"/>
          <w:szCs w:val="30"/>
          <w:highlight w:val="none"/>
          <w:u w:val="single"/>
          <w:lang w:val="en"/>
        </w:rPr>
        <w:t>南宁职业技术大学跨境电子商务专业群实训室建设项目</w:t>
      </w:r>
      <w:r>
        <w:rPr>
          <w:rFonts w:hint="eastAsia" w:ascii="宋体" w:hAnsi="宋体" w:cs="仿宋_GB2312"/>
          <w:color w:val="auto"/>
          <w:sz w:val="30"/>
          <w:szCs w:val="30"/>
          <w:highlight w:val="none"/>
          <w:lang w:val="en"/>
        </w:rPr>
        <w:t>项目，</w:t>
      </w:r>
      <w:r>
        <w:rPr>
          <w:rFonts w:hint="eastAsia" w:ascii="宋体" w:hAnsi="宋体" w:cs="仿宋_GB2312"/>
          <w:b/>
          <w:bCs/>
          <w:color w:val="auto"/>
          <w:sz w:val="30"/>
          <w:szCs w:val="30"/>
          <w:highlight w:val="none"/>
          <w:lang w:val="en"/>
        </w:rPr>
        <w:t>在此郑重承诺：</w:t>
      </w:r>
      <w:r>
        <w:rPr>
          <w:rFonts w:hint="eastAsia" w:ascii="宋体" w:hAnsi="宋体"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20AD8FDE">
      <w:pPr>
        <w:snapToGrid w:val="0"/>
        <w:spacing w:line="360" w:lineRule="auto"/>
        <w:ind w:left="5137" w:leftChars="1736" w:hanging="1491" w:hangingChars="825"/>
        <w:rPr>
          <w:rFonts w:ascii="宋体" w:hAnsi="宋体"/>
          <w:b/>
          <w:color w:val="auto"/>
          <w:sz w:val="18"/>
          <w:szCs w:val="18"/>
          <w:highlight w:val="none"/>
        </w:rPr>
      </w:pPr>
      <w:r>
        <w:rPr>
          <w:rFonts w:ascii="宋体" w:hAnsi="宋体"/>
          <w:b/>
          <w:color w:val="auto"/>
          <w:sz w:val="18"/>
          <w:szCs w:val="18"/>
          <w:highlight w:val="none"/>
        </w:rPr>
        <w:t xml:space="preserve">           </w:t>
      </w:r>
    </w:p>
    <w:p w14:paraId="3944C42D">
      <w:pPr>
        <w:snapToGrid w:val="0"/>
        <w:spacing w:line="360" w:lineRule="auto"/>
        <w:ind w:left="5137" w:leftChars="1736" w:hanging="1491" w:hangingChars="825"/>
        <w:rPr>
          <w:rFonts w:ascii="宋体" w:hAnsi="宋体"/>
          <w:b/>
          <w:color w:val="auto"/>
          <w:sz w:val="18"/>
          <w:szCs w:val="18"/>
          <w:highlight w:val="none"/>
        </w:rPr>
      </w:pPr>
    </w:p>
    <w:p w14:paraId="3D088EEF">
      <w:pPr>
        <w:snapToGrid w:val="0"/>
        <w:spacing w:line="360" w:lineRule="auto"/>
        <w:ind w:left="5137" w:leftChars="1736" w:hanging="1491" w:hangingChars="825"/>
        <w:rPr>
          <w:rFonts w:ascii="宋体" w:hAnsi="宋体"/>
          <w:b/>
          <w:color w:val="auto"/>
          <w:sz w:val="18"/>
          <w:szCs w:val="18"/>
          <w:highlight w:val="none"/>
        </w:rPr>
      </w:pPr>
    </w:p>
    <w:p w14:paraId="72F3EC4F">
      <w:pPr>
        <w:snapToGrid w:val="0"/>
        <w:spacing w:line="360" w:lineRule="auto"/>
        <w:ind w:left="5137" w:leftChars="1736" w:hanging="1491" w:hangingChars="825"/>
        <w:rPr>
          <w:rFonts w:ascii="宋体" w:hAnsi="宋体"/>
          <w:b/>
          <w:color w:val="auto"/>
          <w:sz w:val="18"/>
          <w:szCs w:val="18"/>
          <w:highlight w:val="none"/>
        </w:rPr>
      </w:pPr>
    </w:p>
    <w:p w14:paraId="020D2BF8">
      <w:pPr>
        <w:snapToGrid w:val="0"/>
        <w:spacing w:line="360" w:lineRule="auto"/>
        <w:ind w:left="5137" w:leftChars="1736" w:hanging="1491" w:hangingChars="825"/>
        <w:rPr>
          <w:rFonts w:ascii="宋体" w:hAnsi="宋体" w:cs="仿宋_GB2312"/>
          <w:color w:val="auto"/>
          <w:kern w:val="0"/>
          <w:sz w:val="24"/>
          <w:highlight w:val="none"/>
        </w:rPr>
      </w:pPr>
      <w:r>
        <w:rPr>
          <w:rFonts w:ascii="宋体" w:hAnsi="宋体"/>
          <w:b/>
          <w:color w:val="auto"/>
          <w:sz w:val="18"/>
          <w:szCs w:val="18"/>
          <w:highlight w:val="none"/>
        </w:rPr>
        <w:t xml:space="preserve">      </w:t>
      </w:r>
      <w:r>
        <w:rPr>
          <w:rFonts w:hint="eastAsia" w:ascii="宋体" w:hAnsi="宋体" w:cs="仿宋_GB2312"/>
          <w:color w:val="auto"/>
          <w:kern w:val="0"/>
          <w:sz w:val="24"/>
          <w:highlight w:val="none"/>
          <w:lang w:val="zh-CN"/>
        </w:rPr>
        <w:t>投标人名称(电子签章)：</w:t>
      </w:r>
    </w:p>
    <w:p w14:paraId="4FD6D86B">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1584731E">
      <w:pPr>
        <w:widowControl/>
        <w:spacing w:line="360" w:lineRule="auto"/>
        <w:ind w:firstLine="602"/>
        <w:jc w:val="left"/>
        <w:rPr>
          <w:rFonts w:ascii="宋体" w:hAnsi="宋体"/>
          <w:b/>
          <w:color w:val="auto"/>
          <w:sz w:val="30"/>
          <w:szCs w:val="30"/>
          <w:highlight w:val="none"/>
        </w:rPr>
        <w:sectPr>
          <w:pgSz w:w="11906" w:h="16838"/>
          <w:pgMar w:top="1134" w:right="1134" w:bottom="1134" w:left="1134" w:header="720" w:footer="720" w:gutter="0"/>
          <w:cols w:space="720" w:num="1"/>
          <w:docGrid w:type="lines" w:linePitch="331" w:charSpace="0"/>
        </w:sectPr>
      </w:pPr>
    </w:p>
    <w:p w14:paraId="747CECC9">
      <w:pPr>
        <w:pStyle w:val="15"/>
        <w:spacing w:line="360" w:lineRule="auto"/>
        <w:ind w:firstLine="602"/>
        <w:jc w:val="center"/>
        <w:rPr>
          <w:rFonts w:hAnsi="宋体"/>
          <w:b/>
          <w:color w:val="auto"/>
          <w:sz w:val="30"/>
          <w:szCs w:val="30"/>
          <w:highlight w:val="none"/>
        </w:rPr>
      </w:pPr>
      <w:r>
        <w:rPr>
          <w:rFonts w:hint="eastAsia" w:hAnsi="宋体"/>
          <w:b/>
          <w:color w:val="auto"/>
          <w:sz w:val="30"/>
          <w:szCs w:val="30"/>
          <w:highlight w:val="none"/>
        </w:rPr>
        <w:t>残疾人福利性单位声明函（格式）</w:t>
      </w:r>
    </w:p>
    <w:p w14:paraId="0498FA57">
      <w:pPr>
        <w:pStyle w:val="15"/>
        <w:spacing w:line="360" w:lineRule="auto"/>
        <w:ind w:firstLine="602"/>
        <w:jc w:val="center"/>
        <w:rPr>
          <w:rFonts w:hAnsi="宋体"/>
          <w:b/>
          <w:color w:val="auto"/>
          <w:sz w:val="30"/>
          <w:szCs w:val="30"/>
          <w:highlight w:val="none"/>
        </w:rPr>
      </w:pPr>
    </w:p>
    <w:p w14:paraId="472E8903">
      <w:pPr>
        <w:pStyle w:val="15"/>
        <w:spacing w:line="360" w:lineRule="auto"/>
        <w:ind w:firstLine="600"/>
        <w:jc w:val="left"/>
        <w:rPr>
          <w:rFonts w:hAnsi="宋体"/>
          <w:color w:val="auto"/>
          <w:sz w:val="30"/>
          <w:szCs w:val="30"/>
          <w:highlight w:val="none"/>
        </w:rPr>
      </w:pPr>
      <w:r>
        <w:rPr>
          <w:rFonts w:hint="eastAsia" w:hAnsi="宋体"/>
          <w:color w:val="auto"/>
          <w:sz w:val="30"/>
          <w:szCs w:val="30"/>
          <w:highlight w:val="none"/>
        </w:rPr>
        <w:t xml:space="preserve">   本单位郑重声明，根据《财政部 民政部 中国残疾人联合会关于促进残疾人就业政府采购政策的通知》（财库〔2017〕141号）的规定，本单位为符合条件的残疾人福利性单位，且本单位参加</w:t>
      </w:r>
      <w:r>
        <w:rPr>
          <w:rFonts w:hint="eastAsia" w:hAnsi="宋体"/>
          <w:color w:val="auto"/>
          <w:sz w:val="30"/>
          <w:szCs w:val="30"/>
          <w:highlight w:val="none"/>
          <w:u w:val="single"/>
        </w:rPr>
        <w:t xml:space="preserve">     </w:t>
      </w:r>
      <w:r>
        <w:rPr>
          <w:rFonts w:hint="eastAsia" w:hAnsi="宋体"/>
          <w:color w:val="auto"/>
          <w:sz w:val="30"/>
          <w:szCs w:val="30"/>
          <w:highlight w:val="none"/>
        </w:rPr>
        <w:t>单位的</w:t>
      </w:r>
      <w:r>
        <w:rPr>
          <w:rFonts w:hint="eastAsia" w:hAnsi="宋体"/>
          <w:color w:val="auto"/>
          <w:sz w:val="30"/>
          <w:szCs w:val="30"/>
          <w:highlight w:val="none"/>
          <w:u w:val="single"/>
        </w:rPr>
        <w:t xml:space="preserve">       </w:t>
      </w:r>
      <w:r>
        <w:rPr>
          <w:rFonts w:hint="eastAsia" w:hAnsi="宋体"/>
          <w:color w:val="auto"/>
          <w:sz w:val="30"/>
          <w:szCs w:val="30"/>
          <w:highlight w:val="none"/>
        </w:rPr>
        <w:t>项目采购活动提供本单位制造的货物（由本单位承担工程/提供服务），或者提供其他残疾人福利性单位制造的货物（不包括使用非残疾人福利性单位注册商标的货物）。</w:t>
      </w:r>
    </w:p>
    <w:p w14:paraId="3FCB8941">
      <w:pPr>
        <w:pStyle w:val="15"/>
        <w:spacing w:line="360" w:lineRule="auto"/>
        <w:ind w:firstLine="600"/>
        <w:jc w:val="left"/>
        <w:rPr>
          <w:rFonts w:hAnsi="宋体"/>
          <w:b/>
          <w:color w:val="auto"/>
          <w:szCs w:val="21"/>
          <w:highlight w:val="none"/>
        </w:rPr>
      </w:pPr>
      <w:r>
        <w:rPr>
          <w:rFonts w:hint="eastAsia" w:hAnsi="宋体"/>
          <w:color w:val="auto"/>
          <w:sz w:val="30"/>
          <w:szCs w:val="30"/>
          <w:highlight w:val="none"/>
        </w:rPr>
        <w:t xml:space="preserve">  </w:t>
      </w:r>
    </w:p>
    <w:p w14:paraId="68640038">
      <w:pPr>
        <w:pStyle w:val="15"/>
        <w:spacing w:line="360" w:lineRule="auto"/>
        <w:ind w:firstLine="422"/>
        <w:jc w:val="left"/>
        <w:rPr>
          <w:rFonts w:hAnsi="宋体"/>
          <w:b/>
          <w:color w:val="auto"/>
          <w:szCs w:val="21"/>
          <w:highlight w:val="none"/>
        </w:rPr>
      </w:pPr>
    </w:p>
    <w:p w14:paraId="68BFE2F9">
      <w:pPr>
        <w:snapToGrid w:val="0"/>
        <w:spacing w:line="360" w:lineRule="auto"/>
        <w:ind w:left="5137" w:leftChars="1736" w:hanging="1491" w:hangingChars="825"/>
        <w:rPr>
          <w:rFonts w:ascii="宋体" w:hAnsi="宋体" w:cs="仿宋_GB2312"/>
          <w:color w:val="auto"/>
          <w:kern w:val="0"/>
          <w:sz w:val="24"/>
          <w:highlight w:val="none"/>
        </w:rPr>
      </w:pPr>
      <w:r>
        <w:rPr>
          <w:rFonts w:ascii="宋体" w:hAnsi="宋体"/>
          <w:b/>
          <w:color w:val="auto"/>
          <w:sz w:val="18"/>
          <w:szCs w:val="18"/>
          <w:highlight w:val="none"/>
        </w:rPr>
        <w:t xml:space="preserve">                                                                    </w:t>
      </w:r>
      <w:r>
        <w:rPr>
          <w:rFonts w:hint="eastAsia" w:ascii="宋体" w:hAnsi="宋体" w:cs="仿宋_GB2312"/>
          <w:color w:val="auto"/>
          <w:kern w:val="0"/>
          <w:sz w:val="24"/>
          <w:highlight w:val="none"/>
          <w:lang w:val="zh-CN"/>
        </w:rPr>
        <w:t>投标人名称(电子签章)：</w:t>
      </w:r>
    </w:p>
    <w:p w14:paraId="13B47F11">
      <w:pPr>
        <w:snapToGrid w:val="0"/>
        <w:spacing w:line="360" w:lineRule="auto"/>
        <w:ind w:firstLine="5160" w:firstLineChars="21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仿宋_GB2312"/>
          <w:color w:val="auto"/>
          <w:kern w:val="0"/>
          <w:sz w:val="24"/>
          <w:highlight w:val="none"/>
        </w:rPr>
        <w:t xml:space="preserve">：  年  </w:t>
      </w:r>
      <w:r>
        <w:rPr>
          <w:rFonts w:hint="eastAsia" w:ascii="宋体" w:hAnsi="宋体" w:cs="仿宋_GB2312"/>
          <w:color w:val="auto"/>
          <w:kern w:val="0"/>
          <w:sz w:val="24"/>
          <w:highlight w:val="none"/>
          <w:lang w:val="zh-CN"/>
        </w:rPr>
        <w:t>月</w:t>
      </w:r>
      <w:r>
        <w:rPr>
          <w:rFonts w:hint="eastAsia" w:ascii="宋体" w:hAnsi="宋体" w:cs="仿宋_GB2312"/>
          <w:color w:val="auto"/>
          <w:kern w:val="0"/>
          <w:sz w:val="24"/>
          <w:highlight w:val="none"/>
        </w:rPr>
        <w:t xml:space="preserve">   </w:t>
      </w:r>
      <w:r>
        <w:rPr>
          <w:rFonts w:hint="eastAsia" w:ascii="宋体" w:hAnsi="宋体" w:cs="仿宋_GB2312"/>
          <w:color w:val="auto"/>
          <w:kern w:val="0"/>
          <w:sz w:val="24"/>
          <w:highlight w:val="none"/>
          <w:lang w:val="zh-CN"/>
        </w:rPr>
        <w:t>日</w:t>
      </w:r>
    </w:p>
    <w:p w14:paraId="49B8DD64">
      <w:pPr>
        <w:pStyle w:val="15"/>
        <w:spacing w:line="360" w:lineRule="auto"/>
        <w:ind w:left="5132" w:leftChars="1979" w:hanging="976" w:hangingChars="488"/>
        <w:rPr>
          <w:rFonts w:hAnsi="宋体"/>
          <w:color w:val="auto"/>
          <w:sz w:val="20"/>
          <w:highlight w:val="none"/>
        </w:rPr>
      </w:pPr>
    </w:p>
    <w:p w14:paraId="3C5DEAD8">
      <w:pPr>
        <w:spacing w:line="360" w:lineRule="auto"/>
        <w:ind w:right="420" w:firstLine="480" w:firstLineChars="200"/>
        <w:rPr>
          <w:rFonts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87E743F">
      <w:pPr>
        <w:widowControl/>
        <w:spacing w:line="360" w:lineRule="auto"/>
        <w:ind w:firstLine="400"/>
        <w:jc w:val="left"/>
        <w:rPr>
          <w:rFonts w:ascii="宋体" w:hAnsi="宋体"/>
          <w:color w:val="auto"/>
          <w:sz w:val="20"/>
          <w:highlight w:val="none"/>
        </w:rPr>
        <w:sectPr>
          <w:pgSz w:w="11906" w:h="16838"/>
          <w:pgMar w:top="1134" w:right="1134" w:bottom="1134" w:left="1134" w:header="720" w:footer="720" w:gutter="0"/>
          <w:cols w:space="720" w:num="1"/>
          <w:docGrid w:type="lines" w:linePitch="331" w:charSpace="0"/>
        </w:sectPr>
      </w:pPr>
    </w:p>
    <w:p w14:paraId="2F10EFF8">
      <w:pPr>
        <w:snapToGrid w:val="0"/>
        <w:spacing w:before="50" w:after="165" w:afterLines="50" w:line="360" w:lineRule="auto"/>
        <w:ind w:firstLine="400"/>
        <w:jc w:val="left"/>
        <w:rPr>
          <w:rFonts w:ascii="宋体" w:hAnsi="宋体"/>
          <w:color w:val="auto"/>
          <w:sz w:val="20"/>
          <w:highlight w:val="none"/>
        </w:rPr>
      </w:pPr>
    </w:p>
    <w:p w14:paraId="44FD09C4">
      <w:pPr>
        <w:pStyle w:val="15"/>
        <w:tabs>
          <w:tab w:val="left" w:pos="2472"/>
        </w:tabs>
        <w:spacing w:line="460" w:lineRule="exact"/>
        <w:ind w:firstLine="723"/>
        <w:jc w:val="center"/>
        <w:rPr>
          <w:rFonts w:hAnsi="宋体"/>
          <w:b/>
          <w:color w:val="auto"/>
          <w:sz w:val="36"/>
          <w:highlight w:val="none"/>
        </w:rPr>
      </w:pPr>
    </w:p>
    <w:p w14:paraId="7DAE7A66">
      <w:pPr>
        <w:pStyle w:val="15"/>
        <w:tabs>
          <w:tab w:val="left" w:pos="2472"/>
        </w:tabs>
        <w:spacing w:line="460" w:lineRule="exact"/>
        <w:ind w:firstLine="723"/>
        <w:jc w:val="center"/>
        <w:rPr>
          <w:rFonts w:hAnsi="宋体"/>
          <w:b/>
          <w:color w:val="auto"/>
          <w:sz w:val="36"/>
          <w:highlight w:val="none"/>
        </w:rPr>
      </w:pPr>
    </w:p>
    <w:p w14:paraId="0D882CEE">
      <w:pPr>
        <w:pStyle w:val="15"/>
        <w:tabs>
          <w:tab w:val="left" w:pos="2472"/>
        </w:tabs>
        <w:spacing w:line="460" w:lineRule="exact"/>
        <w:ind w:firstLine="723"/>
        <w:jc w:val="center"/>
        <w:rPr>
          <w:rFonts w:hAnsi="宋体"/>
          <w:b/>
          <w:color w:val="auto"/>
          <w:sz w:val="36"/>
          <w:highlight w:val="none"/>
        </w:rPr>
      </w:pPr>
    </w:p>
    <w:p w14:paraId="3F3F1AC4">
      <w:pPr>
        <w:pStyle w:val="15"/>
        <w:tabs>
          <w:tab w:val="left" w:pos="2472"/>
        </w:tabs>
        <w:spacing w:line="460" w:lineRule="exact"/>
        <w:ind w:firstLine="723"/>
        <w:jc w:val="center"/>
        <w:rPr>
          <w:rFonts w:hAnsi="宋体"/>
          <w:b/>
          <w:color w:val="auto"/>
          <w:sz w:val="36"/>
          <w:highlight w:val="none"/>
        </w:rPr>
      </w:pPr>
    </w:p>
    <w:p w14:paraId="4AFC5F33">
      <w:pPr>
        <w:pStyle w:val="15"/>
        <w:tabs>
          <w:tab w:val="left" w:pos="2472"/>
        </w:tabs>
        <w:spacing w:line="460" w:lineRule="exact"/>
        <w:ind w:firstLine="723"/>
        <w:jc w:val="center"/>
        <w:rPr>
          <w:rFonts w:hAnsi="宋体"/>
          <w:b/>
          <w:color w:val="auto"/>
          <w:sz w:val="36"/>
          <w:highlight w:val="none"/>
        </w:rPr>
      </w:pPr>
    </w:p>
    <w:p w14:paraId="062EF661">
      <w:pPr>
        <w:pStyle w:val="15"/>
        <w:tabs>
          <w:tab w:val="left" w:pos="2472"/>
        </w:tabs>
        <w:spacing w:line="460" w:lineRule="exact"/>
        <w:ind w:firstLine="723"/>
        <w:jc w:val="center"/>
        <w:rPr>
          <w:rFonts w:hAnsi="宋体"/>
          <w:b/>
          <w:color w:val="auto"/>
          <w:sz w:val="36"/>
          <w:highlight w:val="none"/>
        </w:rPr>
      </w:pPr>
    </w:p>
    <w:p w14:paraId="0A93BF8F">
      <w:pPr>
        <w:pStyle w:val="15"/>
        <w:tabs>
          <w:tab w:val="left" w:pos="2472"/>
        </w:tabs>
        <w:spacing w:line="460" w:lineRule="exact"/>
        <w:ind w:firstLine="723"/>
        <w:jc w:val="center"/>
        <w:rPr>
          <w:rFonts w:hAnsi="宋体"/>
          <w:b/>
          <w:color w:val="auto"/>
          <w:sz w:val="36"/>
          <w:highlight w:val="none"/>
        </w:rPr>
      </w:pPr>
    </w:p>
    <w:p w14:paraId="1007EDA8">
      <w:pPr>
        <w:pStyle w:val="15"/>
        <w:tabs>
          <w:tab w:val="left" w:pos="2472"/>
        </w:tabs>
        <w:spacing w:line="460" w:lineRule="exact"/>
        <w:ind w:firstLine="723"/>
        <w:jc w:val="center"/>
        <w:rPr>
          <w:rFonts w:hAnsi="宋体"/>
          <w:b/>
          <w:color w:val="auto"/>
          <w:sz w:val="36"/>
          <w:highlight w:val="none"/>
        </w:rPr>
      </w:pPr>
    </w:p>
    <w:p w14:paraId="7F9BDDFA">
      <w:pPr>
        <w:pStyle w:val="15"/>
        <w:tabs>
          <w:tab w:val="left" w:pos="2472"/>
        </w:tabs>
        <w:spacing w:line="460" w:lineRule="exact"/>
        <w:ind w:firstLine="723"/>
        <w:jc w:val="center"/>
        <w:rPr>
          <w:rFonts w:hAnsi="宋体"/>
          <w:b/>
          <w:color w:val="auto"/>
          <w:sz w:val="36"/>
          <w:highlight w:val="none"/>
        </w:rPr>
      </w:pPr>
    </w:p>
    <w:p w14:paraId="6901BA48">
      <w:pPr>
        <w:pStyle w:val="15"/>
        <w:tabs>
          <w:tab w:val="left" w:pos="2472"/>
        </w:tabs>
        <w:spacing w:line="460" w:lineRule="exact"/>
        <w:ind w:firstLine="723"/>
        <w:jc w:val="center"/>
        <w:rPr>
          <w:rFonts w:hAnsi="宋体"/>
          <w:b/>
          <w:color w:val="auto"/>
          <w:sz w:val="36"/>
          <w:highlight w:val="none"/>
        </w:rPr>
      </w:pPr>
    </w:p>
    <w:p w14:paraId="6D497AB0">
      <w:pPr>
        <w:pStyle w:val="15"/>
        <w:tabs>
          <w:tab w:val="left" w:pos="2472"/>
        </w:tabs>
        <w:spacing w:line="460" w:lineRule="exact"/>
        <w:ind w:firstLine="723"/>
        <w:jc w:val="center"/>
        <w:rPr>
          <w:rFonts w:hAnsi="宋体"/>
          <w:b/>
          <w:color w:val="auto"/>
          <w:sz w:val="36"/>
          <w:highlight w:val="none"/>
        </w:rPr>
      </w:pPr>
    </w:p>
    <w:p w14:paraId="3E890A93">
      <w:pPr>
        <w:pStyle w:val="15"/>
        <w:tabs>
          <w:tab w:val="left" w:pos="2472"/>
        </w:tabs>
        <w:spacing w:line="460" w:lineRule="exact"/>
        <w:ind w:firstLine="723"/>
        <w:jc w:val="center"/>
        <w:outlineLvl w:val="0"/>
        <w:rPr>
          <w:rFonts w:hAnsi="宋体"/>
          <w:b/>
          <w:color w:val="auto"/>
          <w:sz w:val="36"/>
          <w:highlight w:val="none"/>
        </w:rPr>
      </w:pPr>
      <w:bookmarkStart w:id="299" w:name="_Toc118383702"/>
      <w:r>
        <w:rPr>
          <w:rFonts w:hint="eastAsia" w:hAnsi="宋体"/>
          <w:b/>
          <w:color w:val="auto"/>
          <w:sz w:val="36"/>
          <w:highlight w:val="none"/>
        </w:rPr>
        <w:t>第七章</w:t>
      </w:r>
      <w:r>
        <w:rPr>
          <w:rFonts w:hAnsi="宋体"/>
          <w:b/>
          <w:color w:val="auto"/>
          <w:sz w:val="36"/>
          <w:highlight w:val="none"/>
        </w:rPr>
        <w:t xml:space="preserve"> </w:t>
      </w:r>
      <w:r>
        <w:rPr>
          <w:rFonts w:hint="eastAsia" w:hAnsi="宋体"/>
          <w:b/>
          <w:color w:val="auto"/>
          <w:sz w:val="36"/>
          <w:highlight w:val="none"/>
        </w:rPr>
        <w:t>质疑、投诉证明材料格式</w:t>
      </w:r>
      <w:bookmarkEnd w:id="299"/>
    </w:p>
    <w:p w14:paraId="718628B6">
      <w:pPr>
        <w:widowControl/>
        <w:spacing w:line="360" w:lineRule="auto"/>
        <w:ind w:firstLine="400"/>
        <w:jc w:val="left"/>
        <w:rPr>
          <w:rFonts w:ascii="宋体" w:hAnsi="宋体"/>
          <w:color w:val="auto"/>
          <w:sz w:val="20"/>
          <w:highlight w:val="none"/>
        </w:rPr>
        <w:sectPr>
          <w:pgSz w:w="11906" w:h="16838"/>
          <w:pgMar w:top="1134" w:right="1134" w:bottom="1134" w:left="1134" w:header="720" w:footer="720" w:gutter="0"/>
          <w:cols w:space="720" w:num="1"/>
          <w:docGrid w:type="lines" w:linePitch="331" w:charSpace="0"/>
        </w:sectPr>
      </w:pPr>
    </w:p>
    <w:p w14:paraId="6BCD1437">
      <w:pPr>
        <w:widowControl/>
        <w:shd w:val="clear" w:color="auto" w:fill="FFFFFF"/>
        <w:spacing w:line="260" w:lineRule="exact"/>
        <w:ind w:firstLine="562"/>
        <w:jc w:val="left"/>
        <w:rPr>
          <w:rFonts w:ascii="宋体" w:hAnsi="宋体"/>
          <w:b/>
          <w:bCs/>
          <w:color w:val="auto"/>
          <w:sz w:val="28"/>
          <w:szCs w:val="28"/>
          <w:highlight w:val="none"/>
        </w:rPr>
      </w:pPr>
    </w:p>
    <w:p w14:paraId="7E1227A8">
      <w:pPr>
        <w:pStyle w:val="3"/>
        <w:ind w:firstLine="640"/>
        <w:jc w:val="center"/>
        <w:rPr>
          <w:rFonts w:ascii="宋体" w:hAnsi="宋体" w:eastAsia="宋体"/>
          <w:b w:val="0"/>
          <w:bCs w:val="0"/>
          <w:color w:val="auto"/>
          <w:highlight w:val="none"/>
        </w:rPr>
      </w:pPr>
      <w:bookmarkStart w:id="300" w:name="_Toc118383703"/>
      <w:r>
        <w:rPr>
          <w:rFonts w:hint="eastAsia" w:ascii="宋体" w:hAnsi="宋体" w:eastAsia="宋体"/>
          <w:b w:val="0"/>
          <w:bCs w:val="0"/>
          <w:color w:val="auto"/>
          <w:highlight w:val="none"/>
        </w:rPr>
        <w:t>第一节 质疑函（格式）</w:t>
      </w:r>
      <w:bookmarkEnd w:id="300"/>
    </w:p>
    <w:p w14:paraId="5A2AED84">
      <w:pPr>
        <w:ind w:firstLine="883"/>
        <w:jc w:val="center"/>
        <w:rPr>
          <w:rFonts w:ascii="宋体" w:hAnsi="宋体" w:cs="仿宋"/>
          <w:b/>
          <w:bCs/>
          <w:color w:val="auto"/>
          <w:sz w:val="44"/>
          <w:szCs w:val="44"/>
          <w:highlight w:val="none"/>
        </w:rPr>
      </w:pPr>
      <w:r>
        <w:rPr>
          <w:rFonts w:hint="eastAsia" w:ascii="宋体" w:hAnsi="宋体" w:cs="仿宋"/>
          <w:b/>
          <w:bCs/>
          <w:color w:val="auto"/>
          <w:sz w:val="44"/>
          <w:szCs w:val="44"/>
          <w:highlight w:val="none"/>
        </w:rPr>
        <w:t>质疑函范本</w:t>
      </w:r>
    </w:p>
    <w:p w14:paraId="34E9BD32">
      <w:pPr>
        <w:adjustRightInd w:val="0"/>
        <w:snapToGrid w:val="0"/>
        <w:spacing w:before="331" w:beforeLines="100" w:line="360" w:lineRule="auto"/>
        <w:ind w:firstLine="640"/>
        <w:rPr>
          <w:rFonts w:ascii="宋体" w:hAnsi="宋体" w:cs="仿宋"/>
          <w:bCs/>
          <w:color w:val="auto"/>
          <w:sz w:val="32"/>
          <w:szCs w:val="32"/>
          <w:highlight w:val="none"/>
        </w:rPr>
      </w:pPr>
      <w:r>
        <w:rPr>
          <w:rFonts w:hint="eastAsia" w:ascii="宋体" w:hAnsi="宋体" w:cs="仿宋"/>
          <w:bCs/>
          <w:color w:val="auto"/>
          <w:sz w:val="32"/>
          <w:szCs w:val="32"/>
          <w:highlight w:val="none"/>
        </w:rPr>
        <w:t>一、质疑供应商基本信息</w:t>
      </w:r>
    </w:p>
    <w:p w14:paraId="267F0CCD">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质疑供应商：</w:t>
      </w:r>
      <w:r>
        <w:rPr>
          <w:rFonts w:hint="eastAsia" w:ascii="宋体" w:hAnsi="宋体" w:cs="仿宋"/>
          <w:color w:val="auto"/>
          <w:sz w:val="32"/>
          <w:szCs w:val="32"/>
          <w:highlight w:val="none"/>
          <w:u w:val="dotted"/>
        </w:rPr>
        <w:t xml:space="preserve">                                        </w:t>
      </w:r>
    </w:p>
    <w:p w14:paraId="0A6295E9">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地址：</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邮编：</w:t>
      </w:r>
      <w:r>
        <w:rPr>
          <w:rFonts w:hint="eastAsia" w:ascii="宋体" w:hAnsi="宋体" w:cs="仿宋"/>
          <w:color w:val="auto"/>
          <w:sz w:val="32"/>
          <w:szCs w:val="32"/>
          <w:highlight w:val="none"/>
          <w:u w:val="dotted"/>
        </w:rPr>
        <w:t xml:space="preserve">                                                   </w:t>
      </w:r>
    </w:p>
    <w:p w14:paraId="1F6FD431">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联系人：</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联系电话：</w:t>
      </w:r>
      <w:r>
        <w:rPr>
          <w:rFonts w:hint="eastAsia" w:ascii="宋体" w:hAnsi="宋体" w:cs="仿宋"/>
          <w:color w:val="auto"/>
          <w:sz w:val="32"/>
          <w:szCs w:val="32"/>
          <w:highlight w:val="none"/>
          <w:u w:val="dotted"/>
        </w:rPr>
        <w:t xml:space="preserve">                              </w:t>
      </w:r>
    </w:p>
    <w:p w14:paraId="6FE5A5E2">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授权代表：</w:t>
      </w:r>
      <w:r>
        <w:rPr>
          <w:rFonts w:hint="eastAsia" w:ascii="宋体" w:hAnsi="宋体" w:cs="仿宋"/>
          <w:color w:val="auto"/>
          <w:sz w:val="32"/>
          <w:szCs w:val="32"/>
          <w:highlight w:val="none"/>
          <w:u w:val="dotted"/>
        </w:rPr>
        <w:t xml:space="preserve">                                          </w:t>
      </w:r>
    </w:p>
    <w:p w14:paraId="3B84DC39">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联系电话：</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 xml:space="preserve"> </w:t>
      </w:r>
    </w:p>
    <w:p w14:paraId="1258F44F">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 xml:space="preserve">地址： </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邮编：</w:t>
      </w:r>
      <w:r>
        <w:rPr>
          <w:rFonts w:hint="eastAsia" w:ascii="宋体" w:hAnsi="宋体" w:cs="仿宋"/>
          <w:color w:val="auto"/>
          <w:sz w:val="32"/>
          <w:szCs w:val="32"/>
          <w:highlight w:val="none"/>
          <w:u w:val="dotted"/>
        </w:rPr>
        <w:t xml:space="preserve">                                                </w:t>
      </w:r>
    </w:p>
    <w:p w14:paraId="3FBCECA3">
      <w:pPr>
        <w:adjustRightInd w:val="0"/>
        <w:snapToGrid w:val="0"/>
        <w:spacing w:line="360" w:lineRule="auto"/>
        <w:ind w:firstLine="640"/>
        <w:rPr>
          <w:rFonts w:ascii="宋体" w:hAnsi="宋体" w:cs="仿宋"/>
          <w:bCs/>
          <w:color w:val="auto"/>
          <w:sz w:val="32"/>
          <w:szCs w:val="32"/>
          <w:highlight w:val="none"/>
        </w:rPr>
      </w:pPr>
      <w:r>
        <w:rPr>
          <w:rFonts w:hint="eastAsia" w:ascii="宋体" w:hAnsi="宋体" w:cs="仿宋"/>
          <w:bCs/>
          <w:color w:val="auto"/>
          <w:sz w:val="32"/>
          <w:szCs w:val="32"/>
          <w:highlight w:val="none"/>
        </w:rPr>
        <w:t>二、质疑项目基本情况</w:t>
      </w:r>
    </w:p>
    <w:p w14:paraId="6728E153">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质疑项目的名称：</w:t>
      </w:r>
      <w:r>
        <w:rPr>
          <w:rFonts w:hint="eastAsia" w:ascii="宋体" w:hAnsi="宋体" w:cs="仿宋"/>
          <w:color w:val="auto"/>
          <w:sz w:val="32"/>
          <w:szCs w:val="32"/>
          <w:highlight w:val="none"/>
          <w:u w:val="dotted"/>
        </w:rPr>
        <w:t xml:space="preserve"> 南宁职业技术大学跨境电子商务专业群实训室建设项目</w:t>
      </w:r>
    </w:p>
    <w:p w14:paraId="57CD8BC7">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质疑项目的编号：</w:t>
      </w:r>
      <w:r>
        <w:rPr>
          <w:rFonts w:hint="eastAsia" w:ascii="宋体" w:hAnsi="宋体" w:cs="仿宋"/>
          <w:color w:val="auto"/>
          <w:sz w:val="32"/>
          <w:szCs w:val="32"/>
          <w:highlight w:val="none"/>
          <w:u w:val="dotted"/>
          <w:lang w:eastAsia="zh-CN"/>
        </w:rPr>
        <w:t>NNZC2024-G1-991788-JDZB</w:t>
      </w:r>
      <w:r>
        <w:rPr>
          <w:rFonts w:hint="eastAsia" w:ascii="宋体" w:hAnsi="宋体" w:cs="仿宋"/>
          <w:color w:val="auto"/>
          <w:sz w:val="32"/>
          <w:szCs w:val="32"/>
          <w:highlight w:val="none"/>
          <w:u w:val="dotted"/>
        </w:rPr>
        <w:t xml:space="preserve"> </w:t>
      </w:r>
      <w:r>
        <w:rPr>
          <w:rFonts w:hint="eastAsia" w:ascii="宋体" w:hAnsi="宋体" w:cs="仿宋"/>
          <w:color w:val="auto"/>
          <w:sz w:val="32"/>
          <w:szCs w:val="32"/>
          <w:highlight w:val="none"/>
        </w:rPr>
        <w:t>包号：</w:t>
      </w:r>
      <w:r>
        <w:rPr>
          <w:rFonts w:hint="eastAsia" w:ascii="宋体" w:hAnsi="宋体" w:cs="仿宋"/>
          <w:color w:val="auto"/>
          <w:sz w:val="32"/>
          <w:szCs w:val="32"/>
          <w:highlight w:val="none"/>
          <w:u w:val="dotted"/>
        </w:rPr>
        <w:t xml:space="preserve">                 </w:t>
      </w:r>
    </w:p>
    <w:p w14:paraId="76BFD75C">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采购人名称：</w:t>
      </w:r>
      <w:r>
        <w:rPr>
          <w:rFonts w:hint="eastAsia" w:ascii="宋体" w:hAnsi="宋体" w:cs="仿宋"/>
          <w:color w:val="auto"/>
          <w:sz w:val="32"/>
          <w:szCs w:val="32"/>
          <w:highlight w:val="none"/>
          <w:u w:val="dotted"/>
        </w:rPr>
        <w:t xml:space="preserve">  南宁职业技术大学   </w:t>
      </w:r>
    </w:p>
    <w:p w14:paraId="6E358F8A">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采购文件获取日期：</w:t>
      </w:r>
      <w:r>
        <w:rPr>
          <w:rFonts w:hint="eastAsia" w:ascii="宋体" w:hAnsi="宋体" w:cs="仿宋"/>
          <w:color w:val="auto"/>
          <w:sz w:val="32"/>
          <w:szCs w:val="32"/>
          <w:highlight w:val="none"/>
          <w:u w:val="dotted"/>
        </w:rPr>
        <w:t xml:space="preserve">                                           </w:t>
      </w:r>
    </w:p>
    <w:p w14:paraId="6683769E">
      <w:pPr>
        <w:adjustRightInd w:val="0"/>
        <w:snapToGrid w:val="0"/>
        <w:spacing w:line="360" w:lineRule="auto"/>
        <w:ind w:firstLine="640"/>
        <w:rPr>
          <w:rFonts w:ascii="宋体" w:hAnsi="宋体" w:cs="仿宋"/>
          <w:bCs/>
          <w:color w:val="auto"/>
          <w:sz w:val="32"/>
          <w:szCs w:val="32"/>
          <w:highlight w:val="none"/>
        </w:rPr>
      </w:pPr>
      <w:r>
        <w:rPr>
          <w:rFonts w:hint="eastAsia" w:ascii="宋体" w:hAnsi="宋体" w:cs="仿宋"/>
          <w:bCs/>
          <w:color w:val="auto"/>
          <w:sz w:val="32"/>
          <w:szCs w:val="32"/>
          <w:highlight w:val="none"/>
        </w:rPr>
        <w:t>三、质疑事项具体内容</w:t>
      </w:r>
    </w:p>
    <w:p w14:paraId="053ED1BD">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质疑事项1：</w:t>
      </w:r>
      <w:r>
        <w:rPr>
          <w:rFonts w:hint="eastAsia" w:ascii="宋体" w:hAnsi="宋体" w:cs="仿宋"/>
          <w:color w:val="auto"/>
          <w:sz w:val="32"/>
          <w:szCs w:val="32"/>
          <w:highlight w:val="none"/>
          <w:u w:val="dotted"/>
        </w:rPr>
        <w:t xml:space="preserve">                                         </w:t>
      </w:r>
    </w:p>
    <w:p w14:paraId="7D77550F">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事实依据：</w:t>
      </w:r>
      <w:r>
        <w:rPr>
          <w:rFonts w:hint="eastAsia" w:ascii="宋体" w:hAnsi="宋体" w:cs="仿宋"/>
          <w:color w:val="auto"/>
          <w:sz w:val="32"/>
          <w:szCs w:val="32"/>
          <w:highlight w:val="none"/>
          <w:u w:val="dotted"/>
        </w:rPr>
        <w:t xml:space="preserve">                                          </w:t>
      </w:r>
    </w:p>
    <w:p w14:paraId="2B51346A">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u w:val="dotted"/>
        </w:rPr>
        <w:t xml:space="preserve">                                                       </w:t>
      </w:r>
    </w:p>
    <w:p w14:paraId="26D37F93">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法律依据：</w:t>
      </w:r>
      <w:r>
        <w:rPr>
          <w:rFonts w:hint="eastAsia" w:ascii="宋体" w:hAnsi="宋体" w:cs="仿宋"/>
          <w:color w:val="auto"/>
          <w:sz w:val="32"/>
          <w:szCs w:val="32"/>
          <w:highlight w:val="none"/>
          <w:u w:val="dotted"/>
        </w:rPr>
        <w:t xml:space="preserve">                                          </w:t>
      </w:r>
    </w:p>
    <w:p w14:paraId="65F82B0F">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u w:val="dotted"/>
        </w:rPr>
        <w:t xml:space="preserve">                                                     </w:t>
      </w:r>
    </w:p>
    <w:p w14:paraId="2EEECD3D">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质疑事项2</w:t>
      </w:r>
    </w:p>
    <w:p w14:paraId="5DBB2136">
      <w:pPr>
        <w:adjustRightInd w:val="0"/>
        <w:snapToGrid w:val="0"/>
        <w:spacing w:line="360" w:lineRule="auto"/>
        <w:ind w:firstLine="640"/>
        <w:rPr>
          <w:rFonts w:ascii="宋体" w:hAnsi="宋体" w:cs="仿宋"/>
          <w:color w:val="auto"/>
          <w:sz w:val="32"/>
          <w:szCs w:val="32"/>
          <w:highlight w:val="none"/>
        </w:rPr>
      </w:pPr>
      <w:r>
        <w:rPr>
          <w:rFonts w:hint="eastAsia" w:ascii="宋体" w:hAnsi="宋体" w:cs="仿宋"/>
          <w:color w:val="auto"/>
          <w:sz w:val="32"/>
          <w:szCs w:val="32"/>
          <w:highlight w:val="none"/>
        </w:rPr>
        <w:t>……</w:t>
      </w:r>
    </w:p>
    <w:p w14:paraId="496BD05D">
      <w:pPr>
        <w:adjustRightInd w:val="0"/>
        <w:snapToGrid w:val="0"/>
        <w:spacing w:line="360" w:lineRule="auto"/>
        <w:ind w:firstLine="640"/>
        <w:rPr>
          <w:rFonts w:ascii="宋体" w:hAnsi="宋体" w:cs="仿宋"/>
          <w:bCs/>
          <w:color w:val="auto"/>
          <w:sz w:val="32"/>
          <w:szCs w:val="32"/>
          <w:highlight w:val="none"/>
        </w:rPr>
      </w:pPr>
      <w:r>
        <w:rPr>
          <w:rFonts w:hint="eastAsia" w:ascii="宋体" w:hAnsi="宋体" w:cs="仿宋"/>
          <w:bCs/>
          <w:color w:val="auto"/>
          <w:sz w:val="32"/>
          <w:szCs w:val="32"/>
          <w:highlight w:val="none"/>
        </w:rPr>
        <w:t>四、与质疑事项相关的质疑请求</w:t>
      </w:r>
    </w:p>
    <w:p w14:paraId="3D1D9A48">
      <w:pPr>
        <w:adjustRightInd w:val="0"/>
        <w:snapToGrid w:val="0"/>
        <w:spacing w:line="360" w:lineRule="auto"/>
        <w:ind w:firstLine="640"/>
        <w:rPr>
          <w:rFonts w:ascii="宋体" w:hAnsi="宋体" w:cs="仿宋"/>
          <w:color w:val="auto"/>
          <w:sz w:val="32"/>
          <w:szCs w:val="32"/>
          <w:highlight w:val="none"/>
          <w:u w:val="dotted"/>
        </w:rPr>
      </w:pPr>
      <w:r>
        <w:rPr>
          <w:rFonts w:hint="eastAsia" w:ascii="宋体" w:hAnsi="宋体" w:cs="仿宋"/>
          <w:color w:val="auto"/>
          <w:sz w:val="32"/>
          <w:szCs w:val="32"/>
          <w:highlight w:val="none"/>
        </w:rPr>
        <w:t>请求：</w:t>
      </w:r>
      <w:r>
        <w:rPr>
          <w:rFonts w:hint="eastAsia" w:ascii="宋体" w:hAnsi="宋体" w:cs="仿宋"/>
          <w:color w:val="auto"/>
          <w:sz w:val="32"/>
          <w:szCs w:val="32"/>
          <w:highlight w:val="none"/>
          <w:u w:val="dotted"/>
        </w:rPr>
        <w:t xml:space="preserve">                                               </w:t>
      </w:r>
    </w:p>
    <w:p w14:paraId="7F483BF8">
      <w:pPr>
        <w:ind w:firstLine="600"/>
        <w:rPr>
          <w:rFonts w:ascii="宋体" w:hAnsi="宋体"/>
          <w:color w:val="auto"/>
          <w:sz w:val="30"/>
          <w:szCs w:val="30"/>
          <w:highlight w:val="none"/>
        </w:rPr>
      </w:pPr>
      <w:r>
        <w:rPr>
          <w:rFonts w:hint="eastAsia" w:ascii="宋体" w:hAnsi="宋体"/>
          <w:color w:val="auto"/>
          <w:sz w:val="30"/>
          <w:szCs w:val="30"/>
          <w:highlight w:val="none"/>
        </w:rPr>
        <w:t xml:space="preserve">签字(签章)：                   公章：                      </w:t>
      </w:r>
    </w:p>
    <w:p w14:paraId="09DF2FB5">
      <w:pPr>
        <w:ind w:firstLine="600"/>
        <w:rPr>
          <w:rFonts w:ascii="宋体" w:hAnsi="宋体"/>
          <w:color w:val="auto"/>
          <w:sz w:val="30"/>
          <w:szCs w:val="30"/>
          <w:highlight w:val="none"/>
        </w:rPr>
      </w:pPr>
      <w:r>
        <w:rPr>
          <w:rFonts w:hint="eastAsia" w:ascii="宋体" w:hAnsi="宋体"/>
          <w:color w:val="auto"/>
          <w:sz w:val="30"/>
          <w:szCs w:val="30"/>
          <w:highlight w:val="none"/>
        </w:rPr>
        <w:t xml:space="preserve">日期：    </w:t>
      </w:r>
    </w:p>
    <w:p w14:paraId="32E47CC9">
      <w:pPr>
        <w:adjustRightInd w:val="0"/>
        <w:snapToGrid w:val="0"/>
        <w:spacing w:line="360" w:lineRule="auto"/>
        <w:ind w:firstLine="640"/>
        <w:rPr>
          <w:rFonts w:ascii="宋体" w:hAnsi="宋体" w:cs="仿宋"/>
          <w:color w:val="auto"/>
          <w:sz w:val="32"/>
          <w:szCs w:val="32"/>
          <w:highlight w:val="none"/>
        </w:rPr>
      </w:pPr>
    </w:p>
    <w:p w14:paraId="260C30E5">
      <w:pPr>
        <w:adjustRightInd w:val="0"/>
        <w:snapToGrid w:val="0"/>
        <w:spacing w:line="360" w:lineRule="auto"/>
        <w:ind w:firstLine="640"/>
        <w:rPr>
          <w:rFonts w:ascii="宋体" w:hAnsi="宋体" w:cs="仿宋"/>
          <w:color w:val="auto"/>
          <w:sz w:val="32"/>
          <w:szCs w:val="32"/>
          <w:highlight w:val="none"/>
        </w:rPr>
      </w:pPr>
    </w:p>
    <w:p w14:paraId="4D9EF96F">
      <w:pPr>
        <w:ind w:firstLine="643"/>
        <w:jc w:val="center"/>
        <w:rPr>
          <w:rFonts w:ascii="宋体" w:hAnsi="宋体" w:cs="仿宋"/>
          <w:b/>
          <w:bCs/>
          <w:color w:val="auto"/>
          <w:sz w:val="32"/>
          <w:szCs w:val="32"/>
          <w:highlight w:val="none"/>
        </w:rPr>
      </w:pPr>
    </w:p>
    <w:p w14:paraId="5815AF92">
      <w:pPr>
        <w:ind w:firstLine="643"/>
        <w:jc w:val="center"/>
        <w:rPr>
          <w:rFonts w:ascii="宋体" w:hAnsi="宋体" w:cs="仿宋"/>
          <w:b/>
          <w:bCs/>
          <w:color w:val="auto"/>
          <w:sz w:val="32"/>
          <w:szCs w:val="32"/>
          <w:highlight w:val="none"/>
        </w:rPr>
      </w:pPr>
    </w:p>
    <w:p w14:paraId="30A20B65">
      <w:pPr>
        <w:ind w:firstLine="643"/>
        <w:jc w:val="center"/>
        <w:rPr>
          <w:rFonts w:ascii="宋体" w:hAnsi="宋体" w:cs="仿宋"/>
          <w:b/>
          <w:bCs/>
          <w:color w:val="auto"/>
          <w:sz w:val="32"/>
          <w:szCs w:val="32"/>
          <w:highlight w:val="none"/>
        </w:rPr>
      </w:pPr>
    </w:p>
    <w:p w14:paraId="56B71EF0">
      <w:pPr>
        <w:ind w:firstLine="643"/>
        <w:jc w:val="center"/>
        <w:rPr>
          <w:rFonts w:ascii="宋体" w:hAnsi="宋体" w:cs="仿宋"/>
          <w:b/>
          <w:bCs/>
          <w:color w:val="auto"/>
          <w:sz w:val="32"/>
          <w:szCs w:val="32"/>
          <w:highlight w:val="none"/>
        </w:rPr>
      </w:pPr>
    </w:p>
    <w:p w14:paraId="20B8F88A">
      <w:pPr>
        <w:ind w:firstLine="643"/>
        <w:jc w:val="center"/>
        <w:rPr>
          <w:rFonts w:ascii="宋体" w:hAnsi="宋体" w:cs="仿宋"/>
          <w:b/>
          <w:bCs/>
          <w:color w:val="auto"/>
          <w:sz w:val="32"/>
          <w:szCs w:val="32"/>
          <w:highlight w:val="none"/>
        </w:rPr>
      </w:pPr>
    </w:p>
    <w:p w14:paraId="78DD4A4E">
      <w:pPr>
        <w:ind w:firstLine="643"/>
        <w:jc w:val="center"/>
        <w:rPr>
          <w:rFonts w:ascii="宋体" w:hAnsi="宋体" w:cs="仿宋"/>
          <w:b/>
          <w:bCs/>
          <w:color w:val="auto"/>
          <w:sz w:val="32"/>
          <w:szCs w:val="32"/>
          <w:highlight w:val="none"/>
        </w:rPr>
      </w:pPr>
    </w:p>
    <w:p w14:paraId="51B15526">
      <w:pPr>
        <w:ind w:firstLine="643"/>
        <w:jc w:val="center"/>
        <w:rPr>
          <w:rFonts w:ascii="宋体" w:hAnsi="宋体" w:cs="仿宋"/>
          <w:b/>
          <w:bCs/>
          <w:color w:val="auto"/>
          <w:sz w:val="32"/>
          <w:szCs w:val="32"/>
          <w:highlight w:val="none"/>
        </w:rPr>
      </w:pPr>
    </w:p>
    <w:p w14:paraId="750DB415">
      <w:pPr>
        <w:ind w:firstLine="643"/>
        <w:rPr>
          <w:rFonts w:ascii="宋体" w:hAnsi="宋体"/>
          <w:b/>
          <w:color w:val="auto"/>
          <w:sz w:val="32"/>
          <w:szCs w:val="32"/>
          <w:highlight w:val="none"/>
        </w:rPr>
      </w:pPr>
    </w:p>
    <w:p w14:paraId="4986C34B">
      <w:pPr>
        <w:ind w:firstLine="643"/>
        <w:rPr>
          <w:rFonts w:ascii="宋体" w:hAnsi="宋体"/>
          <w:b/>
          <w:color w:val="auto"/>
          <w:sz w:val="32"/>
          <w:szCs w:val="32"/>
          <w:highlight w:val="none"/>
        </w:rPr>
      </w:pPr>
    </w:p>
    <w:p w14:paraId="7E1375D1">
      <w:pPr>
        <w:ind w:firstLine="643"/>
        <w:rPr>
          <w:rFonts w:ascii="宋体" w:hAnsi="宋体"/>
          <w:b/>
          <w:color w:val="auto"/>
          <w:sz w:val="32"/>
          <w:szCs w:val="32"/>
          <w:highlight w:val="none"/>
        </w:rPr>
      </w:pPr>
    </w:p>
    <w:p w14:paraId="428711D0">
      <w:pPr>
        <w:ind w:firstLine="643"/>
        <w:rPr>
          <w:rFonts w:ascii="宋体" w:hAnsi="宋体"/>
          <w:b/>
          <w:color w:val="auto"/>
          <w:sz w:val="32"/>
          <w:szCs w:val="32"/>
          <w:highlight w:val="none"/>
        </w:rPr>
      </w:pPr>
    </w:p>
    <w:p w14:paraId="5E0FFD83">
      <w:pPr>
        <w:ind w:firstLine="643"/>
        <w:rPr>
          <w:rFonts w:ascii="宋体" w:hAnsi="宋体"/>
          <w:b/>
          <w:color w:val="auto"/>
          <w:sz w:val="32"/>
          <w:szCs w:val="32"/>
          <w:highlight w:val="none"/>
        </w:rPr>
      </w:pPr>
    </w:p>
    <w:p w14:paraId="6D79A42D">
      <w:pPr>
        <w:ind w:firstLine="643"/>
        <w:rPr>
          <w:rFonts w:ascii="宋体" w:hAnsi="宋体"/>
          <w:b/>
          <w:color w:val="auto"/>
          <w:sz w:val="32"/>
          <w:szCs w:val="32"/>
          <w:highlight w:val="none"/>
        </w:rPr>
      </w:pPr>
    </w:p>
    <w:p w14:paraId="6E937F0D">
      <w:pPr>
        <w:ind w:firstLine="643"/>
        <w:rPr>
          <w:rFonts w:ascii="宋体" w:hAnsi="宋体"/>
          <w:b/>
          <w:color w:val="auto"/>
          <w:sz w:val="32"/>
          <w:szCs w:val="32"/>
          <w:highlight w:val="none"/>
        </w:rPr>
      </w:pPr>
    </w:p>
    <w:p w14:paraId="302A0250">
      <w:pPr>
        <w:ind w:firstLine="643"/>
        <w:rPr>
          <w:rFonts w:ascii="宋体" w:hAnsi="宋体"/>
          <w:b/>
          <w:color w:val="auto"/>
          <w:sz w:val="32"/>
          <w:szCs w:val="32"/>
          <w:highlight w:val="none"/>
        </w:rPr>
      </w:pPr>
      <w:r>
        <w:rPr>
          <w:rFonts w:hint="eastAsia" w:ascii="宋体" w:hAnsi="宋体"/>
          <w:b/>
          <w:color w:val="auto"/>
          <w:sz w:val="32"/>
          <w:szCs w:val="32"/>
          <w:highlight w:val="none"/>
        </w:rPr>
        <w:t>质疑函制作说明：</w:t>
      </w:r>
    </w:p>
    <w:p w14:paraId="010BC997">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1.供应商提出质疑时，应提交质疑函和必要的证明材料。</w:t>
      </w:r>
    </w:p>
    <w:p w14:paraId="58AB328F">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2.质疑供应商若委托代理人进行质疑的，质疑函应按要求列明“授权代表”的有关内容，并在附件中提交由质疑</w:t>
      </w:r>
      <w:r>
        <w:rPr>
          <w:rFonts w:hint="eastAsia" w:ascii="宋体" w:hAnsi="宋体" w:cs="宋体"/>
          <w:color w:val="auto"/>
          <w:kern w:val="0"/>
          <w:sz w:val="32"/>
          <w:szCs w:val="32"/>
          <w:highlight w:val="none"/>
        </w:rPr>
        <w:t>供应商签署的授权委托书。授权委托书应载明代理人的姓名或者名称、代理事项、具体权限、期限和相关事项。</w:t>
      </w:r>
    </w:p>
    <w:p w14:paraId="58F0F577">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3.质疑供应商若对项目的某一分包进行质疑，质疑函中应列明具体分包号。</w:t>
      </w:r>
    </w:p>
    <w:p w14:paraId="5BB557EB">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4.质疑函的质疑事项应具体、明确，并有必要的事实依据和法律依据。</w:t>
      </w:r>
    </w:p>
    <w:p w14:paraId="66C82629">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5.质疑函的质疑请求应与质疑事项相关。</w:t>
      </w:r>
    </w:p>
    <w:p w14:paraId="1A49F34B">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27D7FCD4">
      <w:pPr>
        <w:widowControl/>
        <w:ind w:firstLine="600" w:firstLineChars="200"/>
        <w:jc w:val="left"/>
        <w:rPr>
          <w:rFonts w:ascii="宋体" w:hAnsi="宋体"/>
          <w:color w:val="auto"/>
          <w:sz w:val="30"/>
          <w:szCs w:val="30"/>
          <w:highlight w:val="none"/>
        </w:rPr>
      </w:pPr>
    </w:p>
    <w:p w14:paraId="24C73B95">
      <w:pPr>
        <w:widowControl/>
        <w:spacing w:line="360" w:lineRule="auto"/>
        <w:ind w:firstLine="480"/>
        <w:jc w:val="left"/>
        <w:rPr>
          <w:rFonts w:ascii="宋体" w:hAnsi="宋体" w:cs="宋体"/>
          <w:color w:val="auto"/>
          <w:kern w:val="0"/>
          <w:sz w:val="24"/>
          <w:highlight w:val="none"/>
        </w:rPr>
        <w:sectPr>
          <w:pgSz w:w="11906" w:h="16838"/>
          <w:pgMar w:top="1134" w:right="1134" w:bottom="1134" w:left="1134" w:header="720" w:footer="720" w:gutter="0"/>
          <w:cols w:space="720" w:num="1"/>
          <w:docGrid w:type="lines" w:linePitch="331" w:charSpace="0"/>
        </w:sectPr>
      </w:pPr>
    </w:p>
    <w:p w14:paraId="17BDD1BF">
      <w:pPr>
        <w:pStyle w:val="3"/>
        <w:ind w:firstLine="640"/>
        <w:jc w:val="center"/>
        <w:rPr>
          <w:rFonts w:ascii="宋体" w:hAnsi="宋体" w:eastAsia="宋体"/>
          <w:b w:val="0"/>
          <w:bCs w:val="0"/>
          <w:color w:val="auto"/>
          <w:highlight w:val="none"/>
        </w:rPr>
      </w:pPr>
      <w:bookmarkStart w:id="301" w:name="_Toc118383704"/>
      <w:r>
        <w:rPr>
          <w:rFonts w:hint="eastAsia" w:ascii="宋体" w:hAnsi="宋体" w:eastAsia="宋体"/>
          <w:b w:val="0"/>
          <w:bCs w:val="0"/>
          <w:color w:val="auto"/>
          <w:highlight w:val="none"/>
        </w:rPr>
        <w:t>第二节 投诉书（格式）</w:t>
      </w:r>
      <w:bookmarkEnd w:id="301"/>
    </w:p>
    <w:p w14:paraId="4217E6A3">
      <w:pPr>
        <w:ind w:firstLine="883"/>
        <w:jc w:val="center"/>
        <w:rPr>
          <w:rFonts w:ascii="宋体" w:hAnsi="宋体"/>
          <w:b/>
          <w:color w:val="auto"/>
          <w:sz w:val="44"/>
          <w:szCs w:val="44"/>
          <w:highlight w:val="none"/>
        </w:rPr>
      </w:pPr>
      <w:r>
        <w:rPr>
          <w:rFonts w:hint="eastAsia" w:ascii="宋体" w:hAnsi="宋体"/>
          <w:b/>
          <w:color w:val="auto"/>
          <w:sz w:val="44"/>
          <w:szCs w:val="44"/>
          <w:highlight w:val="none"/>
        </w:rPr>
        <w:t>投诉书范本</w:t>
      </w:r>
    </w:p>
    <w:p w14:paraId="0DC012F3">
      <w:pPr>
        <w:ind w:firstLine="640"/>
        <w:rPr>
          <w:rFonts w:ascii="宋体" w:hAnsi="宋体"/>
          <w:color w:val="auto"/>
          <w:sz w:val="32"/>
          <w:szCs w:val="32"/>
          <w:highlight w:val="none"/>
        </w:rPr>
      </w:pPr>
      <w:r>
        <w:rPr>
          <w:rFonts w:hint="eastAsia" w:ascii="宋体" w:hAnsi="宋体"/>
          <w:color w:val="auto"/>
          <w:sz w:val="32"/>
          <w:szCs w:val="32"/>
          <w:highlight w:val="none"/>
        </w:rPr>
        <w:t>一、投诉相关主体基本情况</w:t>
      </w:r>
    </w:p>
    <w:p w14:paraId="2344C1EE">
      <w:pPr>
        <w:ind w:firstLine="640"/>
        <w:rPr>
          <w:rFonts w:ascii="宋体" w:hAnsi="宋体"/>
          <w:color w:val="auto"/>
          <w:sz w:val="32"/>
          <w:szCs w:val="32"/>
          <w:highlight w:val="none"/>
          <w:u w:val="dotted"/>
        </w:rPr>
      </w:pPr>
      <w:r>
        <w:rPr>
          <w:rFonts w:hint="eastAsia" w:ascii="宋体" w:hAnsi="宋体"/>
          <w:color w:val="auto"/>
          <w:sz w:val="32"/>
          <w:szCs w:val="32"/>
          <w:highlight w:val="none"/>
        </w:rPr>
        <w:t>投诉人：</w:t>
      </w:r>
      <w:r>
        <w:rPr>
          <w:rFonts w:hint="eastAsia" w:ascii="宋体" w:hAnsi="宋体"/>
          <w:color w:val="auto"/>
          <w:sz w:val="32"/>
          <w:szCs w:val="32"/>
          <w:highlight w:val="none"/>
          <w:u w:val="dotted"/>
        </w:rPr>
        <w:t xml:space="preserve">                                               </w:t>
      </w:r>
    </w:p>
    <w:p w14:paraId="5F732580">
      <w:pPr>
        <w:ind w:firstLine="640"/>
        <w:rPr>
          <w:rFonts w:ascii="宋体" w:hAnsi="宋体"/>
          <w:color w:val="auto"/>
          <w:sz w:val="32"/>
          <w:szCs w:val="32"/>
          <w:highlight w:val="none"/>
          <w:u w:val="single"/>
        </w:rPr>
      </w:pPr>
      <w:r>
        <w:rPr>
          <w:rFonts w:hint="eastAsia" w:ascii="宋体" w:hAnsi="宋体"/>
          <w:color w:val="auto"/>
          <w:sz w:val="32"/>
          <w:szCs w:val="32"/>
          <w:highlight w:val="none"/>
        </w:rPr>
        <w:t>地     址：</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邮编：</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56214DB5">
      <w:pPr>
        <w:tabs>
          <w:tab w:val="left" w:pos="6510"/>
        </w:tabs>
        <w:ind w:firstLine="640"/>
        <w:jc w:val="left"/>
        <w:rPr>
          <w:rFonts w:ascii="宋体" w:hAnsi="宋体"/>
          <w:color w:val="auto"/>
          <w:sz w:val="32"/>
          <w:szCs w:val="32"/>
          <w:highlight w:val="none"/>
        </w:rPr>
      </w:pPr>
      <w:r>
        <w:rPr>
          <w:rFonts w:hint="eastAsia" w:ascii="宋体" w:hAnsi="宋体"/>
          <w:color w:val="auto"/>
          <w:sz w:val="32"/>
          <w:szCs w:val="32"/>
          <w:highlight w:val="none"/>
        </w:rPr>
        <w:t>法定代表人/主要负责人：</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 xml:space="preserve">  </w:t>
      </w:r>
    </w:p>
    <w:p w14:paraId="6B88BB2F">
      <w:pPr>
        <w:tabs>
          <w:tab w:val="left" w:pos="6510"/>
        </w:tabs>
        <w:ind w:firstLine="640"/>
        <w:rPr>
          <w:rFonts w:ascii="宋体" w:hAnsi="宋体"/>
          <w:color w:val="auto"/>
          <w:sz w:val="32"/>
          <w:szCs w:val="32"/>
          <w:highlight w:val="none"/>
          <w:u w:val="dotted"/>
        </w:rPr>
      </w:pPr>
      <w:r>
        <w:rPr>
          <w:rFonts w:hint="eastAsia" w:ascii="宋体" w:hAnsi="宋体"/>
          <w:color w:val="auto"/>
          <w:sz w:val="32"/>
          <w:szCs w:val="32"/>
          <w:highlight w:val="none"/>
        </w:rPr>
        <w:t>联系电话：</w:t>
      </w:r>
      <w:r>
        <w:rPr>
          <w:rFonts w:hint="eastAsia" w:ascii="宋体" w:hAnsi="宋体"/>
          <w:color w:val="auto"/>
          <w:sz w:val="32"/>
          <w:szCs w:val="32"/>
          <w:highlight w:val="none"/>
          <w:u w:val="dotted"/>
        </w:rPr>
        <w:t xml:space="preserve">                                             </w:t>
      </w:r>
    </w:p>
    <w:p w14:paraId="55A5E54B">
      <w:pPr>
        <w:ind w:firstLine="640"/>
        <w:rPr>
          <w:rFonts w:ascii="宋体" w:hAnsi="宋体"/>
          <w:color w:val="auto"/>
          <w:sz w:val="32"/>
          <w:szCs w:val="32"/>
          <w:highlight w:val="none"/>
          <w:u w:val="dotted"/>
        </w:rPr>
      </w:pPr>
      <w:r>
        <w:rPr>
          <w:rFonts w:hint="eastAsia" w:ascii="宋体" w:hAnsi="宋体"/>
          <w:color w:val="auto"/>
          <w:sz w:val="32"/>
          <w:szCs w:val="32"/>
          <w:highlight w:val="none"/>
        </w:rPr>
        <w:t>授权代表：</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联系电话</w:t>
      </w:r>
      <w:r>
        <w:rPr>
          <w:rFonts w:hint="eastAsia" w:ascii="宋体" w:hAnsi="宋体"/>
          <w:color w:val="auto"/>
          <w:sz w:val="32"/>
          <w:szCs w:val="32"/>
          <w:highlight w:val="none"/>
          <w:u w:val="dotted"/>
        </w:rPr>
        <w:t xml:space="preserve">：                  </w:t>
      </w:r>
    </w:p>
    <w:p w14:paraId="17DBBFA4">
      <w:pPr>
        <w:ind w:firstLine="640"/>
        <w:rPr>
          <w:rFonts w:ascii="宋体" w:hAnsi="宋体"/>
          <w:color w:val="auto"/>
          <w:sz w:val="32"/>
          <w:szCs w:val="32"/>
          <w:highlight w:val="none"/>
          <w:u w:val="dotted"/>
        </w:rPr>
      </w:pPr>
      <w:r>
        <w:rPr>
          <w:rFonts w:hint="eastAsia" w:ascii="宋体" w:hAnsi="宋体"/>
          <w:color w:val="auto"/>
          <w:sz w:val="32"/>
          <w:szCs w:val="32"/>
          <w:highlight w:val="none"/>
        </w:rPr>
        <w:t>地     址：</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邮编：</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r>
        <w:rPr>
          <w:rFonts w:hint="eastAsia" w:ascii="宋体" w:hAnsi="宋体"/>
          <w:color w:val="auto"/>
          <w:sz w:val="32"/>
          <w:szCs w:val="32"/>
          <w:highlight w:val="none"/>
          <w:u w:val="dotted"/>
        </w:rPr>
        <w:t xml:space="preserve">                   </w:t>
      </w:r>
    </w:p>
    <w:p w14:paraId="11F622AB">
      <w:pPr>
        <w:ind w:firstLine="640"/>
        <w:rPr>
          <w:rFonts w:ascii="宋体" w:hAnsi="宋体"/>
          <w:color w:val="auto"/>
          <w:sz w:val="32"/>
          <w:szCs w:val="32"/>
          <w:highlight w:val="none"/>
          <w:u w:val="single"/>
        </w:rPr>
      </w:pPr>
      <w:r>
        <w:rPr>
          <w:rFonts w:hint="eastAsia" w:ascii="宋体" w:hAnsi="宋体"/>
          <w:color w:val="auto"/>
          <w:sz w:val="32"/>
          <w:szCs w:val="32"/>
          <w:highlight w:val="none"/>
        </w:rPr>
        <w:t>被投诉人1：</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26DB584D">
      <w:pPr>
        <w:ind w:firstLine="640"/>
        <w:rPr>
          <w:rFonts w:ascii="宋体" w:hAnsi="宋体"/>
          <w:color w:val="auto"/>
          <w:sz w:val="32"/>
          <w:szCs w:val="32"/>
          <w:highlight w:val="none"/>
          <w:u w:val="single"/>
        </w:rPr>
      </w:pPr>
      <w:r>
        <w:rPr>
          <w:rFonts w:hint="eastAsia" w:ascii="宋体" w:hAnsi="宋体"/>
          <w:color w:val="auto"/>
          <w:sz w:val="32"/>
          <w:szCs w:val="32"/>
          <w:highlight w:val="none"/>
        </w:rPr>
        <w:t>地     址：</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邮编：</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2C0C12DD">
      <w:pPr>
        <w:ind w:firstLine="640"/>
        <w:rPr>
          <w:rFonts w:ascii="宋体" w:hAnsi="宋体"/>
          <w:color w:val="auto"/>
          <w:sz w:val="32"/>
          <w:szCs w:val="32"/>
          <w:highlight w:val="none"/>
          <w:u w:val="single"/>
        </w:rPr>
      </w:pPr>
      <w:r>
        <w:rPr>
          <w:rFonts w:hint="eastAsia" w:ascii="宋体" w:hAnsi="宋体"/>
          <w:color w:val="auto"/>
          <w:sz w:val="32"/>
          <w:szCs w:val="32"/>
          <w:highlight w:val="none"/>
        </w:rPr>
        <w:t>联系人：</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联系电话：</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7DE560E8">
      <w:pPr>
        <w:ind w:firstLine="640"/>
        <w:rPr>
          <w:rFonts w:ascii="宋体" w:hAnsi="宋体"/>
          <w:color w:val="auto"/>
          <w:sz w:val="32"/>
          <w:szCs w:val="32"/>
          <w:highlight w:val="none"/>
        </w:rPr>
      </w:pPr>
      <w:r>
        <w:rPr>
          <w:rFonts w:hint="eastAsia" w:ascii="宋体" w:hAnsi="宋体"/>
          <w:color w:val="auto"/>
          <w:sz w:val="32"/>
          <w:szCs w:val="32"/>
          <w:highlight w:val="none"/>
        </w:rPr>
        <w:t>被投诉人2</w:t>
      </w:r>
    </w:p>
    <w:p w14:paraId="72A2C89D">
      <w:pPr>
        <w:ind w:firstLine="640"/>
        <w:rPr>
          <w:rFonts w:ascii="宋体" w:hAnsi="宋体"/>
          <w:color w:val="auto"/>
          <w:sz w:val="32"/>
          <w:szCs w:val="32"/>
          <w:highlight w:val="none"/>
          <w:u w:val="dotted"/>
        </w:rPr>
      </w:pPr>
      <w:r>
        <w:rPr>
          <w:rFonts w:hint="eastAsia" w:ascii="宋体" w:hAnsi="宋体"/>
          <w:color w:val="auto"/>
          <w:sz w:val="32"/>
          <w:szCs w:val="32"/>
          <w:highlight w:val="none"/>
        </w:rPr>
        <w:t>……</w:t>
      </w:r>
    </w:p>
    <w:p w14:paraId="13092327">
      <w:pPr>
        <w:ind w:firstLine="640"/>
        <w:rPr>
          <w:rFonts w:ascii="宋体" w:hAnsi="宋体"/>
          <w:color w:val="auto"/>
          <w:sz w:val="32"/>
          <w:szCs w:val="32"/>
          <w:highlight w:val="none"/>
          <w:u w:val="single"/>
        </w:rPr>
      </w:pPr>
      <w:r>
        <w:rPr>
          <w:rFonts w:hint="eastAsia" w:ascii="宋体" w:hAnsi="宋体"/>
          <w:color w:val="auto"/>
          <w:sz w:val="32"/>
          <w:szCs w:val="32"/>
          <w:highlight w:val="none"/>
        </w:rPr>
        <w:t>相关供应商：</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310A9D1D">
      <w:pPr>
        <w:ind w:firstLine="640"/>
        <w:rPr>
          <w:rFonts w:ascii="宋体" w:hAnsi="宋体"/>
          <w:color w:val="auto"/>
          <w:sz w:val="32"/>
          <w:szCs w:val="32"/>
          <w:highlight w:val="none"/>
          <w:u w:val="single"/>
        </w:rPr>
      </w:pPr>
      <w:r>
        <w:rPr>
          <w:rFonts w:hint="eastAsia" w:ascii="宋体" w:hAnsi="宋体"/>
          <w:color w:val="auto"/>
          <w:sz w:val="32"/>
          <w:szCs w:val="32"/>
          <w:highlight w:val="none"/>
        </w:rPr>
        <w:t>地     址：</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邮编：</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20B556B3">
      <w:pPr>
        <w:ind w:firstLine="640"/>
        <w:rPr>
          <w:rFonts w:ascii="宋体" w:hAnsi="宋体"/>
          <w:color w:val="auto"/>
          <w:sz w:val="32"/>
          <w:szCs w:val="32"/>
          <w:highlight w:val="none"/>
          <w:u w:val="single"/>
        </w:rPr>
      </w:pPr>
      <w:r>
        <w:rPr>
          <w:rFonts w:hint="eastAsia" w:ascii="宋体" w:hAnsi="宋体"/>
          <w:color w:val="auto"/>
          <w:sz w:val="32"/>
          <w:szCs w:val="32"/>
          <w:highlight w:val="none"/>
        </w:rPr>
        <w:t>联系人：</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联系电话：</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single"/>
        </w:rPr>
        <w:t xml:space="preserve">      </w:t>
      </w:r>
    </w:p>
    <w:p w14:paraId="090123AB">
      <w:pPr>
        <w:ind w:firstLine="640"/>
        <w:rPr>
          <w:rFonts w:ascii="宋体" w:hAnsi="宋体"/>
          <w:color w:val="auto"/>
          <w:sz w:val="32"/>
          <w:szCs w:val="32"/>
          <w:highlight w:val="none"/>
        </w:rPr>
      </w:pPr>
      <w:r>
        <w:rPr>
          <w:rFonts w:hint="eastAsia" w:ascii="宋体" w:hAnsi="宋体"/>
          <w:color w:val="auto"/>
          <w:sz w:val="32"/>
          <w:szCs w:val="32"/>
          <w:highlight w:val="none"/>
        </w:rPr>
        <w:t>二、投诉项目基本情况</w:t>
      </w:r>
    </w:p>
    <w:p w14:paraId="452E0E49">
      <w:pPr>
        <w:ind w:firstLine="640"/>
        <w:rPr>
          <w:rFonts w:ascii="宋体" w:hAnsi="宋体"/>
          <w:color w:val="auto"/>
          <w:sz w:val="32"/>
          <w:szCs w:val="32"/>
          <w:highlight w:val="none"/>
          <w:u w:val="dotted"/>
        </w:rPr>
      </w:pPr>
      <w:r>
        <w:rPr>
          <w:rFonts w:hint="eastAsia" w:ascii="宋体" w:hAnsi="宋体"/>
          <w:color w:val="auto"/>
          <w:sz w:val="32"/>
          <w:szCs w:val="32"/>
          <w:highlight w:val="none"/>
        </w:rPr>
        <w:t>采购项目名称：</w:t>
      </w:r>
      <w:r>
        <w:rPr>
          <w:rFonts w:hint="eastAsia" w:ascii="宋体" w:hAnsi="宋体"/>
          <w:color w:val="auto"/>
          <w:sz w:val="32"/>
          <w:szCs w:val="32"/>
          <w:highlight w:val="none"/>
          <w:u w:val="dotted"/>
        </w:rPr>
        <w:t xml:space="preserve">  南宁职业技术大学跨境电子商务专业群实训室建设项目</w:t>
      </w:r>
    </w:p>
    <w:p w14:paraId="3D4B8705">
      <w:pPr>
        <w:ind w:firstLine="640"/>
        <w:rPr>
          <w:rFonts w:ascii="宋体" w:hAnsi="宋体"/>
          <w:color w:val="auto"/>
          <w:sz w:val="32"/>
          <w:szCs w:val="32"/>
          <w:highlight w:val="none"/>
          <w:u w:val="single"/>
        </w:rPr>
      </w:pPr>
      <w:r>
        <w:rPr>
          <w:rFonts w:hint="eastAsia" w:ascii="宋体" w:hAnsi="宋体"/>
          <w:color w:val="auto"/>
          <w:sz w:val="32"/>
          <w:szCs w:val="32"/>
          <w:highlight w:val="none"/>
        </w:rPr>
        <w:t>采购项目编号：</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u w:val="dotted"/>
          <w:lang w:eastAsia="zh-CN"/>
        </w:rPr>
        <w:t>NNZC2024-G1-991788-JDZB</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包号：</w:t>
      </w:r>
      <w:r>
        <w:rPr>
          <w:rFonts w:hint="eastAsia" w:ascii="宋体" w:hAnsi="宋体"/>
          <w:color w:val="auto"/>
          <w:sz w:val="32"/>
          <w:szCs w:val="32"/>
          <w:highlight w:val="none"/>
          <w:u w:val="dotted"/>
        </w:rPr>
        <w:t xml:space="preserve">              </w:t>
      </w:r>
    </w:p>
    <w:p w14:paraId="14221C71">
      <w:pPr>
        <w:ind w:firstLine="640"/>
        <w:rPr>
          <w:rFonts w:ascii="宋体" w:hAnsi="宋体"/>
          <w:color w:val="auto"/>
          <w:sz w:val="32"/>
          <w:szCs w:val="32"/>
          <w:highlight w:val="none"/>
        </w:rPr>
      </w:pPr>
      <w:r>
        <w:rPr>
          <w:rFonts w:hint="eastAsia" w:ascii="宋体" w:hAnsi="宋体"/>
          <w:color w:val="auto"/>
          <w:sz w:val="32"/>
          <w:szCs w:val="32"/>
          <w:highlight w:val="none"/>
        </w:rPr>
        <w:t>采购人名称：</w:t>
      </w:r>
      <w:r>
        <w:rPr>
          <w:rFonts w:hint="eastAsia" w:ascii="宋体" w:hAnsi="宋体"/>
          <w:color w:val="auto"/>
          <w:sz w:val="32"/>
          <w:szCs w:val="32"/>
          <w:highlight w:val="none"/>
          <w:u w:val="dotted"/>
        </w:rPr>
        <w:t xml:space="preserve">  南宁职业技术大学 </w:t>
      </w:r>
      <w:r>
        <w:rPr>
          <w:rFonts w:hint="eastAsia" w:ascii="宋体" w:hAnsi="宋体"/>
          <w:color w:val="auto"/>
          <w:sz w:val="32"/>
          <w:szCs w:val="32"/>
          <w:highlight w:val="none"/>
          <w:u w:val="single"/>
        </w:rPr>
        <w:t xml:space="preserve"> </w:t>
      </w:r>
    </w:p>
    <w:p w14:paraId="01D6BCD8">
      <w:pPr>
        <w:ind w:firstLine="640"/>
        <w:rPr>
          <w:rFonts w:ascii="宋体" w:hAnsi="宋体"/>
          <w:color w:val="auto"/>
          <w:sz w:val="32"/>
          <w:szCs w:val="32"/>
          <w:highlight w:val="none"/>
          <w:u w:val="single"/>
        </w:rPr>
      </w:pPr>
      <w:r>
        <w:rPr>
          <w:rFonts w:hint="eastAsia" w:ascii="宋体" w:hAnsi="宋体"/>
          <w:color w:val="auto"/>
          <w:sz w:val="32"/>
          <w:szCs w:val="32"/>
          <w:highlight w:val="none"/>
        </w:rPr>
        <w:t>代理机构名称：</w:t>
      </w:r>
      <w:r>
        <w:rPr>
          <w:rFonts w:hint="eastAsia" w:ascii="宋体" w:hAnsi="宋体"/>
          <w:color w:val="auto"/>
          <w:sz w:val="32"/>
          <w:szCs w:val="32"/>
          <w:highlight w:val="none"/>
          <w:u w:val="dotted"/>
        </w:rPr>
        <w:t xml:space="preserve">                                         </w:t>
      </w:r>
    </w:p>
    <w:p w14:paraId="721DF306">
      <w:pPr>
        <w:ind w:firstLine="640"/>
        <w:rPr>
          <w:rFonts w:ascii="宋体" w:hAnsi="宋体"/>
          <w:color w:val="auto"/>
          <w:sz w:val="32"/>
          <w:szCs w:val="32"/>
          <w:highlight w:val="none"/>
          <w:u w:val="dotted"/>
        </w:rPr>
      </w:pPr>
      <w:r>
        <w:rPr>
          <w:rFonts w:hint="eastAsia" w:ascii="宋体" w:hAnsi="宋体"/>
          <w:color w:val="auto"/>
          <w:sz w:val="32"/>
          <w:szCs w:val="32"/>
          <w:highlight w:val="none"/>
        </w:rPr>
        <w:t>采购文件公告:</w:t>
      </w:r>
      <w:r>
        <w:rPr>
          <w:rFonts w:hint="eastAsia" w:ascii="宋体" w:hAnsi="宋体"/>
          <w:color w:val="auto"/>
          <w:sz w:val="32"/>
          <w:szCs w:val="32"/>
          <w:highlight w:val="none"/>
          <w:u w:val="dotted"/>
        </w:rPr>
        <w:t xml:space="preserve">是/否 </w:t>
      </w:r>
      <w:r>
        <w:rPr>
          <w:rFonts w:hint="eastAsia" w:ascii="宋体" w:hAnsi="宋体"/>
          <w:color w:val="auto"/>
          <w:sz w:val="32"/>
          <w:szCs w:val="32"/>
          <w:highlight w:val="none"/>
        </w:rPr>
        <w:t>公告期限：</w:t>
      </w:r>
      <w:r>
        <w:rPr>
          <w:rFonts w:hint="eastAsia" w:ascii="宋体" w:hAnsi="宋体"/>
          <w:color w:val="auto"/>
          <w:sz w:val="32"/>
          <w:szCs w:val="32"/>
          <w:highlight w:val="none"/>
          <w:u w:val="dotted"/>
        </w:rPr>
        <w:t xml:space="preserve">                                 </w:t>
      </w:r>
    </w:p>
    <w:p w14:paraId="1F6CA3B1">
      <w:pPr>
        <w:ind w:firstLine="640"/>
        <w:rPr>
          <w:rFonts w:ascii="宋体" w:hAnsi="宋体"/>
          <w:color w:val="auto"/>
          <w:sz w:val="32"/>
          <w:szCs w:val="32"/>
          <w:highlight w:val="none"/>
          <w:u w:val="single"/>
        </w:rPr>
      </w:pPr>
      <w:r>
        <w:rPr>
          <w:rFonts w:hint="eastAsia" w:ascii="宋体" w:hAnsi="宋体"/>
          <w:color w:val="auto"/>
          <w:sz w:val="32"/>
          <w:szCs w:val="32"/>
          <w:highlight w:val="none"/>
        </w:rPr>
        <w:t>采购结果公告:</w:t>
      </w:r>
      <w:r>
        <w:rPr>
          <w:rFonts w:hint="eastAsia" w:ascii="宋体" w:hAnsi="宋体"/>
          <w:color w:val="auto"/>
          <w:sz w:val="32"/>
          <w:szCs w:val="32"/>
          <w:highlight w:val="none"/>
          <w:u w:val="dotted"/>
        </w:rPr>
        <w:t xml:space="preserve">是/否 </w:t>
      </w:r>
      <w:r>
        <w:rPr>
          <w:rFonts w:hint="eastAsia" w:ascii="宋体" w:hAnsi="宋体"/>
          <w:color w:val="auto"/>
          <w:sz w:val="32"/>
          <w:szCs w:val="32"/>
          <w:highlight w:val="none"/>
        </w:rPr>
        <w:t>公告期限：</w:t>
      </w:r>
      <w:r>
        <w:rPr>
          <w:rFonts w:hint="eastAsia" w:ascii="宋体" w:hAnsi="宋体"/>
          <w:color w:val="auto"/>
          <w:sz w:val="32"/>
          <w:szCs w:val="32"/>
          <w:highlight w:val="none"/>
          <w:u w:val="dotted"/>
        </w:rPr>
        <w:t xml:space="preserve">                        </w:t>
      </w:r>
    </w:p>
    <w:p w14:paraId="374FCE91">
      <w:pPr>
        <w:ind w:firstLine="640"/>
        <w:rPr>
          <w:rFonts w:ascii="宋体" w:hAnsi="宋体"/>
          <w:color w:val="auto"/>
          <w:sz w:val="32"/>
          <w:szCs w:val="32"/>
          <w:highlight w:val="none"/>
        </w:rPr>
      </w:pPr>
      <w:r>
        <w:rPr>
          <w:rFonts w:hint="eastAsia" w:ascii="宋体" w:hAnsi="宋体"/>
          <w:color w:val="auto"/>
          <w:sz w:val="32"/>
          <w:szCs w:val="32"/>
          <w:highlight w:val="none"/>
        </w:rPr>
        <w:t>三、质疑基本情况</w:t>
      </w:r>
    </w:p>
    <w:p w14:paraId="7A5BAB30">
      <w:pPr>
        <w:ind w:firstLine="640" w:firstLineChars="200"/>
        <w:rPr>
          <w:rFonts w:ascii="宋体" w:hAnsi="宋体"/>
          <w:color w:val="auto"/>
          <w:sz w:val="32"/>
          <w:szCs w:val="32"/>
          <w:highlight w:val="none"/>
          <w:u w:val="dotted"/>
        </w:rPr>
      </w:pPr>
      <w:r>
        <w:rPr>
          <w:rFonts w:hint="eastAsia" w:ascii="宋体" w:hAnsi="宋体"/>
          <w:color w:val="auto"/>
          <w:sz w:val="32"/>
          <w:szCs w:val="32"/>
          <w:highlight w:val="none"/>
        </w:rPr>
        <w:t>投诉人于</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年</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日,向</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提出质疑，质疑事项为：</w:t>
      </w:r>
      <w:r>
        <w:rPr>
          <w:rFonts w:hint="eastAsia" w:ascii="宋体" w:hAnsi="宋体"/>
          <w:color w:val="auto"/>
          <w:sz w:val="32"/>
          <w:szCs w:val="32"/>
          <w:highlight w:val="none"/>
          <w:u w:val="dotted"/>
        </w:rPr>
        <w:t xml:space="preserve">                                </w:t>
      </w:r>
    </w:p>
    <w:p w14:paraId="2CA99F3F">
      <w:pPr>
        <w:ind w:firstLine="640"/>
        <w:rPr>
          <w:rFonts w:ascii="宋体" w:hAnsi="宋体"/>
          <w:color w:val="auto"/>
          <w:sz w:val="32"/>
          <w:szCs w:val="32"/>
          <w:highlight w:val="none"/>
          <w:u w:val="dotted"/>
        </w:rPr>
      </w:pP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 xml:space="preserve">  </w:t>
      </w:r>
    </w:p>
    <w:p w14:paraId="65C7B7F0">
      <w:pPr>
        <w:ind w:firstLine="480" w:firstLineChars="150"/>
        <w:rPr>
          <w:rFonts w:ascii="宋体" w:hAnsi="宋体"/>
          <w:color w:val="auto"/>
          <w:sz w:val="32"/>
          <w:szCs w:val="32"/>
          <w:highlight w:val="none"/>
        </w:rPr>
      </w:pPr>
      <w:r>
        <w:rPr>
          <w:rFonts w:hint="eastAsia" w:ascii="宋体" w:hAnsi="宋体"/>
          <w:color w:val="auto"/>
          <w:sz w:val="32"/>
          <w:szCs w:val="32"/>
          <w:highlight w:val="none"/>
          <w:u w:val="dotted"/>
        </w:rPr>
        <w:t>采购人/代理机构</w:t>
      </w:r>
      <w:r>
        <w:rPr>
          <w:rFonts w:hint="eastAsia" w:ascii="宋体" w:hAnsi="宋体"/>
          <w:color w:val="auto"/>
          <w:sz w:val="32"/>
          <w:szCs w:val="32"/>
          <w:highlight w:val="none"/>
        </w:rPr>
        <w:t>于</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年</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月</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日,就质疑事项作出了答复/没有在法定期限内作出答复。</w:t>
      </w:r>
    </w:p>
    <w:p w14:paraId="45615CF2">
      <w:pPr>
        <w:ind w:firstLine="640"/>
        <w:rPr>
          <w:rFonts w:ascii="宋体" w:hAnsi="宋体"/>
          <w:color w:val="auto"/>
          <w:sz w:val="32"/>
          <w:szCs w:val="32"/>
          <w:highlight w:val="none"/>
        </w:rPr>
      </w:pPr>
      <w:r>
        <w:rPr>
          <w:rFonts w:hint="eastAsia" w:ascii="宋体" w:hAnsi="宋体"/>
          <w:color w:val="auto"/>
          <w:sz w:val="32"/>
          <w:szCs w:val="32"/>
          <w:highlight w:val="none"/>
        </w:rPr>
        <w:t>四、投诉事项具体内容</w:t>
      </w:r>
    </w:p>
    <w:p w14:paraId="3703BF37">
      <w:pPr>
        <w:ind w:firstLine="640"/>
        <w:rPr>
          <w:rFonts w:ascii="宋体" w:hAnsi="宋体"/>
          <w:color w:val="auto"/>
          <w:sz w:val="32"/>
          <w:szCs w:val="32"/>
          <w:highlight w:val="none"/>
          <w:u w:val="single"/>
        </w:rPr>
      </w:pPr>
      <w:r>
        <w:rPr>
          <w:rFonts w:hint="eastAsia" w:ascii="宋体" w:hAnsi="宋体"/>
          <w:color w:val="auto"/>
          <w:sz w:val="32"/>
          <w:szCs w:val="32"/>
          <w:highlight w:val="none"/>
        </w:rPr>
        <w:t>投诉事项 1：</w:t>
      </w:r>
      <w:r>
        <w:rPr>
          <w:rFonts w:hint="eastAsia" w:ascii="宋体" w:hAnsi="宋体"/>
          <w:color w:val="auto"/>
          <w:sz w:val="32"/>
          <w:szCs w:val="32"/>
          <w:highlight w:val="none"/>
          <w:u w:val="dotted"/>
        </w:rPr>
        <w:t xml:space="preserve">                                       </w:t>
      </w:r>
    </w:p>
    <w:p w14:paraId="3ACD861E">
      <w:pPr>
        <w:ind w:firstLine="640"/>
        <w:rPr>
          <w:rFonts w:ascii="宋体" w:hAnsi="宋体"/>
          <w:color w:val="auto"/>
          <w:sz w:val="32"/>
          <w:szCs w:val="32"/>
          <w:highlight w:val="none"/>
        </w:rPr>
      </w:pPr>
      <w:r>
        <w:rPr>
          <w:rFonts w:hint="eastAsia" w:ascii="宋体" w:hAnsi="宋体"/>
          <w:color w:val="auto"/>
          <w:sz w:val="32"/>
          <w:szCs w:val="32"/>
          <w:highlight w:val="none"/>
        </w:rPr>
        <w:t>事实依据：</w:t>
      </w:r>
      <w:r>
        <w:rPr>
          <w:rFonts w:hint="eastAsia" w:ascii="宋体" w:hAnsi="宋体"/>
          <w:color w:val="auto"/>
          <w:sz w:val="32"/>
          <w:szCs w:val="32"/>
          <w:highlight w:val="none"/>
          <w:u w:val="dotted"/>
        </w:rPr>
        <w:t xml:space="preserve">                                         </w:t>
      </w:r>
    </w:p>
    <w:p w14:paraId="4042B49A">
      <w:pPr>
        <w:ind w:firstLine="640"/>
        <w:rPr>
          <w:rFonts w:ascii="宋体" w:hAnsi="宋体"/>
          <w:color w:val="auto"/>
          <w:sz w:val="32"/>
          <w:szCs w:val="32"/>
          <w:highlight w:val="none"/>
          <w:u w:val="dotted"/>
        </w:rPr>
      </w:pPr>
      <w:r>
        <w:rPr>
          <w:rFonts w:hint="eastAsia" w:ascii="宋体" w:hAnsi="宋体"/>
          <w:color w:val="auto"/>
          <w:sz w:val="32"/>
          <w:szCs w:val="32"/>
          <w:highlight w:val="none"/>
          <w:u w:val="dotted"/>
        </w:rPr>
        <w:t xml:space="preserve">                                                      </w:t>
      </w:r>
    </w:p>
    <w:p w14:paraId="7EEB82F6">
      <w:pPr>
        <w:ind w:firstLine="640"/>
        <w:rPr>
          <w:rFonts w:ascii="宋体" w:hAnsi="宋体"/>
          <w:color w:val="auto"/>
          <w:sz w:val="32"/>
          <w:szCs w:val="32"/>
          <w:highlight w:val="none"/>
          <w:u w:val="single"/>
        </w:rPr>
      </w:pPr>
      <w:r>
        <w:rPr>
          <w:rFonts w:hint="eastAsia" w:ascii="宋体" w:hAnsi="宋体"/>
          <w:color w:val="auto"/>
          <w:sz w:val="32"/>
          <w:szCs w:val="32"/>
          <w:highlight w:val="none"/>
        </w:rPr>
        <w:t>法律依据：</w:t>
      </w:r>
      <w:r>
        <w:rPr>
          <w:rFonts w:hint="eastAsia" w:ascii="宋体" w:hAnsi="宋体"/>
          <w:color w:val="auto"/>
          <w:sz w:val="32"/>
          <w:szCs w:val="32"/>
          <w:highlight w:val="none"/>
          <w:u w:val="dotted"/>
        </w:rPr>
        <w:t xml:space="preserve">                                          </w:t>
      </w:r>
    </w:p>
    <w:p w14:paraId="4E2274FF">
      <w:pPr>
        <w:ind w:firstLine="640"/>
        <w:rPr>
          <w:rFonts w:ascii="宋体" w:hAnsi="宋体"/>
          <w:color w:val="auto"/>
          <w:sz w:val="32"/>
          <w:szCs w:val="32"/>
          <w:highlight w:val="none"/>
          <w:u w:val="dotted"/>
        </w:rPr>
      </w:pPr>
      <w:r>
        <w:rPr>
          <w:rFonts w:hint="eastAsia" w:ascii="宋体" w:hAnsi="宋体"/>
          <w:color w:val="auto"/>
          <w:sz w:val="32"/>
          <w:szCs w:val="32"/>
          <w:highlight w:val="none"/>
          <w:u w:val="dotted"/>
        </w:rPr>
        <w:t xml:space="preserve">                                                      </w:t>
      </w:r>
    </w:p>
    <w:p w14:paraId="5CB09E07">
      <w:pPr>
        <w:ind w:firstLine="640"/>
        <w:rPr>
          <w:rFonts w:ascii="宋体" w:hAnsi="宋体"/>
          <w:color w:val="auto"/>
          <w:sz w:val="32"/>
          <w:szCs w:val="32"/>
          <w:highlight w:val="none"/>
        </w:rPr>
      </w:pPr>
      <w:r>
        <w:rPr>
          <w:rFonts w:hint="eastAsia" w:ascii="宋体" w:hAnsi="宋体"/>
          <w:color w:val="auto"/>
          <w:sz w:val="32"/>
          <w:szCs w:val="32"/>
          <w:highlight w:val="none"/>
        </w:rPr>
        <w:t>投诉事项2</w:t>
      </w:r>
    </w:p>
    <w:p w14:paraId="54AB14D9">
      <w:pPr>
        <w:ind w:firstLine="640"/>
        <w:rPr>
          <w:rFonts w:ascii="宋体" w:hAnsi="宋体"/>
          <w:color w:val="auto"/>
          <w:sz w:val="32"/>
          <w:szCs w:val="32"/>
          <w:highlight w:val="none"/>
          <w:u w:val="dotted"/>
        </w:rPr>
      </w:pPr>
      <w:r>
        <w:rPr>
          <w:rFonts w:hint="eastAsia" w:ascii="宋体" w:hAnsi="宋体"/>
          <w:color w:val="auto"/>
          <w:sz w:val="32"/>
          <w:szCs w:val="32"/>
          <w:highlight w:val="none"/>
        </w:rPr>
        <w:t>……</w:t>
      </w:r>
    </w:p>
    <w:p w14:paraId="727967A5">
      <w:pPr>
        <w:ind w:firstLine="640"/>
        <w:rPr>
          <w:rFonts w:ascii="宋体" w:hAnsi="宋体"/>
          <w:color w:val="auto"/>
          <w:sz w:val="32"/>
          <w:szCs w:val="32"/>
          <w:highlight w:val="none"/>
        </w:rPr>
      </w:pPr>
      <w:r>
        <w:rPr>
          <w:rFonts w:hint="eastAsia" w:ascii="宋体" w:hAnsi="宋体"/>
          <w:color w:val="auto"/>
          <w:sz w:val="32"/>
          <w:szCs w:val="32"/>
          <w:highlight w:val="none"/>
        </w:rPr>
        <w:t>五、与投诉事项相关的投诉请求</w:t>
      </w:r>
    </w:p>
    <w:p w14:paraId="1862F68F">
      <w:pPr>
        <w:ind w:firstLine="640"/>
        <w:rPr>
          <w:rFonts w:ascii="宋体" w:hAnsi="宋体"/>
          <w:color w:val="auto"/>
          <w:sz w:val="32"/>
          <w:szCs w:val="32"/>
          <w:highlight w:val="none"/>
        </w:rPr>
      </w:pPr>
      <w:r>
        <w:rPr>
          <w:rFonts w:hint="eastAsia" w:ascii="宋体" w:hAnsi="宋体"/>
          <w:color w:val="auto"/>
          <w:sz w:val="32"/>
          <w:szCs w:val="32"/>
          <w:highlight w:val="none"/>
        </w:rPr>
        <w:t>请求：</w:t>
      </w:r>
      <w:r>
        <w:rPr>
          <w:rFonts w:hint="eastAsia" w:ascii="宋体" w:hAnsi="宋体"/>
          <w:color w:val="auto"/>
          <w:sz w:val="32"/>
          <w:szCs w:val="32"/>
          <w:highlight w:val="none"/>
          <w:u w:val="dotted"/>
        </w:rPr>
        <w:t xml:space="preserve">                                              </w:t>
      </w:r>
      <w:r>
        <w:rPr>
          <w:rFonts w:hint="eastAsia" w:ascii="宋体" w:hAnsi="宋体"/>
          <w:color w:val="auto"/>
          <w:sz w:val="32"/>
          <w:szCs w:val="32"/>
          <w:highlight w:val="none"/>
        </w:rPr>
        <w:t xml:space="preserve"> </w:t>
      </w:r>
    </w:p>
    <w:p w14:paraId="60563F78">
      <w:pPr>
        <w:ind w:firstLine="640"/>
        <w:rPr>
          <w:rFonts w:ascii="宋体" w:hAnsi="宋体"/>
          <w:color w:val="auto"/>
          <w:sz w:val="32"/>
          <w:szCs w:val="32"/>
          <w:highlight w:val="none"/>
          <w:u w:val="single"/>
        </w:rPr>
      </w:pPr>
      <w:r>
        <w:rPr>
          <w:rFonts w:hint="eastAsia" w:ascii="宋体" w:hAnsi="宋体"/>
          <w:color w:val="auto"/>
          <w:sz w:val="32"/>
          <w:szCs w:val="32"/>
          <w:highlight w:val="none"/>
        </w:rPr>
        <w:t xml:space="preserve">                                                                                                    </w:t>
      </w:r>
    </w:p>
    <w:p w14:paraId="0C52FA27">
      <w:pPr>
        <w:ind w:firstLine="640"/>
        <w:rPr>
          <w:rFonts w:ascii="宋体" w:hAnsi="宋体"/>
          <w:color w:val="auto"/>
          <w:sz w:val="32"/>
          <w:szCs w:val="32"/>
          <w:highlight w:val="none"/>
        </w:rPr>
      </w:pPr>
      <w:r>
        <w:rPr>
          <w:rFonts w:hint="eastAsia" w:ascii="宋体" w:hAnsi="宋体"/>
          <w:color w:val="auto"/>
          <w:sz w:val="32"/>
          <w:szCs w:val="32"/>
          <w:highlight w:val="none"/>
        </w:rPr>
        <w:t xml:space="preserve">签字(签章)：                   公章：                      </w:t>
      </w:r>
    </w:p>
    <w:p w14:paraId="7C04AECB">
      <w:pPr>
        <w:ind w:firstLine="640"/>
        <w:rPr>
          <w:rFonts w:ascii="宋体" w:hAnsi="宋体"/>
          <w:color w:val="auto"/>
          <w:sz w:val="32"/>
          <w:szCs w:val="32"/>
          <w:highlight w:val="none"/>
        </w:rPr>
      </w:pPr>
      <w:r>
        <w:rPr>
          <w:rFonts w:hint="eastAsia" w:ascii="宋体" w:hAnsi="宋体"/>
          <w:color w:val="auto"/>
          <w:sz w:val="32"/>
          <w:szCs w:val="32"/>
          <w:highlight w:val="none"/>
        </w:rPr>
        <w:t xml:space="preserve">日期：    </w:t>
      </w:r>
    </w:p>
    <w:p w14:paraId="5206829A">
      <w:pPr>
        <w:ind w:firstLine="643"/>
        <w:rPr>
          <w:rFonts w:ascii="宋体" w:hAnsi="宋体"/>
          <w:b/>
          <w:color w:val="auto"/>
          <w:sz w:val="32"/>
          <w:szCs w:val="32"/>
          <w:highlight w:val="none"/>
        </w:rPr>
      </w:pPr>
    </w:p>
    <w:p w14:paraId="79E8744F">
      <w:pPr>
        <w:ind w:firstLine="643"/>
        <w:rPr>
          <w:rFonts w:ascii="宋体" w:hAnsi="宋体"/>
          <w:b/>
          <w:color w:val="auto"/>
          <w:sz w:val="32"/>
          <w:szCs w:val="32"/>
          <w:highlight w:val="none"/>
        </w:rPr>
      </w:pPr>
      <w:r>
        <w:rPr>
          <w:rFonts w:hint="eastAsia" w:ascii="宋体" w:hAnsi="宋体"/>
          <w:b/>
          <w:color w:val="auto"/>
          <w:sz w:val="32"/>
          <w:szCs w:val="32"/>
          <w:highlight w:val="none"/>
        </w:rPr>
        <w:t>投诉书制作说明：</w:t>
      </w:r>
    </w:p>
    <w:p w14:paraId="74166F4F">
      <w:pPr>
        <w:widowControl/>
        <w:ind w:firstLine="640" w:firstLineChars="200"/>
        <w:rPr>
          <w:rFonts w:ascii="宋体" w:hAnsi="宋体" w:cs="宋体"/>
          <w:color w:val="auto"/>
          <w:kern w:val="0"/>
          <w:sz w:val="32"/>
          <w:szCs w:val="32"/>
          <w:highlight w:val="none"/>
        </w:rPr>
      </w:pPr>
      <w:r>
        <w:rPr>
          <w:rFonts w:hint="eastAsia" w:ascii="宋体" w:hAnsi="宋体"/>
          <w:color w:val="auto"/>
          <w:sz w:val="32"/>
          <w:szCs w:val="32"/>
          <w:highlight w:val="none"/>
        </w:rPr>
        <w:t>1.投诉人提起投诉时，应当提交投诉书和必要的证明材料，并按照被投诉人和与投诉事项有关的供应商数量提供投诉书副本。</w:t>
      </w:r>
    </w:p>
    <w:p w14:paraId="4B29BF4E">
      <w:pPr>
        <w:widowControl/>
        <w:ind w:firstLine="640" w:firstLineChars="200"/>
        <w:jc w:val="left"/>
        <w:rPr>
          <w:rFonts w:ascii="宋体" w:hAnsi="宋体" w:cs="宋体"/>
          <w:color w:val="auto"/>
          <w:kern w:val="0"/>
          <w:sz w:val="32"/>
          <w:szCs w:val="32"/>
          <w:highlight w:val="none"/>
        </w:rPr>
      </w:pPr>
      <w:r>
        <w:rPr>
          <w:rFonts w:hint="eastAsia" w:ascii="宋体" w:hAnsi="宋体"/>
          <w:color w:val="auto"/>
          <w:sz w:val="32"/>
          <w:szCs w:val="32"/>
          <w:highlight w:val="none"/>
        </w:rPr>
        <w:t>2.投诉人若委托代理人进行投诉的，投诉书应按照要求列明“授权代表”的有关内容，并在附件中提交由</w:t>
      </w:r>
      <w:r>
        <w:rPr>
          <w:rFonts w:hint="eastAsia" w:ascii="宋体" w:hAnsi="宋体" w:cs="宋体"/>
          <w:color w:val="auto"/>
          <w:kern w:val="0"/>
          <w:sz w:val="32"/>
          <w:szCs w:val="32"/>
          <w:highlight w:val="none"/>
        </w:rPr>
        <w:t>投诉人签署的授权委托书。授权委托书应当载明代理人的姓名或者名称、代理事项、具体权限、期限和相关事项。</w:t>
      </w:r>
    </w:p>
    <w:p w14:paraId="10278E7F">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3.投诉人若对项目的某一分包进行投诉，投诉书应列明具体分包号。</w:t>
      </w:r>
    </w:p>
    <w:p w14:paraId="1F89580F">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4.投诉书应简要列明质疑事项，质疑函、质疑答复等作为附件材料提供。</w:t>
      </w:r>
    </w:p>
    <w:p w14:paraId="17651CAD">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5.投诉书的投诉事项应具体、明确，并有必要的事实依据和法律依据。</w:t>
      </w:r>
    </w:p>
    <w:p w14:paraId="4D020433">
      <w:pPr>
        <w:widowControl/>
        <w:ind w:firstLine="640" w:firstLineChars="200"/>
        <w:jc w:val="left"/>
        <w:rPr>
          <w:rFonts w:ascii="宋体" w:hAnsi="宋体"/>
          <w:color w:val="auto"/>
          <w:sz w:val="32"/>
          <w:szCs w:val="32"/>
          <w:highlight w:val="none"/>
        </w:rPr>
      </w:pPr>
      <w:r>
        <w:rPr>
          <w:rFonts w:hint="eastAsia" w:ascii="宋体" w:hAnsi="宋体"/>
          <w:color w:val="auto"/>
          <w:sz w:val="32"/>
          <w:szCs w:val="32"/>
          <w:highlight w:val="none"/>
        </w:rPr>
        <w:t>6.投诉书的投诉请求应与投诉事项相关。</w:t>
      </w:r>
    </w:p>
    <w:p w14:paraId="4BD4E634">
      <w:pPr>
        <w:widowControl/>
        <w:ind w:firstLine="640" w:firstLineChars="200"/>
        <w:jc w:val="left"/>
        <w:rPr>
          <w:rFonts w:ascii="宋体" w:hAnsi="宋体" w:cs="宋体"/>
          <w:color w:val="auto"/>
          <w:kern w:val="0"/>
          <w:sz w:val="32"/>
          <w:szCs w:val="32"/>
          <w:highlight w:val="none"/>
        </w:rPr>
      </w:pPr>
      <w:r>
        <w:rPr>
          <w:rFonts w:hint="eastAsia" w:ascii="宋体" w:hAnsi="宋体"/>
          <w:color w:val="auto"/>
          <w:sz w:val="32"/>
          <w:szCs w:val="32"/>
          <w:highlight w:val="none"/>
        </w:rPr>
        <w:t>7.投诉人为自然人的，投诉书应当由本人签字；投诉人为法人或者其他组织的，投诉书应当由法定代表人、主要负责人，或者其授权代表签字或者盖章，并加盖公章。</w:t>
      </w:r>
    </w:p>
    <w:p w14:paraId="664C5784">
      <w:pPr>
        <w:snapToGrid w:val="0"/>
        <w:spacing w:before="50" w:after="165" w:afterLines="50" w:line="360" w:lineRule="auto"/>
        <w:ind w:firstLine="480" w:firstLineChars="200"/>
        <w:jc w:val="left"/>
        <w:rPr>
          <w:rFonts w:ascii="宋体" w:hAnsi="宋体"/>
          <w:color w:val="auto"/>
          <w:sz w:val="24"/>
          <w:highlight w:val="none"/>
        </w:rPr>
      </w:pPr>
    </w:p>
    <w:p w14:paraId="314B9A5D">
      <w:pPr>
        <w:rPr>
          <w:rFonts w:ascii="宋体" w:hAnsi="宋体"/>
          <w:color w:val="auto"/>
          <w:highlight w:val="none"/>
        </w:rPr>
      </w:pPr>
    </w:p>
    <w:sectPr>
      <w:footerReference r:id="rId9" w:type="first"/>
      <w:headerReference r:id="rId6" w:type="default"/>
      <w:footerReference r:id="rId7" w:type="default"/>
      <w:footerReference r:id="rId8"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 w:name="Segoe UI Symbol">
    <w:panose1 w:val="020B0502040204020203"/>
    <w:charset w:val="00"/>
    <w:family w:val="swiss"/>
    <w:pitch w:val="default"/>
    <w:sig w:usb0="800001E3" w:usb1="1200FFEF" w:usb2="00040000" w:usb3="04000000" w:csb0="00000001" w:csb1="4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9C8C6">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2E0660E5">
                          <w:pPr>
                            <w:pStyle w:val="1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LHjoVDYCAABh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LHjoVDYCAABhBAAADgAAAAAAAAABACAAAAAhAQAAZHJzL2Uyb0RvYy54&#10;bWxQSwUGAAAAAAYABgBZAQAAyQUAAAAA&#10;">
              <v:fill on="f" focussize="0,0"/>
              <v:stroke on="f" weight="0.5pt"/>
              <v:imagedata o:title=""/>
              <o:lock v:ext="edit" aspectratio="f"/>
              <v:textbox inset="0mm,0mm,0mm,0mm" style="mso-fit-shape-to-text:t;">
                <w:txbxContent>
                  <w:p w14:paraId="2E0660E5">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EEF25">
    <w:pPr>
      <w:pStyle w:val="17"/>
      <w:jc w:val="center"/>
    </w:pPr>
    <w:r>
      <w:fldChar w:fldCharType="begin"/>
    </w:r>
    <w:r>
      <w:instrText xml:space="preserve">PAGE   \* MERGEFORMAT</w:instrText>
    </w:r>
    <w:r>
      <w:fldChar w:fldCharType="separate"/>
    </w:r>
    <w:r>
      <w:rPr>
        <w:lang w:val="zh-CN"/>
      </w:rPr>
      <w:t>2</w:t>
    </w:r>
    <w:r>
      <w:fldChar w:fldCharType="end"/>
    </w:r>
  </w:p>
  <w:p w14:paraId="535CBC9C">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7E90D">
    <w:pPr>
      <w:pStyle w:val="17"/>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640"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640" cy="131445"/>
                      </a:xfrm>
                      <a:prstGeom prst="rect">
                        <a:avLst/>
                      </a:prstGeom>
                      <a:noFill/>
                      <a:ln w="6350">
                        <a:noFill/>
                      </a:ln>
                      <a:effectLst/>
                    </wps:spPr>
                    <wps:txbx>
                      <w:txbxContent>
                        <w:p w14:paraId="7B2FDB83">
                          <w:pPr>
                            <w:pStyle w:val="17"/>
                            <w:jc w:val="center"/>
                          </w:pPr>
                          <w:r>
                            <w:fldChar w:fldCharType="begin"/>
                          </w:r>
                          <w:r>
                            <w:instrText xml:space="preserve"> PAGE   \* MERGEFORMAT </w:instrText>
                          </w:r>
                          <w:r>
                            <w:fldChar w:fldCharType="separate"/>
                          </w:r>
                          <w:r>
                            <w:rPr>
                              <w:lang w:val="zh-CN"/>
                            </w:rPr>
                            <w:t>98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3.2pt;mso-position-horizontal:center;mso-position-horizontal-relative:margin;mso-wrap-style:none;z-index:251660288;mso-width-relative:page;mso-height-relative:page;" filled="f" stroked="f" coordsize="21600,21600" o:gfxdata="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yG319EAAAADAQAADwAAAAAAAAABACAAAAAiAAAAZHJzL2Rvd25yZXYueG1sUEsB&#10;AhQAFAAAAAgAh07iQOHrhe01AgAAYQQAAA4AAAAAAAAAAQAgAAAAIAEAAGRycy9lMm9Eb2MueG1s&#10;UEsFBgAAAAAGAAYAWQEAAMcFAAAAAA==&#10;">
              <v:fill on="f" focussize="0,0"/>
              <v:stroke on="f" weight="0.5pt"/>
              <v:imagedata o:title=""/>
              <o:lock v:ext="edit" aspectratio="f"/>
              <v:textbox inset="0mm,0mm,0mm,0mm" style="mso-fit-shape-to-text:t;">
                <w:txbxContent>
                  <w:p w14:paraId="7B2FDB83">
                    <w:pPr>
                      <w:pStyle w:val="17"/>
                      <w:jc w:val="center"/>
                    </w:pPr>
                    <w:r>
                      <w:fldChar w:fldCharType="begin"/>
                    </w:r>
                    <w:r>
                      <w:instrText xml:space="preserve"> PAGE   \* MERGEFORMAT </w:instrText>
                    </w:r>
                    <w:r>
                      <w:fldChar w:fldCharType="separate"/>
                    </w:r>
                    <w:r>
                      <w:rPr>
                        <w:lang w:val="zh-CN"/>
                      </w:rPr>
                      <w:t>98</w:t>
                    </w:r>
                    <w:r>
                      <w:fldChar w:fldCharType="end"/>
                    </w:r>
                  </w:p>
                </w:txbxContent>
              </v:textbox>
            </v:shape>
          </w:pict>
        </mc:Fallback>
      </mc:AlternateContent>
    </w:r>
  </w:p>
  <w:p w14:paraId="70FAB85D">
    <w:pPr>
      <w:pStyle w:val="17"/>
      <w:ind w:firstLine="360"/>
    </w:pPr>
  </w:p>
  <w:p w14:paraId="59FBFE35"/>
  <w:p w14:paraId="0A0D7D8B"/>
  <w:p w14:paraId="562C464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D53C6">
    <w:pPr>
      <w:pStyle w:val="17"/>
      <w:framePr w:wrap="around" w:vAnchor="text" w:hAnchor="margin" w:xAlign="center" w:y="1"/>
      <w:ind w:firstLine="360"/>
      <w:rPr>
        <w:rStyle w:val="30"/>
      </w:rPr>
    </w:pPr>
    <w:r>
      <w:fldChar w:fldCharType="begin"/>
    </w:r>
    <w:r>
      <w:rPr>
        <w:rStyle w:val="30"/>
      </w:rPr>
      <w:instrText xml:space="preserve">PAGE  </w:instrText>
    </w:r>
    <w:r>
      <w:fldChar w:fldCharType="end"/>
    </w:r>
  </w:p>
  <w:p w14:paraId="329809B8">
    <w:pPr>
      <w:pStyle w:val="17"/>
      <w:ind w:firstLine="360"/>
    </w:pPr>
  </w:p>
  <w:p w14:paraId="45BDEAA7"/>
  <w:p w14:paraId="7446CFD7"/>
  <w:p w14:paraId="3F08F08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61F5E">
    <w:pPr>
      <w:pStyle w:val="17"/>
      <w:framePr w:wrap="around" w:vAnchor="text" w:hAnchor="margin" w:xAlign="right" w:y="1"/>
      <w:ind w:firstLine="360"/>
      <w:rPr>
        <w:rStyle w:val="30"/>
      </w:rPr>
    </w:pPr>
    <w:r>
      <w:fldChar w:fldCharType="begin"/>
    </w:r>
    <w:r>
      <w:rPr>
        <w:rStyle w:val="30"/>
      </w:rPr>
      <w:instrText xml:space="preserve">PAGE  </w:instrText>
    </w:r>
    <w:r>
      <w:fldChar w:fldCharType="separate"/>
    </w:r>
    <w:r>
      <w:rPr>
        <w:rStyle w:val="30"/>
      </w:rPr>
      <w:t>122</w:t>
    </w:r>
    <w:r>
      <w:fldChar w:fldCharType="end"/>
    </w:r>
  </w:p>
  <w:p w14:paraId="69F48FAD">
    <w:pPr>
      <w:pStyle w:val="17"/>
      <w:ind w:right="360" w:firstLine="360"/>
      <w:jc w:val="both"/>
    </w:pPr>
    <w:r>
      <w:rPr>
        <w:rFonts w:hint="eastAsia"/>
      </w:rPr>
      <w:t>121</w:t>
    </w:r>
  </w:p>
  <w:p w14:paraId="3BE2441E"/>
  <w:p w14:paraId="566D5693"/>
  <w:p w14:paraId="0C7D02E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076C">
    <w:pPr>
      <w:pStyle w:val="18"/>
    </w:pPr>
    <w:r>
      <w:rPr>
        <w:rFonts w:hint="eastAsia"/>
      </w:rPr>
      <w:t>南宁市政府采购公开招标采购文件（项目编号：</w:t>
    </w:r>
    <w:r>
      <w:rPr>
        <w:rFonts w:hint="eastAsia"/>
        <w:lang w:eastAsia="zh-CN"/>
      </w:rPr>
      <w:t>NNZC2024-G1-991788-JDZB</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11EB">
    <w:pPr>
      <w:pStyle w:val="18"/>
      <w:ind w:firstLine="360"/>
    </w:pPr>
    <w:r>
      <w:rPr>
        <w:rFonts w:hint="eastAsia"/>
      </w:rPr>
      <w:t>南宁市政府采购公开招标采购文件（项目编号：NNZC2023-G1-00000-JDZB）</w:t>
    </w:r>
  </w:p>
  <w:p w14:paraId="28260E9E"/>
  <w:p w14:paraId="5EB60556"/>
  <w:p w14:paraId="116B52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F1D6E"/>
    <w:multiLevelType w:val="multilevel"/>
    <w:tmpl w:val="B47F1D6E"/>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BF5BCE81"/>
    <w:multiLevelType w:val="multilevel"/>
    <w:tmpl w:val="BF5BCE81"/>
    <w:lvl w:ilvl="0" w:tentative="0">
      <w:start w:val="3"/>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D804E059"/>
    <w:multiLevelType w:val="singleLevel"/>
    <w:tmpl w:val="D804E059"/>
    <w:lvl w:ilvl="0" w:tentative="0">
      <w:start w:val="1"/>
      <w:numFmt w:val="decimal"/>
      <w:suff w:val="nothing"/>
      <w:lvlText w:val="（%1）"/>
      <w:lvlJc w:val="left"/>
      <w:pPr>
        <w:ind w:left="0" w:firstLine="0"/>
      </w:pPr>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3264169"/>
    <w:multiLevelType w:val="singleLevel"/>
    <w:tmpl w:val="03264169"/>
    <w:lvl w:ilvl="0" w:tentative="0">
      <w:start w:val="1"/>
      <w:numFmt w:val="decimal"/>
      <w:suff w:val="space"/>
      <w:lvlText w:val="%1."/>
      <w:lvlJc w:val="left"/>
    </w:lvl>
  </w:abstractNum>
  <w:abstractNum w:abstractNumId="5">
    <w:nsid w:val="06BE1E19"/>
    <w:multiLevelType w:val="singleLevel"/>
    <w:tmpl w:val="06BE1E19"/>
    <w:lvl w:ilvl="0" w:tentative="0">
      <w:start w:val="7"/>
      <w:numFmt w:val="chineseCounting"/>
      <w:suff w:val="nothing"/>
      <w:lvlText w:val="%1、"/>
      <w:lvlJc w:val="left"/>
      <w:rPr>
        <w:rFonts w:hint="eastAsia"/>
      </w:rPr>
    </w:lvl>
  </w:abstractNum>
  <w:abstractNum w:abstractNumId="6">
    <w:nsid w:val="08C05B09"/>
    <w:multiLevelType w:val="multilevel"/>
    <w:tmpl w:val="08C05B09"/>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B7645F7"/>
    <w:multiLevelType w:val="singleLevel"/>
    <w:tmpl w:val="2B7645F7"/>
    <w:lvl w:ilvl="0" w:tentative="0">
      <w:start w:val="1"/>
      <w:numFmt w:val="decimal"/>
      <w:suff w:val="nothing"/>
      <w:lvlText w:val="（%1）"/>
      <w:lvlJc w:val="left"/>
    </w:lvl>
  </w:abstractNum>
  <w:abstractNum w:abstractNumId="8">
    <w:nsid w:val="34444808"/>
    <w:multiLevelType w:val="multilevel"/>
    <w:tmpl w:val="34444808"/>
    <w:lvl w:ilvl="0" w:tentative="0">
      <w:start w:val="1"/>
      <w:numFmt w:val="decimal"/>
      <w:lvlText w:val="%1、"/>
      <w:lvlJc w:val="left"/>
      <w:pPr>
        <w:ind w:left="57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9">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6"/>
  </w:num>
  <w:num w:numId="3">
    <w:abstractNumId w:val="0"/>
  </w:num>
  <w:num w:numId="4">
    <w:abstractNumId w:val="4"/>
  </w:num>
  <w:num w:numId="5">
    <w:abstractNumId w:val="7"/>
  </w:num>
  <w:num w:numId="6">
    <w:abstractNumId w:val="2"/>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3NjlhMzJkMWNhYTgzMzUxNGM1YmI0YmEwMDYzMmUifQ=="/>
  </w:docVars>
  <w:rsids>
    <w:rsidRoot w:val="3E3E4A37"/>
    <w:rsid w:val="00005A97"/>
    <w:rsid w:val="000100AE"/>
    <w:rsid w:val="00015D3F"/>
    <w:rsid w:val="00020601"/>
    <w:rsid w:val="000213C9"/>
    <w:rsid w:val="00023079"/>
    <w:rsid w:val="00040D31"/>
    <w:rsid w:val="000432A3"/>
    <w:rsid w:val="00052231"/>
    <w:rsid w:val="00065714"/>
    <w:rsid w:val="00065E60"/>
    <w:rsid w:val="00094A22"/>
    <w:rsid w:val="00096324"/>
    <w:rsid w:val="000B028B"/>
    <w:rsid w:val="000D7B5C"/>
    <w:rsid w:val="000E201C"/>
    <w:rsid w:val="000F0D54"/>
    <w:rsid w:val="00101C02"/>
    <w:rsid w:val="00107826"/>
    <w:rsid w:val="001314C2"/>
    <w:rsid w:val="00137A45"/>
    <w:rsid w:val="00146B9C"/>
    <w:rsid w:val="00165180"/>
    <w:rsid w:val="00167B1A"/>
    <w:rsid w:val="0018141C"/>
    <w:rsid w:val="001A72F1"/>
    <w:rsid w:val="001B0F9C"/>
    <w:rsid w:val="001B287E"/>
    <w:rsid w:val="001D74B7"/>
    <w:rsid w:val="00205871"/>
    <w:rsid w:val="002061DD"/>
    <w:rsid w:val="0021422E"/>
    <w:rsid w:val="00215F5B"/>
    <w:rsid w:val="00216A9A"/>
    <w:rsid w:val="002279AA"/>
    <w:rsid w:val="00251512"/>
    <w:rsid w:val="00251F49"/>
    <w:rsid w:val="00260A92"/>
    <w:rsid w:val="00265251"/>
    <w:rsid w:val="00266DCF"/>
    <w:rsid w:val="002925B4"/>
    <w:rsid w:val="0029610F"/>
    <w:rsid w:val="002B206B"/>
    <w:rsid w:val="002C1CF0"/>
    <w:rsid w:val="002E70C3"/>
    <w:rsid w:val="002F46AD"/>
    <w:rsid w:val="00327BD8"/>
    <w:rsid w:val="003317D5"/>
    <w:rsid w:val="00331AB3"/>
    <w:rsid w:val="00341509"/>
    <w:rsid w:val="00341DCD"/>
    <w:rsid w:val="00353253"/>
    <w:rsid w:val="00355F3A"/>
    <w:rsid w:val="00356BF2"/>
    <w:rsid w:val="00362890"/>
    <w:rsid w:val="00392229"/>
    <w:rsid w:val="00392648"/>
    <w:rsid w:val="003975F1"/>
    <w:rsid w:val="003C2F36"/>
    <w:rsid w:val="003D698D"/>
    <w:rsid w:val="003D6BAC"/>
    <w:rsid w:val="003D7BFF"/>
    <w:rsid w:val="003D7C4D"/>
    <w:rsid w:val="003F0713"/>
    <w:rsid w:val="004035AC"/>
    <w:rsid w:val="004152D2"/>
    <w:rsid w:val="00417765"/>
    <w:rsid w:val="004177E6"/>
    <w:rsid w:val="00427FBF"/>
    <w:rsid w:val="0044448F"/>
    <w:rsid w:val="004762F9"/>
    <w:rsid w:val="004829DE"/>
    <w:rsid w:val="0048324D"/>
    <w:rsid w:val="004A0616"/>
    <w:rsid w:val="004A4195"/>
    <w:rsid w:val="004B2FB7"/>
    <w:rsid w:val="004C0BAC"/>
    <w:rsid w:val="004D2B17"/>
    <w:rsid w:val="004D560A"/>
    <w:rsid w:val="004E03E1"/>
    <w:rsid w:val="004E0EF3"/>
    <w:rsid w:val="004F0041"/>
    <w:rsid w:val="00507FF8"/>
    <w:rsid w:val="00520A82"/>
    <w:rsid w:val="00524A32"/>
    <w:rsid w:val="00524D2D"/>
    <w:rsid w:val="005349BA"/>
    <w:rsid w:val="00534E94"/>
    <w:rsid w:val="00540631"/>
    <w:rsid w:val="00542EE1"/>
    <w:rsid w:val="00550431"/>
    <w:rsid w:val="005B29C7"/>
    <w:rsid w:val="005C1006"/>
    <w:rsid w:val="005D20F9"/>
    <w:rsid w:val="00606A4D"/>
    <w:rsid w:val="00613493"/>
    <w:rsid w:val="00615130"/>
    <w:rsid w:val="00622987"/>
    <w:rsid w:val="00622FC9"/>
    <w:rsid w:val="0063483B"/>
    <w:rsid w:val="00637796"/>
    <w:rsid w:val="0063787D"/>
    <w:rsid w:val="00643041"/>
    <w:rsid w:val="00651059"/>
    <w:rsid w:val="00665703"/>
    <w:rsid w:val="00667B90"/>
    <w:rsid w:val="00672667"/>
    <w:rsid w:val="00674FDA"/>
    <w:rsid w:val="00677645"/>
    <w:rsid w:val="00685A3D"/>
    <w:rsid w:val="006927CC"/>
    <w:rsid w:val="006A2DE3"/>
    <w:rsid w:val="006A3C85"/>
    <w:rsid w:val="006B0C7B"/>
    <w:rsid w:val="006B1D8E"/>
    <w:rsid w:val="006C4459"/>
    <w:rsid w:val="006C7D13"/>
    <w:rsid w:val="006D2AAA"/>
    <w:rsid w:val="006D6B10"/>
    <w:rsid w:val="006F405E"/>
    <w:rsid w:val="006F4160"/>
    <w:rsid w:val="007221FA"/>
    <w:rsid w:val="00730937"/>
    <w:rsid w:val="0073160A"/>
    <w:rsid w:val="00735C6A"/>
    <w:rsid w:val="00764F25"/>
    <w:rsid w:val="00766E63"/>
    <w:rsid w:val="00767DB0"/>
    <w:rsid w:val="00775A14"/>
    <w:rsid w:val="00784EFC"/>
    <w:rsid w:val="00794BEB"/>
    <w:rsid w:val="007A068F"/>
    <w:rsid w:val="007B4F4D"/>
    <w:rsid w:val="007C1C7B"/>
    <w:rsid w:val="007C2FF5"/>
    <w:rsid w:val="007C510A"/>
    <w:rsid w:val="007D43E4"/>
    <w:rsid w:val="007D7398"/>
    <w:rsid w:val="007F1F6A"/>
    <w:rsid w:val="0081072B"/>
    <w:rsid w:val="0081599E"/>
    <w:rsid w:val="008308BD"/>
    <w:rsid w:val="008425EA"/>
    <w:rsid w:val="00853FBB"/>
    <w:rsid w:val="00856743"/>
    <w:rsid w:val="008579CB"/>
    <w:rsid w:val="00872869"/>
    <w:rsid w:val="00873C60"/>
    <w:rsid w:val="0087409F"/>
    <w:rsid w:val="00874E7D"/>
    <w:rsid w:val="008801FA"/>
    <w:rsid w:val="008813BD"/>
    <w:rsid w:val="008845E1"/>
    <w:rsid w:val="008A41A3"/>
    <w:rsid w:val="008B022E"/>
    <w:rsid w:val="008B1E60"/>
    <w:rsid w:val="008D466F"/>
    <w:rsid w:val="008D6715"/>
    <w:rsid w:val="008D698B"/>
    <w:rsid w:val="008D7D6F"/>
    <w:rsid w:val="008E0A23"/>
    <w:rsid w:val="008E2A97"/>
    <w:rsid w:val="008F549E"/>
    <w:rsid w:val="00903B9A"/>
    <w:rsid w:val="00910777"/>
    <w:rsid w:val="00916240"/>
    <w:rsid w:val="00922ED0"/>
    <w:rsid w:val="00923C81"/>
    <w:rsid w:val="009256F7"/>
    <w:rsid w:val="009323B6"/>
    <w:rsid w:val="00933CB2"/>
    <w:rsid w:val="00935852"/>
    <w:rsid w:val="009461EF"/>
    <w:rsid w:val="009464BF"/>
    <w:rsid w:val="00950FF2"/>
    <w:rsid w:val="009617D9"/>
    <w:rsid w:val="009976C3"/>
    <w:rsid w:val="009A29EA"/>
    <w:rsid w:val="009A5157"/>
    <w:rsid w:val="009C1EEF"/>
    <w:rsid w:val="009C20BD"/>
    <w:rsid w:val="009C2DC0"/>
    <w:rsid w:val="009C324B"/>
    <w:rsid w:val="009C6830"/>
    <w:rsid w:val="009D0146"/>
    <w:rsid w:val="009D590C"/>
    <w:rsid w:val="009E6158"/>
    <w:rsid w:val="009E7F11"/>
    <w:rsid w:val="009F4414"/>
    <w:rsid w:val="00A01415"/>
    <w:rsid w:val="00A217C6"/>
    <w:rsid w:val="00A30F6C"/>
    <w:rsid w:val="00A34096"/>
    <w:rsid w:val="00A47AFE"/>
    <w:rsid w:val="00A53158"/>
    <w:rsid w:val="00A539E9"/>
    <w:rsid w:val="00A624F8"/>
    <w:rsid w:val="00A73482"/>
    <w:rsid w:val="00A770B7"/>
    <w:rsid w:val="00A92BC7"/>
    <w:rsid w:val="00AA76E0"/>
    <w:rsid w:val="00AC1745"/>
    <w:rsid w:val="00AE08BA"/>
    <w:rsid w:val="00AE5733"/>
    <w:rsid w:val="00AE5F53"/>
    <w:rsid w:val="00B04504"/>
    <w:rsid w:val="00B052E6"/>
    <w:rsid w:val="00B17CDD"/>
    <w:rsid w:val="00B27525"/>
    <w:rsid w:val="00B43CFC"/>
    <w:rsid w:val="00B6157C"/>
    <w:rsid w:val="00B73080"/>
    <w:rsid w:val="00B75355"/>
    <w:rsid w:val="00BA2349"/>
    <w:rsid w:val="00BB5F41"/>
    <w:rsid w:val="00BB6225"/>
    <w:rsid w:val="00BC5EC8"/>
    <w:rsid w:val="00BD30A0"/>
    <w:rsid w:val="00BD3DB4"/>
    <w:rsid w:val="00BE32DB"/>
    <w:rsid w:val="00BF55CC"/>
    <w:rsid w:val="00C009C4"/>
    <w:rsid w:val="00C03D1F"/>
    <w:rsid w:val="00C24094"/>
    <w:rsid w:val="00C33429"/>
    <w:rsid w:val="00C51A03"/>
    <w:rsid w:val="00C562F7"/>
    <w:rsid w:val="00C608BA"/>
    <w:rsid w:val="00C6341D"/>
    <w:rsid w:val="00C73EEE"/>
    <w:rsid w:val="00C92EE4"/>
    <w:rsid w:val="00CA16A1"/>
    <w:rsid w:val="00CC2B49"/>
    <w:rsid w:val="00CD1DD6"/>
    <w:rsid w:val="00CD5D82"/>
    <w:rsid w:val="00D053B7"/>
    <w:rsid w:val="00D15218"/>
    <w:rsid w:val="00D16432"/>
    <w:rsid w:val="00D344A5"/>
    <w:rsid w:val="00D5484A"/>
    <w:rsid w:val="00D57905"/>
    <w:rsid w:val="00D60C9C"/>
    <w:rsid w:val="00D7619B"/>
    <w:rsid w:val="00D76BA0"/>
    <w:rsid w:val="00D7777F"/>
    <w:rsid w:val="00D85856"/>
    <w:rsid w:val="00D93B3D"/>
    <w:rsid w:val="00DC7367"/>
    <w:rsid w:val="00DE7DD8"/>
    <w:rsid w:val="00DF28C6"/>
    <w:rsid w:val="00DF469C"/>
    <w:rsid w:val="00E03FA3"/>
    <w:rsid w:val="00E10C4B"/>
    <w:rsid w:val="00E26353"/>
    <w:rsid w:val="00E50751"/>
    <w:rsid w:val="00E56B32"/>
    <w:rsid w:val="00E63FAF"/>
    <w:rsid w:val="00E67EB4"/>
    <w:rsid w:val="00E741B4"/>
    <w:rsid w:val="00E83E7C"/>
    <w:rsid w:val="00E91E4F"/>
    <w:rsid w:val="00EA08E9"/>
    <w:rsid w:val="00EA18DC"/>
    <w:rsid w:val="00ED202B"/>
    <w:rsid w:val="00EE6DEA"/>
    <w:rsid w:val="00F10D61"/>
    <w:rsid w:val="00F12A6E"/>
    <w:rsid w:val="00F15157"/>
    <w:rsid w:val="00F41277"/>
    <w:rsid w:val="00F43D7C"/>
    <w:rsid w:val="00F55A2F"/>
    <w:rsid w:val="00F56443"/>
    <w:rsid w:val="00F852C3"/>
    <w:rsid w:val="00F92769"/>
    <w:rsid w:val="00FA1903"/>
    <w:rsid w:val="00FB43EC"/>
    <w:rsid w:val="00FE4A3A"/>
    <w:rsid w:val="00FF2E8D"/>
    <w:rsid w:val="010D427B"/>
    <w:rsid w:val="01D628BE"/>
    <w:rsid w:val="01DF79C5"/>
    <w:rsid w:val="020E05D2"/>
    <w:rsid w:val="02201D8C"/>
    <w:rsid w:val="02E07E1A"/>
    <w:rsid w:val="03406283"/>
    <w:rsid w:val="04551ADD"/>
    <w:rsid w:val="04E946B7"/>
    <w:rsid w:val="04FF212C"/>
    <w:rsid w:val="053578FC"/>
    <w:rsid w:val="05896891"/>
    <w:rsid w:val="058C1C12"/>
    <w:rsid w:val="064E5119"/>
    <w:rsid w:val="07383D31"/>
    <w:rsid w:val="074C025C"/>
    <w:rsid w:val="080848BB"/>
    <w:rsid w:val="08510EF1"/>
    <w:rsid w:val="0883068C"/>
    <w:rsid w:val="0B975207"/>
    <w:rsid w:val="0C4F3999"/>
    <w:rsid w:val="0C7E602C"/>
    <w:rsid w:val="0CC55A09"/>
    <w:rsid w:val="0D8E5451"/>
    <w:rsid w:val="0E0A5DCA"/>
    <w:rsid w:val="10B93AD7"/>
    <w:rsid w:val="11166833"/>
    <w:rsid w:val="113F67F4"/>
    <w:rsid w:val="12A04F4F"/>
    <w:rsid w:val="12D21AAA"/>
    <w:rsid w:val="132A4818"/>
    <w:rsid w:val="13454979"/>
    <w:rsid w:val="137B1518"/>
    <w:rsid w:val="141364CB"/>
    <w:rsid w:val="156876EE"/>
    <w:rsid w:val="16A76CDF"/>
    <w:rsid w:val="182D4B48"/>
    <w:rsid w:val="185B5474"/>
    <w:rsid w:val="19492842"/>
    <w:rsid w:val="1A9D7FC6"/>
    <w:rsid w:val="1AF6472B"/>
    <w:rsid w:val="1B6E5548"/>
    <w:rsid w:val="1B8371BB"/>
    <w:rsid w:val="1CB810E7"/>
    <w:rsid w:val="1D6812E1"/>
    <w:rsid w:val="1D6C0D26"/>
    <w:rsid w:val="1D8B05A9"/>
    <w:rsid w:val="1DB47B00"/>
    <w:rsid w:val="1DC738FC"/>
    <w:rsid w:val="1DED6B6E"/>
    <w:rsid w:val="1EA5569B"/>
    <w:rsid w:val="1EB70EFB"/>
    <w:rsid w:val="1EE461C3"/>
    <w:rsid w:val="1F212F73"/>
    <w:rsid w:val="20DE6C42"/>
    <w:rsid w:val="211309EF"/>
    <w:rsid w:val="213B3A60"/>
    <w:rsid w:val="214B42D7"/>
    <w:rsid w:val="219A700D"/>
    <w:rsid w:val="21F2546D"/>
    <w:rsid w:val="22237002"/>
    <w:rsid w:val="22B4024D"/>
    <w:rsid w:val="23445DF9"/>
    <w:rsid w:val="24294F25"/>
    <w:rsid w:val="24A863B5"/>
    <w:rsid w:val="24CA7C09"/>
    <w:rsid w:val="256B13EC"/>
    <w:rsid w:val="2597542E"/>
    <w:rsid w:val="25F74A2E"/>
    <w:rsid w:val="264A35AB"/>
    <w:rsid w:val="265359DC"/>
    <w:rsid w:val="27E92A9C"/>
    <w:rsid w:val="28700AC7"/>
    <w:rsid w:val="287C121A"/>
    <w:rsid w:val="28FE2577"/>
    <w:rsid w:val="29CC6AF1"/>
    <w:rsid w:val="29DD5B8B"/>
    <w:rsid w:val="2A7F1496"/>
    <w:rsid w:val="2ACB0237"/>
    <w:rsid w:val="2B4F70BA"/>
    <w:rsid w:val="2B9D6077"/>
    <w:rsid w:val="2BA3410D"/>
    <w:rsid w:val="2DD85145"/>
    <w:rsid w:val="2DE0224B"/>
    <w:rsid w:val="2E243723"/>
    <w:rsid w:val="2E497DF1"/>
    <w:rsid w:val="2ECB21A5"/>
    <w:rsid w:val="2ECD0A22"/>
    <w:rsid w:val="2F260132"/>
    <w:rsid w:val="2F4A2072"/>
    <w:rsid w:val="2F652C56"/>
    <w:rsid w:val="30AC6769"/>
    <w:rsid w:val="32515E3E"/>
    <w:rsid w:val="32F742BF"/>
    <w:rsid w:val="336D4581"/>
    <w:rsid w:val="34496573"/>
    <w:rsid w:val="344A48C2"/>
    <w:rsid w:val="34BB5E0A"/>
    <w:rsid w:val="3566572C"/>
    <w:rsid w:val="35AF1126"/>
    <w:rsid w:val="35C228DA"/>
    <w:rsid w:val="35EB5C31"/>
    <w:rsid w:val="36733846"/>
    <w:rsid w:val="37F214F9"/>
    <w:rsid w:val="3898376B"/>
    <w:rsid w:val="38A370EB"/>
    <w:rsid w:val="396A50BF"/>
    <w:rsid w:val="39D92970"/>
    <w:rsid w:val="3A56240C"/>
    <w:rsid w:val="3ABC7B9C"/>
    <w:rsid w:val="3B1F523B"/>
    <w:rsid w:val="3B566169"/>
    <w:rsid w:val="3CE358B4"/>
    <w:rsid w:val="3CFB7418"/>
    <w:rsid w:val="3D0C6BB9"/>
    <w:rsid w:val="3D5F05C4"/>
    <w:rsid w:val="3DB71CA6"/>
    <w:rsid w:val="3E1239F3"/>
    <w:rsid w:val="3E241349"/>
    <w:rsid w:val="3E281786"/>
    <w:rsid w:val="3E3E4A37"/>
    <w:rsid w:val="3E8C5707"/>
    <w:rsid w:val="3EB219E2"/>
    <w:rsid w:val="3EB751DD"/>
    <w:rsid w:val="3EB76FF8"/>
    <w:rsid w:val="3EC10584"/>
    <w:rsid w:val="3ECD2B96"/>
    <w:rsid w:val="3F4E19BF"/>
    <w:rsid w:val="4001051B"/>
    <w:rsid w:val="406B780E"/>
    <w:rsid w:val="40833636"/>
    <w:rsid w:val="40B12DFF"/>
    <w:rsid w:val="41201B5E"/>
    <w:rsid w:val="414C1BF9"/>
    <w:rsid w:val="419156DB"/>
    <w:rsid w:val="42101F4C"/>
    <w:rsid w:val="42440BA3"/>
    <w:rsid w:val="42B943FA"/>
    <w:rsid w:val="42D66FE0"/>
    <w:rsid w:val="42F36125"/>
    <w:rsid w:val="43882D11"/>
    <w:rsid w:val="45436AB3"/>
    <w:rsid w:val="455510F6"/>
    <w:rsid w:val="45800144"/>
    <w:rsid w:val="45C4416D"/>
    <w:rsid w:val="46476EB4"/>
    <w:rsid w:val="46DD3374"/>
    <w:rsid w:val="47B9793D"/>
    <w:rsid w:val="4A1E0095"/>
    <w:rsid w:val="4A443E36"/>
    <w:rsid w:val="4AF3760A"/>
    <w:rsid w:val="4B1E7BF5"/>
    <w:rsid w:val="4B5A1C63"/>
    <w:rsid w:val="4B820085"/>
    <w:rsid w:val="4B8C3EA0"/>
    <w:rsid w:val="4C5E4F57"/>
    <w:rsid w:val="4C8B457E"/>
    <w:rsid w:val="4E1461FD"/>
    <w:rsid w:val="4E455B77"/>
    <w:rsid w:val="4E4616CA"/>
    <w:rsid w:val="4F245818"/>
    <w:rsid w:val="4FA620D8"/>
    <w:rsid w:val="501222E0"/>
    <w:rsid w:val="50D11D3D"/>
    <w:rsid w:val="50EE4AFC"/>
    <w:rsid w:val="513B3811"/>
    <w:rsid w:val="517B51D3"/>
    <w:rsid w:val="52326C6A"/>
    <w:rsid w:val="526861E8"/>
    <w:rsid w:val="534A1D91"/>
    <w:rsid w:val="538E6B22"/>
    <w:rsid w:val="53982AFD"/>
    <w:rsid w:val="53A96AB8"/>
    <w:rsid w:val="54713532"/>
    <w:rsid w:val="54793CE9"/>
    <w:rsid w:val="548D63DA"/>
    <w:rsid w:val="55162B19"/>
    <w:rsid w:val="551C74A2"/>
    <w:rsid w:val="561A4F26"/>
    <w:rsid w:val="565C2507"/>
    <w:rsid w:val="57AB1EAE"/>
    <w:rsid w:val="57C405F7"/>
    <w:rsid w:val="57C739B1"/>
    <w:rsid w:val="58D565A1"/>
    <w:rsid w:val="598F67A4"/>
    <w:rsid w:val="599E6BD5"/>
    <w:rsid w:val="59F91E1B"/>
    <w:rsid w:val="5ABD43B8"/>
    <w:rsid w:val="5AF0126B"/>
    <w:rsid w:val="5BA109BC"/>
    <w:rsid w:val="5BB406F0"/>
    <w:rsid w:val="5BEC60DC"/>
    <w:rsid w:val="5BF71248"/>
    <w:rsid w:val="5C447CC6"/>
    <w:rsid w:val="5D3B2D6F"/>
    <w:rsid w:val="5D46181B"/>
    <w:rsid w:val="5E8D014C"/>
    <w:rsid w:val="600A2FD4"/>
    <w:rsid w:val="602D0A71"/>
    <w:rsid w:val="605A06C3"/>
    <w:rsid w:val="60C576B1"/>
    <w:rsid w:val="60FB3677"/>
    <w:rsid w:val="611F2AAF"/>
    <w:rsid w:val="617567A9"/>
    <w:rsid w:val="619C4100"/>
    <w:rsid w:val="61E41603"/>
    <w:rsid w:val="6292105F"/>
    <w:rsid w:val="638C5AAE"/>
    <w:rsid w:val="63DD5051"/>
    <w:rsid w:val="64174918"/>
    <w:rsid w:val="644D16E1"/>
    <w:rsid w:val="64A532CB"/>
    <w:rsid w:val="64A73E54"/>
    <w:rsid w:val="64E35BA2"/>
    <w:rsid w:val="65424676"/>
    <w:rsid w:val="654A5C21"/>
    <w:rsid w:val="66543141"/>
    <w:rsid w:val="66873C89"/>
    <w:rsid w:val="67132EA6"/>
    <w:rsid w:val="673F7DF3"/>
    <w:rsid w:val="67A61834"/>
    <w:rsid w:val="67A67CB5"/>
    <w:rsid w:val="68CA45EA"/>
    <w:rsid w:val="68CB4921"/>
    <w:rsid w:val="6A487BF1"/>
    <w:rsid w:val="6A56696C"/>
    <w:rsid w:val="6AC063E9"/>
    <w:rsid w:val="6AFF0D48"/>
    <w:rsid w:val="6B1D331E"/>
    <w:rsid w:val="6BEC5C84"/>
    <w:rsid w:val="6C10645A"/>
    <w:rsid w:val="6C1456BA"/>
    <w:rsid w:val="6C9C1458"/>
    <w:rsid w:val="6CF21078"/>
    <w:rsid w:val="6D4855F6"/>
    <w:rsid w:val="6D4C4C2C"/>
    <w:rsid w:val="6D6E66D7"/>
    <w:rsid w:val="6E5B2C4D"/>
    <w:rsid w:val="6F215C44"/>
    <w:rsid w:val="6FEC2527"/>
    <w:rsid w:val="6FEF7AF1"/>
    <w:rsid w:val="704C6CF1"/>
    <w:rsid w:val="7075449A"/>
    <w:rsid w:val="714300F4"/>
    <w:rsid w:val="715B3540"/>
    <w:rsid w:val="718A7AD1"/>
    <w:rsid w:val="71F63E00"/>
    <w:rsid w:val="720D24B0"/>
    <w:rsid w:val="721E46BD"/>
    <w:rsid w:val="726C71D7"/>
    <w:rsid w:val="7400424D"/>
    <w:rsid w:val="746048BB"/>
    <w:rsid w:val="74AE3AD6"/>
    <w:rsid w:val="750E6C6B"/>
    <w:rsid w:val="75DE488F"/>
    <w:rsid w:val="76BA7259"/>
    <w:rsid w:val="77D15C07"/>
    <w:rsid w:val="786D5A56"/>
    <w:rsid w:val="79621F56"/>
    <w:rsid w:val="7A1502E8"/>
    <w:rsid w:val="7A456C8B"/>
    <w:rsid w:val="7A78773E"/>
    <w:rsid w:val="7BDE7397"/>
    <w:rsid w:val="7CEE5998"/>
    <w:rsid w:val="7D6438CC"/>
    <w:rsid w:val="7E165915"/>
    <w:rsid w:val="7E2E5C88"/>
    <w:rsid w:val="7E9538C3"/>
    <w:rsid w:val="7F962BA4"/>
    <w:rsid w:val="7FAE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6" w:lineRule="auto"/>
      <w:outlineLvl w:val="0"/>
    </w:pPr>
    <w:rPr>
      <w:rFonts w:ascii="Calibri" w:hAnsi="Calibri"/>
      <w:b/>
      <w:kern w:val="44"/>
      <w:sz w:val="44"/>
      <w:szCs w:val="20"/>
    </w:rPr>
  </w:style>
  <w:style w:type="paragraph" w:styleId="3">
    <w:name w:val="heading 2"/>
    <w:basedOn w:val="1"/>
    <w:next w:val="1"/>
    <w:link w:val="60"/>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600" w:lineRule="exact"/>
      <w:ind w:firstLine="643" w:firstLineChars="200"/>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Normal Indent"/>
    <w:basedOn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annotation text"/>
    <w:basedOn w:val="1"/>
    <w:link w:val="39"/>
    <w:qFormat/>
    <w:uiPriority w:val="0"/>
    <w:pPr>
      <w:jc w:val="left"/>
    </w:pPr>
  </w:style>
  <w:style w:type="paragraph" w:styleId="11">
    <w:name w:val="Body Text 3"/>
    <w:basedOn w:val="1"/>
    <w:link w:val="49"/>
    <w:qFormat/>
    <w:uiPriority w:val="0"/>
    <w:pPr>
      <w:spacing w:after="120"/>
    </w:pPr>
    <w:rPr>
      <w:sz w:val="16"/>
      <w:szCs w:val="16"/>
    </w:rPr>
  </w:style>
  <w:style w:type="paragraph" w:styleId="12">
    <w:name w:val="Body Text"/>
    <w:basedOn w:val="1"/>
    <w:link w:val="57"/>
    <w:qFormat/>
    <w:uiPriority w:val="0"/>
    <w:pPr>
      <w:spacing w:after="120"/>
    </w:pPr>
  </w:style>
  <w:style w:type="paragraph" w:styleId="13">
    <w:name w:val="Body Text Indent"/>
    <w:basedOn w:val="1"/>
    <w:link w:val="58"/>
    <w:qFormat/>
    <w:uiPriority w:val="0"/>
    <w:pPr>
      <w:spacing w:line="200" w:lineRule="exact"/>
      <w:ind w:firstLine="301"/>
    </w:pPr>
    <w:rPr>
      <w:rFonts w:ascii="宋体" w:hAnsi="Courier New"/>
      <w:spacing w:val="-4"/>
      <w:sz w:val="18"/>
      <w:szCs w:val="20"/>
    </w:rPr>
  </w:style>
  <w:style w:type="paragraph" w:styleId="14">
    <w:name w:val="toc 3"/>
    <w:basedOn w:val="1"/>
    <w:next w:val="1"/>
    <w:qFormat/>
    <w:uiPriority w:val="39"/>
    <w:pPr>
      <w:jc w:val="left"/>
    </w:pPr>
    <w:rPr>
      <w:rFonts w:ascii="Calibri" w:hAnsi="Calibri"/>
      <w:smallCaps/>
      <w:sz w:val="22"/>
      <w:szCs w:val="22"/>
    </w:rPr>
  </w:style>
  <w:style w:type="paragraph" w:styleId="15">
    <w:name w:val="Plain Text"/>
    <w:basedOn w:val="1"/>
    <w:next w:val="5"/>
    <w:link w:val="43"/>
    <w:qFormat/>
    <w:uiPriority w:val="0"/>
    <w:rPr>
      <w:rFonts w:ascii="宋体" w:hAnsi="Courier New"/>
      <w:szCs w:val="20"/>
    </w:rPr>
  </w:style>
  <w:style w:type="paragraph" w:styleId="16">
    <w:name w:val="Body Text Indent 2"/>
    <w:basedOn w:val="1"/>
    <w:link w:val="51"/>
    <w:qFormat/>
    <w:uiPriority w:val="0"/>
    <w:pPr>
      <w:spacing w:after="120" w:line="480" w:lineRule="auto"/>
      <w:ind w:left="420" w:leftChars="200"/>
    </w:pPr>
    <w:rPr>
      <w:rFonts w:asciiTheme="minorHAnsi" w:hAnsiTheme="minorHAnsi" w:eastAsiaTheme="minorEastAsia" w:cstheme="minorBidi"/>
      <w:szCs w:val="22"/>
    </w:rPr>
  </w:style>
  <w:style w:type="paragraph" w:styleId="17">
    <w:name w:val="footer"/>
    <w:basedOn w:val="1"/>
    <w:link w:val="47"/>
    <w:qFormat/>
    <w:uiPriority w:val="99"/>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360" w:after="360"/>
      <w:jc w:val="left"/>
    </w:pPr>
    <w:rPr>
      <w:rFonts w:ascii="Calibri" w:hAnsi="Calibri"/>
      <w:b/>
      <w:bCs/>
      <w:caps/>
      <w:sz w:val="22"/>
      <w:szCs w:val="22"/>
      <w:u w:val="single"/>
    </w:rPr>
  </w:style>
  <w:style w:type="paragraph" w:styleId="20">
    <w:name w:val="List"/>
    <w:basedOn w:val="1"/>
    <w:qFormat/>
    <w:uiPriority w:val="0"/>
    <w:pPr>
      <w:ind w:left="200" w:hanging="200" w:hangingChars="200"/>
    </w:pPr>
    <w:rPr>
      <w:sz w:val="28"/>
    </w:rPr>
  </w:style>
  <w:style w:type="paragraph" w:styleId="21">
    <w:name w:val="toc 2"/>
    <w:basedOn w:val="1"/>
    <w:next w:val="1"/>
    <w:qFormat/>
    <w:uiPriority w:val="39"/>
    <w:pPr>
      <w:jc w:val="left"/>
    </w:pPr>
    <w:rPr>
      <w:rFonts w:ascii="Calibri" w:hAnsi="Calibri"/>
      <w:b/>
      <w:bCs/>
      <w:smallCaps/>
      <w:sz w:val="22"/>
      <w:szCs w:val="22"/>
    </w:rPr>
  </w:style>
  <w:style w:type="paragraph" w:styleId="22">
    <w:name w:val="Normal (Web)"/>
    <w:basedOn w:val="1"/>
    <w:qFormat/>
    <w:uiPriority w:val="0"/>
    <w:rPr>
      <w:sz w:val="24"/>
    </w:rPr>
  </w:style>
  <w:style w:type="paragraph" w:styleId="23">
    <w:name w:val="Title"/>
    <w:basedOn w:val="1"/>
    <w:next w:val="1"/>
    <w:link w:val="54"/>
    <w:qFormat/>
    <w:uiPriority w:val="0"/>
    <w:pPr>
      <w:spacing w:before="240" w:after="60"/>
      <w:jc w:val="center"/>
      <w:outlineLvl w:val="0"/>
    </w:pPr>
    <w:rPr>
      <w:rFonts w:ascii="Cambria" w:hAnsi="Cambria"/>
      <w:b/>
      <w:bCs/>
      <w:sz w:val="32"/>
      <w:szCs w:val="32"/>
    </w:rPr>
  </w:style>
  <w:style w:type="paragraph" w:styleId="24">
    <w:name w:val="annotation subject"/>
    <w:basedOn w:val="10"/>
    <w:next w:val="10"/>
    <w:link w:val="40"/>
    <w:qFormat/>
    <w:uiPriority w:val="0"/>
    <w:rPr>
      <w:b/>
      <w:bCs/>
    </w:rPr>
  </w:style>
  <w:style w:type="paragraph" w:styleId="25">
    <w:name w:val="Body Text First Indent 2"/>
    <w:basedOn w:val="1"/>
    <w:unhideWhenUsed/>
    <w:qFormat/>
    <w:uiPriority w:val="99"/>
    <w:pPr>
      <w:ind w:firstLine="420"/>
    </w:p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Hyperlink"/>
    <w:qFormat/>
    <w:uiPriority w:val="99"/>
    <w:rPr>
      <w:color w:val="0000FF"/>
      <w:u w:val="single"/>
    </w:rPr>
  </w:style>
  <w:style w:type="character" w:styleId="32">
    <w:name w:val="annotation reference"/>
    <w:unhideWhenUsed/>
    <w:qFormat/>
    <w:uiPriority w:val="0"/>
    <w:rPr>
      <w:sz w:val="21"/>
      <w:szCs w:val="21"/>
    </w:rPr>
  </w:style>
  <w:style w:type="paragraph" w:customStyle="1" w:styleId="33">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3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5">
    <w:name w:val="正文2"/>
    <w:basedOn w:val="1"/>
    <w:qFormat/>
    <w:uiPriority w:val="0"/>
    <w:pPr>
      <w:adjustRightInd w:val="0"/>
      <w:spacing w:before="156" w:line="360" w:lineRule="auto"/>
      <w:ind w:firstLine="510" w:firstLineChars="200"/>
    </w:pPr>
    <w:rPr>
      <w:sz w:val="24"/>
      <w:szCs w:val="20"/>
    </w:rPr>
  </w:style>
  <w:style w:type="paragraph" w:customStyle="1" w:styleId="36">
    <w:name w:val="正文缩进1"/>
    <w:basedOn w:val="1"/>
    <w:next w:val="13"/>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7">
    <w:name w:val="样式5"/>
    <w:basedOn w:val="1"/>
    <w:qFormat/>
    <w:uiPriority w:val="0"/>
    <w:pPr>
      <w:adjustRightInd w:val="0"/>
      <w:spacing w:line="440" w:lineRule="exact"/>
      <w:ind w:left="2" w:firstLine="480" w:firstLineChars="200"/>
    </w:pPr>
    <w:rPr>
      <w:rFonts w:ascii="仿宋_GB2312" w:hAnsi="仿宋" w:eastAsia="仿宋_GB2312"/>
      <w:sz w:val="24"/>
    </w:rPr>
  </w:style>
  <w:style w:type="table" w:customStyle="1" w:styleId="38">
    <w:name w:val="Table Normal"/>
    <w:unhideWhenUsed/>
    <w:qFormat/>
    <w:uiPriority w:val="0"/>
    <w:tblPr>
      <w:tblCellMar>
        <w:top w:w="0" w:type="dxa"/>
        <w:left w:w="0" w:type="dxa"/>
        <w:bottom w:w="0" w:type="dxa"/>
        <w:right w:w="0" w:type="dxa"/>
      </w:tblCellMar>
    </w:tblPr>
  </w:style>
  <w:style w:type="character" w:customStyle="1" w:styleId="39">
    <w:name w:val="批注文字 字符"/>
    <w:link w:val="10"/>
    <w:qFormat/>
    <w:uiPriority w:val="0"/>
    <w:rPr>
      <w:kern w:val="2"/>
      <w:sz w:val="21"/>
      <w:szCs w:val="24"/>
    </w:rPr>
  </w:style>
  <w:style w:type="character" w:customStyle="1" w:styleId="40">
    <w:name w:val="批注主题 字符"/>
    <w:link w:val="24"/>
    <w:qFormat/>
    <w:uiPriority w:val="0"/>
    <w:rPr>
      <w:b/>
      <w:bCs/>
      <w:kern w:val="2"/>
      <w:sz w:val="21"/>
      <w:szCs w:val="24"/>
    </w:rPr>
  </w:style>
  <w:style w:type="paragraph" w:styleId="41">
    <w:name w:val="List Paragraph"/>
    <w:basedOn w:val="1"/>
    <w:qFormat/>
    <w:uiPriority w:val="99"/>
    <w:pPr>
      <w:ind w:firstLine="420" w:firstLineChars="200"/>
    </w:pPr>
  </w:style>
  <w:style w:type="character" w:customStyle="1" w:styleId="42">
    <w:name w:val="未处理的提及1"/>
    <w:semiHidden/>
    <w:unhideWhenUsed/>
    <w:qFormat/>
    <w:uiPriority w:val="99"/>
    <w:rPr>
      <w:color w:val="605E5C"/>
      <w:shd w:val="clear" w:color="auto" w:fill="E1DFDD"/>
    </w:rPr>
  </w:style>
  <w:style w:type="character" w:customStyle="1" w:styleId="43">
    <w:name w:val="纯文本 字符"/>
    <w:link w:val="15"/>
    <w:qFormat/>
    <w:uiPriority w:val="0"/>
    <w:rPr>
      <w:rFonts w:ascii="宋体" w:hAnsi="Courier New"/>
      <w:kern w:val="2"/>
      <w:sz w:val="21"/>
    </w:rPr>
  </w:style>
  <w:style w:type="paragraph" w:customStyle="1" w:styleId="4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5">
    <w:name w:val="font21"/>
    <w:qFormat/>
    <w:uiPriority w:val="99"/>
    <w:rPr>
      <w:rFonts w:ascii="??" w:hAnsi="??" w:cs="??"/>
      <w:color w:val="000000"/>
      <w:sz w:val="24"/>
      <w:szCs w:val="24"/>
      <w:u w:val="none"/>
    </w:rPr>
  </w:style>
  <w:style w:type="paragraph" w:customStyle="1" w:styleId="46">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47">
    <w:name w:val="页脚 字符"/>
    <w:link w:val="17"/>
    <w:qFormat/>
    <w:uiPriority w:val="99"/>
    <w:rPr>
      <w:kern w:val="2"/>
      <w:sz w:val="18"/>
      <w:szCs w:val="18"/>
    </w:rPr>
  </w:style>
  <w:style w:type="character" w:customStyle="1" w:styleId="48">
    <w:name w:val="未处理的提及2"/>
    <w:basedOn w:val="28"/>
    <w:semiHidden/>
    <w:unhideWhenUsed/>
    <w:qFormat/>
    <w:uiPriority w:val="99"/>
    <w:rPr>
      <w:color w:val="605E5C"/>
      <w:shd w:val="clear" w:color="auto" w:fill="E1DFDD"/>
    </w:rPr>
  </w:style>
  <w:style w:type="character" w:customStyle="1" w:styleId="49">
    <w:name w:val="正文文本 3 字符"/>
    <w:basedOn w:val="28"/>
    <w:link w:val="11"/>
    <w:qFormat/>
    <w:uiPriority w:val="0"/>
    <w:rPr>
      <w:kern w:val="2"/>
      <w:sz w:val="16"/>
      <w:szCs w:val="16"/>
    </w:rPr>
  </w:style>
  <w:style w:type="paragraph" w:customStyle="1" w:styleId="50">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51">
    <w:name w:val="正文文本缩进 2 字符"/>
    <w:basedOn w:val="28"/>
    <w:link w:val="16"/>
    <w:qFormat/>
    <w:uiPriority w:val="0"/>
    <w:rPr>
      <w:rFonts w:asciiTheme="minorHAnsi" w:hAnsiTheme="minorHAnsi" w:eastAsiaTheme="minorEastAsia" w:cstheme="minorBidi"/>
      <w:kern w:val="2"/>
      <w:sz w:val="21"/>
      <w:szCs w:val="22"/>
    </w:rPr>
  </w:style>
  <w:style w:type="character" w:customStyle="1" w:styleId="52">
    <w:name w:val="批注文字 字符2"/>
    <w:qFormat/>
    <w:uiPriority w:val="0"/>
    <w:rPr>
      <w:kern w:val="2"/>
      <w:sz w:val="21"/>
      <w:szCs w:val="24"/>
    </w:rPr>
  </w:style>
  <w:style w:type="character" w:customStyle="1" w:styleId="53">
    <w:name w:val="纯文本 字符3"/>
    <w:qFormat/>
    <w:uiPriority w:val="0"/>
    <w:rPr>
      <w:rFonts w:ascii="宋体" w:hAnsi="Courier New" w:eastAsia="宋体"/>
      <w:kern w:val="2"/>
      <w:sz w:val="21"/>
      <w:lang w:val="en-US" w:eastAsia="zh-CN" w:bidi="ar-SA"/>
    </w:rPr>
  </w:style>
  <w:style w:type="character" w:customStyle="1" w:styleId="54">
    <w:name w:val="标题 字符"/>
    <w:basedOn w:val="28"/>
    <w:link w:val="23"/>
    <w:qFormat/>
    <w:uiPriority w:val="0"/>
    <w:rPr>
      <w:rFonts w:ascii="Calibri Light" w:hAnsi="Calibri Light" w:eastAsia="宋体" w:cs="Times New Roman"/>
      <w:b/>
      <w:bCs/>
      <w:kern w:val="2"/>
      <w:sz w:val="32"/>
      <w:szCs w:val="32"/>
    </w:rPr>
  </w:style>
  <w:style w:type="paragraph" w:customStyle="1" w:styleId="55">
    <w:name w:val="列表段落1"/>
    <w:basedOn w:val="1"/>
    <w:qFormat/>
    <w:uiPriority w:val="0"/>
    <w:pPr>
      <w:ind w:firstLine="420" w:firstLineChars="200"/>
    </w:pPr>
    <w:rPr>
      <w:rFonts w:ascii="Calibri" w:hAnsi="Calibri"/>
      <w:szCs w:val="22"/>
    </w:rPr>
  </w:style>
  <w:style w:type="character" w:customStyle="1" w:styleId="56">
    <w:name w:val="标题 1 字符"/>
    <w:basedOn w:val="28"/>
    <w:link w:val="2"/>
    <w:qFormat/>
    <w:uiPriority w:val="0"/>
    <w:rPr>
      <w:rFonts w:hint="default" w:ascii="Calibri" w:hAnsi="Calibri" w:eastAsia="宋体" w:cs="Times New Roman"/>
      <w:b/>
      <w:kern w:val="44"/>
      <w:sz w:val="44"/>
    </w:rPr>
  </w:style>
  <w:style w:type="character" w:customStyle="1" w:styleId="57">
    <w:name w:val="正文文本 字符"/>
    <w:basedOn w:val="28"/>
    <w:link w:val="12"/>
    <w:qFormat/>
    <w:uiPriority w:val="0"/>
    <w:rPr>
      <w:rFonts w:hint="default" w:ascii="Calibri" w:hAnsi="Calibri" w:eastAsia="宋体" w:cs="Times New Roman"/>
      <w:kern w:val="2"/>
      <w:sz w:val="32"/>
    </w:rPr>
  </w:style>
  <w:style w:type="character" w:customStyle="1" w:styleId="58">
    <w:name w:val="正文文本缩进 字符"/>
    <w:basedOn w:val="28"/>
    <w:link w:val="13"/>
    <w:qFormat/>
    <w:uiPriority w:val="0"/>
    <w:rPr>
      <w:rFonts w:hint="default" w:ascii="Calibri" w:hAnsi="Calibri" w:eastAsia="宋体" w:cs="Times New Roman"/>
      <w:kern w:val="2"/>
      <w:sz w:val="21"/>
      <w:szCs w:val="22"/>
    </w:rPr>
  </w:style>
  <w:style w:type="character" w:customStyle="1" w:styleId="59">
    <w:name w:val="正文文本首行缩进 2 字符"/>
    <w:basedOn w:val="58"/>
    <w:qFormat/>
    <w:uiPriority w:val="0"/>
    <w:rPr>
      <w:rFonts w:hint="eastAsia" w:ascii="宋体" w:hAnsi="Courier New" w:eastAsia="宋体" w:cs="Times New Roman"/>
      <w:spacing w:val="-4"/>
      <w:kern w:val="2"/>
      <w:sz w:val="18"/>
      <w:szCs w:val="22"/>
    </w:rPr>
  </w:style>
  <w:style w:type="character" w:customStyle="1" w:styleId="60">
    <w:name w:val="标题 2 字符"/>
    <w:basedOn w:val="28"/>
    <w:link w:val="3"/>
    <w:qFormat/>
    <w:uiPriority w:val="0"/>
    <w:rPr>
      <w:rFonts w:hint="default" w:ascii="Arial" w:hAnsi="Arial" w:eastAsia="黑体" w:cs="Times New Roman"/>
      <w:b/>
      <w:kern w:val="2"/>
      <w:sz w:val="32"/>
      <w:szCs w:val="22"/>
    </w:rPr>
  </w:style>
  <w:style w:type="paragraph" w:customStyle="1" w:styleId="61">
    <w:name w:val="msolist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155</Pages>
  <Words>5640</Words>
  <Characters>6635</Characters>
  <Lines>761</Lines>
  <Paragraphs>214</Paragraphs>
  <TotalTime>60</TotalTime>
  <ScaleCrop>false</ScaleCrop>
  <LinksUpToDate>false</LinksUpToDate>
  <CharactersWithSpaces>6764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2024-11-12T08:14:00Z</dcterms:created>
  <dc:creator>小路</dc:creator>
  <cp:lastModifiedBy>心亦77</cp:lastModifiedBy>
  <cp:lastPrinted>2022-11-08T10:23:00Z</cp:lastPrinted>
  <dcterms:modified xsi:type="dcterms:W3CDTF">2024-12-10T10:27:23Z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17E3534EA8D447559F401C89B4E6A11F_13</vt:lpwstr>
  </property>
</Properties>
</file>