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BAFE4B">
      <w:pPr>
        <w:pStyle w:val="3"/>
        <w:kinsoku w:val="0"/>
        <w:overflowPunct w:val="0"/>
        <w:rPr>
          <w:color w:val="auto"/>
          <w:highlight w:val="none"/>
        </w:rPr>
      </w:pPr>
      <w:bookmarkStart w:id="0" w:name="_Toc217446030"/>
      <w:bookmarkStart w:id="1" w:name="_Toc183682338"/>
    </w:p>
    <w:p w14:paraId="51A5B52C">
      <w:pPr>
        <w:tabs>
          <w:tab w:val="left" w:pos="1710"/>
        </w:tabs>
        <w:rPr>
          <w:color w:val="auto"/>
          <w:highlight w:val="none"/>
        </w:rPr>
      </w:pPr>
    </w:p>
    <w:p w14:paraId="79CAE788">
      <w:pPr>
        <w:tabs>
          <w:tab w:val="left" w:pos="1710"/>
        </w:tabs>
        <w:rPr>
          <w:color w:val="auto"/>
          <w:highlight w:val="none"/>
        </w:rPr>
      </w:pPr>
    </w:p>
    <w:p w14:paraId="3B945C59">
      <w:pPr>
        <w:tabs>
          <w:tab w:val="left" w:pos="1710"/>
        </w:tabs>
        <w:rPr>
          <w:color w:val="auto"/>
          <w:highlight w:val="none"/>
        </w:rPr>
      </w:pPr>
    </w:p>
    <w:p w14:paraId="5E6C0797">
      <w:pPr>
        <w:tabs>
          <w:tab w:val="left" w:pos="1710"/>
        </w:tabs>
        <w:rPr>
          <w:color w:val="auto"/>
          <w:highlight w:val="none"/>
        </w:rPr>
      </w:pPr>
    </w:p>
    <w:p w14:paraId="3C2E7D41">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5281"/>
      </w:tblGrid>
      <w:tr w14:paraId="0365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740" w:type="dxa"/>
            <w:gridSpan w:val="2"/>
            <w:tcBorders>
              <w:top w:val="nil"/>
              <w:left w:val="nil"/>
              <w:right w:val="nil"/>
            </w:tcBorders>
          </w:tcPr>
          <w:p w14:paraId="35BB6510">
            <w:pPr>
              <w:keepNext w:val="0"/>
              <w:keepLines w:val="0"/>
              <w:suppressLineNumbers w:val="0"/>
              <w:snapToGrid w:val="0"/>
              <w:spacing w:before="0" w:beforeAutospacing="0" w:after="0" w:afterAutospacing="0" w:line="240" w:lineRule="atLeast"/>
              <w:ind w:left="0" w:right="0"/>
              <w:jc w:val="center"/>
              <w:rPr>
                <w:rFonts w:hint="default"/>
                <w:b/>
                <w:color w:val="auto"/>
                <w:sz w:val="60"/>
                <w:szCs w:val="60"/>
                <w:highlight w:val="none"/>
              </w:rPr>
            </w:pPr>
            <w:r>
              <w:rPr>
                <w:rFonts w:hint="eastAsia"/>
                <w:b/>
                <w:color w:val="auto"/>
                <w:sz w:val="60"/>
                <w:szCs w:val="60"/>
                <w:highlight w:val="none"/>
              </w:rPr>
              <w:t>招标</w:t>
            </w:r>
            <w:r>
              <w:rPr>
                <w:rFonts w:hint="default"/>
                <w:b/>
                <w:color w:val="auto"/>
                <w:sz w:val="60"/>
                <w:szCs w:val="60"/>
                <w:highlight w:val="none"/>
              </w:rPr>
              <w:t>文件</w:t>
            </w:r>
          </w:p>
        </w:tc>
      </w:tr>
      <w:tr w14:paraId="6566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2459" w:type="dxa"/>
            <w:vAlign w:val="center"/>
          </w:tcPr>
          <w:p w14:paraId="2A602966">
            <w:pPr>
              <w:keepNext w:val="0"/>
              <w:keepLines w:val="0"/>
              <w:suppressLineNumbers w:val="0"/>
              <w:spacing w:before="0" w:beforeAutospacing="0" w:after="0" w:afterAutospacing="0"/>
              <w:ind w:left="0" w:right="0"/>
              <w:rPr>
                <w:rFonts w:hint="default"/>
                <w:b/>
                <w:color w:val="auto"/>
                <w:sz w:val="32"/>
                <w:szCs w:val="32"/>
                <w:highlight w:val="none"/>
              </w:rPr>
            </w:pPr>
            <w:r>
              <w:rPr>
                <w:rFonts w:hint="default"/>
                <w:b/>
                <w:color w:val="auto"/>
                <w:sz w:val="32"/>
                <w:szCs w:val="32"/>
                <w:highlight w:val="none"/>
              </w:rPr>
              <w:t>项目名称：</w:t>
            </w:r>
          </w:p>
        </w:tc>
        <w:tc>
          <w:tcPr>
            <w:tcW w:w="5281" w:type="dxa"/>
            <w:vAlign w:val="center"/>
          </w:tcPr>
          <w:p w14:paraId="7268C4B0">
            <w:pPr>
              <w:keepNext w:val="0"/>
              <w:keepLines w:val="0"/>
              <w:suppressLineNumbers w:val="0"/>
              <w:spacing w:before="0" w:beforeAutospacing="0" w:after="0" w:afterAutospacing="0"/>
              <w:ind w:left="0" w:right="0"/>
              <w:rPr>
                <w:rFonts w:hint="default"/>
                <w:b/>
                <w:color w:val="auto"/>
                <w:sz w:val="32"/>
                <w:szCs w:val="32"/>
                <w:highlight w:val="none"/>
              </w:rPr>
            </w:pPr>
            <w:r>
              <w:rPr>
                <w:rFonts w:hint="eastAsia"/>
                <w:b/>
                <w:color w:val="auto"/>
                <w:sz w:val="32"/>
                <w:szCs w:val="32"/>
                <w:highlight w:val="none"/>
              </w:rPr>
              <w:t>中国—东盟职业师范教育数智化产教融合实验实训基地项目软件采购</w:t>
            </w:r>
          </w:p>
        </w:tc>
      </w:tr>
      <w:tr w14:paraId="4C66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2459" w:type="dxa"/>
            <w:vAlign w:val="center"/>
          </w:tcPr>
          <w:p w14:paraId="3A370B55">
            <w:pPr>
              <w:keepNext w:val="0"/>
              <w:keepLines w:val="0"/>
              <w:suppressLineNumbers w:val="0"/>
              <w:spacing w:before="0" w:beforeAutospacing="0" w:after="0" w:afterAutospacing="0"/>
              <w:ind w:left="0" w:right="0"/>
              <w:rPr>
                <w:rFonts w:hint="default"/>
                <w:b/>
                <w:color w:val="auto"/>
                <w:sz w:val="32"/>
                <w:szCs w:val="32"/>
                <w:highlight w:val="none"/>
              </w:rPr>
            </w:pPr>
            <w:r>
              <w:rPr>
                <w:rFonts w:hint="default"/>
                <w:b/>
                <w:color w:val="auto"/>
                <w:sz w:val="32"/>
                <w:szCs w:val="32"/>
                <w:highlight w:val="none"/>
              </w:rPr>
              <w:t>项目编号：</w:t>
            </w:r>
          </w:p>
        </w:tc>
        <w:tc>
          <w:tcPr>
            <w:tcW w:w="5281" w:type="dxa"/>
            <w:vAlign w:val="center"/>
          </w:tcPr>
          <w:p w14:paraId="4AD21079">
            <w:pPr>
              <w:keepNext w:val="0"/>
              <w:keepLines w:val="0"/>
              <w:suppressLineNumbers w:val="0"/>
              <w:spacing w:before="0" w:beforeAutospacing="0" w:after="0" w:afterAutospacing="0"/>
              <w:ind w:left="0" w:right="0"/>
              <w:rPr>
                <w:rFonts w:hint="default"/>
                <w:b/>
                <w:color w:val="auto"/>
                <w:sz w:val="32"/>
                <w:szCs w:val="32"/>
                <w:highlight w:val="none"/>
              </w:rPr>
            </w:pPr>
            <w:r>
              <w:rPr>
                <w:rFonts w:hint="eastAsia"/>
                <w:b/>
                <w:color w:val="auto"/>
                <w:sz w:val="32"/>
                <w:szCs w:val="32"/>
                <w:highlight w:val="none"/>
              </w:rPr>
              <w:t>GXZC2024-G1-005625-JDZB</w:t>
            </w:r>
          </w:p>
        </w:tc>
      </w:tr>
      <w:tr w14:paraId="4595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2459" w:type="dxa"/>
            <w:vAlign w:val="center"/>
          </w:tcPr>
          <w:p w14:paraId="29E0F836">
            <w:pPr>
              <w:keepNext w:val="0"/>
              <w:keepLines w:val="0"/>
              <w:suppressLineNumbers w:val="0"/>
              <w:spacing w:before="0" w:beforeAutospacing="0" w:after="0" w:afterAutospacing="0"/>
              <w:ind w:left="0" w:right="0"/>
              <w:rPr>
                <w:rFonts w:hint="default"/>
                <w:b/>
                <w:color w:val="auto"/>
                <w:sz w:val="32"/>
                <w:szCs w:val="32"/>
                <w:highlight w:val="none"/>
              </w:rPr>
            </w:pPr>
            <w:r>
              <w:rPr>
                <w:rFonts w:hint="default"/>
                <w:b/>
                <w:color w:val="auto"/>
                <w:sz w:val="32"/>
                <w:szCs w:val="32"/>
                <w:highlight w:val="none"/>
              </w:rPr>
              <w:t>联系电话：</w:t>
            </w:r>
          </w:p>
        </w:tc>
        <w:tc>
          <w:tcPr>
            <w:tcW w:w="5281" w:type="dxa"/>
            <w:vAlign w:val="center"/>
          </w:tcPr>
          <w:p w14:paraId="40156749">
            <w:pPr>
              <w:keepNext w:val="0"/>
              <w:keepLines w:val="0"/>
              <w:suppressLineNumbers w:val="0"/>
              <w:spacing w:before="0" w:beforeAutospacing="0" w:after="0" w:afterAutospacing="0"/>
              <w:ind w:left="0" w:right="0"/>
              <w:rPr>
                <w:rFonts w:hint="default"/>
                <w:b/>
                <w:color w:val="auto"/>
                <w:sz w:val="32"/>
                <w:szCs w:val="32"/>
                <w:highlight w:val="none"/>
              </w:rPr>
            </w:pPr>
            <w:r>
              <w:rPr>
                <w:rFonts w:hint="default"/>
                <w:b/>
                <w:color w:val="auto"/>
                <w:sz w:val="32"/>
                <w:szCs w:val="32"/>
                <w:highlight w:val="none"/>
              </w:rPr>
              <w:t>0771-2808981</w:t>
            </w:r>
          </w:p>
        </w:tc>
      </w:tr>
    </w:tbl>
    <w:p w14:paraId="4E17569D">
      <w:pPr>
        <w:tabs>
          <w:tab w:val="left" w:pos="1710"/>
        </w:tabs>
        <w:rPr>
          <w:color w:val="auto"/>
          <w:highlight w:val="none"/>
        </w:rPr>
      </w:pPr>
    </w:p>
    <w:p w14:paraId="78297084">
      <w:pPr>
        <w:rPr>
          <w:color w:val="auto"/>
          <w:highlight w:val="none"/>
        </w:rPr>
      </w:pPr>
    </w:p>
    <w:p w14:paraId="0AC126E0">
      <w:pPr>
        <w:rPr>
          <w:color w:val="auto"/>
          <w:highlight w:val="none"/>
        </w:rPr>
      </w:pPr>
    </w:p>
    <w:p w14:paraId="32C885F0">
      <w:pPr>
        <w:rPr>
          <w:color w:val="auto"/>
          <w:highlight w:val="none"/>
        </w:rPr>
      </w:pPr>
    </w:p>
    <w:p w14:paraId="17716E72">
      <w:pPr>
        <w:rPr>
          <w:color w:val="auto"/>
          <w:highlight w:val="none"/>
        </w:rPr>
      </w:pPr>
    </w:p>
    <w:p w14:paraId="45952223">
      <w:pPr>
        <w:widowControl/>
        <w:jc w:val="left"/>
        <w:rPr>
          <w:rFonts w:hint="eastAsia" w:ascii="宋体" w:hAnsi="宋体" w:eastAsia="宋体" w:cs="宋体"/>
          <w:color w:val="auto"/>
          <w:kern w:val="0"/>
          <w:sz w:val="24"/>
          <w:highlight w:val="none"/>
          <w:lang w:val="en-US" w:eastAsia="zh-CN"/>
        </w:rPr>
      </w:pPr>
    </w:p>
    <w:p w14:paraId="5A2D616C">
      <w:pPr>
        <w:rPr>
          <w:color w:val="auto"/>
          <w:highlight w:val="none"/>
        </w:rPr>
      </w:pPr>
    </w:p>
    <w:p w14:paraId="056C9D64">
      <w:pPr>
        <w:rPr>
          <w:color w:val="auto"/>
          <w:highlight w:val="none"/>
        </w:rPr>
      </w:pPr>
    </w:p>
    <w:p w14:paraId="6845509E">
      <w:pPr>
        <w:rPr>
          <w:color w:val="auto"/>
          <w:highlight w:val="none"/>
        </w:rPr>
      </w:pPr>
    </w:p>
    <w:p w14:paraId="59806832">
      <w:pPr>
        <w:rPr>
          <w:color w:val="auto"/>
          <w:highlight w:val="none"/>
        </w:rPr>
      </w:pPr>
    </w:p>
    <w:p w14:paraId="248B75BC">
      <w:pPr>
        <w:rPr>
          <w:color w:val="auto"/>
          <w:highlight w:val="none"/>
        </w:rPr>
      </w:pPr>
    </w:p>
    <w:p w14:paraId="31B4AB61">
      <w:pPr>
        <w:rPr>
          <w:color w:val="auto"/>
          <w:highlight w:val="none"/>
        </w:rPr>
      </w:pPr>
    </w:p>
    <w:p w14:paraId="45ABB7DF">
      <w:pPr>
        <w:rPr>
          <w:color w:val="auto"/>
          <w:highlight w:val="none"/>
        </w:rPr>
      </w:pPr>
    </w:p>
    <w:p w14:paraId="72D38200">
      <w:pPr>
        <w:rPr>
          <w:color w:val="auto"/>
          <w:highlight w:val="none"/>
        </w:rPr>
      </w:pPr>
    </w:p>
    <w:p w14:paraId="6AB9AF04">
      <w:pPr>
        <w:rPr>
          <w:color w:val="auto"/>
          <w:highlight w:val="none"/>
        </w:rPr>
      </w:pPr>
    </w:p>
    <w:p w14:paraId="0191ECC9">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315ECEB4">
        <w:tblPrEx>
          <w:tblCellMar>
            <w:top w:w="0" w:type="dxa"/>
            <w:left w:w="108" w:type="dxa"/>
            <w:bottom w:w="0" w:type="dxa"/>
            <w:right w:w="108" w:type="dxa"/>
          </w:tblCellMar>
        </w:tblPrEx>
        <w:trPr>
          <w:trHeight w:val="703" w:hRule="atLeast"/>
          <w:jc w:val="center"/>
        </w:trPr>
        <w:tc>
          <w:tcPr>
            <w:tcW w:w="2707" w:type="dxa"/>
            <w:vAlign w:val="center"/>
          </w:tcPr>
          <w:p w14:paraId="3C14ACE2">
            <w:pPr>
              <w:keepNext w:val="0"/>
              <w:keepLines w:val="0"/>
              <w:suppressLineNumbers w:val="0"/>
              <w:autoSpaceDE w:val="0"/>
              <w:autoSpaceDN w:val="0"/>
              <w:adjustRightInd w:val="0"/>
              <w:spacing w:before="0" w:beforeAutospacing="0" w:after="0" w:afterAutospacing="0"/>
              <w:ind w:left="0" w:right="0"/>
              <w:jc w:val="right"/>
              <w:rPr>
                <w:rFonts w:hint="default"/>
                <w:b/>
                <w:color w:val="auto"/>
                <w:sz w:val="32"/>
                <w:szCs w:val="32"/>
                <w:highlight w:val="none"/>
              </w:rPr>
            </w:pPr>
            <w:r>
              <w:rPr>
                <w:rFonts w:hint="default"/>
                <w:b/>
                <w:color w:val="auto"/>
                <w:sz w:val="32"/>
                <w:szCs w:val="32"/>
                <w:highlight w:val="none"/>
              </w:rPr>
              <w:t xml:space="preserve">  采购人：</w:t>
            </w:r>
          </w:p>
        </w:tc>
        <w:tc>
          <w:tcPr>
            <w:tcW w:w="5577" w:type="dxa"/>
            <w:gridSpan w:val="2"/>
            <w:vAlign w:val="center"/>
          </w:tcPr>
          <w:p w14:paraId="4EFDAD80">
            <w:pPr>
              <w:keepNext w:val="0"/>
              <w:keepLines w:val="0"/>
              <w:suppressLineNumbers w:val="0"/>
              <w:autoSpaceDE w:val="0"/>
              <w:autoSpaceDN w:val="0"/>
              <w:adjustRightInd w:val="0"/>
              <w:spacing w:before="0" w:beforeAutospacing="0" w:after="0" w:afterAutospacing="0"/>
              <w:ind w:left="0" w:right="0"/>
              <w:rPr>
                <w:rFonts w:hint="default"/>
                <w:b/>
                <w:color w:val="auto"/>
                <w:sz w:val="32"/>
                <w:szCs w:val="32"/>
                <w:highlight w:val="none"/>
              </w:rPr>
            </w:pPr>
            <w:r>
              <w:rPr>
                <w:rFonts w:hint="default"/>
                <w:b/>
                <w:color w:val="auto"/>
                <w:sz w:val="32"/>
                <w:szCs w:val="32"/>
                <w:highlight w:val="none"/>
              </w:rPr>
              <w:t>广西职业师范学院</w:t>
            </w:r>
          </w:p>
        </w:tc>
      </w:tr>
      <w:tr w14:paraId="5D71C079">
        <w:tblPrEx>
          <w:tblCellMar>
            <w:top w:w="0" w:type="dxa"/>
            <w:left w:w="108" w:type="dxa"/>
            <w:bottom w:w="0" w:type="dxa"/>
            <w:right w:w="108" w:type="dxa"/>
          </w:tblCellMar>
        </w:tblPrEx>
        <w:trPr>
          <w:trHeight w:val="703" w:hRule="atLeast"/>
          <w:jc w:val="center"/>
        </w:trPr>
        <w:tc>
          <w:tcPr>
            <w:tcW w:w="2713" w:type="dxa"/>
            <w:gridSpan w:val="2"/>
            <w:vAlign w:val="center"/>
          </w:tcPr>
          <w:p w14:paraId="4964C523">
            <w:pPr>
              <w:keepNext w:val="0"/>
              <w:keepLines w:val="0"/>
              <w:suppressLineNumbers w:val="0"/>
              <w:autoSpaceDE w:val="0"/>
              <w:autoSpaceDN w:val="0"/>
              <w:adjustRightInd w:val="0"/>
              <w:spacing w:before="0" w:beforeAutospacing="0" w:after="0" w:afterAutospacing="0"/>
              <w:ind w:left="0" w:right="0"/>
              <w:jc w:val="right"/>
              <w:rPr>
                <w:rFonts w:hint="default"/>
                <w:b/>
                <w:color w:val="auto"/>
                <w:sz w:val="32"/>
                <w:szCs w:val="32"/>
                <w:highlight w:val="none"/>
              </w:rPr>
            </w:pPr>
            <w:r>
              <w:rPr>
                <w:rFonts w:hint="default"/>
                <w:b/>
                <w:color w:val="auto"/>
                <w:sz w:val="32"/>
                <w:szCs w:val="32"/>
                <w:highlight w:val="none"/>
              </w:rPr>
              <w:t>采购代理机构：</w:t>
            </w:r>
          </w:p>
        </w:tc>
        <w:tc>
          <w:tcPr>
            <w:tcW w:w="5571" w:type="dxa"/>
            <w:vAlign w:val="center"/>
          </w:tcPr>
          <w:p w14:paraId="2C89778B">
            <w:pPr>
              <w:keepNext w:val="0"/>
              <w:keepLines w:val="0"/>
              <w:suppressLineNumbers w:val="0"/>
              <w:autoSpaceDE w:val="0"/>
              <w:autoSpaceDN w:val="0"/>
              <w:adjustRightInd w:val="0"/>
              <w:spacing w:before="0" w:beforeAutospacing="0" w:after="0" w:afterAutospacing="0"/>
              <w:ind w:left="0" w:right="0"/>
              <w:rPr>
                <w:rFonts w:hint="default"/>
                <w:b/>
                <w:color w:val="auto"/>
                <w:sz w:val="32"/>
                <w:szCs w:val="32"/>
                <w:highlight w:val="none"/>
                <w:u w:val="single"/>
              </w:rPr>
            </w:pPr>
            <w:r>
              <w:rPr>
                <w:rFonts w:hint="default"/>
                <w:b/>
                <w:color w:val="auto"/>
                <w:sz w:val="32"/>
                <w:szCs w:val="32"/>
                <w:highlight w:val="none"/>
              </w:rPr>
              <w:t>广西机电设备招标有限公司</w:t>
            </w:r>
          </w:p>
        </w:tc>
      </w:tr>
    </w:tbl>
    <w:p w14:paraId="4657FF97">
      <w:pPr>
        <w:rPr>
          <w:color w:val="auto"/>
          <w:highlight w:val="none"/>
        </w:rPr>
      </w:pPr>
    </w:p>
    <w:p w14:paraId="1C29618F">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4</w:t>
      </w:r>
      <w:r>
        <w:rPr>
          <w:b/>
          <w:color w:val="auto"/>
          <w:sz w:val="32"/>
          <w:szCs w:val="32"/>
          <w:highlight w:val="none"/>
        </w:rPr>
        <w:t>年</w:t>
      </w:r>
      <w:r>
        <w:rPr>
          <w:rFonts w:hint="eastAsia"/>
          <w:b/>
          <w:color w:val="auto"/>
          <w:sz w:val="32"/>
          <w:szCs w:val="32"/>
          <w:highlight w:val="none"/>
          <w:lang w:val="en-US" w:eastAsia="zh-CN"/>
        </w:rPr>
        <w:t>10</w:t>
      </w:r>
      <w:r>
        <w:rPr>
          <w:b/>
          <w:color w:val="auto"/>
          <w:sz w:val="32"/>
          <w:szCs w:val="32"/>
          <w:highlight w:val="none"/>
        </w:rPr>
        <w:t>月</w:t>
      </w:r>
    </w:p>
    <w:p w14:paraId="2BCA4070">
      <w:pPr>
        <w:spacing w:line="360" w:lineRule="auto"/>
        <w:rPr>
          <w:b/>
          <w:color w:val="auto"/>
          <w:sz w:val="24"/>
          <w:highlight w:val="none"/>
        </w:rPr>
      </w:pPr>
    </w:p>
    <w:p w14:paraId="3DA53CCA">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68670055"/>
      <w:bookmarkStart w:id="3" w:name="_Toc167129370"/>
      <w:bookmarkStart w:id="4" w:name="_Toc6931"/>
      <w:r>
        <w:rPr>
          <w:rFonts w:ascii="Times New Roman" w:hAnsi="Times New Roman" w:cs="Times New Roman"/>
          <w:color w:val="auto"/>
          <w:sz w:val="32"/>
          <w:szCs w:val="32"/>
          <w:highlight w:val="none"/>
        </w:rPr>
        <w:t>目    录</w:t>
      </w:r>
      <w:bookmarkEnd w:id="2"/>
      <w:bookmarkEnd w:id="3"/>
      <w:bookmarkEnd w:id="4"/>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577E712C">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"_Toc168670056" </w:instrText>
      </w:r>
      <w:r>
        <w:rPr>
          <w:color w:val="auto"/>
          <w:highlight w:val="none"/>
        </w:rPr>
        <w:fldChar w:fldCharType="separate"/>
      </w:r>
      <w:r>
        <w:rPr>
          <w:rStyle w:val="57"/>
          <w:rFonts w:ascii="Times New Roman" w:hAnsi="Times New Roman"/>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_Toc168670056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DE27457">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"_Toc168670057" </w:instrText>
      </w:r>
      <w:r>
        <w:rPr>
          <w:color w:val="auto"/>
          <w:highlight w:val="none"/>
        </w:rPr>
        <w:fldChar w:fldCharType="separate"/>
      </w:r>
      <w:r>
        <w:rPr>
          <w:rStyle w:val="57"/>
          <w:rFonts w:ascii="Times New Roman" w:hAnsi="Times New Roman"/>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_Toc168670057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40441DF">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"_Toc168670058" </w:instrText>
      </w:r>
      <w:r>
        <w:rPr>
          <w:color w:val="auto"/>
          <w:highlight w:val="none"/>
        </w:rPr>
        <w:fldChar w:fldCharType="separate"/>
      </w:r>
      <w:r>
        <w:rPr>
          <w:rStyle w:val="57"/>
          <w:rFonts w:ascii="Times New Roman" w:hAnsi="Times New Roman"/>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_Toc168670058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18E89B8D">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"_Toc168670059" </w:instrText>
      </w:r>
      <w:r>
        <w:rPr>
          <w:color w:val="auto"/>
          <w:highlight w:val="none"/>
        </w:rPr>
        <w:fldChar w:fldCharType="separate"/>
      </w:r>
      <w:r>
        <w:rPr>
          <w:rStyle w:val="57"/>
          <w:rFonts w:ascii="Times New Roman" w:hAnsi="Times New Roman"/>
          <w:color w:val="auto"/>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_Toc168670059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6968BBC7">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"_Toc168670060" </w:instrText>
      </w:r>
      <w:r>
        <w:rPr>
          <w:color w:val="auto"/>
          <w:highlight w:val="none"/>
        </w:rPr>
        <w:fldChar w:fldCharType="separate"/>
      </w:r>
      <w:r>
        <w:rPr>
          <w:rStyle w:val="57"/>
          <w:rFonts w:ascii="Times New Roman" w:hAnsi="Times New Roman"/>
          <w:color w:val="auto"/>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_Toc168670060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6F9998B2">
      <w:pPr>
        <w:pStyle w:val="34"/>
        <w:spacing w:line="360" w:lineRule="auto"/>
        <w:ind w:firstLine="241"/>
        <w:jc w:val="center"/>
        <w:rPr>
          <w:rFonts w:asciiTheme="minorHAnsi" w:hAnsiTheme="minorHAnsi" w:eastAsiaTheme="minorEastAsia" w:cstheme="minorBidi"/>
          <w:b w:val="0"/>
          <w:bCs w:val="0"/>
          <w:caps w:val="0"/>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"_Toc168670061" </w:instrText>
      </w:r>
      <w:r>
        <w:rPr>
          <w:color w:val="auto"/>
          <w:highlight w:val="none"/>
        </w:rPr>
        <w:fldChar w:fldCharType="separate"/>
      </w:r>
      <w:r>
        <w:rPr>
          <w:rStyle w:val="57"/>
          <w:rFonts w:ascii="Times New Roman" w:hAnsi="Times New Roman"/>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_Toc168670061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03DE8BB0">
      <w:pPr>
        <w:pStyle w:val="34"/>
        <w:ind w:firstLine="241"/>
        <w:rPr>
          <w:rFonts w:ascii="Times New Roman" w:hAnsi="Times New Roman"/>
          <w:color w:val="auto"/>
          <w:highlight w:val="none"/>
        </w:rPr>
      </w:pPr>
      <w:r>
        <w:rPr>
          <w:rFonts w:ascii="Times New Roman" w:hAnsi="Times New Roman"/>
          <w:color w:val="auto"/>
          <w:highlight w:val="none"/>
        </w:rPr>
        <w:fldChar w:fldCharType="end"/>
      </w:r>
    </w:p>
    <w:p w14:paraId="67501372">
      <w:pPr>
        <w:spacing w:before="120" w:beforeLines="50" w:line="480" w:lineRule="exact"/>
        <w:rPr>
          <w:color w:val="auto"/>
          <w:sz w:val="28"/>
          <w:szCs w:val="28"/>
          <w:highlight w:val="none"/>
        </w:rPr>
      </w:pPr>
    </w:p>
    <w:p w14:paraId="3875E78D">
      <w:pPr>
        <w:spacing w:before="120" w:beforeLines="50" w:line="480" w:lineRule="exact"/>
        <w:rPr>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18A356E9">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5" w:name="_Toc168670056"/>
      <w:bookmarkStart w:id="6" w:name="_Toc254970489"/>
      <w:bookmarkStart w:id="7" w:name="_Toc25497063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5"/>
    </w:p>
    <w:p w14:paraId="1F7DEA53">
      <w:pPr>
        <w:spacing w:line="400" w:lineRule="exact"/>
        <w:jc w:val="center"/>
        <w:rPr>
          <w:color w:val="auto"/>
          <w:kern w:val="0"/>
          <w:sz w:val="24"/>
          <w:highlight w:val="none"/>
        </w:rPr>
      </w:pPr>
      <w:r>
        <w:rPr>
          <w:color w:val="auto"/>
          <w:kern w:val="0"/>
          <w:sz w:val="24"/>
          <w:highlight w:val="none"/>
        </w:rPr>
        <w:t>广西机电设备招标有限公司关于</w:t>
      </w:r>
      <w:bookmarkStart w:id="8" w:name="_Hlk36541082"/>
      <w:r>
        <w:rPr>
          <w:rFonts w:hint="eastAsia"/>
          <w:color w:val="auto"/>
          <w:kern w:val="0"/>
          <w:sz w:val="24"/>
          <w:highlight w:val="none"/>
        </w:rPr>
        <w:t>中国—东盟职业师范教育数智化产教融合实验实训基地项目软件采购</w:t>
      </w:r>
      <w:r>
        <w:rPr>
          <w:color w:val="auto"/>
          <w:sz w:val="24"/>
          <w:highlight w:val="none"/>
        </w:rPr>
        <w:t>(</w:t>
      </w:r>
      <w:r>
        <w:rPr>
          <w:rFonts w:hint="eastAsia"/>
          <w:color w:val="auto"/>
          <w:sz w:val="24"/>
          <w:highlight w:val="none"/>
          <w:lang w:eastAsia="zh-CN"/>
        </w:rPr>
        <w:t>GXZC2024-G1-005625-JDZB</w:t>
      </w:r>
      <w:r>
        <w:rPr>
          <w:color w:val="auto"/>
          <w:sz w:val="24"/>
          <w:highlight w:val="none"/>
        </w:rPr>
        <w:t>)</w:t>
      </w:r>
      <w:bookmarkEnd w:id="8"/>
      <w:r>
        <w:rPr>
          <w:color w:val="auto"/>
          <w:kern w:val="0"/>
          <w:sz w:val="24"/>
          <w:highlight w:val="none"/>
        </w:rPr>
        <w:t>公开招标公告</w:t>
      </w:r>
    </w:p>
    <w:p w14:paraId="7C4493D4">
      <w:pPr>
        <w:spacing w:line="312" w:lineRule="auto"/>
        <w:jc w:val="left"/>
        <w:rPr>
          <w:color w:val="auto"/>
          <w:kern w:val="0"/>
          <w:szCs w:val="21"/>
          <w:highlight w:val="none"/>
        </w:rPr>
      </w:pPr>
    </w:p>
    <w:p w14:paraId="760CE863">
      <w:pPr>
        <w:spacing w:line="312" w:lineRule="auto"/>
        <w:ind w:firstLine="420" w:firstLineChars="200"/>
        <w:jc w:val="left"/>
        <w:rPr>
          <w:b/>
          <w:bCs/>
          <w:color w:val="auto"/>
          <w:kern w:val="0"/>
          <w:sz w:val="22"/>
          <w:szCs w:val="22"/>
          <w:highlight w:val="none"/>
        </w:rPr>
      </w:pPr>
      <w:bookmarkStart w:id="9" w:name="_Hlk132795121"/>
      <w:r>
        <w:rPr>
          <w:rFonts w:hint="eastAsia"/>
          <w:color w:val="auto"/>
          <w:szCs w:val="21"/>
          <w:highlight w:val="none"/>
        </w:rPr>
        <w:t>项目概况：中国—东盟职业师范教育数智化产教融合实验实训基地项目软件采购招标项目的潜在投标人应在</w:t>
      </w:r>
      <w:bookmarkStart w:id="10" w:name="_Hlk160178031"/>
      <w:r>
        <w:rPr>
          <w:rFonts w:hint="eastAsia"/>
          <w:color w:val="auto"/>
          <w:szCs w:val="21"/>
          <w:highlight w:val="none"/>
        </w:rPr>
        <w:t>广西政府采购云平台</w:t>
      </w:r>
      <w:bookmarkStart w:id="11"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10"/>
      <w:bookmarkEnd w:id="11"/>
      <w:r>
        <w:rPr>
          <w:rFonts w:hint="eastAsia"/>
          <w:color w:val="auto"/>
          <w:szCs w:val="21"/>
          <w:highlight w:val="none"/>
        </w:rPr>
        <w:t>获取招标文件，并于2024年</w:t>
      </w:r>
      <w:r>
        <w:rPr>
          <w:rFonts w:hint="eastAsia"/>
          <w:color w:val="auto"/>
          <w:szCs w:val="21"/>
          <w:highlight w:val="none"/>
          <w:lang w:val="en-US" w:eastAsia="zh-CN"/>
        </w:rPr>
        <w:t>11</w:t>
      </w:r>
      <w:r>
        <w:rPr>
          <w:rFonts w:hint="eastAsia"/>
          <w:color w:val="auto"/>
          <w:szCs w:val="21"/>
          <w:highlight w:val="none"/>
        </w:rPr>
        <w:t>月</w:t>
      </w:r>
      <w:r>
        <w:rPr>
          <w:rFonts w:hint="eastAsia"/>
          <w:color w:val="auto"/>
          <w:szCs w:val="21"/>
          <w:highlight w:val="none"/>
          <w:lang w:val="en-US" w:eastAsia="zh-CN"/>
        </w:rPr>
        <w:t>8</w:t>
      </w:r>
      <w:r>
        <w:rPr>
          <w:rFonts w:hint="eastAsia"/>
          <w:color w:val="auto"/>
          <w:szCs w:val="21"/>
          <w:highlight w:val="none"/>
        </w:rPr>
        <w:t>日 09:30（北京时间）前递交投标文件。</w:t>
      </w:r>
    </w:p>
    <w:bookmarkEnd w:id="9"/>
    <w:p w14:paraId="0D4137C8">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1DE2A8D0">
      <w:pPr>
        <w:spacing w:line="312" w:lineRule="auto"/>
        <w:ind w:firstLine="420" w:firstLineChars="200"/>
        <w:jc w:val="left"/>
        <w:rPr>
          <w:color w:val="auto"/>
          <w:kern w:val="0"/>
          <w:szCs w:val="21"/>
          <w:highlight w:val="none"/>
        </w:rPr>
      </w:pPr>
      <w:r>
        <w:rPr>
          <w:color w:val="auto"/>
          <w:kern w:val="0"/>
          <w:szCs w:val="21"/>
          <w:highlight w:val="none"/>
        </w:rPr>
        <w:t>项目编号：</w:t>
      </w:r>
      <w:r>
        <w:rPr>
          <w:rFonts w:ascii="Arial" w:hAnsi="Arial" w:cs="Arial"/>
          <w:color w:val="auto"/>
          <w:kern w:val="0"/>
          <w:szCs w:val="21"/>
          <w:highlight w:val="none"/>
        </w:rPr>
        <w:t>GXZC2024-G1-005625-JDZB</w:t>
      </w:r>
    </w:p>
    <w:p w14:paraId="765563C6">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中国—东盟职业师范教育数智化产教融合实验实训基地项目软件采购</w:t>
      </w:r>
    </w:p>
    <w:p w14:paraId="52D5A74A">
      <w:pPr>
        <w:spacing w:line="312" w:lineRule="auto"/>
        <w:ind w:firstLine="420" w:firstLineChars="200"/>
        <w:jc w:val="left"/>
        <w:rPr>
          <w:color w:val="auto"/>
          <w:kern w:val="0"/>
          <w:szCs w:val="21"/>
          <w:highlight w:val="none"/>
        </w:rPr>
      </w:pPr>
      <w:bookmarkStart w:id="12"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rPr>
        <w:t>4664800.00</w:t>
      </w:r>
    </w:p>
    <w:bookmarkEnd w:id="12"/>
    <w:p w14:paraId="16DC98AB">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13" w:name="_Hlk77608065"/>
    </w:p>
    <w:p w14:paraId="73F264A4">
      <w:pPr>
        <w:spacing w:line="312" w:lineRule="auto"/>
        <w:ind w:firstLine="420" w:firstLineChars="200"/>
        <w:jc w:val="left"/>
        <w:rPr>
          <w:color w:val="auto"/>
          <w:kern w:val="0"/>
          <w:szCs w:val="21"/>
          <w:highlight w:val="none"/>
        </w:rPr>
      </w:pPr>
    </w:p>
    <w:p w14:paraId="0F309AED">
      <w:pPr>
        <w:spacing w:line="312" w:lineRule="auto"/>
        <w:ind w:firstLine="735" w:firstLineChars="350"/>
        <w:jc w:val="left"/>
        <w:rPr>
          <w:color w:val="auto"/>
          <w:kern w:val="0"/>
          <w:szCs w:val="21"/>
          <w:highlight w:val="none"/>
        </w:rPr>
      </w:pPr>
      <w:r>
        <w:rPr>
          <w:rFonts w:hint="eastAsia"/>
          <w:color w:val="auto"/>
          <w:kern w:val="0"/>
          <w:szCs w:val="21"/>
          <w:highlight w:val="none"/>
        </w:rPr>
        <w:t>标项一</w:t>
      </w:r>
    </w:p>
    <w:p w14:paraId="369632EE">
      <w:pPr>
        <w:spacing w:line="312" w:lineRule="auto"/>
        <w:ind w:firstLine="735" w:firstLineChars="350"/>
        <w:jc w:val="left"/>
        <w:rPr>
          <w:color w:val="auto"/>
          <w:kern w:val="0"/>
          <w:szCs w:val="21"/>
          <w:highlight w:val="none"/>
        </w:rPr>
      </w:pPr>
      <w:r>
        <w:rPr>
          <w:rFonts w:hint="eastAsia"/>
          <w:color w:val="auto"/>
          <w:kern w:val="0"/>
          <w:szCs w:val="21"/>
          <w:highlight w:val="none"/>
        </w:rPr>
        <w:t>标项名称：1分标：公共管理决策演练沙盘对抗比赛平台软件采购</w:t>
      </w:r>
    </w:p>
    <w:p w14:paraId="6D4B27C5">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50A2B5CB">
      <w:pPr>
        <w:spacing w:line="312" w:lineRule="auto"/>
        <w:ind w:firstLine="735" w:firstLineChars="350"/>
        <w:jc w:val="left"/>
        <w:rPr>
          <w:color w:val="auto"/>
          <w:kern w:val="0"/>
          <w:szCs w:val="21"/>
          <w:highlight w:val="none"/>
        </w:rPr>
      </w:pPr>
      <w:r>
        <w:rPr>
          <w:rFonts w:hint="eastAsia"/>
          <w:color w:val="auto"/>
          <w:kern w:val="0"/>
          <w:szCs w:val="21"/>
          <w:highlight w:val="none"/>
        </w:rPr>
        <w:t>预算金额（元）：228000.00</w:t>
      </w:r>
    </w:p>
    <w:p w14:paraId="31B215C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简要规格描述或项目基本概况介绍、用途：公共管理决策演练沙盘对抗比赛平台软件采购1套。如需进一步了解详细内容，详见招标文件。</w:t>
      </w:r>
      <w:bookmarkStart w:id="14" w:name="_Hlk132796150"/>
    </w:p>
    <w:p w14:paraId="5DFE21A6">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14"/>
      <w:r>
        <w:rPr>
          <w:rFonts w:hint="eastAsia"/>
          <w:color w:val="auto"/>
          <w:kern w:val="0"/>
          <w:szCs w:val="21"/>
          <w:highlight w:val="none"/>
        </w:rPr>
        <w:t>228000.00</w:t>
      </w:r>
    </w:p>
    <w:p w14:paraId="19094EDA">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39545C1D">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5BA62FA0">
      <w:pPr>
        <w:spacing w:line="312" w:lineRule="auto"/>
        <w:ind w:firstLine="735" w:firstLineChars="350"/>
        <w:jc w:val="left"/>
        <w:rPr>
          <w:color w:val="auto"/>
          <w:kern w:val="0"/>
          <w:szCs w:val="21"/>
          <w:highlight w:val="none"/>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-001</w:t>
      </w:r>
    </w:p>
    <w:p w14:paraId="121D4431">
      <w:pPr>
        <w:spacing w:line="312" w:lineRule="auto"/>
        <w:ind w:firstLine="735" w:firstLineChars="350"/>
        <w:jc w:val="left"/>
        <w:rPr>
          <w:color w:val="auto"/>
          <w:kern w:val="0"/>
          <w:szCs w:val="21"/>
          <w:highlight w:val="none"/>
        </w:rPr>
      </w:pPr>
    </w:p>
    <w:p w14:paraId="43FA553F">
      <w:pPr>
        <w:spacing w:line="312" w:lineRule="auto"/>
        <w:ind w:firstLine="735" w:firstLineChars="350"/>
        <w:jc w:val="left"/>
        <w:rPr>
          <w:color w:val="auto"/>
          <w:kern w:val="0"/>
          <w:szCs w:val="21"/>
          <w:highlight w:val="none"/>
        </w:rPr>
      </w:pPr>
      <w:r>
        <w:rPr>
          <w:rFonts w:hint="eastAsia"/>
          <w:color w:val="auto"/>
          <w:kern w:val="0"/>
          <w:szCs w:val="21"/>
          <w:highlight w:val="none"/>
        </w:rPr>
        <w:t>标项二</w:t>
      </w:r>
    </w:p>
    <w:p w14:paraId="21D70101">
      <w:pPr>
        <w:spacing w:line="312" w:lineRule="auto"/>
        <w:ind w:firstLine="735" w:firstLineChars="350"/>
        <w:jc w:val="left"/>
        <w:rPr>
          <w:color w:val="auto"/>
          <w:kern w:val="0"/>
          <w:szCs w:val="21"/>
          <w:highlight w:val="none"/>
        </w:rPr>
      </w:pPr>
      <w:r>
        <w:rPr>
          <w:rFonts w:hint="eastAsia"/>
          <w:color w:val="auto"/>
          <w:kern w:val="0"/>
          <w:szCs w:val="21"/>
          <w:highlight w:val="none"/>
        </w:rPr>
        <w:t>标项名称：2分标：前厅服务与管理虚拟仿真实训系统采购</w:t>
      </w:r>
    </w:p>
    <w:p w14:paraId="74D186AE">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175AB7BB">
      <w:pPr>
        <w:spacing w:line="312" w:lineRule="auto"/>
        <w:ind w:firstLine="735" w:firstLineChars="350"/>
        <w:jc w:val="left"/>
        <w:rPr>
          <w:color w:val="auto"/>
          <w:kern w:val="0"/>
          <w:szCs w:val="21"/>
          <w:highlight w:val="none"/>
        </w:rPr>
      </w:pPr>
      <w:r>
        <w:rPr>
          <w:rFonts w:hint="eastAsia"/>
          <w:color w:val="auto"/>
          <w:kern w:val="0"/>
          <w:szCs w:val="21"/>
          <w:highlight w:val="none"/>
        </w:rPr>
        <w:t>预算金额（元）：280000.00</w:t>
      </w:r>
    </w:p>
    <w:p w14:paraId="1736339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简要规格描述或项目基本概况介绍、用途：前厅服务与管理虚拟仿真实训系统采购1套。如需进一步了解详细内容，详见招标文件。</w:t>
      </w:r>
    </w:p>
    <w:p w14:paraId="3CF13694">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280000.00</w:t>
      </w:r>
    </w:p>
    <w:p w14:paraId="12C2607C">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4143A32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5B9B57D7">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2</w:t>
      </w:r>
    </w:p>
    <w:p w14:paraId="70C53DA6">
      <w:pPr>
        <w:spacing w:line="312" w:lineRule="auto"/>
        <w:jc w:val="left"/>
        <w:rPr>
          <w:color w:val="auto"/>
          <w:kern w:val="0"/>
          <w:szCs w:val="21"/>
          <w:highlight w:val="none"/>
        </w:rPr>
      </w:pPr>
    </w:p>
    <w:p w14:paraId="050C9B53">
      <w:pPr>
        <w:spacing w:line="312" w:lineRule="auto"/>
        <w:ind w:firstLine="735" w:firstLineChars="350"/>
        <w:jc w:val="left"/>
        <w:rPr>
          <w:color w:val="auto"/>
          <w:kern w:val="0"/>
          <w:szCs w:val="21"/>
          <w:highlight w:val="none"/>
        </w:rPr>
      </w:pPr>
      <w:r>
        <w:rPr>
          <w:rFonts w:hint="eastAsia"/>
          <w:color w:val="auto"/>
          <w:kern w:val="0"/>
          <w:szCs w:val="21"/>
          <w:highlight w:val="none"/>
        </w:rPr>
        <w:t>标项三</w:t>
      </w:r>
    </w:p>
    <w:p w14:paraId="0FDC750A">
      <w:pPr>
        <w:spacing w:line="312" w:lineRule="auto"/>
        <w:ind w:firstLine="735" w:firstLineChars="350"/>
        <w:jc w:val="left"/>
        <w:rPr>
          <w:color w:val="auto"/>
          <w:kern w:val="0"/>
          <w:szCs w:val="21"/>
          <w:highlight w:val="none"/>
        </w:rPr>
      </w:pPr>
      <w:r>
        <w:rPr>
          <w:rFonts w:hint="eastAsia"/>
          <w:color w:val="auto"/>
          <w:kern w:val="0"/>
          <w:szCs w:val="21"/>
          <w:highlight w:val="none"/>
        </w:rPr>
        <w:t>标项名称：3分标：建筑结构设计软件采购</w:t>
      </w:r>
    </w:p>
    <w:p w14:paraId="13523D33">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0922E25D">
      <w:pPr>
        <w:spacing w:line="312" w:lineRule="auto"/>
        <w:ind w:firstLine="735" w:firstLineChars="350"/>
        <w:jc w:val="left"/>
        <w:rPr>
          <w:color w:val="auto"/>
          <w:kern w:val="0"/>
          <w:szCs w:val="21"/>
          <w:highlight w:val="none"/>
        </w:rPr>
      </w:pPr>
      <w:r>
        <w:rPr>
          <w:rFonts w:hint="eastAsia"/>
          <w:color w:val="auto"/>
          <w:kern w:val="0"/>
          <w:szCs w:val="21"/>
          <w:highlight w:val="none"/>
        </w:rPr>
        <w:t>预算金额（元）：612000.00</w:t>
      </w:r>
    </w:p>
    <w:p w14:paraId="1A2A2140">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简要规格描述或项目基本概况介绍、用途：建筑结构设计软件采购1项。如需进一步了解详细内容，详见招标文件。</w:t>
      </w:r>
    </w:p>
    <w:p w14:paraId="548A5CD5">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612000.00</w:t>
      </w:r>
    </w:p>
    <w:p w14:paraId="6D20E824">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2CC697A8">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1F6B5B0B">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3</w:t>
      </w:r>
    </w:p>
    <w:p w14:paraId="5B6A0902">
      <w:pPr>
        <w:spacing w:line="312" w:lineRule="auto"/>
        <w:ind w:firstLine="735" w:firstLineChars="350"/>
        <w:jc w:val="left"/>
        <w:rPr>
          <w:color w:val="auto"/>
          <w:kern w:val="0"/>
          <w:szCs w:val="21"/>
          <w:highlight w:val="none"/>
        </w:rPr>
      </w:pPr>
    </w:p>
    <w:bookmarkEnd w:id="13"/>
    <w:p w14:paraId="6AF9979E">
      <w:pPr>
        <w:spacing w:line="312" w:lineRule="auto"/>
        <w:ind w:firstLine="735" w:firstLineChars="350"/>
        <w:jc w:val="left"/>
        <w:rPr>
          <w:color w:val="auto"/>
          <w:kern w:val="0"/>
          <w:szCs w:val="21"/>
          <w:highlight w:val="none"/>
        </w:rPr>
      </w:pPr>
      <w:r>
        <w:rPr>
          <w:rFonts w:hint="eastAsia"/>
          <w:color w:val="auto"/>
          <w:kern w:val="0"/>
          <w:szCs w:val="21"/>
          <w:highlight w:val="none"/>
        </w:rPr>
        <w:t>标项四</w:t>
      </w:r>
    </w:p>
    <w:p w14:paraId="57F11E7D">
      <w:pPr>
        <w:spacing w:line="312" w:lineRule="auto"/>
        <w:ind w:firstLine="735" w:firstLineChars="350"/>
        <w:jc w:val="left"/>
        <w:rPr>
          <w:color w:val="auto"/>
          <w:kern w:val="0"/>
          <w:szCs w:val="21"/>
          <w:highlight w:val="none"/>
        </w:rPr>
      </w:pPr>
      <w:r>
        <w:rPr>
          <w:rFonts w:hint="eastAsia"/>
          <w:color w:val="auto"/>
          <w:kern w:val="0"/>
          <w:szCs w:val="21"/>
          <w:highlight w:val="none"/>
        </w:rPr>
        <w:t>标项名称：4分标：广龙清单计价软件升级服务及增加节点采购</w:t>
      </w:r>
    </w:p>
    <w:p w14:paraId="691D165C">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45B7157D">
      <w:pPr>
        <w:spacing w:line="312" w:lineRule="auto"/>
        <w:ind w:firstLine="735" w:firstLineChars="350"/>
        <w:jc w:val="left"/>
        <w:rPr>
          <w:color w:val="auto"/>
          <w:kern w:val="0"/>
          <w:szCs w:val="21"/>
          <w:highlight w:val="none"/>
        </w:rPr>
      </w:pPr>
      <w:r>
        <w:rPr>
          <w:rFonts w:hint="eastAsia"/>
          <w:color w:val="auto"/>
          <w:kern w:val="0"/>
          <w:szCs w:val="21"/>
          <w:highlight w:val="none"/>
        </w:rPr>
        <w:t>预算金额（元）：90000.00</w:t>
      </w:r>
    </w:p>
    <w:p w14:paraId="0F9F8D0C">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广龙清单计价软件升级服务及增加节点采购1项，包括采购人现有广龙清单计价软件升级60节点教学网络锁和新购55节点教学网络锁。如需进一步了解详细内容，详见招标文件。</w:t>
      </w:r>
    </w:p>
    <w:p w14:paraId="5D0F4A86">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90000.00</w:t>
      </w:r>
    </w:p>
    <w:p w14:paraId="1EB709F6">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53E96EE7">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235E3EE8">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4</w:t>
      </w:r>
    </w:p>
    <w:p w14:paraId="06E92AE3">
      <w:pPr>
        <w:pStyle w:val="59"/>
        <w:rPr>
          <w:color w:val="auto"/>
          <w:szCs w:val="21"/>
          <w:highlight w:val="none"/>
        </w:rPr>
      </w:pPr>
    </w:p>
    <w:p w14:paraId="7111D99B">
      <w:pPr>
        <w:spacing w:line="312" w:lineRule="auto"/>
        <w:ind w:firstLine="735" w:firstLineChars="350"/>
        <w:jc w:val="left"/>
        <w:rPr>
          <w:color w:val="auto"/>
          <w:kern w:val="0"/>
          <w:szCs w:val="21"/>
          <w:highlight w:val="none"/>
        </w:rPr>
      </w:pPr>
      <w:r>
        <w:rPr>
          <w:rFonts w:hint="eastAsia"/>
          <w:color w:val="auto"/>
          <w:kern w:val="0"/>
          <w:szCs w:val="21"/>
          <w:highlight w:val="none"/>
        </w:rPr>
        <w:t>标项五</w:t>
      </w:r>
    </w:p>
    <w:p w14:paraId="4E9143B3">
      <w:pPr>
        <w:spacing w:line="312" w:lineRule="auto"/>
        <w:ind w:firstLine="735" w:firstLineChars="350"/>
        <w:jc w:val="left"/>
        <w:rPr>
          <w:color w:val="auto"/>
          <w:kern w:val="0"/>
          <w:szCs w:val="21"/>
          <w:highlight w:val="none"/>
        </w:rPr>
      </w:pPr>
      <w:r>
        <w:rPr>
          <w:rFonts w:hint="eastAsia"/>
          <w:color w:val="auto"/>
          <w:kern w:val="0"/>
          <w:szCs w:val="21"/>
          <w:highlight w:val="none"/>
        </w:rPr>
        <w:t>标项名称：5分标：税务实训平台（纳税申报与风险管控实践教学平台）采购</w:t>
      </w:r>
    </w:p>
    <w:p w14:paraId="0344F4C8">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530F026D">
      <w:pPr>
        <w:spacing w:line="312" w:lineRule="auto"/>
        <w:ind w:firstLine="735" w:firstLineChars="350"/>
        <w:jc w:val="left"/>
        <w:rPr>
          <w:color w:val="auto"/>
          <w:kern w:val="0"/>
          <w:szCs w:val="21"/>
          <w:highlight w:val="none"/>
        </w:rPr>
      </w:pPr>
      <w:r>
        <w:rPr>
          <w:rFonts w:hint="eastAsia"/>
          <w:color w:val="auto"/>
          <w:kern w:val="0"/>
          <w:szCs w:val="21"/>
          <w:highlight w:val="none"/>
        </w:rPr>
        <w:t>预算金额（元）：406800.00</w:t>
      </w:r>
    </w:p>
    <w:p w14:paraId="3B72404E">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简要规格描述或项目基本概况介绍、用途：税务实训平台（纳税申报与风险管控实践教学平台）采购1套。如需进一步了解详细内容，详见招标文件。</w:t>
      </w:r>
    </w:p>
    <w:p w14:paraId="35C28647">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406800.00</w:t>
      </w:r>
    </w:p>
    <w:p w14:paraId="5427EF46">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127FD419">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132DFD13">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5</w:t>
      </w:r>
    </w:p>
    <w:p w14:paraId="31054DA7">
      <w:pPr>
        <w:pStyle w:val="3"/>
        <w:rPr>
          <w:color w:val="auto"/>
          <w:highlight w:val="none"/>
        </w:rPr>
      </w:pPr>
    </w:p>
    <w:p w14:paraId="2C483C0D">
      <w:pPr>
        <w:spacing w:line="312" w:lineRule="auto"/>
        <w:ind w:firstLine="735" w:firstLineChars="350"/>
        <w:jc w:val="left"/>
        <w:rPr>
          <w:color w:val="auto"/>
          <w:kern w:val="0"/>
          <w:szCs w:val="21"/>
          <w:highlight w:val="none"/>
        </w:rPr>
      </w:pPr>
      <w:r>
        <w:rPr>
          <w:rFonts w:hint="eastAsia"/>
          <w:color w:val="auto"/>
          <w:kern w:val="0"/>
          <w:szCs w:val="21"/>
          <w:highlight w:val="none"/>
        </w:rPr>
        <w:t>标项六</w:t>
      </w:r>
    </w:p>
    <w:p w14:paraId="78DCFAD4">
      <w:pPr>
        <w:spacing w:line="312" w:lineRule="auto"/>
        <w:ind w:firstLine="735" w:firstLineChars="350"/>
        <w:jc w:val="left"/>
        <w:rPr>
          <w:color w:val="auto"/>
          <w:kern w:val="0"/>
          <w:szCs w:val="21"/>
          <w:highlight w:val="none"/>
        </w:rPr>
      </w:pPr>
      <w:r>
        <w:rPr>
          <w:rFonts w:hint="eastAsia"/>
          <w:color w:val="auto"/>
          <w:kern w:val="0"/>
          <w:szCs w:val="21"/>
          <w:highlight w:val="none"/>
        </w:rPr>
        <w:t>标项名称：6分标：python开发与财务应用综合教学平台采购</w:t>
      </w:r>
    </w:p>
    <w:p w14:paraId="11CE0B9A">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2A220E25">
      <w:pPr>
        <w:spacing w:line="312" w:lineRule="auto"/>
        <w:ind w:firstLine="735" w:firstLineChars="350"/>
        <w:jc w:val="left"/>
        <w:rPr>
          <w:color w:val="auto"/>
          <w:kern w:val="0"/>
          <w:szCs w:val="21"/>
          <w:highlight w:val="none"/>
        </w:rPr>
      </w:pPr>
      <w:r>
        <w:rPr>
          <w:rFonts w:hint="eastAsia"/>
          <w:color w:val="auto"/>
          <w:kern w:val="0"/>
          <w:szCs w:val="21"/>
          <w:highlight w:val="none"/>
        </w:rPr>
        <w:t>预算金额（元）：490000.00</w:t>
      </w:r>
    </w:p>
    <w:p w14:paraId="79A73029">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简要规格描述或项目基本概况介绍、用途：python开发与财务应用综合教学平台采购1套。如需进一步了解详细内容，详见招标文件。</w:t>
      </w:r>
    </w:p>
    <w:p w14:paraId="44DF85C3">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490000.00</w:t>
      </w:r>
    </w:p>
    <w:p w14:paraId="50ADE6B2">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合同履约期限：签订合同后15天内供货到采购人指定地点</w:t>
      </w:r>
      <w:r>
        <w:rPr>
          <w:rFonts w:hint="eastAsia"/>
          <w:color w:val="auto"/>
          <w:kern w:val="0"/>
          <w:szCs w:val="21"/>
          <w:highlight w:val="none"/>
          <w:lang w:eastAsia="zh-CN"/>
        </w:rPr>
        <w:t>，</w:t>
      </w:r>
      <w:r>
        <w:rPr>
          <w:rFonts w:hint="eastAsia"/>
          <w:color w:val="auto"/>
          <w:kern w:val="0"/>
          <w:szCs w:val="21"/>
          <w:highlight w:val="none"/>
        </w:rPr>
        <w:t xml:space="preserve"> 中标人负责安装，并调试完毕。</w:t>
      </w:r>
    </w:p>
    <w:p w14:paraId="79EE37AA">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5BAF0A61">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6</w:t>
      </w:r>
    </w:p>
    <w:p w14:paraId="65A121F0">
      <w:pPr>
        <w:spacing w:line="312" w:lineRule="auto"/>
        <w:ind w:firstLine="735" w:firstLineChars="350"/>
        <w:jc w:val="left"/>
        <w:rPr>
          <w:color w:val="auto"/>
          <w:kern w:val="0"/>
          <w:szCs w:val="21"/>
          <w:highlight w:val="none"/>
        </w:rPr>
      </w:pPr>
    </w:p>
    <w:p w14:paraId="6EA17B1C">
      <w:pPr>
        <w:rPr>
          <w:color w:val="auto"/>
          <w:highlight w:val="none"/>
        </w:rPr>
      </w:pPr>
    </w:p>
    <w:p w14:paraId="4E3B1524">
      <w:pPr>
        <w:spacing w:line="312" w:lineRule="auto"/>
        <w:ind w:firstLine="735" w:firstLineChars="350"/>
        <w:jc w:val="left"/>
        <w:rPr>
          <w:color w:val="auto"/>
          <w:kern w:val="0"/>
          <w:szCs w:val="21"/>
          <w:highlight w:val="none"/>
        </w:rPr>
      </w:pPr>
      <w:r>
        <w:rPr>
          <w:rFonts w:hint="eastAsia"/>
          <w:color w:val="auto"/>
          <w:kern w:val="0"/>
          <w:szCs w:val="21"/>
          <w:highlight w:val="none"/>
        </w:rPr>
        <w:t>标项七</w:t>
      </w:r>
    </w:p>
    <w:p w14:paraId="034DF2C9">
      <w:pPr>
        <w:spacing w:line="312" w:lineRule="auto"/>
        <w:ind w:firstLine="735" w:firstLineChars="350"/>
        <w:jc w:val="left"/>
        <w:rPr>
          <w:color w:val="auto"/>
          <w:kern w:val="0"/>
          <w:szCs w:val="21"/>
          <w:highlight w:val="none"/>
        </w:rPr>
      </w:pPr>
      <w:r>
        <w:rPr>
          <w:rFonts w:hint="eastAsia"/>
          <w:color w:val="auto"/>
          <w:kern w:val="0"/>
          <w:szCs w:val="21"/>
          <w:highlight w:val="none"/>
        </w:rPr>
        <w:t>标项名称：7分标：智能审计实践教学平台采购</w:t>
      </w:r>
    </w:p>
    <w:p w14:paraId="1511B4E0">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72D4C56D">
      <w:pPr>
        <w:spacing w:line="312" w:lineRule="auto"/>
        <w:ind w:firstLine="735" w:firstLineChars="350"/>
        <w:jc w:val="left"/>
        <w:rPr>
          <w:color w:val="auto"/>
          <w:kern w:val="0"/>
          <w:szCs w:val="21"/>
          <w:highlight w:val="none"/>
        </w:rPr>
      </w:pPr>
      <w:r>
        <w:rPr>
          <w:rFonts w:hint="eastAsia"/>
          <w:color w:val="auto"/>
          <w:kern w:val="0"/>
          <w:szCs w:val="21"/>
          <w:highlight w:val="none"/>
        </w:rPr>
        <w:t>预算金额（元）：430000.00</w:t>
      </w:r>
    </w:p>
    <w:p w14:paraId="685E43E7">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简要规格描述或项目基本概况介绍、用途：智能审计实践教学平台采购1套。如需进一步了解详细内容，详见招标文件。</w:t>
      </w:r>
    </w:p>
    <w:p w14:paraId="343BD0DF">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430000.00</w:t>
      </w:r>
    </w:p>
    <w:p w14:paraId="46BE021F">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合同履约期限：签订合同后15天内供货到采购人指定地点</w:t>
      </w:r>
      <w:r>
        <w:rPr>
          <w:rFonts w:hint="eastAsia"/>
          <w:color w:val="auto"/>
          <w:kern w:val="0"/>
          <w:szCs w:val="21"/>
          <w:highlight w:val="none"/>
          <w:lang w:eastAsia="zh-CN"/>
        </w:rPr>
        <w:t>，</w:t>
      </w:r>
      <w:r>
        <w:rPr>
          <w:rFonts w:hint="eastAsia"/>
          <w:color w:val="auto"/>
          <w:kern w:val="0"/>
          <w:szCs w:val="21"/>
          <w:highlight w:val="none"/>
        </w:rPr>
        <w:t xml:space="preserve"> 中标人负责安装，并调试完毕。</w:t>
      </w:r>
    </w:p>
    <w:p w14:paraId="7C2FBA45">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75877CD7">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7</w:t>
      </w:r>
    </w:p>
    <w:p w14:paraId="47E720C6">
      <w:pPr>
        <w:spacing w:line="312" w:lineRule="auto"/>
        <w:ind w:firstLine="735" w:firstLineChars="350"/>
        <w:jc w:val="left"/>
        <w:rPr>
          <w:color w:val="auto"/>
          <w:kern w:val="0"/>
          <w:szCs w:val="21"/>
          <w:highlight w:val="none"/>
        </w:rPr>
      </w:pPr>
    </w:p>
    <w:p w14:paraId="205D76C6">
      <w:pPr>
        <w:spacing w:line="312" w:lineRule="auto"/>
        <w:ind w:firstLine="735" w:firstLineChars="350"/>
        <w:jc w:val="left"/>
        <w:rPr>
          <w:color w:val="auto"/>
          <w:kern w:val="0"/>
          <w:szCs w:val="21"/>
          <w:highlight w:val="none"/>
        </w:rPr>
      </w:pPr>
      <w:r>
        <w:rPr>
          <w:rFonts w:hint="eastAsia"/>
          <w:color w:val="auto"/>
          <w:kern w:val="0"/>
          <w:szCs w:val="21"/>
          <w:highlight w:val="none"/>
        </w:rPr>
        <w:t>标项八</w:t>
      </w:r>
    </w:p>
    <w:p w14:paraId="362DA9A2">
      <w:pPr>
        <w:spacing w:line="312" w:lineRule="auto"/>
        <w:ind w:firstLine="735" w:firstLineChars="350"/>
        <w:jc w:val="left"/>
        <w:rPr>
          <w:color w:val="auto"/>
          <w:kern w:val="0"/>
          <w:szCs w:val="21"/>
          <w:highlight w:val="none"/>
        </w:rPr>
      </w:pPr>
      <w:r>
        <w:rPr>
          <w:rFonts w:hint="eastAsia"/>
          <w:color w:val="auto"/>
          <w:kern w:val="0"/>
          <w:szCs w:val="21"/>
          <w:highlight w:val="none"/>
        </w:rPr>
        <w:t>标项名称：8分标：跨境电商B2B综合实训平台采购</w:t>
      </w:r>
    </w:p>
    <w:p w14:paraId="123FB323">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0894929A">
      <w:pPr>
        <w:spacing w:line="312" w:lineRule="auto"/>
        <w:ind w:firstLine="735" w:firstLineChars="350"/>
        <w:jc w:val="left"/>
        <w:rPr>
          <w:color w:val="auto"/>
          <w:kern w:val="0"/>
          <w:szCs w:val="21"/>
          <w:highlight w:val="none"/>
        </w:rPr>
      </w:pPr>
      <w:r>
        <w:rPr>
          <w:rFonts w:hint="eastAsia"/>
          <w:color w:val="auto"/>
          <w:kern w:val="0"/>
          <w:szCs w:val="21"/>
          <w:highlight w:val="none"/>
        </w:rPr>
        <w:t>预算金额（元）：280000.00</w:t>
      </w:r>
    </w:p>
    <w:p w14:paraId="06CABAF5">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简要规格描述或项目基本概况介绍、用途：跨境电商B2B综合实训平台采购1套。如需进一步了解详细内容，详见招标文件。</w:t>
      </w:r>
    </w:p>
    <w:p w14:paraId="1627C651">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280000.00</w:t>
      </w:r>
    </w:p>
    <w:p w14:paraId="0934B2FB">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631285B0">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647910CB">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8</w:t>
      </w:r>
    </w:p>
    <w:p w14:paraId="5C0F31B0">
      <w:pPr>
        <w:spacing w:line="312" w:lineRule="auto"/>
        <w:ind w:firstLine="735" w:firstLineChars="350"/>
        <w:jc w:val="left"/>
        <w:rPr>
          <w:color w:val="auto"/>
          <w:kern w:val="0"/>
          <w:szCs w:val="21"/>
          <w:highlight w:val="none"/>
        </w:rPr>
      </w:pPr>
    </w:p>
    <w:p w14:paraId="57AC0F25">
      <w:pPr>
        <w:spacing w:line="312" w:lineRule="auto"/>
        <w:ind w:firstLine="735" w:firstLineChars="350"/>
        <w:jc w:val="left"/>
        <w:rPr>
          <w:color w:val="auto"/>
          <w:kern w:val="0"/>
          <w:szCs w:val="21"/>
          <w:highlight w:val="none"/>
        </w:rPr>
      </w:pPr>
      <w:r>
        <w:rPr>
          <w:rFonts w:hint="eastAsia"/>
          <w:color w:val="auto"/>
          <w:kern w:val="0"/>
          <w:szCs w:val="21"/>
          <w:highlight w:val="none"/>
        </w:rPr>
        <w:t>标项九</w:t>
      </w:r>
    </w:p>
    <w:p w14:paraId="63B17F0E">
      <w:pPr>
        <w:spacing w:line="312" w:lineRule="auto"/>
        <w:ind w:firstLine="735" w:firstLineChars="350"/>
        <w:jc w:val="left"/>
        <w:rPr>
          <w:color w:val="auto"/>
          <w:kern w:val="0"/>
          <w:szCs w:val="21"/>
          <w:highlight w:val="none"/>
        </w:rPr>
      </w:pPr>
      <w:r>
        <w:rPr>
          <w:rFonts w:hint="eastAsia"/>
          <w:color w:val="auto"/>
          <w:kern w:val="0"/>
          <w:szCs w:val="21"/>
          <w:highlight w:val="none"/>
        </w:rPr>
        <w:t>标项名称：9分标：金融科技实验实训软件采购</w:t>
      </w:r>
    </w:p>
    <w:p w14:paraId="44A6F664">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63076C1C">
      <w:pPr>
        <w:spacing w:line="312" w:lineRule="auto"/>
        <w:ind w:firstLine="735" w:firstLineChars="350"/>
        <w:jc w:val="left"/>
        <w:rPr>
          <w:color w:val="auto"/>
          <w:kern w:val="0"/>
          <w:szCs w:val="21"/>
          <w:highlight w:val="none"/>
        </w:rPr>
      </w:pPr>
      <w:r>
        <w:rPr>
          <w:rFonts w:hint="eastAsia"/>
          <w:color w:val="auto"/>
          <w:kern w:val="0"/>
          <w:szCs w:val="21"/>
          <w:highlight w:val="none"/>
        </w:rPr>
        <w:t>预算金额（元）：600000.00</w:t>
      </w:r>
    </w:p>
    <w:p w14:paraId="379CD400">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金融科技实验实训软件采购1套，包括区块链创新应用实训平台、金融岗位技能实习平台软件、金融投资实战软件、个人理财教学实训平台、银行票据业务实训教学实训平台。如需进一步了解详细内容，详见招标文件。</w:t>
      </w:r>
    </w:p>
    <w:p w14:paraId="461CE9F0">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600000.00</w:t>
      </w:r>
    </w:p>
    <w:p w14:paraId="25CB3D63">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56F0E64D">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3346B760">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-00</w:t>
      </w:r>
      <w:r>
        <w:rPr>
          <w:rFonts w:hint="eastAsia"/>
          <w:color w:val="auto"/>
          <w:szCs w:val="21"/>
          <w:highlight w:val="none"/>
          <w:lang w:val="en-US" w:eastAsia="zh-CN" w:bidi="ar"/>
        </w:rPr>
        <w:t>9</w:t>
      </w:r>
    </w:p>
    <w:p w14:paraId="7844731B">
      <w:pPr>
        <w:pStyle w:val="59"/>
        <w:rPr>
          <w:color w:val="auto"/>
          <w:highlight w:val="none"/>
        </w:rPr>
      </w:pPr>
    </w:p>
    <w:p w14:paraId="33A49521">
      <w:pPr>
        <w:spacing w:line="312" w:lineRule="auto"/>
        <w:ind w:firstLine="735" w:firstLineChars="350"/>
        <w:jc w:val="left"/>
        <w:rPr>
          <w:color w:val="auto"/>
          <w:kern w:val="0"/>
          <w:szCs w:val="21"/>
          <w:highlight w:val="none"/>
        </w:rPr>
      </w:pPr>
      <w:r>
        <w:rPr>
          <w:rFonts w:hint="eastAsia"/>
          <w:color w:val="auto"/>
          <w:kern w:val="0"/>
          <w:szCs w:val="21"/>
          <w:highlight w:val="none"/>
        </w:rPr>
        <w:t>标项十</w:t>
      </w:r>
    </w:p>
    <w:p w14:paraId="61E113B0">
      <w:pPr>
        <w:spacing w:line="312" w:lineRule="auto"/>
        <w:ind w:firstLine="735" w:firstLineChars="350"/>
        <w:jc w:val="left"/>
        <w:rPr>
          <w:color w:val="auto"/>
          <w:kern w:val="0"/>
          <w:szCs w:val="21"/>
          <w:highlight w:val="none"/>
        </w:rPr>
      </w:pPr>
      <w:r>
        <w:rPr>
          <w:rFonts w:hint="eastAsia"/>
          <w:color w:val="auto"/>
          <w:kern w:val="0"/>
          <w:szCs w:val="21"/>
          <w:highlight w:val="none"/>
        </w:rPr>
        <w:t>标项名称：10分标：数字经济实验实训软件采购</w:t>
      </w:r>
    </w:p>
    <w:p w14:paraId="3D31302D">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28BE0B00">
      <w:pPr>
        <w:spacing w:line="312" w:lineRule="auto"/>
        <w:ind w:firstLine="735" w:firstLineChars="350"/>
        <w:jc w:val="left"/>
        <w:rPr>
          <w:color w:val="auto"/>
          <w:kern w:val="0"/>
          <w:szCs w:val="21"/>
          <w:highlight w:val="none"/>
        </w:rPr>
      </w:pPr>
      <w:r>
        <w:rPr>
          <w:rFonts w:hint="eastAsia"/>
          <w:color w:val="auto"/>
          <w:kern w:val="0"/>
          <w:szCs w:val="21"/>
          <w:highlight w:val="none"/>
        </w:rPr>
        <w:t>预算金额（元）：720000.00</w:t>
      </w:r>
    </w:p>
    <w:p w14:paraId="162A0744">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数字经济实验实训软件采购1套，包括商务数据分析理实一体化系统、数字贸易运营理实一体化系统、基于用户画像分析的精准营销实验软件、基于内容营销的IP打造和运营实验软件。如需进一步了解详细内容，详见招标文件。</w:t>
      </w:r>
    </w:p>
    <w:p w14:paraId="0C347485">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720000.00</w:t>
      </w:r>
    </w:p>
    <w:p w14:paraId="1B89C170">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71AC6568">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2C4970D0">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w:t>
      </w:r>
      <w:r>
        <w:rPr>
          <w:rFonts w:hint="eastAsia"/>
          <w:color w:val="auto"/>
          <w:szCs w:val="21"/>
          <w:highlight w:val="none"/>
          <w:lang w:val="en-US" w:eastAsia="zh-CN" w:bidi="ar"/>
        </w:rPr>
        <w:t>10</w:t>
      </w:r>
    </w:p>
    <w:p w14:paraId="22379982">
      <w:pPr>
        <w:pStyle w:val="2"/>
        <w:ind w:firstLine="210"/>
        <w:rPr>
          <w:color w:val="auto"/>
          <w:kern w:val="0"/>
          <w:szCs w:val="21"/>
          <w:highlight w:val="none"/>
        </w:rPr>
      </w:pPr>
    </w:p>
    <w:p w14:paraId="764C30B4">
      <w:pPr>
        <w:spacing w:line="312" w:lineRule="auto"/>
        <w:ind w:firstLine="735" w:firstLineChars="350"/>
        <w:jc w:val="left"/>
        <w:rPr>
          <w:color w:val="auto"/>
          <w:kern w:val="0"/>
          <w:szCs w:val="21"/>
          <w:highlight w:val="none"/>
        </w:rPr>
      </w:pPr>
      <w:r>
        <w:rPr>
          <w:rFonts w:hint="eastAsia"/>
          <w:color w:val="auto"/>
          <w:kern w:val="0"/>
          <w:szCs w:val="21"/>
          <w:highlight w:val="none"/>
        </w:rPr>
        <w:t>标项十一</w:t>
      </w:r>
    </w:p>
    <w:p w14:paraId="7F2AAB36">
      <w:pPr>
        <w:spacing w:line="312" w:lineRule="auto"/>
        <w:ind w:firstLine="735" w:firstLineChars="350"/>
        <w:jc w:val="left"/>
        <w:rPr>
          <w:color w:val="auto"/>
          <w:kern w:val="0"/>
          <w:szCs w:val="21"/>
          <w:highlight w:val="none"/>
        </w:rPr>
      </w:pPr>
      <w:r>
        <w:rPr>
          <w:rFonts w:hint="eastAsia"/>
          <w:color w:val="auto"/>
          <w:kern w:val="0"/>
          <w:szCs w:val="21"/>
          <w:highlight w:val="none"/>
        </w:rPr>
        <w:t>标项名称：11分标：BIM计量软件采购</w:t>
      </w:r>
    </w:p>
    <w:p w14:paraId="4313A2BD">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0E732D80">
      <w:pPr>
        <w:spacing w:line="312" w:lineRule="auto"/>
        <w:ind w:firstLine="735" w:firstLineChars="350"/>
        <w:jc w:val="left"/>
        <w:rPr>
          <w:color w:val="auto"/>
          <w:kern w:val="0"/>
          <w:szCs w:val="21"/>
          <w:highlight w:val="none"/>
        </w:rPr>
      </w:pPr>
      <w:r>
        <w:rPr>
          <w:rFonts w:hint="eastAsia"/>
          <w:color w:val="auto"/>
          <w:kern w:val="0"/>
          <w:szCs w:val="21"/>
          <w:highlight w:val="none"/>
        </w:rPr>
        <w:t>预算金额（元）：528000.00</w:t>
      </w:r>
    </w:p>
    <w:p w14:paraId="29012EEA">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简要规格描述或项目基本概况介绍、用途：BIM计量软件采购1套，主要包括广联达BIM土建计量平台GTJ2025和广联达BIM安装计量平台GQI2021。如需进一步了解详细内容，详见招标文件。</w:t>
      </w:r>
    </w:p>
    <w:p w14:paraId="3677A7B6">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528000.00</w:t>
      </w:r>
    </w:p>
    <w:p w14:paraId="31778F18">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合同履约期限：自签订合同之日起60日历天内完成采购、安装调试并通过验收。</w:t>
      </w:r>
    </w:p>
    <w:p w14:paraId="423523D6">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否接受</w:t>
      </w:r>
      <w:r>
        <w:rPr>
          <w:color w:val="auto"/>
          <w:kern w:val="0"/>
          <w:szCs w:val="21"/>
          <w:highlight w:val="none"/>
        </w:rPr>
        <w:t>联合体投标。</w:t>
      </w:r>
    </w:p>
    <w:p w14:paraId="08A5E76B">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备注：采购计划号：</w:t>
      </w:r>
      <w:r>
        <w:rPr>
          <w:rFonts w:hint="eastAsia"/>
          <w:color w:val="auto"/>
          <w:szCs w:val="21"/>
          <w:highlight w:val="none"/>
          <w:lang w:bidi="ar"/>
        </w:rPr>
        <w:t>广西政采</w:t>
      </w:r>
      <w:r>
        <w:rPr>
          <w:color w:val="auto"/>
          <w:szCs w:val="21"/>
          <w:highlight w:val="none"/>
          <w:lang w:bidi="ar"/>
        </w:rPr>
        <w:t>[2024]18536</w:t>
      </w:r>
      <w:r>
        <w:rPr>
          <w:rFonts w:hint="eastAsia"/>
          <w:color w:val="auto"/>
          <w:szCs w:val="21"/>
          <w:highlight w:val="none"/>
          <w:lang w:bidi="ar"/>
        </w:rPr>
        <w:t>号</w:t>
      </w:r>
      <w:r>
        <w:rPr>
          <w:color w:val="auto"/>
          <w:szCs w:val="21"/>
          <w:highlight w:val="none"/>
          <w:lang w:bidi="ar"/>
        </w:rPr>
        <w:t>-0</w:t>
      </w:r>
      <w:r>
        <w:rPr>
          <w:rFonts w:hint="eastAsia"/>
          <w:color w:val="auto"/>
          <w:szCs w:val="21"/>
          <w:highlight w:val="none"/>
          <w:lang w:val="en-US" w:eastAsia="zh-CN" w:bidi="ar"/>
        </w:rPr>
        <w:t>11</w:t>
      </w:r>
    </w:p>
    <w:p w14:paraId="1CDBFAD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450B93F7">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4512C43D">
      <w:pPr>
        <w:spacing w:line="312" w:lineRule="auto"/>
        <w:ind w:firstLine="420" w:firstLineChars="200"/>
        <w:jc w:val="left"/>
        <w:rPr>
          <w:strike/>
          <w:color w:val="auto"/>
          <w:kern w:val="0"/>
          <w:szCs w:val="21"/>
          <w:highlight w:val="none"/>
        </w:rPr>
      </w:pPr>
      <w:r>
        <w:rPr>
          <w:rFonts w:hint="eastAsia"/>
          <w:color w:val="auto"/>
          <w:szCs w:val="21"/>
          <w:highlight w:val="none"/>
        </w:rPr>
        <w:t>2.落实政府采购政策需满足的资格要求：</w:t>
      </w:r>
      <w:bookmarkStart w:id="15" w:name="_Hlk132732708"/>
      <w:r>
        <w:rPr>
          <w:rFonts w:hint="eastAsia"/>
          <w:color w:val="auto"/>
          <w:kern w:val="0"/>
          <w:szCs w:val="21"/>
          <w:highlight w:val="none"/>
        </w:rPr>
        <w:t>无</w:t>
      </w:r>
    </w:p>
    <w:bookmarkEnd w:id="15"/>
    <w:p w14:paraId="1CE33EA6">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7BBFA69F">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无</w:t>
      </w:r>
      <w:r>
        <w:rPr>
          <w:color w:val="auto"/>
          <w:kern w:val="0"/>
          <w:szCs w:val="21"/>
          <w:highlight w:val="none"/>
        </w:rPr>
        <w:t>。</w:t>
      </w:r>
    </w:p>
    <w:p w14:paraId="35521F7E">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6" w:name="_Hlk77608117"/>
    </w:p>
    <w:bookmarkEnd w:id="16"/>
    <w:p w14:paraId="2A246C82">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34FF91D4">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2F73A3EB">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20ED5913">
      <w:pPr>
        <w:spacing w:line="312" w:lineRule="auto"/>
        <w:ind w:firstLine="420" w:firstLineChars="200"/>
        <w:jc w:val="left"/>
        <w:rPr>
          <w:color w:val="auto"/>
          <w:kern w:val="0"/>
          <w:szCs w:val="21"/>
          <w:highlight w:val="none"/>
        </w:rPr>
      </w:pPr>
      <w:bookmarkStart w:id="17"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19A3BD8F">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7"/>
    <w:p w14:paraId="248472DA">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51CD9AC5">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294BA4FA">
      <w:pPr>
        <w:spacing w:line="312" w:lineRule="auto"/>
        <w:ind w:firstLine="420" w:firstLineChars="200"/>
        <w:jc w:val="left"/>
        <w:rPr>
          <w:color w:val="auto"/>
          <w:highlight w:val="none"/>
        </w:rPr>
      </w:pPr>
      <w:bookmarkStart w:id="18" w:name="_Hlk19048251"/>
      <w:r>
        <w:rPr>
          <w:rFonts w:hint="eastAsia"/>
          <w:color w:val="auto"/>
          <w:highlight w:val="none"/>
        </w:rPr>
        <w:t>时间：</w:t>
      </w:r>
      <w:r>
        <w:rPr>
          <w:color w:val="auto"/>
          <w:highlight w:val="none"/>
          <w:u w:val="single"/>
        </w:rPr>
        <w:t>20</w:t>
      </w:r>
      <w:r>
        <w:rPr>
          <w:rFonts w:hint="eastAsia"/>
          <w:color w:val="auto"/>
          <w:highlight w:val="none"/>
          <w:u w:val="single"/>
        </w:rPr>
        <w:t>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18</w:t>
      </w:r>
      <w:r>
        <w:rPr>
          <w:rFonts w:hint="eastAsia"/>
          <w:color w:val="auto"/>
          <w:highlight w:val="none"/>
          <w:u w:val="single"/>
        </w:rPr>
        <w:t>日起至2</w:t>
      </w:r>
      <w:r>
        <w:rPr>
          <w:color w:val="auto"/>
          <w:highlight w:val="none"/>
          <w:u w:val="single"/>
        </w:rPr>
        <w:t>0</w:t>
      </w:r>
      <w:r>
        <w:rPr>
          <w:rFonts w:hint="eastAsia"/>
          <w:color w:val="auto"/>
          <w:highlight w:val="none"/>
          <w:u w:val="single"/>
        </w:rPr>
        <w:t>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25</w:t>
      </w:r>
      <w:r>
        <w:rPr>
          <w:rFonts w:hint="eastAsia"/>
          <w:color w:val="auto"/>
          <w:highlight w:val="none"/>
          <w:u w:val="single"/>
        </w:rPr>
        <w:t>日</w:t>
      </w:r>
      <w:r>
        <w:rPr>
          <w:rFonts w:hint="eastAsia"/>
          <w:color w:val="auto"/>
          <w:highlight w:val="none"/>
        </w:rPr>
        <w:t>，每天上午</w:t>
      </w:r>
      <w:r>
        <w:rPr>
          <w:rFonts w:hint="eastAsia"/>
          <w:color w:val="auto"/>
          <w:highlight w:val="none"/>
          <w:u w:val="single"/>
        </w:rPr>
        <w:t>8时30分至12时00分，下午14时30分至17时30分</w:t>
      </w:r>
      <w:r>
        <w:rPr>
          <w:rFonts w:hint="eastAsia"/>
          <w:color w:val="auto"/>
          <w:highlight w:val="none"/>
        </w:rPr>
        <w:t>（北京时间，法定节假日除外）。</w:t>
      </w:r>
    </w:p>
    <w:p w14:paraId="71347434">
      <w:pPr>
        <w:spacing w:line="312" w:lineRule="auto"/>
        <w:ind w:firstLine="420" w:firstLineChars="200"/>
        <w:jc w:val="left"/>
        <w:rPr>
          <w:rFonts w:ascii="宋体" w:hAnsi="宋体" w:cs="宋体"/>
          <w:color w:val="auto"/>
          <w:szCs w:val="21"/>
          <w:highlight w:val="none"/>
        </w:rPr>
      </w:pPr>
      <w:r>
        <w:rPr>
          <w:rFonts w:hint="eastAsia"/>
          <w:color w:val="auto"/>
          <w:highlight w:val="none"/>
        </w:rPr>
        <w:t>地点（网址）：</w:t>
      </w:r>
      <w:bookmarkStart w:id="19" w:name="_Hlk160186293"/>
      <w:r>
        <w:rPr>
          <w:rFonts w:hint="eastAsia" w:ascii="Arial" w:hAnsi="Arial" w:cs="Arial"/>
          <w:color w:val="auto"/>
          <w:kern w:val="0"/>
          <w:szCs w:val="21"/>
          <w:highlight w:val="none"/>
        </w:rPr>
        <w:t>广西政府采购云</w:t>
      </w:r>
      <w:r>
        <w:rPr>
          <w:rFonts w:hint="eastAsia" w:ascii="宋体" w:hAnsi="宋体" w:cs="宋体"/>
          <w:color w:val="auto"/>
          <w:kern w:val="0"/>
          <w:szCs w:val="21"/>
          <w:highlight w:val="none"/>
        </w:rPr>
        <w:t>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宋体" w:hAnsi="宋体" w:cs="宋体"/>
          <w:color w:val="auto"/>
          <w:kern w:val="0"/>
          <w:szCs w:val="21"/>
          <w:highlight w:val="none"/>
        </w:rPr>
        <w:t>https://www.gcy.zfcg.gxzf.gov.cn/</w:t>
      </w:r>
      <w:r>
        <w:rPr>
          <w:rStyle w:val="57"/>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bookmarkEnd w:id="19"/>
    <w:p w14:paraId="5674CC9A">
      <w:pPr>
        <w:spacing w:line="312" w:lineRule="auto"/>
        <w:ind w:firstLine="420" w:firstLineChars="200"/>
        <w:jc w:val="left"/>
        <w:rPr>
          <w:color w:val="auto"/>
          <w:szCs w:val="21"/>
          <w:highlight w:val="none"/>
        </w:rPr>
      </w:pPr>
      <w:r>
        <w:rPr>
          <w:rFonts w:hint="eastAsia"/>
          <w:color w:val="auto"/>
          <w:szCs w:val="21"/>
          <w:highlight w:val="none"/>
        </w:rPr>
        <w:t>方式：</w:t>
      </w:r>
      <w:bookmarkStart w:id="20"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20"/>
    <w:p w14:paraId="61F11ED6">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8"/>
    <w:p w14:paraId="628115D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3AB4B02A">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21" w:name="_Hlk88997050"/>
      <w:r>
        <w:rPr>
          <w:color w:val="auto"/>
          <w:kern w:val="0"/>
          <w:szCs w:val="21"/>
          <w:highlight w:val="none"/>
          <w:u w:val="single"/>
        </w:rPr>
        <w:t>20</w:t>
      </w:r>
      <w:r>
        <w:rPr>
          <w:rFonts w:hint="eastAsia"/>
          <w:color w:val="auto"/>
          <w:kern w:val="0"/>
          <w:szCs w:val="21"/>
          <w:highlight w:val="none"/>
          <w:u w:val="single"/>
        </w:rPr>
        <w:t>24</w:t>
      </w:r>
      <w:r>
        <w:rPr>
          <w:color w:val="auto"/>
          <w:kern w:val="0"/>
          <w:szCs w:val="21"/>
          <w:highlight w:val="none"/>
          <w:u w:val="single"/>
        </w:rPr>
        <w:t>年</w:t>
      </w:r>
      <w:r>
        <w:rPr>
          <w:rFonts w:hint="eastAsia"/>
          <w:color w:val="auto"/>
          <w:kern w:val="0"/>
          <w:szCs w:val="21"/>
          <w:highlight w:val="none"/>
          <w:u w:val="single"/>
          <w:lang w:val="en-US" w:eastAsia="zh-CN"/>
        </w:rPr>
        <w:t>11</w:t>
      </w:r>
      <w:r>
        <w:rPr>
          <w:color w:val="auto"/>
          <w:kern w:val="0"/>
          <w:szCs w:val="21"/>
          <w:highlight w:val="none"/>
          <w:u w:val="single"/>
        </w:rPr>
        <w:t>月</w:t>
      </w:r>
      <w:r>
        <w:rPr>
          <w:rFonts w:hint="eastAsia"/>
          <w:color w:val="auto"/>
          <w:kern w:val="0"/>
          <w:szCs w:val="21"/>
          <w:highlight w:val="none"/>
          <w:u w:val="single"/>
          <w:lang w:val="en-US" w:eastAsia="zh-CN"/>
        </w:rPr>
        <w:t>8</w:t>
      </w:r>
      <w:r>
        <w:rPr>
          <w:color w:val="auto"/>
          <w:kern w:val="0"/>
          <w:szCs w:val="21"/>
          <w:highlight w:val="none"/>
          <w:u w:val="single"/>
        </w:rPr>
        <w:t>日</w:t>
      </w:r>
      <w:bookmarkEnd w:id="21"/>
      <w:r>
        <w:rPr>
          <w:color w:val="auto"/>
          <w:kern w:val="0"/>
          <w:szCs w:val="21"/>
          <w:highlight w:val="none"/>
          <w:u w:val="single"/>
          <w:lang w:bidi="ar"/>
        </w:rPr>
        <w:t>9</w:t>
      </w:r>
      <w:r>
        <w:rPr>
          <w:rFonts w:hint="eastAsia" w:cs="宋体"/>
          <w:color w:val="auto"/>
          <w:kern w:val="0"/>
          <w:szCs w:val="21"/>
          <w:highlight w:val="none"/>
          <w:u w:val="single"/>
          <w:lang w:bidi="ar"/>
        </w:rPr>
        <w:t>时</w:t>
      </w:r>
      <w:r>
        <w:rPr>
          <w:color w:val="auto"/>
          <w:kern w:val="0"/>
          <w:szCs w:val="21"/>
          <w:highlight w:val="none"/>
          <w:u w:val="single"/>
          <w:lang w:bidi="ar"/>
        </w:rPr>
        <w:t>30</w:t>
      </w:r>
      <w:r>
        <w:rPr>
          <w:rFonts w:hint="eastAsia" w:cs="宋体"/>
          <w:color w:val="auto"/>
          <w:kern w:val="0"/>
          <w:szCs w:val="21"/>
          <w:highlight w:val="none"/>
          <w:u w:val="single"/>
          <w:lang w:bidi="ar"/>
        </w:rPr>
        <w:t>分</w:t>
      </w:r>
      <w:r>
        <w:rPr>
          <w:rFonts w:hint="eastAsia"/>
          <w:color w:val="auto"/>
          <w:kern w:val="0"/>
          <w:szCs w:val="21"/>
          <w:highlight w:val="none"/>
        </w:rPr>
        <w:t>（北京时间）</w:t>
      </w:r>
    </w:p>
    <w:p w14:paraId="04BB61B3">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2" w:name="_Hlk88997081"/>
      <w:r>
        <w:rPr>
          <w:rFonts w:hint="eastAsia"/>
          <w:color w:val="auto"/>
          <w:szCs w:val="21"/>
          <w:highlight w:val="none"/>
        </w:rPr>
        <w:t>本项目为全流程电子化项目，没有现场递交投标文件及现场开标环节，通过广西政府采购云平台</w:t>
      </w:r>
      <w:bookmarkStart w:id="23" w:name="_Hlk160186485"/>
      <w:r>
        <w:rPr>
          <w:rFonts w:hint="eastAsia"/>
          <w:color w:val="auto"/>
          <w:szCs w:val="21"/>
          <w:highlight w:val="none"/>
        </w:rPr>
        <w:t>（https://www.gcy.zfcg.gxzf.gov.cn/）</w:t>
      </w:r>
      <w:bookmarkEnd w:id="23"/>
      <w:r>
        <w:rPr>
          <w:rFonts w:hint="eastAsia"/>
          <w:color w:val="auto"/>
          <w:szCs w:val="21"/>
          <w:highlight w:val="none"/>
        </w:rPr>
        <w:t>实行在线电子投标，供应商应先安装</w:t>
      </w:r>
      <w:bookmarkStart w:id="24" w:name="_Hlk160186504"/>
      <w:r>
        <w:rPr>
          <w:rFonts w:hint="eastAsia"/>
          <w:color w:val="auto"/>
          <w:szCs w:val="21"/>
          <w:highlight w:val="none"/>
        </w:rPr>
        <w:t>广西政府采购云平台新版客户端（请自行前往广西政府采购网</w:t>
      </w:r>
      <w:r>
        <w:rPr>
          <w:rFonts w:hint="eastAsia"/>
          <w:color w:val="auto"/>
          <w:szCs w:val="21"/>
          <w:highlight w:val="none"/>
          <w:lang w:eastAsia="zh-CN"/>
        </w:rPr>
        <w:t>－</w:t>
      </w:r>
      <w:r>
        <w:rPr>
          <w:rFonts w:hint="eastAsia"/>
          <w:color w:val="auto"/>
          <w:szCs w:val="21"/>
          <w:highlight w:val="none"/>
        </w:rPr>
        <w:t>办事服务</w:t>
      </w:r>
      <w:r>
        <w:rPr>
          <w:rFonts w:hint="eastAsia"/>
          <w:color w:val="auto"/>
          <w:szCs w:val="21"/>
          <w:highlight w:val="none"/>
          <w:lang w:eastAsia="zh-CN"/>
        </w:rPr>
        <w:t>－</w:t>
      </w:r>
      <w:r>
        <w:rPr>
          <w:rFonts w:hint="eastAsia"/>
          <w:color w:val="auto"/>
          <w:szCs w:val="21"/>
          <w:highlight w:val="none"/>
        </w:rPr>
        <w:t>下载专区进行下载）</w:t>
      </w:r>
      <w:bookmarkEnd w:id="24"/>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2"/>
    <w:p w14:paraId="25691261">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u w:val="single"/>
        </w:rPr>
        <w:t>20</w:t>
      </w:r>
      <w:r>
        <w:rPr>
          <w:rFonts w:hint="eastAsia"/>
          <w:color w:val="auto"/>
          <w:kern w:val="0"/>
          <w:szCs w:val="21"/>
          <w:highlight w:val="none"/>
          <w:u w:val="single"/>
        </w:rPr>
        <w:t>24</w:t>
      </w:r>
      <w:r>
        <w:rPr>
          <w:color w:val="auto"/>
          <w:kern w:val="0"/>
          <w:szCs w:val="21"/>
          <w:highlight w:val="none"/>
          <w:u w:val="single"/>
        </w:rPr>
        <w:t>年</w:t>
      </w:r>
      <w:r>
        <w:rPr>
          <w:rFonts w:hint="eastAsia"/>
          <w:color w:val="auto"/>
          <w:kern w:val="0"/>
          <w:szCs w:val="21"/>
          <w:highlight w:val="none"/>
          <w:u w:val="single"/>
          <w:lang w:val="en-US" w:eastAsia="zh-CN"/>
        </w:rPr>
        <w:t>11</w:t>
      </w:r>
      <w:r>
        <w:rPr>
          <w:color w:val="auto"/>
          <w:kern w:val="0"/>
          <w:szCs w:val="21"/>
          <w:highlight w:val="none"/>
          <w:u w:val="single"/>
        </w:rPr>
        <w:t>月</w:t>
      </w:r>
      <w:r>
        <w:rPr>
          <w:rFonts w:hint="eastAsia"/>
          <w:color w:val="auto"/>
          <w:kern w:val="0"/>
          <w:szCs w:val="21"/>
          <w:highlight w:val="none"/>
          <w:u w:val="single"/>
          <w:lang w:val="en-US" w:eastAsia="zh-CN"/>
        </w:rPr>
        <w:t>8</w:t>
      </w:r>
      <w:r>
        <w:rPr>
          <w:color w:val="auto"/>
          <w:kern w:val="0"/>
          <w:szCs w:val="21"/>
          <w:highlight w:val="none"/>
          <w:u w:val="single"/>
        </w:rPr>
        <w:t>日</w:t>
      </w:r>
      <w:r>
        <w:rPr>
          <w:color w:val="auto"/>
          <w:kern w:val="0"/>
          <w:szCs w:val="21"/>
          <w:highlight w:val="none"/>
          <w:u w:val="single"/>
          <w:lang w:bidi="ar"/>
        </w:rPr>
        <w:t>9</w:t>
      </w:r>
      <w:r>
        <w:rPr>
          <w:rFonts w:hint="eastAsia" w:cs="宋体"/>
          <w:color w:val="auto"/>
          <w:kern w:val="0"/>
          <w:szCs w:val="21"/>
          <w:highlight w:val="none"/>
          <w:u w:val="single"/>
          <w:lang w:bidi="ar"/>
        </w:rPr>
        <w:t>时</w:t>
      </w:r>
      <w:r>
        <w:rPr>
          <w:color w:val="auto"/>
          <w:kern w:val="0"/>
          <w:szCs w:val="21"/>
          <w:highlight w:val="none"/>
          <w:u w:val="single"/>
          <w:lang w:bidi="ar"/>
        </w:rPr>
        <w:t>30</w:t>
      </w:r>
      <w:r>
        <w:rPr>
          <w:rFonts w:hint="eastAsia" w:cs="宋体"/>
          <w:color w:val="auto"/>
          <w:kern w:val="0"/>
          <w:szCs w:val="21"/>
          <w:highlight w:val="none"/>
          <w:u w:val="single"/>
          <w:lang w:bidi="ar"/>
        </w:rPr>
        <w:t>分</w:t>
      </w:r>
      <w:r>
        <w:rPr>
          <w:color w:val="auto"/>
          <w:kern w:val="0"/>
          <w:szCs w:val="21"/>
          <w:highlight w:val="none"/>
          <w:u w:val="single"/>
        </w:rPr>
        <w:t xml:space="preserve">   </w:t>
      </w:r>
    </w:p>
    <w:p w14:paraId="35CD7AC6">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5" w:name="_Hlk88997106"/>
      <w:r>
        <w:rPr>
          <w:rFonts w:hint="eastAsia"/>
          <w:color w:val="auto"/>
          <w:szCs w:val="21"/>
          <w:highlight w:val="none"/>
        </w:rPr>
        <w:t>供应商登录广西政府采购云平台电子开标大厅开标。</w:t>
      </w:r>
      <w:bookmarkEnd w:id="25"/>
    </w:p>
    <w:p w14:paraId="67DD3AA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3F5D4A11">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7437B65F">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121484BE">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公告发布媒体：广西壮族自治区政府采购网、中国政府采购网、广西壮族自治区公共资源交易中心网站。</w:t>
      </w:r>
    </w:p>
    <w:p w14:paraId="23C37426">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26" w:name="_Hlk48145640"/>
      <w:r>
        <w:rPr>
          <w:rFonts w:hint="eastAsia"/>
          <w:color w:val="auto"/>
          <w:kern w:val="0"/>
          <w:szCs w:val="21"/>
          <w:highlight w:val="none"/>
        </w:rPr>
        <w:t>需落实的政府采购政策：</w:t>
      </w:r>
      <w:bookmarkEnd w:id="26"/>
      <w:r>
        <w:rPr>
          <w:color w:val="auto"/>
          <w:kern w:val="0"/>
          <w:szCs w:val="21"/>
          <w:highlight w:val="none"/>
        </w:rPr>
        <w:t>本项目适用政府采购促进中小企业、监狱企业发展、促进残疾人就业、节能环保等有关政策，具体详见招标文件。</w:t>
      </w:r>
    </w:p>
    <w:p w14:paraId="2DCD6754">
      <w:pPr>
        <w:spacing w:line="312" w:lineRule="auto"/>
        <w:ind w:firstLine="420" w:firstLineChars="200"/>
        <w:jc w:val="left"/>
        <w:rPr>
          <w:color w:val="auto"/>
          <w:kern w:val="0"/>
          <w:szCs w:val="21"/>
          <w:highlight w:val="none"/>
        </w:rPr>
      </w:pPr>
      <w:r>
        <w:rPr>
          <w:rFonts w:hint="eastAsia" w:cs="宋体"/>
          <w:color w:val="auto"/>
          <w:highlight w:val="none"/>
        </w:rPr>
        <w:t>3.本项目（</w:t>
      </w:r>
      <w:r>
        <w:rPr>
          <w:rFonts w:hint="eastAsia"/>
          <w:color w:val="auto"/>
          <w:kern w:val="0"/>
          <w:szCs w:val="21"/>
          <w:highlight w:val="none"/>
        </w:rPr>
        <w:t>□</w:t>
      </w:r>
      <w:r>
        <w:rPr>
          <w:rFonts w:hint="eastAsia" w:cs="宋体"/>
          <w:color w:val="auto"/>
          <w:highlight w:val="none"/>
        </w:rPr>
        <w:t>是</w:t>
      </w:r>
      <w:r>
        <w:rPr>
          <w:color w:val="auto"/>
          <w:highlight w:val="none"/>
        </w:rPr>
        <w:t xml:space="preserve">   </w:t>
      </w:r>
      <w:r>
        <w:rPr>
          <w:color w:val="auto"/>
          <w:szCs w:val="21"/>
          <w:highlight w:val="none"/>
        </w:rPr>
        <w:sym w:font="Wingdings 2" w:char="F052"/>
      </w:r>
      <w:r>
        <w:rPr>
          <w:rFonts w:hint="eastAsia" w:cs="宋体"/>
          <w:color w:val="auto"/>
          <w:highlight w:val="none"/>
        </w:rPr>
        <w:t>否）采用远程异地评审</w:t>
      </w:r>
      <w:r>
        <w:rPr>
          <w:rFonts w:hint="eastAsia"/>
          <w:color w:val="auto"/>
          <w:kern w:val="0"/>
          <w:szCs w:val="21"/>
          <w:highlight w:val="none"/>
        </w:rPr>
        <w:t>。</w:t>
      </w:r>
    </w:p>
    <w:p w14:paraId="3D967B4E">
      <w:pPr>
        <w:spacing w:line="312" w:lineRule="auto"/>
        <w:ind w:firstLine="420" w:firstLineChars="200"/>
        <w:jc w:val="left"/>
        <w:rPr>
          <w:color w:val="auto"/>
          <w:kern w:val="0"/>
          <w:szCs w:val="21"/>
          <w:highlight w:val="none"/>
        </w:rPr>
      </w:pPr>
      <w:r>
        <w:rPr>
          <w:rFonts w:hint="eastAsia"/>
          <w:color w:val="auto"/>
          <w:kern w:val="0"/>
          <w:szCs w:val="21"/>
          <w:highlight w:val="none"/>
        </w:rPr>
        <w:t>4.</w:t>
      </w:r>
      <w:r>
        <w:rPr>
          <w:rFonts w:hint="eastAsia"/>
          <w:color w:val="auto"/>
          <w:szCs w:val="21"/>
          <w:highlight w:val="none"/>
        </w:rPr>
        <w:t>同一投标人可同时对所有分标进行投标，但最多只能成为其中一个分标的中标人，按1→2→3→4→5→6→7→8→9→10→1</w:t>
      </w:r>
      <w:r>
        <w:rPr>
          <w:rFonts w:hint="eastAsia"/>
          <w:color w:val="auto"/>
          <w:szCs w:val="21"/>
          <w:highlight w:val="none"/>
          <w:lang w:val="en-US" w:eastAsia="zh-CN"/>
        </w:rPr>
        <w:t>1</w:t>
      </w:r>
      <w:r>
        <w:rPr>
          <w:rFonts w:hint="eastAsia"/>
          <w:color w:val="auto"/>
          <w:szCs w:val="21"/>
          <w:highlight w:val="none"/>
        </w:rPr>
        <w:t>分标的顺序确定中标人。若某投标人在其中一个分标中被确定为第一中标候选人，则不在后续的其他分标中被确定为中标候选人。</w:t>
      </w:r>
    </w:p>
    <w:p w14:paraId="3C3B81FF">
      <w:pPr>
        <w:spacing w:line="312" w:lineRule="auto"/>
        <w:ind w:firstLine="420" w:firstLineChars="200"/>
        <w:rPr>
          <w:color w:val="auto"/>
          <w:kern w:val="0"/>
          <w:szCs w:val="21"/>
          <w:highlight w:val="none"/>
        </w:rPr>
      </w:pPr>
      <w:bookmarkStart w:id="27" w:name="_Hlk88997182"/>
      <w:r>
        <w:rPr>
          <w:rFonts w:hint="eastAsia"/>
          <w:color w:val="auto"/>
          <w:kern w:val="0"/>
          <w:szCs w:val="21"/>
          <w:highlight w:val="none"/>
        </w:rPr>
        <w:t>5</w:t>
      </w:r>
      <w:r>
        <w:rPr>
          <w:color w:val="auto"/>
          <w:kern w:val="0"/>
          <w:szCs w:val="21"/>
          <w:highlight w:val="none"/>
        </w:rPr>
        <w:t>.</w:t>
      </w:r>
      <w:r>
        <w:rPr>
          <w:rFonts w:hint="eastAsia"/>
          <w:color w:val="auto"/>
          <w:kern w:val="0"/>
          <w:szCs w:val="21"/>
          <w:highlight w:val="none"/>
        </w:rPr>
        <w:t>注意事项：</w:t>
      </w:r>
    </w:p>
    <w:p w14:paraId="0952FF76">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F0C2C94">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745AAF4F">
      <w:pPr>
        <w:spacing w:line="276" w:lineRule="auto"/>
        <w:ind w:firstLine="420" w:firstLineChars="200"/>
        <w:rPr>
          <w:rFonts w:ascii="宋体" w:hAnsi="宋体" w:cs="宋体"/>
          <w:color w:val="auto"/>
          <w:kern w:val="0"/>
          <w:szCs w:val="21"/>
          <w:highlight w:val="none"/>
        </w:rPr>
      </w:pPr>
      <w:bookmarkStart w:id="28" w:name="_Hlk160186592"/>
      <w:r>
        <w:rPr>
          <w:rFonts w:hint="eastAsia"/>
          <w:color w:val="auto"/>
          <w:kern w:val="0"/>
          <w:szCs w:val="21"/>
          <w:highlight w:val="none"/>
        </w:rPr>
        <w:t>（3）</w:t>
      </w:r>
      <w:r>
        <w:rPr>
          <w:rFonts w:hint="eastAsia"/>
          <w:color w:val="auto"/>
          <w:szCs w:val="21"/>
          <w:highlight w:val="none"/>
        </w:rPr>
        <w:t>若</w:t>
      </w:r>
      <w:r>
        <w:rPr>
          <w:rFonts w:hint="eastAsia" w:ascii="宋体" w:hAnsi="宋体" w:cs="宋体"/>
          <w:color w:val="auto"/>
          <w:kern w:val="0"/>
          <w:szCs w:val="21"/>
          <w:highlight w:val="none"/>
        </w:rPr>
        <w:t>对项目采购电子交易系统操作有疑问，可登录</w:t>
      </w:r>
      <w:r>
        <w:rPr>
          <w:rFonts w:hint="eastAsia"/>
          <w:color w:val="auto"/>
          <w:szCs w:val="21"/>
          <w:highlight w:val="none"/>
        </w:rPr>
        <w:t>广西政府采购云平台（https://www.gcy.zfcg.gxzf.gov.cn/）</w:t>
      </w:r>
      <w:r>
        <w:rPr>
          <w:rFonts w:hint="eastAsia" w:ascii="宋体" w:hAnsi="宋体" w:cs="宋体"/>
          <w:color w:val="auto"/>
          <w:kern w:val="0"/>
          <w:szCs w:val="21"/>
          <w:highlight w:val="none"/>
        </w:rPr>
        <w:t>，点击右侧咨询小采或帮助文档或拨打客服热线</w:t>
      </w:r>
      <w:r>
        <w:rPr>
          <w:rFonts w:ascii="宋体" w:hAnsi="宋体" w:cs="宋体"/>
          <w:color w:val="auto"/>
          <w:kern w:val="0"/>
          <w:szCs w:val="21"/>
          <w:highlight w:val="none"/>
        </w:rPr>
        <w:t xml:space="preserve">95763 </w:t>
      </w:r>
    </w:p>
    <w:bookmarkEnd w:id="27"/>
    <w:bookmarkEnd w:id="28"/>
    <w:p w14:paraId="1A5232B2">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3D898A03">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555D8836">
      <w:pPr>
        <w:spacing w:line="312" w:lineRule="auto"/>
        <w:ind w:firstLine="420" w:firstLineChars="200"/>
        <w:jc w:val="left"/>
        <w:rPr>
          <w:color w:val="auto"/>
          <w:kern w:val="0"/>
          <w:szCs w:val="21"/>
          <w:highlight w:val="none"/>
        </w:rPr>
      </w:pPr>
      <w:bookmarkStart w:id="29" w:name="_Hlk19048373"/>
      <w:r>
        <w:rPr>
          <w:rFonts w:hint="eastAsia"/>
          <w:color w:val="auto"/>
          <w:kern w:val="0"/>
          <w:szCs w:val="21"/>
          <w:highlight w:val="none"/>
        </w:rPr>
        <w:t>名称</w:t>
      </w:r>
      <w:r>
        <w:rPr>
          <w:color w:val="auto"/>
          <w:kern w:val="0"/>
          <w:szCs w:val="21"/>
          <w:highlight w:val="none"/>
        </w:rPr>
        <w:t>：广西职业师范学院</w:t>
      </w:r>
    </w:p>
    <w:p w14:paraId="2C914AAB">
      <w:pPr>
        <w:spacing w:line="312" w:lineRule="auto"/>
        <w:ind w:firstLine="420" w:firstLineChars="200"/>
        <w:jc w:val="left"/>
        <w:rPr>
          <w:color w:val="auto"/>
          <w:kern w:val="0"/>
          <w:szCs w:val="21"/>
          <w:highlight w:val="none"/>
        </w:rPr>
      </w:pPr>
      <w:r>
        <w:rPr>
          <w:color w:val="auto"/>
          <w:kern w:val="0"/>
          <w:szCs w:val="21"/>
          <w:highlight w:val="none"/>
        </w:rPr>
        <w:t>地址：广西南宁市西乡塘区大学东路105号</w:t>
      </w:r>
    </w:p>
    <w:p w14:paraId="47AC0476">
      <w:pPr>
        <w:spacing w:line="312" w:lineRule="auto"/>
        <w:ind w:firstLine="420" w:firstLineChars="200"/>
        <w:jc w:val="left"/>
        <w:rPr>
          <w:color w:val="auto"/>
          <w:kern w:val="0"/>
          <w:szCs w:val="21"/>
          <w:highlight w:val="none"/>
        </w:rPr>
      </w:pPr>
      <w:r>
        <w:rPr>
          <w:rFonts w:hint="eastAsia"/>
          <w:color w:val="auto"/>
          <w:kern w:val="0"/>
          <w:szCs w:val="21"/>
          <w:highlight w:val="none"/>
        </w:rPr>
        <w:t>项目联系人：蒋老师</w:t>
      </w:r>
    </w:p>
    <w:p w14:paraId="58579F1A">
      <w:pPr>
        <w:spacing w:line="312" w:lineRule="auto"/>
        <w:ind w:firstLine="420" w:firstLineChars="200"/>
        <w:jc w:val="left"/>
        <w:rPr>
          <w:color w:val="auto"/>
          <w:kern w:val="0"/>
          <w:szCs w:val="21"/>
          <w:highlight w:val="non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：0771-3245617</w:t>
      </w:r>
    </w:p>
    <w:p w14:paraId="2FB4A351">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532672A5">
      <w:pPr>
        <w:spacing w:line="312" w:lineRule="auto"/>
        <w:ind w:firstLine="420" w:firstLineChars="200"/>
        <w:jc w:val="left"/>
        <w:rPr>
          <w:color w:val="auto"/>
          <w:kern w:val="0"/>
          <w:szCs w:val="21"/>
          <w:highlight w:val="none"/>
        </w:rPr>
      </w:pPr>
      <w:r>
        <w:rPr>
          <w:rFonts w:hint="eastAsia"/>
          <w:color w:val="auto"/>
          <w:kern w:val="0"/>
          <w:szCs w:val="21"/>
          <w:highlight w:val="none"/>
        </w:rPr>
        <w:t>名称</w:t>
      </w:r>
      <w:r>
        <w:rPr>
          <w:color w:val="auto"/>
          <w:kern w:val="0"/>
          <w:szCs w:val="21"/>
          <w:highlight w:val="none"/>
        </w:rPr>
        <w:t>：广西机电设备招标有限公司</w:t>
      </w:r>
    </w:p>
    <w:p w14:paraId="2FDAD225">
      <w:pPr>
        <w:spacing w:line="312" w:lineRule="auto"/>
        <w:ind w:firstLine="420" w:firstLineChars="200"/>
        <w:jc w:val="left"/>
        <w:rPr>
          <w:color w:val="auto"/>
          <w:kern w:val="0"/>
          <w:szCs w:val="21"/>
          <w:highlight w:val="none"/>
        </w:rPr>
      </w:pPr>
      <w:r>
        <w:rPr>
          <w:color w:val="auto"/>
          <w:kern w:val="0"/>
          <w:szCs w:val="21"/>
          <w:highlight w:val="none"/>
        </w:rPr>
        <w:t>地址：</w:t>
      </w:r>
      <w:r>
        <w:rPr>
          <w:color w:val="auto"/>
          <w:highlight w:val="none"/>
        </w:rPr>
        <w:t>广西南宁市金湖路63号金源CBD现代城B座7层</w:t>
      </w:r>
    </w:p>
    <w:p w14:paraId="7462401C">
      <w:pPr>
        <w:spacing w:line="312" w:lineRule="auto"/>
        <w:ind w:firstLine="420" w:firstLineChars="200"/>
        <w:jc w:val="left"/>
        <w:rPr>
          <w:color w:val="auto"/>
          <w:kern w:val="0"/>
          <w:szCs w:val="21"/>
          <w:highlight w:val="none"/>
        </w:rPr>
      </w:pPr>
      <w:r>
        <w:rPr>
          <w:color w:val="auto"/>
          <w:kern w:val="0"/>
          <w:szCs w:val="21"/>
          <w:highlight w:val="none"/>
        </w:rPr>
        <w:t>项目联系人：</w:t>
      </w:r>
      <w:r>
        <w:rPr>
          <w:rFonts w:hint="eastAsia"/>
          <w:color w:val="auto"/>
          <w:kern w:val="0"/>
          <w:szCs w:val="21"/>
          <w:highlight w:val="none"/>
        </w:rPr>
        <w:t>周蓉、彭瑶、梅莹</w:t>
      </w:r>
    </w:p>
    <w:p w14:paraId="6CDDD889">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rPr>
        <w:t xml:space="preserve">：0771-2808981 </w:t>
      </w:r>
    </w:p>
    <w:bookmarkEnd w:id="29"/>
    <w:p w14:paraId="7532E2B6">
      <w:pPr>
        <w:spacing w:line="312" w:lineRule="auto"/>
        <w:ind w:firstLine="420" w:firstLineChars="200"/>
        <w:jc w:val="right"/>
        <w:rPr>
          <w:color w:val="auto"/>
          <w:kern w:val="0"/>
          <w:szCs w:val="21"/>
          <w:highlight w:val="none"/>
        </w:rPr>
      </w:pPr>
    </w:p>
    <w:p w14:paraId="1D7191E4">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31AD3203">
      <w:pPr>
        <w:spacing w:line="312" w:lineRule="auto"/>
        <w:ind w:firstLine="420" w:firstLineChars="200"/>
        <w:jc w:val="right"/>
        <w:rPr>
          <w:color w:val="auto"/>
          <w:kern w:val="0"/>
          <w:sz w:val="18"/>
          <w:szCs w:val="18"/>
          <w:highlight w:val="none"/>
        </w:rPr>
      </w:pPr>
      <w:r>
        <w:rPr>
          <w:rFonts w:hint="eastAsia"/>
          <w:color w:val="auto"/>
          <w:kern w:val="0"/>
          <w:szCs w:val="21"/>
          <w:highlight w:val="none"/>
        </w:rPr>
        <w:t>2024</w:t>
      </w:r>
      <w:r>
        <w:rPr>
          <w:color w:val="auto"/>
          <w:kern w:val="0"/>
          <w:szCs w:val="21"/>
          <w:highlight w:val="none"/>
        </w:rPr>
        <w:t>年</w:t>
      </w:r>
      <w:r>
        <w:rPr>
          <w:rFonts w:hint="eastAsia"/>
          <w:color w:val="auto"/>
          <w:kern w:val="0"/>
          <w:szCs w:val="21"/>
          <w:highlight w:val="none"/>
          <w:lang w:val="en-US" w:eastAsia="zh-CN"/>
        </w:rPr>
        <w:t>10</w:t>
      </w:r>
      <w:r>
        <w:rPr>
          <w:color w:val="auto"/>
          <w:kern w:val="0"/>
          <w:szCs w:val="21"/>
          <w:highlight w:val="none"/>
        </w:rPr>
        <w:t>月</w:t>
      </w:r>
      <w:r>
        <w:rPr>
          <w:rFonts w:hint="eastAsia"/>
          <w:color w:val="auto"/>
          <w:kern w:val="0"/>
          <w:szCs w:val="21"/>
          <w:highlight w:val="none"/>
          <w:lang w:val="en-US" w:eastAsia="zh-CN"/>
        </w:rPr>
        <w:t>18</w:t>
      </w:r>
      <w:r>
        <w:rPr>
          <w:color w:val="auto"/>
          <w:kern w:val="0"/>
          <w:szCs w:val="21"/>
          <w:highlight w:val="none"/>
        </w:rPr>
        <w:t>日</w:t>
      </w:r>
      <w:bookmarkEnd w:id="6"/>
      <w:bookmarkEnd w:id="7"/>
    </w:p>
    <w:p w14:paraId="2A413E21">
      <w:pPr>
        <w:widowControl/>
        <w:jc w:val="left"/>
        <w:rPr>
          <w:color w:val="auto"/>
          <w:sz w:val="32"/>
          <w:szCs w:val="32"/>
          <w:highlight w:val="none"/>
        </w:rPr>
      </w:pPr>
      <w:r>
        <w:rPr>
          <w:color w:val="auto"/>
          <w:sz w:val="32"/>
          <w:szCs w:val="32"/>
          <w:highlight w:val="none"/>
        </w:rPr>
        <w:br w:type="page"/>
      </w:r>
    </w:p>
    <w:p w14:paraId="79A589F8">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30" w:name="_Toc168670057"/>
      <w:r>
        <w:rPr>
          <w:rFonts w:ascii="Times New Roman" w:hAnsi="Times New Roman" w:cs="Times New Roman"/>
          <w:color w:val="auto"/>
          <w:sz w:val="32"/>
          <w:szCs w:val="32"/>
          <w:highlight w:val="none"/>
        </w:rPr>
        <w:t>第二章  采购需求</w:t>
      </w:r>
      <w:bookmarkEnd w:id="30"/>
    </w:p>
    <w:p w14:paraId="254F1709">
      <w:pPr>
        <w:spacing w:before="120"/>
        <w:outlineLvl w:val="1"/>
        <w:rPr>
          <w:rFonts w:ascii="宋体" w:hAnsi="宋体" w:cs="宋体"/>
          <w:b/>
          <w:bCs/>
          <w:color w:val="auto"/>
          <w:sz w:val="28"/>
          <w:szCs w:val="28"/>
          <w:highlight w:val="none"/>
        </w:rPr>
      </w:pPr>
      <w:bookmarkStart w:id="31" w:name="_Hlk77608362"/>
      <w:r>
        <w:rPr>
          <w:rFonts w:hint="eastAsia" w:ascii="宋体" w:hAnsi="宋体" w:cs="宋体"/>
          <w:b/>
          <w:bCs/>
          <w:color w:val="auto"/>
          <w:sz w:val="28"/>
          <w:szCs w:val="28"/>
          <w:highlight w:val="none"/>
        </w:rPr>
        <w:t>1分标：公共管理决策演练沙盘对抗比赛平台软件采购</w:t>
      </w:r>
    </w:p>
    <w:p w14:paraId="7AC3BE36">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3FD6DABD">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25EE366">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0B3EF487">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37CCAE91">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48870CC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4AD18EF3">
      <w:pPr>
        <w:spacing w:line="360" w:lineRule="auto"/>
        <w:rPr>
          <w:color w:val="auto"/>
          <w:szCs w:val="21"/>
          <w:highlight w:val="none"/>
        </w:rPr>
      </w:pPr>
      <w:r>
        <w:rPr>
          <w:rFonts w:hint="eastAsia"/>
          <w:color w:val="auto"/>
          <w:szCs w:val="21"/>
          <w:highlight w:val="none"/>
        </w:rPr>
        <w:t>1.需实现的功能、目标及应用场景</w:t>
      </w:r>
    </w:p>
    <w:p w14:paraId="2E963D66">
      <w:pPr>
        <w:spacing w:line="360" w:lineRule="auto"/>
        <w:rPr>
          <w:color w:val="auto"/>
          <w:szCs w:val="21"/>
          <w:highlight w:val="none"/>
        </w:rPr>
      </w:pPr>
      <w:r>
        <w:rPr>
          <w:rFonts w:hint="eastAsia"/>
          <w:color w:val="auto"/>
          <w:szCs w:val="21"/>
          <w:highlight w:val="none"/>
        </w:rPr>
        <w:t>满足招标文件要求，验收达到合格标准。</w:t>
      </w:r>
    </w:p>
    <w:p w14:paraId="2AACD2F3">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36BBBDAA">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2CF52A19">
      <w:pPr>
        <w:spacing w:line="360" w:lineRule="auto"/>
        <w:rPr>
          <w:color w:val="auto"/>
          <w:szCs w:val="21"/>
          <w:highlight w:val="none"/>
        </w:rPr>
      </w:pPr>
      <w:r>
        <w:rPr>
          <w:rFonts w:hint="eastAsia"/>
          <w:color w:val="auto"/>
          <w:szCs w:val="21"/>
          <w:highlight w:val="none"/>
        </w:rPr>
        <w:t>3.标的所属行业：软件和信息技术服务业</w:t>
      </w:r>
    </w:p>
    <w:p w14:paraId="611CD91F">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2F8C1837">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46AEB284">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bookmarkStart w:id="32" w:name="_Hlk132788003"/>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32"/>
      <w:r>
        <w:rPr>
          <w:rFonts w:hint="eastAsia"/>
          <w:color w:val="auto"/>
          <w:szCs w:val="21"/>
          <w:highlight w:val="none"/>
        </w:rPr>
        <w:t>。</w:t>
      </w:r>
    </w:p>
    <w:p w14:paraId="2E0BD667">
      <w:pPr>
        <w:spacing w:line="360" w:lineRule="auto"/>
        <w:rPr>
          <w:color w:val="auto"/>
          <w:szCs w:val="21"/>
          <w:highlight w:val="none"/>
        </w:rPr>
      </w:pPr>
      <w:r>
        <w:rPr>
          <w:rFonts w:hint="eastAsia"/>
          <w:color w:val="auto"/>
          <w:szCs w:val="21"/>
          <w:highlight w:val="none"/>
        </w:rPr>
        <w:t>5.核心产品：</w:t>
      </w:r>
    </w:p>
    <w:p w14:paraId="1D2F6A83">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 xml:space="preserve"> 第1项：公共管理决策演练沙盘对抗比赛平台软件 </w:t>
      </w:r>
      <w:r>
        <w:rPr>
          <w:rFonts w:hint="eastAsia"/>
          <w:color w:val="auto"/>
          <w:szCs w:val="21"/>
          <w:highlight w:val="none"/>
        </w:rPr>
        <w:t>。</w:t>
      </w:r>
    </w:p>
    <w:p w14:paraId="3D412D45">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5DF9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33542C41">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26BC280D">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753F1FA2">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5C860A65">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57DFB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418E26EC">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0A574A3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公共管理决策演练沙盘对抗比赛平台软件</w:t>
            </w:r>
          </w:p>
        </w:tc>
        <w:tc>
          <w:tcPr>
            <w:tcW w:w="346" w:type="pct"/>
            <w:vAlign w:val="center"/>
          </w:tcPr>
          <w:p w14:paraId="1061879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3D3D2570">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一、技术要求</w:t>
            </w:r>
          </w:p>
          <w:p w14:paraId="122D51D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▲1.B/S架构，</w:t>
            </w:r>
            <w:r>
              <w:rPr>
                <w:rFonts w:hint="eastAsia"/>
                <w:color w:val="auto"/>
                <w:sz w:val="21"/>
                <w:szCs w:val="21"/>
                <w:highlight w:val="none"/>
                <w:lang w:val="en-US" w:eastAsia="zh-CN"/>
              </w:rPr>
              <w:t>用户授权数</w:t>
            </w:r>
            <w:r>
              <w:rPr>
                <w:rFonts w:hint="eastAsia" w:ascii="Arial" w:hAnsi="Arial" w:cs="Arial"/>
                <w:color w:val="auto"/>
                <w:sz w:val="21"/>
                <w:szCs w:val="21"/>
                <w:highlight w:val="none"/>
                <w:lang w:eastAsia="zh-CN"/>
              </w:rPr>
              <w:t>：</w:t>
            </w:r>
            <w:r>
              <w:rPr>
                <w:rFonts w:hint="eastAsia" w:ascii="Arial" w:hAnsi="Arial" w:cs="Arial"/>
                <w:color w:val="auto"/>
                <w:sz w:val="21"/>
                <w:szCs w:val="21"/>
                <w:highlight w:val="none"/>
                <w:lang w:val="en-US" w:eastAsia="zh-CN"/>
              </w:rPr>
              <w:t>无限制</w:t>
            </w:r>
            <w:r>
              <w:rPr>
                <w:rFonts w:hint="eastAsia"/>
                <w:color w:val="auto"/>
                <w:sz w:val="21"/>
                <w:szCs w:val="21"/>
                <w:highlight w:val="none"/>
              </w:rPr>
              <w:t>；</w:t>
            </w:r>
          </w:p>
          <w:p w14:paraId="32BE65B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2.使用的技术或架构：javaweb；spring；html5等。</w:t>
            </w:r>
          </w:p>
          <w:p w14:paraId="28CCB389">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二、功能要求</w:t>
            </w:r>
          </w:p>
          <w:p w14:paraId="1389FA8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公共管理决策演练沙盘对抗比赛平台软件包含管理员、教师和学生三个端口。不同端口管理权限不同：管理员端口支持用户管理、班级管理、实验管理、自定义案例；教师端口支持班级管理、实验管理；学生端口包括决策演练、实验报告、通知消息、个人中心等功能；</w:t>
            </w:r>
          </w:p>
          <w:p w14:paraId="3A01DF0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软件包含土地管理、水务管理、交通管理、环境管理、公共财政管理、产业结构管理、社会安全管理和公共事业管理等多项管理内容，并分为规划和自然资源局、水务局、交通运输局、城市管理局、园林和林业局、财政局、经济和信息化局、人力资源和社会保障局、公安局、教育局、卫生健康委员会和文化和旅游局等政府职能部门。学生通过扮演相关政府人员，理解现实政府职能部门之间的联系与职责分工；</w:t>
            </w:r>
          </w:p>
          <w:p w14:paraId="63199A3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3.软件提供不同城市背景模型，包括综合城市、</w:t>
            </w:r>
            <w:r>
              <w:rPr>
                <w:rFonts w:hint="eastAsia"/>
                <w:color w:val="auto"/>
                <w:sz w:val="21"/>
                <w:szCs w:val="21"/>
                <w:highlight w:val="none"/>
                <w:lang w:eastAsia="zh-CN"/>
              </w:rPr>
              <w:t>软件和信息技术服务业</w:t>
            </w:r>
            <w:r>
              <w:rPr>
                <w:rFonts w:hint="default"/>
                <w:color w:val="auto"/>
                <w:sz w:val="21"/>
                <w:szCs w:val="21"/>
                <w:highlight w:val="none"/>
              </w:rPr>
              <w:t>城市和生态城市等多种模型；</w:t>
            </w:r>
          </w:p>
          <w:p w14:paraId="28E8AE8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4.采用虚拟场景呈现实验内容，场景中包含多个职能部门，支持不同场景之间的切换；</w:t>
            </w:r>
          </w:p>
          <w:p w14:paraId="429073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5.软件采用动态竞争机制，学生通过合理的公共政策制定，竞争制造业、服务业和高层次人才等外部资源；</w:t>
            </w:r>
          </w:p>
          <w:p w14:paraId="09A7584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6.软件支持学生查看城市土地和资金资源实时变化的数据图表，并及时调整策略，合理分配这两大资源，争取团队竞争优势；</w:t>
            </w:r>
          </w:p>
          <w:p w14:paraId="0517972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7.软件包含公共管理相关的专业知识考点题库，每期学生既要注重实时数据的变化，也要及时解答系统自动推送的以材料题形式呈现的知识考点题目；</w:t>
            </w:r>
          </w:p>
          <w:p w14:paraId="568F92C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8.实时监控功能支持教师查看各阶段每组完成的状态、学生的所有操作以及运营数据变化的趋势；</w:t>
            </w:r>
          </w:p>
          <w:p w14:paraId="2515F0E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9.实景模拟平台支持以城市竞争力和知识考点这两项评价指标进行自动打分，最终确定城市的排名；评分采用动态打分制，依据其他城市经营情况以及模型公式共同得出小组分数；</w:t>
            </w:r>
          </w:p>
          <w:p w14:paraId="46EAF33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10.实验管理功能支持自定义创建实验，教师可设定实验期数，实验阶段时长、评价指标权重和角色分配规则等各项内容；支持记录学生操作，并以数据表、柱状图、折线图等多种统计方式展现每个模块不同期数的数据变化；同时支持下载生成PDF格式的实验报告；</w:t>
            </w:r>
          </w:p>
          <w:p w14:paraId="37A5E03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11.软件涵盖上百个模型计算公式，支持自定义增加或修改固定元素、变量元素、城市竞争力指标的公式与限制条件</w:t>
            </w:r>
            <w:r>
              <w:rPr>
                <w:rFonts w:hint="eastAsia"/>
                <w:color w:val="auto"/>
                <w:sz w:val="21"/>
                <w:szCs w:val="21"/>
                <w:highlight w:val="none"/>
              </w:rPr>
              <w:t>，需涵盖50个以上模型计算公式</w:t>
            </w:r>
            <w:r>
              <w:rPr>
                <w:rFonts w:hint="default"/>
                <w:color w:val="auto"/>
                <w:sz w:val="21"/>
                <w:szCs w:val="21"/>
                <w:highlight w:val="none"/>
              </w:rPr>
              <w:t>；</w:t>
            </w:r>
          </w:p>
          <w:p w14:paraId="29E4E93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default"/>
                <w:color w:val="auto"/>
                <w:sz w:val="21"/>
                <w:szCs w:val="21"/>
                <w:highlight w:val="none"/>
              </w:rPr>
              <w:t>12.软件支持自定义增加或修改城市背景、国家政策、知识题库和方案设计问题框架等内容；</w:t>
            </w:r>
          </w:p>
          <w:p w14:paraId="43DA682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13.软件支持团队模式和单人模式：团队模式下，分角色组团练习，比赛以团队形式展开，比赛结束后展示团队排名，支持每个团队包含2-6人；单人模式下，学生独自完成所有职能部门的决策。</w:t>
            </w:r>
          </w:p>
          <w:p w14:paraId="461FDC5C">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lang w:val="en-US" w:eastAsia="zh-CN"/>
              </w:rPr>
              <w:t>14.部署要求：本地方部署；</w:t>
            </w:r>
          </w:p>
          <w:p w14:paraId="0B99DCEC">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lang w:val="en-US" w:eastAsia="zh-CN"/>
              </w:rPr>
              <w:t>15.安装、调试、适配服务：</w:t>
            </w:r>
          </w:p>
          <w:p w14:paraId="55F90CB5">
            <w:pPr>
              <w:keepNext w:val="0"/>
              <w:keepLines w:val="0"/>
              <w:numPr>
                <w:ilvl w:val="0"/>
                <w:numId w:val="0"/>
              </w:numPr>
              <w:suppressLineNumbers w:val="0"/>
              <w:spacing w:before="0" w:beforeAutospacing="0" w:after="0" w:afterAutospacing="0" w:line="320" w:lineRule="exact"/>
              <w:ind w:left="0" w:right="0" w:firstLine="420" w:firstLineChars="20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38F06FB6">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ascii="宋体" w:hAnsi="宋体" w:cs="宋体"/>
                <w:bCs/>
                <w:color w:val="auto"/>
                <w:sz w:val="21"/>
                <w:szCs w:val="21"/>
                <w:highlight w:val="none"/>
              </w:rPr>
              <w:t>▲</w:t>
            </w:r>
            <w:r>
              <w:rPr>
                <w:rFonts w:hint="eastAsia"/>
                <w:color w:val="auto"/>
                <w:sz w:val="21"/>
                <w:szCs w:val="21"/>
                <w:highlight w:val="none"/>
                <w:lang w:val="en-US" w:eastAsia="zh-CN"/>
              </w:rPr>
              <w:t>16.升级服务：</w:t>
            </w:r>
            <w:r>
              <w:rPr>
                <w:rFonts w:hint="default"/>
                <w:color w:val="auto"/>
                <w:sz w:val="21"/>
                <w:szCs w:val="21"/>
                <w:highlight w:val="none"/>
              </w:rPr>
              <w:t>三年后如需升级，则按不超过中标金额的3%收取费用。</w:t>
            </w:r>
          </w:p>
        </w:tc>
      </w:tr>
    </w:tbl>
    <w:p w14:paraId="21E1461B">
      <w:pPr>
        <w:spacing w:line="360" w:lineRule="auto"/>
        <w:rPr>
          <w:color w:val="auto"/>
          <w:szCs w:val="21"/>
          <w:highlight w:val="none"/>
        </w:rPr>
      </w:pPr>
      <w:bookmarkStart w:id="33" w:name="_Hlk132815329"/>
      <w:bookmarkStart w:id="34" w:name="_Hlk132788110"/>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bookmarkEnd w:id="33"/>
    <w:p w14:paraId="4F806631">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bookmarkEnd w:id="34"/>
    <w:p w14:paraId="3E8947D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C991CA6">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2BF5D602">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77679EB1">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3054C3F1">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2C77A026">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2EC92589">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1A20DD95">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62D3F24D">
      <w:pPr>
        <w:spacing w:line="360" w:lineRule="auto"/>
        <w:rPr>
          <w:color w:val="auto"/>
          <w:szCs w:val="21"/>
          <w:highlight w:val="none"/>
        </w:rPr>
      </w:pPr>
      <w:r>
        <w:rPr>
          <w:rFonts w:hint="eastAsia" w:cs="宋体"/>
          <w:color w:val="auto"/>
          <w:szCs w:val="21"/>
          <w:highlight w:val="none"/>
          <w:lang w:bidi="ar"/>
        </w:rPr>
        <w:t>广西南宁市内采购人指定地点。</w:t>
      </w:r>
    </w:p>
    <w:p w14:paraId="0D767E8F">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70D3E053">
      <w:pPr>
        <w:spacing w:line="360" w:lineRule="auto"/>
        <w:rPr>
          <w:color w:val="auto"/>
          <w:szCs w:val="21"/>
          <w:highlight w:val="none"/>
        </w:rPr>
      </w:pPr>
      <w:bookmarkStart w:id="35" w:name="_Hlk77607553"/>
      <w:r>
        <w:rPr>
          <w:rFonts w:hint="eastAsia" w:cs="宋体"/>
          <w:color w:val="auto"/>
          <w:szCs w:val="21"/>
          <w:highlight w:val="none"/>
          <w:lang w:bidi="ar"/>
        </w:rPr>
        <w:t>详见招标文件合同主要条款格式部分</w:t>
      </w:r>
    </w:p>
    <w:bookmarkEnd w:id="35"/>
    <w:p w14:paraId="5CE750EC">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47036F1B">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5A7539D9">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5D0F1C7C">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66500AE7">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6856AB33">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65B6B804">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4FCD2B45">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1323BDDB">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425BE27D">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6F0D568C">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18477B64">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w:t>
      </w:r>
      <w:r>
        <w:rPr>
          <w:rFonts w:hint="eastAsia" w:ascii="宋体" w:hAnsi="宋体"/>
          <w:color w:val="auto"/>
          <w:highlight w:val="none"/>
          <w:lang w:val="en-US" w:eastAsia="zh-CN"/>
        </w:rPr>
        <w:t>且</w:t>
      </w:r>
      <w:r>
        <w:rPr>
          <w:rFonts w:hint="eastAsia" w:ascii="宋体" w:hAnsi="宋体"/>
          <w:color w:val="auto"/>
          <w:highlight w:val="none"/>
        </w:rPr>
        <w:t>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p>
    <w:p w14:paraId="4317AF0E">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4C66E867">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13B6D9E7">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338F0F65">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5ED87118">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085C6E16">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4160CE61">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4BF3767A">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5560512F">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5E865F73">
      <w:pPr>
        <w:spacing w:line="360" w:lineRule="auto"/>
        <w:rPr>
          <w:color w:val="auto"/>
          <w:szCs w:val="21"/>
          <w:highlight w:val="none"/>
        </w:rPr>
      </w:pPr>
      <w:r>
        <w:rPr>
          <w:rFonts w:hint="eastAsia"/>
          <w:color w:val="auto"/>
          <w:szCs w:val="21"/>
          <w:highlight w:val="none"/>
        </w:rPr>
        <w:t>11.3项目验收合格后，需有一年的跟踪服务，设备仪器要有两年上门维修服务，由此产生的费用已包含投标总价中，采购人不再另行支付</w:t>
      </w:r>
      <w:r>
        <w:rPr>
          <w:rFonts w:hint="eastAsia" w:cs="宋体"/>
          <w:color w:val="auto"/>
          <w:szCs w:val="21"/>
          <w:highlight w:val="none"/>
          <w:lang w:bidi="ar"/>
        </w:rPr>
        <w:t>。</w:t>
      </w:r>
    </w:p>
    <w:p w14:paraId="69623AC1">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008A9F87">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s="宋体"/>
          <w:color w:val="auto"/>
          <w:szCs w:val="21"/>
          <w:highlight w:val="none"/>
          <w:lang w:bidi="ar"/>
        </w:rPr>
        <w:t>。</w:t>
      </w:r>
    </w:p>
    <w:p w14:paraId="3A87389D">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227F95FB">
      <w:pPr>
        <w:widowControl/>
        <w:jc w:val="left"/>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4BEE970E">
      <w:pPr>
        <w:pStyle w:val="60"/>
        <w:rPr>
          <w:color w:val="auto"/>
          <w:highlight w:val="none"/>
        </w:rPr>
      </w:pPr>
    </w:p>
    <w:p w14:paraId="60936509">
      <w:pPr>
        <w:widowControl/>
        <w:jc w:val="left"/>
        <w:rPr>
          <w:color w:val="auto"/>
          <w:szCs w:val="21"/>
          <w:highlight w:val="none"/>
        </w:rPr>
      </w:pPr>
      <w:r>
        <w:rPr>
          <w:color w:val="auto"/>
          <w:szCs w:val="21"/>
          <w:highlight w:val="none"/>
        </w:rPr>
        <w:br w:type="page"/>
      </w:r>
    </w:p>
    <w:p w14:paraId="7122D1F9">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2分标：前厅服务与管理虚拟仿真实训系统采购</w:t>
      </w:r>
    </w:p>
    <w:p w14:paraId="587B2397">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7A308490">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6EC161C">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47EB3DE0">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0EEA6A0">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778B362B">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4119335">
      <w:pPr>
        <w:spacing w:line="360" w:lineRule="auto"/>
        <w:rPr>
          <w:color w:val="auto"/>
          <w:szCs w:val="21"/>
          <w:highlight w:val="none"/>
        </w:rPr>
      </w:pPr>
      <w:r>
        <w:rPr>
          <w:rFonts w:hint="eastAsia"/>
          <w:color w:val="auto"/>
          <w:szCs w:val="21"/>
          <w:highlight w:val="none"/>
        </w:rPr>
        <w:t>1.需实现的功能、目标及应用场景</w:t>
      </w:r>
    </w:p>
    <w:p w14:paraId="359BDFBD">
      <w:pPr>
        <w:spacing w:line="360" w:lineRule="auto"/>
        <w:rPr>
          <w:color w:val="auto"/>
          <w:szCs w:val="21"/>
          <w:highlight w:val="none"/>
        </w:rPr>
      </w:pPr>
      <w:r>
        <w:rPr>
          <w:rFonts w:hint="eastAsia"/>
          <w:color w:val="auto"/>
          <w:szCs w:val="21"/>
          <w:highlight w:val="none"/>
        </w:rPr>
        <w:t>满足招标文件要求，验收达到合格标准。</w:t>
      </w:r>
    </w:p>
    <w:p w14:paraId="5824CC49">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4231D323">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5415D393">
      <w:pPr>
        <w:spacing w:line="360" w:lineRule="auto"/>
        <w:rPr>
          <w:rFonts w:hint="default" w:eastAsia="宋体"/>
          <w:color w:val="auto"/>
          <w:szCs w:val="21"/>
          <w:highlight w:val="none"/>
          <w:lang w:val="en-US" w:eastAsia="zh-CN"/>
        </w:rPr>
      </w:pPr>
      <w:r>
        <w:rPr>
          <w:rFonts w:hint="eastAsia"/>
          <w:color w:val="auto"/>
          <w:szCs w:val="21"/>
          <w:highlight w:val="none"/>
        </w:rPr>
        <w:t>3.标的所属行业：</w:t>
      </w:r>
      <w:r>
        <w:rPr>
          <w:rFonts w:hint="eastAsia"/>
          <w:color w:val="auto"/>
          <w:szCs w:val="21"/>
          <w:highlight w:val="none"/>
          <w:lang w:val="en-US" w:eastAsia="zh-CN"/>
        </w:rPr>
        <w:t>软件和信息技术服务业</w:t>
      </w:r>
    </w:p>
    <w:p w14:paraId="30E25475">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260ED6FF">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2A96A063">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3D9D4421">
      <w:pPr>
        <w:spacing w:line="360" w:lineRule="auto"/>
        <w:rPr>
          <w:color w:val="auto"/>
          <w:szCs w:val="21"/>
          <w:highlight w:val="none"/>
        </w:rPr>
      </w:pPr>
      <w:r>
        <w:rPr>
          <w:rFonts w:hint="eastAsia"/>
          <w:color w:val="auto"/>
          <w:szCs w:val="21"/>
          <w:highlight w:val="none"/>
        </w:rPr>
        <w:t>5.核心产品：</w:t>
      </w:r>
    </w:p>
    <w:p w14:paraId="5F423737">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 xml:space="preserve"> 第1项：前厅服务与管理虚拟仿真实训系统 </w:t>
      </w:r>
      <w:r>
        <w:rPr>
          <w:rFonts w:hint="eastAsia"/>
          <w:color w:val="auto"/>
          <w:szCs w:val="21"/>
          <w:highlight w:val="none"/>
        </w:rPr>
        <w:t>。</w:t>
      </w:r>
    </w:p>
    <w:p w14:paraId="3D85A6AC">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0D46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374964F2">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096EB19A">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05553A3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4C0C6DDC">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5860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3A1C905A">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39C1651C">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前厅服务与管理虚拟仿真实训系统</w:t>
            </w:r>
          </w:p>
        </w:tc>
        <w:tc>
          <w:tcPr>
            <w:tcW w:w="346" w:type="pct"/>
            <w:vAlign w:val="center"/>
          </w:tcPr>
          <w:p w14:paraId="215F1CC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2D5D82D0">
            <w:pPr>
              <w:keepNext w:val="0"/>
              <w:keepLines w:val="0"/>
              <w:numPr>
                <w:ilvl w:val="0"/>
                <w:numId w:val="1"/>
              </w:numPr>
              <w:suppressLineNumbers w:val="0"/>
              <w:spacing w:before="0" w:beforeAutospacing="0" w:after="0" w:afterAutospacing="0" w:line="34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一、运行环境</w:t>
            </w:r>
          </w:p>
          <w:p w14:paraId="070E023A">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1.要求系统须基于U3D引擎开发C/S架构产品。</w:t>
            </w:r>
          </w:p>
          <w:p w14:paraId="0FF560CE">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2.软件提供本地机房部署，支持Windows</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w:t>
            </w:r>
          </w:p>
          <w:p w14:paraId="05C08EC1">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二、系统功能</w:t>
            </w:r>
          </w:p>
          <w:p w14:paraId="4B71B82E">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.“前厅服务与管理虚拟仿真实训系统”主要服务于酒店管理专业核心课程《前厅服务与管理》的学习与实训；</w:t>
            </w:r>
          </w:p>
          <w:p w14:paraId="7354992B">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2.系统场景以星级酒店前厅部为载体，建模仿真了前厅区域：服务区-总服务台、大堂副理、行李处、休息区等以及前厅经理办公室、</w:t>
            </w:r>
            <w:r>
              <w:rPr>
                <w:rFonts w:hint="eastAsia" w:ascii="宋体" w:hAnsi="宋体" w:cs="宋体"/>
                <w:color w:val="auto"/>
                <w:sz w:val="21"/>
                <w:szCs w:val="21"/>
                <w:highlight w:val="none"/>
                <w:lang w:eastAsia="zh-CN"/>
              </w:rPr>
              <w:t>预订</w:t>
            </w:r>
            <w:r>
              <w:rPr>
                <w:rFonts w:hint="eastAsia" w:ascii="宋体" w:hAnsi="宋体" w:cs="宋体"/>
                <w:color w:val="auto"/>
                <w:sz w:val="21"/>
                <w:szCs w:val="21"/>
                <w:highlight w:val="none"/>
              </w:rPr>
              <w:t>处、接待处、问询处、礼宾部、电话总机、商务中心、收银处等酒店前厅服务场所。场景真实，每个角度均可自由浏览学习；</w:t>
            </w:r>
          </w:p>
          <w:p w14:paraId="6EA0624C">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3.系统提供前厅部门场景仿真以及前厅部门岗位职责、实习内容、服务流程、注意事项、案例分析等模块的学习和认知。实训内容涵盖了前厅部的认知（前厅部的地位及作用、前厅部的主要任务和前厅部的工作特点）、前厅部组织结构及岗位职责、前厅部的管理沟通（前厅部内部沟通、与其他部门的沟通）；服务流程教学模块涵盖预定流程、接待服务流程以及行政楼层服务流程；</w:t>
            </w:r>
          </w:p>
          <w:p w14:paraId="74B32CCB">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4.系统划分为基础知识库学习、岗位职责、前厅部门、技能实训、案例库等几大板块对酒店前厅知识进行系统的教学；</w:t>
            </w:r>
          </w:p>
          <w:p w14:paraId="2F488CEB">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5.所有实训内容均在三维场景内完成，实训方式通过三维动画、视频、语音解说、交互对话、任务制等形式完成。三维场景内设置有大量基础知识点，从前台客房</w:t>
            </w:r>
            <w:r>
              <w:rPr>
                <w:rFonts w:hint="eastAsia" w:ascii="宋体" w:hAnsi="宋体" w:cs="宋体"/>
                <w:color w:val="auto"/>
                <w:sz w:val="21"/>
                <w:szCs w:val="21"/>
                <w:highlight w:val="none"/>
                <w:lang w:eastAsia="zh-CN"/>
              </w:rPr>
              <w:t>预订</w:t>
            </w:r>
            <w:r>
              <w:rPr>
                <w:rFonts w:hint="eastAsia" w:ascii="宋体" w:hAnsi="宋体" w:cs="宋体"/>
                <w:color w:val="auto"/>
                <w:sz w:val="21"/>
                <w:szCs w:val="21"/>
                <w:highlight w:val="none"/>
              </w:rPr>
              <w:t>、预定取消处理、客户接待、办理入住、保险柜管理、会议室</w:t>
            </w:r>
            <w:r>
              <w:rPr>
                <w:rFonts w:hint="eastAsia" w:ascii="宋体" w:hAnsi="宋体" w:cs="宋体"/>
                <w:color w:val="auto"/>
                <w:sz w:val="21"/>
                <w:szCs w:val="21"/>
                <w:highlight w:val="none"/>
                <w:lang w:eastAsia="zh-CN"/>
              </w:rPr>
              <w:t>预订</w:t>
            </w:r>
            <w:r>
              <w:rPr>
                <w:rFonts w:hint="eastAsia" w:ascii="宋体" w:hAnsi="宋体" w:cs="宋体"/>
                <w:color w:val="auto"/>
                <w:sz w:val="21"/>
                <w:szCs w:val="21"/>
                <w:highlight w:val="none"/>
              </w:rPr>
              <w:t>、退房、延迟退房、行李寄存等多个环节，对前厅服务所需要的知识和流程都进行模拟可视化的直观学习，加强学生记忆和理解。岗位职责、前厅部门、情景模拟中的全部的内容，均配备有语音讲解；</w:t>
            </w:r>
          </w:p>
          <w:p w14:paraId="16620422">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6.系统按照前厅部岗位人员制作16种人物角色，模型样貌和服装按照各岗位人员职业标准制作，有前台人员（领班、接待、收银、预订）、行李生、礼宾部主管、前厅部经理、前厅部副经理、大堂副理、商务中心主管、商务中心文员、男女客人等。各岗位角色模型在技能实训模块中，均可以进行相应的对话、动作、交互等技能实训操作；</w:t>
            </w:r>
          </w:p>
          <w:p w14:paraId="75E95E6E">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7.系统提供14项前厅服务完整业务流程的情景模拟技能实训，包括散客预订、团队预订、散客入住接待、团队入住接待、 换房、行李服务、问讯服务、留言服务、客人投诉、结账服务、商务中心服务3个、货币兑换等总台服务的情景模拟技能实训。流程通过三维人物角色模型、三维动画、仿真交互、知识对话学习、答题等方式完成。在前厅的三维场景中，三维角色之间按照前厅标准接待流程模拟真实酒店中的接待工作，直观逼真。中间穿插知识点的学习，便于学生加深理解记忆。全部业务流程中，关键知识点通过图片、文字、视频等方式呈现，知识点不少于50处；</w:t>
            </w:r>
          </w:p>
          <w:p w14:paraId="5EAFC611">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▲8.系统在情景模拟的关键节点处，提供考题问答的学习形式，考题分单选、多选等内容。每个情景模拟的考题不少于8个；</w:t>
            </w:r>
          </w:p>
          <w:p w14:paraId="6BE22A05">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9.系统把前厅预订接待收银等业务流程融合到三维的场景实训中，在关键业务流程知识点中，基于三维场景中，可以同时进行业务管理信息流程的练习，如预订登记业务表单、入住登记业务表单、押金处理表单、消费入单、换房登记、结账退房等业务操作；</w:t>
            </w:r>
          </w:p>
          <w:p w14:paraId="54AB9A1C">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10.系统提供丰富的前厅服务案例库，数量不少于50个。案例涵盖面广泛，案例库提供搜索、添加、删除等功能；     </w:t>
            </w:r>
          </w:p>
          <w:p w14:paraId="317B28FD">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11.系统全部场景为三维仿真场景，所有流程内容均为三维场景内搭配三维动画和仿真交互进行，不能以简单flash动画代替满足。</w:t>
            </w:r>
          </w:p>
          <w:p w14:paraId="64B8EDD7">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12. 为保证软件产品为学校师生使用，系统应具备输入用户名和密码方式登录。</w:t>
            </w:r>
          </w:p>
          <w:p w14:paraId="162FDDFB">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▲13.系统具备智慧白板功能，可以在系统中进行随意</w:t>
            </w:r>
            <w:r>
              <w:rPr>
                <w:rFonts w:hint="eastAsia" w:ascii="宋体" w:hAnsi="宋体" w:cs="宋体"/>
                <w:color w:val="auto"/>
                <w:sz w:val="21"/>
                <w:szCs w:val="21"/>
                <w:highlight w:val="none"/>
                <w:lang w:eastAsia="zh-CN"/>
              </w:rPr>
              <w:t>地</w:t>
            </w:r>
            <w:r>
              <w:rPr>
                <w:rFonts w:hint="eastAsia" w:ascii="宋体" w:hAnsi="宋体" w:cs="宋体"/>
                <w:color w:val="auto"/>
                <w:sz w:val="21"/>
                <w:szCs w:val="21"/>
                <w:highlight w:val="none"/>
              </w:rPr>
              <w:t>绘制任何图形或者文字，提供由文字插入、圆圈、箭头、颜色修改、截图等多种类型的辅助教学用具；</w:t>
            </w:r>
          </w:p>
          <w:p w14:paraId="61A3B8DC">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14.“《前厅服务与管理》课程专用虚拟教学实训系统”用户管理 权限需包括管理员、学生不同角色，具体功能要求如下：</w:t>
            </w:r>
          </w:p>
          <w:p w14:paraId="7BB90E1F">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14.1教师用户功能：管理员负责整个软件基础实验数据的维护管理工作。是系统的第一身份人。管理员对整个平台的正常使用进行着管理维护，同时包括平台的各种基础数据参数，人员权限的管理，他是整个平台正常使用的前提。一般情况下管理员由实验室管理人员担任，当然也支持教师担任管理员，不得随意修改管理员的用户名。</w:t>
            </w:r>
          </w:p>
          <w:p w14:paraId="1E252BF8">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14.2学生用户功能：学生是实验的主体，按照老师的实验计划执行实验任务，并可以与其他同学合作共同开展实验，包括基础知识库学习、岗位职责、前厅部门、技能实训、案例库等板块对酒店前厅知识进行系统的教学。</w:t>
            </w:r>
          </w:p>
          <w:p w14:paraId="01B68CE9">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15.软件产品需要提供VR版本、PC版本、Web版本供学校进行选择；</w:t>
            </w:r>
          </w:p>
          <w:p w14:paraId="073F3982">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16.软件支持服务器远程网络授权和本地授权、局域网授权等多种方式。</w:t>
            </w:r>
          </w:p>
          <w:p w14:paraId="7426086D">
            <w:pPr>
              <w:keepNext w:val="0"/>
              <w:keepLines w:val="0"/>
              <w:numPr>
                <w:ilvl w:val="-1"/>
                <w:numId w:val="0"/>
              </w:numPr>
              <w:suppressLineNumbers w:val="0"/>
              <w:spacing w:before="0" w:beforeAutospacing="0" w:after="0" w:afterAutospacing="0" w:line="34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▲三、其他要求</w:t>
            </w:r>
          </w:p>
          <w:p w14:paraId="48BF2EAC">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1.部署要求：本地方部署；</w:t>
            </w:r>
          </w:p>
          <w:p w14:paraId="473174A8">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2.安装、调试、适配服务：</w:t>
            </w:r>
          </w:p>
          <w:p w14:paraId="5951748E">
            <w:pPr>
              <w:keepNext w:val="0"/>
              <w:keepLines w:val="0"/>
              <w:numPr>
                <w:ilvl w:val="0"/>
                <w:numId w:val="0"/>
              </w:numPr>
              <w:suppressLineNumbers w:val="0"/>
              <w:spacing w:before="0" w:beforeAutospacing="0" w:after="0" w:afterAutospacing="0" w:line="320" w:lineRule="exact"/>
              <w:ind w:left="0" w:right="0" w:firstLine="420" w:firstLineChars="20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729C919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2.升级服务：</w:t>
            </w:r>
            <w:r>
              <w:rPr>
                <w:rFonts w:hint="default"/>
                <w:color w:val="auto"/>
                <w:sz w:val="21"/>
                <w:szCs w:val="21"/>
                <w:highlight w:val="none"/>
              </w:rPr>
              <w:t>三年后如需升级，则按不超过中标金额的3%收取费用。</w:t>
            </w:r>
          </w:p>
          <w:p w14:paraId="1F6B8A66">
            <w:pPr>
              <w:keepNext w:val="0"/>
              <w:keepLines w:val="0"/>
              <w:numPr>
                <w:ilvl w:val="-1"/>
                <w:numId w:val="0"/>
              </w:numPr>
              <w:suppressLineNumbers w:val="0"/>
              <w:spacing w:before="0" w:beforeAutospacing="0" w:after="0" w:afterAutospacing="0"/>
              <w:ind w:left="0" w:right="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color w:val="auto"/>
                <w:sz w:val="21"/>
                <w:szCs w:val="21"/>
                <w:highlight w:val="none"/>
                <w:lang w:val="en-US" w:eastAsia="zh-CN"/>
              </w:rPr>
              <w:t>使用用户数：无限制</w:t>
            </w:r>
          </w:p>
          <w:p w14:paraId="2F16A537">
            <w:pPr>
              <w:keepNext w:val="0"/>
              <w:keepLines w:val="0"/>
              <w:numPr>
                <w:ilvl w:val="-1"/>
                <w:numId w:val="0"/>
              </w:numPr>
              <w:suppressLineNumbers w:val="0"/>
              <w:spacing w:before="0" w:beforeAutospacing="0" w:after="0" w:afterAutospacing="0"/>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四、东盟-国外景点酒店资源包：孔帕平瀑布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占巴塞文化景观--瓦普庙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香昆寺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塔銮</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凯旋门</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苏梅岛酒店</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rPr>
              <w:t>马尔代夫酒店</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rPr>
              <w:t>斯里兰卡加勒阿玛瑞度假酒店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新加坡</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印尼科摩多岛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印尼图帕克塞乌瀑布</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印度泰姬陵。</w:t>
            </w:r>
          </w:p>
          <w:p w14:paraId="48E483B2">
            <w:pPr>
              <w:keepNext w:val="0"/>
              <w:keepLines w:val="0"/>
              <w:numPr>
                <w:ilvl w:val="-1"/>
                <w:numId w:val="0"/>
              </w:numPr>
              <w:suppressLineNumbers w:val="0"/>
              <w:spacing w:before="0" w:beforeAutospacing="0" w:after="0" w:afterAutospacing="0" w:line="340" w:lineRule="exact"/>
              <w:ind w:left="0" w:right="0"/>
              <w:jc w:val="left"/>
              <w:rPr>
                <w:rFonts w:hint="default"/>
                <w:color w:val="auto"/>
                <w:sz w:val="21"/>
                <w:szCs w:val="21"/>
                <w:highlight w:val="none"/>
              </w:rPr>
            </w:pPr>
            <w:r>
              <w:rPr>
                <w:rFonts w:hint="eastAsia" w:ascii="宋体" w:hAnsi="宋体" w:cs="宋体"/>
                <w:color w:val="auto"/>
                <w:sz w:val="21"/>
                <w:szCs w:val="21"/>
                <w:highlight w:val="none"/>
              </w:rPr>
              <w:t>讲解线路知识点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孔帕平瀑布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占巴塞文化景观--瓦普庙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香昆寺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塔銮</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凯旋门</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rPr>
              <w:t>苏梅岛酒店体验线路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马尔代夫酒店体验线路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斯里兰卡加勒阿玛瑞度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假酒店体验线路</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新加坡讲解线路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印尼科摩多岛讲解路线</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rPr>
              <w:t>印尼图帕克塞乌瀑布讲解路线</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印度泰姬陵讲解路线</w:t>
            </w:r>
          </w:p>
        </w:tc>
      </w:tr>
    </w:tbl>
    <w:p w14:paraId="4CFF936C">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3F7901DC">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706B472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1CDEE584">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32793E14">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7CBD2EB8">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7744EC35">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6C89B301">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5D25D9FC">
      <w:pPr>
        <w:spacing w:line="360" w:lineRule="auto"/>
        <w:rPr>
          <w:color w:val="auto"/>
          <w:kern w:val="0"/>
          <w:szCs w:val="21"/>
          <w:highlight w:val="none"/>
        </w:rPr>
      </w:pPr>
      <w:r>
        <w:rPr>
          <w:rFonts w:hint="eastAsia"/>
          <w:color w:val="auto"/>
          <w:kern w:val="0"/>
          <w:szCs w:val="21"/>
          <w:highlight w:val="none"/>
        </w:rPr>
        <w:t>自签订合同之日起30日历天内完成采购、安装调试并通过验收。</w:t>
      </w:r>
    </w:p>
    <w:p w14:paraId="7CCC467B">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0076093B">
      <w:pPr>
        <w:spacing w:line="360" w:lineRule="auto"/>
        <w:rPr>
          <w:color w:val="auto"/>
          <w:szCs w:val="21"/>
          <w:highlight w:val="none"/>
        </w:rPr>
      </w:pPr>
      <w:r>
        <w:rPr>
          <w:rFonts w:hint="eastAsia" w:cs="宋体"/>
          <w:color w:val="auto"/>
          <w:szCs w:val="21"/>
          <w:highlight w:val="none"/>
          <w:lang w:bidi="ar"/>
        </w:rPr>
        <w:t>广西南宁市内采购人指定地点。</w:t>
      </w:r>
    </w:p>
    <w:p w14:paraId="514DD87F">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3D6CF286">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29E155D2">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10413B9C">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12351A38">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500FD588">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491D47AA">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7CA00CA3">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5951AC03">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22AEC824">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5D7BD709">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6F246AC1">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4C9735F1">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02078E33">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p>
    <w:p w14:paraId="1EC20950">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0ABE2B8A">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20898699">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4E2C079F">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163E1A1F">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0C461892">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08ED73F8">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2B20F1FC">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41026C2D">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29B3774A">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67CE06CA">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s="宋体"/>
          <w:color w:val="auto"/>
          <w:szCs w:val="21"/>
          <w:highlight w:val="none"/>
          <w:lang w:bidi="ar"/>
        </w:rPr>
        <w:t>。</w:t>
      </w:r>
    </w:p>
    <w:p w14:paraId="1DDC293C">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22EC788D">
      <w:pPr>
        <w:spacing w:line="360" w:lineRule="auto"/>
        <w:rPr>
          <w:color w:val="auto"/>
          <w:szCs w:val="21"/>
          <w:highlight w:val="none"/>
        </w:rPr>
      </w:pPr>
      <w:r>
        <w:rPr>
          <w:rFonts w:hint="eastAsia"/>
          <w:color w:val="auto"/>
          <w:szCs w:val="21"/>
          <w:highlight w:val="none"/>
          <w:lang w:bidi="ar"/>
        </w:rPr>
        <w:t>无</w:t>
      </w:r>
      <w:r>
        <w:rPr>
          <w:rFonts w:hint="eastAsia"/>
          <w:color w:val="auto"/>
          <w:szCs w:val="21"/>
          <w:highlight w:val="none"/>
        </w:rPr>
        <w:t>。</w:t>
      </w:r>
    </w:p>
    <w:p w14:paraId="7AF1B2BF">
      <w:pPr>
        <w:widowControl/>
        <w:jc w:val="left"/>
        <w:rPr>
          <w:color w:val="auto"/>
          <w:szCs w:val="21"/>
          <w:highlight w:val="none"/>
        </w:rPr>
      </w:pPr>
      <w:r>
        <w:rPr>
          <w:color w:val="auto"/>
          <w:szCs w:val="21"/>
          <w:highlight w:val="none"/>
        </w:rPr>
        <w:br w:type="page"/>
      </w:r>
    </w:p>
    <w:p w14:paraId="4DED17A1">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3分标：建筑结构设计软件采购</w:t>
      </w:r>
    </w:p>
    <w:p w14:paraId="10123088">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1D79609">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B38EFE0">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2B12E881">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2889FA93">
      <w:pPr>
        <w:spacing w:line="360" w:lineRule="auto"/>
        <w:rPr>
          <w:color w:val="auto"/>
          <w:szCs w:val="21"/>
          <w:highlight w:val="none"/>
        </w:rPr>
      </w:pPr>
      <w:r>
        <w:rPr>
          <w:rFonts w:hint="eastAsia"/>
          <w:color w:val="auto"/>
          <w:szCs w:val="21"/>
          <w:highlight w:val="none"/>
        </w:rPr>
        <w:t>3.标注“</w:t>
      </w:r>
      <w:r>
        <w:rPr>
          <w:rFonts w:hint="eastAsia" w:ascii="宋体" w:hAnsi="宋体" w:cs="宋体"/>
          <w:bCs/>
          <w:color w:val="auto"/>
          <w:szCs w:val="21"/>
          <w:highlight w:val="none"/>
        </w:rPr>
        <w:t>▲</w:t>
      </w:r>
      <w:r>
        <w:rPr>
          <w:rFonts w:hint="eastAsia"/>
          <w:color w:val="auto"/>
          <w:szCs w:val="21"/>
          <w:highlight w:val="none"/>
        </w:rPr>
        <w:t>”的条款或要求系指实质性条款或实质性要求，必须满足，如存在负偏离将导致投标被否决。</w:t>
      </w:r>
    </w:p>
    <w:p w14:paraId="000954FB">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33250FB0">
      <w:pPr>
        <w:spacing w:line="360" w:lineRule="auto"/>
        <w:rPr>
          <w:color w:val="auto"/>
          <w:szCs w:val="21"/>
          <w:highlight w:val="none"/>
        </w:rPr>
      </w:pPr>
      <w:r>
        <w:rPr>
          <w:rFonts w:hint="eastAsia"/>
          <w:color w:val="auto"/>
          <w:szCs w:val="21"/>
          <w:highlight w:val="none"/>
        </w:rPr>
        <w:t>1.需实现的功能、目标及应用场景</w:t>
      </w:r>
    </w:p>
    <w:p w14:paraId="6774AB4E">
      <w:pPr>
        <w:spacing w:line="360" w:lineRule="auto"/>
        <w:rPr>
          <w:color w:val="auto"/>
          <w:szCs w:val="21"/>
          <w:highlight w:val="none"/>
        </w:rPr>
      </w:pPr>
      <w:r>
        <w:rPr>
          <w:rFonts w:hint="eastAsia"/>
          <w:color w:val="auto"/>
          <w:szCs w:val="21"/>
          <w:highlight w:val="none"/>
        </w:rPr>
        <w:t>满足招标文件要求，验收达到合格标准。</w:t>
      </w:r>
    </w:p>
    <w:p w14:paraId="0BD9DB91">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3FC772D3">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577ABFD8">
      <w:pPr>
        <w:spacing w:line="360" w:lineRule="auto"/>
        <w:rPr>
          <w:rFonts w:hint="default" w:eastAsia="宋体"/>
          <w:color w:val="auto"/>
          <w:szCs w:val="21"/>
          <w:highlight w:val="none"/>
          <w:lang w:val="en-US" w:eastAsia="zh-CN"/>
        </w:rPr>
      </w:pPr>
      <w:r>
        <w:rPr>
          <w:rFonts w:hint="eastAsia"/>
          <w:color w:val="auto"/>
          <w:szCs w:val="21"/>
          <w:highlight w:val="none"/>
        </w:rPr>
        <w:t>3.标的所属行业：</w:t>
      </w:r>
      <w:r>
        <w:rPr>
          <w:rFonts w:hint="eastAsia"/>
          <w:color w:val="auto"/>
          <w:szCs w:val="21"/>
          <w:highlight w:val="none"/>
          <w:lang w:val="en-US" w:eastAsia="zh-CN"/>
        </w:rPr>
        <w:t>软件和信息技术服务业</w:t>
      </w:r>
    </w:p>
    <w:p w14:paraId="5137863D">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7A6063A0">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1ACDDBB9">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363011C8">
      <w:pPr>
        <w:spacing w:line="360" w:lineRule="auto"/>
        <w:rPr>
          <w:color w:val="auto"/>
          <w:szCs w:val="21"/>
          <w:highlight w:val="none"/>
        </w:rPr>
      </w:pPr>
      <w:r>
        <w:rPr>
          <w:rFonts w:hint="eastAsia"/>
          <w:color w:val="auto"/>
          <w:szCs w:val="21"/>
          <w:highlight w:val="none"/>
        </w:rPr>
        <w:t>5.核心产品：</w:t>
      </w:r>
    </w:p>
    <w:p w14:paraId="72492385">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第1项：建筑结构设计软件</w:t>
      </w:r>
      <w:r>
        <w:rPr>
          <w:rFonts w:hint="eastAsia"/>
          <w:color w:val="auto"/>
          <w:szCs w:val="21"/>
          <w:highlight w:val="none"/>
        </w:rPr>
        <w:t>。</w:t>
      </w:r>
    </w:p>
    <w:p w14:paraId="6EB61B00">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693D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1B5FF34D">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1DB21FDA">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274E755B">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21E56547">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2D38E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0950D5C0">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373BCE2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建筑结构设计软件</w:t>
            </w:r>
          </w:p>
        </w:tc>
        <w:tc>
          <w:tcPr>
            <w:tcW w:w="346" w:type="pct"/>
            <w:vAlign w:val="center"/>
          </w:tcPr>
          <w:p w14:paraId="2632693E">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29653DAC">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lang w:val="en-US" w:eastAsia="zh-CN"/>
              </w:rPr>
              <w:t>要求120节点授权教学网络版</w:t>
            </w:r>
          </w:p>
          <w:p w14:paraId="669C8990">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一、结构平面建模软件</w:t>
            </w:r>
          </w:p>
          <w:p w14:paraId="519A894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1.软件可以进行钢筋桁架楼承板的布置和计算。</w:t>
            </w:r>
          </w:p>
          <w:p w14:paraId="2D83013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2.支持“标准层合并”功能。指定待合并的上下标准层后，能生成一个新的标准层，并自动替换楼层组装表。</w:t>
            </w:r>
          </w:p>
          <w:p w14:paraId="495E3F2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3.软件修改板厚、板面荷载填充自动记忆，建模部分退出时可勾选选项自动记忆上次勾选情况。</w:t>
            </w:r>
          </w:p>
          <w:p w14:paraId="3FAA454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4.软件可以针对</w:t>
            </w:r>
            <w:r>
              <w:rPr>
                <w:rFonts w:hint="eastAsia"/>
                <w:color w:val="auto"/>
                <w:sz w:val="21"/>
                <w:szCs w:val="21"/>
                <w:highlight w:val="none"/>
                <w:lang w:eastAsia="zh-CN"/>
              </w:rPr>
              <w:t>软件和信息技术服务业</w:t>
            </w:r>
            <w:r>
              <w:rPr>
                <w:rFonts w:hint="eastAsia"/>
                <w:color w:val="auto"/>
                <w:sz w:val="21"/>
                <w:szCs w:val="21"/>
                <w:highlight w:val="none"/>
              </w:rPr>
              <w:t>设备进行优化包括立式设备罐体内加对角撑，增加框架部分风荷载调整系数，设备的风荷载体型系数。</w:t>
            </w:r>
          </w:p>
          <w:p w14:paraId="43DFD78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5.软件应能布置层间梁和层间板。</w:t>
            </w:r>
          </w:p>
          <w:p w14:paraId="62FA99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6.软件可以通过格式刷实现对截面、偏心布置、材料属性、构件上的荷载及特殊构件属性的一键同步。</w:t>
            </w:r>
          </w:p>
          <w:p w14:paraId="273B0B2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7.软件应能实现楼板上楼面荷载、线荷载在楼层平面中任意位置的自由布置，包含恒载和活载。</w:t>
            </w:r>
          </w:p>
          <w:p w14:paraId="23AE7A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8.能够在多层和全楼视图下使用距离测量功能。</w:t>
            </w:r>
          </w:p>
          <w:p w14:paraId="4C781AA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9.恒荷载支持从衬图中提取隔墙荷载，能够输入隔墙荷载的容重、层高、荷载折减系数。当隔墙在梁墙范围内时可自动转为梁墙荷载。</w:t>
            </w:r>
          </w:p>
          <w:p w14:paraId="6A34DE8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10.在建模模块支持结果参照功能，并且能够对配筋面积、配筋率、轴压比等参数进行筛选显示。</w:t>
            </w:r>
          </w:p>
          <w:p w14:paraId="40DFD48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11.支持消能器的参数化建模，内置黏滞阻尼器、屈曲约束支撑和金属屈服阻尼器的产品库。</w:t>
            </w:r>
          </w:p>
          <w:p w14:paraId="0F7948E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12.支持双击梁墙线荷载的文字的方式修改梁墙线荷载。</w:t>
            </w:r>
          </w:p>
          <w:p w14:paraId="69440C7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13.衬图功能支持修改衬图颜色为灰色、淡彩色或者彩色。</w:t>
            </w:r>
          </w:p>
          <w:p w14:paraId="32CB99E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14.衬图功能支持使用构件提取按键从衬图中提取构件到模型中。</w:t>
            </w:r>
          </w:p>
          <w:p w14:paraId="03A37CD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15.斜杆布置功能支持直接布置X撑和人字撑。</w:t>
            </w:r>
          </w:p>
          <w:p w14:paraId="68A9DC3C">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二、多层及高层建筑结构分析与设计软件</w:t>
            </w:r>
          </w:p>
          <w:p w14:paraId="42998B9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1.软件提供多、高层建筑结构空间有限元计算分析与设计，适合框架结构、剪力墙、筒体结构、框架、框剪、混合结构和钢结构等结构形式。</w:t>
            </w:r>
          </w:p>
          <w:p w14:paraId="02A7B7A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2.软件提供空间模拟梁、柱及支撑等杆系构件。</w:t>
            </w:r>
          </w:p>
          <w:p w14:paraId="489F833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3.软件提供楼板刚性板、弹性膜、弹性板 3、弹性板 6 等各种类型的计算模型。</w:t>
            </w:r>
          </w:p>
          <w:p w14:paraId="74C7E23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4.软件具备合理应用偏心刚域、主从节点等功能。</w:t>
            </w:r>
          </w:p>
          <w:p w14:paraId="7A924B8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5.柱双偏压计算方式支持选择普通方式、迭代计算及等比例放大三种方式。</w:t>
            </w:r>
          </w:p>
          <w:p w14:paraId="4779DDB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6.后处理功能中含有外墙工具箱功能，支持全地下室或半地下室的单层或多层外墙结构构件的分析和设计。计算内容包括：荷载计算、内力计算、配筋设计、实配选筋和裂缝验算、输出计算书文本和图形结果。</w:t>
            </w:r>
          </w:p>
          <w:p w14:paraId="31D9C48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软件提供转换梁按壳元分析的功能，支持自动采用细分的壳元计算，保证了转换梁刚度计算的合理性；软件提供墙的翼缘和边框柱范围自动按组合截面设计，采用双偏或不对称配筋计算；软件提供剪力墙的轴压比自动采用组合墙肢方式计算，并给出准确实用的剪力墙边缘构件设计结果。</w:t>
            </w:r>
          </w:p>
          <w:p w14:paraId="16C1D6C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8.软件提供任意构件设置不同的活荷载折减系数功能，以及通过自定义工况分别设置不同活载的重力荷载代表值系数，从而适应不同类型活荷载折减的需要。</w:t>
            </w:r>
          </w:p>
          <w:p w14:paraId="5C1844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9.单构件详细计算书，该计算书是对单个构件进行详细验算结果的文件，计算书中应包含计算公式和代入数字后的计算结果。</w:t>
            </w:r>
          </w:p>
          <w:p w14:paraId="2E9773B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10.在文本结果显示中可以实现图文联动，即通过文本中的内容点击进入图形相对应位置。</w:t>
            </w:r>
          </w:p>
          <w:p w14:paraId="38F882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11.计算结果可以在建模部分选择衬入计算结果，不能只显示超限部分计算结果要能显示全部配筋结果。</w:t>
            </w:r>
          </w:p>
          <w:p w14:paraId="08A3ABD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12.软件应能在计算开始时由用户自定义连续梁属性/连续梁支座和连续梁合并拆分，连续梁的属性定义中应能自由切换连续梁是否为框架梁，并根据选项的不同赋予相应的抗震等级。</w:t>
            </w:r>
          </w:p>
          <w:p w14:paraId="4F2865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13.软件支持砼框架-钢支撑结构自动包络设计。</w:t>
            </w:r>
          </w:p>
          <w:p w14:paraId="7921D53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14.前处理参数同时支持“并行”和“串行”两种计算内核。</w:t>
            </w:r>
          </w:p>
          <w:p w14:paraId="5FDCC22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15.软件支持云计算功能，能够选择本地计算资源或云端计算资源，当云端计算资源繁忙时可返回本地计算。</w:t>
            </w:r>
          </w:p>
          <w:p w14:paraId="2AE3073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16.多维反应谱方法计算空间减隔震结构地震作用，按《建筑抗震设计规范</w:t>
            </w:r>
            <w:r>
              <w:rPr>
                <w:rFonts w:hint="eastAsia"/>
                <w:color w:val="auto"/>
                <w:sz w:val="21"/>
                <w:szCs w:val="21"/>
                <w:highlight w:val="none"/>
                <w:lang w:eastAsia="zh-CN"/>
              </w:rPr>
              <w:t>》《</w:t>
            </w:r>
            <w:r>
              <w:rPr>
                <w:rFonts w:hint="eastAsia"/>
                <w:color w:val="auto"/>
                <w:sz w:val="21"/>
                <w:szCs w:val="21"/>
                <w:highlight w:val="none"/>
              </w:rPr>
              <w:t>空间网格结构技术规程》的要求，对于机场航 站楼等复杂大跨度空间结构，宜进行多维地震作用下的效应分析。多维反应谱法计算的地震内力与传统组合方法的最大差异可能在正负20%。</w:t>
            </w:r>
          </w:p>
          <w:p w14:paraId="0F7020A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三、地基基础建模与计算设计软件</w:t>
            </w:r>
          </w:p>
          <w:p w14:paraId="42E99E7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1.基础网格采用铺砌法时，支持考虑罚单元。</w:t>
            </w:r>
          </w:p>
          <w:p w14:paraId="2388D97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2.基础建模时提供独基承台的包含计算过程的详细计算书，并在人工布置后自动显示承载力与冲切结果等验算结果。</w:t>
            </w:r>
          </w:p>
          <w:p w14:paraId="120570F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3.程序在手工布置单桩时，如果基础模型里已经布置了桩，支持自动显示距离最近的桩与预布置桩的桩间距，方便参考是否满足桩间距要求。</w:t>
            </w:r>
          </w:p>
          <w:p w14:paraId="6478068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4.基础施工图支持增量更新功能，同时对于模型及计算结果有变化的工程，进入施工图后，增量更新菜单会处于可操作状态，点击该菜单，软件会在基础施工图上提示变更内容，用户可以交互指定更新内容。</w:t>
            </w:r>
          </w:p>
          <w:p w14:paraId="5E6C8AC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5.基础自动接力上部结构节点网格及竖向构件，无需手动点重新读取即可看到，软件提供直接读取上部计算荷载功能。</w:t>
            </w:r>
          </w:p>
          <w:p w14:paraId="2915640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6.软件提供独立基础冲切验算，提供条基、弹性地梁、桩基承台、独基、筏板、桩筏等类型的基础设计。</w:t>
            </w:r>
          </w:p>
          <w:p w14:paraId="26905EE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7.软件应能实现柱下独基截面尺寸在模型中双击即可修改截面，修改后进行承载力校核。</w:t>
            </w:r>
          </w:p>
          <w:p w14:paraId="4AF8FC1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8.独基有自动优化布置功能，可实现单柱独立，双柱独基以及多柱墙独基一键布置。</w:t>
            </w:r>
          </w:p>
          <w:p w14:paraId="354FB5F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9.建模中提供独基承台的包含计算过程的详细计算书，并在人工布置后自动显示承载力与冲切结果等验算结果。</w:t>
            </w:r>
          </w:p>
          <w:p w14:paraId="2E54B0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宋体"/>
                <w:bCs/>
                <w:color w:val="auto"/>
                <w:sz w:val="21"/>
                <w:szCs w:val="21"/>
                <w:highlight w:val="none"/>
              </w:rPr>
              <w:t>▲</w:t>
            </w:r>
            <w:r>
              <w:rPr>
                <w:rFonts w:hint="eastAsia"/>
                <w:color w:val="auto"/>
                <w:sz w:val="21"/>
                <w:szCs w:val="21"/>
                <w:highlight w:val="none"/>
              </w:rPr>
              <w:t>10.冲切计算时支持对冲切锥体进行调整，能够交互调整冲切锥的轮廓，并能够修改冲切力增大系数。</w:t>
            </w:r>
          </w:p>
          <w:p w14:paraId="4C4F420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11.基础建模中可以显示地质资料情况，方便查看基础与图层的标高关系，方便修改。</w:t>
            </w:r>
          </w:p>
          <w:p w14:paraId="7FEDC8E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12.基础更新上部结构之后，可以保留原先在基础中添加的网格线及基于网格线布置的基础拉梁等构件。</w:t>
            </w:r>
          </w:p>
          <w:p w14:paraId="5EB98CE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13.软件提供桩筏基础，同时可自动生成独基、条基、承台、地基梁翼缘等功能。</w:t>
            </w:r>
          </w:p>
          <w:p w14:paraId="71309A9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14.软件提供有限元计算分析功能，可自动完成内力、配筋、冲切、抗剪、局部承压计算以及基础沉降计算。</w:t>
            </w:r>
          </w:p>
          <w:p w14:paraId="1762997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15.软件提供计算结果，包括荷载显示、覆土重、基床系数与桩刚度、基础自重、承载力、基底压力与桩反力、内力、沉降等。</w:t>
            </w:r>
          </w:p>
          <w:p w14:paraId="2C5689E3">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四、楼梯设计软件</w:t>
            </w:r>
          </w:p>
          <w:p w14:paraId="0EC16BA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1.楼梯设计软件用人机交互方式建立各层楼梯的模型，能够完成钢筋混凝土楼梯的结构计算、配筋计算及施工图绘制。</w:t>
            </w:r>
          </w:p>
          <w:p w14:paraId="636CCC3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2.新建楼梯工程时支持手工输入楼梯间，也支持从整体模型中获取楼梯间。</w:t>
            </w:r>
          </w:p>
          <w:p w14:paraId="05D85CA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3.整体模型读取时，支持仅选取原结构部分标准层。杆件截取支持只保留选取网格上的构件或者保留周边剖断处相关构件。</w:t>
            </w:r>
          </w:p>
          <w:p w14:paraId="45AD663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4.软件支持直接输入矩形房间，能够输入房间的开间、进深、层高。同时支持输入房间的边界信息。</w:t>
            </w:r>
          </w:p>
          <w:p w14:paraId="14241CD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5.楼梯布置支持单跑直楼梯、双跑直楼梯、平行双跑楼梯、双跑转角楼梯等类型。</w:t>
            </w:r>
          </w:p>
          <w:p w14:paraId="129BB2B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6.楼梯布置时支持选择表示方法，支持平面表示及透视表示。</w:t>
            </w:r>
          </w:p>
          <w:p w14:paraId="22B4CBA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7.楼梯布置时支持布置楼梯基础及楼梯梯梁，并支持基础及梯梁的相关参数。</w:t>
            </w:r>
          </w:p>
          <w:p w14:paraId="66C0868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8.完成楼梯建模后点取菜单中的钢筋</w:t>
            </w:r>
            <w:r>
              <w:rPr>
                <w:rFonts w:hint="eastAsia"/>
                <w:color w:val="auto"/>
                <w:sz w:val="21"/>
                <w:szCs w:val="21"/>
                <w:highlight w:val="none"/>
                <w:lang w:eastAsia="zh-CN"/>
              </w:rPr>
              <w:t>校核</w:t>
            </w:r>
            <w:r>
              <w:rPr>
                <w:rFonts w:hint="eastAsia"/>
                <w:color w:val="auto"/>
                <w:sz w:val="21"/>
                <w:szCs w:val="21"/>
                <w:highlight w:val="none"/>
              </w:rPr>
              <w:t>进入钢筋设计计算模块。程序可以计算平台板及楼梯板和梯梁的配筋，同时提供计算书，可以通过计算书查看计算过程，同时修改钢筋结果并存储。</w:t>
            </w:r>
          </w:p>
          <w:p w14:paraId="48D0BF1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9.钢筋校核支持画钢筋表，钢筋表中包括钢筋编号、钢筋 简图、钢筋规格、钢筋长度、钢筋根数、钢筋重量。</w:t>
            </w:r>
          </w:p>
          <w:p w14:paraId="52F1A8F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五、施工图设计软件</w:t>
            </w:r>
          </w:p>
          <w:p w14:paraId="532C798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1.软件可辅助完成上部结构中各类混凝土构架梁、柱、墙及楼板的配筋设计，并提供施工图绘制功能。</w:t>
            </w:r>
          </w:p>
          <w:p w14:paraId="693304C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2.可在通用参数设置功能中指定线型、图层、文字字体、构件显隐等内容；参数模板支持导入导出。</w:t>
            </w:r>
          </w:p>
          <w:p w14:paraId="058476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3.程序针对每类构件的选配，分别提供对应参数，以使配筋结果适配各单位不同的设计习惯。</w:t>
            </w:r>
          </w:p>
          <w:p w14:paraId="17B8C8B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4.程序中还包含部分针对正常使用极限状态的验算功能，并提供梁、板挠度、裂缝等计算书。</w:t>
            </w:r>
          </w:p>
          <w:p w14:paraId="1BBEEEE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5.提供丰富的图层，可满足大部分用户的需求，提供了图层方案的导入和导出。开放的标准样式参数、线型样式参数、平法标注样式参数。</w:t>
            </w:r>
          </w:p>
          <w:p w14:paraId="3E39B1F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6.梁施工图可自动进行文字避让，层间梁集中标注自动避让，图层设置区分，提供按属性分类的选筋库及放大系数；可实现任意标注移动、反转、斜线移动。</w:t>
            </w:r>
          </w:p>
          <w:p w14:paraId="6235A2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7.施工图中可按照锚固选筋，快速满足通规强条规定。</w:t>
            </w:r>
          </w:p>
          <w:p w14:paraId="50473DA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8.梁施工图支持选择局部区域不进行配筋设计。</w:t>
            </w:r>
          </w:p>
          <w:p w14:paraId="0726788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9.施工图人工调整后，模型变更时希望局部刷新施工图，可以自动对比图纸和模型，高亮定位出增删移的构件和配筋计算值变化的构件，勾选控制是否刷新重配；也可以实现局部重新配筋。</w:t>
            </w:r>
          </w:p>
          <w:p w14:paraId="685AFA7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10.支持对截面一致的梁进行强制归并，强制归并后梁编号一致。</w:t>
            </w:r>
          </w:p>
          <w:p w14:paraId="57A00E6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11.大跨梁单独设置配筋放大系数，连续梁各跨底筋直径种类相同。</w:t>
            </w:r>
          </w:p>
          <w:p w14:paraId="549FDE7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12.梁施工图支持配筋面积衬图、配筋简图衬图显示，配筋面积比例、S/R验算结果显示。</w:t>
            </w:r>
          </w:p>
          <w:p w14:paraId="278A84F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13.梁施工图增加附加横向钢筋计算书，可指定多种附加方式。</w:t>
            </w:r>
          </w:p>
          <w:p w14:paraId="36D2338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14.梁柱施工图图层支持选择按Tssd图层出图。</w:t>
            </w:r>
          </w:p>
          <w:p w14:paraId="179A081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15.双击梁施工图配筋文字能够调出选筋表点选配筋。</w:t>
            </w:r>
          </w:p>
          <w:p w14:paraId="1F75375B">
            <w:pPr>
              <w:keepNext w:val="0"/>
              <w:keepLines w:val="0"/>
              <w:numPr>
                <w:ilvl w:val="0"/>
                <w:numId w:val="0"/>
              </w:numPr>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color w:val="auto"/>
                <w:sz w:val="21"/>
                <w:szCs w:val="21"/>
                <w:highlight w:val="none"/>
              </w:rPr>
              <w:t>▲</w:t>
            </w:r>
            <w:r>
              <w:rPr>
                <w:rFonts w:hint="eastAsia"/>
                <w:color w:val="auto"/>
                <w:sz w:val="21"/>
                <w:szCs w:val="21"/>
                <w:highlight w:val="none"/>
              </w:rPr>
              <w:t>六、</w:t>
            </w:r>
            <w:r>
              <w:rPr>
                <w:rFonts w:hint="eastAsia"/>
                <w:color w:val="auto"/>
                <w:sz w:val="21"/>
                <w:szCs w:val="21"/>
                <w:highlight w:val="none"/>
                <w:lang w:val="en-US" w:eastAsia="zh-CN"/>
              </w:rPr>
              <w:t>其他要求</w:t>
            </w:r>
          </w:p>
          <w:p w14:paraId="21B7C10F">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1.部署要求：</w:t>
            </w:r>
            <w:r>
              <w:rPr>
                <w:rFonts w:hint="default"/>
                <w:color w:val="auto"/>
                <w:sz w:val="21"/>
                <w:szCs w:val="21"/>
                <w:highlight w:val="none"/>
              </w:rPr>
              <w:t>软件本地化部署</w:t>
            </w:r>
            <w:r>
              <w:rPr>
                <w:rFonts w:hint="eastAsia"/>
                <w:color w:val="auto"/>
                <w:sz w:val="21"/>
                <w:szCs w:val="21"/>
                <w:highlight w:val="none"/>
                <w:lang w:val="en-US" w:eastAsia="zh-CN"/>
              </w:rPr>
              <w:t>；</w:t>
            </w:r>
          </w:p>
          <w:p w14:paraId="223C2A06">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2.安装、调试、适配服务：</w:t>
            </w:r>
          </w:p>
          <w:p w14:paraId="17967211">
            <w:pPr>
              <w:keepNext w:val="0"/>
              <w:keepLines w:val="0"/>
              <w:numPr>
                <w:ilvl w:val="0"/>
                <w:numId w:val="0"/>
              </w:numPr>
              <w:suppressLineNumbers w:val="0"/>
              <w:spacing w:before="0" w:beforeAutospacing="0" w:after="0" w:afterAutospacing="0" w:line="320" w:lineRule="exact"/>
              <w:ind w:left="0" w:right="0" w:firstLine="420" w:firstLineChars="20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6916DEC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04E4F796">
            <w:pPr>
              <w:keepNext w:val="0"/>
              <w:keepLines w:val="0"/>
              <w:numPr>
                <w:ilvl w:val="-1"/>
                <w:numId w:val="0"/>
              </w:numPr>
              <w:suppressLineNumbers w:val="0"/>
              <w:spacing w:before="0" w:beforeAutospacing="0" w:after="0" w:afterAutospacing="0"/>
              <w:ind w:left="0" w:right="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color w:val="auto"/>
                <w:sz w:val="21"/>
                <w:szCs w:val="21"/>
                <w:highlight w:val="none"/>
                <w:lang w:val="en-US" w:eastAsia="zh-CN"/>
              </w:rPr>
              <w:t>使用用户数：无限制</w:t>
            </w:r>
          </w:p>
          <w:p w14:paraId="2D88E4FF">
            <w:pPr>
              <w:keepNext w:val="0"/>
              <w:keepLines w:val="0"/>
              <w:suppressLineNumbers w:val="0"/>
              <w:spacing w:before="0" w:beforeAutospacing="0" w:after="0" w:afterAutospacing="0" w:line="320" w:lineRule="exact"/>
              <w:ind w:left="0" w:right="0"/>
              <w:rPr>
                <w:rFonts w:hint="default"/>
                <w:color w:val="auto"/>
                <w:sz w:val="21"/>
                <w:szCs w:val="21"/>
                <w:highlight w:val="none"/>
              </w:rPr>
            </w:pPr>
          </w:p>
          <w:p w14:paraId="1925AE38">
            <w:pPr>
              <w:keepNext w:val="0"/>
              <w:keepLines w:val="0"/>
              <w:suppressLineNumbers w:val="0"/>
              <w:spacing w:before="0" w:beforeAutospacing="0" w:after="0" w:afterAutospacing="0" w:line="320" w:lineRule="exact"/>
              <w:ind w:left="0" w:right="0"/>
              <w:rPr>
                <w:rFonts w:hint="default"/>
                <w:color w:val="auto"/>
                <w:sz w:val="21"/>
                <w:szCs w:val="21"/>
                <w:highlight w:val="none"/>
              </w:rPr>
            </w:pPr>
          </w:p>
        </w:tc>
      </w:tr>
    </w:tbl>
    <w:p w14:paraId="1AEAE80D">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FBC3352">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4693ADF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346E3EA">
      <w:pPr>
        <w:spacing w:line="360" w:lineRule="auto"/>
        <w:rPr>
          <w:color w:val="auto"/>
          <w:szCs w:val="21"/>
          <w:highlight w:val="none"/>
        </w:rPr>
      </w:pPr>
      <w:r>
        <w:rPr>
          <w:color w:val="auto"/>
          <w:szCs w:val="21"/>
          <w:highlight w:val="none"/>
        </w:rPr>
        <w:t>1</w:t>
      </w:r>
      <w:r>
        <w:rPr>
          <w:rFonts w:hint="eastAsia" w:cs="宋体"/>
          <w:color w:val="auto"/>
          <w:szCs w:val="21"/>
          <w:highlight w:val="none"/>
        </w:rPr>
        <w:t>．报价要求</w:t>
      </w:r>
    </w:p>
    <w:p w14:paraId="53128968">
      <w:pPr>
        <w:spacing w:line="360" w:lineRule="auto"/>
        <w:rPr>
          <w:color w:val="auto"/>
          <w:szCs w:val="21"/>
          <w:highlight w:val="none"/>
        </w:rPr>
      </w:pPr>
      <w:r>
        <w:rPr>
          <w:rFonts w:hint="eastAsia" w:cs="宋体"/>
          <w:color w:val="auto"/>
          <w:szCs w:val="21"/>
          <w:highlight w:val="none"/>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0B956D56">
      <w:pPr>
        <w:spacing w:line="360" w:lineRule="auto"/>
        <w:rPr>
          <w:color w:val="auto"/>
          <w:szCs w:val="21"/>
          <w:highlight w:val="none"/>
        </w:rPr>
      </w:pPr>
      <w:r>
        <w:rPr>
          <w:color w:val="auto"/>
          <w:szCs w:val="21"/>
          <w:highlight w:val="none"/>
        </w:rPr>
        <w:t>2.</w:t>
      </w:r>
      <w:r>
        <w:rPr>
          <w:rFonts w:hint="eastAsia" w:cs="宋体"/>
          <w:color w:val="auto"/>
          <w:szCs w:val="21"/>
          <w:highlight w:val="none"/>
        </w:rPr>
        <w:t>合同签订日期</w:t>
      </w:r>
    </w:p>
    <w:p w14:paraId="5B10F0C9">
      <w:pPr>
        <w:spacing w:line="360" w:lineRule="auto"/>
        <w:rPr>
          <w:color w:val="auto"/>
          <w:szCs w:val="21"/>
          <w:highlight w:val="none"/>
        </w:rPr>
      </w:pPr>
      <w:r>
        <w:rPr>
          <w:rFonts w:hint="eastAsia" w:cs="宋体"/>
          <w:color w:val="auto"/>
          <w:szCs w:val="21"/>
          <w:highlight w:val="none"/>
        </w:rPr>
        <w:t>中标通知书发出后</w:t>
      </w:r>
      <w:r>
        <w:rPr>
          <w:color w:val="auto"/>
          <w:szCs w:val="21"/>
          <w:highlight w:val="none"/>
        </w:rPr>
        <w:t>25</w:t>
      </w:r>
      <w:r>
        <w:rPr>
          <w:rFonts w:hint="eastAsia" w:cs="宋体"/>
          <w:color w:val="auto"/>
          <w:szCs w:val="21"/>
          <w:highlight w:val="none"/>
        </w:rPr>
        <w:t>日内。</w:t>
      </w:r>
    </w:p>
    <w:p w14:paraId="0DF8763D">
      <w:pPr>
        <w:spacing w:line="360" w:lineRule="auto"/>
        <w:rPr>
          <w:color w:val="auto"/>
          <w:szCs w:val="21"/>
          <w:highlight w:val="none"/>
        </w:rPr>
      </w:pPr>
      <w:r>
        <w:rPr>
          <w:color w:val="auto"/>
          <w:szCs w:val="21"/>
          <w:highlight w:val="none"/>
        </w:rPr>
        <w:t>3.</w:t>
      </w:r>
      <w:r>
        <w:rPr>
          <w:rFonts w:hint="eastAsia" w:cs="宋体"/>
          <w:color w:val="auto"/>
          <w:szCs w:val="21"/>
          <w:highlight w:val="none"/>
        </w:rPr>
        <w:t>交货（实施）时间</w:t>
      </w:r>
    </w:p>
    <w:p w14:paraId="497985E7">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76128DDD">
      <w:pPr>
        <w:spacing w:line="360" w:lineRule="auto"/>
        <w:rPr>
          <w:color w:val="auto"/>
          <w:szCs w:val="21"/>
          <w:highlight w:val="none"/>
        </w:rPr>
      </w:pPr>
      <w:r>
        <w:rPr>
          <w:color w:val="auto"/>
          <w:szCs w:val="21"/>
          <w:highlight w:val="none"/>
        </w:rPr>
        <w:t>4.</w:t>
      </w:r>
      <w:r>
        <w:rPr>
          <w:rFonts w:hint="eastAsia" w:cs="宋体"/>
          <w:color w:val="auto"/>
          <w:szCs w:val="21"/>
          <w:highlight w:val="none"/>
        </w:rPr>
        <w:t>交货地点或服务地点</w:t>
      </w:r>
    </w:p>
    <w:p w14:paraId="621994A6">
      <w:pPr>
        <w:spacing w:line="360" w:lineRule="auto"/>
        <w:rPr>
          <w:color w:val="auto"/>
          <w:szCs w:val="21"/>
          <w:highlight w:val="none"/>
        </w:rPr>
      </w:pPr>
      <w:r>
        <w:rPr>
          <w:rFonts w:hint="eastAsia" w:cs="宋体"/>
          <w:color w:val="auto"/>
          <w:szCs w:val="21"/>
          <w:highlight w:val="none"/>
        </w:rPr>
        <w:t>广西南宁市内采购人指定地点。</w:t>
      </w:r>
    </w:p>
    <w:p w14:paraId="44C6F79B">
      <w:pPr>
        <w:spacing w:line="360" w:lineRule="auto"/>
        <w:rPr>
          <w:color w:val="auto"/>
          <w:szCs w:val="21"/>
          <w:highlight w:val="none"/>
        </w:rPr>
      </w:pPr>
      <w:r>
        <w:rPr>
          <w:color w:val="auto"/>
          <w:szCs w:val="21"/>
          <w:highlight w:val="none"/>
        </w:rPr>
        <w:t>5.</w:t>
      </w:r>
      <w:r>
        <w:rPr>
          <w:rFonts w:hint="eastAsia" w:cs="宋体"/>
          <w:color w:val="auto"/>
          <w:szCs w:val="21"/>
          <w:highlight w:val="none"/>
        </w:rPr>
        <w:t>验收标准</w:t>
      </w:r>
    </w:p>
    <w:p w14:paraId="3F16AFA3">
      <w:pPr>
        <w:spacing w:line="360" w:lineRule="auto"/>
        <w:rPr>
          <w:color w:val="auto"/>
          <w:szCs w:val="21"/>
          <w:highlight w:val="none"/>
        </w:rPr>
      </w:pPr>
      <w:r>
        <w:rPr>
          <w:rFonts w:hint="eastAsia" w:cs="宋体"/>
          <w:color w:val="auto"/>
          <w:szCs w:val="21"/>
          <w:highlight w:val="none"/>
        </w:rPr>
        <w:t>详见招标文件合同主要条款格式部分</w:t>
      </w:r>
    </w:p>
    <w:p w14:paraId="3E5A7CC1">
      <w:pPr>
        <w:spacing w:line="360" w:lineRule="auto"/>
        <w:rPr>
          <w:color w:val="auto"/>
          <w:szCs w:val="21"/>
          <w:highlight w:val="none"/>
        </w:rPr>
      </w:pPr>
      <w:r>
        <w:rPr>
          <w:color w:val="auto"/>
          <w:szCs w:val="21"/>
          <w:highlight w:val="none"/>
        </w:rPr>
        <w:t>6.</w:t>
      </w:r>
      <w:r>
        <w:rPr>
          <w:rFonts w:hint="eastAsia" w:cs="宋体"/>
          <w:color w:val="auto"/>
          <w:szCs w:val="21"/>
          <w:highlight w:val="none"/>
        </w:rPr>
        <w:t>服务标准、期限、效率</w:t>
      </w:r>
    </w:p>
    <w:p w14:paraId="3696F84B">
      <w:pPr>
        <w:spacing w:line="360" w:lineRule="auto"/>
        <w:rPr>
          <w:color w:val="auto"/>
          <w:szCs w:val="21"/>
          <w:highlight w:val="none"/>
        </w:rPr>
      </w:pPr>
      <w:r>
        <w:rPr>
          <w:color w:val="auto"/>
          <w:szCs w:val="21"/>
          <w:highlight w:val="none"/>
        </w:rPr>
        <w:t>6.1</w:t>
      </w:r>
      <w:r>
        <w:rPr>
          <w:rFonts w:hint="eastAsia" w:cs="宋体"/>
          <w:color w:val="auto"/>
          <w:szCs w:val="21"/>
          <w:highlight w:val="none"/>
        </w:rPr>
        <w:t>中标供应商在质量保证期内应当为采购人提供以下技术支持和服务：</w:t>
      </w:r>
    </w:p>
    <w:p w14:paraId="1EB4A4C8">
      <w:pPr>
        <w:spacing w:line="360" w:lineRule="auto"/>
        <w:rPr>
          <w:color w:val="auto"/>
          <w:szCs w:val="21"/>
          <w:highlight w:val="none"/>
        </w:rPr>
      </w:pPr>
      <w:r>
        <w:rPr>
          <w:color w:val="auto"/>
          <w:szCs w:val="21"/>
          <w:highlight w:val="none"/>
        </w:rPr>
        <w:t>6.1.1</w:t>
      </w:r>
      <w:r>
        <w:rPr>
          <w:rFonts w:hint="eastAsia" w:cs="宋体"/>
          <w:color w:val="auto"/>
          <w:szCs w:val="21"/>
          <w:highlight w:val="none"/>
        </w:rPr>
        <w:t>电话咨询</w:t>
      </w:r>
    </w:p>
    <w:p w14:paraId="5BCF9142">
      <w:pPr>
        <w:spacing w:line="360" w:lineRule="auto"/>
        <w:rPr>
          <w:color w:val="auto"/>
          <w:szCs w:val="21"/>
          <w:highlight w:val="none"/>
        </w:rPr>
      </w:pPr>
      <w:r>
        <w:rPr>
          <w:rFonts w:hint="eastAsia" w:cs="宋体"/>
          <w:color w:val="auto"/>
          <w:szCs w:val="21"/>
          <w:highlight w:val="none"/>
        </w:rPr>
        <w:t>中标供应商应当为采购人提供技术援助电话，解答采购人在使用中遇到的问题，及时为采购人提出解决问题的建议。</w:t>
      </w:r>
    </w:p>
    <w:p w14:paraId="44DB3C7C">
      <w:pPr>
        <w:spacing w:line="360" w:lineRule="auto"/>
        <w:rPr>
          <w:color w:val="auto"/>
          <w:szCs w:val="21"/>
          <w:highlight w:val="none"/>
        </w:rPr>
      </w:pPr>
      <w:r>
        <w:rPr>
          <w:color w:val="auto"/>
          <w:szCs w:val="21"/>
          <w:highlight w:val="none"/>
        </w:rPr>
        <w:t>6.1.2</w:t>
      </w:r>
      <w:r>
        <w:rPr>
          <w:rFonts w:hint="eastAsia" w:cs="宋体"/>
          <w:color w:val="auto"/>
          <w:szCs w:val="21"/>
          <w:highlight w:val="none"/>
        </w:rPr>
        <w:t>现场响应</w:t>
      </w:r>
    </w:p>
    <w:p w14:paraId="09044051">
      <w:pPr>
        <w:spacing w:line="360" w:lineRule="auto"/>
        <w:rPr>
          <w:color w:val="auto"/>
          <w:szCs w:val="21"/>
          <w:highlight w:val="none"/>
        </w:rPr>
      </w:pPr>
      <w:r>
        <w:rPr>
          <w:rFonts w:hint="eastAsia" w:cs="宋体"/>
          <w:color w:val="auto"/>
          <w:szCs w:val="21"/>
          <w:highlight w:val="none"/>
        </w:rPr>
        <w:t>采购人遇到使用或技术问题，电话咨询不能解决的，中标供应商应在</w:t>
      </w:r>
      <w:r>
        <w:rPr>
          <w:rFonts w:hint="eastAsia"/>
          <w:color w:val="auto"/>
          <w:szCs w:val="21"/>
          <w:highlight w:val="none"/>
        </w:rPr>
        <w:t>8</w:t>
      </w:r>
      <w:r>
        <w:rPr>
          <w:rFonts w:hint="eastAsia" w:cs="宋体"/>
          <w:color w:val="auto"/>
          <w:szCs w:val="21"/>
          <w:highlight w:val="none"/>
        </w:rPr>
        <w:t>小时内到达现场进行处理，到达现场后</w:t>
      </w:r>
      <w:r>
        <w:rPr>
          <w:rFonts w:hint="eastAsia"/>
          <w:color w:val="auto"/>
          <w:szCs w:val="21"/>
          <w:highlight w:val="none"/>
        </w:rPr>
        <w:t>24</w:t>
      </w:r>
      <w:r>
        <w:rPr>
          <w:rFonts w:hint="eastAsia" w:cs="宋体"/>
          <w:color w:val="auto"/>
          <w:szCs w:val="21"/>
          <w:highlight w:val="none"/>
        </w:rPr>
        <w:t>小时内排除故障，恢复正常使用。</w:t>
      </w:r>
    </w:p>
    <w:p w14:paraId="009E0039">
      <w:pPr>
        <w:spacing w:line="360" w:lineRule="auto"/>
        <w:rPr>
          <w:color w:val="auto"/>
          <w:szCs w:val="21"/>
          <w:highlight w:val="none"/>
        </w:rPr>
      </w:pPr>
      <w:r>
        <w:rPr>
          <w:color w:val="auto"/>
          <w:szCs w:val="21"/>
          <w:highlight w:val="none"/>
        </w:rPr>
        <w:t>6.1.3</w:t>
      </w:r>
      <w:r>
        <w:rPr>
          <w:rFonts w:hint="eastAsia" w:cs="宋体"/>
          <w:color w:val="auto"/>
          <w:szCs w:val="21"/>
          <w:highlight w:val="none"/>
        </w:rPr>
        <w:t>技术升级</w:t>
      </w:r>
    </w:p>
    <w:p w14:paraId="036A3845">
      <w:pPr>
        <w:spacing w:line="360" w:lineRule="auto"/>
        <w:rPr>
          <w:color w:val="auto"/>
          <w:szCs w:val="21"/>
          <w:highlight w:val="none"/>
        </w:rPr>
      </w:pPr>
      <w:r>
        <w:rPr>
          <w:rFonts w:hint="eastAsia" w:cs="宋体"/>
          <w:color w:val="auto"/>
          <w:szCs w:val="21"/>
          <w:highlight w:val="none"/>
        </w:rPr>
        <w:t>在质保期内，如果中标供应商的产品或服务升级，中标供应商应及时通知采购人，如采购人有相应要求，中标供应商应对采购人购买的产品或服务进行升级。</w:t>
      </w:r>
    </w:p>
    <w:p w14:paraId="5FBA8B0F">
      <w:pPr>
        <w:spacing w:line="360" w:lineRule="auto"/>
        <w:rPr>
          <w:color w:val="auto"/>
          <w:szCs w:val="21"/>
          <w:highlight w:val="none"/>
        </w:rPr>
      </w:pPr>
      <w:r>
        <w:rPr>
          <w:color w:val="auto"/>
          <w:szCs w:val="21"/>
          <w:highlight w:val="none"/>
        </w:rPr>
        <w:t>7.</w:t>
      </w:r>
      <w:r>
        <w:rPr>
          <w:rFonts w:hint="eastAsia" w:cs="宋体"/>
          <w:color w:val="auto"/>
          <w:szCs w:val="21"/>
          <w:highlight w:val="none"/>
        </w:rPr>
        <w:t>培训</w:t>
      </w:r>
    </w:p>
    <w:p w14:paraId="3E1F7A85">
      <w:pPr>
        <w:spacing w:line="360" w:lineRule="auto"/>
        <w:rPr>
          <w:color w:val="auto"/>
          <w:szCs w:val="21"/>
          <w:highlight w:val="none"/>
        </w:rPr>
      </w:pPr>
      <w:r>
        <w:rPr>
          <w:rFonts w:hint="eastAsia" w:cs="宋体"/>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279F93F5">
      <w:pPr>
        <w:spacing w:line="360" w:lineRule="auto"/>
        <w:rPr>
          <w:color w:val="auto"/>
          <w:szCs w:val="21"/>
          <w:highlight w:val="none"/>
        </w:rPr>
      </w:pPr>
      <w:r>
        <w:rPr>
          <w:color w:val="auto"/>
          <w:szCs w:val="21"/>
          <w:highlight w:val="none"/>
        </w:rPr>
        <w:t>8.</w:t>
      </w:r>
      <w:r>
        <w:rPr>
          <w:rFonts w:hint="eastAsia" w:cs="宋体"/>
          <w:color w:val="auto"/>
          <w:szCs w:val="21"/>
          <w:highlight w:val="none"/>
        </w:rPr>
        <w:t>付款方式、时间及条件</w:t>
      </w:r>
    </w:p>
    <w:p w14:paraId="298C5068">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4F17C47B">
      <w:pPr>
        <w:spacing w:line="360" w:lineRule="auto"/>
        <w:rPr>
          <w:rFonts w:cs="宋体"/>
          <w:color w:val="auto"/>
          <w:szCs w:val="21"/>
          <w:highlight w:val="none"/>
        </w:rPr>
      </w:pPr>
      <w:r>
        <w:rPr>
          <w:rFonts w:hint="eastAsia" w:cs="宋体"/>
          <w:color w:val="auto"/>
          <w:szCs w:val="21"/>
          <w:highlight w:val="none"/>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2E3D07DB">
      <w:pPr>
        <w:spacing w:line="360" w:lineRule="auto"/>
        <w:rPr>
          <w:color w:val="auto"/>
          <w:szCs w:val="21"/>
          <w:highlight w:val="none"/>
        </w:rPr>
      </w:pPr>
      <w:r>
        <w:rPr>
          <w:rFonts w:hint="eastAsia" w:cs="宋体"/>
          <w:color w:val="auto"/>
          <w:szCs w:val="21"/>
          <w:highlight w:val="none"/>
        </w:rPr>
        <w:t>8.3本合同使用货币币制如未作特别说明均为人民币。</w:t>
      </w:r>
    </w:p>
    <w:p w14:paraId="57D34CE3">
      <w:pPr>
        <w:spacing w:line="360" w:lineRule="auto"/>
        <w:rPr>
          <w:color w:val="auto"/>
          <w:szCs w:val="21"/>
          <w:highlight w:val="none"/>
        </w:rPr>
      </w:pPr>
      <w:r>
        <w:rPr>
          <w:color w:val="auto"/>
          <w:szCs w:val="21"/>
          <w:highlight w:val="none"/>
        </w:rPr>
        <w:t>9.</w:t>
      </w:r>
      <w:r>
        <w:rPr>
          <w:rFonts w:hint="eastAsia" w:cs="宋体"/>
          <w:color w:val="auto"/>
          <w:szCs w:val="21"/>
          <w:highlight w:val="none"/>
        </w:rPr>
        <w:t>履约保证金</w:t>
      </w:r>
    </w:p>
    <w:p w14:paraId="067B3FD6">
      <w:pPr>
        <w:spacing w:line="360" w:lineRule="auto"/>
        <w:rPr>
          <w:color w:val="auto"/>
          <w:szCs w:val="21"/>
          <w:highlight w:val="none"/>
        </w:rPr>
      </w:pPr>
      <w:r>
        <w:rPr>
          <w:rFonts w:hint="eastAsia" w:cs="宋体"/>
          <w:color w:val="auto"/>
          <w:szCs w:val="21"/>
          <w:highlight w:val="none"/>
        </w:rPr>
        <w:t>详见招标文件合同主要条款格式部分。</w:t>
      </w:r>
    </w:p>
    <w:p w14:paraId="0A686D90">
      <w:pPr>
        <w:spacing w:line="360" w:lineRule="auto"/>
        <w:rPr>
          <w:color w:val="auto"/>
          <w:szCs w:val="21"/>
          <w:highlight w:val="none"/>
        </w:rPr>
      </w:pPr>
      <w:r>
        <w:rPr>
          <w:color w:val="auto"/>
          <w:szCs w:val="21"/>
          <w:highlight w:val="none"/>
        </w:rPr>
        <w:t>10.</w:t>
      </w:r>
      <w:r>
        <w:rPr>
          <w:rFonts w:hint="eastAsia" w:cs="宋体"/>
          <w:color w:val="auto"/>
          <w:szCs w:val="21"/>
          <w:highlight w:val="none"/>
        </w:rPr>
        <w:t>包装和运输要求</w:t>
      </w:r>
    </w:p>
    <w:p w14:paraId="766FB7F8">
      <w:pPr>
        <w:spacing w:line="360" w:lineRule="auto"/>
        <w:rPr>
          <w:color w:val="auto"/>
          <w:szCs w:val="21"/>
          <w:highlight w:val="none"/>
        </w:rPr>
      </w:pPr>
      <w:r>
        <w:rPr>
          <w:rFonts w:hint="eastAsia" w:cs="宋体"/>
          <w:color w:val="auto"/>
          <w:szCs w:val="21"/>
          <w:highlight w:val="none"/>
        </w:rPr>
        <w:t>根据《财政部等三部门联合印发商品包装和快递包装政府采购需求标准（试行）》财办库【</w:t>
      </w:r>
      <w:r>
        <w:rPr>
          <w:color w:val="auto"/>
          <w:szCs w:val="21"/>
          <w:highlight w:val="none"/>
        </w:rPr>
        <w:t>2020</w:t>
      </w:r>
      <w:r>
        <w:rPr>
          <w:rFonts w:hint="eastAsia" w:cs="宋体"/>
          <w:color w:val="auto"/>
          <w:szCs w:val="21"/>
          <w:highlight w:val="none"/>
        </w:rPr>
        <w:t>】</w:t>
      </w:r>
      <w:r>
        <w:rPr>
          <w:color w:val="auto"/>
          <w:szCs w:val="21"/>
          <w:highlight w:val="none"/>
        </w:rPr>
        <w:t>123</w:t>
      </w:r>
      <w:r>
        <w:rPr>
          <w:rFonts w:hint="eastAsia" w:cs="宋体"/>
          <w:color w:val="auto"/>
          <w:szCs w:val="21"/>
          <w:highlight w:val="none"/>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21BBF45E">
      <w:pPr>
        <w:spacing w:line="360" w:lineRule="auto"/>
        <w:rPr>
          <w:color w:val="auto"/>
          <w:szCs w:val="21"/>
          <w:highlight w:val="none"/>
        </w:rPr>
      </w:pPr>
      <w:r>
        <w:rPr>
          <w:color w:val="auto"/>
          <w:szCs w:val="21"/>
          <w:highlight w:val="none"/>
        </w:rPr>
        <w:t>11.</w:t>
      </w:r>
      <w:r>
        <w:rPr>
          <w:rFonts w:hint="eastAsia" w:cs="宋体"/>
          <w:color w:val="auto"/>
          <w:szCs w:val="21"/>
          <w:highlight w:val="none"/>
        </w:rPr>
        <w:t>售后服务</w:t>
      </w:r>
    </w:p>
    <w:p w14:paraId="32695303">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77576007">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28505344">
      <w:pPr>
        <w:spacing w:line="360" w:lineRule="auto"/>
        <w:rPr>
          <w:color w:val="auto"/>
          <w:szCs w:val="21"/>
          <w:highlight w:val="none"/>
        </w:rPr>
      </w:pPr>
      <w:r>
        <w:rPr>
          <w:color w:val="auto"/>
          <w:szCs w:val="21"/>
          <w:highlight w:val="none"/>
        </w:rPr>
        <w:t>12.</w:t>
      </w:r>
      <w:r>
        <w:rPr>
          <w:rFonts w:hint="eastAsia" w:cs="宋体"/>
          <w:color w:val="auto"/>
          <w:szCs w:val="21"/>
          <w:highlight w:val="none"/>
        </w:rPr>
        <w:t>保险</w:t>
      </w:r>
    </w:p>
    <w:p w14:paraId="5321E125">
      <w:pPr>
        <w:widowControl/>
        <w:spacing w:line="360" w:lineRule="auto"/>
        <w:jc w:val="left"/>
        <w:rPr>
          <w:color w:val="auto"/>
          <w:szCs w:val="21"/>
          <w:highlight w:val="none"/>
        </w:rPr>
      </w:pPr>
      <w:r>
        <w:rPr>
          <w:rFonts w:hint="eastAsia"/>
          <w:color w:val="auto"/>
          <w:szCs w:val="21"/>
          <w:highlight w:val="none"/>
        </w:rPr>
        <w:t>供应商负责办理运输和保险，将货物运抵交货地点。与运输、保险相关的费用由供应商承担</w:t>
      </w:r>
      <w:r>
        <w:rPr>
          <w:rFonts w:hint="eastAsia" w:cs="宋体"/>
          <w:color w:val="auto"/>
          <w:szCs w:val="21"/>
          <w:highlight w:val="none"/>
        </w:rPr>
        <w:t>。</w:t>
      </w:r>
    </w:p>
    <w:p w14:paraId="58B8C10F">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rPr>
        <w:t>四、其他要求</w:t>
      </w:r>
    </w:p>
    <w:p w14:paraId="5774A1DD">
      <w:pPr>
        <w:spacing w:line="360" w:lineRule="auto"/>
        <w:rPr>
          <w:rFonts w:cs="宋体"/>
          <w:color w:val="auto"/>
          <w:szCs w:val="21"/>
          <w:highlight w:val="none"/>
        </w:rPr>
      </w:pPr>
      <w:r>
        <w:rPr>
          <w:rFonts w:hint="eastAsia"/>
          <w:color w:val="auto"/>
          <w:szCs w:val="21"/>
          <w:highlight w:val="none"/>
        </w:rPr>
        <w:t>无</w:t>
      </w:r>
      <w:r>
        <w:rPr>
          <w:rFonts w:hint="eastAsia" w:cs="宋体"/>
          <w:color w:val="auto"/>
          <w:szCs w:val="21"/>
          <w:highlight w:val="none"/>
        </w:rPr>
        <w:t>。</w:t>
      </w:r>
    </w:p>
    <w:p w14:paraId="04AD4C2B">
      <w:pPr>
        <w:widowControl/>
        <w:jc w:val="left"/>
        <w:rPr>
          <w:color w:val="auto"/>
          <w:szCs w:val="21"/>
          <w:highlight w:val="none"/>
        </w:rPr>
      </w:pPr>
      <w:r>
        <w:rPr>
          <w:color w:val="auto"/>
          <w:szCs w:val="21"/>
          <w:highlight w:val="none"/>
        </w:rPr>
        <w:br w:type="page"/>
      </w:r>
    </w:p>
    <w:p w14:paraId="6D6142DE">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4分标：广龙清单计价软件升级服务及增加节点采购</w:t>
      </w:r>
    </w:p>
    <w:p w14:paraId="68CC41B2">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39E4DD8">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D87A0BF">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7D5AFF3C">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2FAD1342">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6AC70A0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2306989">
      <w:pPr>
        <w:spacing w:line="360" w:lineRule="auto"/>
        <w:rPr>
          <w:color w:val="auto"/>
          <w:szCs w:val="21"/>
          <w:highlight w:val="none"/>
        </w:rPr>
      </w:pPr>
      <w:r>
        <w:rPr>
          <w:rFonts w:hint="eastAsia"/>
          <w:color w:val="auto"/>
          <w:szCs w:val="21"/>
          <w:highlight w:val="none"/>
        </w:rPr>
        <w:t>1.需实现的功能、目标及应用场景</w:t>
      </w:r>
    </w:p>
    <w:p w14:paraId="4DE97BE4">
      <w:pPr>
        <w:spacing w:line="360" w:lineRule="auto"/>
        <w:rPr>
          <w:color w:val="auto"/>
          <w:szCs w:val="21"/>
          <w:highlight w:val="none"/>
        </w:rPr>
      </w:pPr>
      <w:r>
        <w:rPr>
          <w:rFonts w:hint="eastAsia"/>
          <w:color w:val="auto"/>
          <w:szCs w:val="21"/>
          <w:highlight w:val="none"/>
        </w:rPr>
        <w:t>满足招标文件要求，验收达到合格标准。</w:t>
      </w:r>
    </w:p>
    <w:p w14:paraId="2C3267E8">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4CAC95B6">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0993DD9E">
      <w:pPr>
        <w:spacing w:line="360" w:lineRule="auto"/>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一般说明</w:t>
      </w:r>
    </w:p>
    <w:p w14:paraId="2F191499">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63170EF5">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5952A084">
      <w:pPr>
        <w:spacing w:line="360" w:lineRule="auto"/>
        <w:rPr>
          <w:color w:val="auto"/>
          <w:szCs w:val="21"/>
          <w:highlight w:val="none"/>
        </w:rPr>
      </w:pPr>
      <w:r>
        <w:rPr>
          <w:rFonts w:hint="eastAsia"/>
          <w:color w:val="auto"/>
          <w:szCs w:val="21"/>
          <w:highlight w:val="none"/>
        </w:rPr>
        <w:t>4.核心产品：</w:t>
      </w:r>
    </w:p>
    <w:p w14:paraId="72581F74">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 xml:space="preserve">  </w:t>
      </w:r>
      <w:r>
        <w:rPr>
          <w:rFonts w:hint="eastAsia"/>
          <w:color w:val="auto"/>
          <w:szCs w:val="21"/>
          <w:highlight w:val="none"/>
          <w:u w:val="single"/>
          <w:lang w:val="en-US" w:eastAsia="zh-CN"/>
        </w:rPr>
        <w:t>第1项：</w:t>
      </w:r>
      <w:r>
        <w:rPr>
          <w:rFonts w:hint="eastAsia"/>
          <w:color w:val="auto"/>
          <w:szCs w:val="21"/>
          <w:highlight w:val="none"/>
          <w:u w:val="single"/>
        </w:rPr>
        <w:t xml:space="preserve">广龙清单计价软件升级服务 </w:t>
      </w:r>
      <w:r>
        <w:rPr>
          <w:rFonts w:hint="eastAsia"/>
          <w:color w:val="auto"/>
          <w:szCs w:val="21"/>
          <w:highlight w:val="none"/>
        </w:rPr>
        <w:t>。</w:t>
      </w:r>
    </w:p>
    <w:p w14:paraId="51E163AB">
      <w:pPr>
        <w:spacing w:line="360" w:lineRule="auto"/>
        <w:rPr>
          <w:color w:val="auto"/>
          <w:szCs w:val="21"/>
          <w:highlight w:val="none"/>
        </w:rPr>
      </w:pPr>
      <w:r>
        <w:rPr>
          <w:rFonts w:hint="eastAsia"/>
          <w:color w:val="auto"/>
          <w:szCs w:val="21"/>
          <w:highlight w:val="none"/>
        </w:rPr>
        <w:t>5.标的名称、数量、需满足的质量、技术规格或者服务内容和标准一览表：</w:t>
      </w:r>
    </w:p>
    <w:tbl>
      <w:tblPr>
        <w:tblStyle w:val="51"/>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
        <w:gridCol w:w="789"/>
        <w:gridCol w:w="709"/>
        <w:gridCol w:w="915"/>
        <w:gridCol w:w="6956"/>
      </w:tblGrid>
      <w:tr w14:paraId="1EED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500231C4">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401" w:type="pct"/>
            <w:vAlign w:val="center"/>
          </w:tcPr>
          <w:p w14:paraId="7C12F916">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60" w:type="pct"/>
            <w:vAlign w:val="center"/>
          </w:tcPr>
          <w:p w14:paraId="1C991EB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465" w:type="pct"/>
            <w:vAlign w:val="center"/>
          </w:tcPr>
          <w:p w14:paraId="332EF948">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所属行业</w:t>
            </w:r>
          </w:p>
        </w:tc>
        <w:tc>
          <w:tcPr>
            <w:tcW w:w="3533" w:type="pct"/>
            <w:tcBorders>
              <w:left w:val="single" w:color="auto" w:sz="4" w:space="0"/>
              <w:right w:val="single" w:color="auto" w:sz="4" w:space="0"/>
            </w:tcBorders>
            <w:vAlign w:val="center"/>
          </w:tcPr>
          <w:p w14:paraId="3580499A">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18B9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101BE12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401" w:type="pct"/>
            <w:vAlign w:val="center"/>
          </w:tcPr>
          <w:p w14:paraId="0955F52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广龙清单计价软件升级服务</w:t>
            </w:r>
          </w:p>
        </w:tc>
        <w:tc>
          <w:tcPr>
            <w:tcW w:w="360" w:type="pct"/>
            <w:vAlign w:val="center"/>
          </w:tcPr>
          <w:p w14:paraId="39F21B8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465" w:type="pct"/>
            <w:vAlign w:val="center"/>
          </w:tcPr>
          <w:p w14:paraId="2BA03BF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vAlign w:val="center"/>
          </w:tcPr>
          <w:p w14:paraId="4CEC2A72">
            <w:pPr>
              <w:keepNext w:val="0"/>
              <w:keepLines w:val="0"/>
              <w:suppressLineNumbers w:val="0"/>
              <w:spacing w:before="0" w:beforeAutospacing="0" w:after="0" w:afterAutospacing="0" w:line="320" w:lineRule="exact"/>
              <w:ind w:left="0" w:right="0"/>
              <w:rPr>
                <w:rFonts w:hint="eastAsia" w:eastAsia="宋体"/>
                <w:b/>
                <w:bCs/>
                <w:color w:val="auto"/>
                <w:sz w:val="21"/>
                <w:szCs w:val="21"/>
                <w:highlight w:val="none"/>
                <w:lang w:eastAsia="zh-CN"/>
              </w:rPr>
            </w:pPr>
            <w:r>
              <w:rPr>
                <w:rFonts w:hint="eastAsia"/>
                <w:b/>
                <w:bCs/>
                <w:color w:val="auto"/>
                <w:sz w:val="21"/>
                <w:szCs w:val="21"/>
                <w:highlight w:val="none"/>
              </w:rPr>
              <w:t>升级60节点</w:t>
            </w:r>
            <w:r>
              <w:rPr>
                <w:rFonts w:hint="eastAsia"/>
                <w:b/>
                <w:bCs/>
                <w:color w:val="auto"/>
                <w:sz w:val="21"/>
                <w:szCs w:val="21"/>
                <w:highlight w:val="none"/>
                <w:lang w:val="en-US" w:eastAsia="zh-CN"/>
              </w:rPr>
              <w:t>授权</w:t>
            </w:r>
            <w:r>
              <w:rPr>
                <w:rFonts w:hint="eastAsia"/>
                <w:b/>
                <w:bCs/>
                <w:color w:val="auto"/>
                <w:sz w:val="21"/>
                <w:szCs w:val="21"/>
                <w:highlight w:val="none"/>
              </w:rPr>
              <w:t>教学网络锁</w:t>
            </w:r>
          </w:p>
          <w:p w14:paraId="701384E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软件产品参数：</w:t>
            </w:r>
          </w:p>
          <w:p w14:paraId="5E425F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▲1.升级内容包括：原广龙计价2018版网络加密锁广西定额内容升级为广西最新全专业清单及定额（以当地造价管理部门发布文件为准）；</w:t>
            </w:r>
          </w:p>
          <w:p w14:paraId="30CE4F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.可导入导出电子表格、预算工程、审计工程、结算工程、招标工程及计量支付工程文件等；</w:t>
            </w:r>
          </w:p>
          <w:p w14:paraId="79795F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.应内置广西最新行业清单、定额计算规则，第一时间响应当地行业动态；</w:t>
            </w:r>
          </w:p>
          <w:p w14:paraId="3564398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.要具有工程量清单法与工料法计价两种模式；</w:t>
            </w:r>
          </w:p>
          <w:p w14:paraId="62E6B9F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.要具有工程概况及特征表及指标分析、计量支付报表；</w:t>
            </w:r>
          </w:p>
          <w:p w14:paraId="5A8FC71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.能够支持算式工程量、算式钢筋功能；</w:t>
            </w:r>
          </w:p>
          <w:p w14:paraId="7730875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.能够支持自动清除工程的算式算量、分部分项、单价措施窗口的所有计算式。</w:t>
            </w:r>
          </w:p>
          <w:p w14:paraId="029BFB5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.应具有防止有重复的清单、快速对清单项重新编码的功能；</w:t>
            </w:r>
          </w:p>
          <w:p w14:paraId="041546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.在输出报表时，要具有各类汇总表；</w:t>
            </w:r>
          </w:p>
          <w:p w14:paraId="169CE68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.应有定额的配比换算；</w:t>
            </w:r>
          </w:p>
          <w:p w14:paraId="75FDB2E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.具有整体换功能：可实现全部定额、挑选定额的人、材、机、商品砼与泵商砼的换算；</w:t>
            </w:r>
          </w:p>
          <w:p w14:paraId="7FD6A49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.具有可修改费率值、清空费率值 的取费功能；</w:t>
            </w:r>
          </w:p>
          <w:p w14:paraId="0C90660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.建立补充清单项目和定额子目的功能；</w:t>
            </w:r>
          </w:p>
          <w:p w14:paraId="533EC3D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4</w:t>
            </w:r>
            <w:r>
              <w:rPr>
                <w:rFonts w:hint="eastAsia"/>
                <w:color w:val="auto"/>
                <w:sz w:val="21"/>
                <w:szCs w:val="21"/>
                <w:highlight w:val="none"/>
              </w:rPr>
              <w:t>.具有调整定额系数和设置特殊费的功能；</w:t>
            </w:r>
          </w:p>
          <w:p w14:paraId="7F9F215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rPr>
              <w:t>.具有快速设置、清除主要项目做法的功能；</w:t>
            </w:r>
          </w:p>
          <w:p w14:paraId="6C6B23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6</w:t>
            </w:r>
            <w:r>
              <w:rPr>
                <w:rFonts w:hint="eastAsia"/>
                <w:color w:val="auto"/>
                <w:sz w:val="21"/>
                <w:szCs w:val="21"/>
                <w:highlight w:val="none"/>
              </w:rPr>
              <w:t>.应具有针对混凝土的泵送费、运输费、拌制费进行设置的功能；</w:t>
            </w:r>
          </w:p>
          <w:p w14:paraId="7E142BC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.应具有实现批量清空所有定额的已换算及附注信息的刷资源功能；</w:t>
            </w:r>
          </w:p>
          <w:p w14:paraId="6B19FFD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18</w:t>
            </w:r>
            <w:r>
              <w:rPr>
                <w:rFonts w:hint="eastAsia"/>
                <w:color w:val="auto"/>
                <w:sz w:val="21"/>
                <w:szCs w:val="21"/>
                <w:highlight w:val="none"/>
              </w:rPr>
              <w:t>.应有防止编辑投标文件时误删除内容或更改内容的锁项功能；</w:t>
            </w:r>
          </w:p>
          <w:p w14:paraId="2B9C508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19</w:t>
            </w:r>
            <w:r>
              <w:rPr>
                <w:rFonts w:hint="eastAsia"/>
                <w:color w:val="auto"/>
                <w:sz w:val="21"/>
                <w:szCs w:val="21"/>
                <w:highlight w:val="none"/>
              </w:rPr>
              <w:t>.具有信息价多期加权与调价；各种造价结果的浏览汇总模块（无须打印预览）；</w:t>
            </w:r>
          </w:p>
          <w:p w14:paraId="643C08C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0</w:t>
            </w:r>
            <w:r>
              <w:rPr>
                <w:rFonts w:hint="eastAsia"/>
                <w:color w:val="auto"/>
                <w:sz w:val="21"/>
                <w:szCs w:val="21"/>
                <w:highlight w:val="none"/>
              </w:rPr>
              <w:t>.具有工程检查功能，可检验工程是否按五统一编制、编码重复、价格漏输入等；</w:t>
            </w:r>
          </w:p>
          <w:p w14:paraId="0E9ECFD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1</w:t>
            </w:r>
            <w:r>
              <w:rPr>
                <w:rFonts w:hint="eastAsia"/>
                <w:color w:val="auto"/>
                <w:sz w:val="21"/>
                <w:szCs w:val="21"/>
                <w:highlight w:val="none"/>
              </w:rPr>
              <w:t>.工程输出：可直接打印，导出EXCEL、文档及PDF格式，可自定义各种报表模块；</w:t>
            </w:r>
          </w:p>
          <w:p w14:paraId="4ADD6FA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2</w:t>
            </w:r>
            <w:r>
              <w:rPr>
                <w:rFonts w:hint="eastAsia"/>
                <w:color w:val="auto"/>
                <w:sz w:val="21"/>
                <w:szCs w:val="21"/>
                <w:highlight w:val="none"/>
              </w:rPr>
              <w:t>.支持最新关联电子招投标及评标系统功能；</w:t>
            </w:r>
          </w:p>
          <w:p w14:paraId="305843F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3</w:t>
            </w:r>
            <w:r>
              <w:rPr>
                <w:rFonts w:hint="eastAsia"/>
                <w:color w:val="auto"/>
                <w:sz w:val="21"/>
                <w:szCs w:val="21"/>
                <w:highlight w:val="none"/>
              </w:rPr>
              <w:t>.支持子目按条件过滤，也支持折叠展开；</w:t>
            </w:r>
          </w:p>
          <w:p w14:paraId="4A013A9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4</w:t>
            </w:r>
            <w:r>
              <w:rPr>
                <w:rFonts w:hint="eastAsia"/>
                <w:color w:val="auto"/>
                <w:sz w:val="21"/>
                <w:szCs w:val="21"/>
                <w:highlight w:val="none"/>
              </w:rPr>
              <w:t>.支持项目组价、项目调费率；</w:t>
            </w:r>
          </w:p>
          <w:p w14:paraId="2C14B45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5</w:t>
            </w:r>
            <w:r>
              <w:rPr>
                <w:rFonts w:hint="eastAsia"/>
                <w:color w:val="auto"/>
                <w:sz w:val="21"/>
                <w:szCs w:val="21"/>
                <w:highlight w:val="none"/>
              </w:rPr>
              <w:t>.支持导入Excel工程量清单及PDF控制价；</w:t>
            </w:r>
          </w:p>
          <w:p w14:paraId="65404D7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6</w:t>
            </w:r>
            <w:r>
              <w:rPr>
                <w:rFonts w:hint="eastAsia"/>
                <w:color w:val="auto"/>
                <w:sz w:val="21"/>
                <w:szCs w:val="21"/>
                <w:highlight w:val="none"/>
              </w:rPr>
              <w:t>.要具有全功能视频帮助；</w:t>
            </w:r>
          </w:p>
          <w:p w14:paraId="36AA045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27</w:t>
            </w:r>
            <w:r>
              <w:rPr>
                <w:rFonts w:hint="eastAsia"/>
                <w:color w:val="auto"/>
                <w:sz w:val="21"/>
                <w:szCs w:val="21"/>
                <w:highlight w:val="none"/>
              </w:rPr>
              <w:t>.设有常用功能的快捷键设置；</w:t>
            </w:r>
          </w:p>
          <w:p w14:paraId="0C65197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28</w:t>
            </w:r>
            <w:r>
              <w:rPr>
                <w:rFonts w:hint="eastAsia"/>
                <w:color w:val="auto"/>
                <w:sz w:val="21"/>
                <w:szCs w:val="21"/>
                <w:highlight w:val="none"/>
              </w:rPr>
              <w:t>.应配有售后服务团队，可提供完善的售后服务和及时的软件升级与数据同步更新；</w:t>
            </w:r>
          </w:p>
          <w:p w14:paraId="3798E86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29</w:t>
            </w:r>
            <w:r>
              <w:rPr>
                <w:rFonts w:hint="eastAsia"/>
                <w:color w:val="auto"/>
                <w:sz w:val="21"/>
                <w:szCs w:val="21"/>
                <w:highlight w:val="none"/>
              </w:rPr>
              <w:t>.软件通过广西区住房和城乡建设厅工程造价计价软件符合性测评文件；</w:t>
            </w:r>
          </w:p>
          <w:p w14:paraId="38E4AF6D">
            <w:pPr>
              <w:keepNext w:val="0"/>
              <w:keepLines w:val="0"/>
              <w:suppressLineNumbers w:val="0"/>
              <w:spacing w:before="0" w:beforeAutospacing="0" w:after="0" w:afterAutospacing="0" w:line="320" w:lineRule="exact"/>
              <w:ind w:left="0" w:right="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0</w:t>
            </w:r>
            <w:r>
              <w:rPr>
                <w:rFonts w:hint="eastAsia"/>
                <w:color w:val="auto"/>
                <w:sz w:val="21"/>
                <w:szCs w:val="21"/>
                <w:highlight w:val="none"/>
              </w:rPr>
              <w:t>.赠送老师个人全专业配套教学使用账号或单机锁8个。</w:t>
            </w:r>
          </w:p>
          <w:p w14:paraId="60C51DA9">
            <w:pPr>
              <w:keepNext w:val="0"/>
              <w:keepLines w:val="0"/>
              <w:numPr>
                <w:ilvl w:val="0"/>
                <w:numId w:val="0"/>
              </w:numPr>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color w:val="auto"/>
                <w:sz w:val="21"/>
                <w:szCs w:val="21"/>
                <w:highlight w:val="none"/>
              </w:rPr>
              <w:t>▲</w:t>
            </w:r>
            <w:r>
              <w:rPr>
                <w:rFonts w:hint="eastAsia"/>
                <w:color w:val="auto"/>
                <w:sz w:val="21"/>
                <w:szCs w:val="21"/>
                <w:highlight w:val="none"/>
                <w:lang w:val="en-US" w:eastAsia="zh-CN"/>
              </w:rPr>
              <w:t>31.其他要求</w:t>
            </w:r>
          </w:p>
          <w:p w14:paraId="22D3F75A">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（1）部署要求：本地化部署；</w:t>
            </w:r>
          </w:p>
          <w:p w14:paraId="6E65CB74">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（2）安装、调试、适配服务：</w:t>
            </w:r>
          </w:p>
          <w:p w14:paraId="6AD21A56">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324609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226C0F6C">
            <w:pPr>
              <w:keepNext w:val="0"/>
              <w:keepLines w:val="0"/>
              <w:numPr>
                <w:ilvl w:val="-1"/>
                <w:numId w:val="0"/>
              </w:numPr>
              <w:suppressLineNumbers w:val="0"/>
              <w:spacing w:before="0" w:beforeAutospacing="0" w:after="0" w:afterAutospacing="0"/>
              <w:ind w:left="0" w:right="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color w:val="auto"/>
                <w:sz w:val="21"/>
                <w:szCs w:val="21"/>
                <w:highlight w:val="none"/>
                <w:lang w:val="en-US" w:eastAsia="zh-CN"/>
              </w:rPr>
              <w:t>使用用户数：无限制</w:t>
            </w:r>
          </w:p>
          <w:p w14:paraId="3AEE00A4">
            <w:pPr>
              <w:keepNext w:val="0"/>
              <w:keepLines w:val="0"/>
              <w:suppressLineNumbers w:val="0"/>
              <w:spacing w:before="0" w:beforeAutospacing="0" w:after="0" w:afterAutospacing="0" w:line="320" w:lineRule="exact"/>
              <w:ind w:left="0" w:right="0"/>
              <w:rPr>
                <w:rFonts w:hint="default"/>
                <w:color w:val="auto"/>
                <w:sz w:val="21"/>
                <w:szCs w:val="21"/>
                <w:highlight w:val="none"/>
              </w:rPr>
            </w:pPr>
          </w:p>
          <w:p w14:paraId="00F1B1F1">
            <w:pPr>
              <w:pStyle w:val="2"/>
              <w:keepNext w:val="0"/>
              <w:keepLines w:val="0"/>
              <w:suppressLineNumbers w:val="0"/>
              <w:spacing w:before="0" w:beforeAutospacing="0" w:afterAutospacing="0"/>
              <w:ind w:left="0" w:leftChars="0" w:right="0" w:firstLine="0" w:firstLineChars="0"/>
              <w:rPr>
                <w:rFonts w:hint="eastAsia" w:eastAsia="宋体"/>
                <w:color w:val="auto"/>
                <w:sz w:val="21"/>
                <w:szCs w:val="21"/>
                <w:highlight w:val="none"/>
                <w:lang w:val="en-US" w:eastAsia="zh-CN"/>
              </w:rPr>
            </w:pPr>
          </w:p>
        </w:tc>
      </w:tr>
      <w:tr w14:paraId="5DDC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4D58F67E">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2</w:t>
            </w:r>
          </w:p>
        </w:tc>
        <w:tc>
          <w:tcPr>
            <w:tcW w:w="401" w:type="pct"/>
            <w:vAlign w:val="center"/>
          </w:tcPr>
          <w:p w14:paraId="1478DAE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广龙清单计价软件（新增节点）</w:t>
            </w:r>
          </w:p>
        </w:tc>
        <w:tc>
          <w:tcPr>
            <w:tcW w:w="360" w:type="pct"/>
            <w:vAlign w:val="center"/>
          </w:tcPr>
          <w:p w14:paraId="1E93947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55</w:t>
            </w:r>
          </w:p>
          <w:p w14:paraId="606C088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节点</w:t>
            </w:r>
          </w:p>
        </w:tc>
        <w:tc>
          <w:tcPr>
            <w:tcW w:w="465" w:type="pct"/>
            <w:vAlign w:val="center"/>
          </w:tcPr>
          <w:p w14:paraId="01034C3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vAlign w:val="center"/>
          </w:tcPr>
          <w:p w14:paraId="5395100E">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新购55节点</w:t>
            </w:r>
            <w:r>
              <w:rPr>
                <w:rFonts w:hint="eastAsia"/>
                <w:b/>
                <w:bCs/>
                <w:color w:val="auto"/>
                <w:sz w:val="21"/>
                <w:szCs w:val="21"/>
                <w:highlight w:val="none"/>
                <w:lang w:val="en-US" w:eastAsia="zh-CN"/>
              </w:rPr>
              <w:t>授权</w:t>
            </w:r>
            <w:r>
              <w:rPr>
                <w:rFonts w:hint="eastAsia"/>
                <w:b/>
                <w:bCs/>
                <w:color w:val="auto"/>
                <w:sz w:val="21"/>
                <w:szCs w:val="21"/>
                <w:highlight w:val="none"/>
              </w:rPr>
              <w:t>教学网络锁</w:t>
            </w:r>
            <w:r>
              <w:rPr>
                <w:rFonts w:hint="eastAsia"/>
                <w:b/>
                <w:bCs/>
                <w:color w:val="auto"/>
                <w:sz w:val="21"/>
                <w:szCs w:val="21"/>
                <w:highlight w:val="none"/>
                <w:lang w:eastAsia="zh-CN"/>
              </w:rPr>
              <w:t>，</w:t>
            </w:r>
            <w:r>
              <w:rPr>
                <w:rFonts w:hint="eastAsia"/>
                <w:b/>
                <w:bCs/>
                <w:color w:val="auto"/>
                <w:sz w:val="21"/>
                <w:szCs w:val="21"/>
                <w:highlight w:val="none"/>
              </w:rPr>
              <w:t>软件产品参数：</w:t>
            </w:r>
          </w:p>
          <w:p w14:paraId="405C19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▲1.计价软件产品包含广西最新全专业清单及定额（以当地造价管理部门发布文件为准）；</w:t>
            </w:r>
          </w:p>
          <w:p w14:paraId="1B537A5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2.清单软件为独立开发平台，避免知识产权纠纷；</w:t>
            </w:r>
          </w:p>
          <w:p w14:paraId="0197BD2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▲3.可导入导出电子表格、预算工程、审计工程、结算工程、招标工程及计量支付工程文件等；</w:t>
            </w:r>
          </w:p>
          <w:p w14:paraId="1DC661E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4.应内置广西最新全专业清单、定额计算规则，第一时间响应当地行业动态；</w:t>
            </w:r>
          </w:p>
          <w:p w14:paraId="527C3DA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5.要具有工程量清单法与工料法计价两种模式；</w:t>
            </w:r>
          </w:p>
          <w:p w14:paraId="70AC971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6.要具有工程概况及特征表及指标分析、计量支付报表；</w:t>
            </w:r>
          </w:p>
          <w:p w14:paraId="211D3DD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7.能够支持算式工程量、算式钢筋功能；</w:t>
            </w:r>
          </w:p>
          <w:p w14:paraId="36F814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8.能够支持自动清除工程的算式算量、分部分项、单价措施窗口的所有计算式。</w:t>
            </w:r>
          </w:p>
          <w:p w14:paraId="275BAC0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9.应具有防止有重复的清单、快速对清单项重新编码的功能；</w:t>
            </w:r>
          </w:p>
          <w:p w14:paraId="7D74470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▲10.在输出报表时，要具有各类汇总表；</w:t>
            </w:r>
          </w:p>
          <w:p w14:paraId="316CE79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11.应有定额的配比换算；</w:t>
            </w:r>
          </w:p>
          <w:p w14:paraId="6DC8910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12.具有整体换功能：可实现全部定额、挑选定额的人、材、机、商品砼与泵商砼的换算；</w:t>
            </w:r>
          </w:p>
          <w:p w14:paraId="470EFA3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13.具有可修改费率值、清空费率值 的取费功能；</w:t>
            </w:r>
          </w:p>
          <w:p w14:paraId="0EFD523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14.建立补充清单项目和定额子目的功能；</w:t>
            </w:r>
          </w:p>
          <w:p w14:paraId="71D24C3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15.具有调整定额系数和设置特殊费的功能；</w:t>
            </w:r>
          </w:p>
          <w:p w14:paraId="45F3F6A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16.具有快速设置、清除主要项目做法的功能；</w:t>
            </w:r>
          </w:p>
          <w:p w14:paraId="1B5C8EA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17.应具有针对混凝土的泵送费、运输费、拌制费进行设置的功能；</w:t>
            </w:r>
          </w:p>
          <w:p w14:paraId="08CCC8D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18.应具有实现批量清空所有定额的已换算及附注信息的刷资源功能；</w:t>
            </w:r>
          </w:p>
          <w:p w14:paraId="5396DC5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19.应有防止编辑投标文件时误删除内容或更改内容的锁项功能；</w:t>
            </w:r>
          </w:p>
          <w:p w14:paraId="029C45A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20.具有信息价多期加权与调价；各种造价结果的浏览汇总模块（无须打印预览）；</w:t>
            </w:r>
          </w:p>
          <w:p w14:paraId="76CBB3A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▲21.具有工程检查功能，可检验工程是否按五统一编制、编码重复、价格漏输入等；</w:t>
            </w:r>
          </w:p>
          <w:p w14:paraId="2652394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22.工程输出：可直接打印，导出Excel文件及PDF格式文档，可自定义各种报表模块；</w:t>
            </w:r>
          </w:p>
          <w:p w14:paraId="0EA04AF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23. 支持最新关联电子招投标及评标系统功能；</w:t>
            </w:r>
          </w:p>
          <w:p w14:paraId="613D958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24.支持子目按条件过滤，也支持折叠展开。</w:t>
            </w:r>
          </w:p>
          <w:p w14:paraId="5B22195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25.支持项目组价、项目调费率</w:t>
            </w:r>
          </w:p>
          <w:p w14:paraId="325D368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26.支持</w:t>
            </w:r>
            <w:r>
              <w:rPr>
                <w:rFonts w:hint="eastAsia"/>
                <w:color w:val="auto"/>
                <w:sz w:val="21"/>
                <w:szCs w:val="21"/>
                <w:highlight w:val="none"/>
                <w:lang w:eastAsia="zh-CN"/>
              </w:rPr>
              <w:t>导入</w:t>
            </w:r>
            <w:r>
              <w:rPr>
                <w:rFonts w:hint="eastAsia"/>
                <w:color w:val="auto"/>
                <w:sz w:val="21"/>
                <w:szCs w:val="21"/>
                <w:highlight w:val="none"/>
              </w:rPr>
              <w:t>Excel工程量清单及PDF控制价；</w:t>
            </w:r>
          </w:p>
          <w:p w14:paraId="67CC5D9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27.要具有全功能视频帮助；</w:t>
            </w:r>
          </w:p>
          <w:p w14:paraId="1535CEC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28.设有常用功能的快捷键设置；</w:t>
            </w:r>
          </w:p>
          <w:p w14:paraId="6D1F507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29.应配有售后服务团队，可提供完善的售后服务和及时的软件升级与数据同步更新；</w:t>
            </w:r>
          </w:p>
          <w:p w14:paraId="19B680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30.软件通过广西区住房和城乡建设厅工程造价计价软件符合性测评文件；</w:t>
            </w:r>
          </w:p>
          <w:p w14:paraId="7BEC9E56">
            <w:pPr>
              <w:keepNext w:val="0"/>
              <w:keepLines w:val="0"/>
              <w:numPr>
                <w:ilvl w:val="0"/>
                <w:numId w:val="0"/>
              </w:numPr>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color w:val="auto"/>
                <w:sz w:val="21"/>
                <w:szCs w:val="21"/>
                <w:highlight w:val="none"/>
              </w:rPr>
              <w:t>▲</w:t>
            </w:r>
            <w:r>
              <w:rPr>
                <w:rFonts w:hint="eastAsia"/>
                <w:color w:val="auto"/>
                <w:sz w:val="21"/>
                <w:szCs w:val="21"/>
                <w:highlight w:val="none"/>
                <w:lang w:val="en-US" w:eastAsia="zh-CN"/>
              </w:rPr>
              <w:t>31.其他要求</w:t>
            </w:r>
          </w:p>
          <w:p w14:paraId="63EEE53C">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（1）部署要求：本地化部署；</w:t>
            </w:r>
          </w:p>
          <w:p w14:paraId="1060A169">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（2）安装、调试、适配服务：</w:t>
            </w:r>
          </w:p>
          <w:p w14:paraId="5F4276AE">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1F94DA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22AD276C">
            <w:pPr>
              <w:keepNext w:val="0"/>
              <w:keepLines w:val="0"/>
              <w:numPr>
                <w:ilvl w:val="-1"/>
                <w:numId w:val="0"/>
              </w:numPr>
              <w:suppressLineNumbers w:val="0"/>
              <w:spacing w:before="0" w:beforeAutospacing="0" w:after="0" w:afterAutospacing="0"/>
              <w:ind w:left="0" w:right="0"/>
              <w:jc w:val="left"/>
              <w:rPr>
                <w:rFonts w:hint="eastAsia" w:eastAsia="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color w:val="auto"/>
                <w:sz w:val="21"/>
                <w:szCs w:val="21"/>
                <w:highlight w:val="none"/>
                <w:lang w:val="en-US" w:eastAsia="zh-CN"/>
              </w:rPr>
              <w:t>使用用户数：无限制</w:t>
            </w:r>
          </w:p>
        </w:tc>
      </w:tr>
    </w:tbl>
    <w:p w14:paraId="0BA8E41F">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29A0227">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32F2E4A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3F8AC8B">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031C0FDC">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214AA02F">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6C19C719">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24E1B6DE">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059BB30B">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418C007E">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75C02D4F">
      <w:pPr>
        <w:spacing w:line="360" w:lineRule="auto"/>
        <w:rPr>
          <w:color w:val="auto"/>
          <w:szCs w:val="21"/>
          <w:highlight w:val="none"/>
        </w:rPr>
      </w:pPr>
      <w:r>
        <w:rPr>
          <w:rFonts w:hint="eastAsia" w:cs="宋体"/>
          <w:color w:val="auto"/>
          <w:szCs w:val="21"/>
          <w:highlight w:val="none"/>
          <w:lang w:bidi="ar"/>
        </w:rPr>
        <w:t>广西南宁市内采购人指定地点。</w:t>
      </w:r>
    </w:p>
    <w:p w14:paraId="3E89EAFF">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679B4ACB">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5782EB70">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6EE53F8D">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29AE7888">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27465720">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13432D14">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7F66FD3E">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41E04C17">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1DC3D9A9">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3824EF12">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5C509942">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1E1A28BC">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137FB888">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213F761A">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5B3B4911">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118EDB31">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6E49B288">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3F43E17B">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4A657849">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46A1BB21">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1744E16C">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42347689">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52C23766">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33F23500">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50BD4DFA">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29849D69">
      <w:pPr>
        <w:spacing w:line="360" w:lineRule="auto"/>
        <w:rPr>
          <w:color w:val="auto"/>
          <w:szCs w:val="21"/>
          <w:highlight w:val="none"/>
        </w:rPr>
      </w:pPr>
      <w:r>
        <w:rPr>
          <w:rFonts w:hint="eastAsia"/>
          <w:color w:val="auto"/>
          <w:szCs w:val="21"/>
          <w:highlight w:val="none"/>
          <w:lang w:bidi="ar"/>
        </w:rPr>
        <w:t>无</w:t>
      </w:r>
      <w:r>
        <w:rPr>
          <w:rFonts w:hint="eastAsia"/>
          <w:color w:val="auto"/>
          <w:szCs w:val="21"/>
          <w:highlight w:val="none"/>
        </w:rPr>
        <w:t>。</w:t>
      </w:r>
    </w:p>
    <w:p w14:paraId="1A219206">
      <w:pPr>
        <w:rPr>
          <w:color w:val="auto"/>
          <w:szCs w:val="21"/>
          <w:highlight w:val="none"/>
        </w:rPr>
      </w:pPr>
      <w:r>
        <w:rPr>
          <w:rFonts w:hint="eastAsia"/>
          <w:color w:val="auto"/>
          <w:szCs w:val="21"/>
          <w:highlight w:val="none"/>
        </w:rPr>
        <w:br w:type="page"/>
      </w:r>
    </w:p>
    <w:p w14:paraId="09ABF50E">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5分标：税务实训平台（纳税申报与风险管控实践教学平台）采购</w:t>
      </w:r>
    </w:p>
    <w:p w14:paraId="6D43E72B">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410095BB">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ABC5E58">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2509CEF0">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E25D7F1">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1AF50C7">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486CCC14">
      <w:pPr>
        <w:spacing w:line="360" w:lineRule="auto"/>
        <w:rPr>
          <w:color w:val="auto"/>
          <w:szCs w:val="21"/>
          <w:highlight w:val="none"/>
        </w:rPr>
      </w:pPr>
      <w:r>
        <w:rPr>
          <w:rFonts w:hint="eastAsia"/>
          <w:color w:val="auto"/>
          <w:szCs w:val="21"/>
          <w:highlight w:val="none"/>
        </w:rPr>
        <w:t>1.需实现的功能、目标及应用场景</w:t>
      </w:r>
    </w:p>
    <w:p w14:paraId="4A453506">
      <w:pPr>
        <w:spacing w:line="360" w:lineRule="auto"/>
        <w:rPr>
          <w:color w:val="auto"/>
          <w:szCs w:val="21"/>
          <w:highlight w:val="none"/>
        </w:rPr>
      </w:pPr>
      <w:r>
        <w:rPr>
          <w:rFonts w:hint="eastAsia"/>
          <w:color w:val="auto"/>
          <w:szCs w:val="21"/>
          <w:highlight w:val="none"/>
        </w:rPr>
        <w:t>满足招标文件要求，验收达到合格标准。</w:t>
      </w:r>
    </w:p>
    <w:p w14:paraId="53B526E8">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66B409F0">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76BAFECD">
      <w:pPr>
        <w:spacing w:line="360" w:lineRule="auto"/>
        <w:rPr>
          <w:rFonts w:hint="default" w:eastAsia="宋体"/>
          <w:color w:val="auto"/>
          <w:szCs w:val="21"/>
          <w:highlight w:val="none"/>
          <w:lang w:val="en-US" w:eastAsia="zh-CN"/>
        </w:rPr>
      </w:pPr>
      <w:r>
        <w:rPr>
          <w:rFonts w:hint="eastAsia"/>
          <w:color w:val="auto"/>
          <w:szCs w:val="21"/>
          <w:highlight w:val="none"/>
        </w:rPr>
        <w:t>3.标的所属行业：</w:t>
      </w:r>
      <w:r>
        <w:rPr>
          <w:rFonts w:hint="eastAsia"/>
          <w:color w:val="auto"/>
          <w:szCs w:val="21"/>
          <w:highlight w:val="none"/>
          <w:lang w:val="en-US" w:eastAsia="zh-CN"/>
        </w:rPr>
        <w:t>软件和信息技术服务业</w:t>
      </w:r>
    </w:p>
    <w:p w14:paraId="4099264B">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02247A06">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7EC96BAA">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4B237EC3">
      <w:pPr>
        <w:spacing w:line="360" w:lineRule="auto"/>
        <w:rPr>
          <w:color w:val="auto"/>
          <w:szCs w:val="21"/>
          <w:highlight w:val="none"/>
        </w:rPr>
      </w:pPr>
      <w:r>
        <w:rPr>
          <w:rFonts w:hint="eastAsia"/>
          <w:color w:val="auto"/>
          <w:szCs w:val="21"/>
          <w:highlight w:val="none"/>
        </w:rPr>
        <w:t>5.核心产品：</w:t>
      </w:r>
    </w:p>
    <w:p w14:paraId="1F05DF1B">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 xml:space="preserve">  第1项：税务实训平台（纳税申报与风险管控实践教学平台）  </w:t>
      </w:r>
      <w:r>
        <w:rPr>
          <w:rFonts w:hint="eastAsia"/>
          <w:color w:val="auto"/>
          <w:szCs w:val="21"/>
          <w:highlight w:val="none"/>
        </w:rPr>
        <w:t>。</w:t>
      </w:r>
    </w:p>
    <w:p w14:paraId="41189875">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0AA57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462504A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1C38D605">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6D95F740">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06FDC595">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2985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105D8974">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2B693413">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税务实训平台（纳税申报与风险管控实践教学平台）</w:t>
            </w:r>
          </w:p>
        </w:tc>
        <w:tc>
          <w:tcPr>
            <w:tcW w:w="346" w:type="pct"/>
            <w:vAlign w:val="center"/>
          </w:tcPr>
          <w:p w14:paraId="6C9A8BA0">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280137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税务实训平台（纳税申报与风险管控实践教学平台）必须包含理论训练系统、全面数字化的电子发票开具实训系统、税务数字账户（发票认证）教学系统、增值税一般纳税人网上申报实训系统、查账征收企业所得税年度汇算清缴申报实训系统、自然人税收管理系统实训系统、纳税筹划单点策略教学实训系统、金税工程管理决策分析系统风险管理研究平台账号。</w:t>
            </w:r>
          </w:p>
          <w:p w14:paraId="1DD5C69E">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一、理论训练系统</w:t>
            </w:r>
          </w:p>
          <w:p w14:paraId="6A72147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1.支持PC端及微信端学习，能通过微信绑定实现手机移动端免登录。平台设计上融入有武侠理念，可以增加学生的学习兴趣。</w:t>
            </w:r>
          </w:p>
          <w:p w14:paraId="021E6A7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▲2.会计能力成熟度认证证书每个等级都具有对应的能力级别与岗位说明等内容，分为线上学习和线下认证，每个等级达到线上考核标准后，方可申请线下考试，其中系统平台 1级线上学习标准为</w:t>
            </w:r>
            <w:r>
              <w:rPr>
                <w:rFonts w:hint="default" w:ascii="Arial" w:hAnsi="Arial" w:cs="Arial"/>
                <w:color w:val="auto"/>
                <w:sz w:val="21"/>
                <w:szCs w:val="21"/>
                <w:highlight w:val="none"/>
              </w:rPr>
              <w:t>≥</w:t>
            </w:r>
            <w:r>
              <w:rPr>
                <w:rFonts w:hint="eastAsia"/>
                <w:color w:val="auto"/>
                <w:sz w:val="21"/>
                <w:szCs w:val="21"/>
                <w:highlight w:val="none"/>
              </w:rPr>
              <w:t>900学分和</w:t>
            </w:r>
            <w:r>
              <w:rPr>
                <w:rFonts w:hint="default" w:ascii="Arial" w:hAnsi="Arial" w:cs="Arial"/>
                <w:color w:val="auto"/>
                <w:sz w:val="21"/>
                <w:szCs w:val="21"/>
                <w:highlight w:val="none"/>
              </w:rPr>
              <w:t>≥</w:t>
            </w:r>
            <w:r>
              <w:rPr>
                <w:rFonts w:hint="eastAsia"/>
                <w:color w:val="auto"/>
                <w:sz w:val="21"/>
                <w:szCs w:val="21"/>
                <w:highlight w:val="none"/>
              </w:rPr>
              <w:t>55%的准确率</w:t>
            </w:r>
            <w:r>
              <w:rPr>
                <w:rFonts w:hint="eastAsia"/>
                <w:color w:val="auto"/>
                <w:sz w:val="21"/>
                <w:szCs w:val="21"/>
                <w:highlight w:val="none"/>
                <w:lang w:eastAsia="zh-CN"/>
              </w:rPr>
              <w:t>、</w:t>
            </w:r>
            <w:r>
              <w:rPr>
                <w:rFonts w:hint="eastAsia"/>
                <w:color w:val="auto"/>
                <w:sz w:val="21"/>
                <w:szCs w:val="21"/>
                <w:highlight w:val="none"/>
              </w:rPr>
              <w:t>系统平台 2级为</w:t>
            </w:r>
            <w:r>
              <w:rPr>
                <w:rFonts w:hint="default" w:ascii="Arial" w:hAnsi="Arial" w:cs="Arial"/>
                <w:color w:val="auto"/>
                <w:sz w:val="21"/>
                <w:szCs w:val="21"/>
                <w:highlight w:val="none"/>
              </w:rPr>
              <w:t>≥</w:t>
            </w:r>
            <w:r>
              <w:rPr>
                <w:rFonts w:hint="eastAsia"/>
                <w:color w:val="auto"/>
                <w:sz w:val="21"/>
                <w:szCs w:val="21"/>
                <w:highlight w:val="none"/>
              </w:rPr>
              <w:t>2000学分和</w:t>
            </w:r>
            <w:r>
              <w:rPr>
                <w:rFonts w:hint="default" w:ascii="Arial" w:hAnsi="Arial" w:cs="Arial"/>
                <w:color w:val="auto"/>
                <w:sz w:val="21"/>
                <w:szCs w:val="21"/>
                <w:highlight w:val="none"/>
              </w:rPr>
              <w:t>≥</w:t>
            </w:r>
            <w:r>
              <w:rPr>
                <w:rFonts w:hint="eastAsia"/>
                <w:color w:val="auto"/>
                <w:sz w:val="21"/>
                <w:szCs w:val="21"/>
                <w:highlight w:val="none"/>
              </w:rPr>
              <w:t>65%准确率</w:t>
            </w:r>
            <w:r>
              <w:rPr>
                <w:rFonts w:hint="eastAsia"/>
                <w:color w:val="auto"/>
                <w:sz w:val="21"/>
                <w:szCs w:val="21"/>
                <w:highlight w:val="none"/>
                <w:lang w:eastAsia="zh-CN"/>
              </w:rPr>
              <w:t>、</w:t>
            </w:r>
            <w:r>
              <w:rPr>
                <w:rFonts w:hint="eastAsia"/>
                <w:color w:val="auto"/>
                <w:sz w:val="21"/>
                <w:szCs w:val="21"/>
                <w:highlight w:val="none"/>
              </w:rPr>
              <w:t>系统平台3级为</w:t>
            </w:r>
            <w:r>
              <w:rPr>
                <w:rFonts w:hint="default" w:ascii="Arial" w:hAnsi="Arial" w:cs="Arial"/>
                <w:color w:val="auto"/>
                <w:sz w:val="21"/>
                <w:szCs w:val="21"/>
                <w:highlight w:val="none"/>
              </w:rPr>
              <w:t>≥</w:t>
            </w:r>
            <w:r>
              <w:rPr>
                <w:rFonts w:hint="eastAsia"/>
                <w:color w:val="auto"/>
                <w:sz w:val="21"/>
                <w:szCs w:val="21"/>
                <w:highlight w:val="none"/>
              </w:rPr>
              <w:t>3500学分和</w:t>
            </w:r>
            <w:r>
              <w:rPr>
                <w:rFonts w:hint="default" w:ascii="Arial" w:hAnsi="Arial" w:cs="Arial"/>
                <w:color w:val="auto"/>
                <w:sz w:val="21"/>
                <w:szCs w:val="21"/>
                <w:highlight w:val="none"/>
              </w:rPr>
              <w:t>≥</w:t>
            </w:r>
            <w:r>
              <w:rPr>
                <w:rFonts w:hint="eastAsia"/>
                <w:color w:val="auto"/>
                <w:sz w:val="21"/>
                <w:szCs w:val="21"/>
                <w:highlight w:val="none"/>
              </w:rPr>
              <w:t>66%的准确率</w:t>
            </w:r>
            <w:r>
              <w:rPr>
                <w:rFonts w:hint="eastAsia"/>
                <w:color w:val="auto"/>
                <w:sz w:val="21"/>
                <w:szCs w:val="21"/>
                <w:highlight w:val="none"/>
                <w:lang w:eastAsia="zh-CN"/>
              </w:rPr>
              <w:t>、</w:t>
            </w:r>
            <w:r>
              <w:rPr>
                <w:rFonts w:hint="eastAsia"/>
                <w:color w:val="auto"/>
                <w:sz w:val="21"/>
                <w:szCs w:val="21"/>
                <w:highlight w:val="none"/>
              </w:rPr>
              <w:t>系统平台4级为</w:t>
            </w:r>
            <w:r>
              <w:rPr>
                <w:rFonts w:hint="default" w:ascii="Arial" w:hAnsi="Arial" w:cs="Arial"/>
                <w:color w:val="auto"/>
                <w:sz w:val="21"/>
                <w:szCs w:val="21"/>
                <w:highlight w:val="none"/>
              </w:rPr>
              <w:t>≥</w:t>
            </w:r>
            <w:r>
              <w:rPr>
                <w:rFonts w:hint="eastAsia"/>
                <w:color w:val="auto"/>
                <w:sz w:val="21"/>
                <w:szCs w:val="21"/>
                <w:highlight w:val="none"/>
              </w:rPr>
              <w:t>5000学分和</w:t>
            </w:r>
            <w:r>
              <w:rPr>
                <w:rFonts w:hint="default" w:ascii="Arial" w:hAnsi="Arial" w:cs="Arial"/>
                <w:color w:val="auto"/>
                <w:sz w:val="21"/>
                <w:szCs w:val="21"/>
                <w:highlight w:val="none"/>
              </w:rPr>
              <w:t>≥</w:t>
            </w:r>
            <w:r>
              <w:rPr>
                <w:rFonts w:hint="eastAsia"/>
                <w:color w:val="auto"/>
                <w:sz w:val="21"/>
                <w:szCs w:val="21"/>
                <w:highlight w:val="none"/>
              </w:rPr>
              <w:t>68%的准确率</w:t>
            </w:r>
            <w:r>
              <w:rPr>
                <w:rFonts w:hint="eastAsia"/>
                <w:color w:val="auto"/>
                <w:sz w:val="21"/>
                <w:szCs w:val="21"/>
                <w:highlight w:val="none"/>
                <w:lang w:val="en-US" w:eastAsia="zh-CN"/>
              </w:rPr>
              <w:t>时才可以参加论证考试</w:t>
            </w:r>
            <w:r>
              <w:rPr>
                <w:rFonts w:hint="eastAsia"/>
                <w:color w:val="auto"/>
                <w:sz w:val="21"/>
                <w:szCs w:val="21"/>
                <w:highlight w:val="none"/>
              </w:rPr>
              <w:t>，会计能力成熟度认证证书每个等级都具有对应的能力级别与岗位说明等内容。</w:t>
            </w:r>
          </w:p>
          <w:p w14:paraId="3006742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3.每个等级自带题库，数量超过3000道，系统随机出题，自动评分。</w:t>
            </w:r>
          </w:p>
          <w:p w14:paraId="0B98EDA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4.练习的题型丰富包括理论题和技能题，理论题分为单选、多选、判断、填空，技能题分为票据题、业务题、案例分析题、计算分析题。</w:t>
            </w:r>
          </w:p>
          <w:p w14:paraId="68696A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有英雄榜功能，系统自动进行多维度的数据分析出具各类排行榜，能够和全国所有用户在学分、学时、准确率、积分、道具数量、诚信积分等进行比较，能够查看自己所处的名次，也能看到全国前100名的相应榜单信息。</w:t>
            </w:r>
          </w:p>
          <w:p w14:paraId="1D72ADF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▲6.具有排行榜功能，系统自动进行多维度的数据分析出具各类排行榜，能够和本校所有同等级的用户在学分、学时、准确率、积分、诚信积分进行比较，能够清晰</w:t>
            </w:r>
            <w:r>
              <w:rPr>
                <w:rFonts w:hint="eastAsia"/>
                <w:color w:val="auto"/>
                <w:sz w:val="21"/>
                <w:szCs w:val="21"/>
                <w:highlight w:val="none"/>
                <w:lang w:eastAsia="zh-CN"/>
              </w:rPr>
              <w:t>地</w:t>
            </w:r>
            <w:r>
              <w:rPr>
                <w:rFonts w:hint="eastAsia"/>
                <w:color w:val="auto"/>
                <w:sz w:val="21"/>
                <w:szCs w:val="21"/>
                <w:highlight w:val="none"/>
              </w:rPr>
              <w:t>了解几个维度的院校排名，也能查看其他等级的此类排行信息。</w:t>
            </w:r>
          </w:p>
          <w:p w14:paraId="2ACAB67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平台具有积分系统，签到、留言、纠错、发文章、写解析等均可获得相应积分，系统自带的学习任务完成后也可获得积分，积分可以购买各类道具，包括经书收藏卡、藏经阁年卡、擂台年卡、经书查询卡、履历卡、做题卡、加时卡、跳题卡、记题卡等各类道具。</w:t>
            </w:r>
          </w:p>
          <w:p w14:paraId="63F597F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▲8.学员具有专属学习报告功能，通过云平台大数据技术，多维度持续采集学生学习数据，能够通过练武报告、练武计划、练武情况、练武频率、练武记录、练武路标等功能查看学习在平台的所有学习数据。</w:t>
            </w:r>
          </w:p>
          <w:p w14:paraId="63349D7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▲9.具有人才测评报告功能，能够通过所有在平台的学习数据进行大数据分析</w:t>
            </w:r>
            <w:r>
              <w:rPr>
                <w:rFonts w:hint="eastAsia"/>
                <w:color w:val="auto"/>
                <w:sz w:val="21"/>
                <w:szCs w:val="21"/>
                <w:highlight w:val="none"/>
                <w:lang w:eastAsia="zh-CN"/>
              </w:rPr>
              <w:t>及</w:t>
            </w:r>
            <w:r>
              <w:rPr>
                <w:rFonts w:hint="eastAsia"/>
                <w:color w:val="auto"/>
                <w:sz w:val="21"/>
                <w:szCs w:val="21"/>
                <w:highlight w:val="none"/>
              </w:rPr>
              <w:t>评价，最终出具一份测评报告，了解学生的能力倾向、能力画像、职业素养、工具能力、并对其能力进行解读。</w:t>
            </w:r>
          </w:p>
          <w:p w14:paraId="411E96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▲10.有发布作业功能，学员能够根据老师发布的作业，对相应等级的能量棒知识点进行针对性强化练习。</w:t>
            </w:r>
          </w:p>
          <w:p w14:paraId="6472A7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系统平台每个等级都有正规出版社出版的教材。</w:t>
            </w:r>
          </w:p>
          <w:p w14:paraId="48A7DE11">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二、全面数字化的电子发票开具实训系统</w:t>
            </w:r>
          </w:p>
          <w:p w14:paraId="4574BB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▲1.系统需要含全面数字化的电子发票开具所需的开票业务及配套的税务数字账户管理的功能；</w:t>
            </w:r>
          </w:p>
          <w:p w14:paraId="4E8C38A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2.开票信息中分为项目信息维护、客户信息维护及附加信息维护；</w:t>
            </w:r>
          </w:p>
          <w:p w14:paraId="546D0A5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3.项目信息维护可通过单个添加、批量导入、税控批量导入的方式自动导入项目信息，且商品和服务税收分类编码支持选择及搜索；</w:t>
            </w:r>
          </w:p>
          <w:p w14:paraId="3E406B8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蓝字发票开具中需由授信额度、总授信额度、已使用额度、本月蓝票开具数量及金额统计，其中蓝字发票开具成功后授信额度需扣除不含税的发票金额，同时当红字发票开具成功后需在授信额度内增加不含税的发票金额，总授信额度需要根据所选择案例的不同初始提供授信的且可根据授信额度调整而增加；</w:t>
            </w:r>
          </w:p>
          <w:p w14:paraId="613BF51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5.蓝字发票开具需支持清单发票、折扣发票和差额发票的开具；</w:t>
            </w:r>
          </w:p>
          <w:p w14:paraId="0AC5504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▲6.蓝字发票的开票信息中需根据立即开票所选择的票种和差额信息显示相对应的标签，标签</w:t>
            </w:r>
            <w:r>
              <w:rPr>
                <w:rFonts w:hint="eastAsia"/>
                <w:color w:val="auto"/>
                <w:sz w:val="21"/>
                <w:szCs w:val="21"/>
                <w:highlight w:val="none"/>
                <w:lang w:eastAsia="zh-CN"/>
              </w:rPr>
              <w:t>涵盖</w:t>
            </w:r>
            <w:r>
              <w:rPr>
                <w:rFonts w:hint="eastAsia"/>
                <w:color w:val="auto"/>
                <w:sz w:val="21"/>
                <w:szCs w:val="21"/>
                <w:highlight w:val="none"/>
              </w:rPr>
              <w:t>但不局限于电子发票、增值税专用发票、普通发票、差额增税-差额开票、差额增税-全额开票；</w:t>
            </w:r>
          </w:p>
          <w:p w14:paraId="27218A9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蓝字发票的开票信息的项目名称支持从项目信息维护中选择，并根据所选中的项目信息内容自动填写规格型号、单位、单价、税率/征税率，且在完成数量输入后系统自动根据含税/不含税的标记计算出发票的税额及金额，同时支持含税/不含税的方式切换，切换后对税额自动重新计算；</w:t>
            </w:r>
          </w:p>
          <w:p w14:paraId="19A6DC1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8.蓝字发票的差额开票通过选择项目信息维护中的数据，自动弹出差额开票的信息，在完成差额开票信息维护后自动根据差额计算对应项目的税额数据；</w:t>
            </w:r>
          </w:p>
          <w:p w14:paraId="2CDAD9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▲9.红字发票开具需根据案例的所需期统计本月回退授信额度，同时在红字发票开具常用功能需</w:t>
            </w:r>
            <w:r>
              <w:rPr>
                <w:rFonts w:hint="eastAsia"/>
                <w:color w:val="auto"/>
                <w:sz w:val="21"/>
                <w:szCs w:val="21"/>
                <w:highlight w:val="none"/>
                <w:lang w:eastAsia="zh-CN"/>
              </w:rPr>
              <w:t>涵盖</w:t>
            </w:r>
            <w:r>
              <w:rPr>
                <w:rFonts w:hint="eastAsia"/>
                <w:color w:val="auto"/>
                <w:sz w:val="21"/>
                <w:szCs w:val="21"/>
                <w:highlight w:val="none"/>
              </w:rPr>
              <w:t>处理待确认记录、处理开票记录、冲红蓝字发票、冲红无蓝字发票，并在红字发票信息确认单中分为我发出的和发给我的；</w:t>
            </w:r>
          </w:p>
          <w:p w14:paraId="59600C7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10.冲红蓝字发票开具需支持选择已开具蓝字发票（再次蓝字发票支持预览），通过“选择”按钮完成红字发票信息确认单的发起，且红字</w:t>
            </w:r>
            <w:r>
              <w:rPr>
                <w:rFonts w:hint="eastAsia"/>
                <w:color w:val="auto"/>
                <w:sz w:val="21"/>
                <w:szCs w:val="21"/>
                <w:highlight w:val="none"/>
                <w:lang w:eastAsia="zh-CN"/>
              </w:rPr>
              <w:t>发</w:t>
            </w:r>
            <w:r>
              <w:rPr>
                <w:rFonts w:hint="eastAsia"/>
                <w:color w:val="auto"/>
                <w:sz w:val="21"/>
                <w:szCs w:val="21"/>
                <w:highlight w:val="none"/>
              </w:rPr>
              <w:t>票信息确认单提交成功后自动默认为购销双方已确认，以确保红字发票开具的应用；</w:t>
            </w:r>
          </w:p>
          <w:p w14:paraId="04CA146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▲11.税务数字账户内需支持发票查询统计及授信额度调整申请，发票查询统计支持案例已开具的蓝字发票及红字发票的票样查询及发票状态等信息的查询；</w:t>
            </w:r>
          </w:p>
          <w:p w14:paraId="6E0B9A9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12.系统需支持在授信额度调整申请中自行发起调额申请，提交成功后自动对授信额度和总授信额度进行调整；</w:t>
            </w:r>
          </w:p>
          <w:p w14:paraId="4F18E00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13.系统需分为教师端和学生端，在教师端和</w:t>
            </w:r>
            <w:r>
              <w:rPr>
                <w:rFonts w:hint="eastAsia"/>
                <w:color w:val="auto"/>
                <w:sz w:val="21"/>
                <w:szCs w:val="21"/>
                <w:highlight w:val="none"/>
                <w:lang w:eastAsia="zh-CN"/>
              </w:rPr>
              <w:t>学生</w:t>
            </w:r>
            <w:r>
              <w:rPr>
                <w:rFonts w:hint="eastAsia"/>
                <w:color w:val="auto"/>
                <w:sz w:val="21"/>
                <w:szCs w:val="21"/>
                <w:highlight w:val="none"/>
              </w:rPr>
              <w:t>端均可查询学生案例的作答记录，同时教师端可对学生端的案例发布、标准答案查询的权限控制。</w:t>
            </w:r>
          </w:p>
          <w:p w14:paraId="30BB03B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三、税务数字账户（发票认证）教学</w:t>
            </w:r>
            <w:r>
              <w:rPr>
                <w:rFonts w:hint="eastAsia"/>
                <w:b/>
                <w:bCs/>
                <w:color w:val="auto"/>
                <w:sz w:val="21"/>
                <w:szCs w:val="21"/>
                <w:highlight w:val="none"/>
                <w:lang w:eastAsia="zh-CN"/>
              </w:rPr>
              <w:t>平台</w:t>
            </w:r>
            <w:r>
              <w:rPr>
                <w:rFonts w:hint="eastAsia"/>
                <w:b/>
                <w:bCs/>
                <w:color w:val="auto"/>
                <w:sz w:val="21"/>
                <w:szCs w:val="21"/>
                <w:highlight w:val="none"/>
              </w:rPr>
              <w:t>系统</w:t>
            </w:r>
          </w:p>
          <w:p w14:paraId="6CBB867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1.系统需模拟电子税务局的税务数字账号模块，实现发票（含数电票）、海关缴款书、代扣代缴完税凭证的抵扣、不抵扣、退税及逾期抵扣的发票勾选确认操作；</w:t>
            </w:r>
          </w:p>
          <w:p w14:paraId="1F3B94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税务数字账号内需由企业名称、纳税人识别号、纳税信用级别、业务办理、用票业务组成。其中用票业务数据是由勾选确认内的发票数据自动统计，同时需包含但不限于当前可勾选增值税金额、增值税税额、抵扣凭证数量、已确认增值税金额等数据的自动统计计算；</w:t>
            </w:r>
          </w:p>
          <w:p w14:paraId="6A6530A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3.发票勾选确认需</w:t>
            </w:r>
            <w:r>
              <w:rPr>
                <w:rFonts w:hint="eastAsia"/>
                <w:color w:val="auto"/>
                <w:sz w:val="21"/>
                <w:szCs w:val="21"/>
                <w:highlight w:val="none"/>
                <w:lang w:eastAsia="zh-CN"/>
              </w:rPr>
              <w:t>涵盖</w:t>
            </w:r>
            <w:r>
              <w:rPr>
                <w:rFonts w:hint="eastAsia"/>
                <w:color w:val="auto"/>
                <w:sz w:val="21"/>
                <w:szCs w:val="21"/>
                <w:highlight w:val="none"/>
              </w:rPr>
              <w:t>当前税款所属期、抵扣类勾选、不抵扣类勾选、出口退税类勾选、代办退税类勾选、逾期抵扣申请、注销勾选、增值税抵扣凭证勾选情况模块；</w:t>
            </w:r>
          </w:p>
          <w:p w14:paraId="28FD128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▲4.抵扣类勾选需由抵扣勾选、待处理农产品发票、统计确认组成。同时抵扣勾选和待处理农产品发票需根据勾选状态的不同在未勾选时操作按钮显示提交勾选，在已勾选时操作按钮显示撤销勾选；</w:t>
            </w:r>
          </w:p>
          <w:p w14:paraId="6080FC0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抵扣勾选需支持发票、海关缴款书、代扣代缴完税凭证的三种类型，其中发票及代扣代缴完税凭证的数据初始默认根据案例读取；海关缴款书数据需支持由海关缴款书采集的允许抵扣类型的数据显示；发票中支持代开农产品发票的录入功能；</w:t>
            </w:r>
          </w:p>
          <w:p w14:paraId="5DC73A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待处理农产品发票需支持自产农产品销售发票、从小规模处购进的3%农产品专票的两种类型；其中自产农产品销售发票在勾选时需在属于自产农产品销售发票或不属于自产农产品销售发票；从小规模处购进的3%农产品专票在勾选时需</w:t>
            </w:r>
            <w:r>
              <w:rPr>
                <w:rFonts w:hint="eastAsia"/>
                <w:color w:val="auto"/>
                <w:sz w:val="21"/>
                <w:szCs w:val="21"/>
                <w:highlight w:val="none"/>
                <w:lang w:eastAsia="zh-CN"/>
              </w:rPr>
              <w:t>再</w:t>
            </w:r>
            <w:r>
              <w:rPr>
                <w:rFonts w:hint="eastAsia"/>
                <w:color w:val="auto"/>
                <w:sz w:val="21"/>
                <w:szCs w:val="21"/>
                <w:highlight w:val="none"/>
              </w:rPr>
              <w:t>按票面税额抵扣或按票面金额和基础扣除率计算抵扣；</w:t>
            </w:r>
          </w:p>
          <w:p w14:paraId="0F8D14F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▲7.不抵扣类勾选需支持发票、海关缴款书、代扣代价完税凭证的不抵扣勾选，其在勾选时需添加不抵扣的原因，同时已抵扣勾选的发票不可再次进项不抵扣勾选即列表数据仅显示未勾选的对应发票；</w:t>
            </w:r>
          </w:p>
          <w:p w14:paraId="1A0F7D6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出口退税类勾选需支持发票及海关缴款书的出口退税勾选，其中海关缴款书仅支持海关缴款书采集内允许退税的票据进项勾选；同时在完成出口退税类勾选后自动根据发票类型（专票、海关缴款书）统计票据用途确认的数据；</w:t>
            </w:r>
          </w:p>
          <w:p w14:paraId="198A36E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▲9.代办退税类勾选由代办退税勾选、代办退税统计表组成，其支持类型为数电票、发票的票据进行勾选，并需系统根据勾选内容自动统计发票的份数、本期有效抵扣税额合计的数据；</w:t>
            </w:r>
          </w:p>
          <w:p w14:paraId="1681229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逾期抵扣勾选申请中需支持发票、海关缴款书的信息录入，系统需在数据录入完成后自动反馈票据的审核状态为通过或不通过；且系统仅可对审核状态为通过的发票或海关缴款书进行抵扣申请，同时该处海关缴款书数据与海关缴款书采集内数据无任何关系；</w:t>
            </w:r>
          </w:p>
          <w:p w14:paraId="0B7B28B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海关缴款书采集需支持缴款书号码、填发日期、税款金额的录入完成采集的工作，系统自动根据采集信息反馈包括稽核结果、核对申请状态、核查结果的内容，同时在发票勾选确认中系统自动根据海关缴款书允许抵扣数据在抵扣和不抵扣勾选中显示，允许退税数据在出口退税中显示，其录入数据与逾期抵扣勾选数据无关系；</w:t>
            </w:r>
          </w:p>
          <w:p w14:paraId="445158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12.系统需支持案例信息查询，在作答完毕后可通过评分操作</w:t>
            </w:r>
            <w:r>
              <w:rPr>
                <w:rFonts w:hint="eastAsia"/>
                <w:color w:val="auto"/>
                <w:sz w:val="21"/>
                <w:szCs w:val="21"/>
                <w:highlight w:val="none"/>
                <w:lang w:eastAsia="zh-CN"/>
              </w:rPr>
              <w:t>自动</w:t>
            </w:r>
            <w:r>
              <w:rPr>
                <w:rFonts w:hint="eastAsia"/>
                <w:color w:val="auto"/>
                <w:sz w:val="21"/>
                <w:szCs w:val="21"/>
                <w:highlight w:val="none"/>
              </w:rPr>
              <w:t>计算所获分值；</w:t>
            </w:r>
          </w:p>
          <w:p w14:paraId="7128F52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系统对于案例的评分点包括但不限于发票勾选、有效抵扣税额录入、农产品类型判断、不抵扣原因选择、税额录入、税款金额录入数据。同时为避免学生作答过程的全选满分情况，系统需自动根据错选项目进行倒扣分（支持扣完为止），同时在成绩查询中可直观展示倒扣分票据信息；</w:t>
            </w:r>
          </w:p>
          <w:p w14:paraId="2A0557D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14.系统根据教学应用角色不同分为教师端和学生端，教师端支持学生端的账号开通、密码重</w:t>
            </w:r>
            <w:r>
              <w:rPr>
                <w:rFonts w:hint="eastAsia"/>
                <w:color w:val="auto"/>
                <w:sz w:val="21"/>
                <w:szCs w:val="21"/>
                <w:highlight w:val="none"/>
                <w:lang w:eastAsia="zh-CN"/>
              </w:rPr>
              <w:t>置</w:t>
            </w:r>
            <w:r>
              <w:rPr>
                <w:rFonts w:hint="eastAsia"/>
                <w:color w:val="auto"/>
                <w:sz w:val="21"/>
                <w:szCs w:val="21"/>
                <w:highlight w:val="none"/>
              </w:rPr>
              <w:t>、案例发布、成绩查询等功能；</w:t>
            </w:r>
          </w:p>
          <w:p w14:paraId="1122ECC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学生端作答案例由教师端在案例发布中进行发布，发布后学生端才可选择案例进行作答、评分；</w:t>
            </w:r>
          </w:p>
          <w:p w14:paraId="4952C826">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四、增值税一般纳税人网上申报实训系统</w:t>
            </w:r>
          </w:p>
          <w:p w14:paraId="41F53A6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▲1.能够满足同时≥120人在线实训能够模拟一般纳税人网上申报，可以配套教案案例实训、评分、打印封面报告，满足教学需要；</w:t>
            </w:r>
          </w:p>
          <w:p w14:paraId="5929D87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可以设置会计期间企业核定信息，不同的核定信息对应的报表不同，包括一般企业、一般企业总机构、一般企业辅导期、电力企业、航空运输企业、一般企业分支机构、农产品企业、含农产品业务企业等核定信息；</w:t>
            </w:r>
          </w:p>
          <w:p w14:paraId="24A2D94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3.具有申报操作流程功能，可以</w:t>
            </w:r>
            <w:r>
              <w:rPr>
                <w:rFonts w:hint="eastAsia"/>
                <w:color w:val="auto"/>
                <w:sz w:val="21"/>
                <w:szCs w:val="21"/>
                <w:highlight w:val="none"/>
                <w:lang w:eastAsia="zh-CN"/>
              </w:rPr>
              <w:t>选择</w:t>
            </w:r>
            <w:r>
              <w:rPr>
                <w:rFonts w:hint="eastAsia"/>
                <w:color w:val="auto"/>
                <w:sz w:val="21"/>
                <w:szCs w:val="21"/>
                <w:highlight w:val="none"/>
              </w:rPr>
              <w:t>税款所属期模拟不同期间的税务申报，满足教学需要；</w:t>
            </w:r>
          </w:p>
          <w:p w14:paraId="523D032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▲4.能够进行发票采集，进项税额转出功能，发票采集数据完成后可以直接自动取数生成相应报表；</w:t>
            </w:r>
          </w:p>
          <w:p w14:paraId="65DDA8A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 xml:space="preserve">▲5.进项发票采集需要录入发票代码、发票号码，销货单位和货物信息，可以选择将销货单位和货物信息增加到往来对象中，能够根据不同的进项票据和即征即退的类型选择不同的税率，税率主要有13%、9%、6%、5%、3%、0%几种，系统根据实际票据类型自动配置可选项，能够进行价税自动计算； </w:t>
            </w:r>
          </w:p>
          <w:p w14:paraId="1BFD8E6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6.能够进行销项数据采集，采集完成后可以直接自动取数生成相应报表，可以根据案例针对相应税款所属期的销项数据采集，采取可视化窗口，能够看到销项类别、正常发票份数、金额、税额，销项类别；</w:t>
            </w:r>
          </w:p>
          <w:p w14:paraId="330CE2B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进项税额转出可对具体项目的非即征即退、即征即退信息录入，具体项目包含免税项目用、集体福利、个人消费、非正常损失、简易计税方法征税项目用、免抵退税办法不得抵扣的进项税额、纳税检查调减进项税额、红字专用发票信息表注明的进项税额、上期留抵税额抵减欠税、上期留抵税额退税、其他应作进项税额转出的情形；</w:t>
            </w:r>
          </w:p>
          <w:p w14:paraId="6C2E6B1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8.增值税及附加税费申报表附列资料（三）中的项目及栏次中的税率必须是13%、9%等最新税率，增值税纳税申报表附列资料（一）中一般计税方法-项目及栏次中的税率必须是13%和9%等最新税率；</w:t>
            </w:r>
          </w:p>
          <w:p w14:paraId="694080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▲9.增值税一般纳税人申报表</w:t>
            </w:r>
            <w:r>
              <w:rPr>
                <w:rFonts w:hint="eastAsia"/>
                <w:color w:val="auto"/>
                <w:sz w:val="21"/>
                <w:szCs w:val="21"/>
                <w:highlight w:val="none"/>
                <w:lang w:val="en-US" w:eastAsia="zh-CN"/>
              </w:rPr>
              <w:t>包括</w:t>
            </w:r>
            <w:r>
              <w:rPr>
                <w:rFonts w:hint="eastAsia"/>
                <w:color w:val="auto"/>
                <w:sz w:val="21"/>
                <w:szCs w:val="21"/>
                <w:highlight w:val="none"/>
              </w:rPr>
              <w:t>25张报表；申报表填写好后，在申报表发送环节可以看到申报种类、申报次数、应补（退）税额、抵减金额、报表状态、申报类型等情况，若报表填写不完整，则不能申报，且提示相应信息，申报表发送后，反馈申报是否发送成功标志，申报成功后可以作废，对实训内容进行修改，并支持再次申报，满足教学需求；</w:t>
            </w:r>
          </w:p>
          <w:p w14:paraId="62F5257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申报成功后可通过申报种类、申报所属期对历史申报结果查询，可以看到申报种类、报表名称、申报日期、申报结果、申报类型、应补（退）税额、扣款时间。能查看每次申报的每张详细报表，能够预览和打印相应报表；</w:t>
            </w:r>
          </w:p>
          <w:p w14:paraId="26F4D16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11.申报成功后可进行网上缴税，系统提示缴税单位信息，税额，缴税时间，缴税成功后自动生成校验反馈信息；</w:t>
            </w:r>
          </w:p>
          <w:p w14:paraId="2D39FE9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12.系统提供介质传送功能，能够进行基本信息导入、核定信息导入、反馈文件导入、申报文件导出等操作；</w:t>
            </w:r>
          </w:p>
          <w:p w14:paraId="1E4E903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▲13.系统具有评分统计、申报作废、成绩查询、实训封面打印四大教学功能；</w:t>
            </w:r>
          </w:p>
          <w:p w14:paraId="7719F82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14.预留与银行接口，可以实现网络缴纳税款；</w:t>
            </w:r>
          </w:p>
          <w:p w14:paraId="28D0631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考试模式下，学生评分后不能看到答案和得分，只能教师后台查看；</w:t>
            </w:r>
          </w:p>
          <w:p w14:paraId="572F7F0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须有独立的案例管理系统，系统中自带增值税一般纳税人实训案例不少于6套支持老师选择系统提供案例，可以查看案例的标准答案，也可以发布案例标准答案，学生操作完成可以自动评分。系统具有正规出版社出版的“十三五”普通高等教育规划配套教材，教材上具有系统使用说明和实训案例，系统支持教材上实训案例评分；</w:t>
            </w:r>
          </w:p>
          <w:p w14:paraId="6840B1F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17.有防作弊验证码功能，每个学生自动分配一个纳税户并按用户所在地纳税人识别号编号规则自动生成该生唯一防作弊验证码；</w:t>
            </w:r>
          </w:p>
          <w:p w14:paraId="4763245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申报成功后可以作废，对实训内容进行修改，并支持再次申报，满足教学需求。</w:t>
            </w:r>
          </w:p>
          <w:p w14:paraId="4D268543">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五、查账征收企业所得税年度汇算清缴申报实训系统</w:t>
            </w:r>
          </w:p>
          <w:p w14:paraId="16CF535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1.符合查账征收企业所得税汇算清缴规范，申报过程严格按税务总局的最新标准执行，有企业端与税局端之间申报数据的交互并能提供反馈信息。</w:t>
            </w:r>
          </w:p>
          <w:p w14:paraId="32169A5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2.能够满足同时≥120人在线实训，能够模拟企业所得税年度汇算清缴网上申报，可以配套教案案例实训、评分、打印封面报告，满足教学需要；</w:t>
            </w:r>
          </w:p>
          <w:p w14:paraId="099B602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3.首页具有申报操作流程图和2017版企业所得税汇算清缴相关公告；可选择税款所属期，满足教学需要；</w:t>
            </w:r>
          </w:p>
          <w:p w14:paraId="7689F29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▲4.系统申报符合以下6步申报流程和规定：（1）基础信息设置（2）简化报表（3）申报表填写。（4）税收遵从风险提示（5）申报表发送 （6）网上缴税；</w:t>
            </w:r>
          </w:p>
          <w:p w14:paraId="3DBD342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基础信息设置包含纳税人信息、法定比例、预缴及结转信息设置，纳税人信息设置需对汇总纳税企业类型、是否就地汇总纳税、注册资本、所属行业明细代码等基本信息及主要会计政策和估计进行设置，主要会计政策和估计设置应包含适用的会计准则或会计制度、记账本位币、特定企业类型等进行设置，企业股东及对外投资情况信息也要填写；</w:t>
            </w:r>
          </w:p>
          <w:p w14:paraId="283B9A5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法定比例即税收规定扣除率需包含职工福利费支出、按税收规定比例扣除的职工教育经费、按税收规定全额扣除的职工培训费用（特殊行业）、工会经费支出、补充养老保险、补充医疗保险、广告费和业务宣传费、保险企业手续费及佣金支出、捐赠支出、业务招待费等项目的设置；</w:t>
            </w:r>
          </w:p>
          <w:p w14:paraId="593114F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预缴及结转信息设置包含本年累计实际已预缴的所得税额、以前年度累计结转准予扣除的职工教育经费支出余额、以前年度累计结转扣除的广告费和业务宣传费、以前年度累计结转扣除的保险企业手续费及佣金支出、结转以前年度的可抵扣投资额余额、结转以前年度的尚未抵扣的股权投资余额等项目的设置；</w:t>
            </w:r>
          </w:p>
          <w:p w14:paraId="776F2AB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8.基础信息设置填写完整后方可进行简化选表，即在填写申报表前可对2017年新版46张报表进行选择填报或不填报，针对前面基础信息设置，系统自动选择企业类别默认必须填报的或不填报的报表，并以灰色显示；</w:t>
            </w:r>
          </w:p>
          <w:p w14:paraId="6C6DB03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9.46张报表按照收入成本、境外所得、纳税调整、优惠、弥补亏损、总分机构、年度纳税申报表主表七大类进行分类，报表之间实现钻取功能，可按表与表之间的关系自由钻取填写（即填写报表时有数据需从其他报表取的可直接跳转至其他表，填写后</w:t>
            </w:r>
            <w:r>
              <w:rPr>
                <w:rFonts w:hint="eastAsia"/>
                <w:color w:val="auto"/>
                <w:sz w:val="21"/>
                <w:szCs w:val="21"/>
                <w:highlight w:val="none"/>
                <w:lang w:eastAsia="zh-CN"/>
              </w:rPr>
              <w:t>再</w:t>
            </w:r>
            <w:r>
              <w:rPr>
                <w:rFonts w:hint="eastAsia"/>
                <w:color w:val="auto"/>
                <w:sz w:val="21"/>
                <w:szCs w:val="21"/>
                <w:highlight w:val="none"/>
              </w:rPr>
              <w:t>返回本表），同时在报表右侧显示跟随式的最新的法律法规填表说明，每个分类的报表未填写数量实时显示，报表可放大、缩小，能打印，系统内自带计算器功能；</w:t>
            </w:r>
          </w:p>
          <w:p w14:paraId="421E805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税收遵从风险提示。系统可以对申报表填写的完整性、表内表间逻辑正确性、申报数据与财务报表数据逻辑检查，申报风险检查、附表资料提醒检查，并给出检查结果，能够清晰了解检查到的表单、项目，并获得相应的提示信息和风险等级，可直接修改有风险的申报表，各报表之间有</w:t>
            </w:r>
            <w:r>
              <w:rPr>
                <w:rFonts w:hint="default" w:ascii="Arial" w:hAnsi="Arial" w:cs="Arial"/>
                <w:color w:val="auto"/>
                <w:sz w:val="21"/>
                <w:szCs w:val="21"/>
                <w:highlight w:val="none"/>
              </w:rPr>
              <w:t>≥</w:t>
            </w:r>
            <w:r>
              <w:rPr>
                <w:rFonts w:hint="eastAsia"/>
                <w:color w:val="auto"/>
                <w:sz w:val="21"/>
                <w:szCs w:val="21"/>
                <w:highlight w:val="none"/>
              </w:rPr>
              <w:t>1060个逻辑标准，自动计算、自动校验，并给出相关提示信息；</w:t>
            </w:r>
          </w:p>
          <w:p w14:paraId="7102D3A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申报表填写好后，在申报表发送环节可以看到申报种类、申报次数、应补（退）税额、报表状态、申报类型等情况，若报表填写不完整，则不能申报，且提示相应信息，申报表发送后，反馈申报是否发送成功标志，申报成功后可以作废，对实训内容进行修改，并支持再次申报，满足教学需求；</w:t>
            </w:r>
          </w:p>
          <w:p w14:paraId="6367315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12.申报成功后可通过申报种类、申报所属期对历史申报结果查询，可以看到申报种类、报表名称、申报日期、申报结果、申报类型、应纳税额、扣款时间。</w:t>
            </w:r>
            <w:r>
              <w:rPr>
                <w:rFonts w:hint="eastAsia"/>
                <w:color w:val="auto"/>
                <w:sz w:val="21"/>
                <w:szCs w:val="21"/>
                <w:highlight w:val="none"/>
                <w:lang w:eastAsia="zh-CN"/>
              </w:rPr>
              <w:t>能够</w:t>
            </w:r>
            <w:r>
              <w:rPr>
                <w:rFonts w:hint="eastAsia"/>
                <w:color w:val="auto"/>
                <w:sz w:val="21"/>
                <w:szCs w:val="21"/>
                <w:highlight w:val="none"/>
              </w:rPr>
              <w:t>查看每次申报的每张详细报表，能够预览和打印相应报</w:t>
            </w:r>
            <w:r>
              <w:rPr>
                <w:rFonts w:hint="eastAsia"/>
                <w:color w:val="auto"/>
                <w:sz w:val="21"/>
                <w:szCs w:val="21"/>
                <w:highlight w:val="none"/>
                <w:lang w:val="en-US" w:eastAsia="zh-CN"/>
              </w:rPr>
              <w:t>表，</w:t>
            </w:r>
            <w:r>
              <w:rPr>
                <w:rFonts w:hint="eastAsia"/>
                <w:color w:val="auto"/>
                <w:sz w:val="21"/>
                <w:szCs w:val="21"/>
                <w:highlight w:val="none"/>
              </w:rPr>
              <w:t>申报成功后可进行网上缴税，系统提示缴税单位信息，税额，缴税时间，缴税成功后自动生成校验反馈信息；</w:t>
            </w:r>
          </w:p>
          <w:p w14:paraId="4C1FF14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13.有介质传送功能，能够进行基本信息导入、核定信息导入、反馈文件导入、申报文件导出等操作，基本信息导入功能可将XML数据文件直接导入，完成实训企业的基本信息、核定信息、反馈文件的基础信息设置；</w:t>
            </w:r>
          </w:p>
          <w:p w14:paraId="322BE7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14.能够实现总分机构、非汇总机构的企业所得税网上申报，各行业各规模、适用不同会计准则或会计制度的企业所得税申报；</w:t>
            </w:r>
          </w:p>
          <w:p w14:paraId="48228E4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15.根据不同的实训企业背景及业务内容信息，完成当地税务局规定张数的年度申报表的筛选简化，减少汇算清缴报表的填写干扰；</w:t>
            </w:r>
          </w:p>
          <w:p w14:paraId="59B50D3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对简化筛选后需填写的申报表，按业务性质进行自动归类。实现钻取功能，可在原始表格未保存情况下打开另外一张报表，同时保证原始报表数据不丢失，又能对新打开报表数据进行更新保存。表间数据可进行自由钻取填写，不强制填表顺序；</w:t>
            </w:r>
          </w:p>
          <w:p w14:paraId="4E65A74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17.系统具有评分统计、申报作废、成绩查询、实训封面打印四大教学功能；</w:t>
            </w:r>
          </w:p>
          <w:p w14:paraId="1D18CEE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18.申报成功可以接收模拟税局端的反馈信息，且申报成功后可以作废；</w:t>
            </w:r>
          </w:p>
          <w:p w14:paraId="4565491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须有独立的案例管理系统，系统中自带查账征收企业所得税年度汇算清缴实训案例不少于2套，可以查看案例的标准答案，也可以发布案例标准答案，学生操作完成可以自动评分。</w:t>
            </w:r>
          </w:p>
          <w:p w14:paraId="2F282AB2">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六、自然人税收管理系统实训系统</w:t>
            </w:r>
          </w:p>
          <w:p w14:paraId="55548AB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1.能够模拟自然人税收管理系统扣缴个税申报实训，可以配套教案案例实训、评分，满足教学需要；</w:t>
            </w:r>
          </w:p>
          <w:p w14:paraId="77D2A66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2.和真实系统一致，系统采用5000元的个税起征点，采用2019最新税制的个税扣除税率开发；</w:t>
            </w:r>
          </w:p>
          <w:p w14:paraId="38B9AA8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3.具有人员信息采集、专项附加扣除信息采集、综合所得申报、分类所得申报、非居民所得申报、限售股所得申报、税款缴纳、优惠备案、查询统计、系统设置等功能，可以</w:t>
            </w:r>
            <w:r>
              <w:rPr>
                <w:rFonts w:hint="eastAsia"/>
                <w:color w:val="auto"/>
                <w:sz w:val="21"/>
                <w:szCs w:val="21"/>
                <w:highlight w:val="none"/>
                <w:lang w:eastAsia="zh-CN"/>
              </w:rPr>
              <w:t>选择</w:t>
            </w:r>
            <w:r>
              <w:rPr>
                <w:rFonts w:hint="eastAsia"/>
                <w:color w:val="auto"/>
                <w:sz w:val="21"/>
                <w:szCs w:val="21"/>
                <w:highlight w:val="none"/>
              </w:rPr>
              <w:t>税款所属期模拟不同期间的税务申报满足教学需要；</w:t>
            </w:r>
          </w:p>
          <w:p w14:paraId="2311FB7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人员信息采集功能，根据《个人所得税基础信息表（A表）》的要求采集相关信息，人员信息采集主要包括【添加】、【导入】、【报送】、【获取反馈】、【同步人员】、【导出】、【展开查询条件】和【更多操作】功能。使用居民身份证登记，证照号码必须是正确的18位身份证号码，否则校验不通过；</w:t>
            </w:r>
          </w:p>
          <w:p w14:paraId="48F0296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▲5.【性别】、【出生日期】：选择居民身份证采集的，此两项信息会根据身份证号码信息自动带出，无需填写；使用其他证件，则需手动据实填写；</w:t>
            </w:r>
          </w:p>
          <w:p w14:paraId="4F7D24B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可进行自定义显示列，人员信息采集列表中，可以自定义列表中展示的信息。如：无需显示人员状态，可以取消勾选，能隐藏非正常人员，采集界面上会显示人员状态为非正常的人员，在系统中不再对该人员进行业务操作时，可通过本功能隐藏非正常（已离职）人员。隐藏后，该按钮会变成【显示非正常人员】，点击后会重新显示非正常人员；</w:t>
            </w:r>
          </w:p>
          <w:p w14:paraId="747A09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7.专项附加扣除信息采集可采集的项目分别为“子女教育支出</w:t>
            </w:r>
            <w:r>
              <w:rPr>
                <w:rFonts w:hint="eastAsia"/>
                <w:color w:val="auto"/>
                <w:sz w:val="21"/>
                <w:szCs w:val="21"/>
                <w:highlight w:val="none"/>
                <w:lang w:eastAsia="zh-CN"/>
              </w:rPr>
              <w:t>”“</w:t>
            </w:r>
            <w:r>
              <w:rPr>
                <w:rFonts w:hint="eastAsia"/>
                <w:color w:val="auto"/>
                <w:sz w:val="21"/>
                <w:szCs w:val="21"/>
                <w:highlight w:val="none"/>
              </w:rPr>
              <w:t>继续教育支出</w:t>
            </w:r>
            <w:r>
              <w:rPr>
                <w:rFonts w:hint="eastAsia"/>
                <w:color w:val="auto"/>
                <w:sz w:val="21"/>
                <w:szCs w:val="21"/>
                <w:highlight w:val="none"/>
                <w:lang w:eastAsia="zh-CN"/>
              </w:rPr>
              <w:t>”“</w:t>
            </w:r>
            <w:r>
              <w:rPr>
                <w:rFonts w:hint="eastAsia"/>
                <w:color w:val="auto"/>
                <w:sz w:val="21"/>
                <w:szCs w:val="21"/>
                <w:highlight w:val="none"/>
              </w:rPr>
              <w:t>住房贷款利息支出</w:t>
            </w:r>
            <w:r>
              <w:rPr>
                <w:rFonts w:hint="eastAsia"/>
                <w:color w:val="auto"/>
                <w:sz w:val="21"/>
                <w:szCs w:val="21"/>
                <w:highlight w:val="none"/>
                <w:lang w:eastAsia="zh-CN"/>
              </w:rPr>
              <w:t>”“</w:t>
            </w:r>
            <w:r>
              <w:rPr>
                <w:rFonts w:hint="eastAsia"/>
                <w:color w:val="auto"/>
                <w:sz w:val="21"/>
                <w:szCs w:val="21"/>
                <w:highlight w:val="none"/>
              </w:rPr>
              <w:t>住房租金支出</w:t>
            </w:r>
            <w:r>
              <w:rPr>
                <w:rFonts w:hint="eastAsia"/>
                <w:color w:val="auto"/>
                <w:sz w:val="21"/>
                <w:szCs w:val="21"/>
                <w:highlight w:val="none"/>
                <w:lang w:eastAsia="zh-CN"/>
              </w:rPr>
              <w:t>”“</w:t>
            </w:r>
            <w:r>
              <w:rPr>
                <w:rFonts w:hint="eastAsia"/>
                <w:color w:val="auto"/>
                <w:sz w:val="21"/>
                <w:szCs w:val="21"/>
                <w:highlight w:val="none"/>
              </w:rPr>
              <w:t>赡养老人支出”。主要包括新增、导入、删除、报送、获取反馈、导出功能，新增专项扣除信息的姓名、证照类型、号码等信息自动带出已采集且正常状态的人员，具体采集可以对本人扣除比例，扣除有效期起止时间等信息进行设置；</w:t>
            </w:r>
          </w:p>
          <w:p w14:paraId="1D6411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导出】：可选择【选中人员】或【全部人员】进行专项附加扣除信息的导出，客户端会将导出的Excel表单放置在文件夹内（文件夹命名为：专项附加扣除信息(导出)_日期），按照每个人员一张Excel表的形式进行展示；</w:t>
            </w:r>
          </w:p>
          <w:p w14:paraId="10413B9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出生日期】、【扣除有效期起】、【扣除有效期止】，系统自动带出，（受教育日期起、政策生效日期起、扣除年度的1月、纳税人扣除年度在本单位任职起始月份）取时间最后值。（教育终止时间、扣除有效期起所在年份的12月）取时间最前值；</w:t>
            </w:r>
          </w:p>
          <w:p w14:paraId="765C42A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10.▲综合所得申报扣缴申报的流程为：【1收入及减除填写】、【2税款计算】、【3附表填写】和【4申报表报送】四步；</w:t>
            </w:r>
          </w:p>
          <w:p w14:paraId="2ABBEF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进行税款计算，系统自动对“收入及减除填写”模块中填写的数据进行计税，其中工资薪金所得项目会下载本纳税年度上期累计数据，再与当期填写的数据合并累计计税。“税款计算”页面上会分所得项目显示对应项目的明细数据和合计数据，右上角显示综合所得的合计数据，包括申报总人数、收入总额、应纳税额和应补退税额。申报表填写、税款计算完成后，可完成综合所得预扣预缴的正常申报、更正申报以及作废申报操作；</w:t>
            </w:r>
          </w:p>
          <w:p w14:paraId="7A7AEFB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12.分类所得申报扣缴申报的流程为：【1收入及减除填写】、【2附表填写】和【3申报表报送】三步；</w:t>
            </w:r>
          </w:p>
          <w:p w14:paraId="759C1FF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▲13.非居民所得申报扣缴申报的流程为：【1收入及减除填写】、【2附表填写】和【3申报表报送】三步；</w:t>
            </w:r>
          </w:p>
          <w:p w14:paraId="0563C0C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限售股申报的流程为：【1收入及减除填写】和【2申报表报送】两步，根据《限售股转让所得扣缴申报》填写，可进行单个和批量导入申报，申报表报送用于完成一般分类所得代扣代缴的正常申报、更正申报以及作废申报操作；</w:t>
            </w:r>
          </w:p>
          <w:p w14:paraId="3FE4BC6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▲15.综合所得预扣预缴申报表除正常工资薪金所得外，其他所得项目均没有专项扣除和专项附加扣除填写项。</w:t>
            </w:r>
          </w:p>
          <w:p w14:paraId="1C65E36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▲16.综合所得里的“正常工资薪金所得</w:t>
            </w:r>
            <w:r>
              <w:rPr>
                <w:rFonts w:hint="eastAsia"/>
                <w:color w:val="auto"/>
                <w:sz w:val="21"/>
                <w:szCs w:val="21"/>
                <w:highlight w:val="none"/>
                <w:lang w:eastAsia="zh-CN"/>
              </w:rPr>
              <w:t>”“</w:t>
            </w:r>
            <w:r>
              <w:rPr>
                <w:rFonts w:hint="eastAsia"/>
                <w:color w:val="auto"/>
                <w:sz w:val="21"/>
                <w:szCs w:val="21"/>
                <w:highlight w:val="none"/>
              </w:rPr>
              <w:t>全年一次性奖金收入</w:t>
            </w:r>
            <w:r>
              <w:rPr>
                <w:rFonts w:hint="eastAsia"/>
                <w:color w:val="auto"/>
                <w:sz w:val="21"/>
                <w:szCs w:val="21"/>
                <w:highlight w:val="none"/>
                <w:lang w:eastAsia="zh-CN"/>
              </w:rPr>
              <w:t>”“</w:t>
            </w:r>
            <w:r>
              <w:rPr>
                <w:rFonts w:hint="eastAsia"/>
                <w:color w:val="auto"/>
                <w:sz w:val="21"/>
                <w:szCs w:val="21"/>
                <w:highlight w:val="none"/>
              </w:rPr>
              <w:t>年金领取</w:t>
            </w:r>
            <w:r>
              <w:rPr>
                <w:rFonts w:hint="eastAsia"/>
                <w:color w:val="auto"/>
                <w:sz w:val="21"/>
                <w:szCs w:val="21"/>
                <w:highlight w:val="none"/>
                <w:lang w:eastAsia="zh-CN"/>
              </w:rPr>
              <w:t>”“</w:t>
            </w:r>
            <w:r>
              <w:rPr>
                <w:rFonts w:hint="eastAsia"/>
                <w:color w:val="auto"/>
                <w:sz w:val="21"/>
                <w:szCs w:val="21"/>
                <w:highlight w:val="none"/>
              </w:rPr>
              <w:t>解除劳动合同一次性补偿金</w:t>
            </w:r>
            <w:r>
              <w:rPr>
                <w:rFonts w:hint="eastAsia"/>
                <w:color w:val="auto"/>
                <w:sz w:val="21"/>
                <w:szCs w:val="21"/>
                <w:highlight w:val="none"/>
                <w:lang w:eastAsia="zh-CN"/>
              </w:rPr>
              <w:t>”“</w:t>
            </w:r>
            <w:r>
              <w:rPr>
                <w:rFonts w:hint="eastAsia"/>
                <w:color w:val="auto"/>
                <w:sz w:val="21"/>
                <w:szCs w:val="21"/>
                <w:highlight w:val="none"/>
              </w:rPr>
              <w:t>劳务报酬所得（保险营销员、证券经纪人、其他连续劳务）</w:t>
            </w:r>
            <w:r>
              <w:rPr>
                <w:rFonts w:hint="eastAsia"/>
                <w:color w:val="auto"/>
                <w:sz w:val="21"/>
                <w:szCs w:val="21"/>
                <w:highlight w:val="none"/>
                <w:lang w:eastAsia="zh-CN"/>
              </w:rPr>
              <w:t>”“</w:t>
            </w:r>
            <w:r>
              <w:rPr>
                <w:rFonts w:hint="eastAsia"/>
                <w:color w:val="auto"/>
                <w:sz w:val="21"/>
                <w:szCs w:val="21"/>
                <w:highlight w:val="none"/>
              </w:rPr>
              <w:t>劳务报酬所得（一般劳务、其他非连续劳务）</w:t>
            </w:r>
            <w:r>
              <w:rPr>
                <w:rFonts w:hint="eastAsia"/>
                <w:color w:val="auto"/>
                <w:sz w:val="21"/>
                <w:szCs w:val="21"/>
                <w:highlight w:val="none"/>
                <w:lang w:eastAsia="zh-CN"/>
              </w:rPr>
              <w:t>”“</w:t>
            </w:r>
            <w:r>
              <w:rPr>
                <w:rFonts w:hint="eastAsia"/>
                <w:color w:val="auto"/>
                <w:sz w:val="21"/>
                <w:szCs w:val="21"/>
                <w:highlight w:val="none"/>
              </w:rPr>
              <w:t>稿酬所得</w:t>
            </w:r>
            <w:r>
              <w:rPr>
                <w:rFonts w:hint="eastAsia"/>
                <w:color w:val="auto"/>
                <w:sz w:val="21"/>
                <w:szCs w:val="21"/>
                <w:highlight w:val="none"/>
                <w:lang w:eastAsia="zh-CN"/>
              </w:rPr>
              <w:t>”“</w:t>
            </w:r>
            <w:r>
              <w:rPr>
                <w:rFonts w:hint="eastAsia"/>
                <w:color w:val="auto"/>
                <w:sz w:val="21"/>
                <w:szCs w:val="21"/>
                <w:highlight w:val="none"/>
              </w:rPr>
              <w:t>特许权使用费所得</w:t>
            </w:r>
            <w:r>
              <w:rPr>
                <w:rFonts w:hint="eastAsia"/>
                <w:color w:val="auto"/>
                <w:sz w:val="21"/>
                <w:szCs w:val="21"/>
                <w:highlight w:val="none"/>
                <w:lang w:eastAsia="zh-CN"/>
              </w:rPr>
              <w:t>”“</w:t>
            </w:r>
            <w:r>
              <w:rPr>
                <w:rFonts w:hint="eastAsia"/>
                <w:color w:val="auto"/>
                <w:sz w:val="21"/>
                <w:szCs w:val="21"/>
                <w:highlight w:val="none"/>
              </w:rPr>
              <w:t>提前退休一次性补贴</w:t>
            </w:r>
            <w:r>
              <w:rPr>
                <w:rFonts w:hint="eastAsia"/>
                <w:color w:val="auto"/>
                <w:sz w:val="21"/>
                <w:szCs w:val="21"/>
                <w:highlight w:val="none"/>
                <w:lang w:eastAsia="zh-CN"/>
              </w:rPr>
              <w:t>”“</w:t>
            </w:r>
            <w:r>
              <w:rPr>
                <w:rFonts w:hint="eastAsia"/>
                <w:color w:val="auto"/>
                <w:sz w:val="21"/>
                <w:szCs w:val="21"/>
                <w:highlight w:val="none"/>
              </w:rPr>
              <w:t>个人股权激励收入”“内退一次性补偿金申报</w:t>
            </w:r>
            <w:r>
              <w:rPr>
                <w:rFonts w:hint="eastAsia"/>
                <w:color w:val="auto"/>
                <w:sz w:val="21"/>
                <w:szCs w:val="21"/>
                <w:highlight w:val="none"/>
                <w:lang w:eastAsia="zh-CN"/>
              </w:rPr>
              <w:t>”“</w:t>
            </w:r>
            <w:r>
              <w:rPr>
                <w:rFonts w:hint="eastAsia"/>
                <w:color w:val="auto"/>
                <w:sz w:val="21"/>
                <w:szCs w:val="21"/>
                <w:highlight w:val="none"/>
              </w:rPr>
              <w:t>央企负责人绩效薪金延期兑现收入和任期奖励申报</w:t>
            </w:r>
            <w:r>
              <w:rPr>
                <w:rFonts w:hint="eastAsia"/>
                <w:color w:val="auto"/>
                <w:sz w:val="21"/>
                <w:szCs w:val="21"/>
                <w:highlight w:val="none"/>
                <w:lang w:eastAsia="zh-CN"/>
              </w:rPr>
              <w:t>”“</w:t>
            </w:r>
            <w:r>
              <w:rPr>
                <w:rFonts w:hint="eastAsia"/>
                <w:color w:val="auto"/>
                <w:sz w:val="21"/>
                <w:szCs w:val="21"/>
                <w:highlight w:val="none"/>
              </w:rPr>
              <w:t>单位低价向职工售房申报</w:t>
            </w:r>
            <w:r>
              <w:rPr>
                <w:rFonts w:hint="eastAsia"/>
                <w:color w:val="auto"/>
                <w:sz w:val="21"/>
                <w:szCs w:val="21"/>
                <w:highlight w:val="none"/>
                <w:lang w:eastAsia="zh-CN"/>
              </w:rPr>
              <w:t>”“</w:t>
            </w:r>
            <w:r>
              <w:rPr>
                <w:rFonts w:hint="eastAsia"/>
                <w:color w:val="auto"/>
                <w:sz w:val="21"/>
                <w:szCs w:val="21"/>
                <w:highlight w:val="none"/>
              </w:rPr>
              <w:t>税收递延型商业养老金申报”都只有雇员才能填写；</w:t>
            </w:r>
          </w:p>
          <w:p w14:paraId="4C72F45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▲17.综合所得/非居民所得里一般劳务报酬所得和其他劳务报酬所得只能任职受雇从业类型为“其他”的才可以填写；</w:t>
            </w:r>
          </w:p>
          <w:p w14:paraId="65158AE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▲18.非上市公司股权激励个人所得税递延纳税备案功能需填写【股权激励方式】、【股权奖励人数】、【近6个月平均人数】，实施“股权奖励”公司支持股票（权）期权、限制性股票、股权奖励等类型的填写；</w:t>
            </w:r>
          </w:p>
          <w:p w14:paraId="14DDBC5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19.税款缴纳功能在申报成功后通过【三方协议缴税】获取显示欠税相关内容，包括：所得月份、申报表名称、征收品目、税款所属期起止时间、个人三方协议账户等，缴纳结束可以进行历史查询；</w:t>
            </w:r>
          </w:p>
          <w:p w14:paraId="0402A7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20.正常工资薪金填写中可录入员工商业健康保险费，须填写相应税优识别码方能录入；其他附表包含减免事项附表、商业健康保险附表，商业健康保险附表可以录入保单信息。可新增多张保单；</w:t>
            </w:r>
          </w:p>
          <w:p w14:paraId="1EECBA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▲21.系统设置可对单位办税人信息进行维护，可以自主设置公积金上限、年平均工资、月平均工资、年金上限，设置后需退出系统重进才能生效；</w:t>
            </w:r>
          </w:p>
          <w:p w14:paraId="0643546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22.系统具有评分统计、成绩查询等教学功能。可根据教案名称选择具体案例评分，可即时获取得分信息，可查看历史案例得分，也可查看具体案例的交卷时间，评分详情，评分详情包含考核指标、学生答案、正确答案、具体分值和获得分值，方便学生自主学习；</w:t>
            </w:r>
          </w:p>
          <w:p w14:paraId="322AE3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23.系统自带数据清除工具，对系统中历史数据进行清空，便于重复使用训练、教学；</w:t>
            </w:r>
          </w:p>
          <w:p w14:paraId="704FE46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24.系统支持的案例指标不少于58个，其中综合所得申报评分指标不少于23个、分类所得申报评分指标不少于12个、限售股所得申报评分指标不少于2个、非居民所得申报评分指标不少于21个；</w:t>
            </w:r>
          </w:p>
          <w:p w14:paraId="5C50BCC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25.有防作弊验证码功能，每个学生自动分配一个纳税户并按用户所在地纳税人识别号编号规则自动生成该生唯一防作弊验证码；</w:t>
            </w:r>
          </w:p>
          <w:p w14:paraId="7E59C90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26.学生可以自主下载实训案例；</w:t>
            </w:r>
          </w:p>
          <w:p w14:paraId="19EB05B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27.系统自带实训数据备份和恢复功能；</w:t>
            </w:r>
          </w:p>
          <w:p w14:paraId="1BC4775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28.系统支持学校个性化logo嵌入；</w:t>
            </w:r>
          </w:p>
          <w:p w14:paraId="3B06BF7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▲29.支持实训宝移动实训；</w:t>
            </w:r>
          </w:p>
          <w:p w14:paraId="75C607C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30.须有独立的案例管理系统，系统中自然人税收管理系统扣缴税实训案例不少于5套，支持老师选择系统提供案例，可以查看案例的标准答案，也可以发布案例标准答案，学生操作完成可以自动评分；</w:t>
            </w:r>
          </w:p>
          <w:p w14:paraId="1865DA4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▲31.能够配套1+X个税计算职业技能等级证书考试使用；</w:t>
            </w:r>
          </w:p>
          <w:p w14:paraId="7A87A34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七、纳税筹划单点策略教学实训系统</w:t>
            </w:r>
          </w:p>
          <w:p w14:paraId="03475ED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1.由教师端和学生端组成，教师端有班级、学生管理功能，可以发布案例，查询成绩，学生端可进行纳税筹划实训，出具企业纳税筹划报告；</w:t>
            </w:r>
          </w:p>
          <w:p w14:paraId="355E62B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2.能够批量发布和管理案例，案例发布后需手动开启，关闭后学生看不到相应案例；</w:t>
            </w:r>
          </w:p>
          <w:p w14:paraId="14BF24C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有零售业、软件行业、白酒制造业等行业案例，教师可根据所属行业、所属税种、筹划方法、难易程度等进行选择性发布案例，可以查看每个案例的标准报告，报告有封面、行企背景、案情场景、业务分析、方案设计、方案确认、案例点评、知识拓展等内容，可打印。可对已发布的案例进行管理，能够关闭案例。（提供相关界面的功能截图</w:t>
            </w:r>
            <w:r>
              <w:rPr>
                <w:rFonts w:hint="eastAsia"/>
                <w:b/>
                <w:bCs/>
                <w:color w:val="auto"/>
                <w:sz w:val="21"/>
                <w:szCs w:val="21"/>
                <w:highlight w:val="none"/>
              </w:rPr>
              <w:t>）</w:t>
            </w:r>
          </w:p>
          <w:p w14:paraId="70D2A39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4.学生可查看老师已发布的已做和未做的案例，通过案例简介可以看到案例所属的行业、税种和涉及的筹划方法，案例难度，已经提交评分的案例可以查看纳税筹划报告，若上次未做完，则可继续练习；</w:t>
            </w:r>
          </w:p>
          <w:p w14:paraId="2C1654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5.案例内有学习指引功能，通过学习指引可以了解实训任务；还能通过行企背景了解案例所属行业的行企现状、行企特点、行企趋势，能够综合全面</w:t>
            </w:r>
            <w:r>
              <w:rPr>
                <w:rFonts w:hint="eastAsia"/>
                <w:color w:val="auto"/>
                <w:sz w:val="21"/>
                <w:szCs w:val="21"/>
                <w:highlight w:val="none"/>
                <w:lang w:eastAsia="zh-CN"/>
              </w:rPr>
              <w:t>地</w:t>
            </w:r>
            <w:r>
              <w:rPr>
                <w:rFonts w:hint="eastAsia"/>
                <w:color w:val="auto"/>
                <w:sz w:val="21"/>
                <w:szCs w:val="21"/>
                <w:highlight w:val="none"/>
              </w:rPr>
              <w:t>了解相应行业的特色；</w:t>
            </w:r>
          </w:p>
          <w:p w14:paraId="77AA809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▲6.可以在案情场景中查看企业基本信息、企业经营情况、企业业务详情、企业纳税情况、相关税收法规等信息，包括但不限于企业的详细信息、</w:t>
            </w:r>
            <w:r>
              <w:rPr>
                <w:rFonts w:hint="eastAsia"/>
                <w:color w:val="auto"/>
                <w:sz w:val="21"/>
                <w:szCs w:val="21"/>
                <w:highlight w:val="none"/>
                <w:lang w:eastAsia="zh-CN"/>
              </w:rPr>
              <w:t>经营范围</w:t>
            </w:r>
            <w:r>
              <w:rPr>
                <w:rFonts w:hint="eastAsia"/>
                <w:color w:val="auto"/>
                <w:sz w:val="21"/>
                <w:szCs w:val="21"/>
                <w:highlight w:val="none"/>
              </w:rPr>
              <w:t>、主营业务介绍、人员架构情况、经营模式、业绩情况。能够至少了解到企业7笔以上的核心业务信息；</w:t>
            </w:r>
          </w:p>
          <w:p w14:paraId="4845828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7.筹划策略与实施是筹划实训的核心环节，分为业务分析、方案设计、方案确认，逻辑紧密，层层递进。需要先完成业务分析，再</w:t>
            </w:r>
            <w:r>
              <w:rPr>
                <w:rFonts w:hint="eastAsia"/>
                <w:color w:val="auto"/>
                <w:sz w:val="21"/>
                <w:szCs w:val="21"/>
                <w:highlight w:val="none"/>
                <w:lang w:eastAsia="zh-CN"/>
              </w:rPr>
              <w:t>针</w:t>
            </w:r>
            <w:r>
              <w:rPr>
                <w:rFonts w:hint="eastAsia"/>
                <w:color w:val="auto"/>
                <w:sz w:val="21"/>
                <w:szCs w:val="21"/>
                <w:highlight w:val="none"/>
              </w:rPr>
              <w:t>对可筹划的业务设计不同的筹划方案，最终确定最优的方案；</w:t>
            </w:r>
          </w:p>
          <w:p w14:paraId="755BC8B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业务分析分为筹划空间排查、筹划风险点剔除、筹划思路确认、筹划方法选择4步，能够对企业发生的业务进行分析，找出有筹划空间的业务，然后再进行筹划风险点剔除，在筹划思路确认环节通过对系统提供的一些业务的筹划思路进行分析，确定可行的筹划思路，再针对性</w:t>
            </w:r>
            <w:r>
              <w:rPr>
                <w:rFonts w:hint="eastAsia"/>
                <w:color w:val="auto"/>
                <w:sz w:val="21"/>
                <w:szCs w:val="21"/>
                <w:highlight w:val="none"/>
                <w:lang w:eastAsia="zh-CN"/>
              </w:rPr>
              <w:t>地</w:t>
            </w:r>
            <w:r>
              <w:rPr>
                <w:rFonts w:hint="eastAsia"/>
                <w:color w:val="auto"/>
                <w:sz w:val="21"/>
                <w:szCs w:val="21"/>
                <w:highlight w:val="none"/>
              </w:rPr>
              <w:t>进行筹划方法。（提供相关界面的功能截图</w:t>
            </w:r>
            <w:r>
              <w:rPr>
                <w:rFonts w:hint="eastAsia"/>
                <w:b/>
                <w:bCs/>
                <w:color w:val="auto"/>
                <w:sz w:val="21"/>
                <w:szCs w:val="21"/>
                <w:highlight w:val="none"/>
              </w:rPr>
              <w:t>）</w:t>
            </w:r>
          </w:p>
          <w:p w14:paraId="101F8F6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方案设计环节可以根据业务分析的选项对筹划业务进行设计，可根据业务进行方案新增，每个业务可以设计最多6种方案，每个方案包含筹划思路、筹划方法、筹划过程、筹划结论。设计好方案后可进行对比选择最优方案，进行最终的筹划确认；</w:t>
            </w:r>
          </w:p>
          <w:p w14:paraId="2CFC3DE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▲10.方案确认后系统自动评分出具纳税筹划分析报告，报告包含案例的基本信息、行企背景、案情场景、学生的业务分析和方案设计的内容以及最终确定的方案，报告可打印作为实训报告；</w:t>
            </w:r>
          </w:p>
          <w:p w14:paraId="2CEE75E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11.系统案例支持全系统评分和系统评分+人工评分2种模式，选择了有人工评分的案例发布后，学生提交之后教师可以针对学生的筹划过程和筹划结论进行评分，评分后可导出相应成绩；</w:t>
            </w:r>
          </w:p>
          <w:p w14:paraId="06A795A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▲12.系统包含税收风险预警开课指南和上课资源数据库，数据库资源丰富，适用于纳税评估、税收风险预警、财税大数据风控综合实训、税务管理等课程备课、授课使用；</w:t>
            </w:r>
          </w:p>
          <w:p w14:paraId="5A42DF7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有税收风险行业案例授课课件、纳税评估和税收风控专题授课课件、税收风控案例授课课件、税收风控案例分析课件、企业税务风险管理授课课件，课件总份数不少于150个，有批发零售业、房地产行业、白酒行业、建筑业、餐饮业、食品制造业行业的全套税务合规检查、指标组建、风控模型组建、风险扫描及风险排查、风险后果自测课件，能配套采购系统教学。（提供相关界面的功能截图</w:t>
            </w:r>
            <w:r>
              <w:rPr>
                <w:rFonts w:hint="eastAsia"/>
                <w:b/>
                <w:bCs/>
                <w:color w:val="auto"/>
                <w:sz w:val="21"/>
                <w:szCs w:val="21"/>
                <w:highlight w:val="none"/>
              </w:rPr>
              <w:t>）</w:t>
            </w:r>
          </w:p>
          <w:p w14:paraId="5AB9EBB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▲14.有批发零售、白酒制造、软件、建筑、运输、银行、铁矿采选行业的税务风险及案例介绍课件，能够支撑纳税评估课程教学。（提供相关界面的功能截图</w:t>
            </w:r>
            <w:r>
              <w:rPr>
                <w:rFonts w:hint="eastAsia"/>
                <w:b/>
                <w:bCs/>
                <w:color w:val="auto"/>
                <w:sz w:val="21"/>
                <w:szCs w:val="21"/>
                <w:highlight w:val="none"/>
              </w:rPr>
              <w:t>）</w:t>
            </w:r>
          </w:p>
          <w:p w14:paraId="66C30FA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有纳税评估指标和行业案例、税收风控行业案例、财税大数据风控综合实训、纳税评估、企业税务风险管理、大数据税务预警等主题的讲解视频，方便授课使用，总数量超过60个，涉及行业有批发零售、白酒制造、软件、建筑、运输、银行、铁矿采选、商超、食品制造等。（提供相关界面的功能截图</w:t>
            </w:r>
            <w:r>
              <w:rPr>
                <w:rFonts w:hint="eastAsia"/>
                <w:b/>
                <w:bCs/>
                <w:color w:val="auto"/>
                <w:sz w:val="21"/>
                <w:szCs w:val="21"/>
                <w:highlight w:val="none"/>
              </w:rPr>
              <w:t>）</w:t>
            </w:r>
          </w:p>
          <w:p w14:paraId="76E3612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有房地产行业财税大数据风控综合实训案例，案源信息包括企业基本信息、企业经营情况、财务报表、纳税申报情况，有合规性检查、风险疑点预判、风险引擎组建、风险扫描排查和后果自测、纳税检查应对等内容。（提供相关界面的功能截图</w:t>
            </w:r>
            <w:r>
              <w:rPr>
                <w:rFonts w:hint="eastAsia"/>
                <w:b/>
                <w:bCs/>
                <w:color w:val="auto"/>
                <w:sz w:val="21"/>
                <w:szCs w:val="21"/>
                <w:highlight w:val="none"/>
              </w:rPr>
              <w:t>）</w:t>
            </w:r>
          </w:p>
          <w:p w14:paraId="7B855E75">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八、金税工程管理决策分析系统风险管理研究平台账号</w:t>
            </w:r>
          </w:p>
          <w:p w14:paraId="0CAFBD8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1.研究平台采用账号制登录，使用天数为90天/个；</w:t>
            </w:r>
          </w:p>
          <w:p w14:paraId="4472523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▲2.系统为一站式展示，可快捷查看基本情况、任务执行情况、成效统计，常用功能包括风险识别、等级排序、任务统筹；</w:t>
            </w:r>
          </w:p>
          <w:p w14:paraId="3C47417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▲3.系统有目标规划、风险识别、等级排序、风险应对、过程监控、评价反馈、联动管理、专项分析、部门应用、辅助功能、指标管理、任务组件等功能；（提供相关界面的功能截图</w:t>
            </w:r>
            <w:r>
              <w:rPr>
                <w:rFonts w:hint="eastAsia"/>
                <w:b/>
                <w:bCs/>
                <w:color w:val="auto"/>
                <w:sz w:val="21"/>
                <w:szCs w:val="21"/>
                <w:highlight w:val="none"/>
              </w:rPr>
              <w:t>）</w:t>
            </w:r>
          </w:p>
          <w:p w14:paraId="3A70658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可通过目标规划进行计划管理，查看相应的计划名称、计划期间、计划单位，可以查看具体计划的基本信息、业务目标、工作要求等信息，可进行计划新增和下发，可以查看重点纳税人名单，能够查看相应纳税人的行业、风险指向、风险等级；</w:t>
            </w:r>
          </w:p>
          <w:p w14:paraId="72227F1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▲5.风险识别功能可进行风险特征库维护，指标元管理、风险模型库维护，可通过此功能进行特殊风险信息管理、风险预警信息管理，能够进行风险方案管理、风险扫描管理；（提供相关界面的功能截图</w:t>
            </w:r>
            <w:r>
              <w:rPr>
                <w:rFonts w:hint="eastAsia"/>
                <w:b/>
                <w:bCs/>
                <w:color w:val="auto"/>
                <w:sz w:val="21"/>
                <w:szCs w:val="21"/>
                <w:highlight w:val="none"/>
              </w:rPr>
              <w:t>）</w:t>
            </w:r>
          </w:p>
          <w:p w14:paraId="491860D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▲6.指标元应包含税户管理、认定管理、申报管理、征收核算、发票管理等方面的，不少于200个指标元业务；</w:t>
            </w:r>
          </w:p>
          <w:p w14:paraId="3EF2D24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▲7.能进行全面风险扫描，可以进行扫描周期设置，风险方案查看，也可以进行实时扫描，如进行中风险欠税、连续开票数量、逾期未申报提醒、逾期未缴款提醒等风险特征排查；</w:t>
            </w:r>
          </w:p>
          <w:p w14:paraId="66647090">
            <w:pPr>
              <w:keepNext w:val="0"/>
              <w:keepLines w:val="0"/>
              <w:suppressLineNumbers w:val="0"/>
              <w:spacing w:before="0" w:beforeAutospacing="0" w:after="0" w:afterAutospacing="0" w:line="320" w:lineRule="exact"/>
              <w:ind w:left="0" w:right="0"/>
              <w:rPr>
                <w:rFonts w:hint="eastAsia" w:eastAsia="宋体"/>
                <w:b/>
                <w:bCs/>
                <w:color w:val="auto"/>
                <w:sz w:val="21"/>
                <w:szCs w:val="21"/>
                <w:highlight w:val="none"/>
                <w:lang w:eastAsia="zh-CN"/>
              </w:rPr>
            </w:pPr>
            <w:r>
              <w:rPr>
                <w:rFonts w:hint="eastAsia"/>
                <w:color w:val="auto"/>
                <w:sz w:val="21"/>
                <w:szCs w:val="21"/>
                <w:highlight w:val="none"/>
              </w:rPr>
              <w:t>▲</w:t>
            </w:r>
            <w:r>
              <w:rPr>
                <w:rFonts w:hint="eastAsia"/>
                <w:b/>
                <w:bCs/>
                <w:color w:val="auto"/>
                <w:sz w:val="21"/>
                <w:szCs w:val="21"/>
                <w:highlight w:val="none"/>
              </w:rPr>
              <w:t>九、</w:t>
            </w:r>
            <w:r>
              <w:rPr>
                <w:rFonts w:hint="eastAsia"/>
                <w:b/>
                <w:bCs/>
                <w:color w:val="auto"/>
                <w:sz w:val="21"/>
                <w:szCs w:val="21"/>
                <w:highlight w:val="none"/>
                <w:lang w:val="en-US" w:eastAsia="zh-CN"/>
              </w:rPr>
              <w:t>部署要求及授权数</w:t>
            </w:r>
          </w:p>
          <w:p w14:paraId="7A554A05">
            <w:pPr>
              <w:keepNext w:val="0"/>
              <w:keepLines w:val="0"/>
              <w:suppressLineNumbers w:val="0"/>
              <w:spacing w:before="0" w:beforeAutospacing="0" w:after="0" w:afterAutospacing="0" w:line="320" w:lineRule="exact"/>
              <w:ind w:left="0" w:right="0"/>
              <w:rPr>
                <w:rFonts w:hint="eastAsia"/>
                <w:color w:val="auto"/>
                <w:sz w:val="21"/>
                <w:szCs w:val="21"/>
                <w:highlight w:val="none"/>
              </w:rPr>
            </w:pPr>
            <w:r>
              <w:rPr>
                <w:rFonts w:hint="eastAsia"/>
                <w:color w:val="auto"/>
                <w:sz w:val="21"/>
                <w:szCs w:val="21"/>
                <w:highlight w:val="none"/>
              </w:rPr>
              <w:t>理论训练系统、全面数字化的电子发票开具实训系统、税务数字账户（发票认证）教学系统、增值税一般纳税人网上申报实训系统、查账征收企业所得税年度汇算清缴申报实训系统、自然人税收管理系统实训系统、纳税筹划单点策略教学实训系统8个系统需达到以下要求：</w:t>
            </w:r>
          </w:p>
          <w:p w14:paraId="5CD14163">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1.部署要求：本地化部署；</w:t>
            </w:r>
          </w:p>
          <w:p w14:paraId="4A846FA8">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2.安装、调试、适配服务：</w:t>
            </w:r>
          </w:p>
          <w:p w14:paraId="6EF8D074">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3A40EFD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12FC0F69">
            <w:pPr>
              <w:keepNext w:val="0"/>
              <w:keepLines w:val="0"/>
              <w:suppressLineNumbers w:val="0"/>
              <w:spacing w:before="0" w:beforeAutospacing="0" w:after="0" w:afterAutospacing="0" w:line="320" w:lineRule="exact"/>
              <w:ind w:left="0" w:right="0"/>
              <w:rPr>
                <w:rFonts w:hint="eastAsia" w:eastAsia="宋体"/>
                <w:color w:val="auto"/>
                <w:sz w:val="21"/>
                <w:szCs w:val="21"/>
                <w:highlight w:val="none"/>
                <w:lang w:eastAsia="zh-CN"/>
              </w:rPr>
            </w:pPr>
            <w:r>
              <w:rPr>
                <w:rFonts w:hint="eastAsia"/>
                <w:color w:val="auto"/>
                <w:sz w:val="21"/>
                <w:szCs w:val="21"/>
                <w:highlight w:val="none"/>
                <w:lang w:val="en-US" w:eastAsia="zh-CN"/>
              </w:rPr>
              <w:t>4</w:t>
            </w:r>
            <w:r>
              <w:rPr>
                <w:rFonts w:hint="eastAsia"/>
                <w:color w:val="auto"/>
                <w:sz w:val="21"/>
                <w:szCs w:val="21"/>
                <w:highlight w:val="none"/>
              </w:rPr>
              <w:t>.</w:t>
            </w:r>
            <w:r>
              <w:rPr>
                <w:rFonts w:hint="eastAsia"/>
                <w:color w:val="auto"/>
                <w:sz w:val="21"/>
                <w:szCs w:val="21"/>
                <w:highlight w:val="none"/>
                <w:lang w:val="en-US" w:eastAsia="zh-CN"/>
              </w:rPr>
              <w:t>软件授权数</w:t>
            </w:r>
            <w:r>
              <w:rPr>
                <w:rFonts w:hint="eastAsia"/>
                <w:color w:val="auto"/>
                <w:sz w:val="21"/>
                <w:szCs w:val="21"/>
                <w:highlight w:val="none"/>
              </w:rPr>
              <w:t>≥120个站点</w:t>
            </w:r>
          </w:p>
        </w:tc>
      </w:tr>
    </w:tbl>
    <w:p w14:paraId="2B8A0265">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51AA005E">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3FF80C13">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7B5EDED5">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4D096F34">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06BDBABA">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03FBB4D9">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4D710272">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3540469A">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72FFBEA0">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279E4CC2">
      <w:pPr>
        <w:spacing w:line="360" w:lineRule="auto"/>
        <w:rPr>
          <w:color w:val="auto"/>
          <w:szCs w:val="21"/>
          <w:highlight w:val="none"/>
        </w:rPr>
      </w:pPr>
      <w:r>
        <w:rPr>
          <w:rFonts w:hint="eastAsia" w:cs="宋体"/>
          <w:color w:val="auto"/>
          <w:szCs w:val="21"/>
          <w:highlight w:val="none"/>
          <w:lang w:bidi="ar"/>
        </w:rPr>
        <w:t>广西南宁市内采购人指定地点。</w:t>
      </w:r>
    </w:p>
    <w:p w14:paraId="305F85B5">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6B34EAD6">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52369AE6">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33848574">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33C5F0C9">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764EEFB6">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2CE76788">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35BA3BE9">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67292252">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141C39D3">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154015AE">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17A9D206">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60CFBD97">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645C82C2">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6A7F4283">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60ADB27E">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70B5A1EC">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5151AABC">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0A3772D7">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76B9EA1A">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21C49D05">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5A960387">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34336822">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07F7C149">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08991943">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7EF54808">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1C726A9C">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5CB351F9">
      <w:pPr>
        <w:rPr>
          <w:color w:val="auto"/>
          <w:highlight w:val="none"/>
        </w:rPr>
      </w:pPr>
      <w:r>
        <w:rPr>
          <w:color w:val="auto"/>
          <w:highlight w:val="none"/>
        </w:rPr>
        <w:br w:type="page"/>
      </w:r>
    </w:p>
    <w:p w14:paraId="66E2C08C">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6分标：python开发与财务应用综合教学平台采购</w:t>
      </w:r>
    </w:p>
    <w:p w14:paraId="0E38B510">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07DDFF2A">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3136928">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54544902">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26A4366C">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D5314E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026A997">
      <w:pPr>
        <w:spacing w:line="360" w:lineRule="auto"/>
        <w:rPr>
          <w:color w:val="auto"/>
          <w:szCs w:val="21"/>
          <w:highlight w:val="none"/>
        </w:rPr>
      </w:pPr>
      <w:r>
        <w:rPr>
          <w:rFonts w:hint="eastAsia"/>
          <w:color w:val="auto"/>
          <w:szCs w:val="21"/>
          <w:highlight w:val="none"/>
        </w:rPr>
        <w:t>1.需实现的功能、目标及应用场景</w:t>
      </w:r>
    </w:p>
    <w:p w14:paraId="5CFBE0DF">
      <w:pPr>
        <w:spacing w:line="360" w:lineRule="auto"/>
        <w:rPr>
          <w:color w:val="auto"/>
          <w:szCs w:val="21"/>
          <w:highlight w:val="none"/>
        </w:rPr>
      </w:pPr>
      <w:r>
        <w:rPr>
          <w:rFonts w:hint="eastAsia"/>
          <w:color w:val="auto"/>
          <w:szCs w:val="21"/>
          <w:highlight w:val="none"/>
        </w:rPr>
        <w:t>满足招标文件要求，验收达到合格标准。</w:t>
      </w:r>
    </w:p>
    <w:p w14:paraId="01DA6A08">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6322BE0F">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0B94BFD6">
      <w:pPr>
        <w:spacing w:line="360" w:lineRule="auto"/>
        <w:rPr>
          <w:rFonts w:hint="default" w:eastAsia="宋体"/>
          <w:color w:val="auto"/>
          <w:szCs w:val="21"/>
          <w:highlight w:val="none"/>
          <w:lang w:val="en-US" w:eastAsia="zh-CN"/>
        </w:rPr>
      </w:pPr>
      <w:r>
        <w:rPr>
          <w:rFonts w:hint="eastAsia"/>
          <w:color w:val="auto"/>
          <w:szCs w:val="21"/>
          <w:highlight w:val="none"/>
        </w:rPr>
        <w:t>3.标的所属行业：</w:t>
      </w:r>
      <w:r>
        <w:rPr>
          <w:rFonts w:hint="eastAsia"/>
          <w:color w:val="auto"/>
          <w:szCs w:val="21"/>
          <w:highlight w:val="none"/>
          <w:lang w:val="en-US" w:eastAsia="zh-CN"/>
        </w:rPr>
        <w:t>软件和信息技术服务业</w:t>
      </w:r>
    </w:p>
    <w:p w14:paraId="5DF7836F">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1465DC54">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5432FC13">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19BDFE9E">
      <w:pPr>
        <w:spacing w:line="360" w:lineRule="auto"/>
        <w:rPr>
          <w:color w:val="auto"/>
          <w:szCs w:val="21"/>
          <w:highlight w:val="none"/>
        </w:rPr>
      </w:pPr>
      <w:r>
        <w:rPr>
          <w:rFonts w:hint="eastAsia"/>
          <w:color w:val="auto"/>
          <w:szCs w:val="21"/>
          <w:highlight w:val="none"/>
        </w:rPr>
        <w:t>5.核心产品：</w:t>
      </w:r>
    </w:p>
    <w:p w14:paraId="5C5B3A6F">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第1项：python开发与财务应用综合教学平台</w:t>
      </w:r>
      <w:r>
        <w:rPr>
          <w:rFonts w:hint="eastAsia"/>
          <w:color w:val="auto"/>
          <w:szCs w:val="21"/>
          <w:highlight w:val="none"/>
        </w:rPr>
        <w:t>。</w:t>
      </w:r>
    </w:p>
    <w:p w14:paraId="00E0997E">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79B24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326DBCF3">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73178ADC">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47BE32C7">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1BC04379">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2A72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1A20230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13F4153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bookmarkStart w:id="36" w:name="OLE_LINK1"/>
            <w:r>
              <w:rPr>
                <w:rFonts w:hint="eastAsia"/>
                <w:color w:val="auto"/>
                <w:sz w:val="21"/>
                <w:szCs w:val="21"/>
                <w:highlight w:val="none"/>
              </w:rPr>
              <w:t>python开发与财务应用综合教学平台</w:t>
            </w:r>
            <w:bookmarkEnd w:id="36"/>
          </w:p>
        </w:tc>
        <w:tc>
          <w:tcPr>
            <w:tcW w:w="346" w:type="pct"/>
            <w:vAlign w:val="center"/>
          </w:tcPr>
          <w:p w14:paraId="4D31366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6EF21D74">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一、总体技术指标</w:t>
            </w:r>
          </w:p>
          <w:p w14:paraId="55C540CD">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1.平台基于企业级分布式架构开发，具有较强的可伸缩性、灵活性、易维护性；并遵循RESTful API设计原则，开放提供专有与标准两类OpenAPI。</w:t>
            </w:r>
          </w:p>
          <w:p w14:paraId="2DFA797F">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rPr>
              <w:tab/>
            </w:r>
            <w:r>
              <w:rPr>
                <w:rFonts w:hint="eastAsia"/>
                <w:color w:val="auto"/>
                <w:sz w:val="21"/>
                <w:szCs w:val="21"/>
                <w:highlight w:val="none"/>
              </w:rPr>
              <w:t>平台支持公有云、专属云、私有云基本部署模式，能够根据学校具体情况灵活调整部署方案。</w:t>
            </w:r>
          </w:p>
          <w:p w14:paraId="37562B82">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平台基于SOA面向服务架构思想设计，实现前后端分离架构；后端采用Controller/Service/DAO/Entity四层架构，整体设计清晰；前端基于业内主流框架构建，实现数据与结构分离，最大限度提高浏览器页面加载与响应速度。</w:t>
            </w:r>
          </w:p>
          <w:p w14:paraId="7ADA6117">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3750CC25">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5.平台及服务可部署在Windows或Linux系统服务器，支持分布式集群部署，可根据教学需要进行动态的横向扩展，提高系统处理能力，满足学校大规模用户并发的教学应用场景。</w:t>
            </w:r>
          </w:p>
          <w:p w14:paraId="4F15FE3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6.平台兼容基于Chromium内核的主流浏览器，无需安装任何客户端或插件；并通过加密校验等机制保证浏览器客户端与平台服务端之间的数据传输安全，有效保障用户数据的安全。</w:t>
            </w:r>
          </w:p>
          <w:p w14:paraId="017D0822">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7.平台提供严格的权限管理功能，包括功能权限管理和数据访问权限管理，通过简单的配置实现权限划分的调整，不可非法访问受限资源。</w:t>
            </w:r>
          </w:p>
          <w:p w14:paraId="48B15B35">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8.平台搭载日志管理系统，满足问题追踪、状态监控、安全审计等平台安全要求，提供完整的审计日志，实现操作的可追溯。</w:t>
            </w:r>
          </w:p>
          <w:p w14:paraId="113DF7D7">
            <w:pPr>
              <w:pStyle w:val="2"/>
              <w:keepNext w:val="0"/>
              <w:keepLines w:val="0"/>
              <w:suppressLineNumbers w:val="0"/>
              <w:spacing w:before="0" w:beforeAutospacing="0" w:afterAutospacing="0"/>
              <w:ind w:left="0" w:right="0" w:firstLine="0" w:firstLineChars="0"/>
              <w:rPr>
                <w:rFonts w:hint="eastAsia" w:eastAsia="宋体"/>
                <w:color w:val="auto"/>
                <w:sz w:val="21"/>
                <w:szCs w:val="21"/>
                <w:highlight w:val="none"/>
                <w:lang w:val="en-US" w:eastAsia="zh-CN"/>
              </w:rPr>
            </w:pPr>
            <w:r>
              <w:rPr>
                <w:rFonts w:hint="eastAsia"/>
                <w:color w:val="auto"/>
                <w:sz w:val="21"/>
                <w:szCs w:val="21"/>
                <w:highlight w:val="none"/>
              </w:rPr>
              <w:t>▲</w:t>
            </w:r>
            <w:r>
              <w:rPr>
                <w:rFonts w:hint="eastAsia"/>
                <w:color w:val="auto"/>
                <w:sz w:val="21"/>
                <w:szCs w:val="21"/>
                <w:highlight w:val="none"/>
                <w:lang w:val="en-US" w:eastAsia="zh-CN"/>
              </w:rPr>
              <w:t>9.用户数：不限制。</w:t>
            </w:r>
          </w:p>
          <w:p w14:paraId="7BC11663">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二、平台功能指标</w:t>
            </w:r>
          </w:p>
          <w:p w14:paraId="2DC9A4DC">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平台融合大数据、云计算、可视化智能分析等先进技术，依托Python内置开发环境及大数据分析全过程数据处理工具，引入真实企业财务案例，由大数据处理模块、业务分析模块、教学管理模块、学习与评价模块等组成。</w:t>
            </w:r>
          </w:p>
          <w:p w14:paraId="298EDFED">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（一）大数据处理模块</w:t>
            </w:r>
          </w:p>
          <w:p w14:paraId="3FF76058">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1.平台集成大数据分析全过程数据处理工具，通过数据采集、清洗、加工、挖掘、可视化，建立企业数据画像。</w:t>
            </w:r>
          </w:p>
          <w:p w14:paraId="23A0881A">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2.平台内置Python开发环境，用户无需本地安装，集成Jupyter Notebook平台或Python原生环境两种配置，可直接通过浏览器使用平台内部Python开发环境，进行Python代码的编写、调试与运行；且要求系统支持Python代码编写智能提示，输入Python代码关键词的首字母，系统将提示完整关键词的拼写并自动完成输入；支持对Python代码执行错误给予提示，告知用户错误代码的具体位置与错误原因。</w:t>
            </w:r>
          </w:p>
          <w:p w14:paraId="450F26B6">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平台与各数据处理工具无缝集成，内置Numpy、Pandas、Matplotlib等常用第三方模块及财务工作常用工具库，在无需用户自己搭建编程环境条件下，通过虚拟仿真财务工作场景，满足用户对财务大数据的采集、处理、可视化的使用需求，以及各类财务场景的应用，实现Python开发与财务应用无缝衔接。</w:t>
            </w:r>
          </w:p>
          <w:p w14:paraId="66F7ED76">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平台预置财务工作常用工具库至少包含request，pymysql，json、openpyxl、numpy、pandas、matplotlib、pyecharts、scrapy，scikit-learn，jieba等，可直接调用并应用于爬虫，数据处理、分析、建模及挖掘，机器学习，数据预测等内容。</w:t>
            </w:r>
          </w:p>
          <w:p w14:paraId="2268AEC2">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5.内容理实一体，提供Python开发与财务应用知识点课件与微课，结合财会专业学生所熟悉的财务场景、财务术语，通过与财务领域、学习生活等方面的典型案例、习题，最终完成探究式实验的理实一体过程；支持“学练双通”即在微课视频进行“学练双通”互动学习，视频学习过程中弹出习题，视频暂停播放，要求学生完成习题后视频继续播放，达到边学习边巩固的效果，提高学生学习效率。</w:t>
            </w:r>
          </w:p>
          <w:p w14:paraId="0B652CB9">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▲6.</w:t>
            </w:r>
            <w:r>
              <w:rPr>
                <w:rFonts w:hint="eastAsia"/>
                <w:color w:val="auto"/>
                <w:sz w:val="21"/>
                <w:szCs w:val="21"/>
                <w:highlight w:val="none"/>
              </w:rPr>
              <w:tab/>
            </w:r>
            <w:r>
              <w:rPr>
                <w:rFonts w:hint="eastAsia"/>
                <w:color w:val="auto"/>
                <w:sz w:val="21"/>
                <w:szCs w:val="21"/>
                <w:highlight w:val="none"/>
              </w:rPr>
              <w:t>平台大数据中心提供上市公司企业财报数据、国家宏观数据、银行公开数据、工信部公开数据、人社部公开数据、发改委公开数据、教育部公开数据、证券交易所公开数据、门户网站财经公开数据、大数据前沿动态、研究报告及行业分析报告；上市公司企业财报数据涵盖财务报表数据（包含资产负债表、利润表、现金流量表）和报表附注数据（包含</w:t>
            </w:r>
            <w:r>
              <w:rPr>
                <w:rFonts w:hint="eastAsia"/>
                <w:color w:val="auto"/>
                <w:sz w:val="21"/>
                <w:szCs w:val="21"/>
                <w:highlight w:val="none"/>
                <w:lang w:val="en-US" w:eastAsia="zh-CN"/>
              </w:rPr>
              <w:t>但不仅限于：</w:t>
            </w:r>
            <w:r>
              <w:rPr>
                <w:rFonts w:hint="eastAsia"/>
                <w:color w:val="auto"/>
                <w:sz w:val="21"/>
                <w:szCs w:val="21"/>
                <w:highlight w:val="none"/>
              </w:rPr>
              <w:t>主营业务收入构成、商誉、应收账款账龄明细、预付账款账龄明细），收录A股超4400家公司自上市以来披露的数据，并提供一级行业、二级行业、企业简称和股票代码关键字检索功能。</w:t>
            </w:r>
          </w:p>
          <w:p w14:paraId="6D17044E">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7.平台内置数据预览工具，支持在当前页面查看数据源和数据源预览，用户可自行调整预览数据条数。在进行案例实验之前，通过数据源预览，了解实验背景数据源的数据结构与数据内容。让用户能预期实验结果，并在实验过程中将实验每个步骤的结果与预期相对比，便于用户及时发现问题并自我纠正，从而强化实验的学习效果。</w:t>
            </w:r>
          </w:p>
          <w:p w14:paraId="3E41BE7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8.平台内置数据采集工具，与教学管理模块无缝集成，并且以第三方财经类网站作为数据爬取的数据源，实现对Python语言数据采集仿真环境的搭建。</w:t>
            </w:r>
          </w:p>
          <w:p w14:paraId="72D3CF23">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9.平台内置数据清洗工具，与教学管理模块无缝集成，支持全局清洗、局部清洗、特定值清洗、缺失值行清洗、缺失值列清洗、重复值清洗、异常值清洗7种清洗规则，实现对Python语言数据清洗仿真环境的搭建。</w:t>
            </w:r>
          </w:p>
          <w:p w14:paraId="0C1D622E">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10.数据提取，创建数据集：平台基于Python开发环境，支持从数据库或个人文件创建数据集。在进行案例实验的第一步，从数据源中提取并创建实验所需的数据集，为实验后续步骤奠定数据基础。</w:t>
            </w:r>
          </w:p>
          <w:p w14:paraId="60EA9FC3">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11.数据建模，关联多个数据集：平台基于Python开发环境，支持多个数据集之间的关联，至少包含左连接、右连接、内连接、外连接4种数据连接方式；并能将多个数据源的不同数据集进行关系建模，加深用户对数据的理解，掌握数据建模的关系模型方法。</w:t>
            </w:r>
          </w:p>
          <w:p w14:paraId="19F61486">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12.数据筛选，转换加工：平台基于Python开发环境，支持对数据集进行自定义操作功能，包含数据的类型指定和转换，设置多个条件筛选及公式筛选对数据过滤，以及字段的自定义分组和自定义添加计算字段。</w:t>
            </w:r>
          </w:p>
          <w:p w14:paraId="15B5B229">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13.数据可视化图表制作：平台基于Python开发环境，支持将数据集转变为财务可视化图表，涵盖折线图、柱状体、条形图、堆积图、饼图等30多种图形。</w:t>
            </w:r>
          </w:p>
          <w:p w14:paraId="5F6F1224">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14.自定义创建数字化驾驶舱：平台基于Python开发环境，支持在各类财务可视化图表的基础上创建数字化驾驶舱，支持创建反映数据分析观点或财务领域业务的可视化看板、反映业务实时情况或业务风险预警的管理层驾驶舱。</w:t>
            </w:r>
          </w:p>
          <w:p w14:paraId="550800CA">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15.平台至少包含12个教学案例，包含固定资产核算、职工薪酬核算、职工薪酬分析、收入与发票核对4个完整的财务会计教学案例；包含货币时间价值、本量利分析、固定预算、弹性预算、滚动预算、项目投资决策6个完整的管理会计教学案例；包含2个综合业务分析案例。</w:t>
            </w:r>
          </w:p>
          <w:p w14:paraId="4593A59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 xml:space="preserve">16.教学资源涵盖微课视频（不少于110个，时长不少于840分钟，内容包括案例讲解、实验操作讲解，至少包含Python应用于财务会计工作场景的案例实操讲解，Python应用于管理会计工作场景的案例实操讲解） 、课件(不少于30个)、知识点（至少包含Python入门、Python基础语法、Python进阶语法、Pandas基础、Python数据采集与清洗、Python数据可视化等内容）、习题库（不少于200道）。 </w:t>
            </w:r>
          </w:p>
          <w:p w14:paraId="6761D5D9">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17.自助Python代码编辑器：平台基于内嵌的Python开发环境，支持用户使用“积木模式”或“代码模式”两种模式进行自主代码编程，“积木模式”通过拖拽、组合及自定义参数完成程序的组织与编写；“代码模式”支持学生任意创建、修改及删除代码，完成自主代码编程，满足学生拓展Python编程技能的需求。</w:t>
            </w:r>
          </w:p>
          <w:p w14:paraId="70F63A7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（二）业务分析模块</w:t>
            </w:r>
          </w:p>
          <w:p w14:paraId="5609F634">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Python在财务会计业务中的应用：支持在企业职工薪酬、固定资产折旧税筹、收入发票核对等业务的流程步骤解析，支持加载相应的业务数据，核算业务金额，构建业务算法以满足业务需求，建立比对模型，完成数据分析，进行可视化呈现。</w:t>
            </w:r>
          </w:p>
          <w:p w14:paraId="1A4C54EB">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Python在管理会计业务中的应用：支持资金时间价值测算、投资决策、本量利分析、成本差异分析、预算分析等业务的流程步骤解析，支持构建数据模型，设置模型参数、构建业务方案、业务分析的算法，完成方案的测算，通过算法进行视化呈现，最终实现资源优化配置，为企业创造价值。</w:t>
            </w:r>
          </w:p>
          <w:p w14:paraId="665713F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Python在综合财务分析中的应用：支持选定数据源进行不同企业的综合分析，从第三方网站采集上市公司财务数据；根据分析目标提取不同方向的财务维度数据进行纵向横向比较；支持创建管理者驾驶舱与投资者驾驶舱，同屏对比历史十年企业成长能力财务指标；全面评价企业盈利和成长情况，判断企业管理的问题与风险，给出管理建议。</w:t>
            </w:r>
          </w:p>
          <w:p w14:paraId="0BE22167">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4.Python在行业综合分析中的应用：支持选定数据源进行不同行业的综合分析，从第三方网站采集上市公司财务数据并完成数据清洗与预处理；分析选定行业内所有企业在指定年份的各项财务指标；了解行业的基本布局和市场竞争情况；构建行业标杆分析模型，计算得出行业标杆财务指标，继续构建比对模型，选取行业上中下不同水平的企业与行业标杆进行分析对比，通过雷达图直观展示企业行业竞争力，通过玫瑰图展示企业营业利润率的变动情况，通过环形图分析企业收入构成，得出综合行业分析报告，挖掘行业发展机会。</w:t>
            </w:r>
          </w:p>
          <w:p w14:paraId="48EB47B6">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（三）教学管理模块</w:t>
            </w:r>
          </w:p>
          <w:p w14:paraId="24417531">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课程备课：支持教师预览课程全部内容，以学生身份查看课件、微课视频等教学资源；预览案例内容与案例配套的习题内容，并支持预览习题答案与解析；预览实验内容，并支持罗列实验涉及的语法知识点，让教师提前了解该章节内容的重点、难点。</w:t>
            </w:r>
          </w:p>
          <w:p w14:paraId="2A516874">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教学设置：支持教师根据教学计划，针对教学班设置课程内容锁定与开放状态，锁定下的项目学生无法进入学习；支持教师设置学习权限，分允许随时查看答案、不允许查看答案及提交后查看答案三种权限；支持教师根据课程考核方案，针对教学班设置项目分值权重，系统根据教师设置的项目权重对学生课程总成绩进行加权计算，便于教师灵活调整教学考核方案。</w:t>
            </w:r>
          </w:p>
          <w:p w14:paraId="4D79462C">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教学模式设置：支持教师根据教学计划，针对教学班设置课程项目式教学或闯关式教学；项目式教学下，学生需要按照教师开放的项目进行学习，分别完成项目下所有学习任务；闯关式教学下，学生需要按课程关卡进行学习，必须完成前一个学习任务才能进行下一个学习任务。</w:t>
            </w:r>
          </w:p>
          <w:p w14:paraId="796440A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4.学生做题管理：支持教师按项目与学习任务重置学生做题数据，允许学生重新答题或实验；系统提供一键还原全班做题数据功能。</w:t>
            </w:r>
          </w:p>
          <w:p w14:paraId="50C350C3">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5.成绩统计分析：平台支持学习进度、项目成绩、学员成绩、班级成绩四个不同维度对班级学生展开成绩统计分析；支持展示课程内容开放进度百分比与教学资源的明细数量，通过图表统计各个项目平均学习进度，并追踪未完成任务的学生；通过树形菜单展开各个任务平均成绩；并追踪学生具体得分；通过雷达图展示成绩分析，汇总学生学习进度、题目数、答题数、正确率、得分及平均分；平台提供学员成绩报告与班级成绩报告两类报告的查看与下载，下载格式为报告文件加成绩表格附件，满足院校教学档案归档的需求。</w:t>
            </w:r>
          </w:p>
          <w:p w14:paraId="2392514C">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6.学生疑难点分析：统计学生在学习过程中经常搜索的语法或知识点关键字，支持教师以全校视角或分班级视角查看学生遇到的疑点难点，以词云的图表形式展示。</w:t>
            </w:r>
          </w:p>
          <w:p w14:paraId="7EC2E84B">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▲7.</w:t>
            </w:r>
            <w:r>
              <w:rPr>
                <w:rFonts w:hint="eastAsia"/>
                <w:color w:val="auto"/>
                <w:sz w:val="21"/>
                <w:szCs w:val="21"/>
                <w:highlight w:val="none"/>
              </w:rPr>
              <w:tab/>
            </w:r>
            <w:r>
              <w:rPr>
                <w:rFonts w:hint="eastAsia"/>
                <w:color w:val="auto"/>
                <w:sz w:val="21"/>
                <w:szCs w:val="21"/>
                <w:highlight w:val="none"/>
              </w:rPr>
              <w:t>自定义创建教学成果驾驶舱：系统内嵌自主BI系统，侧重“问题导向式”探索分析；提供课程项目、教学班学生、学生课程成绩等数据源，支持教师利用BI工具，以“提出问题-数据获取-数据清洗-数据加工-数据分析”的流程步骤，创建学习时间趋势分析图表、成绩分布分析图表及数字化大屏看板。</w:t>
            </w:r>
          </w:p>
          <w:p w14:paraId="3667550C">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8.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14:paraId="75A618DB">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9.提供签到管理功能：包括但不限于传统点名考勤、数字码考勤、手势考勤和定位签到，可查看应到、出勤、缺勤以及早退、迟到、事假等各种出勤状态，统计班级出勤情况；可以针对某一考勤查看导出已签到、未签到学生名单。</w:t>
            </w:r>
          </w:p>
          <w:p w14:paraId="055CB8AF">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10.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14:paraId="07D9B78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（四）学习与评价模块</w:t>
            </w:r>
          </w:p>
          <w:p w14:paraId="285649CE">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平台需构建完整的企业财务大数据分析工作场景，支持学生开展案例探究学习与实验，循序渐进引导学生熟悉大数据分析工具、财务大数据分析建模、财务大数据分析解读与决策的业务内容，并进行相应的绩效考评，提供实验目标、实验知识点回顾、业务流程分析、操作步骤说明及演示视频等教学资源。</w:t>
            </w:r>
          </w:p>
          <w:p w14:paraId="770C6EAD">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学习中心：项目化实验体系设计，由浅入深，层层递进，至少包括Python入门、Python基础语法、Python进阶语法、Pandas基础、Python数据采集与清洗、Python数据可视化、Python财务会计应用、Python管理会计应用、Python在财务中的综合应用9个项目，通过知识点课件、知识点微课视频、案例、习题、探究式实验等，带领学生从零基础到能运用 Python 技术处理财务场景的问题。</w:t>
            </w:r>
          </w:p>
          <w:p w14:paraId="7BA91CCD">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微课视频学习完成状态、案例内容学习完成状态、案例习题完成数量与未完成数量、实验提交数量。</w:t>
            </w:r>
          </w:p>
          <w:p w14:paraId="3BE134A0">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4.学习报告：支持学生查看学习报告，检查所学习的各类型题目正确数量、错误数量、已做题目数量、未做题目数量和题目总数量等统计分析情况，可导出PDF。</w:t>
            </w:r>
          </w:p>
          <w:p w14:paraId="3B2D8F9D">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5.人工智能答疑机器人：支持学生在代码编程页面，通过平台内置AI答疑机器人，查询Python关键字，机器人提供相关语法的说明、使用方法，帮助学生完成代码编程。</w:t>
            </w:r>
          </w:p>
          <w:p w14:paraId="4844B6F5">
            <w:pPr>
              <w:keepNext w:val="0"/>
              <w:keepLines w:val="0"/>
              <w:suppressLineNumbers w:val="0"/>
              <w:spacing w:before="0" w:beforeAutospacing="0" w:after="0" w:afterAutospacing="0"/>
              <w:ind w:left="0" w:right="0"/>
              <w:rPr>
                <w:rFonts w:hint="default"/>
                <w:color w:val="auto"/>
                <w:sz w:val="21"/>
                <w:szCs w:val="21"/>
                <w:highlight w:val="none"/>
                <w:shd w:val="clear" w:color="auto" w:fill="FFFF00"/>
              </w:rPr>
            </w:pPr>
            <w:r>
              <w:rPr>
                <w:rFonts w:hint="eastAsia"/>
                <w:color w:val="auto"/>
                <w:sz w:val="21"/>
                <w:szCs w:val="21"/>
                <w:highlight w:val="none"/>
              </w:rPr>
              <w:t>▲6.</w:t>
            </w:r>
            <w:r>
              <w:rPr>
                <w:rFonts w:hint="eastAsia"/>
                <w:color w:val="auto"/>
                <w:sz w:val="21"/>
                <w:szCs w:val="21"/>
                <w:highlight w:val="none"/>
              </w:rPr>
              <w:tab/>
            </w:r>
            <w:r>
              <w:rPr>
                <w:rFonts w:hint="eastAsia"/>
                <w:color w:val="auto"/>
                <w:sz w:val="21"/>
                <w:szCs w:val="21"/>
                <w:highlight w:val="none"/>
              </w:rPr>
              <w:t>PK答题竞赛微信小程序：通过微信小程序，支持班级内学生进行专题PK抢答竞赛，包含排位赛、练习赛两种赛事，每个题目限时抢答，参与竞赛的学生需要在规定时间内作答，超过答题时间的作答不得分；并且先答题正确的学生得分，当该题目有学生答题正确后，参与竞赛的其他学生自动不得分，参与竞赛的所有学生同时进入下一题。</w:t>
            </w:r>
          </w:p>
          <w:p w14:paraId="7A25034C">
            <w:pPr>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▲7.</w:t>
            </w:r>
            <w:r>
              <w:rPr>
                <w:rFonts w:hint="eastAsia"/>
                <w:color w:val="auto"/>
                <w:sz w:val="21"/>
                <w:szCs w:val="21"/>
                <w:highlight w:val="none"/>
              </w:rPr>
              <w:tab/>
            </w:r>
            <w:r>
              <w:rPr>
                <w:rFonts w:hint="eastAsia"/>
                <w:color w:val="auto"/>
                <w:sz w:val="21"/>
                <w:szCs w:val="21"/>
                <w:highlight w:val="none"/>
              </w:rPr>
              <w:t>PK答题竞赛自主命题：支持用户通过微信小程序在“知识库”出题，题目内容通过审核后将会展示给其他竞赛学生。</w:t>
            </w:r>
          </w:p>
          <w:p w14:paraId="798DE176">
            <w:pPr>
              <w:keepNext w:val="0"/>
              <w:keepLines w:val="0"/>
              <w:suppressLineNumbers w:val="0"/>
              <w:spacing w:before="0" w:beforeAutospacing="0" w:after="0" w:afterAutospacing="0"/>
              <w:ind w:left="0" w:right="0"/>
              <w:rPr>
                <w:rFonts w:hint="default"/>
                <w:b/>
                <w:bCs/>
                <w:color w:val="auto"/>
                <w:sz w:val="21"/>
                <w:szCs w:val="21"/>
                <w:highlight w:val="none"/>
              </w:rPr>
            </w:pPr>
            <w:r>
              <w:rPr>
                <w:rFonts w:hint="eastAsia"/>
                <w:color w:val="auto"/>
                <w:sz w:val="21"/>
                <w:szCs w:val="21"/>
                <w:highlight w:val="none"/>
              </w:rPr>
              <w:t>8.教学互动中心：支持文件统计，问答统计，用户统计，排行榜，平台动态显示；支持查看系统内置分享的文件，查看其他用户上传文件或上传个人文件，查看个人收藏，查看个人贡献；查看问题或提出问题，用户自己提出的问题列表，用户的回答列表；支持内容违规审查。</w:t>
            </w:r>
          </w:p>
          <w:p w14:paraId="4EC1B3FE">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三、其他</w:t>
            </w:r>
          </w:p>
          <w:p w14:paraId="69512F6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.软件产品需兼容基于Chromium内核的主流浏览器，无需安装任何客户端或插件，无用户数和站点的限制；</w:t>
            </w:r>
          </w:p>
          <w:p w14:paraId="5B8DE8F8">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2.部署、安装、调试、适配服务：</w:t>
            </w:r>
          </w:p>
          <w:p w14:paraId="5E5D1D1A">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1）部署要求：</w:t>
            </w:r>
            <w:r>
              <w:rPr>
                <w:rFonts w:hint="default"/>
                <w:color w:val="auto"/>
                <w:sz w:val="21"/>
                <w:szCs w:val="21"/>
                <w:highlight w:val="none"/>
              </w:rPr>
              <w:t>本地化部署</w:t>
            </w:r>
          </w:p>
          <w:p w14:paraId="6EBB8074">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06A0D05A">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4A20C3FE">
            <w:pPr>
              <w:pStyle w:val="2"/>
              <w:keepNext w:val="0"/>
              <w:keepLines w:val="0"/>
              <w:suppressLineNumbers w:val="0"/>
              <w:spacing w:before="0" w:beforeAutospacing="0" w:afterAutospacing="0"/>
              <w:ind w:left="0" w:leftChars="0" w:right="0" w:firstLine="0" w:firstLineChars="0"/>
              <w:rPr>
                <w:rFonts w:hint="default"/>
                <w:color w:val="auto"/>
                <w:sz w:val="21"/>
                <w:szCs w:val="21"/>
                <w:highlight w:val="none"/>
              </w:rPr>
            </w:pPr>
          </w:p>
          <w:p w14:paraId="589D1AC7">
            <w:pPr>
              <w:keepNext w:val="0"/>
              <w:keepLines w:val="0"/>
              <w:suppressLineNumbers w:val="0"/>
              <w:spacing w:before="0" w:beforeAutospacing="0" w:after="0" w:afterAutospacing="0" w:line="320" w:lineRule="exact"/>
              <w:ind w:left="0" w:right="0"/>
              <w:rPr>
                <w:rFonts w:hint="default"/>
                <w:color w:val="auto"/>
                <w:sz w:val="21"/>
                <w:szCs w:val="21"/>
                <w:highlight w:val="none"/>
              </w:rPr>
            </w:pPr>
          </w:p>
        </w:tc>
      </w:tr>
    </w:tbl>
    <w:p w14:paraId="44245E9D">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77588DD7">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27F5E2D3">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182E7EC1">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07B772C3">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27A44C94">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7C4998E1">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5A08FDE7">
      <w:pPr>
        <w:spacing w:line="320" w:lineRule="exact"/>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6D7C0CA3">
      <w:pPr>
        <w:spacing w:line="360" w:lineRule="auto"/>
        <w:rPr>
          <w:rFonts w:hint="eastAsia"/>
          <w:color w:val="auto"/>
          <w:kern w:val="0"/>
          <w:szCs w:val="21"/>
          <w:highlight w:val="none"/>
        </w:rPr>
      </w:pPr>
      <w:r>
        <w:rPr>
          <w:rFonts w:hint="eastAsia"/>
          <w:color w:val="auto"/>
          <w:szCs w:val="21"/>
          <w:highlight w:val="none"/>
        </w:rPr>
        <w:t>（签订合同后15天内供货到采购人指定地点</w:t>
      </w:r>
      <w:r>
        <w:rPr>
          <w:rFonts w:hint="eastAsia"/>
          <w:color w:val="auto"/>
          <w:szCs w:val="21"/>
          <w:highlight w:val="none"/>
          <w:lang w:eastAsia="zh-CN"/>
        </w:rPr>
        <w:t>，</w:t>
      </w:r>
      <w:r>
        <w:rPr>
          <w:rFonts w:hint="eastAsia"/>
          <w:color w:val="auto"/>
          <w:szCs w:val="21"/>
          <w:highlight w:val="none"/>
        </w:rPr>
        <w:t xml:space="preserve"> 中标人负责安装，并调试完毕。</w:t>
      </w:r>
    </w:p>
    <w:p w14:paraId="246D5453">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2B3852AA">
      <w:pPr>
        <w:spacing w:line="360" w:lineRule="auto"/>
        <w:rPr>
          <w:color w:val="auto"/>
          <w:szCs w:val="21"/>
          <w:highlight w:val="none"/>
        </w:rPr>
      </w:pPr>
      <w:r>
        <w:rPr>
          <w:rFonts w:hint="eastAsia" w:cs="宋体"/>
          <w:color w:val="auto"/>
          <w:szCs w:val="21"/>
          <w:highlight w:val="none"/>
          <w:lang w:bidi="ar"/>
        </w:rPr>
        <w:t>广西南宁市内采购人指定地点。</w:t>
      </w:r>
    </w:p>
    <w:p w14:paraId="4A02484C">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25FC30BD">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5E768FD3">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5FA62792">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6EC39F29">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7CF8DC7E">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46543D8B">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1CE25F1E">
      <w:pPr>
        <w:spacing w:line="360" w:lineRule="auto"/>
        <w:rPr>
          <w:color w:val="auto"/>
          <w:szCs w:val="21"/>
          <w:highlight w:val="none"/>
        </w:rPr>
      </w:pPr>
      <w:r>
        <w:rPr>
          <w:rFonts w:hint="eastAsia"/>
          <w:color w:val="auto"/>
          <w:szCs w:val="21"/>
          <w:highlight w:val="none"/>
        </w:rPr>
        <w:t>软件使用期间需及时响应故障处理，要求有稳定的服务队伍，须提供7×24小时售后服务，</w:t>
      </w:r>
      <w:r>
        <w:rPr>
          <w:rFonts w:hint="eastAsia"/>
          <w:color w:val="auto"/>
          <w:szCs w:val="21"/>
          <w:highlight w:val="none"/>
          <w:lang w:val="en-US" w:eastAsia="zh-CN"/>
        </w:rPr>
        <w:t>4</w:t>
      </w:r>
      <w:r>
        <w:rPr>
          <w:rFonts w:hint="eastAsia"/>
          <w:color w:val="auto"/>
          <w:szCs w:val="21"/>
          <w:highlight w:val="none"/>
        </w:rPr>
        <w:t>个小时内响应</w:t>
      </w:r>
      <w:r>
        <w:rPr>
          <w:rFonts w:hint="eastAsia"/>
          <w:color w:val="auto"/>
          <w:szCs w:val="21"/>
          <w:highlight w:val="none"/>
          <w:lang w:eastAsia="zh-CN"/>
        </w:rPr>
        <w:t>，</w:t>
      </w:r>
      <w:r>
        <w:rPr>
          <w:rFonts w:hint="eastAsia" w:cs="宋体"/>
          <w:color w:val="auto"/>
          <w:szCs w:val="21"/>
          <w:highlight w:val="none"/>
          <w:lang w:bidi="ar"/>
        </w:rPr>
        <w:t>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r>
        <w:rPr>
          <w:rFonts w:hint="eastAsia"/>
          <w:color w:val="auto"/>
          <w:szCs w:val="21"/>
          <w:highlight w:val="none"/>
        </w:rPr>
        <w:t>。在应答时应详细阐述技术支持的内容、范围、响应时间和解决问题时间，</w:t>
      </w:r>
      <w:r>
        <w:rPr>
          <w:rFonts w:hint="eastAsia"/>
          <w:color w:val="auto"/>
          <w:szCs w:val="21"/>
          <w:highlight w:val="none"/>
          <w:lang w:eastAsia="zh-CN"/>
        </w:rPr>
        <w:t>说明</w:t>
      </w:r>
      <w:r>
        <w:rPr>
          <w:rFonts w:hint="eastAsia"/>
          <w:color w:val="auto"/>
          <w:szCs w:val="21"/>
          <w:highlight w:val="none"/>
        </w:rPr>
        <w:t>技术维护队伍和机构情况，服务模式</w:t>
      </w:r>
      <w:r>
        <w:rPr>
          <w:rFonts w:hint="eastAsia" w:cs="宋体"/>
          <w:color w:val="auto"/>
          <w:szCs w:val="21"/>
          <w:highlight w:val="none"/>
          <w:lang w:eastAsia="zh-CN" w:bidi="ar"/>
        </w:rPr>
        <w:t>。</w:t>
      </w:r>
    </w:p>
    <w:p w14:paraId="7B2D80F2">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36C34161">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0606B881">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4CC9457C">
      <w:pPr>
        <w:spacing w:line="320" w:lineRule="exact"/>
        <w:rPr>
          <w:color w:val="auto"/>
          <w:szCs w:val="21"/>
          <w:highlight w:val="none"/>
        </w:rPr>
      </w:pPr>
      <w:r>
        <w:rPr>
          <w:rFonts w:hint="eastAsia" w:cs="宋体"/>
          <w:color w:val="auto"/>
          <w:szCs w:val="21"/>
          <w:highlight w:val="none"/>
          <w:lang w:bidi="ar"/>
        </w:rPr>
        <w:t>供应商对其提供产品或服务的使用和操作应尽培训义务。</w:t>
      </w:r>
      <w:r>
        <w:rPr>
          <w:rFonts w:hint="eastAsia"/>
          <w:color w:val="auto"/>
          <w:szCs w:val="21"/>
          <w:highlight w:val="none"/>
        </w:rPr>
        <w:t>供应商负责组织最终用户的系统管理员、使用人员进行集中培训。此项系统培训应使各使用人员尽快掌握系统的操作方法和规范流程，保障合理使用、维护和正常运转。减少系统故障率，提高运行效率，保障系统的可靠运行。培训课程应包含尽可能多的设备及系统知识、学员能够达到独立使用和基本维护的能力；</w:t>
      </w:r>
      <w:r>
        <w:rPr>
          <w:rFonts w:hint="eastAsia" w:cs="宋体"/>
          <w:color w:val="auto"/>
          <w:szCs w:val="21"/>
          <w:highlight w:val="none"/>
          <w:lang w:bidi="ar"/>
        </w:rPr>
        <w:t>使采购人使用人员熟练掌握所培训内容，熟练掌握全部功能，培训的相关费用包括在投标报价中，采购人不再另行支付。</w:t>
      </w:r>
    </w:p>
    <w:p w14:paraId="18194E78">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6482BC84">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50FB5E3E">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328D8610">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459854C7">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0A4BA943">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5634DB43">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6740517E">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33E5D82D">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4BA5FBBF">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790898A5">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1FD5D901">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23678900">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19120C6C">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5D72CFA7">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0E049B6D">
      <w:pPr>
        <w:rPr>
          <w:color w:val="auto"/>
          <w:highlight w:val="none"/>
        </w:rPr>
      </w:pPr>
      <w:r>
        <w:rPr>
          <w:color w:val="auto"/>
          <w:highlight w:val="none"/>
        </w:rPr>
        <w:br w:type="page"/>
      </w:r>
    </w:p>
    <w:p w14:paraId="4E3C6B3F">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7分标：智能审计实践教学平台采购</w:t>
      </w:r>
    </w:p>
    <w:p w14:paraId="1001B695">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4608B7E">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9CD6B26">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75E3772">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3B01279B">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36CAE013">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92FC4F9">
      <w:pPr>
        <w:spacing w:line="360" w:lineRule="auto"/>
        <w:rPr>
          <w:color w:val="auto"/>
          <w:szCs w:val="21"/>
          <w:highlight w:val="none"/>
        </w:rPr>
      </w:pPr>
      <w:r>
        <w:rPr>
          <w:rFonts w:hint="eastAsia"/>
          <w:color w:val="auto"/>
          <w:szCs w:val="21"/>
          <w:highlight w:val="none"/>
        </w:rPr>
        <w:t>1.需实现的功能、目标及应用场景</w:t>
      </w:r>
    </w:p>
    <w:p w14:paraId="0A648D42">
      <w:pPr>
        <w:spacing w:line="360" w:lineRule="auto"/>
        <w:rPr>
          <w:color w:val="auto"/>
          <w:szCs w:val="21"/>
          <w:highlight w:val="none"/>
        </w:rPr>
      </w:pPr>
      <w:r>
        <w:rPr>
          <w:rFonts w:hint="eastAsia"/>
          <w:color w:val="auto"/>
          <w:szCs w:val="21"/>
          <w:highlight w:val="none"/>
        </w:rPr>
        <w:t>满足招标文件要求，验收达到合格标准。</w:t>
      </w:r>
    </w:p>
    <w:p w14:paraId="072EB74C">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2B042483">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6A2B7E08">
      <w:pPr>
        <w:spacing w:line="360" w:lineRule="auto"/>
        <w:rPr>
          <w:color w:val="auto"/>
          <w:szCs w:val="21"/>
          <w:highlight w:val="none"/>
        </w:rPr>
      </w:pPr>
      <w:r>
        <w:rPr>
          <w:rFonts w:hint="eastAsia"/>
          <w:color w:val="auto"/>
          <w:szCs w:val="21"/>
          <w:highlight w:val="none"/>
        </w:rPr>
        <w:t>3.标的所属行业：软件和信息技术服务业</w:t>
      </w:r>
    </w:p>
    <w:p w14:paraId="31E64D57">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1763516F">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08FD3E73">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6A060155">
      <w:pPr>
        <w:spacing w:line="360" w:lineRule="auto"/>
        <w:rPr>
          <w:color w:val="auto"/>
          <w:szCs w:val="21"/>
          <w:highlight w:val="none"/>
        </w:rPr>
      </w:pPr>
      <w:r>
        <w:rPr>
          <w:rFonts w:hint="eastAsia"/>
          <w:color w:val="auto"/>
          <w:szCs w:val="21"/>
          <w:highlight w:val="none"/>
        </w:rPr>
        <w:t>5.核心产品：</w:t>
      </w:r>
    </w:p>
    <w:p w14:paraId="55C1E5D5">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第1项：智能审计实践教学平台</w:t>
      </w:r>
      <w:r>
        <w:rPr>
          <w:rFonts w:hint="eastAsia"/>
          <w:color w:val="auto"/>
          <w:szCs w:val="21"/>
          <w:highlight w:val="none"/>
        </w:rPr>
        <w:t>。</w:t>
      </w:r>
    </w:p>
    <w:p w14:paraId="251C8468">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7B82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529AA8DC">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5CFE5F9A">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6108676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185D7DC6">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4943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0C1FDFC6">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64A3E30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智能审计实践教学平台</w:t>
            </w:r>
          </w:p>
        </w:tc>
        <w:tc>
          <w:tcPr>
            <w:tcW w:w="346" w:type="pct"/>
            <w:vAlign w:val="center"/>
          </w:tcPr>
          <w:p w14:paraId="440DA36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65825BED">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一、软件基本情况要求</w:t>
            </w:r>
          </w:p>
          <w:p w14:paraId="238AF72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1.部署方式：软件产品需支持本地化部署，能够根据学校具体情况灵活调整部署方案；</w:t>
            </w:r>
          </w:p>
          <w:p w14:paraId="20613BDB">
            <w:pPr>
              <w:keepNext w:val="0"/>
              <w:keepLines w:val="0"/>
              <w:suppressLineNumbers w:val="0"/>
              <w:spacing w:before="0" w:beforeAutospacing="0" w:after="0" w:afterAutospacing="0" w:line="320" w:lineRule="exact"/>
              <w:ind w:left="0" w:right="0"/>
              <w:rPr>
                <w:rFonts w:hint="eastAsia"/>
                <w:color w:val="auto"/>
                <w:sz w:val="21"/>
                <w:szCs w:val="21"/>
                <w:highlight w:val="none"/>
              </w:rPr>
            </w:pPr>
            <w:r>
              <w:rPr>
                <w:rFonts w:hint="eastAsia"/>
                <w:color w:val="auto"/>
                <w:sz w:val="21"/>
                <w:szCs w:val="21"/>
                <w:highlight w:val="none"/>
              </w:rPr>
              <w:t>2.站点：软件产品需兼容基于Chromium内核的主流浏览器，无需安装任何客户端或插件，无用户数和站点的限制；</w:t>
            </w:r>
          </w:p>
          <w:p w14:paraId="3C04D11C">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color w:val="auto"/>
                <w:sz w:val="21"/>
                <w:szCs w:val="21"/>
                <w:highlight w:val="none"/>
              </w:rPr>
              <w:t>3.</w:t>
            </w:r>
            <w:r>
              <w:rPr>
                <w:rFonts w:hint="eastAsia" w:ascii="宋体" w:hAnsi="宋体" w:cs="宋体"/>
                <w:color w:val="auto"/>
                <w:sz w:val="21"/>
                <w:szCs w:val="21"/>
                <w:highlight w:val="none"/>
                <w:lang w:val="en-US" w:eastAsia="zh-CN"/>
              </w:rPr>
              <w:t>安装、调试、适配服务：</w:t>
            </w:r>
          </w:p>
          <w:p w14:paraId="2F5F87F8">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65876853">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lang w:eastAsia="zh-CN"/>
              </w:rPr>
            </w:pPr>
            <w:r>
              <w:rPr>
                <w:rFonts w:hint="eastAsia"/>
                <w:color w:val="auto"/>
                <w:sz w:val="21"/>
                <w:szCs w:val="21"/>
                <w:highlight w:val="none"/>
                <w:lang w:val="en-US" w:eastAsia="zh-CN"/>
              </w:rPr>
              <w:t>4.升级服务：</w:t>
            </w:r>
            <w:r>
              <w:rPr>
                <w:rFonts w:hint="default"/>
                <w:color w:val="auto"/>
                <w:sz w:val="21"/>
                <w:szCs w:val="21"/>
                <w:highlight w:val="none"/>
              </w:rPr>
              <w:t>三年后如需升级，则按不超过中标金额的3%收取费用。</w:t>
            </w:r>
          </w:p>
          <w:p w14:paraId="35FD9E4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二、总体技术指标</w:t>
            </w:r>
          </w:p>
          <w:p w14:paraId="2561638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平台基于企业级分布式架构开发，具有较强的可伸缩性、灵活性、易维护性；并遵循RESTful API设计原则，开放提供专有与标准两类OpenAPI。</w:t>
            </w:r>
          </w:p>
          <w:p w14:paraId="6F235EB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 平台支持公有云、专属云、私有云基本部署模式，能够根据学校具体情况灵活调整部署方案。</w:t>
            </w:r>
          </w:p>
          <w:p w14:paraId="7F8E554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 平台基于SOA面向服务架构思想设计，实现前后端分离架构；后端采用Controller/Service/DAO/Entity四层架构，整体设计清晰；前端基于业内主流框架构建，实现数据与结构分离，最大限度提高浏览器页面加载与响应速度。</w:t>
            </w:r>
          </w:p>
          <w:p w14:paraId="549EFFF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 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4B634C5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 平台及服务可部署在Windows或Linux系统服务器，支持分布式集群部署，可根据教学需要进行动态的横向扩展，提高系统处理能力，满足学校大规模用户并发的教学应用场景。</w:t>
            </w:r>
          </w:p>
          <w:p w14:paraId="281B210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 平台兼容基于Chromium内核的主流浏览器，无需安装任何客户端或插件；并通过加密校验等机制保证浏览器客户端与平台服务端之间的数据传输安全，有效保障用户数据的安全。</w:t>
            </w:r>
          </w:p>
          <w:p w14:paraId="2277DA7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 平台提供严格的权限管理功能，包括功能权限管理和数据访问权限管理，通过简单的配置实现权限划分的调整，不可非法访问受限资源。</w:t>
            </w:r>
          </w:p>
          <w:p w14:paraId="5608D14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 平台搭载日志管理系统，满足问题追踪、状态监控、安全审计等平台安全要求，提供完整的审计日志，实现操作的可追溯。</w:t>
            </w:r>
          </w:p>
          <w:p w14:paraId="4B81C82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三、平台功能指标</w:t>
            </w:r>
          </w:p>
          <w:p w14:paraId="0016330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（一）智能审计实践教学模块</w:t>
            </w:r>
          </w:p>
          <w:p w14:paraId="384287D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具有模糊答案功能，即允许学生采用和标准答案不同的正确答案表达方式，评分系统能够智能识别互认为正确，而不是僵化的只要和正确答案不一样就判错。</w:t>
            </w:r>
          </w:p>
          <w:p w14:paraId="045D17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 审计经理岗位拥有重置权限清空做题数据，审计团队可以在实战批次未结束前多次练习。</w:t>
            </w:r>
          </w:p>
          <w:p w14:paraId="0FA0918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 平台支持学生直接在所有底稿任务（除业务约定书、询证函及审计报告之外）中设置Excel公式（包括但不限于加减乘除、sum、if、round等函数）进行运算，提高做题效率，便捷易用。</w:t>
            </w:r>
          </w:p>
          <w:p w14:paraId="3E620B1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 平台支持便捷查账，方便学生自主查询被审计单位的总账、明细账、科目余额表、记账凭证及相关附件原始凭证；查询条件灵活，可以选定期间或者跨期间，可以选定会计科目；另外实现了从明细账到记账凭证的穿透，从记账凭证到附件原始凭证的穿透查询。</w:t>
            </w:r>
          </w:p>
          <w:p w14:paraId="60B052D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 平台资料查看模块，支持用资料名称关键字快速搜索想要查看的相关材料。</w:t>
            </w:r>
          </w:p>
          <w:p w14:paraId="1B2CC12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 平台支持在学习中心的实验中查看本实验实训任务之外的其他任务正确答案，即不影响案例勾稽完整性，又能把实验内容与知识点进行对应。支持在实战批次中查看本团队其他任务的做题结果，审阅影响当前任务的其他审计程序执行结果。</w:t>
            </w:r>
          </w:p>
          <w:p w14:paraId="5FD88E7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 平台支持智能财务分析，能自动抓取案例账套数据并进行运算分析，将分析结果以可视化图表形式呈现。图表可进行拖拽逐月趋势分析，支持多指标同时展示在空白看板</w:t>
            </w:r>
            <w:r>
              <w:rPr>
                <w:rFonts w:hint="eastAsia"/>
                <w:color w:val="auto"/>
                <w:sz w:val="21"/>
                <w:szCs w:val="21"/>
                <w:highlight w:val="none"/>
                <w:lang w:eastAsia="zh-CN"/>
              </w:rPr>
              <w:t>进行</w:t>
            </w:r>
            <w:r>
              <w:rPr>
                <w:rFonts w:hint="eastAsia"/>
                <w:color w:val="auto"/>
                <w:sz w:val="21"/>
                <w:szCs w:val="21"/>
                <w:highlight w:val="none"/>
              </w:rPr>
              <w:t>对比分析。通过智能财务分析及可视化，能让财务指标异常更容易被捕捉，辅助风险识别。</w:t>
            </w:r>
          </w:p>
          <w:p w14:paraId="0541BD5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 平台支持智能科目分析，包括科目趋势分析及对方科目分析，能自动抓取案例账套数据并进行运算分析。科目趋势分析能够对所有会计科目的月末余额或月发生额进行拖拽式图表可视化查看，也可切换成以表格的形式呈现分析结果。对方科目分析能够以列表的形式呈现每个会计科目在选定期间对应哪些会计科目以及金额，还可以穿透查询到对方科目对应的所有记账凭证。通过智能科目分析，能让科目异常波动及对方科目异常更容易被发现，辅助风险识别。</w:t>
            </w:r>
          </w:p>
          <w:p w14:paraId="7CB3033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 平台体现python网页爬虫应用场景，能爬取对标上市公司3个会计年度的财务报表数据并以可视化图表的形式呈现主要财务指标。平台提供该网络爬虫的逻辑及相应Python代码教学内容。</w:t>
            </w:r>
          </w:p>
          <w:p w14:paraId="45C202B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 平台支持对银行存款进行全面核对，选择导入想要比对分析的银行日记账及银行对账单，系统通过自动比对功能一键式全面比对，并对比对不成功的进行报红提示。审计人员根据报红的记录，可再进行人工补充核对，若勾选核对一致，则自动通过取消报红提示。</w:t>
            </w:r>
          </w:p>
          <w:p w14:paraId="06409B0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 平台支持运用凭证抽样工具，选择恰当的抽样方法（大额抽样、随机抽样、等距抽样），设置相关抽样条件进行平台自动抽凭。平台能根据抽样方法及相关抽样条件列示出抽样结果，支持从抽样结果中穿透查询到具体记账凭证及附件原始凭证。</w:t>
            </w:r>
          </w:p>
          <w:p w14:paraId="6B9D237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 平台支持运用账龄分析工具计算账龄，可按企业或账龄两种维度呈现分析结果。</w:t>
            </w:r>
          </w:p>
          <w:p w14:paraId="02773DE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 平台模拟审计实务中的函证中心执行函证程序，可执行询证函的批量发送签章、批量发函操作。在函证中心能实时查看询证函的最新状态（包括询证函内容及收发函状态）、函证轨迹（发函信封及回函信封）。</w:t>
            </w:r>
          </w:p>
          <w:p w14:paraId="607495D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 函证中心支持审计人员通过企信通查询相关企业的基础工商信息。</w:t>
            </w:r>
          </w:p>
          <w:p w14:paraId="167DB9A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 函证中心内嵌被询证方地址核对模块，能应用RPA通过企信通查询被询证方的地址，并与被审计单位提供的被询证方地址信息进行自动比对，用RPA技术提升函证控制、审计效率及质量。</w:t>
            </w:r>
          </w:p>
          <w:p w14:paraId="018A4CF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 函证中心内嵌收发函地址核对模块，能应用RPA对全部询证函的发件信封及回函信封进行自动比对，识别函证轨迹的风险。通过RPA技术提升函证控制、审计效率及质量。</w:t>
            </w:r>
          </w:p>
          <w:p w14:paraId="0E1452F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17. 平台仿真函证过程和结果，支持学生在编辑完询证函文本之后，将询证函文本发送并获取被审计单位的签章确认，继而再进行发函操作，获取被询证方的核对确认及签章。系统能自动判断学生编辑的询证函相关信息是否与被询证方一致，若不一致，则会在回函中不符处盖章，并说明不符事项。学生通过核对回函信息发现异常或补充进一步审计程序。</w:t>
            </w:r>
          </w:p>
          <w:p w14:paraId="6D8B362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18. 平台内嵌智能问答机器人，支持学生通过在线问答交流的方式，模拟审计实务中向被审计单位相关人员进行询问的审计方法。例如，想要咨询机器人竞争者的情况，可输入关键字“竞争者”，机器人会针对具体问题回复关于主要竞争者的市场份额及竞争优势等情况。</w:t>
            </w:r>
          </w:p>
          <w:p w14:paraId="35F3CAB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▲19. 底稿自动生成。平台支持一键自动生成审计工作底稿，把低效重复的工作交给了作业平台，提高审计人员的工作效率及价值。本功能主要针对能直接从账套数据中获取并编写的审计工作底稿内容，也支持手动编辑，让学生能更直观</w:t>
            </w:r>
            <w:r>
              <w:rPr>
                <w:rFonts w:hint="eastAsia"/>
                <w:color w:val="auto"/>
                <w:sz w:val="21"/>
                <w:szCs w:val="21"/>
                <w:highlight w:val="none"/>
                <w:lang w:eastAsia="zh-CN"/>
              </w:rPr>
              <w:t>地</w:t>
            </w:r>
            <w:r>
              <w:rPr>
                <w:rFonts w:hint="eastAsia"/>
                <w:color w:val="auto"/>
                <w:sz w:val="21"/>
                <w:szCs w:val="21"/>
                <w:highlight w:val="none"/>
              </w:rPr>
              <w:t>感受智能化提升审计效率。</w:t>
            </w:r>
          </w:p>
          <w:p w14:paraId="34B2189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20. 平台案例中内置动画视频，还原审计实务场景，让学生更直观</w:t>
            </w:r>
            <w:r>
              <w:rPr>
                <w:rFonts w:hint="eastAsia"/>
                <w:color w:val="auto"/>
                <w:sz w:val="21"/>
                <w:szCs w:val="21"/>
                <w:highlight w:val="none"/>
                <w:lang w:eastAsia="zh-CN"/>
              </w:rPr>
              <w:t>地</w:t>
            </w:r>
            <w:r>
              <w:rPr>
                <w:rFonts w:hint="eastAsia"/>
                <w:color w:val="auto"/>
                <w:sz w:val="21"/>
                <w:szCs w:val="21"/>
                <w:highlight w:val="none"/>
              </w:rPr>
              <w:t>了解审计实务业务流程及场景。</w:t>
            </w:r>
          </w:p>
          <w:p w14:paraId="46BA063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▲21. 平台内嵌审计证据库，支持学生将审计过程中所需的审计证据存到审计证据库；模拟审计实务中获取复印审计证据、编制索引号及获取被审计单位签章确认等操作。学生可在审计证据库中查看已获取的审计证据。平台能自动统计每一份被审计单位相关材料被获取存为审计证据的次数，可有效减少项目组团队重复获取审计证据的情形。平台能自动判断编写的审计证据索引号是</w:t>
            </w:r>
            <w:r>
              <w:rPr>
                <w:rFonts w:hint="eastAsia"/>
                <w:color w:val="auto"/>
                <w:sz w:val="21"/>
                <w:szCs w:val="21"/>
                <w:highlight w:val="none"/>
                <w:lang w:eastAsia="zh-CN"/>
              </w:rPr>
              <w:t>否</w:t>
            </w:r>
            <w:r>
              <w:rPr>
                <w:rFonts w:hint="eastAsia"/>
                <w:color w:val="auto"/>
                <w:sz w:val="21"/>
                <w:szCs w:val="21"/>
                <w:highlight w:val="none"/>
              </w:rPr>
              <w:t>存在，避免索引号重复。</w:t>
            </w:r>
          </w:p>
          <w:p w14:paraId="533F315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22. 平台内嵌疑点库，可以对每一张审计工作底稿编制疑点，疑点会自动归集至疑点库。项目组成员可通过疑点库查看全部疑点，并关注到可能影响自己审计事项的因素。</w:t>
            </w:r>
          </w:p>
          <w:p w14:paraId="41E5E6F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23. 实现分岗协作，还原审计实务中业务流转，审计员需将编制完成的审计工作底稿提交给审计经理，审计经理应进行复核，若发现错误可以驳回上一岗位人员进行修改，任务列表中实时显示各项审计任务的完成状态（包含未开始、待提交、待复核、已完成），便于审计业务跟踪。审计经理编制的审计工作底稿，可提交下一级复核（项目合伙人复核及签字确认）。</w:t>
            </w:r>
          </w:p>
          <w:p w14:paraId="2D119E6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24. 审计人员可对自己任务的审计工作底稿编制审计调整分录，系统会将整个项目所有审计调整分录进行实时汇总，学生可在调整分录汇总表中查看项目中所有的调整分录，并可分别就报表行次、索引号、会计科目、报表类别、调整类型、是否复核等条件进行筛选查看（支持多条件筛选）。</w:t>
            </w:r>
          </w:p>
          <w:p w14:paraId="0A58A63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25. 平台内置会计师事务所、税务局、银行等3D场景，学生可自主操作并在相关场景中进行自由活动熟悉相关工作环境及主要部门的工作职责内容等。在高度仿真的环境以及趣味操作中降低职场的陌生感。</w:t>
            </w:r>
          </w:p>
          <w:p w14:paraId="66C212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26. 在3D场景中，可以自主进行分辨率、画质等程序设置，可自主设置人物性别、动作、服饰等造型，可自主操作走动方向，也可进行播放预置动画的形式进行走动参观了解。</w:t>
            </w:r>
          </w:p>
          <w:p w14:paraId="52DA172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27. 平台知识库模块支持可支持pdf、png、jpg、jpeg、bmp、gif、mp4等格式的文件资料上传。支持教师对自己上传资料进行分类管理及设置开放权限。</w:t>
            </w:r>
          </w:p>
          <w:p w14:paraId="572E19F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（二）智能审计业务模块</w:t>
            </w:r>
          </w:p>
          <w:p w14:paraId="4C83A61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平台预置2套实训案例，通过2个综合案例完成财务报表审计实训教学。平台通过内嵌完整仿真的实训案例背景资料以及其他丰富智能的功能工具，更好还原审计实务全流程业务的执行及展现效果，促使综合实训达到更好的“校内实习”效果。</w:t>
            </w:r>
          </w:p>
          <w:p w14:paraId="050BE18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 每套预置案例背景资料包括被审计单位14个月超1100张记账凭证、原始凭证、大量审计过程中需用到的其他审计材料、动画视频资源、询问回复等，让学生能够充分灵活</w:t>
            </w:r>
            <w:r>
              <w:rPr>
                <w:rFonts w:hint="eastAsia"/>
                <w:color w:val="auto"/>
                <w:sz w:val="21"/>
                <w:szCs w:val="21"/>
                <w:highlight w:val="none"/>
                <w:lang w:eastAsia="zh-CN"/>
              </w:rPr>
              <w:t>地</w:t>
            </w:r>
            <w:r>
              <w:rPr>
                <w:rFonts w:hint="eastAsia"/>
                <w:color w:val="auto"/>
                <w:sz w:val="21"/>
                <w:szCs w:val="21"/>
                <w:highlight w:val="none"/>
              </w:rPr>
              <w:t>执行询问、观察、检查、分析性程序等审计方法。</w:t>
            </w:r>
          </w:p>
          <w:p w14:paraId="794A99E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 每套预置案例实训任务均超过330项，贯穿财务报表审计全流程，包括初步业务活动、审计计划、风险评估、审计实施及完成阶段等，从业务承接到出具审计报告及审计工作底稿的整理归档。</w:t>
            </w:r>
          </w:p>
          <w:p w14:paraId="6474551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 平台设有学习中心，通过贯穿财报审计全流程的十二大项目进行实训教学。每个项目提供相应的实验及相关理实讲解教学内容。项目内容包括：业务承接、审计计划、风险评估、采购与付款循环审计、销售与收款循环审计、生产与仓储循环审计、筹资与投资循环审计、固定资产和其他长期资产循环审计、工薪与人事循环审计、货币资金审计、其他项目审计、业务完成阶段工作等。</w:t>
            </w:r>
          </w:p>
          <w:p w14:paraId="7F6D8F3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 平台审计工作底稿模板教学模块，内置</w:t>
            </w:r>
            <w:r>
              <w:rPr>
                <w:rFonts w:hint="eastAsia"/>
                <w:color w:val="auto"/>
                <w:sz w:val="21"/>
                <w:szCs w:val="21"/>
                <w:highlight w:val="none"/>
                <w:lang w:val="en-US" w:eastAsia="zh-CN"/>
              </w:rPr>
              <w:t>不少于</w:t>
            </w:r>
            <w:r>
              <w:rPr>
                <w:rFonts w:hint="eastAsia"/>
                <w:color w:val="auto"/>
                <w:sz w:val="21"/>
                <w:szCs w:val="21"/>
                <w:highlight w:val="none"/>
              </w:rPr>
              <w:t>一千张审计工作底稿，包括了初步业务活动、风险评估、控制测试、实质性程序、其他项目、完成阶段等财务报表审计全流程完整的审计工作底稿模板。涵盖了执行新金融工具、新收入和租赁准则而优化或新增的最新底稿模板。通过模板教学，让学生更完整</w:t>
            </w:r>
            <w:r>
              <w:rPr>
                <w:rFonts w:hint="eastAsia"/>
                <w:color w:val="auto"/>
                <w:sz w:val="21"/>
                <w:szCs w:val="21"/>
                <w:highlight w:val="none"/>
                <w:lang w:eastAsia="zh-CN"/>
              </w:rPr>
              <w:t>地</w:t>
            </w:r>
            <w:r>
              <w:rPr>
                <w:rFonts w:hint="eastAsia"/>
                <w:color w:val="auto"/>
                <w:sz w:val="21"/>
                <w:szCs w:val="21"/>
                <w:highlight w:val="none"/>
              </w:rPr>
              <w:t>了解审计实务、审计逻辑、执行审计程序的行业实战经验及编制审计工作底稿注意事项。</w:t>
            </w:r>
          </w:p>
          <w:p w14:paraId="6051F9C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 平台知识库模块包括最新法律法规（会计、内控、审计、税法、证券市场相关）、实务指引（指引类、经验技巧类、其它）、审计信息化建设（行业发展研究资料、行业信息化参考资料、制度规范）等相关资源，包含超250份文档、图片、视频资源。</w:t>
            </w:r>
          </w:p>
          <w:p w14:paraId="55F2851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（三）教学管理模块</w:t>
            </w:r>
          </w:p>
          <w:p w14:paraId="7B42971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系统对学生提交的答题结果实时进行评分，支持成绩分析，应用大数据技术进行后台统计分析与监管。</w:t>
            </w:r>
          </w:p>
          <w:p w14:paraId="4782AF4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 支持管理员账号进行学校信息维护及教师管理，能自主添加或删除教师账号。</w:t>
            </w:r>
          </w:p>
          <w:p w14:paraId="5A9BDCA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 支持管理员账号进行行政班级管理，支持个别添加、批量导入添加学生账号，支持导出学生账号。</w:t>
            </w:r>
          </w:p>
          <w:p w14:paraId="6DFC7DC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 支持教师账号进行教学班级管理，设定教学班级名称、有效期及学生管理，能从行政班级中勾选学生加入教学班。</w:t>
            </w:r>
          </w:p>
          <w:p w14:paraId="79457E7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 支持教师进行学习中心内容设置，可灵活选择开放学习中心的项目内容，可选择班级学习中心实验是否开放，是否允许自动生成底稿，可灵活设置实验的答案权限（包括随时可查看答案、不允许查看答案及允许答案比对）。</w:t>
            </w:r>
          </w:p>
          <w:p w14:paraId="799DF52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 支持教师查看学习中心的班级成绩详情，包括项目开放情况统计、学习进度及每项实验的完成状态、完成任务数、得分情况。</w:t>
            </w:r>
          </w:p>
          <w:p w14:paraId="3893D84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 支持教师重置班级或学生个人的学习中心做题，可一键清空班级或学生的做题结果。</w:t>
            </w:r>
          </w:p>
          <w:p w14:paraId="30CA864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 支持教师自主创建实战批次，设置批次名称、审计项目、实习时间、课时、岗位模式、是否允许自动生成底稿、答案权限、重做权限及自主进行批次任务管理。</w:t>
            </w:r>
          </w:p>
          <w:p w14:paraId="719674B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 岗位模式包括一人多岗及多人多岗。一人多岗模式下，一个账号对应一个团队，可切换岗位完成批次中设置的所有实训任务；多人多岗模式下，一个账号对应一个岗位，只能做本岗位的任务及查阅团队其他岗位的任务。多人多岗模式下，支持自主命名团队名称，选择团队组员。</w:t>
            </w:r>
          </w:p>
          <w:p w14:paraId="0D1F787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 平台支持教师灵活设置选择每一批次的实训任务。对于本批次不需要学生完成的任务，可调整设置为免答题的状态，学生不能做这部分题目，但是可直接查看免答题的正确答案，不影响实训案例的整体勾稽关联。</w:t>
            </w:r>
          </w:p>
          <w:p w14:paraId="36C4503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 支持在实战批次进行过程中操作学员管理，增减学员账号。</w:t>
            </w:r>
          </w:p>
          <w:p w14:paraId="37CC348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 平台支持教师随时查看实战批次各项任务的完成率、正确率，支持进一步查看具体每一项任务各学员完成状态及正确率。</w:t>
            </w:r>
          </w:p>
          <w:p w14:paraId="5D1217D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 对于学生误点击结束实战批次的，支持由教师在教师端恢复为继续练习状态，且原有答题数据还在，实现数据不丢失。支持教师强制提交学员的实训结果。</w:t>
            </w:r>
          </w:p>
          <w:p w14:paraId="29CB655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 实战批次结束后，可查看学生做题情况，查看各项任务的答题及得分情况。支持老师查看每一题的成绩明细，查看已提交归档的审计工作底稿（含审计过程中获取的审计证据）。</w:t>
            </w:r>
          </w:p>
          <w:p w14:paraId="106CBF5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 平台支持最终分数导出团队成绩和个人成绩。支持进度分析数据的导出，支持每一项任务完成状态及准确率的导出。</w:t>
            </w:r>
          </w:p>
          <w:p w14:paraId="38BF39E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16. 教师可设定实战批次中学生的答案权限，可选择随时查看答案、提交后查看答案、不允许查看答案及允许答案比对四种模式。</w:t>
            </w:r>
          </w:p>
          <w:p w14:paraId="7539F67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（四）教学辅助模块</w:t>
            </w:r>
          </w:p>
          <w:p w14:paraId="6FCEC55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提供直播间管理功能：教师可以根据教学需要创建直播间，系统提供了大屏与文档2种模式，提供不少于3套模板（视频、视频+聊天、视频+文档+聊天），不同模板包含不同的功能模块。</w:t>
            </w:r>
          </w:p>
          <w:p w14:paraId="395D284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 提供毕业设计管理功能：支持实验报告、课程论文、案例报告三种毕业设计类型的线上交互指导；允许用户管理毕业设计模板，至少包括“毕业设计任务书”“开题报告”“毕业设计指导记录”“毕业设计论文”四类文件。</w:t>
            </w:r>
          </w:p>
        </w:tc>
      </w:tr>
    </w:tbl>
    <w:p w14:paraId="30B54DB2">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05B05CD4">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5C0EE9E7">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706DB87C">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2FE9458D">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38BE5FFC">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6C0B4CBE">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1FAFD5DC">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37258183">
      <w:pPr>
        <w:spacing w:line="360" w:lineRule="auto"/>
        <w:rPr>
          <w:color w:val="auto"/>
          <w:kern w:val="0"/>
          <w:szCs w:val="21"/>
          <w:highlight w:val="none"/>
        </w:rPr>
      </w:pPr>
      <w:r>
        <w:rPr>
          <w:rFonts w:hint="eastAsia"/>
          <w:color w:val="auto"/>
          <w:kern w:val="0"/>
          <w:szCs w:val="21"/>
          <w:highlight w:val="none"/>
        </w:rPr>
        <w:t>签订合同后15天内供货到采购人指定地点</w:t>
      </w:r>
      <w:r>
        <w:rPr>
          <w:rFonts w:hint="eastAsia"/>
          <w:color w:val="auto"/>
          <w:kern w:val="0"/>
          <w:szCs w:val="21"/>
          <w:highlight w:val="none"/>
          <w:lang w:eastAsia="zh-CN"/>
        </w:rPr>
        <w:t>，</w:t>
      </w:r>
      <w:r>
        <w:rPr>
          <w:rFonts w:hint="eastAsia"/>
          <w:color w:val="auto"/>
          <w:kern w:val="0"/>
          <w:szCs w:val="21"/>
          <w:highlight w:val="none"/>
        </w:rPr>
        <w:t xml:space="preserve"> 中标人负责安装，并调试完毕。</w:t>
      </w:r>
    </w:p>
    <w:p w14:paraId="2A674CD9">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45B31C25">
      <w:pPr>
        <w:spacing w:line="360" w:lineRule="auto"/>
        <w:rPr>
          <w:color w:val="auto"/>
          <w:szCs w:val="21"/>
          <w:highlight w:val="none"/>
        </w:rPr>
      </w:pPr>
      <w:r>
        <w:rPr>
          <w:rFonts w:hint="eastAsia" w:cs="宋体"/>
          <w:color w:val="auto"/>
          <w:szCs w:val="21"/>
          <w:highlight w:val="none"/>
          <w:lang w:bidi="ar"/>
        </w:rPr>
        <w:t>广西南宁市内采购人指定地点。</w:t>
      </w:r>
    </w:p>
    <w:p w14:paraId="170C8549">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7784A307">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69E91D56">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5C824BAA">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1269EBB8">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4072D35D">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7FDB6E95">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172712D6">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w:t>
      </w:r>
      <w:r>
        <w:rPr>
          <w:rFonts w:hint="eastAsia"/>
          <w:color w:val="auto"/>
          <w:szCs w:val="21"/>
          <w:highlight w:val="none"/>
        </w:rPr>
        <w:t>提供7×24小时售后服务，2个小时内响应</w:t>
      </w:r>
      <w:r>
        <w:rPr>
          <w:rFonts w:hint="eastAsia" w:cs="宋体"/>
          <w:color w:val="auto"/>
          <w:szCs w:val="21"/>
          <w:highlight w:val="none"/>
          <w:lang w:bidi="ar"/>
        </w:rPr>
        <w:t>，到达现场后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4D83B5B6">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44C29244">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0CAD9A0E">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27907784">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32425294">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6CDC6C9C">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2B43DFC3">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62934964">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7D38592E">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0EF47560">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4A1473A6">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1CACF21D">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31A87790">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7B5ABB0E">
      <w:pPr>
        <w:spacing w:line="360" w:lineRule="auto"/>
        <w:rPr>
          <w:color w:val="auto"/>
          <w:szCs w:val="21"/>
          <w:highlight w:val="none"/>
        </w:rPr>
      </w:pPr>
      <w:r>
        <w:rPr>
          <w:rFonts w:hint="eastAsia"/>
          <w:color w:val="auto"/>
          <w:szCs w:val="21"/>
          <w:highlight w:val="none"/>
        </w:rPr>
        <w:t>11.1响应时间：在3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p>
    <w:p w14:paraId="184FF57E">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071F383D">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5CD66555">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53788BEC">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498B7670">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0DF4919F">
      <w:pPr>
        <w:rPr>
          <w:color w:val="auto"/>
          <w:highlight w:val="none"/>
        </w:rPr>
      </w:pPr>
      <w:r>
        <w:rPr>
          <w:color w:val="auto"/>
          <w:highlight w:val="none"/>
        </w:rPr>
        <w:br w:type="page"/>
      </w:r>
    </w:p>
    <w:p w14:paraId="75084436">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8分标：跨境电商B2B综合实训平台采购</w:t>
      </w:r>
    </w:p>
    <w:p w14:paraId="71ED89B6">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248FD72">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05C1E53">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708B31A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0363C649">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4604C09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0CF93142">
      <w:pPr>
        <w:spacing w:line="360" w:lineRule="auto"/>
        <w:rPr>
          <w:color w:val="auto"/>
          <w:szCs w:val="21"/>
          <w:highlight w:val="none"/>
        </w:rPr>
      </w:pPr>
      <w:r>
        <w:rPr>
          <w:rFonts w:hint="eastAsia"/>
          <w:color w:val="auto"/>
          <w:szCs w:val="21"/>
          <w:highlight w:val="none"/>
        </w:rPr>
        <w:t>1.需实现的功能、目标及应用场景</w:t>
      </w:r>
    </w:p>
    <w:p w14:paraId="7629EC62">
      <w:pPr>
        <w:spacing w:line="360" w:lineRule="auto"/>
        <w:rPr>
          <w:color w:val="auto"/>
          <w:szCs w:val="21"/>
          <w:highlight w:val="none"/>
        </w:rPr>
      </w:pPr>
      <w:r>
        <w:rPr>
          <w:rFonts w:hint="eastAsia"/>
          <w:color w:val="auto"/>
          <w:szCs w:val="21"/>
          <w:highlight w:val="none"/>
        </w:rPr>
        <w:t>满足招标文件要求，验收达到合格标准。</w:t>
      </w:r>
    </w:p>
    <w:p w14:paraId="24AE1FDA">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163CEAB5">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2675BDCD">
      <w:pPr>
        <w:spacing w:line="360" w:lineRule="auto"/>
        <w:rPr>
          <w:rFonts w:hint="default" w:eastAsia="宋体"/>
          <w:color w:val="auto"/>
          <w:szCs w:val="21"/>
          <w:highlight w:val="none"/>
          <w:lang w:val="en-US" w:eastAsia="zh-CN"/>
        </w:rPr>
      </w:pPr>
      <w:r>
        <w:rPr>
          <w:rFonts w:hint="eastAsia"/>
          <w:color w:val="auto"/>
          <w:szCs w:val="21"/>
          <w:highlight w:val="none"/>
        </w:rPr>
        <w:t>3.标的所属行业：</w:t>
      </w:r>
      <w:r>
        <w:rPr>
          <w:rFonts w:hint="eastAsia"/>
          <w:color w:val="auto"/>
          <w:szCs w:val="21"/>
          <w:highlight w:val="none"/>
          <w:lang w:val="en-US" w:eastAsia="zh-CN"/>
        </w:rPr>
        <w:t>软件和信息技术服务业</w:t>
      </w:r>
    </w:p>
    <w:p w14:paraId="482ADC50">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5001C5E9">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70A86F72">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2F86DA6A">
      <w:pPr>
        <w:spacing w:line="360" w:lineRule="auto"/>
        <w:rPr>
          <w:color w:val="auto"/>
          <w:szCs w:val="21"/>
          <w:highlight w:val="none"/>
        </w:rPr>
      </w:pPr>
      <w:r>
        <w:rPr>
          <w:rFonts w:hint="eastAsia"/>
          <w:color w:val="auto"/>
          <w:szCs w:val="21"/>
          <w:highlight w:val="none"/>
        </w:rPr>
        <w:t>5.核心产品：</w:t>
      </w:r>
    </w:p>
    <w:p w14:paraId="5973F8C3">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第1项：跨境电商B2B综合实训平台</w:t>
      </w:r>
      <w:r>
        <w:rPr>
          <w:rFonts w:hint="eastAsia"/>
          <w:color w:val="auto"/>
          <w:szCs w:val="21"/>
          <w:highlight w:val="none"/>
        </w:rPr>
        <w:t>。</w:t>
      </w:r>
    </w:p>
    <w:p w14:paraId="744F0909">
      <w:pPr>
        <w:spacing w:line="360" w:lineRule="auto"/>
        <w:rPr>
          <w:color w:val="auto"/>
          <w:szCs w:val="21"/>
          <w:highlight w:val="none"/>
        </w:rPr>
      </w:pPr>
      <w:r>
        <w:rPr>
          <w:rFonts w:hint="eastAsia"/>
          <w:color w:val="auto"/>
          <w:szCs w:val="21"/>
          <w:highlight w:val="none"/>
        </w:rPr>
        <w:t>6.标的名称、数量、需满足的质量、技术规格或者服务内容和标准一览表：</w:t>
      </w:r>
    </w:p>
    <w:tbl>
      <w:tblPr>
        <w:tblStyle w:val="51"/>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98"/>
        <w:gridCol w:w="681"/>
        <w:gridCol w:w="7419"/>
      </w:tblGrid>
      <w:tr w14:paraId="3DA0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4AFA9FC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558" w:type="pct"/>
            <w:vAlign w:val="center"/>
          </w:tcPr>
          <w:p w14:paraId="6E31581B">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46" w:type="pct"/>
            <w:vAlign w:val="center"/>
          </w:tcPr>
          <w:p w14:paraId="5B8E8773">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3770" w:type="pct"/>
            <w:tcBorders>
              <w:left w:val="single" w:color="auto" w:sz="4" w:space="0"/>
              <w:right w:val="single" w:color="auto" w:sz="4" w:space="0"/>
            </w:tcBorders>
            <w:vAlign w:val="center"/>
          </w:tcPr>
          <w:p w14:paraId="44D1B9A4">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3D9A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24" w:type="pct"/>
            <w:vAlign w:val="center"/>
          </w:tcPr>
          <w:p w14:paraId="7B6A892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558" w:type="pct"/>
            <w:vAlign w:val="center"/>
          </w:tcPr>
          <w:p w14:paraId="2A4F883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跨境电商B2B综合实训平台</w:t>
            </w:r>
          </w:p>
        </w:tc>
        <w:tc>
          <w:tcPr>
            <w:tcW w:w="346" w:type="pct"/>
            <w:vAlign w:val="center"/>
          </w:tcPr>
          <w:p w14:paraId="2FB1ABA5">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3770" w:type="pct"/>
            <w:tcBorders>
              <w:left w:val="single" w:color="auto" w:sz="4" w:space="0"/>
              <w:right w:val="single" w:color="auto" w:sz="4" w:space="0"/>
            </w:tcBorders>
            <w:vAlign w:val="center"/>
          </w:tcPr>
          <w:p w14:paraId="444DD9E6">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一、总体要求</w:t>
            </w:r>
          </w:p>
          <w:p w14:paraId="2F3E71D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1.软件需要B/S架构，基于SaaS部署。</w:t>
            </w:r>
          </w:p>
          <w:p w14:paraId="33A3D48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平台分为教学管理系统、实训系统、学习平台和后台管理系统四个部分，其中教学管理系统具备权限分配和资源管理功能，实训系统能够支持学生完成阿里巴巴国际站仿真实训，学习平台支持学生考试和练习，后台管理系统支持各种系统参数的设置。</w:t>
            </w:r>
          </w:p>
          <w:p w14:paraId="20926C0D">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二、教学管理系统模块</w:t>
            </w:r>
          </w:p>
          <w:p w14:paraId="48AC896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1.教学管理系统后台</w:t>
            </w:r>
          </w:p>
          <w:p w14:paraId="3D3C9FE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（1）教学管理系统后台主页面：支持选择班级查看对应班级的实训任务与课程题库完成情况，可通过柱状图与饼状图的可视化形式直观展现已完成实训任务与课程题库的人数与占比。</w:t>
            </w:r>
          </w:p>
          <w:p w14:paraId="734BB3E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教师管理：可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支持批量导出用户信息，添加新用户信息并创建账号，对教师账号进行单个或批量删除。</w:t>
            </w:r>
          </w:p>
          <w:p w14:paraId="547EF19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班级管理：可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支持添加新班级信息并创建班级，对班级进行单个或批量禁用（启用）。</w:t>
            </w:r>
          </w:p>
          <w:p w14:paraId="42D110B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学生管理：可在选择启用或禁用的账号状态下，通过学生名称/账号或手机号码查询用户，支持通过是否完成手机号验证对用户进行筛选，查看学生姓名、学校、班级、账号、手机号、验证时间、创建人、授权到期时间、启用状态、创建时间等信息，管理员可选择对学生账号进行信息修改或禁用。系统支持批量导出用户信息，单个添加或通过模板批量添加新用户信息并创建账号，对学生账号进行单个或批量禁用（启用）。</w:t>
            </w:r>
          </w:p>
          <w:p w14:paraId="2C980BE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课程列表：可通过课程名称查询课程类型、课程明细、封面图片、创建人、所属学校、添加时间等信息，管理员可选择对课程信息进行修改。系统支持添加新的课程信息并创建课程，并在课程明细中对课程明细信息进行管理。</w:t>
            </w:r>
          </w:p>
          <w:p w14:paraId="04101A7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教学监控：可通过班级或学生姓名筛选、查询用户，查看班级、学号、姓名、积分、已完成实训任务、已完成课程题库、综合积分、综合成绩等信息。系统支持批量导出用户信息。教师可查看学生每个实训任务的完成详情，支持自动评分和人工评分，系统根据学生实操完成情况进行自动评分，教师也可以进入该学生的实训后台，查看该学生的实训平台实操情况并进行人工评分，若教师对该学生进行了人工评分，则该学生的实操分为老师的人工评分，否则为系统自动评分。</w:t>
            </w:r>
          </w:p>
          <w:p w14:paraId="147E38D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交流中心：具备管理帖子与回复的功能模块。在帖子管理模块中，可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名查询回复，支持通过回复审核状态对回复进行筛选，查看评论人、回复内容、图片、审核状态、添加时间等信息，管理员可对帖子进行删除、审核等操作。</w:t>
            </w:r>
          </w:p>
          <w:p w14:paraId="6F65FF2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2.教学管理系统前台：</w:t>
            </w:r>
          </w:p>
          <w:p w14:paraId="3AAEFEA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教学管理系统前台主页面：应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次数。实训排名模块可展示用户实训得分排名，提供名次、用户头像、姓名、积分、完成任务数与答题次数等信息。</w:t>
            </w:r>
          </w:p>
          <w:p w14:paraId="03984CB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实训任务：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p>
          <w:p w14:paraId="02942A6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课程题库：可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p>
          <w:p w14:paraId="7FED5BC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（4）交流中心：提供热门话题、我的话题、我的回复分组，发表的话题支持配插图。</w:t>
            </w:r>
          </w:p>
          <w:p w14:paraId="01EC328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▲（5）课程知识库：可按章节分组展示课程知识库目录，课程知识库提供文字、图片、视频等多种形式的课程资源，视频内容支持静音、全屏播放、调整播放速度与画中画形式播放。</w:t>
            </w:r>
          </w:p>
          <w:p w14:paraId="7EF303B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（6）实训轨迹：生成月度实训轨迹图，可按年查看每月完成任务数量。</w:t>
            </w:r>
          </w:p>
          <w:p w14:paraId="079DCD3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（7）实训排名：可展示用户实训得分排名，提供名次、用户头像、姓名、综合积分、完成任务数与综合成绩等信息。</w:t>
            </w:r>
          </w:p>
          <w:p w14:paraId="449FB5F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（8）资料下载：可分组展示课程资料，显示资料组浏览次数，支持通过关键字搜索资料组。可下载PDF、DOC文档、视频、图片等多种形式的课程资料。</w:t>
            </w:r>
          </w:p>
          <w:p w14:paraId="02654059">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三、实训系统功能模块（一）</w:t>
            </w:r>
          </w:p>
          <w:p w14:paraId="7843E3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用户可浏览阿里巴巴国际站仿真平台首页，Categories应包括“Agriculture”等至少30个类目，并可查看其子类目与所属产品。用户可进行产品或供应商的搜索。搜索产品（关键词）时，搜索结果页面应显示本次搜索的相关类目，搜索供应商时应显示供应商的名称、主营类目及供应商产品等相关信息。用户查看某款产品时，页面应显示商品的主图、副图、阶梯价格、发货期、客制化要求条件、物流运输信息、供应商信息、产品属性、产品详情等。</w:t>
            </w:r>
          </w:p>
          <w:p w14:paraId="3CD77BF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支持“体验国际站开通流程”与“国际站开通状态”两种模式的切换。用户可进行国际站开通流程的体验，包括提交认证信息、提交公司信息、发布产品信息等。在体验国际站开通流程中设置的信息可进行保存，或可清空重新体验国际站开通流程。</w:t>
            </w:r>
          </w:p>
          <w:p w14:paraId="31FA240E">
            <w:pPr>
              <w:keepNext w:val="0"/>
              <w:keepLines w:val="0"/>
              <w:suppressLineNumbers w:val="0"/>
              <w:spacing w:before="0" w:beforeAutospacing="0" w:after="0" w:afterAutospacing="0" w:line="320" w:lineRule="exact"/>
              <w:ind w:left="0" w:right="0"/>
              <w:rPr>
                <w:rFonts w:hint="eastAsia"/>
                <w:color w:val="auto"/>
                <w:sz w:val="21"/>
                <w:szCs w:val="21"/>
                <w:highlight w:val="none"/>
              </w:rPr>
            </w:pPr>
            <w:r>
              <w:rPr>
                <w:rFonts w:hint="eastAsia"/>
                <w:color w:val="auto"/>
                <w:sz w:val="21"/>
                <w:szCs w:val="21"/>
                <w:highlight w:val="none"/>
              </w:rPr>
              <w:t>▲3.PC端店铺装修：用户进行页面背景装修，可设置页面主题色、背景主题色、背景图片。店招模块中，用户可自行上传店招图片。店铺装修有多种装修模块可供选用（至少包括双排产品、橱窗产品、类目带产品、重点推荐、爆品专区、主营类目、类目模块、主营认证产品、图型化类目导购、样品专区、RTS现货品带区、新品专区和图片类目带品导购）、图文模块（至少包括行业化海报、全屏通栏横幅、横幅、热区切图和自定义内容）、视频模块（至少包括视频模块和视频带货）、营销模块（至少包括店铺优惠券和限时折扣）、公司模块（至少包括公司介绍、询盘直通车、公司名片和客服模块），用户可对装修店铺效果进行预览和发布。</w:t>
            </w:r>
          </w:p>
          <w:p w14:paraId="2AE040C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无线旺铺装修：至少有4种装修模块可供选用，包括产品模块（至少包括双排产品、橱窗产品、类目带产品、重点推荐、爆品专区、主营类目、智能产品推荐、图型化类目导购、样品专区、RTS现货品带区、新品专区和图片类目带品导购）、图文模块（至少包括横幅、无线热区切图和标题模块）、视频模块（至少包括视频模块、视频带货和视频导购）、营销模块（至少包括店铺优惠券、限时折扣和无线单列图片），用户可对装修店铺效果进行预览和发布。</w:t>
            </w:r>
          </w:p>
          <w:p w14:paraId="313F4F3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5.产品管理应包括发布产品、管理产品、产品运营工作台、产品分组和排序、回收站、管理图片银行、管理视频银行、编辑导航模板、批量投放管理、搜索诊断和产品诊断优化等模块。</w:t>
            </w:r>
          </w:p>
          <w:p w14:paraId="72693A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发布产品：系统支持搜索类目和从经常使用的类目中选取，平台应设美容与个人护理、消费电子、服饰等至少30个产品类型及其下属类目供产品发布时选择，支持类目信息的中英文切换，并可在发布时设置产品类型为“Ready to Ship”或“Customization”。支持产品信息质量检测功能，能够对产品的质量进行自动评分，并给出优化建议，同时产品发布功能还应该提供产品的保存、预览功能，并能够对发布的产品进行编辑。</w:t>
            </w:r>
          </w:p>
          <w:p w14:paraId="6171DD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（2）产品智能编辑：用户采取智能编辑产品详情时，系统支持设置PC端和移动端两种模式，支持添加导航配置、视频模块、营销模块、图文模块、图片模块、表格模块、文字模块。</w:t>
            </w:r>
          </w:p>
          <w:p w14:paraId="6D0776D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管理产品包括产品的业务员分配、分组的移动、上架和下架以及删除等功能；产品运营工作台包括新品、低分品、潜力品、实力优品和爆品的筛选，以及单个产品的行业特征、内容表达、效果转化、产品服务、额外加减分等指标的分析。</w:t>
            </w:r>
          </w:p>
          <w:p w14:paraId="0AE58DC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（4）产品分组与排序主要包括分组管理与排序、产品管理与排序两部分。支持添加一级分组和子分组，可对店铺产品进行分组管理，支持对分组进行重命名和排序操作。</w:t>
            </w:r>
          </w:p>
          <w:p w14:paraId="15CE5C5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管理图片银行提供图片银行分组管理和图片回收站等功能。用户使用图片银行时，系统应支持对已上传的图片进行搜索、筛选，并可实现调整图片所属分组、重命名、查看图片详情、删除等操作。被删除的图片会进入图片回收站，回收站中的图片可选择还原或彻底删除。</w:t>
            </w:r>
          </w:p>
          <w:p w14:paraId="07A7A3D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（6）管理视频银行提供视频素材的管理功能。支持上传视频素材进行管理，可对视频进行关联产品主图、关联产品详情、删除、修改等操作。</w:t>
            </w:r>
          </w:p>
          <w:p w14:paraId="6751917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（7）编辑导航模板提供产品详情描述智能编辑模板制作的功能。支持创建不同的模板分组，可对不同的模板进行编辑、复制和删除的操作。</w:t>
            </w:r>
          </w:p>
          <w:p w14:paraId="70BCAE8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（8）搜索诊断首页提供产品优化建议、待优化问题产品、零效果下架商品等功能。</w:t>
            </w:r>
          </w:p>
          <w:p w14:paraId="75CF5FD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6.媒体中心应包括视频发布、发布管理、视频投稿、视频素材、视频数据等模块。在视频发布模块可以进行True View视频和产品视频的发布，以及视频数据的概览；在发布管理模块可以进行True View视频的管理；在视频投稿模块可以选择视频活动进行投稿；在视频素材模块可以进行视频素材的管理和分组。</w:t>
            </w:r>
          </w:p>
          <w:p w14:paraId="3A17F69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商机沟通包括询盘、RFQ市场、RFQ商机、报价管理和商机订阅等模块。询盘中可以查看询盘信息，并可以在线回复沟通；RFQ市场有内置的RFQ报价信息，并可以提供在线报价以及报价模板管理功能；RFQ商机中支持查看匹配的RFQ，可选择查看最近一天、最近7天、7天以上等不同时间段的匹配商机；报价管理中展示已提交的报价信息记录可供查看；商机订阅可以按照类目和关键词进行商机的订阅及设置。</w:t>
            </w:r>
          </w:p>
          <w:p w14:paraId="5700B3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数据分析应包括数据概览、产品分析、零效果产品、视频分析、店铺分析、交易分析、履约分析、员工分析、流量来源、引流关键词、访客画像、访客详情、关键词指数、行业报告等功能模块。数据概览提供数据看板、经营数据、流量分析、产品分析、市场分析等数据模块；零效果产品模块支持查看店铺零效果产品，可记录商品无效时长、自动下线倒计时等信息，支持对零效果产品进行下架、删除等操作；视频分析、店铺分析、交易分析、履约分析、员工分析则提供对应的数据信息；流量来源分不同类型展示流量来源数据，并提供趋势相关分析；访客画像提供客户构成分析、进店关键词、本店访问产品等数据；关键词指数内置关键词类目搜索指数、搜索涨幅、点击率和买家规模指数；行业报告需内置电器、机械、运动娱乐、包装印刷等行业的报告。</w:t>
            </w:r>
          </w:p>
          <w:p w14:paraId="25D39F9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客户管理应包括客户概览、粉丝列表、客户列表、公海客户、客群管理、客户分析、回收站、营销活动、模板管理、EDM设置、自定义品类等功能。粉丝列表中显示店铺累计粉丝数，可查看粉丝姓名、关注时间、国家/地区等信息；客户列表中支持单个或批量添加线下客户，可查看我的客户名称、会员等级、客户阶段等信息；公海客户中可查看公司公海客户列表，包括客户名称、客户阶段、跟进状态等信息，支持将公海客户添加为我的客户；客群管理支持新建和管理固定客群与动态客群；客户分析支持查看相关客户数据；营销活动中支持进行EDM营销设置，包括活动名称、客户分群、活动时间、描述、投放渠道等，对客户进行EDM营销；模板管理中可对EDM营销邮件模板进行编辑和管理，支持新建邮件模板；进行EDM设置时，用户需填写完善自己的阿里云DM设置，包括DM发信地址、SMTP密码，填写回信邮箱设置，包括回信邮箱与回信人；自定义品类中可添加多个自定义标签，另外系统会推荐匹配的标签可供快捷添加。</w:t>
            </w:r>
          </w:p>
          <w:p w14:paraId="0A6C8F9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营销中心包括外贸直通车、顶级展位、橱窗、官方活动报名、已报名活动、折扣营销、优惠券、场景搭配等。其中外贸直通车包括搜索推广和推荐推广，搜索推广包括常规营销（包括定向推广、快速引流和关键词推广）、货品营销（包括新品成长、测品测款、爆品助推、优品抢位）、买家引流（包括趋势明星、新卖家引流和优选人群引流），推荐推广包括推广概览和搜索人群再营销等功能；顶级展位中支持查询关键词、查看我的竞价、已购买关键词、我的收藏等；橱窗中支持查看历史橱窗数据，可查看服务中的橱窗展示的商品以及数据信息，支持添加橱窗产品并进行管理；官方活动报名需内置频道导购、报名直播活动（需内置美妆个护专场和家居园艺专场）和行业活动（需内置产业带新品折扣活动和国际站线上展会活动）；已报名活动可查看已经报名的活动名称、活动时间、状态和报名时间，支持查看报名活动的商品信息；折扣营销支持新建折扣活动；优惠券中支持创建优惠券，可选择优惠券使用场景，支持设置满减券与满折券；场景搭配中需设置场景搭配主题、场景搭配图片、搭配产品等内容。</w:t>
            </w:r>
          </w:p>
          <w:p w14:paraId="10C596C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11.交易管理应包括起草信用保障订单、所有订单、起草e收汇订单、运费模板、退款管理、订单回收站等功能模块。</w:t>
            </w:r>
          </w:p>
          <w:p w14:paraId="5F2E1BF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出口服务应包括立即下单、出口服务订单、出口工作台、品牌管理、产品管理、开票人管理、服务售卖订单、快速出口订单、盖章服务、报关单证制作、报关单证管理、财务服务、退税款查询等功能模块。支持开通一达通代理服务。</w:t>
            </w:r>
          </w:p>
          <w:p w14:paraId="579FB85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13.物流服务应包括查询报价并下单等功能模块。在查询报价并下单模块中，可查询物流方案，包括海运整柜、快递&amp;多式联运等。</w:t>
            </w:r>
          </w:p>
          <w:p w14:paraId="431A828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14.资金管理应包括资金总览、结汇等功能模块。资金总览中支持查看资金账号详情；结汇中支持发起变更结汇方式。</w:t>
            </w:r>
          </w:p>
          <w:p w14:paraId="544DCFA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15.账户中心包括管理个人信息、头像上传、商业信息、添加和管理子账号。在添加子账号时，支持设置子账号类型为制作员、业务员和业务经理，管理子账号中支持删除、冻结、解冻子账号，可对子账号设置折扣营销、优惠券活动管理员、数据管家权限、商店中的所有产品均可用等权限。</w:t>
            </w:r>
          </w:p>
          <w:p w14:paraId="49E96780">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四、实训系统功能模块（二）</w:t>
            </w:r>
          </w:p>
          <w:p w14:paraId="0851F85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1.产品模块：包括查看所有产品、添加产品、CSV编辑产品、产品CSV文件状态等功能模块。</w:t>
            </w:r>
          </w:p>
          <w:p w14:paraId="056D7CA5">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查看所有产品：查看产品信息时，支持通过产品状态、SKU变量状态等条件对产品进行筛选。用户可以查看已上传产品的缩略图、产品ID、产品名称、父SKU、收藏量、销量、ProductBoost、退货计划、SKU、价格、主仓库库存、国家/地区运费和最近更新时间等信息。并能够支持对单个产品信息进行编辑产品、禁用并删除产品、启用所有SKU和禁用所有SKU等操作。</w:t>
            </w:r>
          </w:p>
          <w:p w14:paraId="3800187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（2）添加产品：添加新产品时，用户应完善产品的产品图片、产品详情、单价、海关和物流、变体、价格、库存、运费、自定义目的国/地区的运费、合规等信息的填写。</w:t>
            </w:r>
          </w:p>
          <w:p w14:paraId="2F29817C">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（3）CSV编辑产品：使用CSV文件批量添加/编辑产品需要先选择操作的类型并下载相对应的文件模板，将准备好的产品信息填写至文件内保存，再上传至平台中。上传成功的文件可通过产品CSV文件状态进行查看。</w:t>
            </w:r>
          </w:p>
          <w:p w14:paraId="3F8F3C5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订单管理：订单管理包括未履行订单和历史订单等功能模块。查看未履行的订单信息时，可通过订单ID和交易ID等信息搜索订单。用户可查看订单日期、订单ID、履行天数、总成本、仓库名称（仓库编号）、配送地址等信息。并可对订单进行查看详细信息和履行订单进行编辑配送地址等操作。系统支持通过生产订单产生模拟订单。</w:t>
            </w:r>
          </w:p>
          <w:p w14:paraId="2FD1B28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用户问题：用户问题管理包括待处理和待用户回复等功能模块。待处理用户问题模块中，支持通过赔款筛选条件对用户问题类型结果进行筛选，可通过用户问题或订单ID查询搜索指定的用户问题。卖家对用户问题详情进行查看、处理时，可查看创建日期、用户问题ID、开启时间、最近更新时间、状态、交易ID、购买日期等详情信息，以及显示受影响的产品信息和用户问题详情信息等。卖家可回复用户问题，系统应预设有缺货、无法发货、预计到达时间-无物流信息、订单已妥投、延迟配送致歉、物流跟踪信息、等待产品等场景的信息模板。</w:t>
            </w:r>
          </w:p>
          <w:p w14:paraId="14E4FEC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4.账户管理：在账户设置中，卖家可查看商户ID、客户经理、用户名、邮箱、商户费用级别等基本信息。在账户API设置中，用户可自定义设置应用名称，并可通过重定向URL完成与外部ERP工具进行对接。</w:t>
            </w:r>
          </w:p>
          <w:p w14:paraId="743D62D1">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五、实训系统功能模块（三）</w:t>
            </w:r>
          </w:p>
          <w:p w14:paraId="6029169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实验简介：简介应包括实验目的、实验准备、实验内容描述。以多维度的数据分析展示，实现跨境电商数据多维度分析、可视化呈现。包括国家分析、行业分析、选品分析等多种不同主题的数据分析功能，分析图表可下载导出。各主题的分析模块均应包括实验简介、实验流程、实验报告、交流中心等四个功能模块。</w:t>
            </w:r>
          </w:p>
          <w:p w14:paraId="0A46F33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实验流程：平台包括3个分析主题的共12个实验模块，依次为国家分析主题，提供国家市场分析、商品数量分析、店铺与商品分析、物流分析模块；行业分析主题，提供行业趋势、价格带分析、店铺及商品分析、物流分析模块；选品分析主题，提供行业规模及趋势、行业竞争分析、热销店铺分析、热销商品分析模块。各分析环节包括图表形成及分析结论的填写，并可将图表下载导出，且各分析环节均配有答题基础测试。</w:t>
            </w:r>
          </w:p>
          <w:p w14:paraId="4E396CA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3.根据学生实训情况自动进行评分，并生成实验报告。实验报告应包含各分析环节对应的分析操作分值及基础测试分值。实验报告应包含各分析环节对应的分析操作分值及基础测试分值。国家分析实验报告应包括国家市场分析、商品数量分析、店铺与商品分析、物流分析得分，以及国家市场分析基础测试、商品数量分析基础测试、店铺与商品分析基础测试、物流分析基础测试得分。行业分析实验报告应包括行业趋势、价格带分析、店铺及商品分析、物流分析得分，以及行业趋势基础测试、价格带分析基础测试、店铺及商品分析基础测试、物流分析基础测试得分。选品分析实验报告应包括行业规模及趋势、行业竞争分析、热销店铺分析、热销商品分析得分，以及行业规模及趋势基础测试、行业竞争分析基础测试、热销店铺分析基础测试、热销商品分析基础测试得分等。</w:t>
            </w:r>
          </w:p>
          <w:p w14:paraId="7DD624A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国家分析主题提供国家市场分析、商品数量分析、店铺与商品分析、物流分析等分析模块。每步分析操作完成后，需填写分析结论。各分析步骤完成后，提供关于本模块相关知识的测试，测试计入实验报告分值，完成试题后继续下一环节的内容。</w:t>
            </w:r>
          </w:p>
          <w:p w14:paraId="06E11AD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（1）国家市场分析</w:t>
            </w:r>
          </w:p>
          <w:p w14:paraId="33D6223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国家市场分析模块包括国家订单量分析、类目成交额分析，提供分析图表及表格。国家订单量分析环节提供订单量分布、订单量环比增幅分析；类目成交额分析环节提供一级类目成交额环比增幅、一级类目成交额分布分析，支持一键导出图表及分析内容。</w:t>
            </w:r>
          </w:p>
          <w:p w14:paraId="56475E7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（2）商品数量分析</w:t>
            </w:r>
          </w:p>
          <w:p w14:paraId="28F2FA5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商品数量分析模块包括订单数量区间分析、价格区间商品数量分析、价格区间订单量分析，提供分析图表及表格。订单数量区间分析环节提供订单数量区间商品数量占比、订单数量区间商品数量分布分析；价格区间商品数量分析环节主要呈现各价格区间内的商品数量分布情况；价格区间订单量分析主要呈现各价格区间内的商品订单量分布结果，支持一键导出图表及分析内容。</w:t>
            </w:r>
          </w:p>
          <w:p w14:paraId="40BD357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（3）店铺与商品分析</w:t>
            </w:r>
          </w:p>
          <w:p w14:paraId="5F5EF2D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店铺与商品分析模块包括Top10热卖店铺分析、热卖Top1店铺分析、Top10热卖商品分析。Top10热卖店铺分析主要呈现所分析月份的订单数量排名前十的店铺及其对应的成交额数量；热卖Top1店铺分析主要呈现订单数量Top1店铺内商品各价格区间对应的销售额、商品数量分布情况；Top10热卖商品分析主要呈现销量排名前十的商品情况，支持一键导出图表及分析内容。</w:t>
            </w:r>
          </w:p>
          <w:p w14:paraId="2DF1CCD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（4）物流分析</w:t>
            </w:r>
          </w:p>
          <w:p w14:paraId="78F80C4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物流分析模块包括物流渠道占比、TOP5物流渠道分析，主要是对所选国家各物流渠道占比及Top5物流渠道各月份订单量变化趋势的分析，支持一键导出图表及分析内容。</w:t>
            </w:r>
          </w:p>
          <w:p w14:paraId="5210951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行业分析主题提供行业趋势、价格带分析、店铺及商品分析、物流分析等分析模块。每步分析操作完成后，需填写分析结论。各分析步骤完成后，提供关于本模块相关知识的测试，测试计入实验报告分值，完成试题后继续下一环节的内容。</w:t>
            </w:r>
          </w:p>
          <w:p w14:paraId="34A752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（1）行业趋势</w:t>
            </w:r>
          </w:p>
          <w:p w14:paraId="6193A4A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行业趋势分析模块提供不少于50个可选二级类目，包括趋势分析、国家市场分析、行业订单发货地分析等。趋势分析部分可得到销量或销售额的趋势及环比增幅；国家市场分析呈现Top20国家消费者数量分布图；行业订单发货地呈现卖家发货地情况，支持一键导出图表及分析内容。</w:t>
            </w:r>
          </w:p>
          <w:p w14:paraId="6992C47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（2）价格带分析</w:t>
            </w:r>
          </w:p>
          <w:p w14:paraId="2A0616A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价格带分析模块包括行业客单价趋势分析、价格带商品数量分析、行业商品订单数量分析。客单价趋势分析部分可得到该时段内的客单价趋势与环比增幅；价格带商品数量分析呈现商品不同的价格带及各价格带对应的商品数量趋势与占比；行业商品订单数量分析呈现商品订单数量区间分布，以及各区间所对应的该区间内商品的总数量，支持一键导出图表及分析内容。</w:t>
            </w:r>
          </w:p>
          <w:p w14:paraId="5AA36E8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（3）店铺及商品分析</w:t>
            </w:r>
          </w:p>
          <w:p w14:paraId="13A2444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店铺及商品分析模块包括Top10热卖店铺分析、Top10商品分析。Top10热卖店铺分析主要呈现所分析月份的订单数量排名前十的店铺信息，以及各店铺对应的销售金额与增幅；Top10商品分析主要呈现销量排名前十的商品情况。完成以上各分析步骤及答题测试后方可结束该模块的分析，支持一键导出图表及分析内容。</w:t>
            </w:r>
          </w:p>
          <w:p w14:paraId="3E973E6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（4）物流分析</w:t>
            </w:r>
          </w:p>
          <w:p w14:paraId="02F5A47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物流分析模块包括物流渠道分析、物流订单数量分析、物流数据分析。物流渠道分析呈现行业销量Top10的各国家Top3物流渠道情况；物流订单数量分析呈现Top3国家各月份物流订单量趋势；物流数据主要对使用某物流的Top3国家及类目进行分析，支持一键导出图表及分析内容。</w:t>
            </w:r>
          </w:p>
          <w:p w14:paraId="4295642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选品分析主题提供行业规模及趋势、行业竞争分析、热销店铺分析、热销商品分析等分析模块。每步分析操作完成后，需填写分析结论。各分析步骤完成后，提供关于本模块相关知识的测试，测试计入实验报告分值，完成试题后继续下一环节的内容。</w:t>
            </w:r>
          </w:p>
          <w:p w14:paraId="69E6FCB7">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（1）行业规模及趋势</w:t>
            </w:r>
          </w:p>
          <w:p w14:paraId="623BE99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行业规模及趋势分析模块包括规模及趋势分析、行业趋势分析、行业订单发货地分析等。规模与趋势分析部分可分析所选行业的规模、趋势及占比；行业趋势分析呈现所选行业交易金额趋势，支持一键导出图表及分析内容。</w:t>
            </w:r>
          </w:p>
          <w:p w14:paraId="38D1206F">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（2）行业竞争分析</w:t>
            </w:r>
          </w:p>
          <w:p w14:paraId="67AF215D">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行业竞争分析模块支持对所选一级类目下几个热门二级类目的Top100店铺集中度进行分析，支持一键导出图表及分析内容。</w:t>
            </w:r>
          </w:p>
          <w:p w14:paraId="7B2E1AF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（3）热销店铺分析</w:t>
            </w:r>
          </w:p>
          <w:p w14:paraId="02954208">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热销店铺分析模块呈现所选行业某月份的热卖店铺情况，包括店铺名称、店铺销售金额、所选国家销售额金额等字段，支持一键导出图表及分析内容。</w:t>
            </w:r>
          </w:p>
          <w:p w14:paraId="0E5AA474">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（4）热销商品分析</w:t>
            </w:r>
          </w:p>
          <w:p w14:paraId="4177096B">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热销商品分析模块包括Top100热卖产品价格带分析、热销商品物流返货渠道分析等。Top100热销商品价格带分析呈现热销排名前100的商品价格带分布，以及各价格带对应的商品销量；热销商品物流发货渠道分析呈现所选国家及行业中常用的物流发货渠道，支持一键导出图表及分析内容。</w:t>
            </w:r>
          </w:p>
          <w:p w14:paraId="6C94EA6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六、学习平台功能模块</w:t>
            </w:r>
          </w:p>
          <w:p w14:paraId="3B5E6B1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教学与题库管理，展示的数据包括学生数量、考试数量、练习数量等；通过折线图以可视化的形式直观展现学习活跃情况；最新资料模块展示平台最新上传的10套资料，显示资料名称与上传日期信息；最新考试和练习模块展示平台最新的10场考试，显示考试名称与考试日期。</w:t>
            </w:r>
          </w:p>
          <w:p w14:paraId="3771F5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试卷管理。教师可对试卷进行复制组卷、取消组卷、试卷信息编辑或删除等操作；添加试卷时，教师需设置试卷名称、题目类型（固定题目/随机题目，其中固定题目支持手动或自动选题）、题型分数等信息并添加出题策略（包含题库、题型名称、试题困难度）；试卷可由题库随机取题生成试卷，可以自定义出卷策略：按题型、知识点、难度自定义出题数量，由系统自动生成试卷，不满意还可以进行自动换题或手工换题。题目支持随机和固定两种模式。</w:t>
            </w:r>
          </w:p>
          <w:p w14:paraId="423C35E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考试管理。添加考试时，教师可选择全班或班内部分学生参加考试，可自行设置是否启用交卷后“显示得分”或“查看答卷”的功能。考试支持设置考试时间，考试时长以及随到随考模式；支持考试过程中显示离开试卷提示的功能。</w:t>
            </w:r>
          </w:p>
          <w:p w14:paraId="405B330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考试成绩。教师可进行查看考试完成详情，客观题目支持系统自动评分，主观实训题目支持教师后台手动评分，教师可以在评分页面直接点击后自动登录该考生的实训平台，并可查看到该考生的实训平台实操情况。</w:t>
            </w:r>
          </w:p>
          <w:p w14:paraId="71E5187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5、练习管理。添加练习时，教师可以设置练习名称、选择试卷、选择班级。教师可选择自定义班级的学生参加练习，并可以设置最大练习次数。</w:t>
            </w:r>
          </w:p>
          <w:p w14:paraId="307B387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试题管理。教师可以设置题目类型（至少支持6种基本类型：单选题、多选题、判断题、填空题、简答题、实训任务），选择题目难易程度（简单、普通和困难）、支持上传试题附件、支持答题区域按钮的自动配置（添加文本、添加图片和本地附件等）、实训题目支持配置实训平台链接、支持试题解析的录入。</w:t>
            </w:r>
          </w:p>
          <w:p w14:paraId="7EFCD72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提供至少200道阿里巴巴国际站实操试题以及每个实操试题对应的讲解视频，和2000道阿里巴巴国际站理论试题，并支持教师自由添加题目，添加方式可以是单个添加或通过Excel表格模板批量导入。可查看试题分布详情，包括题型分布与难度分布。</w:t>
            </w:r>
          </w:p>
          <w:p w14:paraId="58480FA1">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七、后台管理系统模块</w:t>
            </w:r>
          </w:p>
          <w:p w14:paraId="1479E54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后台管理系统应包括首页、RFQ管理、客户管理、店铺管理、证书管理、订单管理、商品管理、基础管理、系统管理等部分。后台管理系统首页提供总店铺数量、总商品数量、七日店铺注册统计等功能。店铺列表支持查看系统中的店铺信息。客户管理支持内置客户的新增、编辑和删除操作；公海客户可手工新增，也可以根据填写的客户数量随机生成。</w:t>
            </w:r>
          </w:p>
          <w:p w14:paraId="4AB5064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证书管理提供证书类型和具体类型下证书列表的管理功能。订单管理提供订单列表、海路订单、空快订单和快递的管理功能。商品管理提供商品列表、商品评价、商品分类、属性管理、规格管理功能。基础管理提供首页轮播图和国家地区管理功能。系统管理提供系统登录日志和操作日志、用户管理、角色管理和菜单管理功能。</w:t>
            </w:r>
          </w:p>
          <w:p w14:paraId="46F9C1BB">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八、其他要求</w:t>
            </w:r>
          </w:p>
          <w:p w14:paraId="1C9AFC34">
            <w:pPr>
              <w:keepNext w:val="0"/>
              <w:keepLines w:val="0"/>
              <w:suppressLineNumbers w:val="0"/>
              <w:spacing w:before="0" w:beforeAutospacing="0" w:after="0" w:afterAutospacing="0" w:line="320" w:lineRule="exact"/>
              <w:ind w:left="0" w:right="0" w:firstLine="420" w:firstLineChars="200"/>
              <w:rPr>
                <w:rFonts w:hint="eastAsia"/>
                <w:color w:val="auto"/>
                <w:sz w:val="21"/>
                <w:szCs w:val="21"/>
                <w:highlight w:val="none"/>
              </w:rPr>
            </w:pPr>
            <w:r>
              <w:rPr>
                <w:rFonts w:hint="eastAsia"/>
                <w:color w:val="auto"/>
                <w:sz w:val="21"/>
                <w:szCs w:val="21"/>
                <w:highlight w:val="none"/>
              </w:rPr>
              <w:t>厂商应具有教学资源研发能力，具有正式出版的跨境电商数据化运营教材不少于两本（教材应具备正式ISBN号，主编应包含厂商正式在职职工），教材具有案例、教案、课件、实训报告、实训手册、试卷、实训指导视频等教材配套资源。</w:t>
            </w:r>
          </w:p>
          <w:p w14:paraId="70A0032E">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ascii="宋体" w:hAnsi="宋体" w:cs="等线"/>
                <w:b/>
                <w:bCs/>
                <w:color w:val="auto"/>
                <w:sz w:val="21"/>
                <w:szCs w:val="21"/>
                <w:highlight w:val="none"/>
              </w:rPr>
              <w:t>▲</w:t>
            </w:r>
            <w:r>
              <w:rPr>
                <w:rFonts w:hint="eastAsia"/>
                <w:b/>
                <w:bCs/>
                <w:color w:val="auto"/>
                <w:sz w:val="21"/>
                <w:szCs w:val="21"/>
                <w:highlight w:val="none"/>
              </w:rPr>
              <w:t>九、软件部署与质量保障</w:t>
            </w:r>
          </w:p>
          <w:p w14:paraId="3A698331">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lang w:val="en-US" w:eastAsia="zh-CN"/>
              </w:rPr>
            </w:pPr>
            <w:r>
              <w:rPr>
                <w:rFonts w:hint="eastAsia"/>
                <w:color w:val="auto"/>
                <w:sz w:val="21"/>
                <w:szCs w:val="21"/>
                <w:highlight w:val="none"/>
              </w:rPr>
              <w:t>1.永久使用，</w:t>
            </w:r>
            <w:r>
              <w:rPr>
                <w:rFonts w:hint="eastAsia"/>
                <w:color w:val="auto"/>
                <w:sz w:val="21"/>
                <w:szCs w:val="21"/>
                <w:highlight w:val="none"/>
                <w:lang w:val="en-US" w:eastAsia="zh-CN"/>
              </w:rPr>
              <w:t>具有</w:t>
            </w:r>
            <w:r>
              <w:rPr>
                <w:rFonts w:hint="eastAsia"/>
                <w:color w:val="auto"/>
                <w:sz w:val="21"/>
                <w:szCs w:val="21"/>
                <w:highlight w:val="none"/>
              </w:rPr>
              <w:t>本地部署</w:t>
            </w:r>
            <w:r>
              <w:rPr>
                <w:rFonts w:hint="eastAsia"/>
                <w:color w:val="auto"/>
                <w:sz w:val="21"/>
                <w:szCs w:val="21"/>
                <w:highlight w:val="none"/>
                <w:lang w:val="en-US" w:eastAsia="zh-CN"/>
              </w:rPr>
              <w:t>和</w:t>
            </w:r>
            <w:r>
              <w:rPr>
                <w:rFonts w:hint="eastAsia"/>
                <w:color w:val="auto"/>
                <w:sz w:val="21"/>
                <w:szCs w:val="21"/>
                <w:highlight w:val="none"/>
              </w:rPr>
              <w:t>云平台双模式</w:t>
            </w:r>
            <w:r>
              <w:rPr>
                <w:rFonts w:hint="eastAsia"/>
                <w:color w:val="auto"/>
                <w:sz w:val="21"/>
                <w:szCs w:val="21"/>
                <w:highlight w:val="none"/>
                <w:lang w:val="en-US" w:eastAsia="zh-CN"/>
              </w:rPr>
              <w:t>；</w:t>
            </w:r>
          </w:p>
          <w:p w14:paraId="0B01A127">
            <w:pPr>
              <w:keepNext w:val="0"/>
              <w:keepLines w:val="0"/>
              <w:numPr>
                <w:ilvl w:val="0"/>
                <w:numId w:val="0"/>
              </w:numPr>
              <w:suppressLineNumbers w:val="0"/>
              <w:spacing w:before="0" w:beforeAutospacing="0" w:after="0" w:afterAutospacing="0" w:line="320" w:lineRule="exact"/>
              <w:ind w:left="0" w:right="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rPr>
              <w:t>.</w:t>
            </w:r>
            <w:r>
              <w:rPr>
                <w:rFonts w:hint="eastAsia" w:ascii="宋体" w:hAnsi="宋体" w:cs="宋体"/>
                <w:color w:val="auto"/>
                <w:sz w:val="21"/>
                <w:szCs w:val="21"/>
                <w:highlight w:val="none"/>
                <w:lang w:val="en-US" w:eastAsia="zh-CN"/>
              </w:rPr>
              <w:t>安装、调试、适配服务：</w:t>
            </w:r>
          </w:p>
          <w:p w14:paraId="32BE073F">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5630E38D">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lang w:eastAsia="zh-CN"/>
              </w:rPr>
            </w:pPr>
            <w:r>
              <w:rPr>
                <w:rFonts w:hint="eastAsia"/>
                <w:color w:val="auto"/>
                <w:sz w:val="21"/>
                <w:szCs w:val="21"/>
                <w:highlight w:val="none"/>
                <w:lang w:val="en-US" w:eastAsia="zh-CN"/>
              </w:rPr>
              <w:t>3.升级服务：五</w:t>
            </w:r>
            <w:r>
              <w:rPr>
                <w:rFonts w:hint="default"/>
                <w:color w:val="auto"/>
                <w:sz w:val="21"/>
                <w:szCs w:val="21"/>
                <w:highlight w:val="none"/>
              </w:rPr>
              <w:t>年后如需升级，则按不超过中标金额的3%收取费用。</w:t>
            </w:r>
          </w:p>
          <w:p w14:paraId="612F57A9">
            <w:pPr>
              <w:keepNext w:val="0"/>
              <w:keepLines w:val="0"/>
              <w:suppressLineNumbers w:val="0"/>
              <w:spacing w:before="0" w:beforeAutospacing="0" w:after="0" w:afterAutospacing="0" w:line="320" w:lineRule="exact"/>
              <w:ind w:left="0" w:right="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.线下每半年指派技术人员上门提升软件维护及更新服务，线上客服及技术团队提供售后服务，7*24小时响应。</w:t>
            </w:r>
          </w:p>
          <w:p w14:paraId="650D99D0">
            <w:pPr>
              <w:pStyle w:val="2"/>
              <w:keepNext w:val="0"/>
              <w:keepLines w:val="0"/>
              <w:suppressLineNumbers w:val="0"/>
              <w:spacing w:before="0" w:beforeAutospacing="0" w:afterAutospacing="0"/>
              <w:ind w:left="0" w:right="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5.使用用户数：不限制。</w:t>
            </w:r>
          </w:p>
          <w:p w14:paraId="59D7DB6A">
            <w:pPr>
              <w:keepNext w:val="0"/>
              <w:keepLines w:val="0"/>
              <w:suppressLineNumbers w:val="0"/>
              <w:spacing w:before="0" w:beforeAutospacing="0" w:after="0" w:afterAutospacing="0" w:line="320" w:lineRule="exact"/>
              <w:ind w:left="0" w:right="0"/>
              <w:rPr>
                <w:rFonts w:hint="default"/>
                <w:color w:val="auto"/>
                <w:sz w:val="21"/>
                <w:szCs w:val="21"/>
                <w:highlight w:val="none"/>
              </w:rPr>
            </w:pPr>
          </w:p>
        </w:tc>
      </w:tr>
    </w:tbl>
    <w:p w14:paraId="28AE50EA">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0F07D8D">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7C485CCB">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30EE208">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1D4D2D8E">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01EF8E26">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6C94F99F">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141CEC72">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066EF1E2">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4842D83F">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5EF5E4CD">
      <w:pPr>
        <w:spacing w:line="360" w:lineRule="auto"/>
        <w:rPr>
          <w:color w:val="auto"/>
          <w:szCs w:val="21"/>
          <w:highlight w:val="none"/>
        </w:rPr>
      </w:pPr>
      <w:r>
        <w:rPr>
          <w:rFonts w:hint="eastAsia" w:cs="宋体"/>
          <w:color w:val="auto"/>
          <w:szCs w:val="21"/>
          <w:highlight w:val="none"/>
          <w:lang w:bidi="ar"/>
        </w:rPr>
        <w:t>广西南宁市内采购人指定地点。</w:t>
      </w:r>
    </w:p>
    <w:p w14:paraId="1D11EB93">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2C4005E6">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65A96AD9">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0F91454F">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1B1A63F1">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4BAC150D">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4F7FD950">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3128EDDA">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2378B1B9">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2852183C">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53CAF49C">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59E67280">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44B7DF17">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76757E37">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1FCAD92F">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736572F3">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4087F3C3">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7493AAFC">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4C74DEBB">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14208564">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590F8ED0">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35232819">
      <w:pPr>
        <w:spacing w:line="360" w:lineRule="auto"/>
        <w:rPr>
          <w:color w:val="auto"/>
          <w:szCs w:val="21"/>
          <w:highlight w:val="none"/>
        </w:rPr>
      </w:pPr>
      <w:r>
        <w:rPr>
          <w:rFonts w:hint="eastAsia"/>
          <w:color w:val="auto"/>
          <w:szCs w:val="21"/>
          <w:highlight w:val="none"/>
        </w:rPr>
        <w:t>11.1响应时间：在5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r>
        <w:rPr>
          <w:rFonts w:hint="eastAsia"/>
          <w:color w:val="auto"/>
          <w:szCs w:val="21"/>
          <w:highlight w:val="none"/>
          <w:lang w:eastAsia="zh-CN"/>
        </w:rPr>
        <w:t>。</w:t>
      </w:r>
    </w:p>
    <w:p w14:paraId="1D4C8D9B">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18D923EF">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016C1FC8">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15EE27D6">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3A54F48B">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2DEBD4FC">
      <w:pPr>
        <w:rPr>
          <w:color w:val="auto"/>
          <w:highlight w:val="none"/>
        </w:rPr>
      </w:pPr>
      <w:r>
        <w:rPr>
          <w:color w:val="auto"/>
          <w:highlight w:val="none"/>
        </w:rPr>
        <w:br w:type="page"/>
      </w:r>
    </w:p>
    <w:p w14:paraId="625B73DD">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9分标：金融科技实验实训软件采购</w:t>
      </w:r>
    </w:p>
    <w:p w14:paraId="5E4BED2F">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7FA14BA">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18CA975">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47BDD2A7">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3D4D9C8">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064D5D4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5CE95E39">
      <w:pPr>
        <w:spacing w:line="360" w:lineRule="auto"/>
        <w:rPr>
          <w:color w:val="auto"/>
          <w:szCs w:val="21"/>
          <w:highlight w:val="none"/>
        </w:rPr>
      </w:pPr>
      <w:r>
        <w:rPr>
          <w:rFonts w:hint="eastAsia"/>
          <w:color w:val="auto"/>
          <w:szCs w:val="21"/>
          <w:highlight w:val="none"/>
        </w:rPr>
        <w:t>1.需实现的功能、目标及应用场景</w:t>
      </w:r>
    </w:p>
    <w:p w14:paraId="170C2500">
      <w:pPr>
        <w:spacing w:line="360" w:lineRule="auto"/>
        <w:rPr>
          <w:color w:val="auto"/>
          <w:szCs w:val="21"/>
          <w:highlight w:val="none"/>
        </w:rPr>
      </w:pPr>
      <w:r>
        <w:rPr>
          <w:rFonts w:hint="eastAsia"/>
          <w:color w:val="auto"/>
          <w:szCs w:val="21"/>
          <w:highlight w:val="none"/>
        </w:rPr>
        <w:t>满足招标文件要求，验收达到合格标准。</w:t>
      </w:r>
    </w:p>
    <w:p w14:paraId="39AD6938">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749AD65F">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32A5E618">
      <w:pPr>
        <w:spacing w:line="360" w:lineRule="auto"/>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一般说明</w:t>
      </w:r>
    </w:p>
    <w:p w14:paraId="53B05D72">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77876B12">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437AF94E">
      <w:pPr>
        <w:spacing w:line="360" w:lineRule="auto"/>
        <w:rPr>
          <w:color w:val="auto"/>
          <w:szCs w:val="21"/>
          <w:highlight w:val="none"/>
        </w:rPr>
      </w:pPr>
      <w:r>
        <w:rPr>
          <w:rFonts w:hint="eastAsia"/>
          <w:color w:val="auto"/>
          <w:szCs w:val="21"/>
          <w:highlight w:val="none"/>
        </w:rPr>
        <w:t>4.核心产品：</w:t>
      </w:r>
    </w:p>
    <w:p w14:paraId="7C58793A">
      <w:pPr>
        <w:spacing w:line="360" w:lineRule="auto"/>
        <w:rPr>
          <w:color w:val="auto"/>
          <w:szCs w:val="21"/>
          <w:highlight w:val="none"/>
        </w:rPr>
      </w:pPr>
      <w:r>
        <w:rPr>
          <w:rFonts w:hint="eastAsia"/>
          <w:color w:val="auto"/>
          <w:szCs w:val="21"/>
          <w:highlight w:val="none"/>
        </w:rPr>
        <w:t>本项目核心产品为：</w:t>
      </w:r>
      <w:r>
        <w:rPr>
          <w:rFonts w:hint="eastAsia"/>
          <w:color w:val="auto"/>
          <w:szCs w:val="21"/>
          <w:highlight w:val="none"/>
          <w:u w:val="single"/>
        </w:rPr>
        <w:t>第1项：区块链创新应用实训平台</w:t>
      </w:r>
      <w:r>
        <w:rPr>
          <w:rFonts w:hint="eastAsia"/>
          <w:color w:val="auto"/>
          <w:szCs w:val="21"/>
          <w:highlight w:val="none"/>
        </w:rPr>
        <w:t>。</w:t>
      </w:r>
    </w:p>
    <w:p w14:paraId="747C4255">
      <w:pPr>
        <w:spacing w:line="360" w:lineRule="auto"/>
        <w:rPr>
          <w:color w:val="auto"/>
          <w:szCs w:val="21"/>
          <w:highlight w:val="none"/>
        </w:rPr>
      </w:pPr>
      <w:r>
        <w:rPr>
          <w:rFonts w:hint="eastAsia"/>
          <w:color w:val="auto"/>
          <w:szCs w:val="21"/>
          <w:highlight w:val="none"/>
        </w:rPr>
        <w:t>5.标的名称、数量、需满足的质量、技术规格或者服务内容和标准一览表：</w:t>
      </w:r>
    </w:p>
    <w:tbl>
      <w:tblPr>
        <w:tblStyle w:val="51"/>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687"/>
        <w:gridCol w:w="720"/>
        <w:gridCol w:w="1012"/>
        <w:gridCol w:w="6958"/>
      </w:tblGrid>
      <w:tr w14:paraId="33478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4" w:type="pct"/>
            <w:vAlign w:val="center"/>
          </w:tcPr>
          <w:p w14:paraId="1CAE0871">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49" w:type="pct"/>
            <w:vAlign w:val="center"/>
          </w:tcPr>
          <w:p w14:paraId="00603158">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66" w:type="pct"/>
            <w:vAlign w:val="center"/>
          </w:tcPr>
          <w:p w14:paraId="2B7FB76D">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514" w:type="pct"/>
            <w:vAlign w:val="center"/>
          </w:tcPr>
          <w:p w14:paraId="104EBD7C">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所属行业</w:t>
            </w:r>
          </w:p>
        </w:tc>
        <w:tc>
          <w:tcPr>
            <w:tcW w:w="3535" w:type="pct"/>
            <w:tcBorders>
              <w:left w:val="single" w:color="auto" w:sz="4" w:space="0"/>
              <w:right w:val="single" w:color="auto" w:sz="4" w:space="0"/>
            </w:tcBorders>
            <w:vAlign w:val="center"/>
          </w:tcPr>
          <w:p w14:paraId="764DE6AC">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64D2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7" w:hRule="atLeast"/>
        </w:trPr>
        <w:tc>
          <w:tcPr>
            <w:tcW w:w="234" w:type="pct"/>
            <w:vAlign w:val="center"/>
          </w:tcPr>
          <w:p w14:paraId="4E417963">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349" w:type="pct"/>
            <w:vAlign w:val="center"/>
          </w:tcPr>
          <w:p w14:paraId="11B0BCC4">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区块链创新应用实训平台</w:t>
            </w:r>
          </w:p>
        </w:tc>
        <w:tc>
          <w:tcPr>
            <w:tcW w:w="366" w:type="pct"/>
            <w:shd w:val="clear" w:color="auto" w:fill="auto"/>
            <w:vAlign w:val="center"/>
          </w:tcPr>
          <w:p w14:paraId="2805E983">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514" w:type="pct"/>
            <w:vAlign w:val="center"/>
          </w:tcPr>
          <w:p w14:paraId="3C4803B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5" w:type="pct"/>
            <w:tcBorders>
              <w:left w:val="single" w:color="auto" w:sz="4" w:space="0"/>
              <w:right w:val="single" w:color="auto" w:sz="4" w:space="0"/>
            </w:tcBorders>
            <w:vAlign w:val="center"/>
          </w:tcPr>
          <w:p w14:paraId="32273DCB">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一、平台架构功能参数要求</w:t>
            </w:r>
          </w:p>
          <w:p w14:paraId="25C3F6C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 xml:space="preserve">   采用B/S架构，通过浏览器登录访问，不需安装客户端，不限地理位置，教师可随时随地在线备课、发布练习考核；学生也可在课后随时随地上线进行课后复习与练习。</w:t>
            </w:r>
          </w:p>
          <w:p w14:paraId="1F796F4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1.动态追踪：教师可查看最近打开的实训应用，并能知悉教学进度，可获知任教班级的学生练习与考核的成绩动态，可获知在实训操作活跃度统计中的排行前5名的班级。</w:t>
            </w:r>
          </w:p>
          <w:p w14:paraId="4AB8941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2.即时通讯：教师与学生之间，可以通过平台进行即时通讯，进行互动交流，解答疑问；教师可以查看学生针对单一课程的留言并进行回复。</w:t>
            </w:r>
          </w:p>
          <w:p w14:paraId="3C6A390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▲3.流程化教学：教师可以按照实训应用课程中安排好的课堂环节进行课堂教学，教师可比对着教学项目做好教学要点笔记。</w:t>
            </w:r>
          </w:p>
          <w:p w14:paraId="7A6343E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4.资源多元化：教师和学生可以上传、观看自己收藏的实训课相关资源，资源可以支持word、pdf、Flash、视频、图片等多种格式，每一个实训项目具有与其配对的实训课程资源PPT、演示视频等。</w:t>
            </w:r>
          </w:p>
          <w:p w14:paraId="22BF0AE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5.考核管理：教师可以自定义实训考核，自行设置考核内容，考核时间，并且发布至特定班级进行实训考核；考核可以选择定时发布，也可以选择手动控制启动考核。</w:t>
            </w:r>
          </w:p>
          <w:p w14:paraId="3816298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6.考勤管理：教师可以对针对任教课程和班级发布考勤，查看当前签到情况，统计班级的历史考勤情况，并可导出成Excel文档。</w:t>
            </w:r>
          </w:p>
          <w:p w14:paraId="1025EA8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7.课堂问答：教师可用系统随机抽取学生用户，进行课堂问答(注：该功能需要学生先签到)。</w:t>
            </w:r>
          </w:p>
          <w:p w14:paraId="48193B2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8.成绩统计：可统计考核班级的最高分、最低分以及平均分，并支持图表展示班级成绩的分布情况及提供错题统计情况。</w:t>
            </w:r>
          </w:p>
          <w:p w14:paraId="4849BD1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9.练习情况统计：老师随时了解学生课后练习情况，从个人维度的练习次数、成绩</w:t>
            </w:r>
            <w:r>
              <w:rPr>
                <w:rFonts w:hint="eastAsia"/>
                <w:color w:val="auto"/>
                <w:sz w:val="21"/>
                <w:szCs w:val="21"/>
                <w:highlight w:val="none"/>
                <w:lang w:eastAsia="zh-CN"/>
              </w:rPr>
              <w:t>、</w:t>
            </w:r>
            <w:r>
              <w:rPr>
                <w:rFonts w:hint="eastAsia"/>
                <w:color w:val="auto"/>
                <w:sz w:val="21"/>
                <w:szCs w:val="21"/>
                <w:highlight w:val="none"/>
              </w:rPr>
              <w:t>平均分或从项目维度的每个项目练习情况等多维度了解学生对知识点的掌握情况。</w:t>
            </w:r>
          </w:p>
          <w:p w14:paraId="25300F4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 AI大数据分析：教师可以通过平台进行大数据分析，能够查看整个平台所有实训数据的历史累积统计分析，包含平台全部学生的实训活跃度，以及平台用户实训平均分情况。</w:t>
            </w:r>
          </w:p>
          <w:p w14:paraId="00EB5AD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11.创业广场：创业广场可提供一个学生和老师创业交流的平台，老师和学生可以在这里发布创业信息、寻找创业伙伴、组建创业团队以及查看、关注其他师生发布的创业项目，及报名加入。</w:t>
            </w:r>
          </w:p>
          <w:p w14:paraId="35D43EE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12.教务管理：管理员可以对专业、年级、班级，以及教师，学生账号进行新增，删除，修改和查看的操作；可向学生、教师发送公告。</w:t>
            </w:r>
          </w:p>
          <w:p w14:paraId="438FB00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13. 支持APP扫码登录平台，支持师生进行动态互动，师生可发布公告，可评论、点赞；支持学生查询实训成绩。</w:t>
            </w:r>
          </w:p>
          <w:p w14:paraId="396CBC1A">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14.资源共享：支持教师上传课程资源并对其进行管理，上传的资源可与全校师生共享。</w:t>
            </w:r>
          </w:p>
          <w:p w14:paraId="267AC91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15.学情分析：支持教师查看学生的平台使用情况，包含考勤率、考核成绩、活跃度等，便于老师对学生整体综合情况进行查看。</w:t>
            </w:r>
          </w:p>
          <w:p w14:paraId="3CFC2A7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二、实训系统模块要求</w:t>
            </w:r>
          </w:p>
          <w:p w14:paraId="29D1C8F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基于真实区块链技术开发，涵盖区块链基础技术、区块链发票、区块链供应链金融、区块链跨境支付、区块链医疗保险、区块链数字票据、区块链征信、数字货币等8个区块链实训模块。通过区块链在金融场景中的应用演练，了解区块链技术的功能特点。</w:t>
            </w:r>
          </w:p>
          <w:p w14:paraId="5009445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2.系统采用模块化设计，提供“基础层-区块链基础技术应用实训</w:t>
            </w:r>
            <w:r>
              <w:rPr>
                <w:rFonts w:hint="eastAsia"/>
                <w:color w:val="auto"/>
                <w:sz w:val="21"/>
                <w:szCs w:val="21"/>
                <w:highlight w:val="none"/>
                <w:lang w:eastAsia="zh-CN"/>
              </w:rPr>
              <w:t>”“</w:t>
            </w:r>
            <w:r>
              <w:rPr>
                <w:rFonts w:hint="eastAsia"/>
                <w:color w:val="auto"/>
                <w:sz w:val="21"/>
                <w:szCs w:val="21"/>
                <w:highlight w:val="none"/>
              </w:rPr>
              <w:t>应用层-区块链技术应用场景实训”，以及“创新层-创新设计区块链场景</w:t>
            </w:r>
            <w:r>
              <w:rPr>
                <w:rFonts w:hint="eastAsia"/>
                <w:color w:val="auto"/>
                <w:sz w:val="21"/>
                <w:szCs w:val="21"/>
                <w:highlight w:val="none"/>
                <w:lang w:eastAsia="zh-CN"/>
              </w:rPr>
              <w:t>”</w:t>
            </w:r>
            <w:r>
              <w:rPr>
                <w:rFonts w:hint="eastAsia"/>
                <w:color w:val="auto"/>
                <w:sz w:val="21"/>
                <w:szCs w:val="21"/>
                <w:highlight w:val="none"/>
              </w:rPr>
              <w:t>，分阶段训练学生对区块链各层知识的掌握程度。</w:t>
            </w:r>
          </w:p>
          <w:p w14:paraId="2E14AD9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提供理论考试后台，实现批量或单个上传题目，题目支持单选题、多选题、判断题、填空题、材料题等多种题型；包括手动选题和随机选题两种组卷方式，手动选题通过选择题目来组成试卷，随机选题是从题库中通过题型比例一键生成试卷；</w:t>
            </w:r>
          </w:p>
          <w:p w14:paraId="0BBF662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4.系统提供实训考试后台，支持实训案例、实训项目的新增，并自由配置项目考核点、案例数据及考核点分数，项目配置数量不限，丰富教学。</w:t>
            </w:r>
          </w:p>
          <w:p w14:paraId="470054D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5.系统同时支持个人模式和团队模式，支持学生单人模拟各个场景的所有角色，且角色之间可以灵活切换。也可以团队方式合作完成各个角色任务。</w:t>
            </w:r>
          </w:p>
          <w:p w14:paraId="1C911D6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三、实训演练要求</w:t>
            </w:r>
          </w:p>
          <w:p w14:paraId="018166F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1.区块链基础技术篇：需包括4个实训项目：“区块链结构</w:t>
            </w:r>
            <w:r>
              <w:rPr>
                <w:rFonts w:hint="eastAsia"/>
                <w:color w:val="auto"/>
                <w:sz w:val="21"/>
                <w:szCs w:val="21"/>
                <w:highlight w:val="none"/>
                <w:lang w:eastAsia="zh-CN"/>
              </w:rPr>
              <w:t>”“</w:t>
            </w:r>
            <w:r>
              <w:rPr>
                <w:rFonts w:hint="eastAsia"/>
                <w:color w:val="auto"/>
                <w:sz w:val="21"/>
                <w:szCs w:val="21"/>
                <w:highlight w:val="none"/>
              </w:rPr>
              <w:t>创建区块</w:t>
            </w:r>
            <w:r>
              <w:rPr>
                <w:rFonts w:hint="eastAsia"/>
                <w:color w:val="auto"/>
                <w:sz w:val="21"/>
                <w:szCs w:val="21"/>
                <w:highlight w:val="none"/>
                <w:lang w:eastAsia="zh-CN"/>
              </w:rPr>
              <w:t>”“</w:t>
            </w:r>
            <w:r>
              <w:rPr>
                <w:rFonts w:hint="eastAsia"/>
                <w:color w:val="auto"/>
                <w:sz w:val="21"/>
                <w:szCs w:val="21"/>
                <w:highlight w:val="none"/>
              </w:rPr>
              <w:t>建链实训</w:t>
            </w:r>
            <w:r>
              <w:rPr>
                <w:rFonts w:hint="eastAsia"/>
                <w:color w:val="auto"/>
                <w:sz w:val="21"/>
                <w:szCs w:val="21"/>
                <w:highlight w:val="none"/>
                <w:lang w:eastAsia="zh-CN"/>
              </w:rPr>
              <w:t>”“</w:t>
            </w:r>
            <w:r>
              <w:rPr>
                <w:rFonts w:hint="eastAsia"/>
                <w:color w:val="auto"/>
                <w:sz w:val="21"/>
                <w:szCs w:val="21"/>
                <w:highlight w:val="none"/>
              </w:rPr>
              <w:t>区块链通用技术”，合计不少于16个任务。其中，区块链结构项目需至少包含：“哈希值</w:t>
            </w:r>
            <w:r>
              <w:rPr>
                <w:rFonts w:hint="eastAsia"/>
                <w:color w:val="auto"/>
                <w:sz w:val="21"/>
                <w:szCs w:val="21"/>
                <w:highlight w:val="none"/>
                <w:lang w:eastAsia="zh-CN"/>
              </w:rPr>
              <w:t>”“</w:t>
            </w:r>
            <w:r>
              <w:rPr>
                <w:rFonts w:hint="eastAsia"/>
                <w:color w:val="auto"/>
                <w:sz w:val="21"/>
                <w:szCs w:val="21"/>
                <w:highlight w:val="none"/>
              </w:rPr>
              <w:t>时间戳</w:t>
            </w:r>
            <w:r>
              <w:rPr>
                <w:rFonts w:hint="eastAsia"/>
                <w:color w:val="auto"/>
                <w:sz w:val="21"/>
                <w:szCs w:val="21"/>
                <w:highlight w:val="none"/>
                <w:lang w:eastAsia="zh-CN"/>
              </w:rPr>
              <w:t>”“</w:t>
            </w:r>
            <w:r>
              <w:rPr>
                <w:rFonts w:hint="eastAsia"/>
                <w:color w:val="auto"/>
                <w:sz w:val="21"/>
                <w:szCs w:val="21"/>
                <w:highlight w:val="none"/>
              </w:rPr>
              <w:t>版本号</w:t>
            </w:r>
            <w:r>
              <w:rPr>
                <w:rFonts w:hint="eastAsia"/>
                <w:color w:val="auto"/>
                <w:sz w:val="21"/>
                <w:szCs w:val="21"/>
                <w:highlight w:val="none"/>
                <w:lang w:eastAsia="zh-CN"/>
              </w:rPr>
              <w:t>”“</w:t>
            </w:r>
            <w:r>
              <w:rPr>
                <w:rFonts w:hint="eastAsia"/>
                <w:color w:val="auto"/>
                <w:sz w:val="21"/>
                <w:szCs w:val="21"/>
                <w:highlight w:val="none"/>
              </w:rPr>
              <w:t>难度目标</w:t>
            </w:r>
            <w:r>
              <w:rPr>
                <w:rFonts w:hint="eastAsia"/>
                <w:color w:val="auto"/>
                <w:sz w:val="21"/>
                <w:szCs w:val="21"/>
                <w:highlight w:val="none"/>
                <w:lang w:eastAsia="zh-CN"/>
              </w:rPr>
              <w:t>”“</w:t>
            </w:r>
            <w:r>
              <w:rPr>
                <w:rFonts w:hint="eastAsia"/>
                <w:color w:val="auto"/>
                <w:sz w:val="21"/>
                <w:szCs w:val="21"/>
                <w:highlight w:val="none"/>
              </w:rPr>
              <w:t>随机数”以及“Merkle树”；创建区块项目需至少包含：“区块相关文件安装并执行</w:t>
            </w:r>
            <w:r>
              <w:rPr>
                <w:rFonts w:hint="eastAsia"/>
                <w:color w:val="auto"/>
                <w:sz w:val="21"/>
                <w:szCs w:val="21"/>
                <w:highlight w:val="none"/>
                <w:lang w:eastAsia="zh-CN"/>
              </w:rPr>
              <w:t>”“</w:t>
            </w:r>
            <w:r>
              <w:rPr>
                <w:rFonts w:hint="eastAsia"/>
                <w:color w:val="auto"/>
                <w:sz w:val="21"/>
                <w:szCs w:val="21"/>
                <w:highlight w:val="none"/>
              </w:rPr>
              <w:t>Node ID</w:t>
            </w:r>
            <w:r>
              <w:rPr>
                <w:rFonts w:hint="eastAsia"/>
                <w:color w:val="auto"/>
                <w:sz w:val="21"/>
                <w:szCs w:val="21"/>
                <w:highlight w:val="none"/>
                <w:lang w:eastAsia="zh-CN"/>
              </w:rPr>
              <w:t>”“</w:t>
            </w:r>
            <w:r>
              <w:rPr>
                <w:rFonts w:hint="eastAsia"/>
                <w:color w:val="auto"/>
                <w:sz w:val="21"/>
                <w:szCs w:val="21"/>
                <w:highlight w:val="none"/>
              </w:rPr>
              <w:t>秘钥对生成</w:t>
            </w:r>
            <w:r>
              <w:rPr>
                <w:rFonts w:hint="eastAsia"/>
                <w:color w:val="auto"/>
                <w:sz w:val="21"/>
                <w:szCs w:val="21"/>
                <w:highlight w:val="none"/>
                <w:lang w:eastAsia="zh-CN"/>
              </w:rPr>
              <w:t>”“</w:t>
            </w:r>
            <w:r>
              <w:rPr>
                <w:rFonts w:hint="eastAsia"/>
                <w:color w:val="auto"/>
                <w:sz w:val="21"/>
                <w:szCs w:val="21"/>
                <w:highlight w:val="none"/>
              </w:rPr>
              <w:t>节点配置</w:t>
            </w:r>
            <w:r>
              <w:rPr>
                <w:rFonts w:hint="eastAsia"/>
                <w:color w:val="auto"/>
                <w:sz w:val="21"/>
                <w:szCs w:val="21"/>
                <w:highlight w:val="none"/>
                <w:lang w:eastAsia="zh-CN"/>
              </w:rPr>
              <w:t>”“</w:t>
            </w:r>
            <w:r>
              <w:rPr>
                <w:rFonts w:hint="eastAsia"/>
                <w:color w:val="auto"/>
                <w:sz w:val="21"/>
                <w:szCs w:val="21"/>
                <w:highlight w:val="none"/>
              </w:rPr>
              <w:t>节点获取”以及“创建创世区块”；建链项目需至少包含：“转账</w:t>
            </w:r>
            <w:r>
              <w:rPr>
                <w:rFonts w:hint="eastAsia"/>
                <w:color w:val="auto"/>
                <w:sz w:val="21"/>
                <w:szCs w:val="21"/>
                <w:highlight w:val="none"/>
                <w:lang w:eastAsia="zh-CN"/>
              </w:rPr>
              <w:t>”“</w:t>
            </w:r>
            <w:r>
              <w:rPr>
                <w:rFonts w:hint="eastAsia"/>
                <w:color w:val="auto"/>
                <w:sz w:val="21"/>
                <w:szCs w:val="21"/>
                <w:highlight w:val="none"/>
              </w:rPr>
              <w:t>收款</w:t>
            </w:r>
            <w:r>
              <w:rPr>
                <w:rFonts w:hint="eastAsia"/>
                <w:color w:val="auto"/>
                <w:sz w:val="21"/>
                <w:szCs w:val="21"/>
                <w:highlight w:val="none"/>
                <w:lang w:eastAsia="zh-CN"/>
              </w:rPr>
              <w:t>”“</w:t>
            </w:r>
            <w:r>
              <w:rPr>
                <w:rFonts w:hint="eastAsia"/>
                <w:color w:val="auto"/>
                <w:sz w:val="21"/>
                <w:szCs w:val="21"/>
                <w:highlight w:val="none"/>
              </w:rPr>
              <w:t>多区块创建”以及“区块篡改”；区块链通用技术项目需至少包含“非对称加密</w:t>
            </w:r>
            <w:r>
              <w:rPr>
                <w:rFonts w:hint="eastAsia"/>
                <w:color w:val="auto"/>
                <w:sz w:val="21"/>
                <w:szCs w:val="21"/>
                <w:highlight w:val="none"/>
                <w:lang w:eastAsia="zh-CN"/>
              </w:rPr>
              <w:t>”“</w:t>
            </w:r>
            <w:r>
              <w:rPr>
                <w:rFonts w:hint="eastAsia"/>
                <w:color w:val="auto"/>
                <w:sz w:val="21"/>
                <w:szCs w:val="21"/>
                <w:highlight w:val="none"/>
              </w:rPr>
              <w:t>分布式账本</w:t>
            </w:r>
            <w:r>
              <w:rPr>
                <w:rFonts w:hint="eastAsia"/>
                <w:color w:val="auto"/>
                <w:sz w:val="21"/>
                <w:szCs w:val="21"/>
                <w:highlight w:val="none"/>
                <w:lang w:eastAsia="zh-CN"/>
              </w:rPr>
              <w:t>”“</w:t>
            </w:r>
            <w:r>
              <w:rPr>
                <w:rFonts w:hint="eastAsia"/>
                <w:color w:val="auto"/>
                <w:sz w:val="21"/>
                <w:szCs w:val="21"/>
                <w:highlight w:val="none"/>
              </w:rPr>
              <w:t>共识机制（包含五大共识算法：工作量证明、权益证明、委托权益证明、实用拜占庭容错、非拜占庭容错）”以及“智能合约”。</w:t>
            </w:r>
          </w:p>
          <w:p w14:paraId="40B4A07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2.区块链技术应用场景篇：需包括区块链技术在“供应链金融</w:t>
            </w:r>
            <w:r>
              <w:rPr>
                <w:rFonts w:hint="eastAsia"/>
                <w:color w:val="auto"/>
                <w:sz w:val="21"/>
                <w:szCs w:val="21"/>
                <w:highlight w:val="none"/>
                <w:lang w:eastAsia="zh-CN"/>
              </w:rPr>
              <w:t>”“</w:t>
            </w:r>
            <w:r>
              <w:rPr>
                <w:rFonts w:hint="eastAsia"/>
                <w:color w:val="auto"/>
                <w:sz w:val="21"/>
                <w:szCs w:val="21"/>
                <w:highlight w:val="none"/>
              </w:rPr>
              <w:t>发票</w:t>
            </w:r>
            <w:r>
              <w:rPr>
                <w:rFonts w:hint="eastAsia"/>
                <w:color w:val="auto"/>
                <w:sz w:val="21"/>
                <w:szCs w:val="21"/>
                <w:highlight w:val="none"/>
                <w:lang w:eastAsia="zh-CN"/>
              </w:rPr>
              <w:t>”“</w:t>
            </w:r>
            <w:r>
              <w:rPr>
                <w:rFonts w:hint="eastAsia"/>
                <w:color w:val="auto"/>
                <w:sz w:val="21"/>
                <w:szCs w:val="21"/>
                <w:highlight w:val="none"/>
              </w:rPr>
              <w:t>跨境支付</w:t>
            </w:r>
            <w:r>
              <w:rPr>
                <w:rFonts w:hint="eastAsia"/>
                <w:color w:val="auto"/>
                <w:sz w:val="21"/>
                <w:szCs w:val="21"/>
                <w:highlight w:val="none"/>
                <w:lang w:eastAsia="zh-CN"/>
              </w:rPr>
              <w:t>”“</w:t>
            </w:r>
            <w:r>
              <w:rPr>
                <w:rFonts w:hint="eastAsia"/>
                <w:color w:val="auto"/>
                <w:sz w:val="21"/>
                <w:szCs w:val="21"/>
                <w:highlight w:val="none"/>
              </w:rPr>
              <w:t>医疗保险”“征信</w:t>
            </w:r>
            <w:r>
              <w:rPr>
                <w:rFonts w:hint="eastAsia"/>
                <w:color w:val="auto"/>
                <w:sz w:val="21"/>
                <w:szCs w:val="21"/>
                <w:highlight w:val="none"/>
                <w:lang w:eastAsia="zh-CN"/>
              </w:rPr>
              <w:t>”“</w:t>
            </w:r>
            <w:r>
              <w:rPr>
                <w:rFonts w:hint="eastAsia"/>
                <w:color w:val="auto"/>
                <w:sz w:val="21"/>
                <w:szCs w:val="21"/>
                <w:highlight w:val="none"/>
              </w:rPr>
              <w:t>票据</w:t>
            </w:r>
            <w:r>
              <w:rPr>
                <w:rFonts w:hint="eastAsia"/>
                <w:color w:val="auto"/>
                <w:sz w:val="21"/>
                <w:szCs w:val="21"/>
                <w:highlight w:val="none"/>
                <w:lang w:eastAsia="zh-CN"/>
              </w:rPr>
              <w:t>”“</w:t>
            </w:r>
            <w:r>
              <w:rPr>
                <w:rFonts w:hint="eastAsia"/>
                <w:color w:val="auto"/>
                <w:sz w:val="21"/>
                <w:szCs w:val="21"/>
                <w:highlight w:val="none"/>
              </w:rPr>
              <w:t>数字货币”上的7大业务应用实训。合计不少于130个实训任务，不少于190个不同类型的案例数据，不少于30个角色扮演。</w:t>
            </w:r>
          </w:p>
          <w:p w14:paraId="33CB3235">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▲（1）实训场景1——区块链供应链金融：包含供应商、核心企业、保理公司3个角色，需包括2个实训项目：“供应链金融（一级供应商）</w:t>
            </w:r>
            <w:r>
              <w:rPr>
                <w:rFonts w:hint="eastAsia"/>
                <w:color w:val="auto"/>
                <w:sz w:val="21"/>
                <w:szCs w:val="21"/>
                <w:highlight w:val="none"/>
                <w:lang w:eastAsia="zh-CN"/>
              </w:rPr>
              <w:t>”“</w:t>
            </w:r>
            <w:r>
              <w:rPr>
                <w:rFonts w:hint="eastAsia"/>
                <w:color w:val="auto"/>
                <w:sz w:val="21"/>
                <w:szCs w:val="21"/>
                <w:highlight w:val="none"/>
              </w:rPr>
              <w:t>供应链金融（多级供应商）</w:t>
            </w:r>
            <w:r>
              <w:rPr>
                <w:rFonts w:hint="eastAsia"/>
                <w:color w:val="auto"/>
                <w:sz w:val="21"/>
                <w:szCs w:val="21"/>
                <w:highlight w:val="none"/>
                <w:lang w:eastAsia="zh-CN"/>
              </w:rPr>
              <w:t>”</w:t>
            </w:r>
            <w:r>
              <w:rPr>
                <w:rFonts w:hint="eastAsia"/>
                <w:color w:val="auto"/>
                <w:sz w:val="21"/>
                <w:szCs w:val="21"/>
                <w:highlight w:val="none"/>
              </w:rPr>
              <w:t xml:space="preserve">。满足应收业务、债券电子凭证数据的合规上链。流程包括但不限于创建应收业务、应收业务的确权、保理合同的签署、应付账款生成债券电子凭证、债券电子凭证的交易及结算。提供不低于15个实验任务以及不低于14种不同类型的实验数据。其中，核心企业和供应商之间的贸易合同可以不上链，也可以选择来自区块链发票场景中的订单上链数据，实现2个场景中的数据互通并追溯。 </w:t>
            </w:r>
          </w:p>
          <w:p w14:paraId="6D78EC67">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▲（2）实训场景2——区块链数字票据：包含出票人、承兑行、持票人、被背书人、收款人开户行、第三方银行、中国人民银行7大角色。不少于4个项目：“数字票据承兑</w:t>
            </w:r>
            <w:r>
              <w:rPr>
                <w:rFonts w:hint="eastAsia"/>
                <w:color w:val="auto"/>
                <w:sz w:val="21"/>
                <w:szCs w:val="21"/>
                <w:highlight w:val="none"/>
                <w:lang w:eastAsia="zh-CN"/>
              </w:rPr>
              <w:t>”“</w:t>
            </w:r>
            <w:r>
              <w:rPr>
                <w:rFonts w:hint="eastAsia"/>
                <w:color w:val="auto"/>
                <w:sz w:val="21"/>
                <w:szCs w:val="21"/>
                <w:highlight w:val="none"/>
              </w:rPr>
              <w:t>数字票据背书转让</w:t>
            </w:r>
            <w:r>
              <w:rPr>
                <w:rFonts w:hint="eastAsia"/>
                <w:color w:val="auto"/>
                <w:sz w:val="21"/>
                <w:szCs w:val="21"/>
                <w:highlight w:val="none"/>
                <w:lang w:eastAsia="zh-CN"/>
              </w:rPr>
              <w:t>”“</w:t>
            </w:r>
            <w:r>
              <w:rPr>
                <w:rFonts w:hint="eastAsia"/>
                <w:color w:val="auto"/>
                <w:sz w:val="21"/>
                <w:szCs w:val="21"/>
                <w:highlight w:val="none"/>
              </w:rPr>
              <w:t>数字票据贴现</w:t>
            </w:r>
            <w:r>
              <w:rPr>
                <w:rFonts w:hint="eastAsia"/>
                <w:color w:val="auto"/>
                <w:sz w:val="21"/>
                <w:szCs w:val="21"/>
                <w:highlight w:val="none"/>
                <w:lang w:eastAsia="zh-CN"/>
              </w:rPr>
              <w:t>”“</w:t>
            </w:r>
            <w:r>
              <w:rPr>
                <w:rFonts w:hint="eastAsia"/>
                <w:color w:val="auto"/>
                <w:sz w:val="21"/>
                <w:szCs w:val="21"/>
                <w:highlight w:val="none"/>
              </w:rPr>
              <w:t>数字票据行为”。满足智能合约实现银行承兑汇票数据的合规上链。该流程包括但不限于出票、承兑、支付、背书转让、贴现、转贴现、再贴现、结算。可以实现“票据的基础信息</w:t>
            </w:r>
            <w:r>
              <w:rPr>
                <w:rFonts w:hint="eastAsia"/>
                <w:color w:val="auto"/>
                <w:sz w:val="21"/>
                <w:szCs w:val="21"/>
                <w:highlight w:val="none"/>
                <w:lang w:eastAsia="zh-CN"/>
              </w:rPr>
              <w:t>”“</w:t>
            </w:r>
            <w:r>
              <w:rPr>
                <w:rFonts w:hint="eastAsia"/>
                <w:color w:val="auto"/>
                <w:sz w:val="21"/>
                <w:szCs w:val="21"/>
                <w:highlight w:val="none"/>
              </w:rPr>
              <w:t>持票人的变更信息</w:t>
            </w:r>
            <w:r>
              <w:rPr>
                <w:rFonts w:hint="eastAsia"/>
                <w:color w:val="auto"/>
                <w:sz w:val="21"/>
                <w:szCs w:val="21"/>
                <w:highlight w:val="none"/>
                <w:lang w:eastAsia="zh-CN"/>
              </w:rPr>
              <w:t>”“</w:t>
            </w:r>
            <w:r>
              <w:rPr>
                <w:rFonts w:hint="eastAsia"/>
                <w:color w:val="auto"/>
                <w:sz w:val="21"/>
                <w:szCs w:val="21"/>
                <w:highlight w:val="none"/>
              </w:rPr>
              <w:t>票据行为的操作信息”等溯源。其中，收款人开户行、第三方银行账户数据可以实现与区块链跨境支付场景中的境内银行账户管理数据互通。提供不低于19个实验任务以及不低于36种不同类型的实验数据。</w:t>
            </w:r>
          </w:p>
          <w:p w14:paraId="15013AE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3）实训场景3——区块链发票：包含采购员、企业、商家、税务局4个角色。模拟包括但不限于发布采购计划、发布采购订单、开票申请、开票、发票报销、发票报税等流程。满足采购订单数据、采购计划单数据、发票申请数据、发票数据及报税数据上链。通过在链上查找采购计划单、采购订单、发票申请等数据，实现对发票的真实来源进行追溯的功能。提供不低于17个实验任务以及不低于20种不同类型的实验数据。</w:t>
            </w:r>
          </w:p>
          <w:p w14:paraId="56FC1276">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4）实训场景4——区块链医疗保险：包含保险公司、医院、投保人3个角色，通过智能合约实现保险的购买、理赔以及医院看诊流程，并实现投保申请、保险合同、保单、医疗信息以及理赔申请等数据的采集上链、处理与应用，提供不低于24个实验任务以及不低于16种不同类型的实验数据。</w:t>
            </w:r>
          </w:p>
          <w:p w14:paraId="0C76EBF4">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5）实训场景5-区块链跨境支付：包含境内银行、境外银行、汇款企业、收款企业4个角色。模拟包括但不限于汇款申请、汇款审核、汇款登记、账务处理、资金解付、借贷记通知等流程。满足汇款申请单、汇款审核单、汇款登记单、账户数据上链，且每一笔发生的业务都会广播通知联盟链上的其他节点，每一笔发生的业务都会在链上展示，实现链上追溯汇款的功能。要求提供不低于15个实验任务以及不低于20种不同类型的实验数据</w:t>
            </w:r>
          </w:p>
          <w:p w14:paraId="5A42DBD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6）实训场景6——区块链征信：包含贷款企业、银行、中国人民银行、市场监督管理局、税务局、知识产权句、国土资源部、电力局、法院9大角色，通过智能合约实现征信数据的采集上链（征信采集内容包括：企业征信信息、企业知识产权、企业税务信息、企业不动产信息、企业案件信息、企业电费缴纳信息、央行征信信息）、处理与应用，同时覆盖企业贷款申请流程、银行信用贷款审核、企业信用评估、贷款合同签署等业务流程，要求提供不低于15个实验任务以及不低于20种不同类型的实验数据。</w:t>
            </w:r>
          </w:p>
          <w:p w14:paraId="6B16A1A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7）实训场景7——数字货币：至少包含4个矿工角色，业务包括数字货币的来源-挖矿的知识导航；数字货币的挖矿动作、钱包交易，其中矿工可以选择待打包交易和不选择待打包交易。每个节点挖矿需展示通信消息；自有资金购买或出售数字货币；模拟限价或市价买入或卖出数字货币，不成交的数据实时撮合，无法撮合的可以手动撤单；实现数字钱包的接入，交易账户的充币、提币、划转等操作。</w:t>
            </w:r>
          </w:p>
          <w:p w14:paraId="0E683C11">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8）其他：①系统展示实时监控链消息，包括节点消息广播通知、区块浏览节点总数、区块高度。其中，广播通知展示所有节点上链数据消息，点击可以查看具体上链信息。区块浏览展示各个区块信息（前一哈希、当前哈希、时间戳、交易哈希等）、所有区块连接成链效果展示，区块高度展示。②系统需有具象化的区块链技术动作设计，如数据上链、加密与溯源。对每一个需要上链的数据，都设计“上链”</w:t>
            </w:r>
            <w:r>
              <w:rPr>
                <w:rFonts w:hint="eastAsia"/>
                <w:color w:val="auto"/>
                <w:sz w:val="21"/>
                <w:szCs w:val="21"/>
                <w:highlight w:val="none"/>
                <w:lang w:eastAsia="zh-CN"/>
              </w:rPr>
              <w:t>“</w:t>
            </w:r>
            <w:r>
              <w:rPr>
                <w:rFonts w:hint="eastAsia"/>
                <w:color w:val="auto"/>
                <w:sz w:val="21"/>
                <w:szCs w:val="21"/>
                <w:highlight w:val="none"/>
              </w:rPr>
              <w:t>加密</w:t>
            </w:r>
            <w:r>
              <w:rPr>
                <w:rFonts w:hint="eastAsia"/>
                <w:color w:val="auto"/>
                <w:sz w:val="21"/>
                <w:szCs w:val="21"/>
                <w:highlight w:val="none"/>
                <w:lang w:eastAsia="zh-CN"/>
              </w:rPr>
              <w:t>”“</w:t>
            </w:r>
            <w:r>
              <w:rPr>
                <w:rFonts w:hint="eastAsia"/>
                <w:color w:val="auto"/>
                <w:sz w:val="21"/>
                <w:szCs w:val="21"/>
                <w:highlight w:val="none"/>
              </w:rPr>
              <w:t>追溯</w:t>
            </w:r>
            <w:r>
              <w:rPr>
                <w:rFonts w:hint="eastAsia"/>
                <w:color w:val="auto"/>
                <w:sz w:val="21"/>
                <w:szCs w:val="21"/>
                <w:highlight w:val="none"/>
                <w:lang w:eastAsia="zh-CN"/>
              </w:rPr>
              <w:t>”“</w:t>
            </w:r>
            <w:r>
              <w:rPr>
                <w:rFonts w:hint="eastAsia"/>
                <w:color w:val="auto"/>
                <w:sz w:val="21"/>
                <w:szCs w:val="21"/>
                <w:highlight w:val="none"/>
              </w:rPr>
              <w:t>链数据查询</w:t>
            </w:r>
            <w:r>
              <w:rPr>
                <w:rFonts w:hint="eastAsia"/>
                <w:color w:val="auto"/>
                <w:sz w:val="21"/>
                <w:szCs w:val="21"/>
                <w:highlight w:val="none"/>
                <w:lang w:eastAsia="zh-CN"/>
              </w:rPr>
              <w:t>”</w:t>
            </w:r>
            <w:r>
              <w:rPr>
                <w:rFonts w:hint="eastAsia"/>
                <w:color w:val="auto"/>
                <w:sz w:val="21"/>
                <w:szCs w:val="21"/>
                <w:highlight w:val="none"/>
              </w:rPr>
              <w:t>功能。上链操作保证链上数据不可篡改、可追溯；输入私钥/公钥加密解密操作，保证隐私数据安全；如有链上修改，可以追溯每一个链对应的历史修改数据；</w:t>
            </w:r>
            <w:r>
              <w:rPr>
                <w:rFonts w:hint="eastAsia"/>
                <w:color w:val="auto"/>
                <w:sz w:val="21"/>
                <w:szCs w:val="21"/>
                <w:highlight w:val="none"/>
                <w:lang w:eastAsia="zh-CN"/>
              </w:rPr>
              <w:t>“</w:t>
            </w:r>
            <w:r>
              <w:rPr>
                <w:rFonts w:hint="eastAsia"/>
                <w:color w:val="auto"/>
                <w:sz w:val="21"/>
                <w:szCs w:val="21"/>
                <w:highlight w:val="none"/>
              </w:rPr>
              <w:t>链数据查询</w:t>
            </w:r>
            <w:r>
              <w:rPr>
                <w:rFonts w:hint="eastAsia"/>
                <w:color w:val="auto"/>
                <w:sz w:val="21"/>
                <w:szCs w:val="21"/>
                <w:highlight w:val="none"/>
                <w:lang w:eastAsia="zh-CN"/>
              </w:rPr>
              <w:t>”</w:t>
            </w:r>
            <w:r>
              <w:rPr>
                <w:rFonts w:hint="eastAsia"/>
                <w:color w:val="auto"/>
                <w:sz w:val="21"/>
                <w:szCs w:val="21"/>
                <w:highlight w:val="none"/>
              </w:rPr>
              <w:t>统计每一个上链数据的广播人、广播数、交易信息等。③区块链思维设计：为帮助用户更深刻</w:t>
            </w:r>
            <w:r>
              <w:rPr>
                <w:rFonts w:hint="eastAsia"/>
                <w:color w:val="auto"/>
                <w:sz w:val="21"/>
                <w:szCs w:val="21"/>
                <w:highlight w:val="none"/>
                <w:lang w:eastAsia="zh-CN"/>
              </w:rPr>
              <w:t>地</w:t>
            </w:r>
            <w:r>
              <w:rPr>
                <w:rFonts w:hint="eastAsia"/>
                <w:color w:val="auto"/>
                <w:sz w:val="21"/>
                <w:szCs w:val="21"/>
                <w:highlight w:val="none"/>
              </w:rPr>
              <w:t>理解区块链业务与传统业务的区别，系统对每一个区块链上链、加密、解密操作都会设计上链、加密、解密提示；同时会辅以小场景的设计，让用户重现区块链案例情景。如区块链发票场景中要求提供区块链发票溯源小场景，从“纳税申请表→区块链发票→发票申请→采购订单→采购计划单”，一步步溯源统计，最终核查企业/商家是否偷税漏税，帮助用户深入理解区块链业务与传统业务的思维差异。</w:t>
            </w:r>
          </w:p>
          <w:p w14:paraId="78B3E5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创新设计场景篇：系统通过由浅入深的实训教学设计，在基础实训和应用场景实训后，提供页面控件拖拉拽技术服务，实现自定义设计场景元素及元素动作功能。场景搭建机构角色包括但不限于境内银行、境外银行、医院、保险公司、境外企业、税务局、保理公司、境内企业、个人、中国人民银行、法院、电力局、市场监督管理局、知识产权局、国土资源局15个大机构角色。其中各个机构角色可以构建二级角色扮演场景，如境内企业可以通过菜单选择定义为贷款企业、供应商、核心企业、商家、被背书人、持票人、出票人等，满足场景搭建需求，场景合成并发布后可以提供实验报告输出功能，系统自动评阅报告并打分。</w:t>
            </w:r>
          </w:p>
          <w:p w14:paraId="1E64C513">
            <w:pPr>
              <w:keepNext w:val="0"/>
              <w:keepLines w:val="0"/>
              <w:suppressLineNumbers w:val="0"/>
              <w:spacing w:before="0" w:beforeAutospacing="0" w:after="0" w:afterAutospacing="0" w:line="320" w:lineRule="exact"/>
              <w:ind w:left="0" w:right="0"/>
              <w:rPr>
                <w:rFonts w:hint="eastAsia"/>
                <w:b w:val="0"/>
                <w:bCs w:val="0"/>
                <w:color w:val="auto"/>
                <w:sz w:val="21"/>
                <w:szCs w:val="21"/>
                <w:highlight w:val="none"/>
              </w:rPr>
            </w:pPr>
            <w:r>
              <w:rPr>
                <w:rFonts w:hint="eastAsia" w:ascii="宋体" w:hAnsi="宋体" w:cs="等线"/>
                <w:b/>
                <w:bCs/>
                <w:color w:val="auto"/>
                <w:sz w:val="21"/>
                <w:szCs w:val="21"/>
                <w:highlight w:val="none"/>
              </w:rPr>
              <w:t>▲</w:t>
            </w:r>
            <w:r>
              <w:rPr>
                <w:rFonts w:hint="eastAsia"/>
                <w:b/>
                <w:bCs/>
                <w:color w:val="auto"/>
                <w:sz w:val="21"/>
                <w:szCs w:val="21"/>
                <w:highlight w:val="none"/>
              </w:rPr>
              <w:t>四</w:t>
            </w:r>
            <w:r>
              <w:rPr>
                <w:rFonts w:hint="eastAsia"/>
                <w:b w:val="0"/>
                <w:bCs w:val="0"/>
                <w:color w:val="auto"/>
                <w:sz w:val="21"/>
                <w:szCs w:val="21"/>
                <w:highlight w:val="none"/>
              </w:rPr>
              <w:t>、软件部署方式和服务保障</w:t>
            </w:r>
          </w:p>
          <w:p w14:paraId="6212A907">
            <w:pPr>
              <w:pStyle w:val="2"/>
              <w:keepNext w:val="0"/>
              <w:keepLines w:val="0"/>
              <w:numPr>
                <w:ilvl w:val="0"/>
                <w:numId w:val="0"/>
              </w:numPr>
              <w:suppressLineNumbers w:val="0"/>
              <w:spacing w:before="0" w:beforeAutospacing="0" w:afterAutospacing="0"/>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rPr>
              <w:t>部署方式：云部署。区块链创新应用平台底层设计搭建在华为云区块链引擎上，只能云部署。</w:t>
            </w:r>
            <w:r>
              <w:rPr>
                <w:rFonts w:hint="eastAsia"/>
                <w:color w:val="auto"/>
                <w:sz w:val="21"/>
                <w:szCs w:val="21"/>
                <w:highlight w:val="none"/>
                <w:lang w:val="en-US" w:eastAsia="zh-CN"/>
              </w:rPr>
              <w:t>数据要能够保存在本地，保证数据的安全性。</w:t>
            </w:r>
            <w:r>
              <w:rPr>
                <w:rFonts w:hint="eastAsia"/>
                <w:color w:val="auto"/>
                <w:sz w:val="21"/>
                <w:szCs w:val="21"/>
                <w:highlight w:val="none"/>
              </w:rPr>
              <w:t>能够根据学校具体情况灵活调整部署方案</w:t>
            </w:r>
            <w:r>
              <w:rPr>
                <w:rFonts w:hint="eastAsia"/>
                <w:color w:val="auto"/>
                <w:sz w:val="21"/>
                <w:szCs w:val="21"/>
                <w:highlight w:val="none"/>
                <w:lang w:eastAsia="zh-CN"/>
              </w:rPr>
              <w:t>，</w:t>
            </w:r>
            <w:r>
              <w:rPr>
                <w:rFonts w:hint="eastAsia"/>
                <w:color w:val="auto"/>
                <w:sz w:val="21"/>
                <w:szCs w:val="21"/>
                <w:highlight w:val="none"/>
              </w:rPr>
              <w:t>软件产品无使用年限限制，可长期用于院校教学需要</w:t>
            </w:r>
            <w:r>
              <w:rPr>
                <w:rFonts w:hint="eastAsia"/>
                <w:color w:val="auto"/>
                <w:sz w:val="21"/>
                <w:szCs w:val="21"/>
                <w:highlight w:val="none"/>
                <w:lang w:eastAsia="zh-CN"/>
              </w:rPr>
              <w:t>。</w:t>
            </w:r>
          </w:p>
          <w:p w14:paraId="267AAFF8">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2.中标人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w:t>
            </w:r>
            <w:r>
              <w:rPr>
                <w:rFonts w:hint="default"/>
                <w:color w:val="auto"/>
                <w:sz w:val="21"/>
                <w:szCs w:val="21"/>
                <w:highlight w:val="none"/>
              </w:rPr>
              <w:t>三年内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三</w:t>
            </w:r>
            <w:r>
              <w:rPr>
                <w:rFonts w:hint="default"/>
                <w:color w:val="auto"/>
                <w:sz w:val="21"/>
                <w:szCs w:val="21"/>
                <w:highlight w:val="none"/>
              </w:rPr>
              <w:t>年质保期限的维护与升级、适配开发服务，由此产生的费用已包含在本次投标总价中，采购人不再另行支付。</w:t>
            </w:r>
          </w:p>
          <w:p w14:paraId="365241BA">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lang w:eastAsia="zh-CN"/>
              </w:rPr>
            </w:pPr>
            <w:r>
              <w:rPr>
                <w:rFonts w:hint="eastAsia"/>
                <w:color w:val="auto"/>
                <w:sz w:val="21"/>
                <w:szCs w:val="21"/>
                <w:highlight w:val="none"/>
                <w:lang w:val="en-US" w:eastAsia="zh-CN"/>
              </w:rPr>
              <w:t>3.升级服务：三</w:t>
            </w:r>
            <w:r>
              <w:rPr>
                <w:rFonts w:hint="default"/>
                <w:color w:val="auto"/>
                <w:sz w:val="21"/>
                <w:szCs w:val="21"/>
                <w:highlight w:val="none"/>
              </w:rPr>
              <w:t>年后如需升级，则按不超过中标金额的3%收取费用。</w:t>
            </w:r>
          </w:p>
          <w:p w14:paraId="1CF6D501">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lang w:val="en-US" w:eastAsia="zh-CN"/>
              </w:rPr>
              <w:t>4.使用用户数：不限制。</w:t>
            </w:r>
          </w:p>
        </w:tc>
      </w:tr>
      <w:tr w14:paraId="4A5A5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4" w:type="pct"/>
            <w:vAlign w:val="center"/>
          </w:tcPr>
          <w:p w14:paraId="683EB7E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2</w:t>
            </w:r>
          </w:p>
        </w:tc>
        <w:tc>
          <w:tcPr>
            <w:tcW w:w="349" w:type="pct"/>
            <w:vAlign w:val="center"/>
          </w:tcPr>
          <w:p w14:paraId="0E9473D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金融岗位技能实习平台软件</w:t>
            </w:r>
          </w:p>
        </w:tc>
        <w:tc>
          <w:tcPr>
            <w:tcW w:w="366" w:type="pct"/>
            <w:vAlign w:val="center"/>
          </w:tcPr>
          <w:p w14:paraId="3041939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514" w:type="pct"/>
            <w:vAlign w:val="center"/>
          </w:tcPr>
          <w:p w14:paraId="3264E91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5" w:type="pct"/>
            <w:tcBorders>
              <w:left w:val="single" w:color="auto" w:sz="4" w:space="0"/>
              <w:right w:val="single" w:color="auto" w:sz="4" w:space="0"/>
            </w:tcBorders>
            <w:vAlign w:val="center"/>
          </w:tcPr>
          <w:p w14:paraId="20EB07E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1、系统结构要求：</w:t>
            </w:r>
          </w:p>
          <w:p w14:paraId="4C9FAD1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系统应为B/S结构，可以直接装在学校服务器上，客户端不需要安装软件，无用户人数限制。</w:t>
            </w:r>
          </w:p>
          <w:p w14:paraId="568982F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2、技术要求：</w:t>
            </w:r>
          </w:p>
          <w:p w14:paraId="6069C62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银行岗位技能主要考核学生对商业银行综合业务的掌握，通过考核方式形成竞争，让学生能够更熟练处理银行综合柜台各项业务，达到银行实际工作中的柜员入职标准，符合直接上岗的基本要求，柜台业务技能应包括通用业务、个人业务、对公业务、代理业务、个人贷款、公司贷款、支付结算、表外业务、贷记卡业务、网银业务等。</w:t>
            </w:r>
          </w:p>
          <w:p w14:paraId="0060015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▲（1）管理端要求：系统管理：内含机构设置、教师管理、任务说明、传票类型、传票管理、课程管理。课件资源：可提供PPT、doc、mp4上传和下载功能。题库管理：内含题数不低于3000道题。</w:t>
            </w:r>
          </w:p>
          <w:p w14:paraId="1A8E4AC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教师端要求：系统管理、考勤管理、课件资源、竞赛管理、任务设置、手工技能任务设置、成绩查询、答案查询、补考管理等。创建并管理班级和学生账号，完善的实习成绩及测评成绩管理功能，方便教师掌握学生实习情况及测评成绩。</w:t>
            </w:r>
          </w:p>
          <w:p w14:paraId="3417BF1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（3）学生端要求</w:t>
            </w:r>
            <w:r>
              <w:rPr>
                <w:rFonts w:hint="eastAsia"/>
                <w:color w:val="auto"/>
                <w:sz w:val="21"/>
                <w:szCs w:val="21"/>
                <w:highlight w:val="none"/>
                <w:lang w:eastAsia="zh-CN"/>
              </w:rPr>
              <w:t>：</w:t>
            </w:r>
            <w:r>
              <w:rPr>
                <w:rFonts w:hint="eastAsia"/>
                <w:color w:val="auto"/>
                <w:sz w:val="21"/>
                <w:szCs w:val="21"/>
                <w:highlight w:val="none"/>
              </w:rPr>
              <w:t>必须要有实习模式和测评模式，并可由教师实时切换，实习模式用于平台课程实训或专业实习，测评模式用于课程结束进行实训考核或用于组织班级间、校际间岗位技能竞赛。</w:t>
            </w:r>
          </w:p>
          <w:p w14:paraId="3728C88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3、实习模式要求：</w:t>
            </w:r>
          </w:p>
          <w:p w14:paraId="465594A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采用实习任务驱动模式，让学生可以完整地完成所有实习任务；应包含见习柜员、普通柜员、综合柜员、主办柜员四种岗位角色，四种岗位角色手动升级，由低到高考核学生岗位技能掌握情况，不同岗位可以完成不同的业务技能训练。各功能操作模块应包含任务说明、操作界面、业务凭证、业务流程、账务处理、操作记录、视频帮助等，方便学生自主学习。学生完成实习任务后，系统会根据操作情况生成经验值，游戏化的设计思路，极大地提高了学生的学习及实训兴趣激发学生的学习兴趣，每个银行网点的排行榜会根据柜员的经验值进行排名，督促学生自主学习；</w:t>
            </w:r>
            <w:r>
              <w:rPr>
                <w:rFonts w:hint="eastAsia"/>
                <w:color w:val="auto"/>
                <w:sz w:val="21"/>
                <w:szCs w:val="21"/>
                <w:highlight w:val="none"/>
                <w:lang w:eastAsia="zh-CN"/>
              </w:rPr>
              <w:t>学生</w:t>
            </w:r>
            <w:r>
              <w:rPr>
                <w:rFonts w:hint="eastAsia"/>
                <w:color w:val="auto"/>
                <w:sz w:val="21"/>
                <w:szCs w:val="21"/>
                <w:highlight w:val="none"/>
              </w:rPr>
              <w:t>可以实时查看任务完成及排名情况；系统会在实习任务完成后生成实习报告，学生可以导出并打印实习报告。</w:t>
            </w:r>
          </w:p>
          <w:p w14:paraId="7F046B7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（2）系统针对有需要的任务案例应有相对应的任务流程图、操作视频演示，</w:t>
            </w:r>
            <w:r>
              <w:rPr>
                <w:rFonts w:hint="eastAsia"/>
                <w:color w:val="auto"/>
                <w:sz w:val="21"/>
                <w:szCs w:val="21"/>
                <w:highlight w:val="none"/>
                <w:lang w:eastAsia="zh-CN"/>
              </w:rPr>
              <w:t>学生</w:t>
            </w:r>
            <w:r>
              <w:rPr>
                <w:rFonts w:hint="eastAsia"/>
                <w:color w:val="auto"/>
                <w:sz w:val="21"/>
                <w:szCs w:val="21"/>
                <w:highlight w:val="none"/>
              </w:rPr>
              <w:t>可以通过观看操作演示而不需要经过教师培训就能完成整个实训任务。</w:t>
            </w:r>
          </w:p>
          <w:p w14:paraId="6CECA65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前台主要功能模块应包含钱箱管理、凭证管理、个人业务、对公业务、代理业务、贷记卡业务、支付结算、电子商业汇票、纸质商业汇票、大小额支付系统、本票/汇票、委托收款、同城票据纸质交换、贷款业务、网银签约、通用业务、综合查询、业务凭证、年终结算、实习签到、实习任务、课件资源、实习报告等。</w:t>
            </w:r>
          </w:p>
          <w:p w14:paraId="340C774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（4）钱箱管理主要功能应包含了凭证出库、凭证入库、现金出库、现金入库、凭证作废、钱箱轧账等。</w:t>
            </w:r>
          </w:p>
          <w:p w14:paraId="33248F3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（5）凭证管理主要功能应包含凭证（及支票和借记卡）的挂失和解挂、换存单、借记卡换卡、支票出售、取消支票出售、支票核销、取消支票核销和凭证查询功能。</w:t>
            </w:r>
          </w:p>
          <w:p w14:paraId="18FF2DA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（6）个人业务应包括：开立个人银行账户类型为Ⅰ类账户、Ⅱ类账户、Ⅲ类账户。主要业务包含了个人账户管理、活期储蓄、整存整取、定活两便、零存整取、存本取息、通知存款、个人支票、教育储蓄等。</w:t>
            </w:r>
          </w:p>
          <w:p w14:paraId="4B1D2B4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（7）对公业务应包括：对公业务管理、活期及临时存款业务、定期存款账户；</w:t>
            </w:r>
          </w:p>
          <w:p w14:paraId="07B5D55A">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8）代理业务应包含：代理合同管理、代理批量管理、代理明细管理、逐笔代收（有无代理清单）、批量代收（代扣代发）等；贷记卡包括开户、激活、现金存取款、贷记卡转借记卡、挂失解挂、建立自扣还款代理关系、贷记卡反交易等功能；1. 系统采用三层体系结构，能支持强大的并发，满足多用户同时操作及互动。要求系统全程采用工作流引擎来进行驱动，从客户信息收集，担保授信，贷款业务，贷后风险，资产管理，调查诉讼等流程细节，结合真实的不同职业角色切换功能，重现银行信贷业务的全过程。</w:t>
            </w:r>
          </w:p>
          <w:p w14:paraId="1D3E0266">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（9）贷款业务应包括：个人贷款、公司贷款、票据贴现、银行承兑汇票、表外业务等功能；费用业务包括手工费用收取和撤销功能。</w:t>
            </w:r>
          </w:p>
          <w:p w14:paraId="1A5F0FCE">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（10）网银签约应包括：个人和企业网银签约、修改、撤销；存款证明包括开立存款证明交易、存款证明管理交易、存款证明查询交易。</w:t>
            </w:r>
          </w:p>
          <w:p w14:paraId="65B43288">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11）电子商业汇票业务系统模块应包含客户签约、客户签约修改、客户解约、出票信息登记、提出承兑申请、提示收票申请、撤票、转让背书申请、保证申请、质押申请、质押解除申请、提示付款申请、逾期付款申请、追索通知、追索同意清偿申请、撤销、回复、票据查验申请、支付信用查询申请、合同信息查询、网点签约账户查询、电票登记簿查询、支付信用查询、票据信息查询、票据查验信息查询等。</w:t>
            </w:r>
          </w:p>
          <w:p w14:paraId="3C0EB91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12）纸质商业汇票应包含纸票承兑登记业务、未用退回登记业务、纸票贴现登记、转贴现登记、再贴现登记、质押登记、质押解除登记、委托收款登记、结算登记、拒付登记、挂失支付及公示催告登记、止付解除登记、纸票登记信息查询、纸票登记簿查询。</w:t>
            </w:r>
          </w:p>
          <w:p w14:paraId="5A019CEC">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13）大小额支付系统模块应包含跨行汇款业务、大额金融机构贷记业务、小额普通借记业务、小额定期贷记业务、小额定期借记业务、小额协议合同登记、支付业务状态重置、支付业务冲账、借记止付申请业务、查询业务、查复业务、状态查询业务、退回申请业务、退回应答业务、支付系统账务明细查询、支付系统信息业务查询等。</w:t>
            </w:r>
          </w:p>
          <w:p w14:paraId="54C095BA">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14）同城票据纸质交换系统模块应包含同城提出借方交易、同城提出贷方交易、同城提入借方交易、同城提入贷方交易、同城提出退票交易、同城收妥抵用单笔入账、同城收妥抵用批次入账、同城交换退票签收、同城场次切换交易、同城提出紧急场次更改、同城票据交换查询、同城退票查询、同城票据交换撤销等。</w:t>
            </w:r>
          </w:p>
          <w:p w14:paraId="3D096709">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（15）本票、汇票业务应包括签发、兑付、退回、挂失与解挂、查询和重打功能。</w:t>
            </w:r>
          </w:p>
          <w:p w14:paraId="250BE5C7">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（16）委托收款应包括登记、付款、复核、划回功能。</w:t>
            </w:r>
          </w:p>
          <w:p w14:paraId="5EC8883F">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（17）业务处理完成后，系统能提供学生进行账务处理功能，填写记账凭证并记账。记账凭证和记账规则应严格遵循会计准则的要求。</w:t>
            </w:r>
          </w:p>
          <w:p w14:paraId="5B71FAD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4、测评模式技术要求：</w:t>
            </w:r>
          </w:p>
          <w:p w14:paraId="4B3142B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（1）系统应可切换至测评模式，通过系统已设定的测评任务库完成测评。同时，测评模式应可用于组织班级间、校际间银行业务技能竞赛，达到以赛促教、以赛促学的目的。</w:t>
            </w:r>
          </w:p>
          <w:p w14:paraId="32B851A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测评模式应包含手工技能和综合业务两大部分。手工技能应包含点钞、传票算、字符录入、货币识假四个部分；综合主办柜员业务应包含60个任务，涵盖钱箱管理、凭证管理、个人业务、对公业务、代理业务、贷记卡业务、支付结算、贷款业务、费用业务、网银签约、存款证明、通用业务、综合查询、业务凭证、日初业务和日终业务。后台管理端和教师端应可对相关项目进行竞赛管理，竞赛完成后，系统能根据学生的操作自动评分。</w:t>
            </w:r>
          </w:p>
          <w:p w14:paraId="515E49C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（3）教师根据学生掌握的岗位技能情况在后台可设置相应任务，由低到高考核学生岗位技能掌握情况，不同任务可以完成不同的业务技能训练。</w:t>
            </w:r>
          </w:p>
          <w:p w14:paraId="6F5D0E1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5、软件部署方式和服务保障</w:t>
            </w:r>
          </w:p>
          <w:p w14:paraId="6B0301D0">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rPr>
              <w:t>（1）部署方式：采用学校本地部署和云平台双模式，本地部署管理没有人数、权限的限制，学校可自主管理，云端支持辅助备课。</w:t>
            </w:r>
            <w:r>
              <w:rPr>
                <w:rFonts w:hint="eastAsia"/>
                <w:color w:val="auto"/>
                <w:sz w:val="21"/>
                <w:szCs w:val="21"/>
                <w:highlight w:val="none"/>
                <w:lang w:val="en-US" w:eastAsia="zh-CN"/>
              </w:rPr>
              <w:t>保证在采购人未来采购的设备上正常安装使用。</w:t>
            </w:r>
          </w:p>
          <w:p w14:paraId="752CBB21">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（2）服务保障：</w:t>
            </w: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0E368716">
            <w:pPr>
              <w:pStyle w:val="2"/>
              <w:keepNext w:val="0"/>
              <w:keepLines w:val="0"/>
              <w:suppressLineNumbers w:val="0"/>
              <w:spacing w:before="0" w:beforeAutospacing="0" w:afterAutospacing="0"/>
              <w:ind w:left="0" w:leftChars="0" w:right="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（3）升级服务：五</w:t>
            </w:r>
            <w:r>
              <w:rPr>
                <w:rFonts w:hint="default"/>
                <w:color w:val="auto"/>
                <w:sz w:val="21"/>
                <w:szCs w:val="21"/>
                <w:highlight w:val="none"/>
              </w:rPr>
              <w:t>年后如需升级，则按不超过中标金额的3%收取费用。</w:t>
            </w:r>
          </w:p>
        </w:tc>
      </w:tr>
      <w:tr w14:paraId="7036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4" w:type="pct"/>
            <w:vAlign w:val="center"/>
          </w:tcPr>
          <w:p w14:paraId="7813AE7A">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3</w:t>
            </w:r>
          </w:p>
        </w:tc>
        <w:tc>
          <w:tcPr>
            <w:tcW w:w="349" w:type="pct"/>
            <w:vAlign w:val="center"/>
          </w:tcPr>
          <w:p w14:paraId="4676A1A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金融投资实战软件</w:t>
            </w:r>
          </w:p>
        </w:tc>
        <w:tc>
          <w:tcPr>
            <w:tcW w:w="366" w:type="pct"/>
            <w:vAlign w:val="center"/>
          </w:tcPr>
          <w:p w14:paraId="013160F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514" w:type="pct"/>
            <w:vAlign w:val="center"/>
          </w:tcPr>
          <w:p w14:paraId="2124E86A">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5" w:type="pct"/>
            <w:tcBorders>
              <w:left w:val="single" w:color="auto" w:sz="4" w:space="0"/>
              <w:right w:val="single" w:color="auto" w:sz="4" w:space="0"/>
            </w:tcBorders>
            <w:shd w:val="clear" w:color="auto" w:fill="auto"/>
            <w:vAlign w:val="center"/>
          </w:tcPr>
          <w:p w14:paraId="7B5C431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1、系统结构要求：</w:t>
            </w:r>
          </w:p>
          <w:p w14:paraId="71FDD30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系统应为B/S结构，可以直接装在学校服务器上，客户端不需要安装软件，无用户人数限制。</w:t>
            </w:r>
          </w:p>
          <w:p w14:paraId="70D4D77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2、技术要求：</w:t>
            </w:r>
          </w:p>
          <w:p w14:paraId="75AF6FD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银行岗位技能主要考核学生对商业银行综合业务的掌握，通过考核方式形成竞争，让学生能够更熟练处理银行综合柜台各项业务，达到银行实际工作中的柜员入职标准，符合直接上岗的基本要求，柜台业务技能应包括通用业务、个人业务、对公业务、代理业务、个人贷款、公司贷款、支付结算、表外业务、贷记卡业务、网银业务等。</w:t>
            </w:r>
          </w:p>
          <w:p w14:paraId="402F3B9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（1）管理端要求：系统管理：内含机构设置、教师管理、任务说明、传票类型、传票管理、课程管理。课件资源：可提供PPT、doc、mp4上传和下载功能。题库管理：内含题数不低于3000道题。</w:t>
            </w:r>
          </w:p>
          <w:p w14:paraId="7706CCE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教师端要求：系统管理、考勤管理、课件资源、竞赛管理、任务设置、手工技能任务设置、成绩查询、答案查询、补考管理等。创建并管理班级和学生账号，完善的实习成绩及测评成绩管理功能，方便教师掌握学生实习情况及测评成绩。</w:t>
            </w:r>
          </w:p>
          <w:p w14:paraId="3E97D0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▲（3）学生端要求</w:t>
            </w:r>
            <w:r>
              <w:rPr>
                <w:rFonts w:hint="eastAsia"/>
                <w:color w:val="auto"/>
                <w:sz w:val="21"/>
                <w:szCs w:val="21"/>
                <w:highlight w:val="none"/>
                <w:lang w:eastAsia="zh-CN"/>
              </w:rPr>
              <w:t>：</w:t>
            </w:r>
            <w:r>
              <w:rPr>
                <w:rFonts w:hint="eastAsia"/>
                <w:color w:val="auto"/>
                <w:sz w:val="21"/>
                <w:szCs w:val="21"/>
                <w:highlight w:val="none"/>
              </w:rPr>
              <w:t>必须要有实习模式和测评模式，并可由教师实时切换，实习模式用于平台课程实训或专业实习，测评模式用于课程结束进行实训考核或用于组织班级间、校际间岗位技能竞赛。</w:t>
            </w:r>
          </w:p>
          <w:p w14:paraId="0E1923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3、实习模式要求：</w:t>
            </w:r>
          </w:p>
          <w:p w14:paraId="56A48C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采用实习任务驱动模式，让学生可以完整地完成所有实习任务；应包含见习柜员、普通柜员、综合柜员、主办柜员四种岗位角色，四种岗位角色手动升级，由低到高考核学生岗位技能掌握情况，不同岗位可以完成不同的业务技能训练。各功能操作模块应包含任务说明、操作界面、业务凭证、业务流程、账务处理、操作记录、视频帮助等，方便学生自主学习。学生完成实习任务后，系统会根据操作情况生成经验值，游戏化的设计思路，极大地提高了学生的学习及实训兴趣激发学生的学习兴趣，每个银行网点的排行榜会根据柜员的经验值进行排名，督促学生自主学习；</w:t>
            </w:r>
            <w:r>
              <w:rPr>
                <w:rFonts w:hint="eastAsia"/>
                <w:color w:val="auto"/>
                <w:sz w:val="21"/>
                <w:szCs w:val="21"/>
                <w:highlight w:val="none"/>
                <w:lang w:eastAsia="zh-CN"/>
              </w:rPr>
              <w:t>学生</w:t>
            </w:r>
            <w:r>
              <w:rPr>
                <w:rFonts w:hint="eastAsia"/>
                <w:color w:val="auto"/>
                <w:sz w:val="21"/>
                <w:szCs w:val="21"/>
                <w:highlight w:val="none"/>
              </w:rPr>
              <w:t>可以实时查看任务完成及排名情况；系统会在实习任务完成后生成实习报告，学生可以导出并打印实习报告。</w:t>
            </w:r>
          </w:p>
          <w:p w14:paraId="170CC7E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（2）系统针对有需要的任务案例应有相对应的任务流程图、操作视频演示，</w:t>
            </w:r>
            <w:r>
              <w:rPr>
                <w:rFonts w:hint="eastAsia"/>
                <w:color w:val="auto"/>
                <w:sz w:val="21"/>
                <w:szCs w:val="21"/>
                <w:highlight w:val="none"/>
                <w:lang w:eastAsia="zh-CN"/>
              </w:rPr>
              <w:t>学生</w:t>
            </w:r>
            <w:r>
              <w:rPr>
                <w:rFonts w:hint="eastAsia"/>
                <w:color w:val="auto"/>
                <w:sz w:val="21"/>
                <w:szCs w:val="21"/>
                <w:highlight w:val="none"/>
              </w:rPr>
              <w:t>可以通过观看操作演示而不需要经过教师培训就能完成整个实训任务。</w:t>
            </w:r>
          </w:p>
          <w:p w14:paraId="096F8F1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前台主要功能模块应包含钱箱管理、凭证管理、个人业务、对公业务、代理业务、贷记卡业务、支付结算、电子商业汇票、纸质商业汇票、大小额支付系统、本票/汇票、委托收款、同城票据纸质交换、贷款业务、网银签约、通用业务、综合查询、业务凭证、年终结算、实习签到、实习任务、课件资源、实习报告等。</w:t>
            </w:r>
          </w:p>
          <w:p w14:paraId="0A59241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（4）钱箱管理主要功能应包含了凭证出库、凭证入库、现金出库、现金入库、凭证作废、钱箱轧账等。</w:t>
            </w:r>
          </w:p>
          <w:p w14:paraId="0C0BE74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（5）凭证管理主要功能应包含凭证（及支票和借记卡）的挂失和解挂、换存单、借记卡换卡、支票出售、取消支票出售、支票核销、取消支票核销和凭证查询功能。</w:t>
            </w:r>
          </w:p>
          <w:p w14:paraId="4BA703F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（6）个人业务应包括：开立个人银行账户类型为Ⅰ类账户、Ⅱ类账户、Ⅲ类账户。主要业务包含了个人账户管理、活期储蓄、整存整取、定活两便、零存整取、存本取息、通知存款、个人支票、教育储蓄等。</w:t>
            </w:r>
          </w:p>
          <w:p w14:paraId="216E7A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（7）对公业务应包括：对公业务管理、活期及临时存款业务、定期存款账户；</w:t>
            </w:r>
          </w:p>
          <w:p w14:paraId="4E10B63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代理业务应包含：代理合同管理、代理批量管理、代理明细管理、逐笔代收（有无代理清单）、批量代收（代扣代发）等；贷记卡包括开户、激活、现金存取款、贷记卡转借记卡、挂失解挂、建立自扣还款代理关系、贷记卡反交易等功能。系统采用三层体系结构，能支持强大的并发，满足多用户同时操作及互动。要求系统全程采用工作流引擎来进行驱动，从客户信息收集，担保授信，贷款业务，贷后风险，资产管理，调查诉讼等流程细节，结合真实的不同职业角色切换功能，重现银行信贷业务的全过程。</w:t>
            </w:r>
          </w:p>
          <w:p w14:paraId="09C9A777">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（9）贷款业务应包括：个人贷款、公司贷款、票据贴现、银行承兑汇票、表外业务等功能；费用业务包括手工费用收取和撤销功能。</w:t>
            </w:r>
          </w:p>
          <w:p w14:paraId="58ED2C68">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（10）网银签约应包括：个人和企业网银签约、修改、撤销；存款证明包括开立存款证明交易、存款证明管理交易、存款证明查询交易。</w:t>
            </w:r>
          </w:p>
          <w:p w14:paraId="43743F60">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11）电子商业汇票业务系统模块应包含客户签约、客户签约修改、客户解约、出票信息登记、提出承兑申请、提示收票申请、撤票、转让背书申请、保证申请、质押申请、质押解除申请、提示付款申请、逾期付款申请、追索通知、追索同意清偿申请、撤销、回复、票据查验申请、支付信用查询申请、合同信息查询、网点签约账户查询、电票登记簿查询、支付信用查询、票据信息查询、票据查验信息查询等。</w:t>
            </w:r>
          </w:p>
          <w:p w14:paraId="30F3C5B4">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12）纸质商业汇票应包含纸票承兑登记业务、未用退回登记业务、纸票贴现登记、转贴现登记、再贴现登记、质押登记、质押解除登记、委托收款登记、结算登记、拒付登记、挂失支付及公示催告登记、止付解除登记、纸票登记信息查询、纸票登记簿查询。</w:t>
            </w:r>
          </w:p>
          <w:p w14:paraId="35164B5B">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13）大小额支付系统模块应包含跨行汇款业务、大额金融机构贷记业务、小额普通借记业务、小额定期贷记业务、小额定期借记业务、小额协议合同登记、支付业务状态重置、支付业务冲账、借记止付申请业务、查询业务、查复业务、状态查询业务、退回申请业务、退回应答业务、支付系统账务明细查询、支付系统信息业务查询等。</w:t>
            </w:r>
          </w:p>
          <w:p w14:paraId="54F35A5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14）同城票据纸质交换系统模块应包含同城提出借方交易、同城提出贷方交易、同城提入借方交易、同城提入贷方交易、同城提出退票交易、同城收妥抵用单笔入账、同城收妥抵用批次入账、同城交换退票签收、同城场次切换交易、同城提出紧急场次更改、同城票据交换查询、同城退票查询、同城票据交换撤销等。</w:t>
            </w:r>
          </w:p>
          <w:p w14:paraId="7A1EED0D">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（15）本票、汇票业务应包括签发、兑付、退回、挂失与解挂、查询和重打功能。</w:t>
            </w:r>
          </w:p>
          <w:p w14:paraId="70A4E565">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（16）委托收款应包括登记、付款、复核、划回功能。</w:t>
            </w:r>
          </w:p>
          <w:p w14:paraId="4FEB813B">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（17）业务处理完成后，系统能提供学生进行账务处理功能，填写记账凭证并记账。记账凭证和记账规则应严格遵循会计准则的要求。</w:t>
            </w:r>
          </w:p>
          <w:p w14:paraId="6FEB500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4、测评模式技术要求：</w:t>
            </w:r>
          </w:p>
          <w:p w14:paraId="2F57B01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（1）系统应可切换至测评模式，通过系统已设定的测评任务库完成测评。同时，测评模式应可用于组织班级间、校际间银行业务技能竞赛，达到以赛促教、以赛促学的目的。</w:t>
            </w:r>
          </w:p>
          <w:p w14:paraId="6C850AA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测评模式应包含手工技能和综合业务两大部分。手工技能应包含点钞、传票算、字符录入、货币识假四个部分；综合主办柜员业务应包含60个任务，涵盖钱箱管理、凭证管理、个人业务、对公业务、代理业务、贷记卡业务、支付结算、贷款业务、费用业务、网银签约、存款证明、通用业务、综合查询、业务凭证、日初业务和日终业务。后台管理端和教师端应可对相关项目进行竞赛管理，竞赛完成后，系统能根据学生的操作自动评分。</w:t>
            </w:r>
          </w:p>
          <w:p w14:paraId="51048B3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（3）教师根据学生掌握的岗位技能情况在后台可设置相应任务，由低到高考核学生岗位技能掌握情况，不同任务可以完成不同的业务技能训练。</w:t>
            </w:r>
          </w:p>
          <w:p w14:paraId="6BD9CB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5、软件部署方式和服务保障</w:t>
            </w:r>
          </w:p>
          <w:p w14:paraId="5AF61764">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rPr>
              <w:t>（1）部署方式：采用学校本地部署和云平台双模式，本地部署管理没有人数、权限的限制，学校可自主管理，云端支持辅助备课。</w:t>
            </w:r>
            <w:r>
              <w:rPr>
                <w:rFonts w:hint="eastAsia"/>
                <w:color w:val="auto"/>
                <w:sz w:val="21"/>
                <w:szCs w:val="21"/>
                <w:highlight w:val="none"/>
                <w:lang w:val="en-US" w:eastAsia="zh-CN"/>
              </w:rPr>
              <w:t>保证在采购人未来采购的设备上正常安装使用。</w:t>
            </w:r>
          </w:p>
          <w:p w14:paraId="44716293">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（2）服务保障：</w:t>
            </w: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00D9171C">
            <w:pPr>
              <w:pStyle w:val="2"/>
              <w:keepNext w:val="0"/>
              <w:keepLines w:val="0"/>
              <w:suppressLineNumbers w:val="0"/>
              <w:spacing w:before="0" w:beforeAutospacing="0" w:afterAutospacing="0"/>
              <w:ind w:left="0" w:leftChars="0" w:right="0" w:firstLine="0" w:firstLineChars="0"/>
              <w:rPr>
                <w:rFonts w:hint="default"/>
                <w:color w:val="auto"/>
                <w:sz w:val="21"/>
                <w:szCs w:val="21"/>
                <w:highlight w:val="none"/>
              </w:rPr>
            </w:pPr>
            <w:r>
              <w:rPr>
                <w:rFonts w:hint="eastAsia"/>
                <w:color w:val="auto"/>
                <w:sz w:val="21"/>
                <w:szCs w:val="21"/>
                <w:highlight w:val="none"/>
                <w:lang w:val="en-US" w:eastAsia="zh-CN"/>
              </w:rPr>
              <w:t>（3）升级服务：五</w:t>
            </w:r>
            <w:r>
              <w:rPr>
                <w:rFonts w:hint="default"/>
                <w:color w:val="auto"/>
                <w:sz w:val="21"/>
                <w:szCs w:val="21"/>
                <w:highlight w:val="none"/>
              </w:rPr>
              <w:t>年后如需升级，则按不超过中标金额的3%收取费用。</w:t>
            </w:r>
          </w:p>
        </w:tc>
      </w:tr>
      <w:tr w14:paraId="64B9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4" w:type="pct"/>
            <w:vAlign w:val="center"/>
          </w:tcPr>
          <w:p w14:paraId="5D6280E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4</w:t>
            </w:r>
          </w:p>
        </w:tc>
        <w:tc>
          <w:tcPr>
            <w:tcW w:w="349" w:type="pct"/>
            <w:vAlign w:val="center"/>
          </w:tcPr>
          <w:p w14:paraId="5894847A">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个人理财教学实训平台</w:t>
            </w:r>
          </w:p>
        </w:tc>
        <w:tc>
          <w:tcPr>
            <w:tcW w:w="366" w:type="pct"/>
            <w:vAlign w:val="center"/>
          </w:tcPr>
          <w:p w14:paraId="4B8052D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514" w:type="pct"/>
            <w:vAlign w:val="center"/>
          </w:tcPr>
          <w:p w14:paraId="20E8EF3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5" w:type="pct"/>
            <w:tcBorders>
              <w:left w:val="single" w:color="auto" w:sz="4" w:space="0"/>
              <w:right w:val="single" w:color="auto" w:sz="4" w:space="0"/>
            </w:tcBorders>
            <w:shd w:val="clear" w:color="auto" w:fill="auto"/>
            <w:vAlign w:val="center"/>
          </w:tcPr>
          <w:p w14:paraId="3502CCA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1、系统应适合金融、投资、理财、财经、会计、经管类专业进行《个人理财》教学实训使用，主要用于教师上课及学生课堂及课外实训时使用，作为相关课程配套的教学实训软件产品。</w:t>
            </w:r>
          </w:p>
          <w:p w14:paraId="38338A5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2、系统功能模块应包括“系统管理</w:t>
            </w:r>
            <w:r>
              <w:rPr>
                <w:rFonts w:hint="eastAsia"/>
                <w:color w:val="auto"/>
                <w:sz w:val="21"/>
                <w:szCs w:val="21"/>
                <w:highlight w:val="none"/>
                <w:lang w:eastAsia="zh-CN"/>
              </w:rPr>
              <w:t>”“</w:t>
            </w:r>
            <w:r>
              <w:rPr>
                <w:rFonts w:hint="eastAsia"/>
                <w:color w:val="auto"/>
                <w:sz w:val="21"/>
                <w:szCs w:val="21"/>
                <w:highlight w:val="none"/>
              </w:rPr>
              <w:t>考勤管理</w:t>
            </w:r>
            <w:r>
              <w:rPr>
                <w:rFonts w:hint="eastAsia"/>
                <w:color w:val="auto"/>
                <w:sz w:val="21"/>
                <w:szCs w:val="21"/>
                <w:highlight w:val="none"/>
                <w:lang w:eastAsia="zh-CN"/>
              </w:rPr>
              <w:t>”“</w:t>
            </w:r>
            <w:r>
              <w:rPr>
                <w:rFonts w:hint="eastAsia"/>
                <w:color w:val="auto"/>
                <w:sz w:val="21"/>
                <w:szCs w:val="21"/>
                <w:highlight w:val="none"/>
              </w:rPr>
              <w:t>公告管理</w:t>
            </w:r>
            <w:r>
              <w:rPr>
                <w:rFonts w:hint="eastAsia"/>
                <w:color w:val="auto"/>
                <w:sz w:val="21"/>
                <w:szCs w:val="21"/>
                <w:highlight w:val="none"/>
                <w:lang w:eastAsia="zh-CN"/>
              </w:rPr>
              <w:t>”“</w:t>
            </w:r>
            <w:r>
              <w:rPr>
                <w:rFonts w:hint="eastAsia"/>
                <w:color w:val="auto"/>
                <w:sz w:val="21"/>
                <w:szCs w:val="21"/>
                <w:highlight w:val="none"/>
              </w:rPr>
              <w:t>任务管理</w:t>
            </w:r>
            <w:r>
              <w:rPr>
                <w:rFonts w:hint="eastAsia"/>
                <w:color w:val="auto"/>
                <w:sz w:val="21"/>
                <w:szCs w:val="21"/>
                <w:highlight w:val="none"/>
                <w:lang w:eastAsia="zh-CN"/>
              </w:rPr>
              <w:t>”“</w:t>
            </w:r>
            <w:r>
              <w:rPr>
                <w:rFonts w:hint="eastAsia"/>
                <w:color w:val="auto"/>
                <w:sz w:val="21"/>
                <w:szCs w:val="21"/>
                <w:highlight w:val="none"/>
              </w:rPr>
              <w:t>课件资源</w:t>
            </w:r>
            <w:r>
              <w:rPr>
                <w:rFonts w:hint="eastAsia"/>
                <w:color w:val="auto"/>
                <w:sz w:val="21"/>
                <w:szCs w:val="21"/>
                <w:highlight w:val="none"/>
                <w:lang w:eastAsia="zh-CN"/>
              </w:rPr>
              <w:t>”“</w:t>
            </w:r>
            <w:r>
              <w:rPr>
                <w:rFonts w:hint="eastAsia"/>
                <w:color w:val="auto"/>
                <w:sz w:val="21"/>
                <w:szCs w:val="21"/>
                <w:highlight w:val="none"/>
              </w:rPr>
              <w:t>产品管理</w:t>
            </w:r>
            <w:r>
              <w:rPr>
                <w:rFonts w:hint="eastAsia"/>
                <w:color w:val="auto"/>
                <w:sz w:val="21"/>
                <w:szCs w:val="21"/>
                <w:highlight w:val="none"/>
                <w:lang w:eastAsia="zh-CN"/>
              </w:rPr>
              <w:t>”“</w:t>
            </w:r>
            <w:r>
              <w:rPr>
                <w:rFonts w:hint="eastAsia"/>
                <w:color w:val="auto"/>
                <w:sz w:val="21"/>
                <w:szCs w:val="21"/>
                <w:highlight w:val="none"/>
              </w:rPr>
              <w:t>成绩管理</w:t>
            </w:r>
            <w:r>
              <w:rPr>
                <w:rFonts w:hint="eastAsia"/>
                <w:color w:val="auto"/>
                <w:sz w:val="21"/>
                <w:szCs w:val="21"/>
                <w:highlight w:val="none"/>
                <w:lang w:eastAsia="zh-CN"/>
              </w:rPr>
              <w:t>”“</w:t>
            </w:r>
            <w:r>
              <w:rPr>
                <w:rFonts w:hint="eastAsia"/>
                <w:color w:val="auto"/>
                <w:sz w:val="21"/>
                <w:szCs w:val="21"/>
                <w:highlight w:val="none"/>
              </w:rPr>
              <w:t>操作记录</w:t>
            </w:r>
            <w:r>
              <w:rPr>
                <w:rFonts w:hint="eastAsia"/>
                <w:color w:val="auto"/>
                <w:sz w:val="21"/>
                <w:szCs w:val="21"/>
                <w:highlight w:val="none"/>
                <w:lang w:eastAsia="zh-CN"/>
              </w:rPr>
              <w:t>”“</w:t>
            </w:r>
            <w:r>
              <w:rPr>
                <w:rFonts w:hint="eastAsia"/>
                <w:color w:val="auto"/>
                <w:sz w:val="21"/>
                <w:szCs w:val="21"/>
                <w:highlight w:val="none"/>
              </w:rPr>
              <w:t>综合理财规划</w:t>
            </w:r>
            <w:r>
              <w:rPr>
                <w:rFonts w:hint="eastAsia"/>
                <w:color w:val="auto"/>
                <w:sz w:val="21"/>
                <w:szCs w:val="21"/>
                <w:highlight w:val="none"/>
                <w:lang w:eastAsia="zh-CN"/>
              </w:rPr>
              <w:t>”“</w:t>
            </w:r>
            <w:r>
              <w:rPr>
                <w:rFonts w:hint="eastAsia"/>
                <w:color w:val="auto"/>
                <w:sz w:val="21"/>
                <w:szCs w:val="21"/>
                <w:highlight w:val="none"/>
              </w:rPr>
              <w:t>实训任务”等。</w:t>
            </w:r>
          </w:p>
          <w:p w14:paraId="5452821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（1）系统管理应包含部门管理和用户管理；</w:t>
            </w:r>
          </w:p>
          <w:p w14:paraId="6C6F57A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（2）考勤管理可以新增或删除考勤，应包含查看签到和查看报表模块且可以excel的形式导出签到信息和报表。</w:t>
            </w:r>
          </w:p>
          <w:p w14:paraId="15BB32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（3）任务管理中应可修改任务分值和题目是否显示。</w:t>
            </w:r>
          </w:p>
          <w:p w14:paraId="20DD4F7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（4）成绩查询中应包含任务成绩、理财成绩和综合成绩，各项成绩信息都包含登录名、姓名、学号、任务总分值、任务总得分、得分所占比例和完成任务数量。且各项成绩都可以excel的形式导出。</w:t>
            </w:r>
          </w:p>
          <w:p w14:paraId="733763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 xml:space="preserve">（5）操作记录模块可通过部门名称、计划名称、学生、选择任务来查询到学生的具体操作信息。            </w:t>
            </w:r>
          </w:p>
          <w:p w14:paraId="05A27EA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3、系统应可实现多教师管控，对教师管理数量不受限制，教师独立管理对应班级，互不影响具有独立性。系统应提供自助考勤系统，教师无需人工点到，系统可以一键考勤。系统应提供自由切换背景功能。</w:t>
            </w:r>
          </w:p>
          <w:p w14:paraId="28F6065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▲4、系统学生端进行任务操作时应包含任务操作、任务答案和任务解析，其中任务描述中包含任务描述、背景资料和操作区域。学生在操作区域可以进</w:t>
            </w:r>
            <w:r>
              <w:rPr>
                <w:rFonts w:hint="eastAsia"/>
                <w:color w:val="auto"/>
                <w:sz w:val="21"/>
                <w:szCs w:val="21"/>
                <w:highlight w:val="none"/>
                <w:lang w:val="en-US" w:eastAsia="zh-CN"/>
              </w:rPr>
              <w:t>行</w:t>
            </w:r>
            <w:r>
              <w:rPr>
                <w:rFonts w:hint="eastAsia"/>
                <w:color w:val="auto"/>
                <w:sz w:val="21"/>
                <w:szCs w:val="21"/>
                <w:highlight w:val="none"/>
              </w:rPr>
              <w:t>切换角色、提交、暂存和计算成绩。</w:t>
            </w:r>
          </w:p>
          <w:p w14:paraId="1BC4261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5、系统的教师端应可对系统基本信息建立和维护，如教师用户可发布通知公告信息、考勤统计、布置实训任务等。教师用户只能查看自己管理的班级及学生，管理自己的课件资源、实训操作等内容。</w:t>
            </w:r>
          </w:p>
          <w:p w14:paraId="61468A6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6、系统应提供学习平台，可以让学生完成实训任务、作业、查看课件、查看及分析教学案例等。</w:t>
            </w:r>
          </w:p>
          <w:p w14:paraId="446C88A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系统应将理论知识、案例教学的相结合的方式开展实训，并通过扮演客户经理、理财规划师的角色完成现金规划、房产规划、汽车消费规划、教育规划、风险管理和保险规划、退休养老规划、税收筹划任务，并自动生成动态的专业理财报告书，并可根据客户的意愿即时调整规划内容。</w:t>
            </w:r>
          </w:p>
          <w:p w14:paraId="176341B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8、系统的实训任务应有案例说明、具体任务描述、背景资料、操作区域、任务答案、任务解析、暂存、切换角色、提交等。</w:t>
            </w:r>
            <w:r>
              <w:rPr>
                <w:rFonts w:hint="eastAsia"/>
                <w:color w:val="auto"/>
                <w:sz w:val="21"/>
                <w:szCs w:val="21"/>
                <w:highlight w:val="none"/>
                <w:lang w:eastAsia="zh-CN"/>
              </w:rPr>
              <w:t>系统</w:t>
            </w:r>
            <w:r>
              <w:rPr>
                <w:rFonts w:hint="eastAsia"/>
                <w:color w:val="auto"/>
                <w:sz w:val="21"/>
                <w:szCs w:val="21"/>
                <w:highlight w:val="none"/>
              </w:rPr>
              <w:t>可以体验多个角色的工作内容，并有明显的颜色区分的提示，并自动记录学生的操作，学生可根据颜色的变化提示进行操作。操作完成后，系统自动评分，并且标注出对与错的对比。</w:t>
            </w:r>
          </w:p>
          <w:p w14:paraId="5C4D806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9、系统实训任务应具体包括：</w:t>
            </w:r>
          </w:p>
          <w:p w14:paraId="197472F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（1）现金规划至少包含6个任务：储蓄品种、货币市场基金、信用卡融资、现金规划、银行理财产品、互联网金融理财。</w:t>
            </w:r>
          </w:p>
          <w:p w14:paraId="2F084D7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（2）消费支出规划至少包含5个任务：购房财务规划、个人住房商业性贷款、个人住房组合贷款、购房与租房、汽车消费规划。</w:t>
            </w:r>
          </w:p>
          <w:p w14:paraId="4F9258E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（3）教育规划至少包含4个任务：教育资金来源、教育储蓄、教育保险、教育费用需求分析。</w:t>
            </w:r>
          </w:p>
          <w:p w14:paraId="3410D67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（4）风险管理和保险规划至少包含6个任务：保险基础、保险原则、保险合同、人身保险、人身保险额度、财产保险。</w:t>
            </w:r>
          </w:p>
          <w:p w14:paraId="443BFB3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（5）投资规划至少包含4个任务：股票、债券、证券投资基金、基金定投。</w:t>
            </w:r>
          </w:p>
          <w:p w14:paraId="25C6457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（6）退休养老规划至少包含3个任务：社会养老保险、商业养老保险、退休金缺口。</w:t>
            </w:r>
          </w:p>
          <w:p w14:paraId="110C55F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（7）财产分配与传承规划至少包含4个任务：界定客户财产权属、夫妻法定财产、离婚财产分配、财产传承规划咨询服务。</w:t>
            </w:r>
          </w:p>
          <w:p w14:paraId="220BC81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（8）税收规划至少包含5个任务：利用税收优惠政策、分散税基、利用税法弹性、个人居住地迁移、个人所得税。</w:t>
            </w:r>
          </w:p>
          <w:p w14:paraId="71FF4288">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10、系统的教师用户应可查询学生实训成绩及实训任务操作情况，并能根据课程需要自行修改案例和隐藏某一任务案例。</w:t>
            </w:r>
          </w:p>
          <w:p w14:paraId="1CF1FC72">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11、系统应为教师用户提供新增理财产品功能，新增的理财产品种类至少包括教育保险、教育储蓄、银行存款、银行其他理财产品、债券、基金、股票等，且系统自带的理财产品应不少于50个。</w:t>
            </w:r>
          </w:p>
          <w:p w14:paraId="5D830ED3">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12、系统应提供多种数据分析图表供理财规划师选择，如饼状图、条形图、折线图等类型图的图表分析，系统的图表分析应可实现定制化功能，理财规划师能根据自身需要，选择需要的数据图表进行分析，如一张图表中出现A、B、C三种类型数据，学生可以任意选择查看某一类型数据查看，如C，AB，AC等。</w:t>
            </w:r>
          </w:p>
          <w:p w14:paraId="23E600F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13、系统应采用B/S架构，不需要安装客户端软件</w:t>
            </w:r>
            <w:r>
              <w:rPr>
                <w:rFonts w:hint="eastAsia"/>
                <w:color w:val="auto"/>
                <w:sz w:val="21"/>
                <w:szCs w:val="21"/>
                <w:highlight w:val="none"/>
                <w:lang w:eastAsia="zh-CN"/>
              </w:rPr>
              <w:t>，</w:t>
            </w:r>
            <w:r>
              <w:rPr>
                <w:rFonts w:hint="eastAsia"/>
                <w:color w:val="auto"/>
                <w:sz w:val="21"/>
                <w:szCs w:val="21"/>
                <w:highlight w:val="none"/>
              </w:rPr>
              <w:t>无用户人数限制。</w:t>
            </w:r>
          </w:p>
          <w:p w14:paraId="4F2C1C8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14、软件部署方式和服务保障</w:t>
            </w:r>
          </w:p>
          <w:p w14:paraId="3CE4AF9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（1）部署方式：实训平台采用学校本地部署和云平台双模式，本地部署管理没有人数、权限的限制，学校可自主管理，云端支持辅助备课。</w:t>
            </w:r>
          </w:p>
          <w:p w14:paraId="1BDA985B">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服务保障：中标人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4B168CA0">
            <w:pPr>
              <w:pStyle w:val="2"/>
              <w:keepNext w:val="0"/>
              <w:keepLines w:val="0"/>
              <w:suppressLineNumbers w:val="0"/>
              <w:spacing w:before="0" w:beforeAutospacing="0" w:afterAutospacing="0"/>
              <w:ind w:left="0" w:leftChars="0" w:right="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（3）升级服务：五</w:t>
            </w:r>
            <w:r>
              <w:rPr>
                <w:rFonts w:hint="default"/>
                <w:color w:val="auto"/>
                <w:sz w:val="21"/>
                <w:szCs w:val="21"/>
                <w:highlight w:val="none"/>
              </w:rPr>
              <w:t>年后如需升级，则按不超过中标金额的3%收取费用。</w:t>
            </w:r>
          </w:p>
        </w:tc>
      </w:tr>
      <w:tr w14:paraId="47C1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4" w:type="pct"/>
            <w:vAlign w:val="center"/>
          </w:tcPr>
          <w:p w14:paraId="7D963405">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5</w:t>
            </w:r>
          </w:p>
        </w:tc>
        <w:tc>
          <w:tcPr>
            <w:tcW w:w="349" w:type="pct"/>
            <w:vAlign w:val="center"/>
          </w:tcPr>
          <w:p w14:paraId="6BFBD440">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银行票据业务实训教学实训平台</w:t>
            </w:r>
          </w:p>
        </w:tc>
        <w:tc>
          <w:tcPr>
            <w:tcW w:w="366" w:type="pct"/>
            <w:vAlign w:val="center"/>
          </w:tcPr>
          <w:p w14:paraId="7C0B326E">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514" w:type="pct"/>
            <w:vAlign w:val="center"/>
          </w:tcPr>
          <w:p w14:paraId="11C76FE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5" w:type="pct"/>
            <w:tcBorders>
              <w:left w:val="single" w:color="auto" w:sz="4" w:space="0"/>
              <w:right w:val="single" w:color="auto" w:sz="4" w:space="0"/>
            </w:tcBorders>
            <w:shd w:val="clear" w:color="auto" w:fill="auto"/>
            <w:vAlign w:val="center"/>
          </w:tcPr>
          <w:p w14:paraId="319CE1B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1、本系统完全按最新的银行票据业务规范和流程设计开发，掌握和运用票据业务的职业技能。</w:t>
            </w:r>
          </w:p>
          <w:p w14:paraId="3C4836A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2、系统应具有支票、本票、银行汇票、银行承兑汇票、商业承兑汇票、电子银行承兑汇票等票据的正反面展示。</w:t>
            </w:r>
          </w:p>
          <w:p w14:paraId="1FE1147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要求具有支票、本票、银行汇票、银行承兑汇票、商业承兑汇票等票据全业务流程仿真操作功能，可完成票据出票申请、出票、承兑、背书、付款、追索、退票、贴现、转贴现、再贴现、回购、挂失、连续背书、转让、赎回、到期兑付等业务操作；学习银行票据业务操作规范、业务流程、应用实务等。</w:t>
            </w:r>
          </w:p>
          <w:p w14:paraId="4930F08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▲4、系统的</w:t>
            </w:r>
            <w:r>
              <w:rPr>
                <w:rFonts w:hint="eastAsia"/>
                <w:color w:val="auto"/>
                <w:sz w:val="21"/>
                <w:szCs w:val="21"/>
                <w:highlight w:val="none"/>
                <w:lang w:eastAsia="zh-CN"/>
              </w:rPr>
              <w:t>用户</w:t>
            </w:r>
            <w:r>
              <w:rPr>
                <w:rFonts w:hint="eastAsia"/>
                <w:color w:val="auto"/>
                <w:sz w:val="21"/>
                <w:szCs w:val="21"/>
                <w:highlight w:val="none"/>
              </w:rPr>
              <w:t>可充当申请人、出票人、收款人、付款人、承兑人、背书人、被背书人角色，不同业务角色完成不同的票据业务操作。</w:t>
            </w:r>
          </w:p>
          <w:p w14:paraId="0207904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5、系统应支持按任务要求进行票据业务实训，并且提供任务帮助，里面包括实训的具体步骤以及视频演示、可以查看操作日志和答案查询。</w:t>
            </w:r>
          </w:p>
          <w:p w14:paraId="57A5A26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6、系统应包含至少50余个实训任务，教师可以根据实训要求安排实训任务，可以控制每个实训任务启动时间。实训任务完成后，系统会自动评分并有错误查询功能。</w:t>
            </w:r>
          </w:p>
          <w:p w14:paraId="65528AD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所有实训任务应采用真实案例，结合教学需求完成相关任务；每个案例中可灵活调整账务日期，来满足不同案例的需求。具体实训任务包含：普通支票、现金支票、转账支票、本票、银行汇票、银行承兑汇票、商业承兑汇票。</w:t>
            </w:r>
          </w:p>
          <w:p w14:paraId="63D989AD">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（1）普通支票应至少包含7个任务分别为：普通空头支票退票、普通支票挂失、普通支票支付密码原因退票、普通支票印鉴不符退票、普通支票提取备用金、普通支票背书付款等，不得转让普通支票支付设备款；</w:t>
            </w:r>
          </w:p>
          <w:p w14:paraId="3D1AAFA1">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（2）现金支票应至少包含3个任务分别为：现金支票提取备用金、现金支票退票、现金支票挂失等；</w:t>
            </w:r>
          </w:p>
          <w:p w14:paraId="116DBBEC">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3）转账支票应至少包含9个任务分别为：背书转账支票支付广告费、转账支票第二次背书转让、转账支票第三次背书转让、转账支票支付密码错误退票、转账支票印鉴不符退票、转账支票挂失、转账支票背书后挂失等；</w:t>
            </w:r>
          </w:p>
          <w:p w14:paraId="2DD8D377">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（4）本票应至少包含5个任务：银行本票退票、转账银行本票支付货款、银行本票背书兑付、银行本票连续背书转让并兑付、银行本票挂失等；</w:t>
            </w:r>
          </w:p>
          <w:p w14:paraId="52C4FB5F">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（5）银行汇票应至少包含6个任务：银行汇票超出付款期限退票、银行汇票结算货款、银行汇票背书转让、银行汇票退票、银行汇票挂失等；</w:t>
            </w:r>
          </w:p>
          <w:p w14:paraId="1D11B091">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6）银行承兑汇票应至少包含12个任务：银行汇票支付货款、银行承兑汇票背书转让支付货款、银行汇票连续背书转让并兑付、银行汇票协商退票、银行汇票贴现、银行汇票再贴现、银行承兑汇票转贴现、银行承兑汇票赎回式贴现、银行承兑汇票赎回式再贴现、银行汇票背书赎回式转贴现、银行汇票背书转贴现后再贴现、银行汇票挂失等；</w:t>
            </w:r>
          </w:p>
          <w:p w14:paraId="798BEA5C">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7）商业承兑汇票应至少包含11个任务：商承汇票结算货款、商承汇票背书转让结算货款、商承汇票连续背书转让、商业承兑汇票贴现、商承汇票连续背书后转贴现、商承汇票赎回式贴现、商承汇票背书后赎回式转贴现、商承汇票连续背书后赎回式转贴现、商承汇票过期退票、商承汇票挂失、商承汇票到期兑付货款等。</w:t>
            </w:r>
          </w:p>
          <w:p w14:paraId="5E45190A">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8、系统应具有票据审核鉴别仿真实训功能，要求完全按照真实银行票据来填写并审核，包括支票、银行本票、银行汇票、银承汇票、商承汇票，学生审核提交之后会有相对应的答案解析。</w:t>
            </w:r>
          </w:p>
          <w:p w14:paraId="0A8F21E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9、系统应具有票据规范填写及个人签章、企业签章等实训功能，知识准备模块</w:t>
            </w:r>
            <w:r>
              <w:rPr>
                <w:rFonts w:hint="eastAsia"/>
                <w:color w:val="auto"/>
                <w:sz w:val="21"/>
                <w:szCs w:val="21"/>
                <w:highlight w:val="none"/>
                <w:lang w:eastAsia="zh-CN"/>
              </w:rPr>
              <w:t>包含</w:t>
            </w:r>
            <w:r>
              <w:rPr>
                <w:rFonts w:hint="eastAsia"/>
                <w:color w:val="auto"/>
                <w:sz w:val="21"/>
                <w:szCs w:val="21"/>
                <w:highlight w:val="none"/>
              </w:rPr>
              <w:t>中华人民共和国票据法和相关法规。</w:t>
            </w:r>
          </w:p>
          <w:p w14:paraId="0B01FA4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10、</w:t>
            </w:r>
            <w:r>
              <w:rPr>
                <w:rFonts w:hint="eastAsia"/>
                <w:color w:val="auto"/>
                <w:sz w:val="21"/>
                <w:szCs w:val="21"/>
                <w:highlight w:val="none"/>
                <w:lang w:eastAsia="zh-CN"/>
              </w:rPr>
              <w:t>系统</w:t>
            </w:r>
            <w:r>
              <w:rPr>
                <w:rFonts w:hint="eastAsia"/>
                <w:color w:val="auto"/>
                <w:sz w:val="21"/>
                <w:szCs w:val="21"/>
                <w:highlight w:val="none"/>
              </w:rPr>
              <w:t>支持票据当事人任务切换功能，用户可自由切换票据当事人，不同的票据当事人操作不同的票据业务。票据当事人包含申请人、出票人、收款人、付款人、承兑人、背书人、被背书人等。</w:t>
            </w:r>
          </w:p>
          <w:p w14:paraId="1888D94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11、系统应支持按任务要求进行票据业务实训，并实时测评实训成绩，学生操作时可实时了解操作进度与操作错误点，学生可自评自测，教师可通过后台设置是否显示案例答案来选择练习和测评两种模式。</w:t>
            </w:r>
          </w:p>
          <w:p w14:paraId="1FD2ED5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12、系统提供的学生端应可查询自己的实训成绩，管理端教师可以查询各个班级学生的成绩以及具体操作日志，实训成绩可以导出Excel表格。</w:t>
            </w:r>
          </w:p>
          <w:p w14:paraId="0A389B4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13、系统应具有独立版权的，要求采用的B/S架构，无须安装客户端软件。</w:t>
            </w:r>
          </w:p>
          <w:p w14:paraId="113773E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14、软件部署方式和服务保障</w:t>
            </w:r>
          </w:p>
          <w:p w14:paraId="505A252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（1）部署方式：采用学校本地部署和云平台双模式，本地部署管理没有人数、权限的限制，学校可自主管理，云端支持辅助备课。</w:t>
            </w:r>
          </w:p>
          <w:p w14:paraId="19BEAF53">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服务保障：中标人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05DFB0BC">
            <w:pPr>
              <w:pStyle w:val="2"/>
              <w:keepNext w:val="0"/>
              <w:keepLines w:val="0"/>
              <w:suppressLineNumbers w:val="0"/>
              <w:spacing w:before="0" w:beforeAutospacing="0" w:afterAutospacing="0"/>
              <w:ind w:left="0" w:right="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（3）升级服务：五</w:t>
            </w:r>
            <w:r>
              <w:rPr>
                <w:rFonts w:hint="default"/>
                <w:color w:val="auto"/>
                <w:sz w:val="21"/>
                <w:szCs w:val="21"/>
                <w:highlight w:val="none"/>
              </w:rPr>
              <w:t>年后如需升级，则按不超过中标金额的3%收取费用。</w:t>
            </w: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lang w:val="en-US" w:eastAsia="zh-CN"/>
              </w:rPr>
              <w:t>使用用户数：不限制。</w:t>
            </w:r>
          </w:p>
          <w:p w14:paraId="52A17AC7">
            <w:pPr>
              <w:pStyle w:val="2"/>
              <w:keepNext w:val="0"/>
              <w:keepLines w:val="0"/>
              <w:suppressLineNumbers w:val="0"/>
              <w:spacing w:before="0" w:beforeAutospacing="0" w:afterAutospacing="0"/>
              <w:ind w:left="0" w:right="0" w:firstLine="0" w:firstLineChars="0"/>
              <w:rPr>
                <w:rFonts w:hint="default"/>
                <w:color w:val="auto"/>
                <w:sz w:val="21"/>
                <w:szCs w:val="21"/>
                <w:highlight w:val="none"/>
                <w:lang w:val="en-US" w:eastAsia="zh-CN"/>
              </w:rPr>
            </w:pPr>
          </w:p>
        </w:tc>
      </w:tr>
    </w:tbl>
    <w:p w14:paraId="55760F83">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6CEC0C28">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7941BB03">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A41058A">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20BA6A84">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7DE24A4A">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4E2AF096">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0FBABDBC">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122B3993">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149BE7CF">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46A8FAE8">
      <w:pPr>
        <w:spacing w:line="360" w:lineRule="auto"/>
        <w:rPr>
          <w:color w:val="auto"/>
          <w:szCs w:val="21"/>
          <w:highlight w:val="none"/>
        </w:rPr>
      </w:pPr>
      <w:r>
        <w:rPr>
          <w:rFonts w:hint="eastAsia" w:cs="宋体"/>
          <w:color w:val="auto"/>
          <w:szCs w:val="21"/>
          <w:highlight w:val="none"/>
          <w:lang w:bidi="ar"/>
        </w:rPr>
        <w:t>广西南宁市内采购人指定地点。</w:t>
      </w:r>
    </w:p>
    <w:p w14:paraId="47A4359F">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606C4668">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01BEC15E">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3EA17DEA">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42679D33">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252BF574">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5B005638">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486B739D">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6DE544DD">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24E6C478">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369E6D45">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20418713">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2BD9F859">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05D841AE">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100D1D95">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2593011C">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545D34D3">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1039B19F">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1394B91E">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1E0FCCE2">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549E025F">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45A62131">
      <w:pPr>
        <w:spacing w:line="360" w:lineRule="auto"/>
        <w:rPr>
          <w:color w:val="auto"/>
          <w:szCs w:val="21"/>
          <w:highlight w:val="none"/>
        </w:rPr>
      </w:pPr>
      <w:r>
        <w:rPr>
          <w:rFonts w:hint="eastAsia"/>
          <w:color w:val="auto"/>
          <w:szCs w:val="21"/>
          <w:highlight w:val="none"/>
        </w:rPr>
        <w:t>11.1响应时间：在5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r>
        <w:rPr>
          <w:rFonts w:hint="eastAsia"/>
          <w:color w:val="auto"/>
          <w:szCs w:val="21"/>
          <w:highlight w:val="none"/>
          <w:lang w:eastAsia="zh-CN"/>
        </w:rPr>
        <w:t>。</w:t>
      </w:r>
    </w:p>
    <w:p w14:paraId="46F38848">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1A5378F9">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1D18A441">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6177A31E">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0C3E8995">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6E901375">
      <w:pPr>
        <w:rPr>
          <w:color w:val="auto"/>
          <w:highlight w:val="none"/>
        </w:rPr>
      </w:pPr>
      <w:r>
        <w:rPr>
          <w:color w:val="auto"/>
          <w:highlight w:val="none"/>
        </w:rPr>
        <w:br w:type="page"/>
      </w:r>
    </w:p>
    <w:p w14:paraId="53CDD2A0">
      <w:pPr>
        <w:spacing w:before="120" w:beforeLines="50" w:line="360" w:lineRule="auto"/>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10分标：数字经济实验实训软件采购</w:t>
      </w:r>
    </w:p>
    <w:p w14:paraId="1CC6473F">
      <w:pPr>
        <w:spacing w:before="120" w:beforeLines="50"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0278CA3D">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E16EADA">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6957D92E">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08F62683">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3C924AD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425C99A">
      <w:pPr>
        <w:spacing w:line="360" w:lineRule="auto"/>
        <w:rPr>
          <w:color w:val="auto"/>
          <w:szCs w:val="21"/>
          <w:highlight w:val="none"/>
        </w:rPr>
      </w:pPr>
      <w:r>
        <w:rPr>
          <w:rFonts w:hint="eastAsia"/>
          <w:color w:val="auto"/>
          <w:szCs w:val="21"/>
          <w:highlight w:val="none"/>
        </w:rPr>
        <w:t>1.需实现的功能、目标及应用场景</w:t>
      </w:r>
    </w:p>
    <w:p w14:paraId="29B27E51">
      <w:pPr>
        <w:spacing w:line="360" w:lineRule="auto"/>
        <w:rPr>
          <w:color w:val="auto"/>
          <w:szCs w:val="21"/>
          <w:highlight w:val="none"/>
        </w:rPr>
      </w:pPr>
      <w:r>
        <w:rPr>
          <w:rFonts w:hint="eastAsia"/>
          <w:color w:val="auto"/>
          <w:szCs w:val="21"/>
          <w:highlight w:val="none"/>
        </w:rPr>
        <w:t>满足招标文件要求，验收达到合格标准。</w:t>
      </w:r>
    </w:p>
    <w:p w14:paraId="1E4A6817">
      <w:pPr>
        <w:spacing w:line="360" w:lineRule="auto"/>
        <w:rPr>
          <w:color w:val="auto"/>
          <w:szCs w:val="21"/>
          <w:highlight w:val="none"/>
        </w:rPr>
      </w:pPr>
      <w:r>
        <w:rPr>
          <w:rFonts w:hint="eastAsia"/>
          <w:color w:val="auto"/>
          <w:szCs w:val="21"/>
          <w:highlight w:val="none"/>
        </w:rPr>
        <w:t>2.需执行的国家相关标准、行业标准、地方标准或者其他标准、规范</w:t>
      </w:r>
    </w:p>
    <w:p w14:paraId="636BDFE3">
      <w:pPr>
        <w:spacing w:line="360" w:lineRule="auto"/>
        <w:rPr>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详见技术指标要求。</w:t>
      </w:r>
    </w:p>
    <w:p w14:paraId="6E9DC6F8">
      <w:pPr>
        <w:spacing w:line="360" w:lineRule="auto"/>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一般说明</w:t>
      </w:r>
    </w:p>
    <w:p w14:paraId="71EB21EF">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）本章中如提及品牌型号，仅起参考作用。供应商可选用其他品牌型号替代，但这些替代的品牌型号要实质上参照或相当于或优于参考品牌型号及其技术参数性能（配置）要求。</w:t>
      </w:r>
    </w:p>
    <w:p w14:paraId="6B712369">
      <w:pPr>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29C6F1D5">
      <w:pPr>
        <w:spacing w:line="360" w:lineRule="auto"/>
        <w:rPr>
          <w:color w:val="auto"/>
          <w:szCs w:val="21"/>
          <w:highlight w:val="none"/>
        </w:rPr>
      </w:pPr>
      <w:r>
        <w:rPr>
          <w:rFonts w:hint="eastAsia"/>
          <w:color w:val="auto"/>
          <w:szCs w:val="21"/>
          <w:highlight w:val="none"/>
        </w:rPr>
        <w:t>4.核心产品：</w:t>
      </w:r>
    </w:p>
    <w:p w14:paraId="2D4F6936">
      <w:pPr>
        <w:spacing w:line="360" w:lineRule="auto"/>
        <w:rPr>
          <w:color w:val="auto"/>
          <w:szCs w:val="21"/>
          <w:highlight w:val="none"/>
        </w:rPr>
      </w:pPr>
      <w:r>
        <w:rPr>
          <w:rFonts w:hint="eastAsia"/>
          <w:color w:val="auto"/>
          <w:szCs w:val="21"/>
          <w:highlight w:val="none"/>
        </w:rPr>
        <w:t xml:space="preserve">本项目核心产品为： </w:t>
      </w:r>
      <w:r>
        <w:rPr>
          <w:rFonts w:hint="eastAsia"/>
          <w:color w:val="auto"/>
          <w:szCs w:val="21"/>
          <w:highlight w:val="none"/>
          <w:u w:val="single"/>
        </w:rPr>
        <w:t xml:space="preserve">第1项 商务数据分析理实一体化系统 </w:t>
      </w:r>
      <w:r>
        <w:rPr>
          <w:rFonts w:hint="eastAsia"/>
          <w:color w:val="auto"/>
          <w:szCs w:val="21"/>
          <w:highlight w:val="none"/>
        </w:rPr>
        <w:t>。</w:t>
      </w:r>
    </w:p>
    <w:p w14:paraId="3E77A164">
      <w:pPr>
        <w:spacing w:line="360" w:lineRule="auto"/>
        <w:rPr>
          <w:color w:val="auto"/>
          <w:szCs w:val="21"/>
          <w:highlight w:val="none"/>
        </w:rPr>
      </w:pPr>
      <w:r>
        <w:rPr>
          <w:rFonts w:hint="eastAsia"/>
          <w:color w:val="auto"/>
          <w:szCs w:val="21"/>
          <w:highlight w:val="none"/>
        </w:rPr>
        <w:t>5.标的名称、数量、需满足的质量、技术规格或者服务内容和标准一览表：</w:t>
      </w:r>
    </w:p>
    <w:tbl>
      <w:tblPr>
        <w:tblStyle w:val="51"/>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
        <w:gridCol w:w="817"/>
        <w:gridCol w:w="650"/>
        <w:gridCol w:w="947"/>
        <w:gridCol w:w="6957"/>
      </w:tblGrid>
      <w:tr w14:paraId="125D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7BF3B900">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415" w:type="pct"/>
            <w:vAlign w:val="center"/>
          </w:tcPr>
          <w:p w14:paraId="037C8374">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b/>
                <w:bCs/>
                <w:color w:val="auto"/>
                <w:sz w:val="21"/>
                <w:szCs w:val="21"/>
                <w:highlight w:val="none"/>
              </w:rPr>
              <w:t>采购内容</w:t>
            </w:r>
          </w:p>
        </w:tc>
        <w:tc>
          <w:tcPr>
            <w:tcW w:w="330" w:type="pct"/>
            <w:vAlign w:val="center"/>
          </w:tcPr>
          <w:p w14:paraId="0F74FE4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数量</w:t>
            </w:r>
          </w:p>
        </w:tc>
        <w:tc>
          <w:tcPr>
            <w:tcW w:w="481" w:type="pct"/>
            <w:vAlign w:val="center"/>
          </w:tcPr>
          <w:p w14:paraId="6E0AE433">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所属行业</w:t>
            </w:r>
          </w:p>
        </w:tc>
        <w:tc>
          <w:tcPr>
            <w:tcW w:w="3533" w:type="pct"/>
            <w:tcBorders>
              <w:left w:val="single" w:color="auto" w:sz="4" w:space="0"/>
              <w:right w:val="single" w:color="auto" w:sz="4" w:space="0"/>
            </w:tcBorders>
            <w:vAlign w:val="center"/>
          </w:tcPr>
          <w:p w14:paraId="0C10F905">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default"/>
                <w:b/>
                <w:bCs/>
                <w:color w:val="auto"/>
                <w:sz w:val="21"/>
                <w:szCs w:val="21"/>
                <w:highlight w:val="none"/>
              </w:rPr>
              <w:t>技术</w:t>
            </w:r>
            <w:r>
              <w:rPr>
                <w:rFonts w:hint="eastAsia"/>
                <w:b/>
                <w:bCs/>
                <w:color w:val="auto"/>
                <w:sz w:val="21"/>
                <w:szCs w:val="21"/>
                <w:highlight w:val="none"/>
              </w:rPr>
              <w:t>指标要求</w:t>
            </w:r>
          </w:p>
        </w:tc>
      </w:tr>
      <w:tr w14:paraId="2276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3DCAC592">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w:t>
            </w:r>
          </w:p>
        </w:tc>
        <w:tc>
          <w:tcPr>
            <w:tcW w:w="415" w:type="pct"/>
            <w:vAlign w:val="center"/>
          </w:tcPr>
          <w:p w14:paraId="29FAE02A">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商务数据分析理实一体化系统</w:t>
            </w:r>
          </w:p>
        </w:tc>
        <w:tc>
          <w:tcPr>
            <w:tcW w:w="330" w:type="pct"/>
            <w:vAlign w:val="center"/>
          </w:tcPr>
          <w:p w14:paraId="315F9DEB">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481" w:type="pct"/>
            <w:vAlign w:val="center"/>
          </w:tcPr>
          <w:p w14:paraId="56D5F17D">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shd w:val="clear" w:color="auto" w:fill="auto"/>
            <w:vAlign w:val="center"/>
          </w:tcPr>
          <w:p w14:paraId="01DF2975">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一、技术指标</w:t>
            </w:r>
          </w:p>
          <w:p w14:paraId="61EA95A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1.系统应符合B/S架构建设规范，支持PC端运行，支持本地部署及云端部署。</w:t>
            </w:r>
          </w:p>
          <w:p w14:paraId="43AF143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2.系统应构建用户角色管理模块，包含管理员、教师、学生三种用户角色，系统应兼容HTML5内核浏览器，无需下载任何插件。</w:t>
            </w:r>
          </w:p>
          <w:p w14:paraId="0CDD166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3.系统应构建教学资源库，应内置不少于100个教学教辅资源，包含PPT、视频、PDF等。</w:t>
            </w:r>
          </w:p>
          <w:p w14:paraId="696BE11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实训内容包含但不限于Excel、Python、BI工具等内容，实训内容应包含知识学习和虚仿实验（或客观测验）；知识学习应包含课件教案与视频教案；客观测验应内置测试题、虚仿实验应内置实验指导书，支持下载功能，系统应支持自动评分功能。</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319C302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系统应构建数据广场模块，支持开放型的数据分析，应包含BI工具、在线表格、在线PPT、行业数据源、行业研究报告等，行业数据源应不少于8个行业分类，数据源不少于5000份；应支持教师查看研究报告，研究报告中应不少于10个行业分类，行业研究报告应不少于1900份，定期更新。</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5A5E085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6.系统应构建在线Excel工具，应内置案例数据，支持数据处理、函数运算、数据透视表、可视化图表等功能。</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2829C51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7.系统应构建BI工具，应内置案例数据，应提供不少于8个模块的工具供学生使用，支持学生选择并连接节点，设置节点参数， 支持数据整理、数据清洗、机器学习应用等功能，无需编写代码。其中数据处理模块应不少于21个节点，数据建模模块不少于13个节点，模型评估模块应不少于6个节点，时间序列模块应不少于5个节点。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211EEF2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8.系统应构建线上jupyter notebook，应提供和知识点题目相关的markdown和注释，支持学生对代码进行修改、填写，应支持运行代码（支持分段运行）、保存代码。</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5CCD1B7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9.系统构建mysql编译器，应支持运行代码、保存代码、查看sql运行结果。</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723A087E">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二、功能指标</w:t>
            </w:r>
          </w:p>
          <w:p w14:paraId="4CBEAEB3">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（一）教师端：</w:t>
            </w:r>
          </w:p>
          <w:p w14:paraId="0C35005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1.系统应支持的开课模式应不少于2种，应支持教师查看正在授课的实验，实训指导书、实验进度、实验成绩和实验分析等，应内置导入模板供教师下载，应支持教师对班级内学生进行管理。</w:t>
            </w:r>
          </w:p>
          <w:p w14:paraId="5579A12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2.系统应支持教师查看授课历史，应支持教师导出学生成绩及回顾课堂，学生成绩应支持主观打分，打分比例应支持教师手动调整，调整后学生分数应实时更新。</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14692EF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3.系统应支持教师自主上传教案及测试题；应支持教师实时查看学生的实验进度及决策内容；应提供参考答案，并具备实验数据统计功能，随机点名功能；系统应具备实验扩展模块，扩展模块不少于2种。</w:t>
            </w:r>
          </w:p>
          <w:p w14:paraId="018901C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应支持教师查看学情分析，应支持教师查看实训情况，应支持对成绩排名进行筛选及查看成绩明细，应支持教师查看能力掌握情况并通过雷达图形式展示，应支持教师实时查看做研究分析学生的占比，（图表数据应根据学生决策数据保持实时更新），应支持教师在实训设置中设置评分的权重，评分项不少于5项。</w:t>
            </w:r>
          </w:p>
          <w:p w14:paraId="01C31CC1">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（二）学生端：</w:t>
            </w:r>
          </w:p>
          <w:p w14:paraId="25FCB8D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1.系统应支持学生一键进入实验，应支持学生查看实验报告，包含实验分数、教师评分和最终评分，应支持查看实验详情，应内置操作指导，支持学生查看课件教案、视频教案、实验指导书、异常处理方法等。</w:t>
            </w:r>
          </w:p>
          <w:p w14:paraId="20A19A5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学生查看学情分析，应支持学生查看实训情况，支持学生查看能力掌握情况并通过雷达图形式展示（图表数据应根据学生决策数据保持实时更新），应支持学生查看能力分数详情并可查看对应的一级指标、二级指标及对应的指标权重。</w:t>
            </w:r>
          </w:p>
          <w:p w14:paraId="109C8C1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（三）管理员端：</w:t>
            </w:r>
          </w:p>
          <w:p w14:paraId="17ED383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1.系统应支持添加用户，应支持对管理员进行权限分配，可分配权限不少于28种。</w:t>
            </w:r>
          </w:p>
          <w:p w14:paraId="10945C2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2.系统应支持新增、修改banner，具备新增平台介绍、基础信息、后台菜单、通用菜单等功能，应支持新增实验标签、实验类型、学科大类、实验列表、实验视频、教程章节，支持对SEO优化内容进行修改。</w:t>
            </w:r>
          </w:p>
          <w:p w14:paraId="2D96145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3.系统应支持查看教师日志、开课日志、登录日志，应支持按学校开课次数、按教师开课次数、按实验开课次数等数据统计功能。</w:t>
            </w:r>
          </w:p>
          <w:p w14:paraId="06E3ED3B">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三、系统功能</w:t>
            </w:r>
          </w:p>
          <w:p w14:paraId="7FACEB3A">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（一）项目一：职业与工作认知</w:t>
            </w:r>
          </w:p>
          <w:p w14:paraId="72DD3FE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职业认知任务：应包含职业认知与工作认知两项任务，内置客观测验，职业认知测试题应不少于20道，工作认知测试题应不少于40道。</w:t>
            </w:r>
          </w:p>
          <w:p w14:paraId="7D068018">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（二）项目二：Excel数据收集与爬取</w:t>
            </w:r>
          </w:p>
          <w:p w14:paraId="6E3AEB3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1.数据填报收集任务：实验流程应不少于4个环节，参考数据环节应内置相关数据报告，其中数据报告类型应不少于两种。</w:t>
            </w:r>
          </w:p>
          <w:p w14:paraId="6848DB0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在线数据复制与下载任务：实验流程应不少于4个环节，生意参谋环节应包含市场及品类数据，其中市场应包含市场大盘及市场排行，市场大盘中行业趋势指标应不少于11项，支持查看搜索人数趋势变化，市场排行中商品排行指标应不少于2个，每个指标排行信息应不少于50个，排行标准应不少于3种，品类中应包含商品排行，其中商品SKU个数不少于20个，排行标准应不少于4种。</w:t>
            </w:r>
          </w:p>
          <w:p w14:paraId="3ECA7BC5">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3.在线数据复制与下载任务：实验流程应不少于4个环节，生意参谋环节应包含市场及品类数据，其中市场应包含市场大盘及市场排行，市场大盘中行业趋势指标应不少于11项，支持查看搜索人数趋势变化，市场排行中商品排行指标应不少于2个，每个指标排行信息应不少于50个，排行标准应不少于3种，品类中应包含商品排行，其中商品SKU个数不少于20个，排行标准应不少于4种。</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148A9B33">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（三）项目三：BI工具的数据整理</w:t>
            </w:r>
          </w:p>
          <w:p w14:paraId="06569C1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1.数据整理任务：实验流程应不少于3个环节，数据处理环节，应内置BI工具，并且包含不少于6个数据源。</w:t>
            </w:r>
          </w:p>
          <w:p w14:paraId="22DCF324">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（四）项目四： Navicat数据库管理</w:t>
            </w:r>
          </w:p>
          <w:p w14:paraId="456D388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1.数据库创建与数据写入任务：实验流程应不少于3个环节，打开Navicat环节，应内置Navicat模拟工具，应支持学生查看excel数据、新建数据库且在数据库中新建表、创建及修改数据库栏位。</w:t>
            </w:r>
          </w:p>
          <w:p w14:paraId="444CC7F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2.数据查询任务：实验流程应不少于3个环节，打开Navicat环节，应内置Navicat模拟工具和mysql编译器，应支持学生查看excel数据，编写SQL语句，编译结果可执行。</w:t>
            </w:r>
          </w:p>
          <w:p w14:paraId="6F92EB51">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（五）项目五： Excel业务报表设计</w:t>
            </w:r>
          </w:p>
          <w:p w14:paraId="72E00F0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1.盈亏预测报表设计任务：实验流程应不少于3个环节，盈亏平衡分析环节，盈亏预测指标应不少于7项，应至少包含3个表格内容。</w:t>
            </w:r>
          </w:p>
          <w:p w14:paraId="22DACE1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关键词优化报表设计任务：实验流程应不少于4个环节，词根判断环节，词根应不少于13项；词根统计环节，应内置不少于50条数据，需统计的数据不少于5种；弃用建议环节，应支持在“词根统计”数据基础上，选择要弃用的关键词且不少于2个。</w:t>
            </w:r>
          </w:p>
          <w:p w14:paraId="373E0D2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3.单品运营计划报表设计任务：实验流程应不少于2个环节，单品运营计划环节，运营计划指标应不少于10项，运营周期应不少于4个周期，其中每个周期应不少于7天。</w:t>
            </w:r>
          </w:p>
          <w:p w14:paraId="09F37D5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店铺诊断报表设计任务：实验流程应不少于3个环节，店铺指标分析环节，应至少包含4个表格内容，内置数据源报表应不少于3个，店铺整体数据应不少于60条，店铺流量数据应不少于2000条，店铺商品数据应不少于450条；问题诊断环节应不少于2个问题、3个问题选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7704EF2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5.业务报表维护及更新任务：实验流程应不少于4个环节，需要追加的数据环节，应内置不少于45条的数据；关键词优化报表环节，应内置数据源不少于450条数据</w:t>
            </w:r>
            <w:r>
              <w:rPr>
                <w:rFonts w:hint="eastAsia"/>
                <w:color w:val="auto"/>
                <w:sz w:val="21"/>
                <w:szCs w:val="21"/>
                <w:highlight w:val="none"/>
                <w:lang w:eastAsia="zh-CN"/>
              </w:rPr>
              <w:t>，</w:t>
            </w:r>
            <w:r>
              <w:rPr>
                <w:rFonts w:hint="eastAsia"/>
                <w:color w:val="auto"/>
                <w:sz w:val="21"/>
                <w:szCs w:val="21"/>
                <w:highlight w:val="none"/>
              </w:rPr>
              <w:t>优化的关键词不少于13项。内置词根列表不少于15项。</w:t>
            </w:r>
          </w:p>
          <w:p w14:paraId="0C13ADB0">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（六）项目六：python数据收集与爬取</w:t>
            </w:r>
          </w:p>
          <w:p w14:paraId="5783F87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1.静态页面数据采集任务：实验流程应不少于3个环节，静态页面采集环节，应内置网站地址，支持进入网页源代码页面定位目标数据，进入开发者模式查询请求头信息，运用python爬取静态数据。</w:t>
            </w:r>
          </w:p>
          <w:p w14:paraId="5AC26AF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2.动态页面数据采集任务：实验流程应不少于3个环节，动态页面采集环节，应内置网站地址，支持进入网页源代码页面定位目标数据，进入开发者模式查找数据包，运用python爬取动态数据。</w:t>
            </w:r>
          </w:p>
          <w:p w14:paraId="0ACDF65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3.全站遍历采集任务：实验流程应不少于3个环节，全站遍历采集环节，应内置网站地址，支持通过python编写全站遍历代码。</w:t>
            </w:r>
          </w:p>
          <w:p w14:paraId="12C3F80D">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（七）项目七：Python的数据整理</w:t>
            </w:r>
          </w:p>
          <w:p w14:paraId="3BAE2AC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数据整理任务：实验流程应不少于3个环节，数据处理环节，应支持学生</w:t>
            </w:r>
            <w:r>
              <w:rPr>
                <w:rFonts w:hint="eastAsia"/>
                <w:color w:val="auto"/>
                <w:sz w:val="21"/>
                <w:szCs w:val="21"/>
                <w:highlight w:val="none"/>
                <w:lang w:eastAsia="zh-CN"/>
              </w:rPr>
              <w:t>用</w:t>
            </w:r>
            <w:r>
              <w:rPr>
                <w:rFonts w:hint="eastAsia"/>
                <w:color w:val="auto"/>
                <w:sz w:val="21"/>
                <w:szCs w:val="21"/>
                <w:highlight w:val="none"/>
              </w:rPr>
              <w:t>python编写数据整理代码，基于市场数据对多个数据表格进行多方面的批量处理。</w:t>
            </w:r>
          </w:p>
          <w:p w14:paraId="5FE4D57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（八）项目八：Python数据库管理</w:t>
            </w:r>
          </w:p>
          <w:p w14:paraId="50E587E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1.数据库创建与数据写入任务：实验流程应不少于3个环节，创建数据库环节，应支持学生通过Python代码模拟连接mysql数据库、撰写sql语句创建数据库与数据写入。</w:t>
            </w:r>
          </w:p>
          <w:p w14:paraId="08D37DA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2.数据查询任务：实验流程应不少于3个环节，数据库查询环节，应提供数据查询结果的格式供学生参考，应支持学生在Python中撰写sql语句，查询店铺整体数据表。</w:t>
            </w:r>
          </w:p>
          <w:p w14:paraId="3E518B1D">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（九）项目九：Excel电商业务分析</w:t>
            </w:r>
          </w:p>
          <w:p w14:paraId="485B551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1.市场分析与报告任务：实验流程应不少于3个环节，行业数据分析环节，应内置行业数据，且不少于五组数据，每组数据内容不少于45条；行业报告填写环节，填写模块应不少于9项，页面格式可选不少于4种。</w:t>
            </w:r>
          </w:p>
          <w:p w14:paraId="76165E3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2.产品分析与报告任务：实验流程应不少于3个环节，产品数据分析环节，应内置不少于3个模块的内容，不少于16种细分数据；行业报告填写环节，填写模块应不少于8项，页面格式可选不少于4种。</w:t>
            </w:r>
          </w:p>
          <w:p w14:paraId="1599DC3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3.店铺经营分析与报告任务：实验流程应不少于3个环节，产品数据分析环节，应内置不少于5个模块的内容，不少于18种细分数据；行业报告填写环节，填写模块应不少于11项，页面格式可选不少于4种。</w:t>
            </w:r>
          </w:p>
          <w:p w14:paraId="7E7B3C58">
            <w:pPr>
              <w:pStyle w:val="59"/>
              <w:keepNext w:val="0"/>
              <w:keepLines w:val="0"/>
              <w:suppressLineNumbers w:val="0"/>
              <w:spacing w:beforeAutospacing="0" w:afterAutospacing="0"/>
              <w:ind w:left="0" w:right="0"/>
              <w:rPr>
                <w:rFonts w:hint="default"/>
                <w:color w:val="auto"/>
                <w:sz w:val="21"/>
                <w:szCs w:val="21"/>
                <w:highlight w:val="none"/>
              </w:rPr>
            </w:pPr>
            <w:r>
              <w:rPr>
                <w:rFonts w:hint="eastAsia"/>
                <w:color w:val="auto"/>
                <w:sz w:val="21"/>
                <w:szCs w:val="21"/>
                <w:highlight w:val="none"/>
              </w:rPr>
              <w:t>4.消费者分析与报告任务：实验流程应不少于3个环节，消费者数据分析环节，应内置不少于2个模块的内容，不少于10种细分数据；行业报告填写环节，填写模块应不少于8项，页面格式可选不少于4种。</w:t>
            </w:r>
          </w:p>
          <w:p w14:paraId="3057B416">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（十）项目十 Python业务报表设计</w:t>
            </w:r>
          </w:p>
          <w:p w14:paraId="180EA998">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1.盈亏预测报表设计任务：实验流程应不少于3个环节，盈亏平衡分析环节，</w:t>
            </w:r>
          </w:p>
          <w:p w14:paraId="33C01545">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应支持学生通过python进行盈亏预测报表设计，应提供表格格式供学生参考。</w:t>
            </w:r>
          </w:p>
          <w:p w14:paraId="7E0893CB">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关键词优化报表设计任务：实验流程应不少于3个环节，词根分析环节，应内置数据源供学生下载，数据应不少于2500条，应支持学生通过python拆分关键词词根，汇总各词根数据；弃用建议环节，可选弃用词应不少于2个，选项应不少于15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2EE27C1F">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3.单品运营计划报表设计任务：实验流程应不少于3个环节，单品运营计划环节，应支持学生通过python进行单品运营计划报表设计，应提供表格格式供学生参考。</w:t>
            </w:r>
          </w:p>
          <w:p w14:paraId="29ABC7E4">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店铺诊断报表设计任务：实验流程应不少于3个环节，店铺指标分析环节，应内置数据源，其中数据类型应不少于3种，每种数据应不少于60条，应支持学生通过python对不同的数据进行汇总和计算，设计出店铺诊断报表，应提供表格格式供学生参考。</w:t>
            </w:r>
          </w:p>
          <w:p w14:paraId="6E738D58">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5.业务报表维护及更新任务：实验流程应不少于3个环节，关键词优化报表环节，应内置不少于2个数据源，其中数据类型应不少于3种，应提供表格格式供学生参考。</w:t>
            </w:r>
          </w:p>
          <w:p w14:paraId="1A11A33E">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（十一）项目十一 Python电商业务分析</w:t>
            </w:r>
          </w:p>
          <w:p w14:paraId="0A70867E">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市场分析任务：实验流程应不少于3个环节，行业数据分析环节，应内置不少于4个数据源，应内置不少于5个模块的任务，应提供表格格式供学生参考；行业报告填写环节，填写模块应不少于9项，页面格式可选不少于4种。</w:t>
            </w:r>
          </w:p>
          <w:p w14:paraId="3FF3A8C1">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产品分析任务：实验流程应不少于3个环节，行业数据分析环节，应内置不少于4个数据源，应内置不少于3个模块的任务，应提供表格格式供学生参考；行业报告填写环节，填写模块应不少于8项，页面格式可选不少于4种。</w:t>
            </w:r>
          </w:p>
          <w:p w14:paraId="201DB984">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店铺经营分析任务：实验流程应不少于3个环节，店铺经营数据分析环节，应内置不少于4个数据源，应内置不少于5个模块的任务，应提供表格格式供学生参考；行业报告填写环节，填写模块应不少于11项，页面格式可选不少于4种。</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26A074C7">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4.消费者分析任务：实验流程应不少于3个环节，消费者数据分析环节，应内置不少于2个模块的任务；行业报告填写环节，填写模块应不少于8项，页面格式可选不少于4种。</w:t>
            </w:r>
          </w:p>
          <w:p w14:paraId="2667D9D4">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（十二）项目十二 BI工具机器学习应用</w:t>
            </w:r>
          </w:p>
          <w:p w14:paraId="0B3CB317">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1.预测任务：实验流程应不少于3个环节，预测分析环节，应内置BI工具，应内置不少于3个数据源；提交预测结果环节，应支持学生填写结果。</w:t>
            </w:r>
          </w:p>
          <w:p w14:paraId="3822CE8B">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2.聚类任务：实验流程应不少于3个环节，聚类分析环节，应内置BI工具，应内置不少于5555条数据；制定营销方案环节，应支持学生为不同类型消费者设置对应营销方案，其中消费者类型与营销方案应不少于8种。</w:t>
            </w:r>
          </w:p>
          <w:p w14:paraId="44E6F1FE">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3.购物篮分析任务：实验流程应不少于3个环节，购物篮分析环节，应内置不少于5555条数据；设置商品组合环节，设置商品的最佳组合不少于2组，组合产品2不少于90种。</w:t>
            </w:r>
          </w:p>
          <w:p w14:paraId="6539BBDD">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项目</w:t>
            </w:r>
            <w:r>
              <w:rPr>
                <w:rFonts w:hint="eastAsia"/>
                <w:color w:val="auto"/>
                <w:sz w:val="21"/>
                <w:szCs w:val="21"/>
                <w:highlight w:val="none"/>
                <w:lang w:eastAsia="zh-CN"/>
              </w:rPr>
              <w:t>（</w:t>
            </w:r>
            <w:r>
              <w:rPr>
                <w:rFonts w:hint="eastAsia"/>
                <w:color w:val="auto"/>
                <w:sz w:val="21"/>
                <w:szCs w:val="21"/>
                <w:highlight w:val="none"/>
              </w:rPr>
              <w:t>十三</w:t>
            </w:r>
            <w:r>
              <w:rPr>
                <w:rFonts w:hint="eastAsia"/>
                <w:color w:val="auto"/>
                <w:sz w:val="21"/>
                <w:szCs w:val="21"/>
                <w:highlight w:val="none"/>
                <w:lang w:eastAsia="zh-CN"/>
              </w:rPr>
              <w:t>）</w:t>
            </w:r>
            <w:r>
              <w:rPr>
                <w:rFonts w:hint="eastAsia"/>
                <w:color w:val="auto"/>
                <w:sz w:val="21"/>
                <w:szCs w:val="21"/>
                <w:highlight w:val="none"/>
              </w:rPr>
              <w:t xml:space="preserve"> Python机器学习应用</w:t>
            </w:r>
          </w:p>
          <w:p w14:paraId="650F69D1">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4.预测任务：实验流程应不少于3个环节，预测分析环节</w:t>
            </w:r>
            <w:r>
              <w:rPr>
                <w:rFonts w:hint="eastAsia"/>
                <w:color w:val="auto"/>
                <w:sz w:val="21"/>
                <w:szCs w:val="21"/>
                <w:highlight w:val="none"/>
                <w:lang w:eastAsia="zh-CN"/>
              </w:rPr>
              <w:t>，</w:t>
            </w:r>
            <w:r>
              <w:rPr>
                <w:rFonts w:hint="eastAsia"/>
                <w:color w:val="auto"/>
                <w:sz w:val="21"/>
                <w:szCs w:val="21"/>
                <w:highlight w:val="none"/>
              </w:rPr>
              <w:t>应支持学生通过python进行时间序列预测；提交预测结果环节，应支持学生填写结果。</w:t>
            </w:r>
          </w:p>
          <w:p w14:paraId="48D97B18">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5.聚类任务：实验流程应不少于3个环节，聚类分析环节，应支持学生通过python实现RFM客户分类模型；制定营销方案环节，应支持学生为不同类型消费者设置对应营销方案，其中消费者类型与营销方案应不少于8种。</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1F733665">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6.购物篮分析任务：实验流程应不少于3个环节，购物篮分析环节，应支持学生通过python运用FP-growth算法实现购物篮分析；设置商品组合环节，设置商品的最佳组合不少于2组，组合产品2不少于90种。</w:t>
            </w:r>
          </w:p>
          <w:p w14:paraId="64750F3B">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（十四）项目十四 应用水平测验</w:t>
            </w:r>
          </w:p>
          <w:p w14:paraId="04C3F2DD">
            <w:pPr>
              <w:pStyle w:val="3"/>
              <w:keepNext w:val="0"/>
              <w:keepLines w:val="0"/>
              <w:suppressLineNumbers w:val="0"/>
              <w:spacing w:before="0" w:beforeAutospacing="0" w:after="0" w:afterAutospacing="0"/>
              <w:ind w:left="0" w:right="0"/>
              <w:rPr>
                <w:rFonts w:hint="default"/>
                <w:color w:val="auto"/>
                <w:sz w:val="21"/>
                <w:szCs w:val="21"/>
                <w:highlight w:val="none"/>
              </w:rPr>
            </w:pPr>
            <w:r>
              <w:rPr>
                <w:rFonts w:hint="eastAsia"/>
                <w:color w:val="auto"/>
                <w:sz w:val="21"/>
                <w:szCs w:val="21"/>
                <w:highlight w:val="none"/>
              </w:rPr>
              <w:t>1.因果分析测验和果因分析测验任务，应内置测试题，且每个测验不少于15个，应支持查看表格统计和图表统计。</w:t>
            </w:r>
          </w:p>
          <w:p w14:paraId="2EE901BD">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ascii="宋体" w:hAnsi="宋体" w:cs="等线"/>
                <w:b/>
                <w:bCs/>
                <w:color w:val="auto"/>
                <w:sz w:val="21"/>
                <w:szCs w:val="21"/>
                <w:highlight w:val="none"/>
              </w:rPr>
              <w:t>▲</w:t>
            </w:r>
            <w:r>
              <w:rPr>
                <w:rFonts w:hint="eastAsia"/>
                <w:b/>
                <w:bCs/>
                <w:color w:val="auto"/>
                <w:sz w:val="21"/>
                <w:szCs w:val="21"/>
                <w:highlight w:val="none"/>
              </w:rPr>
              <w:t>四、软件部署与服务保障</w:t>
            </w:r>
          </w:p>
          <w:p w14:paraId="2BE1CA0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1.部署模式：采用本地部署和云部署两种模式，</w:t>
            </w:r>
          </w:p>
          <w:p w14:paraId="5D4C3E3D">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lang w:val="en-US" w:eastAsia="zh-CN"/>
              </w:rPr>
              <w:t>服务保障：中标人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3F656077">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rPr>
            </w:pPr>
            <w:r>
              <w:rPr>
                <w:rFonts w:hint="eastAsia"/>
                <w:color w:val="auto"/>
                <w:sz w:val="21"/>
                <w:szCs w:val="21"/>
                <w:highlight w:val="none"/>
                <w:lang w:val="en-US" w:eastAsia="zh-CN"/>
              </w:rPr>
              <w:t>3.升级服务：五</w:t>
            </w:r>
            <w:r>
              <w:rPr>
                <w:rFonts w:hint="default"/>
                <w:color w:val="auto"/>
                <w:sz w:val="21"/>
                <w:szCs w:val="21"/>
                <w:highlight w:val="none"/>
              </w:rPr>
              <w:t>年后</w:t>
            </w:r>
            <w:r>
              <w:rPr>
                <w:rFonts w:hint="eastAsia"/>
                <w:color w:val="auto"/>
                <w:sz w:val="21"/>
                <w:szCs w:val="21"/>
                <w:highlight w:val="none"/>
                <w:lang w:val="en-US" w:eastAsia="zh-CN"/>
              </w:rPr>
              <w:t>本地版本</w:t>
            </w:r>
            <w:r>
              <w:rPr>
                <w:rFonts w:hint="default"/>
                <w:color w:val="auto"/>
                <w:sz w:val="21"/>
                <w:szCs w:val="21"/>
                <w:highlight w:val="none"/>
              </w:rPr>
              <w:t>如需升级，则按不超过中标金额的3%收取费用</w:t>
            </w:r>
            <w:r>
              <w:rPr>
                <w:rFonts w:hint="eastAsia"/>
                <w:color w:val="auto"/>
                <w:sz w:val="21"/>
                <w:szCs w:val="21"/>
                <w:highlight w:val="none"/>
                <w:lang w:val="en-US" w:eastAsia="zh-CN"/>
              </w:rPr>
              <w:t>；云端版本终身升级，持续更新，由此产生的费用已包含在本次投标总价中，采购人不再另行支付。</w:t>
            </w:r>
          </w:p>
          <w:p w14:paraId="4218B336">
            <w:pPr>
              <w:pStyle w:val="2"/>
              <w:keepNext w:val="0"/>
              <w:keepLines w:val="0"/>
              <w:suppressLineNumbers w:val="0"/>
              <w:spacing w:before="0" w:beforeAutospacing="0" w:afterAutospacing="0"/>
              <w:ind w:left="0" w:right="0" w:firstLine="0" w:firstLineChars="0"/>
              <w:rPr>
                <w:rFonts w:hint="default"/>
                <w:color w:val="auto"/>
                <w:sz w:val="21"/>
                <w:szCs w:val="21"/>
                <w:highlight w:val="none"/>
              </w:rPr>
            </w:pPr>
            <w:r>
              <w:rPr>
                <w:rFonts w:hint="eastAsia"/>
                <w:color w:val="auto"/>
                <w:sz w:val="21"/>
                <w:szCs w:val="21"/>
                <w:highlight w:val="none"/>
                <w:lang w:val="en-US" w:eastAsia="zh-CN"/>
              </w:rPr>
              <w:t>4.使用用户数：不限制。</w:t>
            </w:r>
          </w:p>
        </w:tc>
      </w:tr>
      <w:tr w14:paraId="0545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3A6DA94E">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2</w:t>
            </w:r>
          </w:p>
        </w:tc>
        <w:tc>
          <w:tcPr>
            <w:tcW w:w="415" w:type="pct"/>
            <w:vAlign w:val="center"/>
          </w:tcPr>
          <w:p w14:paraId="6D88B3C4">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数字贸易运营理实一体化系统</w:t>
            </w:r>
          </w:p>
        </w:tc>
        <w:tc>
          <w:tcPr>
            <w:tcW w:w="330" w:type="pct"/>
            <w:vAlign w:val="center"/>
          </w:tcPr>
          <w:p w14:paraId="3FE360C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481" w:type="pct"/>
            <w:vAlign w:val="center"/>
          </w:tcPr>
          <w:p w14:paraId="490ED4C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shd w:val="clear" w:color="auto" w:fill="auto"/>
            <w:vAlign w:val="center"/>
          </w:tcPr>
          <w:p w14:paraId="5B32F6E8">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一、技术指标</w:t>
            </w:r>
          </w:p>
          <w:p w14:paraId="076CA82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1.系统应符合B/S架构建设规范，支持PC端运行，支持本地部署及云端部署。</w:t>
            </w:r>
          </w:p>
          <w:p w14:paraId="6070B19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2.系统应构建用户角色管理模块，包含管理员、教师、学生三种用户角色，系统应兼容HTML5内核浏览器，无需下载任何插件。</w:t>
            </w:r>
          </w:p>
          <w:p w14:paraId="23C3ED2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3.系统应构建教学资源库，应内置不少于55个教学教辅资源，包含PPT、视频、PDF等。</w:t>
            </w:r>
          </w:p>
          <w:p w14:paraId="26C792CE">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rPr>
              <w:t>▲4.实训内容包含但不限于Excel、Python、BI工具等内容，实训内容应包含知识学习和虚仿实验（或客观测验）；知识学习应包含课件教案与视频教案；客观测验应内置测试题、虚仿实验应内置实验指导书，支持下载功能，系统应支持自动评分功能。</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392BC7C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系统应构建数据广场模块，支持开放型的数据分析，应包含BI工具、在线表格、在线PPT、行业数据源、行业研究报告等，行业数据源应不少于2类数据，其中亚马逊跨境电商全球数据中心，应不少于15个站点，每个站点应不少于20个类目，静态数据，应不少于8个行业数据，应支持教师查看研究报告，研究报告中应不少于10个行业分类，应支持定期更新。</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64CB55C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6.系统应构建在线Excel工具，应内置案例数据，支持数据处理、函数运算、数据透视表、可视化图表等功能。</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0F64DF0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7.系统应构建BI工具，应内置案例数据，应提供不少于8个模块的工具供学生使用，支持学生选择并连接节点，设置节点参数， 支持数据整理、数据清洗、机器学习应用等功能，无需编写代码。其中数据处理模块应不少于21个节点，数据建模模块不少于13个节点，模型评估模块应不少于6个节点，时间序列模块应不少于5个节点。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67485B5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8.系统应构建线上jupyter notebook，应提供和知识点题目相关的markdown和注释，支持学生对代码进行修改、填写，应支持运行代码（支持分段运行）、保存代码。</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4BE365E2">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二、功能指标</w:t>
            </w:r>
          </w:p>
          <w:p w14:paraId="39FE7705">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（一）教师端：</w:t>
            </w:r>
          </w:p>
          <w:p w14:paraId="6782225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1.系统应支持的开课模式应不少于2种，应支持教师查看正在授课的实验，实训指导书、实验进度、实验成绩和实验分析等，应内置导入模板供教师下载，应支持教师对班级内学生进行管理。</w:t>
            </w:r>
          </w:p>
          <w:p w14:paraId="0A8DD5F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2.系统应支持教师查看授课历史，应支持教师导出学生成绩及回顾课堂，学生成绩应支持主观打分，打分比例应支持教师手动调整，调整后学生分数应实时更新。</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0C9421B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3.系统应支持教师自主上传教案及测试题；应支持教师实时查看学生的实验进度及决策内容；应提供实验解析，并具备实验数据统计功能，随机点名功能；系统应具备实验扩展模块，扩展模块不少于2种。</w:t>
            </w:r>
          </w:p>
          <w:p w14:paraId="3789035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系统应支持教师查看学情分析，应支持教师查看实训情况，应支持对成绩排名进行筛选及查看成绩明细，应支持教师查看能力掌握情况并通过雷达图形式展示，应支持教师实时查看做研究分析学生的占比，（图表数据应根据学生决策数据保持实时更新），应支持教师在实训设置中设置评分的权重，评分项不少于5项。</w:t>
            </w:r>
          </w:p>
          <w:p w14:paraId="6C70D8E6">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（二）学生端：</w:t>
            </w:r>
          </w:p>
          <w:p w14:paraId="4A7FCF9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1.系统应支持学生一键进入实验，应支持学生查看实验报告，包含实验分数、教师评分和最终评分，应支持查看实验详情，应内置操作指导，支持学生查看课件教案、视频教案、实验指导书、异常处理方法等。</w:t>
            </w:r>
          </w:p>
          <w:p w14:paraId="756F909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学生查看学情分析，应支持学生查看实训情况，支持学生查看能力掌握情况并通过雷达图形式展示（图表数据应根据学生决策数据保持实时更新），应支持学生查看能力分数详情并可查看对应的一级指标、二级指标及对应的指标权重。</w:t>
            </w:r>
          </w:p>
          <w:p w14:paraId="77A154EB">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（三）管理员端：</w:t>
            </w:r>
          </w:p>
          <w:p w14:paraId="68DC9F9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1、系统应支持添加用户，应支持对管理员进行权限分配，可分配权限不少于28种。</w:t>
            </w:r>
          </w:p>
          <w:p w14:paraId="45D32C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2、系统应支持新增/修改banner，具备新增平台介绍、基础信息、后台菜单、通用菜单等功能，应支持新增实验标签、实验类型、学科大类、实验列表、实验视频、教程章节，支持对SEO优化内容进行修改。</w:t>
            </w:r>
          </w:p>
          <w:p w14:paraId="337D49D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3、系统应支持查看教师日志、开课日志、登录日志，应支持按学校开课次数、按教师开课次数、按实验开课次数等数据统计功能。</w:t>
            </w:r>
          </w:p>
          <w:p w14:paraId="471B9C6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三、系统功能</w:t>
            </w:r>
          </w:p>
          <w:p w14:paraId="340E068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（一）项目一：行业研究</w:t>
            </w:r>
          </w:p>
          <w:p w14:paraId="01C6F4C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1.行业研究及经营方式确定：实验流程应不少于3个环节，参考数据环节，参考资料应不少于5种；制定决策环节，应内置不少于13道测试题，应支持学生选择平台，选项应不少于4个。</w:t>
            </w:r>
          </w:p>
          <w:p w14:paraId="1E4E832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确定主营地域及主营类目：实验流程应不少于3个环节，参考数据环节，应内置不少于4篇亚马逊站点文章，应支持查看不少于4个站点的第三方数据平台数据，数据量应不少于100条，应支持查看不少于4个国家的谷歌趋势数据，应支持筛选功能；制定决策环节，应内置不少于9道测试题。</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609D2F37">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（二）项目二：市场分析</w:t>
            </w:r>
          </w:p>
          <w:p w14:paraId="3C86ACC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1.数据采集：实验流程应不少于2个环节，数据平台环节，数据类别应不少于3种，市场分析数据应不少于2000条，品牌数据应不少于700条，商品数据应不少于2000条，商品数据种类不少于12种。</w:t>
            </w:r>
          </w:p>
          <w:p w14:paraId="7CC8525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2.数据清洗：实验流程应不少于2个环节，数据平台环节，数据类别应不少于3种；数据清洗阶环节，内置数据源及BI工具，数据源应不少于3个。</w:t>
            </w:r>
          </w:p>
          <w:p w14:paraId="5770C38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3.细分类目市场分析：实验流程应不少于2个环节，数据分析环节，应内置不少于5个模块的内容，应内置数据源，其中品牌数据应不少于50条，商品数据应不少于800条；结果解读环节，应内置不少于8个决策内容。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6BA1E102">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（三）项目三：爆款选品策略</w:t>
            </w:r>
          </w:p>
          <w:p w14:paraId="2FFFDD5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1.国际站爆款特征分析：实验流程应不少于2个环节，数据处理环节，应内置数据源，支持学生运用python进行数据处理；结果解读环节；应内置不少于10个决策内容。</w:t>
            </w:r>
          </w:p>
          <w:p w14:paraId="0A15BBB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2.国际站产品库选品：实验流程应不少于2个环节，潜力值计算环节，支持学生运用python进行潜力值的分析；问题回答环节，应内置不少于5个决策内容。</w:t>
            </w:r>
          </w:p>
          <w:p w14:paraId="5C10B52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3.潜力爆款销售预测：实验流程应不少于2个环节，销量预测环节，应支持学生运用python进行销量预测；问题回答环节，应内置不少于3个决策内容。</w:t>
            </w:r>
          </w:p>
          <w:p w14:paraId="7615A045">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（四）项目四：站外广告投放</w:t>
            </w:r>
          </w:p>
          <w:p w14:paraId="682E4E17">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站外广告投放：实验流程应不少于3个环节，相关资料环节，应内置不少于2篇产品文章，4种产品素材；广告投放环节，应内置不少于3个平台的投放任务，应支持学生自定义设定广告投放方案；制度决策环节，应内置不少于6道测试题。</w:t>
            </w:r>
          </w:p>
          <w:p w14:paraId="54DDC00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TikTok广告测品：实验流程应不少于3个环节，相关资料环节，应内置不少于2篇产品文章，4种产品素材；TikTok投放环节，应支持学生自定义设定广告投放方案，支持查看方案实施结果，应支持通过图表显示详细数据和趋势；制定决策环节，应内置不少于13道测试题。</w:t>
            </w:r>
          </w:p>
          <w:p w14:paraId="65DC31C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TikTok投放优化-点击问题：实验流程应不少于3个环节，产品素材库环节，应内置不少于4种产品素材，素材类型应不少于3种；数据分析环节，应内置案例数据，决策内容应不少于4个；问题分析环节，应内置不少于8道测试题。</w:t>
            </w:r>
          </w:p>
          <w:p w14:paraId="7A2D7D1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TikTok投放优化-转化问题：实验流程应不少于3个环节，产品素材库环节，应内置不少于4种产品素材，素材类型应不少于3种；数据分析环节，应内置案例数据，决策内容应不少于4个，问题分析环节，应内置不少于6道测试题。</w:t>
            </w:r>
          </w:p>
          <w:p w14:paraId="26E6668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b/>
                <w:bCs/>
                <w:color w:val="auto"/>
                <w:sz w:val="21"/>
                <w:szCs w:val="21"/>
                <w:highlight w:val="none"/>
              </w:rPr>
              <w:t xml:space="preserve">（五）项目五：亚马逊站内推广 </w:t>
            </w:r>
            <w:r>
              <w:rPr>
                <w:rFonts w:hint="eastAsia"/>
                <w:color w:val="auto"/>
                <w:sz w:val="21"/>
                <w:szCs w:val="21"/>
                <w:highlight w:val="none"/>
              </w:rPr>
              <w:t xml:space="preserve">   </w:t>
            </w:r>
          </w:p>
          <w:p w14:paraId="553DF4D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1.产品推广关键词筛选：实验流程应不少于2个环节，关键词筛选环节，应支持学生运用python进行关键词的筛选；回答问题环节，应内置不少于3道选择题。</w:t>
            </w:r>
          </w:p>
          <w:p w14:paraId="671FA3E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站内广告搜索优化：实验流程应不少于2个环节，推广效果分析环节，应内置案例数据，决策内容应不少于4个，应内置不少于3道测试题；关键词优化环节，应内置案例数据，决策内容应不少于15个，应内置不少于3道测试题。</w:t>
            </w:r>
          </w:p>
          <w:p w14:paraId="77F8BF9C">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（六）项目六：店铺经营分析</w:t>
            </w:r>
          </w:p>
          <w:p w14:paraId="4C6C339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1.店铺产品分析</w:t>
            </w:r>
            <w:r>
              <w:rPr>
                <w:rFonts w:hint="eastAsia"/>
                <w:color w:val="auto"/>
                <w:sz w:val="21"/>
                <w:szCs w:val="21"/>
                <w:highlight w:val="none"/>
                <w:lang w:eastAsia="zh-CN"/>
              </w:rPr>
              <w:t>：</w:t>
            </w:r>
            <w:r>
              <w:rPr>
                <w:rFonts w:hint="eastAsia"/>
                <w:color w:val="auto"/>
                <w:sz w:val="21"/>
                <w:szCs w:val="21"/>
                <w:highlight w:val="none"/>
              </w:rPr>
              <w:t xml:space="preserve"> 实验流程应不少于2个环节，数据分析环节，应内置案例数据，数据表应不少于8个，决策模块应不少于2个模块；结果解读环节，决策内容应不少于5个。</w:t>
            </w:r>
          </w:p>
          <w:p w14:paraId="3A484EE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2.店铺销售分析：实验流程应不少于2个环节，数据分析环节，应内置案例数据，数据表应不少于6个，决策内容应不少于3个模块；结果解读环节，决策内容不少于3个。</w:t>
            </w:r>
          </w:p>
          <w:p w14:paraId="47BD5BC5">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3.店铺资金链分析：实验流程应不少于2个，数据分析环节，应内置案例数据，数据表应不少于4个；结果解读环节，决策内容应不少于2个。</w:t>
            </w:r>
          </w:p>
          <w:p w14:paraId="4A3BC9F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4.店铺售后分析：实验流程应不少于3个，数据分析环节，应内置BI工具及数据源，数据源应不少于2个；回答问题环节，应内置不少于5道测试题。</w:t>
            </w:r>
          </w:p>
          <w:p w14:paraId="4356B0FF">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b/>
                <w:bCs/>
                <w:color w:val="auto"/>
                <w:sz w:val="21"/>
                <w:szCs w:val="21"/>
                <w:highlight w:val="none"/>
              </w:rPr>
              <w:t>（七）项目七：消费者运营</w:t>
            </w:r>
          </w:p>
          <w:p w14:paraId="375DD109">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店铺客户关系管理：实验流程应不少于2个流程，聚类分析环节，应内置BI工具及数据源，数据量应不少于3000条；制定营销方案环节，应内置不少于5个决策内容，可选择的消费者类型不少于8项，营销方案不少于8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077721DE">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用户行为习惯分析：实验流程应不少于3个，行为习惯分析环节，应内置案例数据，数据表应不少于5个，决策内容应不少于4个模块；购物篮分析环节，应内置BI工具及数据源，数据量应不少于3700条；结果解读环节，决策内容应不少于8个。</w:t>
            </w:r>
          </w:p>
          <w:p w14:paraId="49218BB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3.用户反馈分析</w:t>
            </w:r>
            <w:r>
              <w:rPr>
                <w:rFonts w:hint="eastAsia"/>
                <w:color w:val="auto"/>
                <w:sz w:val="21"/>
                <w:szCs w:val="21"/>
                <w:highlight w:val="none"/>
                <w:lang w:eastAsia="zh-CN"/>
              </w:rPr>
              <w:t>：</w:t>
            </w:r>
            <w:r>
              <w:rPr>
                <w:rFonts w:hint="eastAsia"/>
                <w:color w:val="auto"/>
                <w:sz w:val="21"/>
                <w:szCs w:val="21"/>
                <w:highlight w:val="none"/>
              </w:rPr>
              <w:t>实验流程应不少于2个环节，文本分析环节，应内置BI工具及数据源，数据量应不少于930条评论数据；制定优化方案环节，应内置不少于3个问题。</w:t>
            </w:r>
          </w:p>
          <w:p w14:paraId="745640E6">
            <w:pPr>
              <w:keepNext w:val="0"/>
              <w:keepLines w:val="0"/>
              <w:suppressLineNumbers w:val="0"/>
              <w:spacing w:before="0" w:beforeAutospacing="0" w:after="0" w:afterAutospacing="0" w:line="320" w:lineRule="exact"/>
              <w:ind w:left="0" w:right="0"/>
              <w:rPr>
                <w:rFonts w:hint="default"/>
                <w:b/>
                <w:bCs/>
                <w:color w:val="auto"/>
                <w:sz w:val="21"/>
                <w:szCs w:val="21"/>
                <w:highlight w:val="none"/>
              </w:rPr>
            </w:pPr>
            <w:r>
              <w:rPr>
                <w:rFonts w:hint="eastAsia" w:ascii="宋体" w:hAnsi="宋体" w:cs="等线"/>
                <w:b/>
                <w:bCs/>
                <w:color w:val="auto"/>
                <w:sz w:val="21"/>
                <w:szCs w:val="21"/>
                <w:highlight w:val="none"/>
              </w:rPr>
              <w:t>▲</w:t>
            </w:r>
            <w:r>
              <w:rPr>
                <w:rFonts w:hint="eastAsia"/>
                <w:b/>
                <w:bCs/>
                <w:color w:val="auto"/>
                <w:sz w:val="21"/>
                <w:szCs w:val="21"/>
                <w:highlight w:val="none"/>
              </w:rPr>
              <w:t>四、软件部署与服务保障</w:t>
            </w:r>
          </w:p>
          <w:p w14:paraId="0DA16B98">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1.部署模式：采用本地部署和云部署两种模式，</w:t>
            </w:r>
          </w:p>
          <w:p w14:paraId="48FE969E">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lang w:val="en-US" w:eastAsia="zh-CN"/>
              </w:rPr>
              <w:t>服务保障：中标人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36F0FC16">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rPr>
            </w:pPr>
            <w:r>
              <w:rPr>
                <w:rFonts w:hint="eastAsia"/>
                <w:color w:val="auto"/>
                <w:sz w:val="21"/>
                <w:szCs w:val="21"/>
                <w:highlight w:val="none"/>
                <w:lang w:val="en-US" w:eastAsia="zh-CN"/>
              </w:rPr>
              <w:t>3.升级服务：五</w:t>
            </w:r>
            <w:r>
              <w:rPr>
                <w:rFonts w:hint="default"/>
                <w:color w:val="auto"/>
                <w:sz w:val="21"/>
                <w:szCs w:val="21"/>
                <w:highlight w:val="none"/>
              </w:rPr>
              <w:t>年后</w:t>
            </w:r>
            <w:r>
              <w:rPr>
                <w:rFonts w:hint="eastAsia"/>
                <w:color w:val="auto"/>
                <w:sz w:val="21"/>
                <w:szCs w:val="21"/>
                <w:highlight w:val="none"/>
                <w:lang w:val="en-US" w:eastAsia="zh-CN"/>
              </w:rPr>
              <w:t>本地版本</w:t>
            </w:r>
            <w:r>
              <w:rPr>
                <w:rFonts w:hint="default"/>
                <w:color w:val="auto"/>
                <w:sz w:val="21"/>
                <w:szCs w:val="21"/>
                <w:highlight w:val="none"/>
              </w:rPr>
              <w:t>如需升级，则按不超过中标金额的3%收取费用</w:t>
            </w:r>
            <w:r>
              <w:rPr>
                <w:rFonts w:hint="eastAsia"/>
                <w:color w:val="auto"/>
                <w:sz w:val="21"/>
                <w:szCs w:val="21"/>
                <w:highlight w:val="none"/>
                <w:lang w:val="en-US" w:eastAsia="zh-CN"/>
              </w:rPr>
              <w:t>；云端版本终身升级，持续更新，由此产生的费用已包含在本次投标总价中，采购人不再另行支付。</w:t>
            </w:r>
          </w:p>
          <w:p w14:paraId="5E4BBDD4">
            <w:pPr>
              <w:pStyle w:val="2"/>
              <w:keepNext w:val="0"/>
              <w:keepLines w:val="0"/>
              <w:suppressLineNumbers w:val="0"/>
              <w:spacing w:before="0" w:beforeAutospacing="0" w:afterAutospacing="0"/>
              <w:ind w:left="0" w:right="0" w:firstLine="0" w:firstLineChars="0"/>
              <w:rPr>
                <w:rFonts w:hint="default"/>
                <w:color w:val="auto"/>
                <w:sz w:val="21"/>
                <w:szCs w:val="21"/>
                <w:highlight w:val="none"/>
              </w:rPr>
            </w:pPr>
            <w:r>
              <w:rPr>
                <w:rFonts w:hint="eastAsia"/>
                <w:color w:val="auto"/>
                <w:sz w:val="21"/>
                <w:szCs w:val="21"/>
                <w:highlight w:val="none"/>
                <w:lang w:val="en-US" w:eastAsia="zh-CN"/>
              </w:rPr>
              <w:t>4.使用用户数：不限制。</w:t>
            </w:r>
          </w:p>
        </w:tc>
      </w:tr>
      <w:tr w14:paraId="740B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4AE23A6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3</w:t>
            </w:r>
          </w:p>
        </w:tc>
        <w:tc>
          <w:tcPr>
            <w:tcW w:w="415" w:type="pct"/>
            <w:vAlign w:val="center"/>
          </w:tcPr>
          <w:p w14:paraId="579BAAD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基于用户画像分析的精准营销实验软件</w:t>
            </w:r>
          </w:p>
        </w:tc>
        <w:tc>
          <w:tcPr>
            <w:tcW w:w="330" w:type="pct"/>
            <w:vAlign w:val="center"/>
          </w:tcPr>
          <w:p w14:paraId="0BE81D43">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481" w:type="pct"/>
            <w:vAlign w:val="center"/>
          </w:tcPr>
          <w:p w14:paraId="669E3489">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shd w:val="clear" w:color="auto" w:fill="auto"/>
            <w:vAlign w:val="center"/>
          </w:tcPr>
          <w:p w14:paraId="54C2959A">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rPr>
              <w:t>▲1.实验全过程以3D形式展开，应内置引导功能，应支持学生查看实验规则，实验流程应不少于以下环节：知识学习、统计报告、用户画像、促销方案、提交成绩等环节。</w:t>
            </w:r>
            <w:r>
              <w:rPr>
                <w:rFonts w:hint="eastAsia"/>
                <w:color w:val="auto"/>
                <w:sz w:val="21"/>
                <w:szCs w:val="21"/>
                <w:highlight w:val="none"/>
                <w:lang w:eastAsia="zh-CN"/>
              </w:rPr>
              <w:t>（</w:t>
            </w:r>
            <w:r>
              <w:rPr>
                <w:rFonts w:hint="eastAsia"/>
                <w:color w:val="auto"/>
                <w:sz w:val="21"/>
                <w:szCs w:val="21"/>
                <w:highlight w:val="none"/>
                <w:lang w:val="en-US" w:eastAsia="zh-CN"/>
              </w:rPr>
              <w:t>递交响应文件时提供功能截图并加盖供应商公章）</w:t>
            </w:r>
          </w:p>
          <w:p w14:paraId="5623A25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2.内置办公室3D场景，场景内人物数量不少于6位，同时应内置“用户画像</w:t>
            </w:r>
            <w:r>
              <w:rPr>
                <w:rFonts w:hint="eastAsia"/>
                <w:color w:val="auto"/>
                <w:sz w:val="21"/>
                <w:szCs w:val="21"/>
                <w:highlight w:val="none"/>
                <w:lang w:eastAsia="zh-CN"/>
              </w:rPr>
              <w:t>”“</w:t>
            </w:r>
            <w:r>
              <w:rPr>
                <w:rFonts w:hint="eastAsia"/>
                <w:color w:val="auto"/>
                <w:sz w:val="21"/>
                <w:szCs w:val="21"/>
                <w:highlight w:val="none"/>
              </w:rPr>
              <w:t>数据挖掘和机器学习</w:t>
            </w:r>
            <w:r>
              <w:rPr>
                <w:rFonts w:hint="eastAsia"/>
                <w:color w:val="auto"/>
                <w:sz w:val="21"/>
                <w:szCs w:val="21"/>
                <w:highlight w:val="none"/>
                <w:lang w:eastAsia="zh-CN"/>
              </w:rPr>
              <w:t>”“</w:t>
            </w:r>
            <w:r>
              <w:rPr>
                <w:rFonts w:hint="eastAsia"/>
                <w:color w:val="auto"/>
                <w:sz w:val="21"/>
                <w:szCs w:val="21"/>
                <w:highlight w:val="none"/>
              </w:rPr>
              <w:t>精准营销”等理论知识，应内置测试题，具备自动评分功能，内置纠错功能，学生提交或选择错误后应给出提示。</w:t>
            </w:r>
          </w:p>
          <w:p w14:paraId="7577DBF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3.统计报告环节：应内置网站统计图表、已流失未流失人群特征对比，实验数据应为企业真实数据，网站数据统计图表不少于14种，已流失未流失人群特征对比图表可筛选项不少于15项。</w:t>
            </w:r>
          </w:p>
          <w:p w14:paraId="170678C3">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用户画像环节：应支持学生手动创建画像和机器创建画像，手动创建画像阶段应支持学生自主选择相对应的字段，可选择属性数应不少于18个，群体人数应根据决策筛选项实时更新，机器创建画像系统内置关联、聚类、预测算法，学生使用算法后，系统应输出一个结果供学生参考，在聚类算法中应支持将新数据集进行保存，在预测算法中应支持将聚类中的数据集进行关联选择。</w:t>
            </w:r>
          </w:p>
          <w:p w14:paraId="3F2E19F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5.促销方案环节：应支持新增方案及对已有方案进行查看或者删除，系统应内置算法判断创建的用户数量汇总不能大于1000，制定方案时系统应支持显示商品名称、售价、成本；其中系统提供的短信模板应不少于5种，开始实施方案后应支持3D动画形式模拟精准营销实施的过程，其中动画界面不少于9种，实施结束后应支持会议的形式反馈本次的营销结果场景内人物不少于5位。</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1B43507E">
            <w:pPr>
              <w:keepNext w:val="0"/>
              <w:keepLines w:val="0"/>
              <w:suppressLineNumbers w:val="0"/>
              <w:spacing w:before="0" w:beforeAutospacing="0" w:after="0" w:afterAutospacing="0" w:line="320" w:lineRule="exact"/>
              <w:ind w:left="0" w:right="0"/>
              <w:rPr>
                <w:rFonts w:hint="default" w:eastAsia="宋体"/>
                <w:color w:val="auto"/>
                <w:sz w:val="21"/>
                <w:szCs w:val="21"/>
                <w:highlight w:val="none"/>
                <w:lang w:val="en-US" w:eastAsia="zh-CN"/>
              </w:rPr>
            </w:pPr>
            <w:r>
              <w:rPr>
                <w:rFonts w:hint="eastAsia"/>
                <w:color w:val="auto"/>
                <w:sz w:val="21"/>
                <w:szCs w:val="21"/>
                <w:highlight w:val="none"/>
              </w:rPr>
              <w:t>▲6.提交成绩环节：应支持学生查看“实验报告”，实验报告内容应有知识测评分，精准营销分及实验总分，如学生对实验成绩不满意可以多次进行实验数据调整。</w:t>
            </w:r>
            <w:r>
              <w:rPr>
                <w:rFonts w:hint="eastAsia"/>
                <w:color w:val="auto"/>
                <w:sz w:val="21"/>
                <w:szCs w:val="21"/>
                <w:highlight w:val="none"/>
                <w:lang w:eastAsia="zh-CN"/>
              </w:rPr>
              <w:t>（</w:t>
            </w:r>
            <w:r>
              <w:rPr>
                <w:rFonts w:hint="eastAsia"/>
                <w:color w:val="auto"/>
                <w:sz w:val="21"/>
                <w:szCs w:val="21"/>
                <w:highlight w:val="none"/>
                <w:lang w:val="en-US" w:eastAsia="zh-CN"/>
              </w:rPr>
              <w:t>递交响应文件时提供功能截图并加盖供应商公章）</w:t>
            </w:r>
          </w:p>
          <w:p w14:paraId="27FE317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7.软件部署与服务保障</w:t>
            </w:r>
          </w:p>
          <w:p w14:paraId="536A5722">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7.1部署模式：采用本地部署和云部署两种模式，</w:t>
            </w:r>
          </w:p>
          <w:p w14:paraId="05BE4EAA">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7.2服务保障：</w:t>
            </w:r>
            <w:r>
              <w:rPr>
                <w:rFonts w:hint="eastAsia"/>
                <w:color w:val="auto"/>
                <w:sz w:val="21"/>
                <w:szCs w:val="21"/>
                <w:highlight w:val="none"/>
                <w:lang w:val="en-US" w:eastAsia="zh-CN"/>
              </w:rPr>
              <w:t>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6AB79401">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rPr>
            </w:pPr>
            <w:r>
              <w:rPr>
                <w:rFonts w:hint="eastAsia"/>
                <w:color w:val="auto"/>
                <w:sz w:val="21"/>
                <w:szCs w:val="21"/>
                <w:highlight w:val="none"/>
                <w:lang w:val="en-US" w:eastAsia="zh-CN"/>
              </w:rPr>
              <w:t>7.3升级服务：五</w:t>
            </w:r>
            <w:r>
              <w:rPr>
                <w:rFonts w:hint="default"/>
                <w:color w:val="auto"/>
                <w:sz w:val="21"/>
                <w:szCs w:val="21"/>
                <w:highlight w:val="none"/>
              </w:rPr>
              <w:t>年后</w:t>
            </w:r>
            <w:r>
              <w:rPr>
                <w:rFonts w:hint="eastAsia"/>
                <w:color w:val="auto"/>
                <w:sz w:val="21"/>
                <w:szCs w:val="21"/>
                <w:highlight w:val="none"/>
                <w:lang w:val="en-US" w:eastAsia="zh-CN"/>
              </w:rPr>
              <w:t>本地版本</w:t>
            </w:r>
            <w:r>
              <w:rPr>
                <w:rFonts w:hint="default"/>
                <w:color w:val="auto"/>
                <w:sz w:val="21"/>
                <w:szCs w:val="21"/>
                <w:highlight w:val="none"/>
              </w:rPr>
              <w:t>如需升级，则按不超过中标金额的3%收取费用</w:t>
            </w:r>
            <w:r>
              <w:rPr>
                <w:rFonts w:hint="eastAsia"/>
                <w:color w:val="auto"/>
                <w:sz w:val="21"/>
                <w:szCs w:val="21"/>
                <w:highlight w:val="none"/>
                <w:lang w:val="en-US" w:eastAsia="zh-CN"/>
              </w:rPr>
              <w:t>；云端版本终身升级，持续更新，由此产生的费用已包含在本次投标总价中，采购人不再另行支付。</w:t>
            </w:r>
          </w:p>
          <w:p w14:paraId="501DEA95">
            <w:pPr>
              <w:pStyle w:val="2"/>
              <w:keepNext w:val="0"/>
              <w:keepLines w:val="0"/>
              <w:suppressLineNumbers w:val="0"/>
              <w:spacing w:before="0" w:beforeAutospacing="0" w:afterAutospacing="0"/>
              <w:ind w:left="0" w:right="0" w:firstLine="0" w:firstLineChars="0"/>
              <w:rPr>
                <w:rFonts w:hint="default"/>
                <w:color w:val="auto"/>
                <w:sz w:val="21"/>
                <w:szCs w:val="21"/>
                <w:highlight w:val="none"/>
              </w:rPr>
            </w:pPr>
            <w:r>
              <w:rPr>
                <w:rFonts w:hint="eastAsia"/>
                <w:color w:val="auto"/>
                <w:sz w:val="21"/>
                <w:szCs w:val="21"/>
                <w:highlight w:val="none"/>
                <w:lang w:val="en-US" w:eastAsia="zh-CN"/>
              </w:rPr>
              <w:t>7.4使用用户数：不限制。</w:t>
            </w:r>
          </w:p>
        </w:tc>
      </w:tr>
      <w:tr w14:paraId="4D20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vAlign w:val="center"/>
          </w:tcPr>
          <w:p w14:paraId="42F2F83B">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4</w:t>
            </w:r>
          </w:p>
        </w:tc>
        <w:tc>
          <w:tcPr>
            <w:tcW w:w="415" w:type="pct"/>
            <w:vAlign w:val="center"/>
          </w:tcPr>
          <w:p w14:paraId="53F0A58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基于内容营销的IP打造和运营实验软件</w:t>
            </w:r>
          </w:p>
        </w:tc>
        <w:tc>
          <w:tcPr>
            <w:tcW w:w="330" w:type="pct"/>
            <w:vAlign w:val="center"/>
          </w:tcPr>
          <w:p w14:paraId="589C4BC0">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olor w:val="auto"/>
                <w:sz w:val="21"/>
                <w:szCs w:val="21"/>
                <w:highlight w:val="none"/>
              </w:rPr>
              <w:t>1套</w:t>
            </w:r>
          </w:p>
        </w:tc>
        <w:tc>
          <w:tcPr>
            <w:tcW w:w="481" w:type="pct"/>
            <w:vAlign w:val="center"/>
          </w:tcPr>
          <w:p w14:paraId="2F17B80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rPr>
              <w:t>软件和信息技术服务业</w:t>
            </w:r>
          </w:p>
        </w:tc>
        <w:tc>
          <w:tcPr>
            <w:tcW w:w="3533" w:type="pct"/>
            <w:tcBorders>
              <w:left w:val="single" w:color="auto" w:sz="4" w:space="0"/>
              <w:right w:val="single" w:color="auto" w:sz="4" w:space="0"/>
            </w:tcBorders>
            <w:shd w:val="clear" w:color="auto" w:fill="auto"/>
            <w:vAlign w:val="center"/>
          </w:tcPr>
          <w:p w14:paraId="25C30B2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▲1. 实验全过程以3D形式展开，对话人物应不少于2个，应支持引导功能，应支持学生查看实验规则，实验应不少于以下环节：背景介绍、市场与用户定位、产品设计与研发、第一个月内容营销、第二个月内容营销、第三个月内容营销、第四个月内容营销、第五个月内容营销、第六个月内容营销、IP变现方案制定、实验总结等环节。</w:t>
            </w:r>
            <w:r>
              <w:rPr>
                <w:rFonts w:hint="eastAsia"/>
                <w:color w:val="auto"/>
                <w:sz w:val="21"/>
                <w:szCs w:val="21"/>
                <w:highlight w:val="none"/>
                <w:lang w:eastAsia="zh-CN"/>
              </w:rPr>
              <w:t>（</w:t>
            </w:r>
            <w:r>
              <w:rPr>
                <w:rFonts w:hint="eastAsia"/>
                <w:color w:val="auto"/>
                <w:sz w:val="21"/>
                <w:szCs w:val="21"/>
                <w:highlight w:val="none"/>
                <w:lang w:val="en-US" w:eastAsia="zh-CN"/>
              </w:rPr>
              <w:t>递交响应文件时提供功能截图并加盖供应商公章）</w:t>
            </w:r>
          </w:p>
          <w:p w14:paraId="6141CC70">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2.背景介绍环节：系统应以3D形式展开，对话人物应不少于2个，系统应支持学生查看实验规则。</w:t>
            </w:r>
          </w:p>
          <w:p w14:paraId="1255892B">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3.市场与用户定位环节：系统应以3D形式展开，对话人物应不少于3个，系统应支持学生查看宏观分析，其中宏观分析应不少于3项内容供学生查看，系统应支持学生进行市场与用户定位，其中市场与用户定位应不少于6个决策内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70EA23A1">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4.产品设计与研发环节：系统应以3D形式展开，对话人物应不少于3个，系统应支持学生查看市场与用户定位，系统应支持学生进行产品设计并查看竞品分析，其中产品设计至少包含以下设计：定位、成分、包装，每个设计的决策项应不少于5个。</w:t>
            </w:r>
          </w:p>
          <w:p w14:paraId="27B5D8BD">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第一个月内容营销环节：系统应以3D形式展开，对话人物应不少于3个，系统应支持学生查看不少于以下内容：市场与用户定位、产品设计、社会热点分析，系统应支持学生制定内容营销计划，其中内容营销计划应内置新增功能，系统应支持新增项至少包含以下内容：基本日常、线上挑战、KOL合作，其中基本日常、线上挑战的新增过程应不少于4个，KOL合作的新增选项至少包含以下内容：微博、抖音、小红书。</w:t>
            </w:r>
            <w:r>
              <w:rPr>
                <w:rFonts w:hint="eastAsia"/>
                <w:color w:val="auto"/>
                <w:sz w:val="21"/>
                <w:szCs w:val="21"/>
                <w:highlight w:val="none"/>
                <w:lang w:eastAsia="zh-CN"/>
              </w:rPr>
              <w:t>（</w:t>
            </w:r>
            <w:r>
              <w:rPr>
                <w:rFonts w:hint="eastAsia"/>
                <w:color w:val="auto"/>
                <w:sz w:val="21"/>
                <w:szCs w:val="21"/>
                <w:highlight w:val="none"/>
                <w:lang w:val="en-US" w:eastAsia="zh-CN"/>
              </w:rPr>
              <w:t>递交响应文件时提供功能截图并加盖供应商公章）</w:t>
            </w:r>
          </w:p>
          <w:p w14:paraId="1C4D55CA">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6.第二个月内容营销环节：系统应以3D形式展开，对话人物应不少于3个，系统应支持学生查看不少于以下内容：市场与用户定位、产品设计、社会热点分析，系统应支持学生制定内容营销计划，其中内容营销计划应内置新增功能，系统应支持新增项至少包含以下内容：基本日常、线上挑战、KOL合作，其中基本日常、线上挑战的新增过程应不少于4个，KOL合作的新增选项至少包含以下内容：微博、抖音、小红书，系统应支持查看前面月份内容营销，系统应内置复制功能，支持一键复制前面月份内容营销，系统应内置修改功能，支持修改复制的内容营销。</w:t>
            </w:r>
          </w:p>
          <w:p w14:paraId="756D57FC">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rPr>
              <w:t>7.实验总结环节：系统应以3D形式展开，系统应支持学生查看实验报告，实验报告应提供学生的分数、总得分以及学生具体的得分内容。</w:t>
            </w:r>
            <w:r>
              <w:rPr>
                <w:rFonts w:hint="eastAsia"/>
                <w:color w:val="auto"/>
                <w:sz w:val="21"/>
                <w:szCs w:val="21"/>
                <w:highlight w:val="none"/>
                <w:lang w:eastAsia="zh-CN"/>
              </w:rPr>
              <w:t>（</w:t>
            </w:r>
            <w:r>
              <w:rPr>
                <w:rFonts w:hint="eastAsia"/>
                <w:color w:val="auto"/>
                <w:sz w:val="21"/>
                <w:szCs w:val="21"/>
                <w:highlight w:val="none"/>
                <w:lang w:val="en-US" w:eastAsia="zh-CN"/>
              </w:rPr>
              <w:t>递交响应文件提供功能截图并加盖供应商公章）</w:t>
            </w:r>
          </w:p>
          <w:p w14:paraId="79690B5F">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ascii="宋体" w:hAnsi="宋体" w:cs="等线"/>
                <w:b/>
                <w:bCs/>
                <w:color w:val="auto"/>
                <w:sz w:val="21"/>
                <w:szCs w:val="21"/>
                <w:highlight w:val="none"/>
              </w:rPr>
              <w:t>▲</w:t>
            </w:r>
            <w:r>
              <w:rPr>
                <w:rFonts w:hint="eastAsia"/>
                <w:color w:val="auto"/>
                <w:sz w:val="21"/>
                <w:szCs w:val="21"/>
                <w:highlight w:val="none"/>
              </w:rPr>
              <w:t>8.软件部署与服务保障</w:t>
            </w:r>
          </w:p>
          <w:p w14:paraId="3FD357D6">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部署模式：采用本地部署和云部署两种模式，</w:t>
            </w:r>
          </w:p>
          <w:p w14:paraId="178D8CE7">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lang w:val="en-US" w:eastAsia="zh-CN"/>
              </w:rPr>
              <w:t>服务保障：中标人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签订合同并交付验收合格后五</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w:t>
            </w:r>
            <w:r>
              <w:rPr>
                <w:rFonts w:hint="eastAsia"/>
                <w:color w:val="auto"/>
                <w:sz w:val="21"/>
                <w:szCs w:val="21"/>
                <w:highlight w:val="none"/>
                <w:lang w:val="en-US" w:eastAsia="zh-CN"/>
              </w:rPr>
              <w:t>五</w:t>
            </w:r>
            <w:r>
              <w:rPr>
                <w:rFonts w:hint="default"/>
                <w:color w:val="auto"/>
                <w:sz w:val="21"/>
                <w:szCs w:val="21"/>
                <w:highlight w:val="none"/>
              </w:rPr>
              <w:t>年质保期限的维护与升级、适配开发服务，由此产生的费用已包含在本次投标总价中，采购人不再另行支付。</w:t>
            </w:r>
          </w:p>
          <w:p w14:paraId="301D290F">
            <w:pPr>
              <w:pStyle w:val="2"/>
              <w:keepNext w:val="0"/>
              <w:keepLines w:val="0"/>
              <w:suppressLineNumbers w:val="0"/>
              <w:spacing w:before="0" w:beforeAutospacing="0" w:afterAutospacing="0"/>
              <w:ind w:left="0" w:leftChars="0" w:right="0" w:firstLine="0" w:firstLineChars="0"/>
              <w:rPr>
                <w:rFonts w:hint="eastAsia"/>
                <w:color w:val="auto"/>
                <w:sz w:val="21"/>
                <w:szCs w:val="21"/>
                <w:highlight w:val="none"/>
              </w:rPr>
            </w:pPr>
            <w:r>
              <w:rPr>
                <w:rFonts w:hint="eastAsia"/>
                <w:color w:val="auto"/>
                <w:sz w:val="21"/>
                <w:szCs w:val="21"/>
                <w:highlight w:val="none"/>
                <w:lang w:val="en-US" w:eastAsia="zh-CN"/>
              </w:rPr>
              <w:t>（3）升级服务：五</w:t>
            </w:r>
            <w:r>
              <w:rPr>
                <w:rFonts w:hint="default"/>
                <w:color w:val="auto"/>
                <w:sz w:val="21"/>
                <w:szCs w:val="21"/>
                <w:highlight w:val="none"/>
              </w:rPr>
              <w:t>年后</w:t>
            </w:r>
            <w:r>
              <w:rPr>
                <w:rFonts w:hint="eastAsia"/>
                <w:color w:val="auto"/>
                <w:sz w:val="21"/>
                <w:szCs w:val="21"/>
                <w:highlight w:val="none"/>
                <w:lang w:val="en-US" w:eastAsia="zh-CN"/>
              </w:rPr>
              <w:t>本地版本</w:t>
            </w:r>
            <w:r>
              <w:rPr>
                <w:rFonts w:hint="default"/>
                <w:color w:val="auto"/>
                <w:sz w:val="21"/>
                <w:szCs w:val="21"/>
                <w:highlight w:val="none"/>
              </w:rPr>
              <w:t>如需升级，则按不超过中标金额的3%收取费用</w:t>
            </w:r>
            <w:r>
              <w:rPr>
                <w:rFonts w:hint="eastAsia"/>
                <w:color w:val="auto"/>
                <w:sz w:val="21"/>
                <w:szCs w:val="21"/>
                <w:highlight w:val="none"/>
                <w:lang w:val="en-US" w:eastAsia="zh-CN"/>
              </w:rPr>
              <w:t>；云端版本终身升级，持续更新，由此产生的费用已包含在本次投标总价中，采购人不再另行支付。</w:t>
            </w:r>
          </w:p>
          <w:p w14:paraId="7D3E825E">
            <w:pPr>
              <w:pStyle w:val="2"/>
              <w:keepNext w:val="0"/>
              <w:keepLines w:val="0"/>
              <w:suppressLineNumbers w:val="0"/>
              <w:spacing w:before="0" w:beforeAutospacing="0" w:afterAutospacing="0"/>
              <w:ind w:left="0" w:leftChars="0" w:right="0" w:firstLine="0" w:firstLineChars="0"/>
              <w:rPr>
                <w:rFonts w:hint="default"/>
                <w:color w:val="auto"/>
                <w:sz w:val="21"/>
                <w:szCs w:val="21"/>
                <w:highlight w:val="none"/>
              </w:rPr>
            </w:pPr>
            <w:r>
              <w:rPr>
                <w:rFonts w:hint="eastAsia"/>
                <w:color w:val="auto"/>
                <w:sz w:val="21"/>
                <w:szCs w:val="21"/>
                <w:highlight w:val="none"/>
                <w:lang w:val="en-US" w:eastAsia="zh-CN"/>
              </w:rPr>
              <w:t>（4）使用用户数：不限制。</w:t>
            </w:r>
          </w:p>
        </w:tc>
      </w:tr>
    </w:tbl>
    <w:p w14:paraId="43D077A7">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258BA76">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259E9831">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C0EDFE5">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61859ADA">
      <w:pPr>
        <w:spacing w:line="360" w:lineRule="auto"/>
        <w:rPr>
          <w:color w:val="auto"/>
          <w:szCs w:val="21"/>
          <w:highlight w:val="none"/>
        </w:rPr>
      </w:pPr>
      <w:r>
        <w:rPr>
          <w:rFonts w:hint="eastAsia" w:cs="宋体"/>
          <w:color w:val="auto"/>
          <w:szCs w:val="21"/>
          <w:highlight w:val="none"/>
          <w:lang w:bidi="ar"/>
        </w:rPr>
        <w:t>本次报价须为人民币报价，包含</w:t>
      </w:r>
      <w:r>
        <w:rPr>
          <w:rFonts w:hint="eastAsia"/>
          <w:color w:val="auto"/>
          <w:szCs w:val="21"/>
          <w:highlight w:val="none"/>
        </w:rPr>
        <w:t>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olor w:val="auto"/>
          <w:szCs w:val="21"/>
          <w:highlight w:val="none"/>
          <w:lang w:eastAsia="zh-CN"/>
        </w:rPr>
        <w:t>包含</w:t>
      </w:r>
      <w:r>
        <w:rPr>
          <w:rFonts w:hint="eastAsia"/>
          <w:color w:val="auto"/>
          <w:szCs w:val="21"/>
          <w:highlight w:val="none"/>
        </w:rPr>
        <w:t>在投标总报价中。</w:t>
      </w:r>
    </w:p>
    <w:p w14:paraId="5E3ED26E">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4CC5660A">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4A657C20">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2CF781DC">
      <w:pPr>
        <w:spacing w:line="360" w:lineRule="auto"/>
        <w:rPr>
          <w:color w:val="auto"/>
          <w:kern w:val="0"/>
          <w:szCs w:val="21"/>
          <w:highlight w:val="none"/>
        </w:rPr>
      </w:pPr>
      <w:r>
        <w:rPr>
          <w:rFonts w:hint="eastAsia"/>
          <w:color w:val="auto"/>
          <w:kern w:val="0"/>
          <w:szCs w:val="21"/>
          <w:highlight w:val="none"/>
        </w:rPr>
        <w:t>自签订合同之日起60日历天内完成采购、安装调试并通过验收。</w:t>
      </w:r>
    </w:p>
    <w:p w14:paraId="74EA147C">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21886AC4">
      <w:pPr>
        <w:spacing w:line="360" w:lineRule="auto"/>
        <w:rPr>
          <w:color w:val="auto"/>
          <w:szCs w:val="21"/>
          <w:highlight w:val="none"/>
        </w:rPr>
      </w:pPr>
      <w:r>
        <w:rPr>
          <w:rFonts w:hint="eastAsia" w:cs="宋体"/>
          <w:color w:val="auto"/>
          <w:szCs w:val="21"/>
          <w:highlight w:val="none"/>
          <w:lang w:bidi="ar"/>
        </w:rPr>
        <w:t>广西南宁市内采购人指定地点。</w:t>
      </w:r>
    </w:p>
    <w:p w14:paraId="3EAE95ED">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509A4BD4">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35BA2199">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6B904B4C">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006D1712">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2CFD31EF">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1D058656">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76A3AFE9">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rFonts w:hint="eastAsia"/>
          <w:color w:val="auto"/>
          <w:szCs w:val="21"/>
          <w:highlight w:val="none"/>
          <w:lang w:bidi="ar"/>
        </w:rPr>
        <w:t>8</w:t>
      </w:r>
      <w:r>
        <w:rPr>
          <w:rFonts w:hint="eastAsia" w:cs="宋体"/>
          <w:color w:val="auto"/>
          <w:szCs w:val="21"/>
          <w:highlight w:val="none"/>
          <w:lang w:bidi="ar"/>
        </w:rPr>
        <w:t>小时内到达现场进行处理，到达现场后</w:t>
      </w:r>
      <w:r>
        <w:rPr>
          <w:rFonts w:hint="eastAsia"/>
          <w:color w:val="auto"/>
          <w:szCs w:val="21"/>
          <w:highlight w:val="none"/>
          <w:lang w:bidi="ar"/>
        </w:rPr>
        <w:t>24</w:t>
      </w:r>
      <w:r>
        <w:rPr>
          <w:rFonts w:hint="eastAsia" w:cs="宋体"/>
          <w:color w:val="auto"/>
          <w:szCs w:val="21"/>
          <w:highlight w:val="none"/>
          <w:lang w:bidi="ar"/>
        </w:rPr>
        <w:t>小时内排除故障，恢复正常使用。</w:t>
      </w:r>
    </w:p>
    <w:p w14:paraId="4BFC0815">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1DA5688E">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7807C8AF">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56011F50">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63DEFA21">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08912F2A">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66AE230C">
      <w:pPr>
        <w:spacing w:line="360" w:lineRule="auto"/>
        <w:rPr>
          <w:rFonts w:cs="宋体"/>
          <w:color w:val="auto"/>
          <w:szCs w:val="21"/>
          <w:highlight w:val="none"/>
          <w:lang w:bidi="ar"/>
        </w:rPr>
      </w:pPr>
      <w:r>
        <w:rPr>
          <w:rFonts w:hint="eastAsia" w:cs="宋体"/>
          <w:color w:val="auto"/>
          <w:szCs w:val="21"/>
          <w:highlight w:val="none"/>
          <w:lang w:bidi="ar"/>
        </w:rPr>
        <w:t>8.2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441E39CB">
      <w:pPr>
        <w:spacing w:line="360" w:lineRule="auto"/>
        <w:rPr>
          <w:color w:val="auto"/>
          <w:szCs w:val="21"/>
          <w:highlight w:val="none"/>
        </w:rPr>
      </w:pPr>
      <w:r>
        <w:rPr>
          <w:rFonts w:hint="eastAsia" w:cs="宋体"/>
          <w:color w:val="auto"/>
          <w:szCs w:val="21"/>
          <w:highlight w:val="none"/>
          <w:lang w:bidi="ar"/>
        </w:rPr>
        <w:t>8.3本合同使用货币币制如未作特别说明均为人民币。</w:t>
      </w:r>
    </w:p>
    <w:p w14:paraId="699DA39F">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7266A26A">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78D941D4">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758103DF">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6D93CE96">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26ACBDDC">
      <w:pPr>
        <w:spacing w:line="360" w:lineRule="auto"/>
        <w:rPr>
          <w:color w:val="auto"/>
          <w:szCs w:val="21"/>
          <w:highlight w:val="none"/>
        </w:rPr>
      </w:pPr>
      <w:r>
        <w:rPr>
          <w:rFonts w:hint="eastAsia"/>
          <w:color w:val="auto"/>
          <w:szCs w:val="21"/>
          <w:highlight w:val="none"/>
        </w:rPr>
        <w:t>11.1响应时间：在</w:t>
      </w:r>
      <w:r>
        <w:rPr>
          <w:rFonts w:hint="eastAsia"/>
          <w:color w:val="auto"/>
          <w:szCs w:val="21"/>
          <w:highlight w:val="none"/>
          <w:lang w:val="en-US" w:eastAsia="zh-CN"/>
        </w:rPr>
        <w:t>5</w:t>
      </w:r>
      <w:r>
        <w:rPr>
          <w:rFonts w:hint="eastAsia"/>
          <w:color w:val="auto"/>
          <w:szCs w:val="21"/>
          <w:highlight w:val="none"/>
        </w:rPr>
        <w:t>年质保期内，中标供应商须在接到报修电话后4个小时内响应，8小时内到达现场，到达现场后24小时内维修好。若48个小时内无法维修好的设备，中标人必须全提供不低于故障设备规格型号档次的备用设备，直到故障设备修复，由此产生的费用，采购人不再另行支付</w:t>
      </w:r>
      <w:r>
        <w:rPr>
          <w:rFonts w:hint="eastAsia"/>
          <w:color w:val="auto"/>
          <w:szCs w:val="21"/>
          <w:highlight w:val="none"/>
          <w:lang w:eastAsia="zh-CN"/>
        </w:rPr>
        <w:t>。</w:t>
      </w:r>
    </w:p>
    <w:p w14:paraId="678CD583">
      <w:pPr>
        <w:spacing w:line="360" w:lineRule="auto"/>
        <w:rPr>
          <w:color w:val="auto"/>
          <w:szCs w:val="21"/>
          <w:highlight w:val="none"/>
        </w:rPr>
      </w:pPr>
      <w:r>
        <w:rPr>
          <w:rFonts w:hint="eastAsia"/>
          <w:color w:val="auto"/>
          <w:szCs w:val="21"/>
          <w:highlight w:val="none"/>
        </w:rPr>
        <w:t>11.2售后服务技术人员要求：中标供应商必须负责本次货物的安装、调试、使用培训。中标供应商为采购人培训2名以上使用及维护人员，培训目标应达到基本掌握全套设备的操作，培训地点：采购人所在地。培训所需费用采购人不再另行支付。</w:t>
      </w:r>
    </w:p>
    <w:p w14:paraId="03C6C69A">
      <w:pPr>
        <w:spacing w:line="360" w:lineRule="auto"/>
        <w:rPr>
          <w:color w:val="auto"/>
          <w:szCs w:val="21"/>
          <w:highlight w:val="none"/>
        </w:rPr>
      </w:pPr>
      <w:r>
        <w:rPr>
          <w:rFonts w:hint="eastAsia"/>
          <w:color w:val="auto"/>
          <w:szCs w:val="21"/>
          <w:highlight w:val="none"/>
        </w:rPr>
        <w:t>11.3项目验收合格后，需有一年的跟踪服务，设备仪器要有两年上门维修服务，由此产生的费用已包含投标总价中，采购人不再另行支付</w:t>
      </w:r>
      <w:r>
        <w:rPr>
          <w:rFonts w:hint="eastAsia" w:cs="宋体"/>
          <w:color w:val="auto"/>
          <w:szCs w:val="21"/>
          <w:highlight w:val="none"/>
          <w:lang w:bidi="ar"/>
        </w:rPr>
        <w:t>。</w:t>
      </w:r>
    </w:p>
    <w:p w14:paraId="6783B02C">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3317A042">
      <w:pPr>
        <w:widowControl/>
        <w:spacing w:line="360" w:lineRule="auto"/>
        <w:jc w:val="left"/>
        <w:rPr>
          <w:color w:val="auto"/>
          <w:szCs w:val="21"/>
          <w:highlight w:val="none"/>
        </w:rPr>
      </w:pPr>
      <w:r>
        <w:rPr>
          <w:rFonts w:hint="eastAsia"/>
          <w:color w:val="auto"/>
          <w:szCs w:val="21"/>
          <w:highlight w:val="none"/>
          <w:lang w:bidi="ar"/>
        </w:rPr>
        <w:t>供应商负责办理运输和保险，将货物运抵交货地点。与运输、保险相关的费用由供应商承担</w:t>
      </w:r>
      <w:r>
        <w:rPr>
          <w:rFonts w:hint="eastAsia"/>
          <w:color w:val="auto"/>
          <w:szCs w:val="21"/>
          <w:highlight w:val="none"/>
          <w:lang w:eastAsia="zh-CN" w:bidi="ar"/>
        </w:rPr>
        <w:t>。</w:t>
      </w:r>
    </w:p>
    <w:p w14:paraId="4CFA739E">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756ABF91">
      <w:pPr>
        <w:spacing w:line="360" w:lineRule="auto"/>
        <w:rPr>
          <w:rFonts w:cs="宋体"/>
          <w:color w:val="auto"/>
          <w:szCs w:val="21"/>
          <w:highlight w:val="none"/>
          <w:lang w:bidi="ar"/>
        </w:rPr>
      </w:pPr>
      <w:r>
        <w:rPr>
          <w:rFonts w:hint="eastAsia"/>
          <w:color w:val="auto"/>
          <w:szCs w:val="21"/>
          <w:highlight w:val="none"/>
          <w:lang w:bidi="ar"/>
        </w:rPr>
        <w:t>无</w:t>
      </w:r>
      <w:r>
        <w:rPr>
          <w:rFonts w:hint="eastAsia" w:cs="宋体"/>
          <w:color w:val="auto"/>
          <w:szCs w:val="21"/>
          <w:highlight w:val="none"/>
          <w:lang w:bidi="ar"/>
        </w:rPr>
        <w:t>。</w:t>
      </w:r>
    </w:p>
    <w:p w14:paraId="1D5CA89F">
      <w:pPr>
        <w:rPr>
          <w:color w:val="auto"/>
          <w:highlight w:val="none"/>
        </w:rPr>
      </w:pPr>
      <w:r>
        <w:rPr>
          <w:rFonts w:hint="eastAsia"/>
          <w:color w:val="auto"/>
          <w:highlight w:val="none"/>
        </w:rPr>
        <w:br w:type="page"/>
      </w:r>
    </w:p>
    <w:p w14:paraId="128FCD63">
      <w:pPr>
        <w:spacing w:before="12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11分标：BIM计量软件采购</w:t>
      </w:r>
    </w:p>
    <w:p w14:paraId="6BA47DCD">
      <w:pPr>
        <w:spacing w:before="120" w:beforeLines="50"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一、总体要求</w:t>
      </w:r>
    </w:p>
    <w:p w14:paraId="45A8CF0C">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政府采购政策的应用</w:t>
      </w:r>
    </w:p>
    <w:p w14:paraId="1A7D7CBD">
      <w:pPr>
        <w:spacing w:line="360" w:lineRule="auto"/>
        <w:rPr>
          <w:color w:val="auto"/>
          <w:szCs w:val="21"/>
          <w:highlight w:val="none"/>
        </w:rPr>
      </w:pPr>
      <w:r>
        <w:rPr>
          <w:rFonts w:hint="eastAsia" w:cs="宋体"/>
          <w:color w:val="auto"/>
          <w:szCs w:val="21"/>
          <w:highlight w:val="none"/>
          <w:lang w:bidi="ar"/>
        </w:rPr>
        <w:t>详见招标文件“评审方法及标准</w:t>
      </w:r>
      <w:r>
        <w:rPr>
          <w:color w:val="auto"/>
          <w:szCs w:val="21"/>
          <w:highlight w:val="none"/>
          <w:lang w:bidi="ar"/>
        </w:rPr>
        <w:t>/</w:t>
      </w:r>
      <w:r>
        <w:rPr>
          <w:rFonts w:hint="eastAsia" w:cs="宋体"/>
          <w:color w:val="auto"/>
          <w:szCs w:val="21"/>
          <w:highlight w:val="none"/>
          <w:lang w:bidi="ar"/>
        </w:rPr>
        <w:t>政府采购政策应用说明</w:t>
      </w:r>
      <w:r>
        <w:rPr>
          <w:color w:val="auto"/>
          <w:szCs w:val="21"/>
          <w:highlight w:val="none"/>
          <w:lang w:bidi="ar"/>
        </w:rPr>
        <w:t>”</w:t>
      </w:r>
      <w:r>
        <w:rPr>
          <w:rFonts w:hint="eastAsia" w:cs="宋体"/>
          <w:color w:val="auto"/>
          <w:szCs w:val="21"/>
          <w:highlight w:val="none"/>
          <w:lang w:bidi="ar"/>
        </w:rPr>
        <w:t>。</w:t>
      </w:r>
    </w:p>
    <w:p w14:paraId="42C8BAE0">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采购需求要求未尽事宜由采购人与中标供应商在采购合同中约定。</w:t>
      </w:r>
    </w:p>
    <w:p w14:paraId="2204B3B1">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标注“▲”的条款或要求系指实质性条款或实质性要求，必须满足，如存在负偏离将导致投标被否决。</w:t>
      </w:r>
    </w:p>
    <w:p w14:paraId="4E6034B1">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二、技术要求</w:t>
      </w:r>
    </w:p>
    <w:p w14:paraId="62961752">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需实现的功能、目标及应用场景</w:t>
      </w:r>
    </w:p>
    <w:p w14:paraId="363891D5">
      <w:pPr>
        <w:spacing w:line="360" w:lineRule="auto"/>
        <w:rPr>
          <w:color w:val="auto"/>
          <w:szCs w:val="21"/>
          <w:highlight w:val="none"/>
        </w:rPr>
      </w:pPr>
      <w:r>
        <w:rPr>
          <w:rFonts w:hint="eastAsia" w:cs="宋体"/>
          <w:color w:val="auto"/>
          <w:szCs w:val="21"/>
          <w:highlight w:val="none"/>
          <w:lang w:bidi="ar"/>
        </w:rPr>
        <w:t>满足招标文件要求，验收达到合格标准。</w:t>
      </w:r>
    </w:p>
    <w:p w14:paraId="7F790ECB">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需执行的国家相关标准、行业标准、地方标准或者其他标准、规范</w:t>
      </w:r>
    </w:p>
    <w:p w14:paraId="07C39751">
      <w:pPr>
        <w:spacing w:line="360" w:lineRule="auto"/>
        <w:rPr>
          <w:color w:val="auto"/>
          <w:szCs w:val="21"/>
          <w:highlight w:val="none"/>
        </w:rPr>
      </w:pPr>
      <w:r>
        <w:rPr>
          <w:rFonts w:hint="eastAsia" w:cs="宋体"/>
          <w:color w:val="auto"/>
          <w:szCs w:val="21"/>
          <w:highlight w:val="none"/>
          <w:lang w:bidi="ar"/>
        </w:rPr>
        <w:t>本项目应执行的国家相关标准、行业标准、地方标准或者其他标准、规范为：</w:t>
      </w:r>
      <w:r>
        <w:rPr>
          <w:rFonts w:hint="eastAsia" w:cs="宋体"/>
          <w:color w:val="auto"/>
          <w:szCs w:val="21"/>
          <w:highlight w:val="none"/>
          <w:u w:val="single"/>
          <w:lang w:bidi="ar"/>
        </w:rPr>
        <w:t>详见技术指标要求。</w:t>
      </w:r>
    </w:p>
    <w:p w14:paraId="33F29004">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一般说明</w:t>
      </w:r>
    </w:p>
    <w:p w14:paraId="4842BF94">
      <w:pPr>
        <w:spacing w:line="360" w:lineRule="auto"/>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）本章中如提及品牌型号，仅起参考作用。供应商可选用其他品牌型号替代，但这些替代的品牌型号要实质上参照或相当于或优于参考品牌型号及其技术参数性能（配置）要求。</w:t>
      </w:r>
    </w:p>
    <w:p w14:paraId="786D0A79">
      <w:pPr>
        <w:spacing w:line="360" w:lineRule="auto"/>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0EE258F9">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核心产品：</w:t>
      </w:r>
    </w:p>
    <w:p w14:paraId="5D9FEA9A">
      <w:pPr>
        <w:spacing w:line="360" w:lineRule="auto"/>
        <w:rPr>
          <w:color w:val="auto"/>
          <w:szCs w:val="21"/>
          <w:highlight w:val="none"/>
        </w:rPr>
      </w:pPr>
      <w:r>
        <w:rPr>
          <w:rFonts w:hint="eastAsia" w:cs="宋体"/>
          <w:color w:val="auto"/>
          <w:szCs w:val="21"/>
          <w:highlight w:val="none"/>
          <w:lang w:bidi="ar"/>
        </w:rPr>
        <w:t>本项目核心产品为：</w:t>
      </w:r>
      <w:r>
        <w:rPr>
          <w:color w:val="auto"/>
          <w:szCs w:val="21"/>
          <w:highlight w:val="none"/>
          <w:u w:val="single"/>
          <w:lang w:bidi="ar"/>
        </w:rPr>
        <w:t xml:space="preserve"> </w:t>
      </w:r>
      <w:r>
        <w:rPr>
          <w:rFonts w:hint="eastAsia"/>
          <w:color w:val="auto"/>
          <w:szCs w:val="21"/>
          <w:highlight w:val="none"/>
          <w:u w:val="single"/>
          <w:lang w:val="en-US" w:eastAsia="zh-CN" w:bidi="ar"/>
        </w:rPr>
        <w:t>第1项：</w:t>
      </w:r>
      <w:r>
        <w:rPr>
          <w:rFonts w:hint="eastAsia"/>
          <w:color w:val="auto"/>
          <w:szCs w:val="21"/>
          <w:highlight w:val="none"/>
          <w:u w:val="single"/>
          <w:lang w:bidi="ar"/>
        </w:rPr>
        <w:t>广联达BIM土建计量平台GTJ2025</w:t>
      </w:r>
      <w:r>
        <w:rPr>
          <w:rFonts w:hint="eastAsia" w:cs="宋体"/>
          <w:color w:val="auto"/>
          <w:szCs w:val="21"/>
          <w:highlight w:val="none"/>
          <w:lang w:bidi="ar"/>
        </w:rPr>
        <w:t>。</w:t>
      </w:r>
    </w:p>
    <w:p w14:paraId="4AC80350">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标的名称、数量、需满足的质量、技术规格或者服务内容和标准一览表：</w:t>
      </w:r>
    </w:p>
    <w:tbl>
      <w:tblPr>
        <w:tblStyle w:val="51"/>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010"/>
        <w:gridCol w:w="641"/>
        <w:gridCol w:w="860"/>
        <w:gridCol w:w="6902"/>
      </w:tblGrid>
      <w:tr w14:paraId="2F69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74CF">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cs="宋体"/>
                <w:b/>
                <w:bCs/>
                <w:color w:val="auto"/>
                <w:sz w:val="21"/>
                <w:szCs w:val="21"/>
                <w:highlight w:val="none"/>
                <w:lang w:bidi="ar"/>
              </w:rPr>
              <w:t>序号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89A9">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cs="宋体"/>
                <w:b/>
                <w:bCs/>
                <w:color w:val="auto"/>
                <w:sz w:val="21"/>
                <w:szCs w:val="21"/>
                <w:highlight w:val="none"/>
                <w:lang w:bidi="ar"/>
              </w:rPr>
              <w:t>采购内容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0C04">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cs="宋体"/>
                <w:b/>
                <w:bCs/>
                <w:color w:val="auto"/>
                <w:sz w:val="21"/>
                <w:szCs w:val="21"/>
                <w:highlight w:val="none"/>
                <w:lang w:bidi="ar"/>
              </w:rPr>
              <w:t>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2F11">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cs="宋体"/>
                <w:b/>
                <w:bCs/>
                <w:color w:val="auto"/>
                <w:sz w:val="21"/>
                <w:szCs w:val="21"/>
                <w:highlight w:val="none"/>
                <w:lang w:bidi="ar"/>
              </w:rPr>
              <w:t>所属行业</w:t>
            </w:r>
          </w:p>
        </w:tc>
        <w:tc>
          <w:tcPr>
            <w:tcW w:w="3533" w:type="pct"/>
            <w:tcBorders>
              <w:top w:val="single" w:color="000000" w:sz="4" w:space="0"/>
              <w:left w:val="single" w:color="auto" w:sz="4" w:space="0"/>
              <w:bottom w:val="single" w:color="000000" w:sz="4" w:space="0"/>
              <w:right w:val="single" w:color="auto" w:sz="4" w:space="0"/>
            </w:tcBorders>
            <w:shd w:val="clear" w:color="auto" w:fill="auto"/>
            <w:vAlign w:val="center"/>
          </w:tcPr>
          <w:p w14:paraId="5F299274">
            <w:pPr>
              <w:keepNext w:val="0"/>
              <w:keepLines w:val="0"/>
              <w:suppressLineNumbers w:val="0"/>
              <w:spacing w:before="0" w:beforeAutospacing="0" w:after="0" w:afterAutospacing="0" w:line="320" w:lineRule="exact"/>
              <w:ind w:left="0" w:right="0"/>
              <w:jc w:val="center"/>
              <w:rPr>
                <w:rFonts w:hint="default"/>
                <w:b/>
                <w:bCs/>
                <w:color w:val="auto"/>
                <w:sz w:val="21"/>
                <w:szCs w:val="21"/>
                <w:highlight w:val="none"/>
              </w:rPr>
            </w:pPr>
            <w:r>
              <w:rPr>
                <w:rFonts w:hint="eastAsia" w:cs="宋体"/>
                <w:b/>
                <w:bCs/>
                <w:color w:val="auto"/>
                <w:sz w:val="21"/>
                <w:szCs w:val="21"/>
                <w:highlight w:val="none"/>
                <w:lang w:bidi="ar"/>
              </w:rPr>
              <w:t>技术指标要求</w:t>
            </w:r>
          </w:p>
        </w:tc>
      </w:tr>
      <w:tr w14:paraId="7718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1A54">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lang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E049">
            <w:pPr>
              <w:keepNext w:val="0"/>
              <w:keepLines w:val="0"/>
              <w:widowControl/>
              <w:suppressLineNumbers w:val="0"/>
              <w:spacing w:before="0" w:beforeAutospacing="0" w:after="0" w:afterAutospacing="0" w:line="0" w:lineRule="atLeast"/>
              <w:ind w:left="0" w:right="0"/>
              <w:jc w:val="left"/>
              <w:rPr>
                <w:rFonts w:hint="default"/>
                <w:color w:val="auto"/>
                <w:sz w:val="21"/>
                <w:szCs w:val="21"/>
                <w:highlight w:val="none"/>
              </w:rPr>
            </w:pPr>
            <w:r>
              <w:rPr>
                <w:rFonts w:hint="eastAsia" w:cs="宋体"/>
                <w:color w:val="auto"/>
                <w:sz w:val="21"/>
                <w:szCs w:val="21"/>
                <w:highlight w:val="none"/>
                <w:lang w:bidi="ar"/>
              </w:rPr>
              <w:t>广联达</w:t>
            </w:r>
            <w:r>
              <w:rPr>
                <w:rFonts w:hint="default"/>
                <w:color w:val="auto"/>
                <w:sz w:val="21"/>
                <w:szCs w:val="21"/>
                <w:highlight w:val="none"/>
                <w:lang w:bidi="ar"/>
              </w:rPr>
              <w:t>BIM</w:t>
            </w:r>
            <w:r>
              <w:rPr>
                <w:rFonts w:hint="eastAsia" w:cs="宋体"/>
                <w:color w:val="auto"/>
                <w:sz w:val="21"/>
                <w:szCs w:val="21"/>
                <w:highlight w:val="none"/>
                <w:lang w:bidi="ar"/>
              </w:rPr>
              <w:t>土建计量平台</w:t>
            </w:r>
            <w:r>
              <w:rPr>
                <w:rFonts w:hint="default"/>
                <w:color w:val="auto"/>
                <w:sz w:val="21"/>
                <w:szCs w:val="21"/>
                <w:highlight w:val="none"/>
                <w:lang w:bidi="ar"/>
              </w:rPr>
              <w:t>GTJ2025</w:t>
            </w:r>
          </w:p>
          <w:p w14:paraId="44C0206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06B8">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lang w:bidi="ar"/>
              </w:rPr>
              <w:t>1</w:t>
            </w:r>
            <w:r>
              <w:rPr>
                <w:rFonts w:hint="eastAsia" w:cs="宋体"/>
                <w:color w:val="auto"/>
                <w:sz w:val="21"/>
                <w:szCs w:val="21"/>
                <w:highlight w:val="none"/>
                <w:lang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20D6">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s="宋体"/>
                <w:color w:val="auto"/>
                <w:sz w:val="21"/>
                <w:szCs w:val="21"/>
                <w:highlight w:val="none"/>
                <w:lang w:bidi="ar"/>
              </w:rPr>
              <w:t>软件和信息技术服务业</w:t>
            </w:r>
          </w:p>
        </w:tc>
        <w:tc>
          <w:tcPr>
            <w:tcW w:w="3533" w:type="pct"/>
            <w:tcBorders>
              <w:top w:val="single" w:color="000000" w:sz="4" w:space="0"/>
              <w:left w:val="single" w:color="auto" w:sz="4" w:space="0"/>
              <w:bottom w:val="single" w:color="000000" w:sz="4" w:space="0"/>
              <w:right w:val="single" w:color="auto" w:sz="4" w:space="0"/>
            </w:tcBorders>
            <w:shd w:val="clear" w:color="auto" w:fill="auto"/>
            <w:vAlign w:val="center"/>
          </w:tcPr>
          <w:p w14:paraId="27EEF86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1.软件内置国家清单计量规范、全国各地清单、定额计算规则，内置22G、16G、11G系列平法图集规则及常用施工做法，能够同时计算钢筋和土建工程量。</w:t>
            </w:r>
          </w:p>
          <w:p w14:paraId="31913377">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2.能够依据图纸设计要求在任意构件上绘制钢筋、布置钢筋网片，实现BIM模式的钢筋建模。</w:t>
            </w:r>
          </w:p>
          <w:p w14:paraId="1F51F184">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3.节点设置能够在参数图上直接修改信息，无需对应表格输入。</w:t>
            </w:r>
          </w:p>
          <w:p w14:paraId="49D29C11">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4.能够计算立面脚手架及平面脚手架子工程量；支持智能布置，生成脚手架等快速布置，可单独布置，不依附</w:t>
            </w:r>
            <w:r>
              <w:rPr>
                <w:rFonts w:hint="eastAsia" w:ascii="宋体" w:hAnsi="宋体" w:cs="宋体"/>
                <w:color w:val="auto"/>
                <w:sz w:val="21"/>
                <w:szCs w:val="21"/>
                <w:highlight w:val="none"/>
                <w:lang w:eastAsia="zh-CN" w:bidi="ar"/>
              </w:rPr>
              <w:t>于</w:t>
            </w:r>
            <w:r>
              <w:rPr>
                <w:rFonts w:hint="eastAsia" w:ascii="宋体" w:hAnsi="宋体" w:cs="宋体"/>
                <w:color w:val="auto"/>
                <w:sz w:val="21"/>
                <w:szCs w:val="21"/>
                <w:highlight w:val="none"/>
                <w:lang w:bidi="ar"/>
              </w:rPr>
              <w:t>其他构件。</w:t>
            </w:r>
          </w:p>
          <w:p w14:paraId="4C19A334">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5.能够实现板面加腋、板底加腋、梁加腋，支持单图元绘制、批量绘制，加腋部分可三维查看钢筋。</w:t>
            </w:r>
          </w:p>
          <w:p w14:paraId="1E7207DC">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6.柱墙梁等构件能够自动与板顶、板底平齐，可选择自动平齐板，与指定平齐板。</w:t>
            </w:r>
          </w:p>
          <w:p w14:paraId="744B2212">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7.可对已绘制的构件进项存盘，方便下次调用，可存盘构建做法。</w:t>
            </w:r>
          </w:p>
          <w:p w14:paraId="671724F1">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8.能够通过钢筋编辑、查看构件钢筋计算式等功能，查看钢筋三维构造图，查看模型三维扣减图。</w:t>
            </w:r>
          </w:p>
          <w:p w14:paraId="78953A3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9.构件绘制完成无需汇总计算即可查看构件工程量</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建模即出量，实时生成报表量。</w:t>
            </w:r>
          </w:p>
          <w:p w14:paraId="43A516A3">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10.能够通过检查功能对工程的合理性、建模遗漏、属性合理性、建模合理性进行检查；并输出确定错误、疑似错误、提醒三类结果。能够逐条检查和确认，双击直接定位错误构建；部分错误可以手动或自动修复。</w:t>
            </w:r>
          </w:p>
          <w:p w14:paraId="4C60607C">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11.能够通过云对比功能对钢筋、土建工程量进行对比，通过构件类型筛选，过滤、排序等辅助查找，快速定位问题图元呈现工程差异。可查看两个对量工程的工程概况、工程设置差异、工程量差异、模型差异、量差原因分析等报表，一目了然呈现两个工程的差异概况。（</w:t>
            </w:r>
            <w:r>
              <w:rPr>
                <w:rFonts w:hint="eastAsia" w:ascii="宋体" w:hAnsi="宋体" w:cs="宋体"/>
                <w:color w:val="auto"/>
                <w:sz w:val="21"/>
                <w:szCs w:val="21"/>
                <w:highlight w:val="none"/>
              </w:rPr>
              <w:t>投标时需要提供功能截图并加盖投标人电子签章）</w:t>
            </w:r>
          </w:p>
          <w:p w14:paraId="46ACE526">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12.提供整个工程指标汇总、钢筋、混凝土、模板、装修及其他几类指标报表；可以通过设置预警值或导入指标方式，校核当前工程指标偏差；可以导入云端指标模板，按自定义或不同维度输出工程指标；软件提供定制指标模板，可以按企业统筹指标等基础数据积累。</w:t>
            </w:r>
          </w:p>
          <w:p w14:paraId="505D71C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13.算量软件与计价软件能够数据互通，实现一键提量，并能同步刷新工程量，实现量价实时更新。能够从计价文件反查到算量模型工程量构成，并且能够定位到算量模型</w:t>
            </w:r>
            <w:r>
              <w:rPr>
                <w:rFonts w:hint="eastAsia" w:ascii="宋体" w:hAnsi="宋体" w:cs="宋体"/>
                <w:color w:val="auto"/>
                <w:sz w:val="21"/>
                <w:szCs w:val="21"/>
                <w:highlight w:val="none"/>
                <w:lang w:eastAsia="zh-CN" w:bidi="ar"/>
              </w:rPr>
              <w:t>；</w:t>
            </w:r>
          </w:p>
          <w:p w14:paraId="25648108">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▲14.软件配套正规出版社出版的教材（教材具有ISBN编号）教材中有对应软件的操作步骤和相应软件界面截图，帮助学习软件。</w:t>
            </w:r>
          </w:p>
          <w:p w14:paraId="5D605B47">
            <w:pPr>
              <w:keepNext w:val="0"/>
              <w:keepLines w:val="0"/>
              <w:suppressLineNumbers w:val="0"/>
              <w:spacing w:before="0" w:beforeAutospacing="0" w:after="0" w:afterAutospacing="0" w:line="32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15.具有自主知识产权的图形平台；</w:t>
            </w:r>
          </w:p>
          <w:p w14:paraId="27408A99">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16.针对计量软件实训室整体教室改造和文化建设，打造实训室整体氛围。包含但不限于教室旧物拆除、整体展板设计、安装。</w:t>
            </w:r>
          </w:p>
          <w:p w14:paraId="2C97203F">
            <w:pPr>
              <w:pStyle w:val="2"/>
              <w:keepNext w:val="0"/>
              <w:keepLines w:val="0"/>
              <w:suppressLineNumbers w:val="0"/>
              <w:spacing w:before="0" w:beforeAutospacing="0" w:afterAutospacing="0"/>
              <w:ind w:left="0" w:leftChars="0" w:right="0" w:firstLine="0" w:firstLineChars="0"/>
              <w:rPr>
                <w:rFonts w:hint="eastAsia" w:ascii="宋体" w:hAnsi="宋体" w:cs="宋体"/>
                <w:color w:val="auto"/>
                <w:sz w:val="21"/>
                <w:szCs w:val="21"/>
                <w:highlight w:val="none"/>
                <w:lang w:val="en-US" w:eastAsia="zh-CN"/>
              </w:rPr>
            </w:pPr>
            <w:r>
              <w:rPr>
                <w:rFonts w:hint="eastAsia" w:ascii="宋体" w:hAnsi="宋体" w:cs="等线"/>
                <w:b/>
                <w:bCs/>
                <w:color w:val="auto"/>
                <w:sz w:val="21"/>
                <w:szCs w:val="21"/>
                <w:highlight w:val="none"/>
              </w:rPr>
              <w:t>▲</w:t>
            </w:r>
            <w:r>
              <w:rPr>
                <w:rFonts w:hint="eastAsia" w:ascii="宋体" w:hAnsi="宋体" w:cs="宋体"/>
                <w:color w:val="auto"/>
                <w:sz w:val="21"/>
                <w:szCs w:val="21"/>
                <w:highlight w:val="none"/>
                <w:lang w:val="en-US" w:eastAsia="zh-CN"/>
              </w:rPr>
              <w:t>16.部署、安装、调试、适配服务：</w:t>
            </w:r>
          </w:p>
          <w:p w14:paraId="5D30F2FF">
            <w:pPr>
              <w:keepNext w:val="0"/>
              <w:keepLines w:val="0"/>
              <w:numPr>
                <w:ilvl w:val="0"/>
                <w:numId w:val="0"/>
              </w:numPr>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default"/>
                <w:color w:val="auto"/>
                <w:sz w:val="21"/>
                <w:szCs w:val="21"/>
                <w:highlight w:val="none"/>
              </w:rPr>
              <w:t>软件本地化部署</w:t>
            </w:r>
            <w:r>
              <w:rPr>
                <w:rFonts w:hint="eastAsia"/>
                <w:color w:val="auto"/>
                <w:sz w:val="21"/>
                <w:szCs w:val="21"/>
                <w:highlight w:val="none"/>
                <w:lang w:val="en-US" w:eastAsia="zh-CN"/>
              </w:rPr>
              <w:t>；</w:t>
            </w:r>
          </w:p>
          <w:p w14:paraId="76E1A66C">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签订合同并交付验收合格后三</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7560A0C4">
            <w:pPr>
              <w:keepNext w:val="0"/>
              <w:keepLines w:val="0"/>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4FD322AF">
            <w:pPr>
              <w:pStyle w:val="2"/>
              <w:keepNext w:val="0"/>
              <w:keepLines w:val="0"/>
              <w:suppressLineNumbers w:val="0"/>
              <w:spacing w:before="0" w:beforeAutospacing="0" w:afterAutospacing="0"/>
              <w:ind w:left="0" w:leftChars="0" w:right="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17.使用用户数：55个节点。</w:t>
            </w:r>
          </w:p>
        </w:tc>
      </w:tr>
      <w:tr w14:paraId="4F3D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8A8D">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lang w:bidi="ar"/>
              </w:rPr>
              <w:t>2</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A02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s="宋体"/>
                <w:color w:val="auto"/>
                <w:sz w:val="21"/>
                <w:szCs w:val="21"/>
                <w:highlight w:val="none"/>
                <w:lang w:bidi="ar"/>
              </w:rPr>
              <w:t>广联达</w:t>
            </w:r>
            <w:r>
              <w:rPr>
                <w:rFonts w:hint="default"/>
                <w:color w:val="auto"/>
                <w:sz w:val="21"/>
                <w:szCs w:val="21"/>
                <w:highlight w:val="none"/>
                <w:lang w:bidi="ar"/>
              </w:rPr>
              <w:t>BIM</w:t>
            </w:r>
            <w:r>
              <w:rPr>
                <w:rFonts w:hint="eastAsia" w:cs="宋体"/>
                <w:color w:val="auto"/>
                <w:sz w:val="21"/>
                <w:szCs w:val="21"/>
                <w:highlight w:val="none"/>
                <w:lang w:bidi="ar"/>
              </w:rPr>
              <w:t>安装计量平台</w:t>
            </w:r>
            <w:r>
              <w:rPr>
                <w:rFonts w:hint="default"/>
                <w:color w:val="auto"/>
                <w:sz w:val="21"/>
                <w:szCs w:val="21"/>
                <w:highlight w:val="none"/>
                <w:lang w:bidi="ar"/>
              </w:rPr>
              <w:t>GQI2021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F6D7">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default"/>
                <w:color w:val="auto"/>
                <w:sz w:val="21"/>
                <w:szCs w:val="21"/>
                <w:highlight w:val="none"/>
                <w:lang w:bidi="ar"/>
              </w:rPr>
              <w:t>55</w:t>
            </w:r>
          </w:p>
          <w:p w14:paraId="2B5AF69F">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s="宋体"/>
                <w:color w:val="auto"/>
                <w:sz w:val="21"/>
                <w:szCs w:val="21"/>
                <w:highlight w:val="none"/>
                <w:lang w:bidi="ar"/>
              </w:rPr>
              <w:t>节点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B0A1">
            <w:pPr>
              <w:keepNext w:val="0"/>
              <w:keepLines w:val="0"/>
              <w:suppressLineNumbers w:val="0"/>
              <w:spacing w:before="0" w:beforeAutospacing="0" w:after="0" w:afterAutospacing="0" w:line="320" w:lineRule="exact"/>
              <w:ind w:left="0" w:right="0"/>
              <w:jc w:val="center"/>
              <w:rPr>
                <w:rFonts w:hint="default"/>
                <w:color w:val="auto"/>
                <w:sz w:val="21"/>
                <w:szCs w:val="21"/>
                <w:highlight w:val="none"/>
              </w:rPr>
            </w:pPr>
            <w:r>
              <w:rPr>
                <w:rFonts w:hint="eastAsia" w:cs="宋体"/>
                <w:color w:val="auto"/>
                <w:sz w:val="21"/>
                <w:szCs w:val="21"/>
                <w:highlight w:val="none"/>
                <w:lang w:bidi="ar"/>
              </w:rPr>
              <w:t>软件和信息技术服务业</w:t>
            </w:r>
          </w:p>
        </w:tc>
        <w:tc>
          <w:tcPr>
            <w:tcW w:w="3533" w:type="pct"/>
            <w:tcBorders>
              <w:top w:val="single" w:color="000000" w:sz="4" w:space="0"/>
              <w:left w:val="single" w:color="auto" w:sz="4" w:space="0"/>
              <w:bottom w:val="single" w:color="000000" w:sz="4" w:space="0"/>
              <w:right w:val="single" w:color="auto" w:sz="4" w:space="0"/>
            </w:tcBorders>
            <w:shd w:val="clear" w:color="auto" w:fill="auto"/>
            <w:vAlign w:val="center"/>
          </w:tcPr>
          <w:p w14:paraId="7A2F668C">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▲1、采用自主开发平台，不依附于任何其他技术平台，不内嵌在CAD软件中；若基于CAD平台开发，请提供最新版本正版CAD软件，避免知识产权纠纷</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由此产生费用已包含在本次投标报价中</w:t>
            </w:r>
            <w:r>
              <w:rPr>
                <w:rFonts w:hint="eastAsia" w:ascii="宋体" w:hAnsi="宋体" w:cs="宋体"/>
                <w:color w:val="auto"/>
                <w:sz w:val="21"/>
                <w:szCs w:val="21"/>
                <w:highlight w:val="none"/>
                <w:lang w:bidi="ar"/>
              </w:rPr>
              <w:t>。</w:t>
            </w:r>
          </w:p>
          <w:p w14:paraId="0410FAB8">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2、应具有多维度检查工程量，漏量检查.漏项检查.碰撞检查.属性检查.设计规范检查多种检查功能。</w:t>
            </w:r>
          </w:p>
          <w:p w14:paraId="1AD80B2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▲3、应兼容市场上多种电子版图纸，包括CAD、REVIT等BIM模型、PDF、图片等；</w:t>
            </w:r>
          </w:p>
          <w:p w14:paraId="36149D10">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4、能够一键全部自动套用清单项和定额项，并且能够使用外部清单，一键全部自动套用清单和一键全部自动套用定额的功能。</w:t>
            </w:r>
          </w:p>
          <w:p w14:paraId="74FB0FFF">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5、能够按照图纸的要求在不同的专业系统中设置管道的刷油类型、保温材质、保温厚度、保温层材质、设备的安装高度和规格型号等。</w:t>
            </w:r>
          </w:p>
          <w:p w14:paraId="097AE5BD">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6、能够根据当地的定额要求，自动设置计算规则，并且支持规则的导入和导出。</w:t>
            </w:r>
          </w:p>
          <w:p w14:paraId="5A744E3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▲7、软件内可以自动查询全国各地不同厂商的材料价格，可支持人工询价，也可直接复用历史工程数据，快速匹配设备和材料的价格。（</w:t>
            </w:r>
            <w:r>
              <w:rPr>
                <w:rFonts w:hint="eastAsia" w:ascii="宋体" w:hAnsi="宋体" w:cs="宋体"/>
                <w:color w:val="auto"/>
                <w:sz w:val="21"/>
                <w:szCs w:val="21"/>
                <w:highlight w:val="none"/>
              </w:rPr>
              <w:t>投标时需要提供功能截图并加盖投标人电子签章）</w:t>
            </w:r>
          </w:p>
          <w:p w14:paraId="46202CEE">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8、能够对各专业个数一键识别，电气管线多回路识别、给排水管道自动识别、通风管道按系统编号识别、喷淋管道按喷头个数识别等智能化识别方式。</w:t>
            </w:r>
          </w:p>
          <w:p w14:paraId="119BFB8B">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9、设备和材料支持三维实体模型的下载和导入，支持云储存和云输入功能并能够根据实际工程情况，对其规格型号进行设置，分别支持电气.给排水.采暖燃气.消防.通风空调.</w:t>
            </w:r>
            <w:r>
              <w:rPr>
                <w:rFonts w:hint="eastAsia" w:ascii="宋体" w:hAnsi="宋体" w:cs="宋体"/>
                <w:color w:val="auto"/>
                <w:sz w:val="21"/>
                <w:szCs w:val="21"/>
                <w:highlight w:val="none"/>
                <w:lang w:eastAsia="zh-CN" w:bidi="ar"/>
              </w:rPr>
              <w:t>软件和信息技术服务业</w:t>
            </w:r>
            <w:r>
              <w:rPr>
                <w:rFonts w:hint="eastAsia" w:ascii="宋体" w:hAnsi="宋体" w:cs="宋体"/>
                <w:color w:val="auto"/>
                <w:sz w:val="21"/>
                <w:szCs w:val="21"/>
                <w:highlight w:val="none"/>
                <w:lang w:bidi="ar"/>
              </w:rPr>
              <w:t>管道等7大专业，实体模型数量不少于300个。</w:t>
            </w:r>
          </w:p>
          <w:p w14:paraId="22F809FD">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10、支持工程分开算量或者</w:t>
            </w:r>
            <w:r>
              <w:rPr>
                <w:rFonts w:hint="eastAsia" w:ascii="宋体" w:hAnsi="宋体" w:cs="宋体"/>
                <w:color w:val="auto"/>
                <w:sz w:val="21"/>
                <w:szCs w:val="21"/>
                <w:highlight w:val="none"/>
                <w:lang w:eastAsia="zh-CN" w:bidi="ar"/>
              </w:rPr>
              <w:t>同一</w:t>
            </w:r>
            <w:r>
              <w:rPr>
                <w:rFonts w:hint="eastAsia" w:ascii="宋体" w:hAnsi="宋体" w:cs="宋体"/>
                <w:color w:val="auto"/>
                <w:sz w:val="21"/>
                <w:szCs w:val="21"/>
                <w:highlight w:val="none"/>
                <w:lang w:bidi="ar"/>
              </w:rPr>
              <w:t>工程不同专业分开算量的情况，通过模型合并，可以将多个工程模型进行合并，并且支持局部合并模型；</w:t>
            </w:r>
          </w:p>
          <w:p w14:paraId="72F675AC">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11、能够支持导入土建模型，并对导入的模型进行管理，与安装相关专业的模型进行合并，并能够根据施工现场情况进行运行碰撞检查，自由的避让设置，生成孔洞，可根据碰撞点反查构件位置，支持剖面图的绘制和剖面管理。</w:t>
            </w:r>
          </w:p>
          <w:p w14:paraId="734D80A7">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12、能够在同一软件中一键切换7大专业工程量计算；（电气.给排水.消防.采暖燃气.通风空调.智控弱电和</w:t>
            </w:r>
            <w:r>
              <w:rPr>
                <w:rFonts w:hint="eastAsia" w:ascii="宋体" w:hAnsi="宋体" w:cs="宋体"/>
                <w:color w:val="auto"/>
                <w:sz w:val="21"/>
                <w:szCs w:val="21"/>
                <w:highlight w:val="none"/>
                <w:lang w:eastAsia="zh-CN" w:bidi="ar"/>
              </w:rPr>
              <w:t>软件和信息技术服务业</w:t>
            </w:r>
            <w:r>
              <w:rPr>
                <w:rFonts w:hint="eastAsia" w:ascii="宋体" w:hAnsi="宋体" w:cs="宋体"/>
                <w:color w:val="auto"/>
                <w:sz w:val="21"/>
                <w:szCs w:val="21"/>
                <w:highlight w:val="none"/>
                <w:lang w:bidi="ar"/>
              </w:rPr>
              <w:t>管道）</w:t>
            </w:r>
          </w:p>
          <w:p w14:paraId="732AA32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13、BIM安装计量的工程文件可直接导入BIM项目管理系统，进行项目施工管理，导入计价软件中进行安装计价。</w:t>
            </w:r>
          </w:p>
          <w:p w14:paraId="121FF137">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14、能够支持多种算量模式，既可用于手算二维计算，也可采用三维模型进行工程量的计算。</w:t>
            </w:r>
          </w:p>
          <w:p w14:paraId="593C2886">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15、支持</w:t>
            </w:r>
            <w:r>
              <w:rPr>
                <w:rFonts w:hint="eastAsia" w:ascii="宋体" w:hAnsi="宋体" w:cs="宋体"/>
                <w:color w:val="auto"/>
                <w:sz w:val="21"/>
                <w:szCs w:val="21"/>
                <w:highlight w:val="none"/>
                <w:lang w:eastAsia="zh-CN" w:bidi="ar"/>
              </w:rPr>
              <w:t>软件和信息技术服务业</w:t>
            </w:r>
            <w:r>
              <w:rPr>
                <w:rFonts w:hint="eastAsia" w:ascii="宋体" w:hAnsi="宋体" w:cs="宋体"/>
                <w:color w:val="auto"/>
                <w:sz w:val="21"/>
                <w:szCs w:val="21"/>
                <w:highlight w:val="none"/>
                <w:lang w:bidi="ar"/>
              </w:rPr>
              <w:t>管道工程量的计算，包括管道.管件.阀门法兰等，区分不同连接方式.压力等级.介质等；</w:t>
            </w:r>
          </w:p>
          <w:p w14:paraId="47723C3A">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16、工程量灵活化统计，满足不同时期、不同阶段的出量需求，支持过程实时查看，包括图元查量、分类查看工程量、报表等出量方式；报表计算过程可追溯，就像手算草稿一样，而且每个结算结果都可以和图元对应，方便查量核量；</w:t>
            </w:r>
          </w:p>
          <w:p w14:paraId="65C0DC9C">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17、内设专业化计算规则，包括国标GB 50856-2013清单规范、地区定额计算规则、各专业相关规范等，实现预留自动计算，能对分地上地下工程量进行设置，套管、孔洞、阻火圈、穿刺线夹、接线盒等自动生成，并可以随实际工程出量，并且规则支持导入导出，进行内部共享；</w:t>
            </w:r>
          </w:p>
          <w:p w14:paraId="222260E8">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18、软件内置支吊架国家规范标准，《GB50242-2002》. 《GB50243-2016》. 《GB50261-2017》，能根据不同的管道材质和规格自动进行水平管和立管支吊架的间距设置。</w:t>
            </w:r>
          </w:p>
          <w:p w14:paraId="13028CD6">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19、具有云科技应用，云储存、云输入、云构件库、云模型浏览和云模型下载等功能，方便构件重复利用和多方协同工作，支持本地应用和云端下载。</w:t>
            </w:r>
          </w:p>
          <w:p w14:paraId="7600938F">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20、具有配电系统树功能，快速建立平面图与系统图对照关系，监督和核查各个回路信息及布置情况。</w:t>
            </w:r>
          </w:p>
          <w:p w14:paraId="3DA6A8D7">
            <w:pPr>
              <w:pStyle w:val="46"/>
              <w:keepNext w:val="0"/>
              <w:keepLines w:val="0"/>
              <w:widowControl w:val="0"/>
              <w:suppressLineNumbers w:val="0"/>
              <w:tabs>
                <w:tab w:val="center" w:pos="4153"/>
                <w:tab w:val="right" w:pos="8306"/>
              </w:tabs>
              <w:snapToGrid w:val="0"/>
              <w:spacing w:before="0" w:beforeAutospacing="0" w:after="0" w:afterAutospacing="0" w:line="360" w:lineRule="exact"/>
              <w:ind w:left="0" w:right="0"/>
              <w:rPr>
                <w:rFonts w:hint="default" w:cs="宋体"/>
                <w:color w:val="auto"/>
                <w:sz w:val="21"/>
                <w:szCs w:val="21"/>
                <w:highlight w:val="none"/>
              </w:rPr>
            </w:pPr>
            <w:r>
              <w:rPr>
                <w:rFonts w:hint="eastAsia" w:cs="宋体"/>
                <w:color w:val="auto"/>
                <w:kern w:val="2"/>
                <w:sz w:val="21"/>
                <w:szCs w:val="21"/>
                <w:highlight w:val="none"/>
                <w:lang w:bidi="ar"/>
              </w:rPr>
              <w:t>▲21、需要提供正规出版社出版的带有ISBN即国际标准书号的教材，满足院校选取进行实训教学使用，并提供全套教学资料包：教学PPT、教学视频、阶段案例工程、参考答案、评分标准、电子图纸等；（需在投标时提供相关证明资料</w:t>
            </w:r>
            <w:r>
              <w:rPr>
                <w:rFonts w:hint="eastAsia" w:cs="宋体"/>
                <w:color w:val="auto"/>
                <w:sz w:val="21"/>
                <w:szCs w:val="21"/>
                <w:highlight w:val="none"/>
              </w:rPr>
              <w:t>并加盖投标人电子签章</w:t>
            </w:r>
            <w:r>
              <w:rPr>
                <w:rFonts w:hint="eastAsia" w:cs="宋体"/>
                <w:color w:val="auto"/>
                <w:kern w:val="2"/>
                <w:sz w:val="21"/>
                <w:szCs w:val="21"/>
                <w:highlight w:val="none"/>
                <w:lang w:bidi="ar"/>
              </w:rPr>
              <w:t>）</w:t>
            </w:r>
          </w:p>
          <w:p w14:paraId="1A65FB86">
            <w:pPr>
              <w:pStyle w:val="46"/>
              <w:keepNext w:val="0"/>
              <w:keepLines w:val="0"/>
              <w:widowControl w:val="0"/>
              <w:suppressLineNumbers w:val="0"/>
              <w:tabs>
                <w:tab w:val="center" w:pos="4153"/>
                <w:tab w:val="right" w:pos="8306"/>
              </w:tabs>
              <w:snapToGrid w:val="0"/>
              <w:spacing w:before="0" w:beforeAutospacing="0" w:after="0" w:afterAutospacing="0" w:line="360" w:lineRule="exact"/>
              <w:ind w:left="0" w:right="0"/>
              <w:rPr>
                <w:rFonts w:hint="eastAsia" w:cs="宋体"/>
                <w:color w:val="auto"/>
                <w:sz w:val="21"/>
                <w:szCs w:val="21"/>
                <w:highlight w:val="none"/>
                <w:lang w:bidi="ar"/>
              </w:rPr>
            </w:pPr>
            <w:r>
              <w:rPr>
                <w:rFonts w:hint="eastAsia" w:cs="宋体"/>
                <w:color w:val="auto"/>
                <w:kern w:val="2"/>
                <w:sz w:val="21"/>
                <w:szCs w:val="21"/>
                <w:highlight w:val="none"/>
                <w:lang w:bidi="ar"/>
              </w:rPr>
              <w:t>▲22、软件支持对工程文件进行评测，不限学生文件数量限制，可一键评出全班学生成绩，支持对工程案例件在合理性和完整性两个方面进行评判，并支持一键导出评分报告，快速掌握学生的学习情况。（</w:t>
            </w:r>
            <w:r>
              <w:rPr>
                <w:rFonts w:hint="eastAsia" w:cs="宋体"/>
                <w:color w:val="auto"/>
                <w:sz w:val="21"/>
                <w:szCs w:val="21"/>
                <w:highlight w:val="none"/>
              </w:rPr>
              <w:t>投标时需要提供功能截图并加盖投标人电子签章</w:t>
            </w:r>
            <w:r>
              <w:rPr>
                <w:rFonts w:hint="eastAsia" w:cs="宋体"/>
                <w:color w:val="auto"/>
                <w:sz w:val="21"/>
                <w:szCs w:val="21"/>
                <w:highlight w:val="none"/>
                <w:lang w:bidi="ar"/>
              </w:rPr>
              <w:t>）</w:t>
            </w:r>
          </w:p>
          <w:p w14:paraId="6B484C57">
            <w:pPr>
              <w:pStyle w:val="2"/>
              <w:keepNext w:val="0"/>
              <w:keepLines w:val="0"/>
              <w:suppressLineNumbers w:val="0"/>
              <w:spacing w:before="0" w:beforeAutospacing="0" w:afterAutospacing="0"/>
              <w:ind w:left="0" w:leftChars="0" w:right="0" w:firstLine="0" w:firstLineChars="0"/>
              <w:rPr>
                <w:rFonts w:hint="eastAsia" w:ascii="宋体" w:hAnsi="宋体" w:cs="宋体"/>
                <w:color w:val="auto"/>
                <w:sz w:val="21"/>
                <w:szCs w:val="21"/>
                <w:highlight w:val="none"/>
                <w:lang w:val="en-US" w:eastAsia="zh-CN"/>
              </w:rPr>
            </w:pPr>
            <w:r>
              <w:rPr>
                <w:rFonts w:hint="eastAsia" w:ascii="宋体" w:hAnsi="宋体" w:cs="等线"/>
                <w:b/>
                <w:bCs/>
                <w:color w:val="auto"/>
                <w:sz w:val="21"/>
                <w:szCs w:val="21"/>
                <w:highlight w:val="none"/>
              </w:rPr>
              <w:t>▲</w:t>
            </w:r>
            <w:r>
              <w:rPr>
                <w:rFonts w:hint="eastAsia" w:cs="宋体"/>
                <w:color w:val="auto"/>
                <w:sz w:val="21"/>
                <w:szCs w:val="21"/>
                <w:highlight w:val="none"/>
                <w:lang w:val="en-US" w:eastAsia="zh-CN" w:bidi="ar"/>
              </w:rPr>
              <w:t>23.</w:t>
            </w:r>
            <w:r>
              <w:rPr>
                <w:rFonts w:hint="eastAsia" w:ascii="宋体" w:hAnsi="宋体" w:cs="宋体"/>
                <w:color w:val="auto"/>
                <w:sz w:val="21"/>
                <w:szCs w:val="21"/>
                <w:highlight w:val="none"/>
                <w:lang w:val="en-US" w:eastAsia="zh-CN"/>
              </w:rPr>
              <w:t>部署、安装、调试、适配服务：</w:t>
            </w:r>
          </w:p>
          <w:p w14:paraId="24453C1F">
            <w:pPr>
              <w:keepNext w:val="0"/>
              <w:keepLines w:val="0"/>
              <w:numPr>
                <w:ilvl w:val="0"/>
                <w:numId w:val="0"/>
              </w:numPr>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default"/>
                <w:color w:val="auto"/>
                <w:sz w:val="21"/>
                <w:szCs w:val="21"/>
                <w:highlight w:val="none"/>
              </w:rPr>
              <w:t>软件本地化部署</w:t>
            </w:r>
            <w:r>
              <w:rPr>
                <w:rFonts w:hint="eastAsia"/>
                <w:color w:val="auto"/>
                <w:sz w:val="21"/>
                <w:szCs w:val="21"/>
                <w:highlight w:val="none"/>
                <w:lang w:val="en-US" w:eastAsia="zh-CN"/>
              </w:rPr>
              <w:t>；</w:t>
            </w:r>
          </w:p>
          <w:p w14:paraId="2AFD2682">
            <w:pPr>
              <w:keepNext w:val="0"/>
              <w:keepLines w:val="0"/>
              <w:numPr>
                <w:ilvl w:val="0"/>
                <w:numId w:val="0"/>
              </w:numPr>
              <w:suppressLineNumbers w:val="0"/>
              <w:spacing w:before="0" w:beforeAutospacing="0" w:after="0" w:afterAutospacing="0" w:line="320" w:lineRule="exact"/>
              <w:ind w:left="0" w:right="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2）中标人</w:t>
            </w:r>
            <w:r>
              <w:rPr>
                <w:rFonts w:hint="default"/>
                <w:color w:val="auto"/>
                <w:sz w:val="21"/>
                <w:szCs w:val="21"/>
                <w:highlight w:val="none"/>
              </w:rPr>
              <w:t>承诺与学校硬件终端（包括信创计算机终端）和服务器（含信创服务器）适配，在</w:t>
            </w:r>
            <w:r>
              <w:rPr>
                <w:rFonts w:hint="eastAsia"/>
                <w:color w:val="auto"/>
                <w:sz w:val="21"/>
                <w:szCs w:val="21"/>
                <w:highlight w:val="none"/>
                <w:lang w:val="en-US" w:eastAsia="zh-CN"/>
              </w:rPr>
              <w:t>签订合同并交付验收合格后三</w:t>
            </w:r>
            <w:r>
              <w:rPr>
                <w:rFonts w:hint="default"/>
                <w:color w:val="auto"/>
                <w:sz w:val="21"/>
                <w:szCs w:val="21"/>
                <w:highlight w:val="none"/>
              </w:rPr>
              <w:t>年内</w:t>
            </w:r>
            <w:r>
              <w:rPr>
                <w:rFonts w:hint="eastAsia"/>
                <w:color w:val="auto"/>
                <w:sz w:val="21"/>
                <w:szCs w:val="21"/>
                <w:highlight w:val="none"/>
                <w:lang w:val="en-US" w:eastAsia="zh-CN"/>
              </w:rPr>
              <w:t>采购人</w:t>
            </w:r>
            <w:r>
              <w:rPr>
                <w:rFonts w:hint="default"/>
                <w:color w:val="auto"/>
                <w:sz w:val="21"/>
                <w:szCs w:val="21"/>
                <w:highlight w:val="none"/>
              </w:rPr>
              <w:t>拟采购的硬件设施（含国产化操作系统环境下）中正常安装、适配开发使用，提供三年质保期限的维护与升级、适配开发服务，由此产生的费用已包含在本次投标总价中，采购人不再另行支付。</w:t>
            </w:r>
          </w:p>
          <w:p w14:paraId="0046304A">
            <w:pPr>
              <w:keepNext w:val="0"/>
              <w:keepLines w:val="0"/>
              <w:suppressLineNumbers w:val="0"/>
              <w:spacing w:before="0" w:beforeAutospacing="0" w:after="0" w:afterAutospacing="0" w:line="320" w:lineRule="exact"/>
              <w:ind w:left="0" w:right="0"/>
              <w:rPr>
                <w:rFonts w:hint="default"/>
                <w:color w:val="auto"/>
                <w:sz w:val="21"/>
                <w:szCs w:val="21"/>
                <w:highlight w:val="none"/>
                <w:lang w:val="en-US" w:eastAsia="zh-CN"/>
              </w:rPr>
            </w:pPr>
            <w:r>
              <w:rPr>
                <w:rFonts w:hint="eastAsia"/>
                <w:color w:val="auto"/>
                <w:sz w:val="21"/>
                <w:szCs w:val="21"/>
                <w:highlight w:val="none"/>
                <w:lang w:val="en-US" w:eastAsia="zh-CN"/>
              </w:rPr>
              <w:t>（3）升级服务：</w:t>
            </w:r>
            <w:r>
              <w:rPr>
                <w:rFonts w:hint="default"/>
                <w:color w:val="auto"/>
                <w:sz w:val="21"/>
                <w:szCs w:val="21"/>
                <w:highlight w:val="none"/>
              </w:rPr>
              <w:t>三年后如需升级，则按不超过中标金额的3%收取费用。</w:t>
            </w:r>
          </w:p>
          <w:p w14:paraId="39D02E0F">
            <w:pPr>
              <w:pStyle w:val="46"/>
              <w:keepNext w:val="0"/>
              <w:keepLines w:val="0"/>
              <w:widowControl w:val="0"/>
              <w:suppressLineNumbers w:val="0"/>
              <w:tabs>
                <w:tab w:val="center" w:pos="4153"/>
                <w:tab w:val="right" w:pos="8306"/>
              </w:tabs>
              <w:snapToGrid w:val="0"/>
              <w:spacing w:before="0" w:beforeAutospacing="0" w:after="0" w:afterAutospacing="0" w:line="360" w:lineRule="exact"/>
              <w:ind w:left="0" w:right="0"/>
              <w:rPr>
                <w:rFonts w:hint="eastAsia" w:cs="宋体"/>
                <w:color w:val="auto"/>
                <w:sz w:val="21"/>
                <w:szCs w:val="21"/>
                <w:highlight w:val="none"/>
                <w:lang w:bidi="ar"/>
              </w:rPr>
            </w:pPr>
            <w:r>
              <w:rPr>
                <w:rFonts w:hint="eastAsia"/>
                <w:color w:val="auto"/>
                <w:sz w:val="21"/>
                <w:szCs w:val="21"/>
                <w:highlight w:val="none"/>
                <w:lang w:val="en-US" w:eastAsia="zh-CN"/>
              </w:rPr>
              <w:t>24.使用用户数：55个节点。</w:t>
            </w:r>
          </w:p>
          <w:p w14:paraId="79FACF44">
            <w:pPr>
              <w:keepNext w:val="0"/>
              <w:keepLines w:val="0"/>
              <w:suppressLineNumbers w:val="0"/>
              <w:spacing w:before="0" w:beforeAutospacing="0" w:after="0" w:afterAutospacing="0" w:line="320" w:lineRule="exact"/>
              <w:ind w:left="0" w:right="0"/>
              <w:rPr>
                <w:rFonts w:hint="default" w:ascii="宋体" w:hAnsi="宋体" w:cs="宋体"/>
                <w:color w:val="auto"/>
                <w:sz w:val="21"/>
                <w:szCs w:val="21"/>
                <w:highlight w:val="none"/>
              </w:rPr>
            </w:pPr>
          </w:p>
        </w:tc>
      </w:tr>
    </w:tbl>
    <w:p w14:paraId="7F81DE50">
      <w:pPr>
        <w:spacing w:line="360" w:lineRule="auto"/>
        <w:rPr>
          <w:color w:val="auto"/>
          <w:szCs w:val="21"/>
          <w:highlight w:val="none"/>
        </w:rPr>
      </w:pPr>
      <w:r>
        <w:rPr>
          <w:rFonts w:hint="eastAsia" w:cs="宋体"/>
          <w:color w:val="auto"/>
          <w:szCs w:val="21"/>
          <w:highlight w:val="none"/>
          <w:lang w:bidi="ar"/>
        </w:rPr>
        <w:t>注：</w:t>
      </w:r>
      <w:r>
        <w:rPr>
          <w:color w:val="auto"/>
          <w:szCs w:val="21"/>
          <w:highlight w:val="none"/>
          <w:lang w:bidi="ar"/>
        </w:rPr>
        <w:t>1</w:t>
      </w:r>
      <w:r>
        <w:rPr>
          <w:rFonts w:hint="eastAsia" w:cs="宋体"/>
          <w:color w:val="auto"/>
          <w:szCs w:val="21"/>
          <w:highlight w:val="none"/>
          <w:lang w:bidi="ar"/>
        </w:rPr>
        <w:t>、所属行业标明</w:t>
      </w:r>
      <w:r>
        <w:rPr>
          <w:color w:val="auto"/>
          <w:szCs w:val="21"/>
          <w:highlight w:val="none"/>
          <w:lang w:bidi="ar"/>
        </w:rPr>
        <w:t>“/”</w:t>
      </w:r>
      <w:r>
        <w:rPr>
          <w:rFonts w:hint="eastAsia" w:cs="宋体"/>
          <w:color w:val="auto"/>
          <w:szCs w:val="21"/>
          <w:highlight w:val="none"/>
          <w:lang w:bidi="ar"/>
        </w:rPr>
        <w:t>的采购标的，无需在中小企业声明函中填写。</w:t>
      </w:r>
    </w:p>
    <w:p w14:paraId="64361E13">
      <w:pPr>
        <w:spacing w:line="360" w:lineRule="auto"/>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、实质性参数要求提交证明材料的，应按照要求提供，未提供或未按要求提供的将视为响应无效。</w:t>
      </w:r>
    </w:p>
    <w:p w14:paraId="333ACF17">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三、商务要求</w:t>
      </w:r>
    </w:p>
    <w:p w14:paraId="725904B1">
      <w:pPr>
        <w:spacing w:line="360" w:lineRule="auto"/>
        <w:rPr>
          <w:color w:val="auto"/>
          <w:szCs w:val="21"/>
          <w:highlight w:val="none"/>
        </w:rPr>
      </w:pPr>
      <w:r>
        <w:rPr>
          <w:color w:val="auto"/>
          <w:szCs w:val="21"/>
          <w:highlight w:val="none"/>
          <w:lang w:bidi="ar"/>
        </w:rPr>
        <w:t>1</w:t>
      </w:r>
      <w:r>
        <w:rPr>
          <w:rFonts w:hint="eastAsia" w:cs="宋体"/>
          <w:color w:val="auto"/>
          <w:szCs w:val="21"/>
          <w:highlight w:val="none"/>
          <w:lang w:bidi="ar"/>
        </w:rPr>
        <w:t>．报价要求</w:t>
      </w:r>
    </w:p>
    <w:p w14:paraId="15195897">
      <w:pPr>
        <w:spacing w:line="360" w:lineRule="auto"/>
        <w:rPr>
          <w:color w:val="auto"/>
          <w:szCs w:val="21"/>
          <w:highlight w:val="none"/>
        </w:rPr>
      </w:pPr>
      <w:r>
        <w:rPr>
          <w:rFonts w:hint="eastAsia" w:cs="宋体"/>
          <w:color w:val="auto"/>
          <w:szCs w:val="21"/>
          <w:highlight w:val="none"/>
          <w:lang w:bidi="ar"/>
        </w:rPr>
        <w:t>本次报价须为人民币报价，包含产品价、运输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w:t>
      </w:r>
      <w:r>
        <w:rPr>
          <w:rFonts w:hint="eastAsia" w:cs="宋体"/>
          <w:color w:val="auto"/>
          <w:szCs w:val="21"/>
          <w:highlight w:val="none"/>
          <w:lang w:eastAsia="zh-CN" w:bidi="ar"/>
        </w:rPr>
        <w:t>包含</w:t>
      </w:r>
      <w:r>
        <w:rPr>
          <w:rFonts w:hint="eastAsia" w:cs="宋体"/>
          <w:color w:val="auto"/>
          <w:szCs w:val="21"/>
          <w:highlight w:val="none"/>
          <w:lang w:bidi="ar"/>
        </w:rPr>
        <w:t>在投标总报价中。</w:t>
      </w:r>
    </w:p>
    <w:p w14:paraId="5123063B">
      <w:pPr>
        <w:spacing w:line="360" w:lineRule="auto"/>
        <w:rPr>
          <w:color w:val="auto"/>
          <w:szCs w:val="21"/>
          <w:highlight w:val="none"/>
        </w:rPr>
      </w:pPr>
      <w:r>
        <w:rPr>
          <w:color w:val="auto"/>
          <w:szCs w:val="21"/>
          <w:highlight w:val="none"/>
          <w:lang w:bidi="ar"/>
        </w:rPr>
        <w:t>2.</w:t>
      </w:r>
      <w:r>
        <w:rPr>
          <w:rFonts w:hint="eastAsia" w:cs="宋体"/>
          <w:color w:val="auto"/>
          <w:szCs w:val="21"/>
          <w:highlight w:val="none"/>
          <w:lang w:bidi="ar"/>
        </w:rPr>
        <w:t>合同签订日期</w:t>
      </w:r>
    </w:p>
    <w:p w14:paraId="05198185">
      <w:pPr>
        <w:spacing w:line="360" w:lineRule="auto"/>
        <w:rPr>
          <w:color w:val="auto"/>
          <w:szCs w:val="21"/>
          <w:highlight w:val="none"/>
        </w:rPr>
      </w:pPr>
      <w:r>
        <w:rPr>
          <w:rFonts w:hint="eastAsia" w:cs="宋体"/>
          <w:color w:val="auto"/>
          <w:szCs w:val="21"/>
          <w:highlight w:val="none"/>
          <w:lang w:bidi="ar"/>
        </w:rPr>
        <w:t>中标通知书发出后</w:t>
      </w:r>
      <w:r>
        <w:rPr>
          <w:color w:val="auto"/>
          <w:szCs w:val="21"/>
          <w:highlight w:val="none"/>
          <w:lang w:bidi="ar"/>
        </w:rPr>
        <w:t>25</w:t>
      </w:r>
      <w:r>
        <w:rPr>
          <w:rFonts w:hint="eastAsia" w:cs="宋体"/>
          <w:color w:val="auto"/>
          <w:szCs w:val="21"/>
          <w:highlight w:val="none"/>
          <w:lang w:bidi="ar"/>
        </w:rPr>
        <w:t>日内。</w:t>
      </w:r>
    </w:p>
    <w:p w14:paraId="62636A0D">
      <w:pPr>
        <w:spacing w:line="360" w:lineRule="auto"/>
        <w:rPr>
          <w:color w:val="auto"/>
          <w:szCs w:val="21"/>
          <w:highlight w:val="none"/>
        </w:rPr>
      </w:pPr>
      <w:r>
        <w:rPr>
          <w:color w:val="auto"/>
          <w:szCs w:val="21"/>
          <w:highlight w:val="none"/>
          <w:lang w:bidi="ar"/>
        </w:rPr>
        <w:t>3.</w:t>
      </w:r>
      <w:r>
        <w:rPr>
          <w:rFonts w:hint="eastAsia" w:cs="宋体"/>
          <w:color w:val="auto"/>
          <w:szCs w:val="21"/>
          <w:highlight w:val="none"/>
          <w:lang w:bidi="ar"/>
        </w:rPr>
        <w:t>交货（实施）时间</w:t>
      </w:r>
    </w:p>
    <w:p w14:paraId="4E8FBC43">
      <w:pPr>
        <w:spacing w:line="360" w:lineRule="auto"/>
        <w:rPr>
          <w:color w:val="auto"/>
          <w:kern w:val="0"/>
          <w:szCs w:val="21"/>
          <w:highlight w:val="none"/>
        </w:rPr>
      </w:pPr>
      <w:r>
        <w:rPr>
          <w:rFonts w:hint="eastAsia" w:cs="宋体"/>
          <w:color w:val="auto"/>
          <w:kern w:val="0"/>
          <w:szCs w:val="21"/>
          <w:highlight w:val="none"/>
          <w:lang w:bidi="ar"/>
        </w:rPr>
        <w:t>自签订合同之日起</w:t>
      </w:r>
      <w:r>
        <w:rPr>
          <w:color w:val="auto"/>
          <w:kern w:val="0"/>
          <w:szCs w:val="21"/>
          <w:highlight w:val="none"/>
          <w:lang w:bidi="ar"/>
        </w:rPr>
        <w:t>7</w:t>
      </w:r>
      <w:r>
        <w:rPr>
          <w:rFonts w:hint="eastAsia" w:cs="宋体"/>
          <w:color w:val="auto"/>
          <w:kern w:val="0"/>
          <w:szCs w:val="21"/>
          <w:highlight w:val="none"/>
          <w:lang w:bidi="ar"/>
        </w:rPr>
        <w:t>日历天内完成采购、安装调试并通过验收。</w:t>
      </w:r>
    </w:p>
    <w:p w14:paraId="1AB86B75">
      <w:pPr>
        <w:spacing w:line="360" w:lineRule="auto"/>
        <w:rPr>
          <w:color w:val="auto"/>
          <w:szCs w:val="21"/>
          <w:highlight w:val="none"/>
        </w:rPr>
      </w:pPr>
      <w:r>
        <w:rPr>
          <w:color w:val="auto"/>
          <w:szCs w:val="21"/>
          <w:highlight w:val="none"/>
          <w:lang w:bidi="ar"/>
        </w:rPr>
        <w:t>4.</w:t>
      </w:r>
      <w:r>
        <w:rPr>
          <w:rFonts w:hint="eastAsia" w:cs="宋体"/>
          <w:color w:val="auto"/>
          <w:szCs w:val="21"/>
          <w:highlight w:val="none"/>
          <w:lang w:bidi="ar"/>
        </w:rPr>
        <w:t>交货地点或服务地点</w:t>
      </w:r>
    </w:p>
    <w:p w14:paraId="2C36EE4E">
      <w:pPr>
        <w:spacing w:line="360" w:lineRule="auto"/>
        <w:rPr>
          <w:color w:val="auto"/>
          <w:szCs w:val="21"/>
          <w:highlight w:val="none"/>
        </w:rPr>
      </w:pPr>
      <w:r>
        <w:rPr>
          <w:rFonts w:hint="eastAsia" w:cs="宋体"/>
          <w:color w:val="auto"/>
          <w:szCs w:val="21"/>
          <w:highlight w:val="none"/>
          <w:lang w:bidi="ar"/>
        </w:rPr>
        <w:t>广西南宁市内采购人指定地点。</w:t>
      </w:r>
    </w:p>
    <w:p w14:paraId="272420B1">
      <w:pPr>
        <w:spacing w:line="360" w:lineRule="auto"/>
        <w:rPr>
          <w:color w:val="auto"/>
          <w:szCs w:val="21"/>
          <w:highlight w:val="none"/>
        </w:rPr>
      </w:pPr>
      <w:r>
        <w:rPr>
          <w:color w:val="auto"/>
          <w:szCs w:val="21"/>
          <w:highlight w:val="none"/>
          <w:lang w:bidi="ar"/>
        </w:rPr>
        <w:t>5.</w:t>
      </w:r>
      <w:r>
        <w:rPr>
          <w:rFonts w:hint="eastAsia" w:cs="宋体"/>
          <w:color w:val="auto"/>
          <w:szCs w:val="21"/>
          <w:highlight w:val="none"/>
          <w:lang w:bidi="ar"/>
        </w:rPr>
        <w:t>验收标准</w:t>
      </w:r>
    </w:p>
    <w:p w14:paraId="492111A0">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6B385C52">
      <w:pPr>
        <w:spacing w:line="360" w:lineRule="auto"/>
        <w:rPr>
          <w:color w:val="auto"/>
          <w:szCs w:val="21"/>
          <w:highlight w:val="none"/>
        </w:rPr>
      </w:pPr>
      <w:r>
        <w:rPr>
          <w:color w:val="auto"/>
          <w:szCs w:val="21"/>
          <w:highlight w:val="none"/>
          <w:lang w:bidi="ar"/>
        </w:rPr>
        <w:t>6.</w:t>
      </w:r>
      <w:r>
        <w:rPr>
          <w:rFonts w:hint="eastAsia" w:cs="宋体"/>
          <w:color w:val="auto"/>
          <w:szCs w:val="21"/>
          <w:highlight w:val="none"/>
          <w:lang w:bidi="ar"/>
        </w:rPr>
        <w:t>服务标准、期限、效率</w:t>
      </w:r>
    </w:p>
    <w:p w14:paraId="60F77BDD">
      <w:pPr>
        <w:spacing w:line="360" w:lineRule="auto"/>
        <w:rPr>
          <w:color w:val="auto"/>
          <w:szCs w:val="21"/>
          <w:highlight w:val="none"/>
        </w:rPr>
      </w:pPr>
      <w:r>
        <w:rPr>
          <w:color w:val="auto"/>
          <w:szCs w:val="21"/>
          <w:highlight w:val="none"/>
          <w:lang w:bidi="ar"/>
        </w:rPr>
        <w:t>6.1</w:t>
      </w:r>
      <w:r>
        <w:rPr>
          <w:rFonts w:hint="eastAsia" w:cs="宋体"/>
          <w:color w:val="auto"/>
          <w:szCs w:val="21"/>
          <w:highlight w:val="none"/>
          <w:lang w:bidi="ar"/>
        </w:rPr>
        <w:t>中标供应商在质量保证期内应当为采购人提供以下技术支持和服务：</w:t>
      </w:r>
    </w:p>
    <w:p w14:paraId="59634BBC">
      <w:pPr>
        <w:spacing w:line="360" w:lineRule="auto"/>
        <w:rPr>
          <w:color w:val="auto"/>
          <w:szCs w:val="21"/>
          <w:highlight w:val="none"/>
        </w:rPr>
      </w:pPr>
      <w:r>
        <w:rPr>
          <w:color w:val="auto"/>
          <w:szCs w:val="21"/>
          <w:highlight w:val="none"/>
          <w:lang w:bidi="ar"/>
        </w:rPr>
        <w:t>6.1.1</w:t>
      </w:r>
      <w:r>
        <w:rPr>
          <w:rFonts w:hint="eastAsia" w:cs="宋体"/>
          <w:color w:val="auto"/>
          <w:szCs w:val="21"/>
          <w:highlight w:val="none"/>
          <w:lang w:bidi="ar"/>
        </w:rPr>
        <w:t>电话咨询</w:t>
      </w:r>
    </w:p>
    <w:p w14:paraId="705C896D">
      <w:pPr>
        <w:spacing w:line="360" w:lineRule="auto"/>
        <w:rPr>
          <w:color w:val="auto"/>
          <w:szCs w:val="21"/>
          <w:highlight w:val="none"/>
        </w:rPr>
      </w:pPr>
      <w:r>
        <w:rPr>
          <w:rFonts w:hint="eastAsia" w:cs="宋体"/>
          <w:color w:val="auto"/>
          <w:szCs w:val="21"/>
          <w:highlight w:val="none"/>
          <w:lang w:bidi="ar"/>
        </w:rPr>
        <w:t>中标供应商应当为采购人提供技术援助电话，解答采购人在使用中遇到的问题，及时为采购人提出解决问题的建议。</w:t>
      </w:r>
    </w:p>
    <w:p w14:paraId="2ABFA085">
      <w:pPr>
        <w:spacing w:line="360" w:lineRule="auto"/>
        <w:rPr>
          <w:color w:val="auto"/>
          <w:szCs w:val="21"/>
          <w:highlight w:val="none"/>
        </w:rPr>
      </w:pPr>
      <w:r>
        <w:rPr>
          <w:color w:val="auto"/>
          <w:szCs w:val="21"/>
          <w:highlight w:val="none"/>
          <w:lang w:bidi="ar"/>
        </w:rPr>
        <w:t>6.1.2</w:t>
      </w:r>
      <w:r>
        <w:rPr>
          <w:rFonts w:hint="eastAsia" w:cs="宋体"/>
          <w:color w:val="auto"/>
          <w:szCs w:val="21"/>
          <w:highlight w:val="none"/>
          <w:lang w:bidi="ar"/>
        </w:rPr>
        <w:t>现场响应</w:t>
      </w:r>
    </w:p>
    <w:p w14:paraId="6B542602">
      <w:pPr>
        <w:spacing w:line="360" w:lineRule="auto"/>
        <w:rPr>
          <w:color w:val="auto"/>
          <w:szCs w:val="21"/>
          <w:highlight w:val="none"/>
        </w:rPr>
      </w:pPr>
      <w:r>
        <w:rPr>
          <w:rFonts w:hint="eastAsia" w:cs="宋体"/>
          <w:color w:val="auto"/>
          <w:szCs w:val="21"/>
          <w:highlight w:val="none"/>
          <w:lang w:bidi="ar"/>
        </w:rPr>
        <w:t>采购人遇到使用或技术问题，电话咨询不能解决的，中标供应商应在</w:t>
      </w:r>
      <w:r>
        <w:rPr>
          <w:color w:val="auto"/>
          <w:szCs w:val="21"/>
          <w:highlight w:val="none"/>
          <w:lang w:bidi="ar"/>
        </w:rPr>
        <w:t>8</w:t>
      </w:r>
      <w:r>
        <w:rPr>
          <w:rFonts w:hint="eastAsia" w:cs="宋体"/>
          <w:color w:val="auto"/>
          <w:szCs w:val="21"/>
          <w:highlight w:val="none"/>
          <w:lang w:bidi="ar"/>
        </w:rPr>
        <w:t>小时内到达现场进行处理，到达现场后</w:t>
      </w:r>
      <w:r>
        <w:rPr>
          <w:color w:val="auto"/>
          <w:szCs w:val="21"/>
          <w:highlight w:val="none"/>
          <w:lang w:bidi="ar"/>
        </w:rPr>
        <w:t>24</w:t>
      </w:r>
      <w:r>
        <w:rPr>
          <w:rFonts w:hint="eastAsia" w:cs="宋体"/>
          <w:color w:val="auto"/>
          <w:szCs w:val="21"/>
          <w:highlight w:val="none"/>
          <w:lang w:bidi="ar"/>
        </w:rPr>
        <w:t>小时内排除故障，恢复正常使用。</w:t>
      </w:r>
    </w:p>
    <w:p w14:paraId="6F61AAD7">
      <w:pPr>
        <w:spacing w:line="360" w:lineRule="auto"/>
        <w:rPr>
          <w:color w:val="auto"/>
          <w:szCs w:val="21"/>
          <w:highlight w:val="none"/>
        </w:rPr>
      </w:pPr>
      <w:r>
        <w:rPr>
          <w:color w:val="auto"/>
          <w:szCs w:val="21"/>
          <w:highlight w:val="none"/>
          <w:lang w:bidi="ar"/>
        </w:rPr>
        <w:t>6.1.3</w:t>
      </w:r>
      <w:r>
        <w:rPr>
          <w:rFonts w:hint="eastAsia" w:cs="宋体"/>
          <w:color w:val="auto"/>
          <w:szCs w:val="21"/>
          <w:highlight w:val="none"/>
          <w:lang w:bidi="ar"/>
        </w:rPr>
        <w:t>技术升级</w:t>
      </w:r>
    </w:p>
    <w:p w14:paraId="09BC1E82">
      <w:pPr>
        <w:spacing w:line="360" w:lineRule="auto"/>
        <w:rPr>
          <w:color w:val="auto"/>
          <w:szCs w:val="21"/>
          <w:highlight w:val="none"/>
        </w:rPr>
      </w:pPr>
      <w:r>
        <w:rPr>
          <w:rFonts w:hint="eastAsia" w:cs="宋体"/>
          <w:color w:val="auto"/>
          <w:szCs w:val="21"/>
          <w:highlight w:val="none"/>
          <w:lang w:bidi="ar"/>
        </w:rPr>
        <w:t>在质保期内，如果中标供应商的产品或服务升级，中标供应商应及时通知采购人，如采购人有相应要求，中标供应商应对采购人购买的产品或服务进行升级。</w:t>
      </w:r>
    </w:p>
    <w:p w14:paraId="037007E0">
      <w:pPr>
        <w:spacing w:line="360" w:lineRule="auto"/>
        <w:rPr>
          <w:color w:val="auto"/>
          <w:szCs w:val="21"/>
          <w:highlight w:val="none"/>
        </w:rPr>
      </w:pPr>
      <w:r>
        <w:rPr>
          <w:color w:val="auto"/>
          <w:szCs w:val="21"/>
          <w:highlight w:val="none"/>
          <w:lang w:bidi="ar"/>
        </w:rPr>
        <w:t>7.</w:t>
      </w:r>
      <w:r>
        <w:rPr>
          <w:rFonts w:hint="eastAsia" w:cs="宋体"/>
          <w:color w:val="auto"/>
          <w:szCs w:val="21"/>
          <w:highlight w:val="none"/>
          <w:lang w:bidi="ar"/>
        </w:rPr>
        <w:t>培训</w:t>
      </w:r>
    </w:p>
    <w:p w14:paraId="50B06FAF">
      <w:pPr>
        <w:spacing w:line="360" w:lineRule="auto"/>
        <w:rPr>
          <w:color w:val="auto"/>
          <w:szCs w:val="21"/>
          <w:highlight w:val="none"/>
        </w:rPr>
      </w:pPr>
      <w:r>
        <w:rPr>
          <w:rFonts w:hint="eastAsia" w:cs="宋体"/>
          <w:color w:val="auto"/>
          <w:szCs w:val="21"/>
          <w:highlight w:val="none"/>
          <w:lang w:bidi="ar"/>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7105A3EA">
      <w:pPr>
        <w:spacing w:line="360" w:lineRule="auto"/>
        <w:rPr>
          <w:color w:val="auto"/>
          <w:szCs w:val="21"/>
          <w:highlight w:val="none"/>
        </w:rPr>
      </w:pPr>
      <w:r>
        <w:rPr>
          <w:color w:val="auto"/>
          <w:szCs w:val="21"/>
          <w:highlight w:val="none"/>
          <w:lang w:bidi="ar"/>
        </w:rPr>
        <w:t>8.</w:t>
      </w:r>
      <w:r>
        <w:rPr>
          <w:rFonts w:hint="eastAsia" w:cs="宋体"/>
          <w:color w:val="auto"/>
          <w:szCs w:val="21"/>
          <w:highlight w:val="none"/>
          <w:lang w:bidi="ar"/>
        </w:rPr>
        <w:t>付款方式、时间及条件</w:t>
      </w:r>
    </w:p>
    <w:p w14:paraId="559379DD">
      <w:pPr>
        <w:spacing w:line="360" w:lineRule="auto"/>
        <w:rPr>
          <w:rFonts w:cs="宋体"/>
          <w:color w:val="auto"/>
          <w:szCs w:val="21"/>
          <w:highlight w:val="none"/>
          <w:lang w:bidi="ar"/>
        </w:rPr>
      </w:pPr>
      <w:r>
        <w:rPr>
          <w:rFonts w:hint="eastAsia" w:cs="宋体"/>
          <w:color w:val="auto"/>
          <w:szCs w:val="21"/>
          <w:highlight w:val="none"/>
          <w:lang w:bidi="ar"/>
        </w:rPr>
        <w:t>8.1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5DC04340">
      <w:pPr>
        <w:spacing w:line="360" w:lineRule="auto"/>
        <w:rPr>
          <w:rFonts w:cs="宋体"/>
          <w:color w:val="auto"/>
          <w:szCs w:val="21"/>
          <w:highlight w:val="none"/>
          <w:lang w:bidi="ar"/>
        </w:rPr>
      </w:pPr>
      <w:r>
        <w:rPr>
          <w:rFonts w:cs="宋体"/>
          <w:color w:val="auto"/>
          <w:szCs w:val="21"/>
          <w:highlight w:val="none"/>
          <w:lang w:bidi="ar"/>
        </w:rPr>
        <w:t>8.2</w:t>
      </w:r>
      <w:r>
        <w:rPr>
          <w:rFonts w:hint="eastAsia" w:cs="宋体"/>
          <w:color w:val="auto"/>
          <w:szCs w:val="21"/>
          <w:highlight w:val="none"/>
          <w:lang w:bidi="ar"/>
        </w:rPr>
        <w:t>票据要求：付款前中标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供应商承担。</w:t>
      </w:r>
    </w:p>
    <w:p w14:paraId="0D10FC71">
      <w:pPr>
        <w:spacing w:line="360" w:lineRule="auto"/>
        <w:rPr>
          <w:color w:val="auto"/>
          <w:szCs w:val="21"/>
          <w:highlight w:val="none"/>
        </w:rPr>
      </w:pPr>
      <w:r>
        <w:rPr>
          <w:rFonts w:cs="宋体"/>
          <w:color w:val="auto"/>
          <w:szCs w:val="21"/>
          <w:highlight w:val="none"/>
          <w:lang w:bidi="ar"/>
        </w:rPr>
        <w:t>8.3</w:t>
      </w:r>
      <w:r>
        <w:rPr>
          <w:rFonts w:hint="eastAsia" w:cs="宋体"/>
          <w:color w:val="auto"/>
          <w:szCs w:val="21"/>
          <w:highlight w:val="none"/>
          <w:lang w:bidi="ar"/>
        </w:rPr>
        <w:t>本合同使用货币币制如未作特别说明均为人民币。</w:t>
      </w:r>
    </w:p>
    <w:p w14:paraId="6EE3D5B4">
      <w:pPr>
        <w:spacing w:line="360" w:lineRule="auto"/>
        <w:rPr>
          <w:color w:val="auto"/>
          <w:szCs w:val="21"/>
          <w:highlight w:val="none"/>
        </w:rPr>
      </w:pPr>
      <w:r>
        <w:rPr>
          <w:color w:val="auto"/>
          <w:szCs w:val="21"/>
          <w:highlight w:val="none"/>
          <w:lang w:bidi="ar"/>
        </w:rPr>
        <w:t>9.</w:t>
      </w:r>
      <w:r>
        <w:rPr>
          <w:rFonts w:hint="eastAsia" w:cs="宋体"/>
          <w:color w:val="auto"/>
          <w:szCs w:val="21"/>
          <w:highlight w:val="none"/>
          <w:lang w:bidi="ar"/>
        </w:rPr>
        <w:t>履约保证金</w:t>
      </w:r>
    </w:p>
    <w:p w14:paraId="7303C3AB">
      <w:pPr>
        <w:spacing w:line="360" w:lineRule="auto"/>
        <w:rPr>
          <w:color w:val="auto"/>
          <w:szCs w:val="21"/>
          <w:highlight w:val="none"/>
        </w:rPr>
      </w:pPr>
      <w:r>
        <w:rPr>
          <w:rFonts w:hint="eastAsia" w:cs="宋体"/>
          <w:color w:val="auto"/>
          <w:szCs w:val="21"/>
          <w:highlight w:val="none"/>
          <w:lang w:bidi="ar"/>
        </w:rPr>
        <w:t>详见招标文件合同主要条款格式部分。</w:t>
      </w:r>
    </w:p>
    <w:p w14:paraId="3FEE9D9B">
      <w:pPr>
        <w:spacing w:line="360" w:lineRule="auto"/>
        <w:rPr>
          <w:color w:val="auto"/>
          <w:szCs w:val="21"/>
          <w:highlight w:val="none"/>
        </w:rPr>
      </w:pPr>
      <w:r>
        <w:rPr>
          <w:color w:val="auto"/>
          <w:szCs w:val="21"/>
          <w:highlight w:val="none"/>
          <w:lang w:bidi="ar"/>
        </w:rPr>
        <w:t>10.</w:t>
      </w:r>
      <w:r>
        <w:rPr>
          <w:rFonts w:hint="eastAsia" w:cs="宋体"/>
          <w:color w:val="auto"/>
          <w:szCs w:val="21"/>
          <w:highlight w:val="none"/>
          <w:lang w:bidi="ar"/>
        </w:rPr>
        <w:t>包装和运输要求</w:t>
      </w:r>
    </w:p>
    <w:p w14:paraId="249CE55C">
      <w:pPr>
        <w:spacing w:line="360" w:lineRule="auto"/>
        <w:rPr>
          <w:color w:val="auto"/>
          <w:szCs w:val="21"/>
          <w:highlight w:val="none"/>
        </w:rPr>
      </w:pPr>
      <w:r>
        <w:rPr>
          <w:rFonts w:hint="eastAsia" w:cs="宋体"/>
          <w:color w:val="auto"/>
          <w:szCs w:val="21"/>
          <w:highlight w:val="none"/>
          <w:lang w:bidi="ar"/>
        </w:rPr>
        <w:t>根据《财政部等三部门联合印发商品包装和快递包装政府采购需求标准（试行）》财办库【</w:t>
      </w:r>
      <w:r>
        <w:rPr>
          <w:color w:val="auto"/>
          <w:szCs w:val="21"/>
          <w:highlight w:val="none"/>
          <w:lang w:bidi="ar"/>
        </w:rPr>
        <w:t>2020</w:t>
      </w:r>
      <w:r>
        <w:rPr>
          <w:rFonts w:hint="eastAsia" w:cs="宋体"/>
          <w:color w:val="auto"/>
          <w:szCs w:val="21"/>
          <w:highlight w:val="none"/>
          <w:lang w:bidi="ar"/>
        </w:rPr>
        <w:t>】</w:t>
      </w:r>
      <w:r>
        <w:rPr>
          <w:color w:val="auto"/>
          <w:szCs w:val="21"/>
          <w:highlight w:val="none"/>
          <w:lang w:bidi="ar"/>
        </w:rPr>
        <w:t>123</w:t>
      </w:r>
      <w:r>
        <w:rPr>
          <w:rFonts w:hint="eastAsia" w:cs="宋体"/>
          <w:color w:val="auto"/>
          <w:szCs w:val="21"/>
          <w:highlight w:val="none"/>
          <w:lang w:bidi="ar"/>
        </w:rPr>
        <w:t>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50CE8A63">
      <w:pPr>
        <w:spacing w:line="360" w:lineRule="auto"/>
        <w:rPr>
          <w:color w:val="auto"/>
          <w:szCs w:val="21"/>
          <w:highlight w:val="none"/>
        </w:rPr>
      </w:pPr>
      <w:r>
        <w:rPr>
          <w:color w:val="auto"/>
          <w:szCs w:val="21"/>
          <w:highlight w:val="none"/>
          <w:lang w:bidi="ar"/>
        </w:rPr>
        <w:t>11.</w:t>
      </w:r>
      <w:r>
        <w:rPr>
          <w:rFonts w:hint="eastAsia" w:cs="宋体"/>
          <w:color w:val="auto"/>
          <w:szCs w:val="21"/>
          <w:highlight w:val="none"/>
          <w:lang w:bidi="ar"/>
        </w:rPr>
        <w:t>售后服务</w:t>
      </w:r>
    </w:p>
    <w:p w14:paraId="16EEF346">
      <w:pPr>
        <w:spacing w:line="360" w:lineRule="auto"/>
        <w:rPr>
          <w:color w:val="auto"/>
          <w:szCs w:val="21"/>
          <w:highlight w:val="none"/>
        </w:rPr>
      </w:pPr>
      <w:r>
        <w:rPr>
          <w:color w:val="auto"/>
          <w:szCs w:val="21"/>
          <w:highlight w:val="none"/>
          <w:lang w:bidi="ar"/>
        </w:rPr>
        <w:t>11.1</w:t>
      </w:r>
      <w:r>
        <w:rPr>
          <w:rFonts w:hint="eastAsia" w:cs="宋体"/>
          <w:color w:val="auto"/>
          <w:szCs w:val="21"/>
          <w:highlight w:val="none"/>
          <w:lang w:bidi="ar"/>
        </w:rPr>
        <w:t>响应时间：在</w:t>
      </w:r>
      <w:r>
        <w:rPr>
          <w:color w:val="auto"/>
          <w:szCs w:val="21"/>
          <w:highlight w:val="none"/>
          <w:lang w:bidi="ar"/>
        </w:rPr>
        <w:t>3</w:t>
      </w:r>
      <w:r>
        <w:rPr>
          <w:rFonts w:hint="eastAsia" w:cs="宋体"/>
          <w:color w:val="auto"/>
          <w:szCs w:val="21"/>
          <w:highlight w:val="none"/>
          <w:lang w:bidi="ar"/>
        </w:rPr>
        <w:t>年质保期内，中标供应商须在接到报修电话后</w:t>
      </w:r>
      <w:r>
        <w:rPr>
          <w:color w:val="auto"/>
          <w:szCs w:val="21"/>
          <w:highlight w:val="none"/>
          <w:lang w:bidi="ar"/>
        </w:rPr>
        <w:t>4</w:t>
      </w:r>
      <w:r>
        <w:rPr>
          <w:rFonts w:hint="eastAsia" w:cs="宋体"/>
          <w:color w:val="auto"/>
          <w:szCs w:val="21"/>
          <w:highlight w:val="none"/>
          <w:lang w:bidi="ar"/>
        </w:rPr>
        <w:t>个小时内响应，</w:t>
      </w:r>
      <w:r>
        <w:rPr>
          <w:color w:val="auto"/>
          <w:szCs w:val="21"/>
          <w:highlight w:val="none"/>
          <w:lang w:bidi="ar"/>
        </w:rPr>
        <w:t>8</w:t>
      </w:r>
      <w:r>
        <w:rPr>
          <w:rFonts w:hint="eastAsia" w:cs="宋体"/>
          <w:color w:val="auto"/>
          <w:szCs w:val="21"/>
          <w:highlight w:val="none"/>
          <w:lang w:bidi="ar"/>
        </w:rPr>
        <w:t>小时内到达现场，到达现场后</w:t>
      </w:r>
      <w:r>
        <w:rPr>
          <w:color w:val="auto"/>
          <w:szCs w:val="21"/>
          <w:highlight w:val="none"/>
          <w:lang w:bidi="ar"/>
        </w:rPr>
        <w:t>24</w:t>
      </w:r>
      <w:r>
        <w:rPr>
          <w:rFonts w:hint="eastAsia" w:cs="宋体"/>
          <w:color w:val="auto"/>
          <w:szCs w:val="21"/>
          <w:highlight w:val="none"/>
          <w:lang w:bidi="ar"/>
        </w:rPr>
        <w:t>小时内维修好。若</w:t>
      </w:r>
      <w:r>
        <w:rPr>
          <w:color w:val="auto"/>
          <w:szCs w:val="21"/>
          <w:highlight w:val="none"/>
          <w:lang w:bidi="ar"/>
        </w:rPr>
        <w:t>48</w:t>
      </w:r>
      <w:r>
        <w:rPr>
          <w:rFonts w:hint="eastAsia" w:cs="宋体"/>
          <w:color w:val="auto"/>
          <w:szCs w:val="21"/>
          <w:highlight w:val="none"/>
          <w:lang w:bidi="ar"/>
        </w:rPr>
        <w:t>个小时内无法维修好的设备，中标人必须全提供不低于故障设备规格型号档次的备用设备，直到故障设备修复，由此产生的费用，采购人不再另行支付。</w:t>
      </w:r>
    </w:p>
    <w:p w14:paraId="6E3F57DE">
      <w:pPr>
        <w:spacing w:line="360" w:lineRule="auto"/>
        <w:rPr>
          <w:color w:val="auto"/>
          <w:szCs w:val="21"/>
          <w:highlight w:val="none"/>
        </w:rPr>
      </w:pPr>
      <w:r>
        <w:rPr>
          <w:color w:val="auto"/>
          <w:szCs w:val="21"/>
          <w:highlight w:val="none"/>
          <w:lang w:bidi="ar"/>
        </w:rPr>
        <w:t>11.2</w:t>
      </w:r>
      <w:r>
        <w:rPr>
          <w:rFonts w:hint="eastAsia" w:cs="宋体"/>
          <w:color w:val="auto"/>
          <w:szCs w:val="21"/>
          <w:highlight w:val="none"/>
          <w:lang w:bidi="ar"/>
        </w:rPr>
        <w:t>售后服务技术人员要求：中标供应商必须负责本次货物的安装、调试、使用培训。中标供应商为采购人培训</w:t>
      </w:r>
      <w:r>
        <w:rPr>
          <w:color w:val="auto"/>
          <w:szCs w:val="21"/>
          <w:highlight w:val="none"/>
          <w:lang w:bidi="ar"/>
        </w:rPr>
        <w:t>2</w:t>
      </w:r>
      <w:r>
        <w:rPr>
          <w:rFonts w:hint="eastAsia" w:cs="宋体"/>
          <w:color w:val="auto"/>
          <w:szCs w:val="21"/>
          <w:highlight w:val="none"/>
          <w:lang w:bidi="ar"/>
        </w:rPr>
        <w:t>名以上使用及维护人员，培训目标应达到基本掌握全套设备的操作，培训地点：采购人所在地。培训所需费用采购人不再另行支付。</w:t>
      </w:r>
    </w:p>
    <w:p w14:paraId="1F9A4892">
      <w:pPr>
        <w:spacing w:line="360" w:lineRule="auto"/>
        <w:rPr>
          <w:color w:val="auto"/>
          <w:szCs w:val="21"/>
          <w:highlight w:val="none"/>
        </w:rPr>
      </w:pPr>
      <w:r>
        <w:rPr>
          <w:color w:val="auto"/>
          <w:szCs w:val="21"/>
          <w:highlight w:val="none"/>
          <w:lang w:bidi="ar"/>
        </w:rPr>
        <w:t>12.</w:t>
      </w:r>
      <w:r>
        <w:rPr>
          <w:rFonts w:hint="eastAsia" w:cs="宋体"/>
          <w:color w:val="auto"/>
          <w:szCs w:val="21"/>
          <w:highlight w:val="none"/>
          <w:lang w:bidi="ar"/>
        </w:rPr>
        <w:t>保险</w:t>
      </w:r>
    </w:p>
    <w:p w14:paraId="667043EA">
      <w:pPr>
        <w:widowControl/>
        <w:spacing w:line="360" w:lineRule="auto"/>
        <w:jc w:val="left"/>
        <w:rPr>
          <w:color w:val="auto"/>
          <w:szCs w:val="21"/>
          <w:highlight w:val="none"/>
        </w:rPr>
      </w:pPr>
      <w:r>
        <w:rPr>
          <w:rFonts w:hint="eastAsia" w:cs="宋体"/>
          <w:color w:val="auto"/>
          <w:szCs w:val="21"/>
          <w:highlight w:val="none"/>
          <w:lang w:bidi="ar"/>
        </w:rPr>
        <w:t>供应商负责办理运输和保险，将货物运抵交货地点。与运输、保险相关的费用由供应商承担</w:t>
      </w:r>
      <w:r>
        <w:rPr>
          <w:rFonts w:hint="eastAsia" w:cs="宋体"/>
          <w:color w:val="auto"/>
          <w:szCs w:val="21"/>
          <w:highlight w:val="none"/>
          <w:lang w:eastAsia="zh-CN" w:bidi="ar"/>
        </w:rPr>
        <w:t>。</w:t>
      </w:r>
    </w:p>
    <w:p w14:paraId="71BD4C00">
      <w:pPr>
        <w:spacing w:line="360" w:lineRule="auto"/>
        <w:rPr>
          <w:rFonts w:ascii="黑体" w:hAnsi="宋体" w:eastAsia="黑体" w:cs="Arial"/>
          <w:b/>
          <w:color w:val="auto"/>
          <w:kern w:val="0"/>
          <w:sz w:val="28"/>
          <w:szCs w:val="28"/>
          <w:highlight w:val="none"/>
        </w:rPr>
      </w:pPr>
      <w:r>
        <w:rPr>
          <w:rFonts w:hint="eastAsia" w:ascii="黑体" w:hAnsi="宋体" w:eastAsia="黑体" w:cs="Arial"/>
          <w:b/>
          <w:color w:val="auto"/>
          <w:kern w:val="0"/>
          <w:sz w:val="28"/>
          <w:szCs w:val="28"/>
          <w:highlight w:val="none"/>
          <w:lang w:bidi="ar"/>
        </w:rPr>
        <w:t>四、其他要求</w:t>
      </w:r>
    </w:p>
    <w:p w14:paraId="237DA4C6">
      <w:pPr>
        <w:spacing w:line="360" w:lineRule="auto"/>
        <w:rPr>
          <w:rFonts w:hint="default" w:eastAsia="宋体"/>
          <w:color w:val="auto"/>
          <w:szCs w:val="21"/>
          <w:highlight w:val="none"/>
          <w:lang w:val="en-US" w:eastAsia="zh-CN"/>
        </w:rPr>
      </w:pPr>
      <w:r>
        <w:rPr>
          <w:rFonts w:hint="eastAsia"/>
          <w:color w:val="auto"/>
          <w:szCs w:val="21"/>
          <w:highlight w:val="none"/>
          <w:lang w:val="en-US" w:eastAsia="zh-CN"/>
        </w:rPr>
        <w:t xml:space="preserve">   供货时提供该软件知识产权声明材料。</w:t>
      </w:r>
    </w:p>
    <w:p w14:paraId="5D2EAE73">
      <w:pPr>
        <w:pStyle w:val="2"/>
        <w:ind w:firstLine="0" w:firstLineChars="0"/>
        <w:rPr>
          <w:color w:val="auto"/>
          <w:highlight w:val="none"/>
        </w:rPr>
      </w:pPr>
    </w:p>
    <w:p w14:paraId="71423148">
      <w:pPr>
        <w:rPr>
          <w:color w:val="auto"/>
          <w:highlight w:val="none"/>
        </w:rPr>
      </w:pPr>
    </w:p>
    <w:p w14:paraId="6A112D34">
      <w:pPr>
        <w:pStyle w:val="60"/>
        <w:rPr>
          <w:color w:val="auto"/>
          <w:highlight w:val="none"/>
        </w:rPr>
      </w:pPr>
    </w:p>
    <w:p w14:paraId="410BB011">
      <w:pPr>
        <w:rPr>
          <w:color w:val="auto"/>
          <w:sz w:val="28"/>
          <w:szCs w:val="28"/>
          <w:highlight w:val="none"/>
        </w:rPr>
      </w:pPr>
      <w:bookmarkStart w:id="37" w:name="_Hlk132788223"/>
      <w:r>
        <w:rPr>
          <w:rFonts w:hint="eastAsia"/>
          <w:color w:val="auto"/>
          <w:sz w:val="28"/>
          <w:szCs w:val="28"/>
          <w:highlight w:val="none"/>
        </w:rPr>
        <w:br w:type="page"/>
      </w:r>
    </w:p>
    <w:p w14:paraId="3FC2E566">
      <w:pPr>
        <w:widowControl/>
        <w:jc w:val="left"/>
        <w:rPr>
          <w:color w:val="auto"/>
          <w:sz w:val="28"/>
          <w:szCs w:val="28"/>
          <w:highlight w:val="none"/>
        </w:rPr>
      </w:pPr>
      <w:r>
        <w:rPr>
          <w:rFonts w:hint="eastAsia"/>
          <w:color w:val="auto"/>
          <w:sz w:val="28"/>
          <w:szCs w:val="28"/>
          <w:highlight w:val="none"/>
        </w:rPr>
        <w:t xml:space="preserve">附件1： </w:t>
      </w:r>
      <w:r>
        <w:rPr>
          <w:color w:val="auto"/>
          <w:sz w:val="28"/>
          <w:szCs w:val="28"/>
          <w:highlight w:val="none"/>
        </w:rPr>
        <w:t xml:space="preserve">                             </w:t>
      </w:r>
    </w:p>
    <w:p w14:paraId="1E58F66F">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5000" w:type="pct"/>
        <w:tblInd w:w="0" w:type="dxa"/>
        <w:tblLayout w:type="autofit"/>
        <w:tblCellMar>
          <w:top w:w="0" w:type="dxa"/>
          <w:left w:w="108" w:type="dxa"/>
          <w:bottom w:w="0" w:type="dxa"/>
          <w:right w:w="108" w:type="dxa"/>
        </w:tblCellMar>
      </w:tblPr>
      <w:tblGrid>
        <w:gridCol w:w="1636"/>
        <w:gridCol w:w="1926"/>
        <w:gridCol w:w="1283"/>
        <w:gridCol w:w="2089"/>
        <w:gridCol w:w="1778"/>
        <w:gridCol w:w="1142"/>
      </w:tblGrid>
      <w:tr w14:paraId="678F206F">
        <w:tblPrEx>
          <w:tblCellMar>
            <w:top w:w="0" w:type="dxa"/>
            <w:left w:w="108" w:type="dxa"/>
            <w:bottom w:w="0" w:type="dxa"/>
            <w:right w:w="108" w:type="dxa"/>
          </w:tblCellMar>
        </w:tblPrEx>
        <w:trPr>
          <w:trHeight w:val="279" w:hRule="atLeast"/>
        </w:trPr>
        <w:tc>
          <w:tcPr>
            <w:tcW w:w="830" w:type="pct"/>
            <w:tcBorders>
              <w:top w:val="single" w:color="auto" w:sz="4" w:space="0"/>
              <w:left w:val="single" w:color="auto" w:sz="4" w:space="0"/>
              <w:bottom w:val="single" w:color="auto" w:sz="4" w:space="0"/>
              <w:right w:val="single" w:color="auto" w:sz="4" w:space="0"/>
            </w:tcBorders>
            <w:vAlign w:val="center"/>
          </w:tcPr>
          <w:p w14:paraId="7BB4788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行业名称</w:t>
            </w:r>
          </w:p>
        </w:tc>
        <w:tc>
          <w:tcPr>
            <w:tcW w:w="977" w:type="pct"/>
            <w:tcBorders>
              <w:top w:val="single" w:color="auto" w:sz="4" w:space="0"/>
              <w:left w:val="nil"/>
              <w:bottom w:val="single" w:color="auto" w:sz="4" w:space="0"/>
              <w:right w:val="single" w:color="auto" w:sz="4" w:space="0"/>
            </w:tcBorders>
            <w:vAlign w:val="center"/>
          </w:tcPr>
          <w:p w14:paraId="7EFEA33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指标名称</w:t>
            </w:r>
          </w:p>
        </w:tc>
        <w:tc>
          <w:tcPr>
            <w:tcW w:w="651" w:type="pct"/>
            <w:tcBorders>
              <w:top w:val="single" w:color="auto" w:sz="4" w:space="0"/>
              <w:left w:val="nil"/>
              <w:bottom w:val="single" w:color="auto" w:sz="4" w:space="0"/>
              <w:right w:val="single" w:color="auto" w:sz="4" w:space="0"/>
            </w:tcBorders>
            <w:vAlign w:val="center"/>
          </w:tcPr>
          <w:p w14:paraId="1599B17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计量单位</w:t>
            </w:r>
          </w:p>
        </w:tc>
        <w:tc>
          <w:tcPr>
            <w:tcW w:w="1060" w:type="pct"/>
            <w:tcBorders>
              <w:top w:val="single" w:color="auto" w:sz="4" w:space="0"/>
              <w:left w:val="nil"/>
              <w:bottom w:val="single" w:color="auto" w:sz="4" w:space="0"/>
              <w:right w:val="single" w:color="auto" w:sz="4" w:space="0"/>
            </w:tcBorders>
            <w:vAlign w:val="center"/>
          </w:tcPr>
          <w:p w14:paraId="11B28A4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中型</w:t>
            </w:r>
          </w:p>
        </w:tc>
        <w:tc>
          <w:tcPr>
            <w:tcW w:w="902" w:type="pct"/>
            <w:tcBorders>
              <w:top w:val="single" w:color="auto" w:sz="4" w:space="0"/>
              <w:left w:val="nil"/>
              <w:bottom w:val="single" w:color="auto" w:sz="4" w:space="0"/>
              <w:right w:val="single" w:color="auto" w:sz="4" w:space="0"/>
            </w:tcBorders>
            <w:vAlign w:val="center"/>
          </w:tcPr>
          <w:p w14:paraId="3B4456A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小型</w:t>
            </w:r>
          </w:p>
        </w:tc>
        <w:tc>
          <w:tcPr>
            <w:tcW w:w="579" w:type="pct"/>
            <w:tcBorders>
              <w:top w:val="single" w:color="auto" w:sz="4" w:space="0"/>
              <w:left w:val="nil"/>
              <w:bottom w:val="single" w:color="auto" w:sz="4" w:space="0"/>
              <w:right w:val="single" w:color="auto" w:sz="4" w:space="0"/>
            </w:tcBorders>
            <w:vAlign w:val="center"/>
          </w:tcPr>
          <w:p w14:paraId="2AAB472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微型</w:t>
            </w:r>
          </w:p>
        </w:tc>
      </w:tr>
      <w:tr w14:paraId="077BDAC9">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vAlign w:val="bottom"/>
          </w:tcPr>
          <w:p w14:paraId="28C46883">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农、林、牧、渔</w:t>
            </w:r>
          </w:p>
        </w:tc>
        <w:tc>
          <w:tcPr>
            <w:tcW w:w="977" w:type="pct"/>
            <w:tcBorders>
              <w:top w:val="nil"/>
              <w:left w:val="nil"/>
              <w:bottom w:val="single" w:color="auto" w:sz="4" w:space="0"/>
              <w:right w:val="single" w:color="auto" w:sz="4" w:space="0"/>
            </w:tcBorders>
            <w:vAlign w:val="center"/>
          </w:tcPr>
          <w:p w14:paraId="7FE44D7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3AACA8E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2FE2ED6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500≤Y＜20000</w:t>
            </w:r>
          </w:p>
        </w:tc>
        <w:tc>
          <w:tcPr>
            <w:tcW w:w="902" w:type="pct"/>
            <w:tcBorders>
              <w:top w:val="nil"/>
              <w:left w:val="nil"/>
              <w:bottom w:val="single" w:color="auto" w:sz="4" w:space="0"/>
              <w:right w:val="single" w:color="auto" w:sz="4" w:space="0"/>
            </w:tcBorders>
            <w:vAlign w:val="center"/>
          </w:tcPr>
          <w:p w14:paraId="20BBE56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50≤Y＜500</w:t>
            </w:r>
          </w:p>
        </w:tc>
        <w:tc>
          <w:tcPr>
            <w:tcW w:w="579" w:type="pct"/>
            <w:tcBorders>
              <w:top w:val="nil"/>
              <w:left w:val="nil"/>
              <w:bottom w:val="single" w:color="auto" w:sz="4" w:space="0"/>
              <w:right w:val="single" w:color="auto" w:sz="4" w:space="0"/>
            </w:tcBorders>
            <w:vAlign w:val="center"/>
          </w:tcPr>
          <w:p w14:paraId="6B18BEB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Y＜50</w:t>
            </w:r>
          </w:p>
        </w:tc>
      </w:tr>
      <w:tr w14:paraId="4B1003EC">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97F9FBA">
            <w:pPr>
              <w:keepNext w:val="0"/>
              <w:keepLines w:val="0"/>
              <w:widowControl/>
              <w:suppressLineNumbers w:val="0"/>
              <w:spacing w:before="0" w:beforeAutospacing="0" w:after="0" w:afterAutospacing="0"/>
              <w:ind w:left="0" w:right="0"/>
              <w:jc w:val="center"/>
              <w:rPr>
                <w:rFonts w:hint="eastAsia" w:eastAsia="宋体"/>
                <w:color w:val="auto"/>
                <w:szCs w:val="21"/>
                <w:highlight w:val="none"/>
                <w:lang w:eastAsia="zh-CN"/>
              </w:rPr>
            </w:pPr>
            <w:r>
              <w:rPr>
                <w:rFonts w:hint="eastAsia"/>
                <w:color w:val="auto"/>
                <w:szCs w:val="21"/>
                <w:highlight w:val="none"/>
                <w:lang w:eastAsia="zh-CN"/>
              </w:rPr>
              <w:t>软件和信息技术服务业</w:t>
            </w:r>
          </w:p>
        </w:tc>
        <w:tc>
          <w:tcPr>
            <w:tcW w:w="977" w:type="pct"/>
            <w:tcBorders>
              <w:top w:val="nil"/>
              <w:left w:val="nil"/>
              <w:bottom w:val="single" w:color="auto" w:sz="4" w:space="0"/>
              <w:right w:val="single" w:color="auto" w:sz="4" w:space="0"/>
            </w:tcBorders>
            <w:vAlign w:val="center"/>
          </w:tcPr>
          <w:p w14:paraId="2FD8093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28D00D4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1C53B8E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300≤X＜1000</w:t>
            </w:r>
          </w:p>
        </w:tc>
        <w:tc>
          <w:tcPr>
            <w:tcW w:w="902" w:type="pct"/>
            <w:tcBorders>
              <w:top w:val="nil"/>
              <w:left w:val="nil"/>
              <w:bottom w:val="single" w:color="auto" w:sz="4" w:space="0"/>
              <w:right w:val="single" w:color="auto" w:sz="4" w:space="0"/>
            </w:tcBorders>
            <w:vAlign w:val="center"/>
          </w:tcPr>
          <w:p w14:paraId="324EADF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20≤X＜300</w:t>
            </w:r>
          </w:p>
        </w:tc>
        <w:tc>
          <w:tcPr>
            <w:tcW w:w="579" w:type="pct"/>
            <w:tcBorders>
              <w:top w:val="nil"/>
              <w:left w:val="nil"/>
              <w:bottom w:val="single" w:color="auto" w:sz="4" w:space="0"/>
              <w:right w:val="single" w:color="auto" w:sz="4" w:space="0"/>
            </w:tcBorders>
            <w:vAlign w:val="center"/>
          </w:tcPr>
          <w:p w14:paraId="34A37AC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X＜20</w:t>
            </w:r>
          </w:p>
        </w:tc>
      </w:tr>
      <w:tr w14:paraId="0089BF26">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4443E314">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068D7D4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274FE85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5DF3CB7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2000≤Y＜40000</w:t>
            </w:r>
          </w:p>
        </w:tc>
        <w:tc>
          <w:tcPr>
            <w:tcW w:w="902" w:type="pct"/>
            <w:tcBorders>
              <w:top w:val="nil"/>
              <w:left w:val="nil"/>
              <w:bottom w:val="single" w:color="auto" w:sz="4" w:space="0"/>
              <w:right w:val="single" w:color="auto" w:sz="4" w:space="0"/>
            </w:tcBorders>
            <w:vAlign w:val="center"/>
          </w:tcPr>
          <w:p w14:paraId="4702432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300≤Y＜2000</w:t>
            </w:r>
          </w:p>
        </w:tc>
        <w:tc>
          <w:tcPr>
            <w:tcW w:w="579" w:type="pct"/>
            <w:tcBorders>
              <w:top w:val="nil"/>
              <w:left w:val="nil"/>
              <w:bottom w:val="single" w:color="auto" w:sz="4" w:space="0"/>
              <w:right w:val="single" w:color="auto" w:sz="4" w:space="0"/>
            </w:tcBorders>
            <w:vAlign w:val="center"/>
          </w:tcPr>
          <w:p w14:paraId="5A30FA90">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Y＜300</w:t>
            </w:r>
          </w:p>
        </w:tc>
      </w:tr>
      <w:tr w14:paraId="506D09B6">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25D17F1">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建筑业</w:t>
            </w:r>
          </w:p>
        </w:tc>
        <w:tc>
          <w:tcPr>
            <w:tcW w:w="977" w:type="pct"/>
            <w:tcBorders>
              <w:top w:val="nil"/>
              <w:left w:val="nil"/>
              <w:bottom w:val="single" w:color="auto" w:sz="4" w:space="0"/>
              <w:right w:val="single" w:color="auto" w:sz="4" w:space="0"/>
            </w:tcBorders>
            <w:vAlign w:val="center"/>
          </w:tcPr>
          <w:p w14:paraId="4343FA7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3519BB3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2F8E152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6000≤Y＜80000</w:t>
            </w:r>
          </w:p>
        </w:tc>
        <w:tc>
          <w:tcPr>
            <w:tcW w:w="902" w:type="pct"/>
            <w:tcBorders>
              <w:top w:val="nil"/>
              <w:left w:val="nil"/>
              <w:bottom w:val="single" w:color="auto" w:sz="4" w:space="0"/>
              <w:right w:val="single" w:color="auto" w:sz="4" w:space="0"/>
            </w:tcBorders>
            <w:vAlign w:val="center"/>
          </w:tcPr>
          <w:p w14:paraId="0BA2E16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300≤Y＜6000</w:t>
            </w:r>
          </w:p>
        </w:tc>
        <w:tc>
          <w:tcPr>
            <w:tcW w:w="579" w:type="pct"/>
            <w:tcBorders>
              <w:top w:val="nil"/>
              <w:left w:val="nil"/>
              <w:bottom w:val="single" w:color="auto" w:sz="4" w:space="0"/>
              <w:right w:val="single" w:color="auto" w:sz="4" w:space="0"/>
            </w:tcBorders>
            <w:vAlign w:val="center"/>
          </w:tcPr>
          <w:p w14:paraId="2FF1D6D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Y＜300</w:t>
            </w:r>
          </w:p>
        </w:tc>
      </w:tr>
      <w:tr w14:paraId="4AC732C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04B8279">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60340E5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资产总额（Z）</w:t>
            </w:r>
          </w:p>
        </w:tc>
        <w:tc>
          <w:tcPr>
            <w:tcW w:w="651" w:type="pct"/>
            <w:tcBorders>
              <w:top w:val="nil"/>
              <w:left w:val="nil"/>
              <w:bottom w:val="single" w:color="auto" w:sz="4" w:space="0"/>
              <w:right w:val="single" w:color="auto" w:sz="4" w:space="0"/>
            </w:tcBorders>
            <w:vAlign w:val="center"/>
          </w:tcPr>
          <w:p w14:paraId="5D9ADAC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6F2E01E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5000≤Z＜80000</w:t>
            </w:r>
          </w:p>
        </w:tc>
        <w:tc>
          <w:tcPr>
            <w:tcW w:w="902" w:type="pct"/>
            <w:tcBorders>
              <w:top w:val="nil"/>
              <w:left w:val="nil"/>
              <w:bottom w:val="single" w:color="auto" w:sz="4" w:space="0"/>
              <w:right w:val="single" w:color="auto" w:sz="4" w:space="0"/>
            </w:tcBorders>
            <w:vAlign w:val="center"/>
          </w:tcPr>
          <w:p w14:paraId="44B3C49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300≤Z＜5000</w:t>
            </w:r>
          </w:p>
        </w:tc>
        <w:tc>
          <w:tcPr>
            <w:tcW w:w="579" w:type="pct"/>
            <w:tcBorders>
              <w:top w:val="nil"/>
              <w:left w:val="nil"/>
              <w:bottom w:val="single" w:color="auto" w:sz="4" w:space="0"/>
              <w:right w:val="single" w:color="auto" w:sz="4" w:space="0"/>
            </w:tcBorders>
            <w:vAlign w:val="center"/>
          </w:tcPr>
          <w:p w14:paraId="7B8CB65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Z＜300</w:t>
            </w:r>
          </w:p>
        </w:tc>
      </w:tr>
      <w:tr w14:paraId="77769AFA">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79428E5">
            <w:pPr>
              <w:keepNext w:val="0"/>
              <w:keepLines w:val="0"/>
              <w:widowControl/>
              <w:suppressLineNumbers w:val="0"/>
              <w:spacing w:before="0" w:beforeAutospacing="0" w:after="0" w:afterAutospacing="0"/>
              <w:ind w:left="0" w:right="0" w:firstLine="315" w:firstLineChars="150"/>
              <w:rPr>
                <w:rFonts w:hint="default"/>
                <w:color w:val="auto"/>
                <w:szCs w:val="21"/>
                <w:highlight w:val="none"/>
              </w:rPr>
            </w:pPr>
            <w:r>
              <w:rPr>
                <w:rFonts w:hint="eastAsia"/>
                <w:color w:val="auto"/>
                <w:szCs w:val="21"/>
                <w:highlight w:val="none"/>
              </w:rPr>
              <w:t>批发业</w:t>
            </w:r>
          </w:p>
        </w:tc>
        <w:tc>
          <w:tcPr>
            <w:tcW w:w="977" w:type="pct"/>
            <w:tcBorders>
              <w:top w:val="nil"/>
              <w:left w:val="nil"/>
              <w:bottom w:val="single" w:color="auto" w:sz="4" w:space="0"/>
              <w:right w:val="single" w:color="auto" w:sz="4" w:space="0"/>
            </w:tcBorders>
            <w:vAlign w:val="center"/>
          </w:tcPr>
          <w:p w14:paraId="088CD4E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4FB71F6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66F09E1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20≤X＜200</w:t>
            </w:r>
          </w:p>
        </w:tc>
        <w:tc>
          <w:tcPr>
            <w:tcW w:w="902" w:type="pct"/>
            <w:tcBorders>
              <w:top w:val="nil"/>
              <w:left w:val="nil"/>
              <w:bottom w:val="single" w:color="auto" w:sz="4" w:space="0"/>
              <w:right w:val="single" w:color="auto" w:sz="4" w:space="0"/>
            </w:tcBorders>
            <w:vAlign w:val="center"/>
          </w:tcPr>
          <w:p w14:paraId="191F3D3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5≤X＜20</w:t>
            </w:r>
          </w:p>
        </w:tc>
        <w:tc>
          <w:tcPr>
            <w:tcW w:w="579" w:type="pct"/>
            <w:tcBorders>
              <w:top w:val="nil"/>
              <w:left w:val="nil"/>
              <w:bottom w:val="single" w:color="auto" w:sz="4" w:space="0"/>
              <w:right w:val="single" w:color="auto" w:sz="4" w:space="0"/>
            </w:tcBorders>
            <w:vAlign w:val="center"/>
          </w:tcPr>
          <w:p w14:paraId="0F49E5B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X＜5</w:t>
            </w:r>
          </w:p>
        </w:tc>
      </w:tr>
      <w:tr w14:paraId="75679A6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7649E30B">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496F2D8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0FB76AD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024FC11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5000≤Y＜40000</w:t>
            </w:r>
          </w:p>
        </w:tc>
        <w:tc>
          <w:tcPr>
            <w:tcW w:w="902" w:type="pct"/>
            <w:tcBorders>
              <w:top w:val="nil"/>
              <w:left w:val="nil"/>
              <w:bottom w:val="single" w:color="auto" w:sz="4" w:space="0"/>
              <w:right w:val="single" w:color="auto" w:sz="4" w:space="0"/>
            </w:tcBorders>
            <w:vAlign w:val="center"/>
          </w:tcPr>
          <w:p w14:paraId="47970AF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1000≤Y＜5000</w:t>
            </w:r>
          </w:p>
        </w:tc>
        <w:tc>
          <w:tcPr>
            <w:tcW w:w="579" w:type="pct"/>
            <w:tcBorders>
              <w:top w:val="nil"/>
              <w:left w:val="nil"/>
              <w:bottom w:val="single" w:color="auto" w:sz="4" w:space="0"/>
              <w:right w:val="single" w:color="auto" w:sz="4" w:space="0"/>
            </w:tcBorders>
            <w:vAlign w:val="center"/>
          </w:tcPr>
          <w:p w14:paraId="180574A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Y＜1000</w:t>
            </w:r>
          </w:p>
        </w:tc>
      </w:tr>
      <w:tr w14:paraId="04D687F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48F252DD">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零售业</w:t>
            </w:r>
          </w:p>
        </w:tc>
        <w:tc>
          <w:tcPr>
            <w:tcW w:w="977" w:type="pct"/>
            <w:tcBorders>
              <w:top w:val="nil"/>
              <w:left w:val="nil"/>
              <w:bottom w:val="single" w:color="auto" w:sz="4" w:space="0"/>
              <w:right w:val="single" w:color="auto" w:sz="4" w:space="0"/>
            </w:tcBorders>
            <w:vAlign w:val="center"/>
          </w:tcPr>
          <w:p w14:paraId="029385B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3096455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1A50C4C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50≤X＜300</w:t>
            </w:r>
          </w:p>
        </w:tc>
        <w:tc>
          <w:tcPr>
            <w:tcW w:w="902" w:type="pct"/>
            <w:tcBorders>
              <w:top w:val="nil"/>
              <w:left w:val="nil"/>
              <w:bottom w:val="single" w:color="auto" w:sz="4" w:space="0"/>
              <w:right w:val="single" w:color="auto" w:sz="4" w:space="0"/>
            </w:tcBorders>
            <w:vAlign w:val="center"/>
          </w:tcPr>
          <w:p w14:paraId="380AE5A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10≤X＜50</w:t>
            </w:r>
          </w:p>
        </w:tc>
        <w:tc>
          <w:tcPr>
            <w:tcW w:w="579" w:type="pct"/>
            <w:tcBorders>
              <w:top w:val="nil"/>
              <w:left w:val="nil"/>
              <w:bottom w:val="single" w:color="auto" w:sz="4" w:space="0"/>
              <w:right w:val="single" w:color="auto" w:sz="4" w:space="0"/>
            </w:tcBorders>
            <w:vAlign w:val="center"/>
          </w:tcPr>
          <w:p w14:paraId="78C98D9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07C7144C">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4203B476">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7F2F68A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245B584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5C19462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500≤Y＜20000</w:t>
            </w:r>
          </w:p>
        </w:tc>
        <w:tc>
          <w:tcPr>
            <w:tcW w:w="902" w:type="pct"/>
            <w:tcBorders>
              <w:top w:val="nil"/>
              <w:left w:val="nil"/>
              <w:bottom w:val="single" w:color="auto" w:sz="4" w:space="0"/>
              <w:right w:val="single" w:color="auto" w:sz="4" w:space="0"/>
            </w:tcBorders>
            <w:vAlign w:val="center"/>
          </w:tcPr>
          <w:p w14:paraId="665E775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100≤Y＜500</w:t>
            </w:r>
          </w:p>
        </w:tc>
        <w:tc>
          <w:tcPr>
            <w:tcW w:w="579" w:type="pct"/>
            <w:tcBorders>
              <w:top w:val="nil"/>
              <w:left w:val="nil"/>
              <w:bottom w:val="single" w:color="auto" w:sz="4" w:space="0"/>
              <w:right w:val="single" w:color="auto" w:sz="4" w:space="0"/>
            </w:tcBorders>
            <w:vAlign w:val="center"/>
          </w:tcPr>
          <w:p w14:paraId="35F4274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7BF5AE48">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510CEE5A">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交通运输业</w:t>
            </w:r>
          </w:p>
        </w:tc>
        <w:tc>
          <w:tcPr>
            <w:tcW w:w="977" w:type="pct"/>
            <w:tcBorders>
              <w:top w:val="nil"/>
              <w:left w:val="nil"/>
              <w:bottom w:val="single" w:color="auto" w:sz="4" w:space="0"/>
              <w:right w:val="single" w:color="auto" w:sz="4" w:space="0"/>
            </w:tcBorders>
            <w:vAlign w:val="center"/>
          </w:tcPr>
          <w:p w14:paraId="4A60AAC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3A0C9E1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427C71E0">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300≤X＜1000</w:t>
            </w:r>
          </w:p>
        </w:tc>
        <w:tc>
          <w:tcPr>
            <w:tcW w:w="902" w:type="pct"/>
            <w:tcBorders>
              <w:top w:val="nil"/>
              <w:left w:val="nil"/>
              <w:bottom w:val="single" w:color="auto" w:sz="4" w:space="0"/>
              <w:right w:val="single" w:color="auto" w:sz="4" w:space="0"/>
            </w:tcBorders>
            <w:vAlign w:val="center"/>
          </w:tcPr>
          <w:p w14:paraId="2C2488D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20≤X＜300</w:t>
            </w:r>
          </w:p>
        </w:tc>
        <w:tc>
          <w:tcPr>
            <w:tcW w:w="579" w:type="pct"/>
            <w:tcBorders>
              <w:top w:val="nil"/>
              <w:left w:val="nil"/>
              <w:bottom w:val="single" w:color="auto" w:sz="4" w:space="0"/>
              <w:right w:val="single" w:color="auto" w:sz="4" w:space="0"/>
            </w:tcBorders>
            <w:vAlign w:val="center"/>
          </w:tcPr>
          <w:p w14:paraId="10DEEAB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X＜20</w:t>
            </w:r>
          </w:p>
        </w:tc>
      </w:tr>
      <w:tr w14:paraId="38C35538">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6B90A169">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23B7F37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41E4AFC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0CBCC590">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3000≤Y＜30000</w:t>
            </w:r>
          </w:p>
        </w:tc>
        <w:tc>
          <w:tcPr>
            <w:tcW w:w="902" w:type="pct"/>
            <w:tcBorders>
              <w:top w:val="nil"/>
              <w:left w:val="nil"/>
              <w:bottom w:val="single" w:color="auto" w:sz="4" w:space="0"/>
              <w:right w:val="single" w:color="auto" w:sz="4" w:space="0"/>
            </w:tcBorders>
            <w:vAlign w:val="center"/>
          </w:tcPr>
          <w:p w14:paraId="7CE44BB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200≤Y＜3000</w:t>
            </w:r>
          </w:p>
        </w:tc>
        <w:tc>
          <w:tcPr>
            <w:tcW w:w="579" w:type="pct"/>
            <w:tcBorders>
              <w:top w:val="nil"/>
              <w:left w:val="nil"/>
              <w:bottom w:val="single" w:color="auto" w:sz="4" w:space="0"/>
              <w:right w:val="single" w:color="auto" w:sz="4" w:space="0"/>
            </w:tcBorders>
            <w:vAlign w:val="center"/>
          </w:tcPr>
          <w:p w14:paraId="04B8464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Y＜200</w:t>
            </w:r>
          </w:p>
        </w:tc>
      </w:tr>
      <w:tr w14:paraId="3EADFA5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5C1CB81E">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仓储业</w:t>
            </w:r>
          </w:p>
        </w:tc>
        <w:tc>
          <w:tcPr>
            <w:tcW w:w="977" w:type="pct"/>
            <w:tcBorders>
              <w:top w:val="nil"/>
              <w:left w:val="nil"/>
              <w:bottom w:val="single" w:color="auto" w:sz="4" w:space="0"/>
              <w:right w:val="single" w:color="auto" w:sz="4" w:space="0"/>
            </w:tcBorders>
            <w:vAlign w:val="center"/>
          </w:tcPr>
          <w:p w14:paraId="39937EA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67212F5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3BFCE46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100≤X＜200</w:t>
            </w:r>
          </w:p>
        </w:tc>
        <w:tc>
          <w:tcPr>
            <w:tcW w:w="902" w:type="pct"/>
            <w:tcBorders>
              <w:top w:val="nil"/>
              <w:left w:val="nil"/>
              <w:bottom w:val="single" w:color="auto" w:sz="4" w:space="0"/>
              <w:right w:val="single" w:color="auto" w:sz="4" w:space="0"/>
            </w:tcBorders>
            <w:vAlign w:val="center"/>
          </w:tcPr>
          <w:p w14:paraId="789CA97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20≤X＜100</w:t>
            </w:r>
          </w:p>
        </w:tc>
        <w:tc>
          <w:tcPr>
            <w:tcW w:w="579" w:type="pct"/>
            <w:tcBorders>
              <w:top w:val="nil"/>
              <w:left w:val="nil"/>
              <w:bottom w:val="single" w:color="auto" w:sz="4" w:space="0"/>
              <w:right w:val="single" w:color="auto" w:sz="4" w:space="0"/>
            </w:tcBorders>
            <w:vAlign w:val="center"/>
          </w:tcPr>
          <w:p w14:paraId="3D5FA27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X＜20</w:t>
            </w:r>
          </w:p>
        </w:tc>
      </w:tr>
      <w:tr w14:paraId="49282139">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1A4DE2E6">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3CB9BDD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3CE9E64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51004A1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1000≤Y＜30000</w:t>
            </w:r>
          </w:p>
        </w:tc>
        <w:tc>
          <w:tcPr>
            <w:tcW w:w="902" w:type="pct"/>
            <w:tcBorders>
              <w:top w:val="nil"/>
              <w:left w:val="nil"/>
              <w:bottom w:val="single" w:color="auto" w:sz="4" w:space="0"/>
              <w:right w:val="single" w:color="auto" w:sz="4" w:space="0"/>
            </w:tcBorders>
            <w:vAlign w:val="center"/>
          </w:tcPr>
          <w:p w14:paraId="3D7BF6A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100≤Y＜1000</w:t>
            </w:r>
          </w:p>
        </w:tc>
        <w:tc>
          <w:tcPr>
            <w:tcW w:w="579" w:type="pct"/>
            <w:tcBorders>
              <w:top w:val="nil"/>
              <w:left w:val="nil"/>
              <w:bottom w:val="single" w:color="auto" w:sz="4" w:space="0"/>
              <w:right w:val="single" w:color="auto" w:sz="4" w:space="0"/>
            </w:tcBorders>
            <w:vAlign w:val="center"/>
          </w:tcPr>
          <w:p w14:paraId="58A598A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17FDF2EA">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62D08231">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邮政业</w:t>
            </w:r>
          </w:p>
        </w:tc>
        <w:tc>
          <w:tcPr>
            <w:tcW w:w="977" w:type="pct"/>
            <w:tcBorders>
              <w:top w:val="nil"/>
              <w:left w:val="nil"/>
              <w:bottom w:val="single" w:color="auto" w:sz="4" w:space="0"/>
              <w:right w:val="single" w:color="auto" w:sz="4" w:space="0"/>
            </w:tcBorders>
            <w:vAlign w:val="center"/>
          </w:tcPr>
          <w:p w14:paraId="1692992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1BC4169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5555400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300≤X＜1000</w:t>
            </w:r>
          </w:p>
        </w:tc>
        <w:tc>
          <w:tcPr>
            <w:tcW w:w="902" w:type="pct"/>
            <w:tcBorders>
              <w:top w:val="nil"/>
              <w:left w:val="nil"/>
              <w:bottom w:val="single" w:color="auto" w:sz="4" w:space="0"/>
              <w:right w:val="single" w:color="auto" w:sz="4" w:space="0"/>
            </w:tcBorders>
            <w:vAlign w:val="center"/>
          </w:tcPr>
          <w:p w14:paraId="756A141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20≤X＜300</w:t>
            </w:r>
          </w:p>
        </w:tc>
        <w:tc>
          <w:tcPr>
            <w:tcW w:w="579" w:type="pct"/>
            <w:tcBorders>
              <w:top w:val="nil"/>
              <w:left w:val="nil"/>
              <w:bottom w:val="single" w:color="auto" w:sz="4" w:space="0"/>
              <w:right w:val="single" w:color="auto" w:sz="4" w:space="0"/>
            </w:tcBorders>
            <w:vAlign w:val="center"/>
          </w:tcPr>
          <w:p w14:paraId="7531FC6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X＜20</w:t>
            </w:r>
          </w:p>
        </w:tc>
      </w:tr>
      <w:tr w14:paraId="6363C5CE">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4E03C80B">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27DBD1A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1E55AF9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079F44C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2000≤Y＜30000</w:t>
            </w:r>
          </w:p>
        </w:tc>
        <w:tc>
          <w:tcPr>
            <w:tcW w:w="902" w:type="pct"/>
            <w:tcBorders>
              <w:top w:val="nil"/>
              <w:left w:val="nil"/>
              <w:bottom w:val="single" w:color="auto" w:sz="4" w:space="0"/>
              <w:right w:val="single" w:color="auto" w:sz="4" w:space="0"/>
            </w:tcBorders>
            <w:vAlign w:val="center"/>
          </w:tcPr>
          <w:p w14:paraId="7676687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100≤Y＜2000</w:t>
            </w:r>
          </w:p>
        </w:tc>
        <w:tc>
          <w:tcPr>
            <w:tcW w:w="579" w:type="pct"/>
            <w:tcBorders>
              <w:top w:val="nil"/>
              <w:left w:val="nil"/>
              <w:bottom w:val="single" w:color="auto" w:sz="4" w:space="0"/>
              <w:right w:val="single" w:color="auto" w:sz="4" w:space="0"/>
            </w:tcBorders>
            <w:vAlign w:val="center"/>
          </w:tcPr>
          <w:p w14:paraId="766B236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50CB71E7">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695523DC">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住宿业</w:t>
            </w:r>
          </w:p>
        </w:tc>
        <w:tc>
          <w:tcPr>
            <w:tcW w:w="977" w:type="pct"/>
            <w:tcBorders>
              <w:top w:val="nil"/>
              <w:left w:val="nil"/>
              <w:bottom w:val="single" w:color="auto" w:sz="4" w:space="0"/>
              <w:right w:val="single" w:color="auto" w:sz="4" w:space="0"/>
            </w:tcBorders>
            <w:vAlign w:val="center"/>
          </w:tcPr>
          <w:p w14:paraId="2A38A0A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7281BBC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093BF2C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902" w:type="pct"/>
            <w:tcBorders>
              <w:top w:val="nil"/>
              <w:left w:val="nil"/>
              <w:bottom w:val="single" w:color="auto" w:sz="4" w:space="0"/>
              <w:right w:val="single" w:color="auto" w:sz="4" w:space="0"/>
            </w:tcBorders>
            <w:vAlign w:val="center"/>
          </w:tcPr>
          <w:p w14:paraId="0A21785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43200B5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48713B12">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6EE65DC3">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066855B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2F672AE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04984F2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2000≤Y＜10000</w:t>
            </w:r>
          </w:p>
        </w:tc>
        <w:tc>
          <w:tcPr>
            <w:tcW w:w="902" w:type="pct"/>
            <w:tcBorders>
              <w:top w:val="nil"/>
              <w:left w:val="nil"/>
              <w:bottom w:val="single" w:color="auto" w:sz="4" w:space="0"/>
              <w:right w:val="single" w:color="auto" w:sz="4" w:space="0"/>
            </w:tcBorders>
            <w:vAlign w:val="center"/>
          </w:tcPr>
          <w:p w14:paraId="31403CD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100≤Y＜2000</w:t>
            </w:r>
          </w:p>
        </w:tc>
        <w:tc>
          <w:tcPr>
            <w:tcW w:w="579" w:type="pct"/>
            <w:tcBorders>
              <w:top w:val="nil"/>
              <w:left w:val="nil"/>
              <w:bottom w:val="single" w:color="auto" w:sz="4" w:space="0"/>
              <w:right w:val="single" w:color="auto" w:sz="4" w:space="0"/>
            </w:tcBorders>
            <w:vAlign w:val="center"/>
          </w:tcPr>
          <w:p w14:paraId="2CE8A78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215ACCC2">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3A0C9961">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餐饮业</w:t>
            </w:r>
          </w:p>
        </w:tc>
        <w:tc>
          <w:tcPr>
            <w:tcW w:w="977" w:type="pct"/>
            <w:tcBorders>
              <w:top w:val="nil"/>
              <w:left w:val="nil"/>
              <w:bottom w:val="single" w:color="auto" w:sz="4" w:space="0"/>
              <w:right w:val="single" w:color="auto" w:sz="4" w:space="0"/>
            </w:tcBorders>
            <w:vAlign w:val="center"/>
          </w:tcPr>
          <w:p w14:paraId="43FD3F7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120AE0F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5A36271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902" w:type="pct"/>
            <w:tcBorders>
              <w:top w:val="nil"/>
              <w:left w:val="nil"/>
              <w:bottom w:val="single" w:color="auto" w:sz="4" w:space="0"/>
              <w:right w:val="single" w:color="auto" w:sz="4" w:space="0"/>
            </w:tcBorders>
            <w:vAlign w:val="center"/>
          </w:tcPr>
          <w:p w14:paraId="2F77912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242852E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5A16127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797DA2AC">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71D9F013">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7E9EB1F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3F0EBD1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2000≤Y＜10000</w:t>
            </w:r>
          </w:p>
        </w:tc>
        <w:tc>
          <w:tcPr>
            <w:tcW w:w="902" w:type="pct"/>
            <w:tcBorders>
              <w:top w:val="nil"/>
              <w:left w:val="nil"/>
              <w:bottom w:val="single" w:color="auto" w:sz="4" w:space="0"/>
              <w:right w:val="single" w:color="auto" w:sz="4" w:space="0"/>
            </w:tcBorders>
            <w:vAlign w:val="center"/>
          </w:tcPr>
          <w:p w14:paraId="5FF8D48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100≤Y＜2000</w:t>
            </w:r>
          </w:p>
        </w:tc>
        <w:tc>
          <w:tcPr>
            <w:tcW w:w="579" w:type="pct"/>
            <w:tcBorders>
              <w:top w:val="nil"/>
              <w:left w:val="nil"/>
              <w:bottom w:val="single" w:color="auto" w:sz="4" w:space="0"/>
              <w:right w:val="single" w:color="auto" w:sz="4" w:space="0"/>
            </w:tcBorders>
            <w:vAlign w:val="center"/>
          </w:tcPr>
          <w:p w14:paraId="23202CC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2A3EA761">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40E40056">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信息传输业</w:t>
            </w:r>
          </w:p>
        </w:tc>
        <w:tc>
          <w:tcPr>
            <w:tcW w:w="977" w:type="pct"/>
            <w:tcBorders>
              <w:top w:val="nil"/>
              <w:left w:val="nil"/>
              <w:bottom w:val="single" w:color="auto" w:sz="4" w:space="0"/>
              <w:right w:val="single" w:color="auto" w:sz="4" w:space="0"/>
            </w:tcBorders>
            <w:vAlign w:val="center"/>
          </w:tcPr>
          <w:p w14:paraId="6CE57CF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21FFF93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15AD9B0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100≤X＜2000</w:t>
            </w:r>
          </w:p>
        </w:tc>
        <w:tc>
          <w:tcPr>
            <w:tcW w:w="902" w:type="pct"/>
            <w:tcBorders>
              <w:top w:val="nil"/>
              <w:left w:val="nil"/>
              <w:bottom w:val="single" w:color="auto" w:sz="4" w:space="0"/>
              <w:right w:val="single" w:color="auto" w:sz="4" w:space="0"/>
            </w:tcBorders>
            <w:vAlign w:val="center"/>
          </w:tcPr>
          <w:p w14:paraId="48F6818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0974DBA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145965F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4EAB7124">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2217078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3E805DA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767C8C7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1000≤Y＜100000</w:t>
            </w:r>
          </w:p>
        </w:tc>
        <w:tc>
          <w:tcPr>
            <w:tcW w:w="902" w:type="pct"/>
            <w:tcBorders>
              <w:top w:val="nil"/>
              <w:left w:val="nil"/>
              <w:bottom w:val="single" w:color="auto" w:sz="4" w:space="0"/>
              <w:right w:val="single" w:color="auto" w:sz="4" w:space="0"/>
            </w:tcBorders>
            <w:vAlign w:val="center"/>
          </w:tcPr>
          <w:p w14:paraId="4EC7DDD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100≤Y＜1000</w:t>
            </w:r>
          </w:p>
        </w:tc>
        <w:tc>
          <w:tcPr>
            <w:tcW w:w="579" w:type="pct"/>
            <w:tcBorders>
              <w:top w:val="nil"/>
              <w:left w:val="nil"/>
              <w:bottom w:val="single" w:color="auto" w:sz="4" w:space="0"/>
              <w:right w:val="single" w:color="auto" w:sz="4" w:space="0"/>
            </w:tcBorders>
            <w:vAlign w:val="center"/>
          </w:tcPr>
          <w:p w14:paraId="6D13105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4BBF7869">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13DF4108">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软件和信息技术服务业</w:t>
            </w:r>
          </w:p>
        </w:tc>
        <w:tc>
          <w:tcPr>
            <w:tcW w:w="977" w:type="pct"/>
            <w:tcBorders>
              <w:top w:val="nil"/>
              <w:left w:val="nil"/>
              <w:bottom w:val="single" w:color="auto" w:sz="4" w:space="0"/>
              <w:right w:val="single" w:color="auto" w:sz="4" w:space="0"/>
            </w:tcBorders>
            <w:vAlign w:val="center"/>
          </w:tcPr>
          <w:p w14:paraId="57AA3C2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01DFE2F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30BFDB5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902" w:type="pct"/>
            <w:tcBorders>
              <w:top w:val="nil"/>
              <w:left w:val="nil"/>
              <w:bottom w:val="single" w:color="auto" w:sz="4" w:space="0"/>
              <w:right w:val="single" w:color="auto" w:sz="4" w:space="0"/>
            </w:tcBorders>
            <w:vAlign w:val="center"/>
          </w:tcPr>
          <w:p w14:paraId="3CB01FD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2F3565D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235F9DF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44E1BDE">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05E663B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2695D27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344BFB51">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1000≤Y＜10000</w:t>
            </w:r>
          </w:p>
        </w:tc>
        <w:tc>
          <w:tcPr>
            <w:tcW w:w="902" w:type="pct"/>
            <w:tcBorders>
              <w:top w:val="nil"/>
              <w:left w:val="nil"/>
              <w:bottom w:val="single" w:color="auto" w:sz="4" w:space="0"/>
              <w:right w:val="single" w:color="auto" w:sz="4" w:space="0"/>
            </w:tcBorders>
            <w:vAlign w:val="center"/>
          </w:tcPr>
          <w:p w14:paraId="0540B65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50≤Y＜1000</w:t>
            </w:r>
          </w:p>
        </w:tc>
        <w:tc>
          <w:tcPr>
            <w:tcW w:w="579" w:type="pct"/>
            <w:tcBorders>
              <w:top w:val="nil"/>
              <w:left w:val="nil"/>
              <w:bottom w:val="single" w:color="auto" w:sz="4" w:space="0"/>
              <w:right w:val="single" w:color="auto" w:sz="4" w:space="0"/>
            </w:tcBorders>
            <w:vAlign w:val="center"/>
          </w:tcPr>
          <w:p w14:paraId="05E5A21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Y＜50</w:t>
            </w:r>
          </w:p>
        </w:tc>
      </w:tr>
      <w:tr w14:paraId="3AF1807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0D6E3A11">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房地产开发经营</w:t>
            </w:r>
          </w:p>
        </w:tc>
        <w:tc>
          <w:tcPr>
            <w:tcW w:w="977" w:type="pct"/>
            <w:tcBorders>
              <w:top w:val="nil"/>
              <w:left w:val="nil"/>
              <w:bottom w:val="single" w:color="auto" w:sz="4" w:space="0"/>
              <w:right w:val="single" w:color="auto" w:sz="4" w:space="0"/>
            </w:tcBorders>
            <w:vAlign w:val="center"/>
          </w:tcPr>
          <w:p w14:paraId="651BF39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133F87A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730B2B1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1000≤Y＜200000</w:t>
            </w:r>
          </w:p>
        </w:tc>
        <w:tc>
          <w:tcPr>
            <w:tcW w:w="902" w:type="pct"/>
            <w:tcBorders>
              <w:top w:val="nil"/>
              <w:left w:val="nil"/>
              <w:bottom w:val="single" w:color="auto" w:sz="4" w:space="0"/>
              <w:right w:val="single" w:color="auto" w:sz="4" w:space="0"/>
            </w:tcBorders>
            <w:vAlign w:val="center"/>
          </w:tcPr>
          <w:p w14:paraId="7BA272B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100≤X＜1000</w:t>
            </w:r>
          </w:p>
        </w:tc>
        <w:tc>
          <w:tcPr>
            <w:tcW w:w="579" w:type="pct"/>
            <w:tcBorders>
              <w:top w:val="nil"/>
              <w:left w:val="nil"/>
              <w:bottom w:val="single" w:color="auto" w:sz="4" w:space="0"/>
              <w:right w:val="single" w:color="auto" w:sz="4" w:space="0"/>
            </w:tcBorders>
            <w:vAlign w:val="center"/>
          </w:tcPr>
          <w:p w14:paraId="4B7AC87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X＜100</w:t>
            </w:r>
          </w:p>
        </w:tc>
      </w:tr>
      <w:tr w14:paraId="17863680">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30172D5F">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2767721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资产总额（Z）</w:t>
            </w:r>
          </w:p>
        </w:tc>
        <w:tc>
          <w:tcPr>
            <w:tcW w:w="651" w:type="pct"/>
            <w:tcBorders>
              <w:top w:val="nil"/>
              <w:left w:val="nil"/>
              <w:bottom w:val="single" w:color="auto" w:sz="4" w:space="0"/>
              <w:right w:val="single" w:color="auto" w:sz="4" w:space="0"/>
            </w:tcBorders>
            <w:vAlign w:val="center"/>
          </w:tcPr>
          <w:p w14:paraId="4372EA19">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03F4968D">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5000≤Z＜10000</w:t>
            </w:r>
          </w:p>
        </w:tc>
        <w:tc>
          <w:tcPr>
            <w:tcW w:w="902" w:type="pct"/>
            <w:tcBorders>
              <w:top w:val="nil"/>
              <w:left w:val="nil"/>
              <w:bottom w:val="single" w:color="auto" w:sz="4" w:space="0"/>
              <w:right w:val="single" w:color="auto" w:sz="4" w:space="0"/>
            </w:tcBorders>
            <w:vAlign w:val="center"/>
          </w:tcPr>
          <w:p w14:paraId="1011AB1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2000≤Y＜5000</w:t>
            </w:r>
          </w:p>
        </w:tc>
        <w:tc>
          <w:tcPr>
            <w:tcW w:w="579" w:type="pct"/>
            <w:tcBorders>
              <w:top w:val="nil"/>
              <w:left w:val="nil"/>
              <w:bottom w:val="single" w:color="auto" w:sz="4" w:space="0"/>
              <w:right w:val="single" w:color="auto" w:sz="4" w:space="0"/>
            </w:tcBorders>
            <w:vAlign w:val="center"/>
          </w:tcPr>
          <w:p w14:paraId="771B52E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Y＜2000</w:t>
            </w:r>
          </w:p>
        </w:tc>
      </w:tr>
      <w:tr w14:paraId="7709959F">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016A8ABD">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物业管理</w:t>
            </w:r>
          </w:p>
        </w:tc>
        <w:tc>
          <w:tcPr>
            <w:tcW w:w="977" w:type="pct"/>
            <w:tcBorders>
              <w:top w:val="nil"/>
              <w:left w:val="nil"/>
              <w:bottom w:val="single" w:color="auto" w:sz="4" w:space="0"/>
              <w:right w:val="single" w:color="auto" w:sz="4" w:space="0"/>
            </w:tcBorders>
            <w:vAlign w:val="center"/>
          </w:tcPr>
          <w:p w14:paraId="72CAB530">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639804D2">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1F16018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300≤X＜1000</w:t>
            </w:r>
          </w:p>
        </w:tc>
        <w:tc>
          <w:tcPr>
            <w:tcW w:w="902" w:type="pct"/>
            <w:tcBorders>
              <w:top w:val="nil"/>
              <w:left w:val="nil"/>
              <w:bottom w:val="single" w:color="auto" w:sz="4" w:space="0"/>
              <w:right w:val="single" w:color="auto" w:sz="4" w:space="0"/>
            </w:tcBorders>
            <w:vAlign w:val="center"/>
          </w:tcPr>
          <w:p w14:paraId="1CB1971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579" w:type="pct"/>
            <w:tcBorders>
              <w:top w:val="nil"/>
              <w:left w:val="nil"/>
              <w:bottom w:val="single" w:color="auto" w:sz="4" w:space="0"/>
              <w:right w:val="single" w:color="auto" w:sz="4" w:space="0"/>
            </w:tcBorders>
            <w:vAlign w:val="center"/>
          </w:tcPr>
          <w:p w14:paraId="2659C49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X＜100</w:t>
            </w:r>
          </w:p>
        </w:tc>
      </w:tr>
      <w:tr w14:paraId="3BDA4AA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595E3905">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75C9B2C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营业收入（Y）</w:t>
            </w:r>
          </w:p>
        </w:tc>
        <w:tc>
          <w:tcPr>
            <w:tcW w:w="651" w:type="pct"/>
            <w:tcBorders>
              <w:top w:val="nil"/>
              <w:left w:val="nil"/>
              <w:bottom w:val="single" w:color="auto" w:sz="4" w:space="0"/>
              <w:right w:val="single" w:color="auto" w:sz="4" w:space="0"/>
            </w:tcBorders>
            <w:vAlign w:val="center"/>
          </w:tcPr>
          <w:p w14:paraId="7BE27A0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3B8107EC">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1000≤Y＜5000</w:t>
            </w:r>
          </w:p>
        </w:tc>
        <w:tc>
          <w:tcPr>
            <w:tcW w:w="902" w:type="pct"/>
            <w:tcBorders>
              <w:top w:val="nil"/>
              <w:left w:val="nil"/>
              <w:bottom w:val="single" w:color="auto" w:sz="4" w:space="0"/>
              <w:right w:val="single" w:color="auto" w:sz="4" w:space="0"/>
            </w:tcBorders>
            <w:vAlign w:val="center"/>
          </w:tcPr>
          <w:p w14:paraId="7BF4026A">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500≤Y＜1000</w:t>
            </w:r>
          </w:p>
        </w:tc>
        <w:tc>
          <w:tcPr>
            <w:tcW w:w="579" w:type="pct"/>
            <w:tcBorders>
              <w:top w:val="nil"/>
              <w:left w:val="nil"/>
              <w:bottom w:val="single" w:color="auto" w:sz="4" w:space="0"/>
              <w:right w:val="single" w:color="auto" w:sz="4" w:space="0"/>
            </w:tcBorders>
            <w:vAlign w:val="center"/>
          </w:tcPr>
          <w:p w14:paraId="3F7CDB9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Y＜500</w:t>
            </w:r>
          </w:p>
        </w:tc>
      </w:tr>
      <w:tr w14:paraId="0EB4840D">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vAlign w:val="bottom"/>
          </w:tcPr>
          <w:p w14:paraId="6F865FCB">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租赁和商务服务业</w:t>
            </w:r>
          </w:p>
        </w:tc>
        <w:tc>
          <w:tcPr>
            <w:tcW w:w="977" w:type="pct"/>
            <w:tcBorders>
              <w:top w:val="nil"/>
              <w:left w:val="nil"/>
              <w:bottom w:val="single" w:color="auto" w:sz="4" w:space="0"/>
              <w:right w:val="single" w:color="auto" w:sz="4" w:space="0"/>
            </w:tcBorders>
            <w:vAlign w:val="center"/>
          </w:tcPr>
          <w:p w14:paraId="782AB8B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59B5B154">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1D598D36">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902" w:type="pct"/>
            <w:tcBorders>
              <w:top w:val="nil"/>
              <w:left w:val="nil"/>
              <w:bottom w:val="single" w:color="auto" w:sz="4" w:space="0"/>
              <w:right w:val="single" w:color="auto" w:sz="4" w:space="0"/>
            </w:tcBorders>
            <w:vAlign w:val="center"/>
          </w:tcPr>
          <w:p w14:paraId="4532E2B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6E406F4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r w14:paraId="49A6B35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vAlign w:val="center"/>
          </w:tcPr>
          <w:p w14:paraId="05B3773F">
            <w:pPr>
              <w:keepNext w:val="0"/>
              <w:keepLines w:val="0"/>
              <w:widowControl/>
              <w:suppressLineNumbers w:val="0"/>
              <w:spacing w:before="0" w:beforeAutospacing="0" w:after="0" w:afterAutospacing="0"/>
              <w:ind w:left="0" w:right="0"/>
              <w:jc w:val="left"/>
              <w:rPr>
                <w:rFonts w:hint="default"/>
                <w:color w:val="auto"/>
                <w:szCs w:val="21"/>
                <w:highlight w:val="none"/>
              </w:rPr>
            </w:pPr>
          </w:p>
        </w:tc>
        <w:tc>
          <w:tcPr>
            <w:tcW w:w="977" w:type="pct"/>
            <w:tcBorders>
              <w:top w:val="nil"/>
              <w:left w:val="nil"/>
              <w:bottom w:val="single" w:color="auto" w:sz="4" w:space="0"/>
              <w:right w:val="single" w:color="auto" w:sz="4" w:space="0"/>
            </w:tcBorders>
            <w:vAlign w:val="center"/>
          </w:tcPr>
          <w:p w14:paraId="7372041E">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资产总额（Z）</w:t>
            </w:r>
          </w:p>
        </w:tc>
        <w:tc>
          <w:tcPr>
            <w:tcW w:w="651" w:type="pct"/>
            <w:tcBorders>
              <w:top w:val="nil"/>
              <w:left w:val="nil"/>
              <w:bottom w:val="single" w:color="auto" w:sz="4" w:space="0"/>
              <w:right w:val="single" w:color="auto" w:sz="4" w:space="0"/>
            </w:tcBorders>
            <w:vAlign w:val="center"/>
          </w:tcPr>
          <w:p w14:paraId="1191BB3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万元</w:t>
            </w:r>
          </w:p>
        </w:tc>
        <w:tc>
          <w:tcPr>
            <w:tcW w:w="1060" w:type="pct"/>
            <w:tcBorders>
              <w:top w:val="nil"/>
              <w:left w:val="nil"/>
              <w:bottom w:val="single" w:color="auto" w:sz="4" w:space="0"/>
              <w:right w:val="single" w:color="auto" w:sz="4" w:space="0"/>
            </w:tcBorders>
            <w:vAlign w:val="center"/>
          </w:tcPr>
          <w:p w14:paraId="7EF2C8A0">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8000≤Z＜120000</w:t>
            </w:r>
          </w:p>
        </w:tc>
        <w:tc>
          <w:tcPr>
            <w:tcW w:w="902" w:type="pct"/>
            <w:tcBorders>
              <w:top w:val="nil"/>
              <w:left w:val="nil"/>
              <w:bottom w:val="single" w:color="auto" w:sz="4" w:space="0"/>
              <w:right w:val="single" w:color="auto" w:sz="4" w:space="0"/>
            </w:tcBorders>
            <w:vAlign w:val="center"/>
          </w:tcPr>
          <w:p w14:paraId="0331523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100≤Z＜8000</w:t>
            </w:r>
          </w:p>
        </w:tc>
        <w:tc>
          <w:tcPr>
            <w:tcW w:w="579" w:type="pct"/>
            <w:tcBorders>
              <w:top w:val="nil"/>
              <w:left w:val="nil"/>
              <w:bottom w:val="single" w:color="auto" w:sz="4" w:space="0"/>
              <w:right w:val="single" w:color="auto" w:sz="4" w:space="0"/>
            </w:tcBorders>
            <w:vAlign w:val="center"/>
          </w:tcPr>
          <w:p w14:paraId="797513D5">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Y＜100</w:t>
            </w:r>
          </w:p>
        </w:tc>
      </w:tr>
      <w:tr w14:paraId="463B9279">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vAlign w:val="bottom"/>
          </w:tcPr>
          <w:p w14:paraId="3FBEFD4B">
            <w:pPr>
              <w:keepNext w:val="0"/>
              <w:keepLines w:val="0"/>
              <w:widowControl/>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其他未列明行业</w:t>
            </w:r>
          </w:p>
        </w:tc>
        <w:tc>
          <w:tcPr>
            <w:tcW w:w="977" w:type="pct"/>
            <w:tcBorders>
              <w:top w:val="nil"/>
              <w:left w:val="nil"/>
              <w:bottom w:val="single" w:color="auto" w:sz="4" w:space="0"/>
              <w:right w:val="single" w:color="auto" w:sz="4" w:space="0"/>
            </w:tcBorders>
            <w:vAlign w:val="center"/>
          </w:tcPr>
          <w:p w14:paraId="5E6B450B">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从业人员（X）</w:t>
            </w:r>
          </w:p>
        </w:tc>
        <w:tc>
          <w:tcPr>
            <w:tcW w:w="651" w:type="pct"/>
            <w:tcBorders>
              <w:top w:val="nil"/>
              <w:left w:val="nil"/>
              <w:bottom w:val="single" w:color="auto" w:sz="4" w:space="0"/>
              <w:right w:val="single" w:color="auto" w:sz="4" w:space="0"/>
            </w:tcBorders>
            <w:vAlign w:val="center"/>
          </w:tcPr>
          <w:p w14:paraId="6289C688">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w:t>
            </w:r>
          </w:p>
        </w:tc>
        <w:tc>
          <w:tcPr>
            <w:tcW w:w="1060" w:type="pct"/>
            <w:tcBorders>
              <w:top w:val="nil"/>
              <w:left w:val="nil"/>
              <w:bottom w:val="single" w:color="auto" w:sz="4" w:space="0"/>
              <w:right w:val="single" w:color="auto" w:sz="4" w:space="0"/>
            </w:tcBorders>
            <w:vAlign w:val="center"/>
          </w:tcPr>
          <w:p w14:paraId="6FCC9F1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100≤X＜300</w:t>
            </w:r>
          </w:p>
        </w:tc>
        <w:tc>
          <w:tcPr>
            <w:tcW w:w="902" w:type="pct"/>
            <w:tcBorders>
              <w:top w:val="nil"/>
              <w:left w:val="nil"/>
              <w:bottom w:val="single" w:color="auto" w:sz="4" w:space="0"/>
              <w:right w:val="single" w:color="auto" w:sz="4" w:space="0"/>
            </w:tcBorders>
            <w:vAlign w:val="center"/>
          </w:tcPr>
          <w:p w14:paraId="25F89CB7">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10≤X＜100</w:t>
            </w:r>
          </w:p>
        </w:tc>
        <w:tc>
          <w:tcPr>
            <w:tcW w:w="579" w:type="pct"/>
            <w:tcBorders>
              <w:top w:val="nil"/>
              <w:left w:val="nil"/>
              <w:bottom w:val="single" w:color="auto" w:sz="4" w:space="0"/>
              <w:right w:val="single" w:color="auto" w:sz="4" w:space="0"/>
            </w:tcBorders>
            <w:vAlign w:val="center"/>
          </w:tcPr>
          <w:p w14:paraId="14E0ED8F">
            <w:pPr>
              <w:keepNext w:val="0"/>
              <w:keepLines w:val="0"/>
              <w:widowControl/>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X＜10</w:t>
            </w:r>
          </w:p>
        </w:tc>
      </w:tr>
    </w:tbl>
    <w:p w14:paraId="68FD1DE8">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13A3EED">
      <w:pPr>
        <w:widowControl/>
        <w:jc w:val="left"/>
        <w:rPr>
          <w:color w:val="auto"/>
          <w:szCs w:val="21"/>
          <w:highlight w:val="none"/>
        </w:rPr>
      </w:pPr>
      <w:r>
        <w:rPr>
          <w:color w:val="auto"/>
          <w:szCs w:val="21"/>
          <w:highlight w:val="none"/>
        </w:rPr>
        <w:br w:type="page"/>
      </w:r>
    </w:p>
    <w:bookmarkEnd w:id="37"/>
    <w:p w14:paraId="53655485">
      <w:pPr>
        <w:spacing w:line="360" w:lineRule="auto"/>
        <w:rPr>
          <w:color w:val="auto"/>
          <w:sz w:val="28"/>
          <w:szCs w:val="28"/>
          <w:highlight w:val="none"/>
        </w:rPr>
      </w:pPr>
      <w:bookmarkStart w:id="38" w:name="_Hlk132788258"/>
      <w:r>
        <w:rPr>
          <w:rFonts w:hint="eastAsia"/>
          <w:color w:val="auto"/>
          <w:sz w:val="28"/>
          <w:szCs w:val="28"/>
          <w:highlight w:val="none"/>
        </w:rPr>
        <w:t>附件2：</w:t>
      </w:r>
    </w:p>
    <w:p w14:paraId="7006C8E4">
      <w:pPr>
        <w:spacing w:line="360" w:lineRule="auto"/>
        <w:jc w:val="center"/>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732780" cy="8357870"/>
            <wp:effectExtent l="0" t="0" r="1270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32780" cy="8357870"/>
                    </a:xfrm>
                    <a:prstGeom prst="rect">
                      <a:avLst/>
                    </a:prstGeom>
                    <a:noFill/>
                    <a:ln>
                      <a:noFill/>
                    </a:ln>
                  </pic:spPr>
                </pic:pic>
              </a:graphicData>
            </a:graphic>
          </wp:anchor>
        </w:drawing>
      </w:r>
      <w:r>
        <w:rPr>
          <w:color w:val="auto"/>
          <w:szCs w:val="21"/>
          <w:highlight w:val="none"/>
        </w:rPr>
        <w:br w:type="page"/>
      </w:r>
      <w:bookmarkEnd w:id="31"/>
      <w:bookmarkEnd w:id="38"/>
    </w:p>
    <w:p w14:paraId="65A32B0D">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39" w:name="_Toc168670058"/>
      <w:r>
        <w:rPr>
          <w:rFonts w:ascii="Times New Roman" w:hAnsi="Times New Roman" w:cs="Times New Roman"/>
          <w:color w:val="auto"/>
          <w:sz w:val="32"/>
          <w:szCs w:val="32"/>
          <w:highlight w:val="none"/>
        </w:rPr>
        <w:t>第三章  供应商须知</w:t>
      </w:r>
      <w:bookmarkEnd w:id="39"/>
      <w:bookmarkStart w:id="40" w:name="_Toc254970526"/>
      <w:bookmarkStart w:id="41" w:name="_Toc254970667"/>
    </w:p>
    <w:p w14:paraId="46C53108">
      <w:pPr>
        <w:pStyle w:val="5"/>
        <w:spacing w:before="40" w:after="40"/>
        <w:jc w:val="center"/>
        <w:rPr>
          <w:rFonts w:ascii="Times New Roman" w:hAnsi="Times New Roman" w:eastAsia="宋体"/>
          <w:color w:val="auto"/>
          <w:sz w:val="24"/>
          <w:szCs w:val="24"/>
          <w:highlight w:val="none"/>
        </w:rPr>
      </w:pPr>
      <w:bookmarkStart w:id="173" w:name="_GoBack"/>
      <w:bookmarkEnd w:id="173"/>
      <w:r>
        <w:rPr>
          <w:rFonts w:ascii="Times New Roman" w:hAnsi="Times New Roman" w:eastAsia="宋体"/>
          <w:color w:val="auto"/>
          <w:sz w:val="24"/>
          <w:szCs w:val="24"/>
          <w:highlight w:val="none"/>
        </w:rPr>
        <w:t>供应商须知前附表</w:t>
      </w:r>
      <w:bookmarkEnd w:id="40"/>
      <w:bookmarkEnd w:id="41"/>
      <w:bookmarkStart w:id="42" w:name="_投标人须知前附表"/>
      <w:bookmarkEnd w:id="42"/>
      <w:bookmarkStart w:id="43"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05395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19B43C7">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4ADAE9BA">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34073095">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内容、要求</w:t>
            </w:r>
          </w:p>
        </w:tc>
      </w:tr>
      <w:tr w14:paraId="1FAF2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1ED71A76">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3185194A">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47BFC466">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项目名称：</w:t>
            </w:r>
            <w:r>
              <w:rPr>
                <w:rFonts w:hint="eastAsia"/>
                <w:color w:val="auto"/>
                <w:szCs w:val="21"/>
                <w:highlight w:val="none"/>
              </w:rPr>
              <w:t>中国—东盟职业师范教育数智化产教融合实验实训基地项目软件采购</w:t>
            </w:r>
          </w:p>
          <w:p w14:paraId="02A240EF">
            <w:pPr>
              <w:keepNext w:val="0"/>
              <w:keepLines w:val="0"/>
              <w:suppressLineNumbers w:val="0"/>
              <w:spacing w:before="0" w:beforeAutospacing="0" w:after="0" w:afterAutospacing="0" w:line="300" w:lineRule="exact"/>
              <w:ind w:left="0" w:right="0"/>
              <w:jc w:val="left"/>
              <w:rPr>
                <w:rFonts w:hint="default" w:ascii="Arial" w:hAnsi="Arial" w:cs="Arial"/>
                <w:color w:val="auto"/>
                <w:kern w:val="0"/>
                <w:szCs w:val="21"/>
                <w:highlight w:val="none"/>
              </w:rPr>
            </w:pPr>
            <w:r>
              <w:rPr>
                <w:rFonts w:hint="default"/>
                <w:color w:val="auto"/>
                <w:szCs w:val="21"/>
                <w:highlight w:val="none"/>
              </w:rPr>
              <w:t>项目编号：</w:t>
            </w:r>
            <w:r>
              <w:rPr>
                <w:rFonts w:hint="default" w:ascii="Arial" w:hAnsi="Arial" w:cs="Arial"/>
                <w:color w:val="auto"/>
                <w:kern w:val="0"/>
                <w:szCs w:val="21"/>
                <w:highlight w:val="none"/>
              </w:rPr>
              <w:t>GXZC2024-G1-005625-JDZB</w:t>
            </w:r>
          </w:p>
          <w:p w14:paraId="61E23DAE">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采购计划号：</w:t>
            </w:r>
          </w:p>
          <w:p w14:paraId="48153454">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-001</w:t>
            </w:r>
          </w:p>
          <w:p w14:paraId="61B2CD44">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-002</w:t>
            </w:r>
          </w:p>
          <w:p w14:paraId="23AC2DAE">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-003</w:t>
            </w:r>
          </w:p>
          <w:p w14:paraId="7714B667">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-004</w:t>
            </w:r>
          </w:p>
          <w:p w14:paraId="35AD58F1">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-005</w:t>
            </w:r>
          </w:p>
          <w:p w14:paraId="4CE2C6C3">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-006</w:t>
            </w:r>
          </w:p>
          <w:p w14:paraId="48FE3DEE">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-007</w:t>
            </w:r>
          </w:p>
          <w:p w14:paraId="6560EE29">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-008</w:t>
            </w:r>
          </w:p>
          <w:p w14:paraId="1423072A">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-009</w:t>
            </w:r>
          </w:p>
          <w:p w14:paraId="2372BFF9">
            <w:pPr>
              <w:keepNext w:val="0"/>
              <w:keepLines w:val="0"/>
              <w:widowControl w:val="0"/>
              <w:suppressLineNumbers w:val="0"/>
              <w:spacing w:before="0" w:beforeAutospacing="0" w:after="0" w:afterAutospacing="0" w:line="300" w:lineRule="exact"/>
              <w:ind w:left="0" w:right="0"/>
              <w:jc w:val="left"/>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10</w:t>
            </w:r>
            <w:r>
              <w:rPr>
                <w:rFonts w:hint="eastAsia" w:ascii="Times New Roman" w:hAnsi="Times New Roman" w:eastAsia="宋体" w:cs="宋体"/>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宋体"/>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-010</w:t>
            </w:r>
          </w:p>
          <w:p w14:paraId="79FD1974">
            <w:pPr>
              <w:keepNext w:val="0"/>
              <w:keepLines w:val="0"/>
              <w:widowControl/>
              <w:suppressLineNumbers w:val="0"/>
              <w:spacing w:before="0" w:beforeAutospacing="0" w:after="0" w:afterAutospacing="0"/>
              <w:ind w:left="0" w:right="0"/>
              <w:jc w:val="left"/>
              <w:rPr>
                <w:rFonts w:hint="default"/>
                <w:color w:val="auto"/>
                <w:highlight w:val="none"/>
              </w:rPr>
            </w:pPr>
            <w:r>
              <w:rPr>
                <w:rFonts w:hint="default" w:ascii="Times New Roman" w:hAnsi="Times New Roman" w:eastAsia="宋体" w:cs="Times New Roman"/>
                <w:color w:val="auto"/>
                <w:kern w:val="2"/>
                <w:sz w:val="21"/>
                <w:szCs w:val="21"/>
                <w:highlight w:val="none"/>
                <w:lang w:val="en-US" w:eastAsia="zh-CN" w:bidi="ar"/>
              </w:rPr>
              <w:t>11</w:t>
            </w:r>
            <w:r>
              <w:rPr>
                <w:rFonts w:hint="eastAsia" w:ascii="Times New Roman" w:hAnsi="Times New Roman" w:eastAsia="宋体" w:cs="Times New Roman"/>
                <w:color w:val="auto"/>
                <w:kern w:val="2"/>
                <w:sz w:val="21"/>
                <w:szCs w:val="21"/>
                <w:highlight w:val="none"/>
                <w:lang w:val="en-US" w:eastAsia="zh-CN" w:bidi="ar"/>
              </w:rPr>
              <w:t>分标：广西政采</w:t>
            </w:r>
            <w:r>
              <w:rPr>
                <w:rFonts w:hint="default" w:ascii="Times New Roman" w:hAnsi="Times New Roman" w:eastAsia="宋体" w:cs="Times New Roman"/>
                <w:color w:val="auto"/>
                <w:kern w:val="2"/>
                <w:sz w:val="21"/>
                <w:szCs w:val="21"/>
                <w:highlight w:val="none"/>
                <w:lang w:val="en-US" w:eastAsia="zh-CN" w:bidi="ar"/>
              </w:rPr>
              <w:t>[2024]18536</w:t>
            </w:r>
            <w:r>
              <w:rPr>
                <w:rFonts w:hint="eastAsia" w:ascii="Times New Roman" w:hAnsi="Times New Roman" w:eastAsia="宋体" w:cs="Times New Roman"/>
                <w:color w:val="auto"/>
                <w:kern w:val="2"/>
                <w:sz w:val="21"/>
                <w:szCs w:val="21"/>
                <w:highlight w:val="none"/>
                <w:lang w:val="en-US" w:eastAsia="zh-CN" w:bidi="ar"/>
              </w:rPr>
              <w:t>号</w:t>
            </w:r>
            <w:r>
              <w:rPr>
                <w:rFonts w:hint="default" w:ascii="Times New Roman" w:hAnsi="Times New Roman" w:eastAsia="宋体" w:cs="Times New Roman"/>
                <w:color w:val="auto"/>
                <w:kern w:val="2"/>
                <w:sz w:val="21"/>
                <w:szCs w:val="21"/>
                <w:highlight w:val="none"/>
                <w:lang w:val="en-US" w:eastAsia="zh-CN" w:bidi="ar"/>
              </w:rPr>
              <w:t>-011</w:t>
            </w:r>
          </w:p>
        </w:tc>
      </w:tr>
      <w:tr w14:paraId="100E8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55" w:type="dxa"/>
            <w:tcBorders>
              <w:top w:val="single" w:color="auto" w:sz="4" w:space="0"/>
              <w:left w:val="single" w:color="auto" w:sz="4" w:space="0"/>
              <w:bottom w:val="single" w:color="auto" w:sz="4" w:space="0"/>
              <w:right w:val="single" w:color="auto" w:sz="4" w:space="0"/>
            </w:tcBorders>
            <w:vAlign w:val="center"/>
          </w:tcPr>
          <w:p w14:paraId="26DDD389">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572C9615">
            <w:pPr>
              <w:keepNext w:val="0"/>
              <w:keepLines w:val="0"/>
              <w:suppressLineNumbers w:val="0"/>
              <w:spacing w:before="0" w:beforeAutospacing="0" w:after="0" w:afterAutospacing="0" w:line="300" w:lineRule="exact"/>
              <w:ind w:left="0" w:right="0"/>
              <w:jc w:val="center"/>
              <w:rPr>
                <w:rFonts w:hint="default"/>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BAF10A7">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公开招标</w:t>
            </w:r>
          </w:p>
        </w:tc>
      </w:tr>
      <w:tr w14:paraId="02432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1260BB0D">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1</w:t>
            </w:r>
            <w:r>
              <w:rPr>
                <w:rFonts w:hint="default"/>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4C55D03D">
            <w:pPr>
              <w:keepNext w:val="0"/>
              <w:keepLines w:val="0"/>
              <w:suppressLineNumbers w:val="0"/>
              <w:spacing w:before="0" w:beforeAutospacing="0" w:after="0" w:afterAutospacing="0" w:line="300" w:lineRule="exact"/>
              <w:ind w:left="0" w:right="0"/>
              <w:jc w:val="center"/>
              <w:rPr>
                <w:rFonts w:hint="default"/>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10204AA5">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本项目（</w:t>
            </w:r>
            <w:r>
              <w:rPr>
                <w:rFonts w:hint="eastAsia"/>
                <w:color w:val="auto"/>
                <w:szCs w:val="21"/>
                <w:highlight w:val="none"/>
                <w:u w:val="single"/>
              </w:rPr>
              <w:t xml:space="preserve"> 所有</w:t>
            </w:r>
            <w:r>
              <w:rPr>
                <w:rFonts w:hint="default"/>
                <w:color w:val="auto"/>
                <w:szCs w:val="21"/>
                <w:highlight w:val="none"/>
                <w:u w:val="single"/>
              </w:rPr>
              <w:t xml:space="preserve"> </w:t>
            </w:r>
            <w:r>
              <w:rPr>
                <w:rFonts w:hint="eastAsia"/>
                <w:color w:val="auto"/>
                <w:szCs w:val="21"/>
                <w:highlight w:val="none"/>
              </w:rPr>
              <w:t xml:space="preserve">标段）非专门面向中小微企业采购。 </w:t>
            </w:r>
          </w:p>
        </w:tc>
      </w:tr>
      <w:tr w14:paraId="497A4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AD2D55F">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3F7F5C5A">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F33602E">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详</w:t>
            </w:r>
            <w:r>
              <w:rPr>
                <w:rFonts w:hint="default"/>
                <w:color w:val="auto"/>
                <w:szCs w:val="21"/>
                <w:highlight w:val="none"/>
              </w:rPr>
              <w:t>见招标公告</w:t>
            </w:r>
            <w:r>
              <w:rPr>
                <w:rFonts w:hint="eastAsia"/>
                <w:color w:val="auto"/>
                <w:szCs w:val="21"/>
                <w:highlight w:val="none"/>
              </w:rPr>
              <w:t>。</w:t>
            </w:r>
          </w:p>
        </w:tc>
      </w:tr>
      <w:tr w14:paraId="7B381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55" w:type="dxa"/>
            <w:tcBorders>
              <w:top w:val="single" w:color="auto" w:sz="4" w:space="0"/>
              <w:left w:val="single" w:color="auto" w:sz="4" w:space="0"/>
              <w:right w:val="single" w:color="auto" w:sz="4" w:space="0"/>
            </w:tcBorders>
            <w:vAlign w:val="center"/>
          </w:tcPr>
          <w:p w14:paraId="6DF67C3D">
            <w:pPr>
              <w:keepNext w:val="0"/>
              <w:keepLines w:val="0"/>
              <w:suppressLineNumbers w:val="0"/>
              <w:spacing w:before="0" w:beforeAutospacing="0" w:after="0" w:afterAutospacing="0" w:line="300" w:lineRule="exact"/>
              <w:ind w:left="0" w:right="0"/>
              <w:jc w:val="center"/>
              <w:rPr>
                <w:rFonts w:hint="default"/>
                <w:b/>
                <w:color w:val="auto"/>
                <w:szCs w:val="21"/>
                <w:highlight w:val="none"/>
              </w:rPr>
            </w:pPr>
            <w:bookmarkStart w:id="44" w:name="_Hlk85555568"/>
            <w:r>
              <w:rPr>
                <w:rFonts w:hint="default"/>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79B83393">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77E4595B">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是否接受联合体详见招标公告</w:t>
            </w:r>
          </w:p>
        </w:tc>
      </w:tr>
      <w:bookmarkEnd w:id="44"/>
      <w:tr w14:paraId="47C30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C5E027B">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6A6BAD12">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021D4F2D">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sym w:font="Wingdings 2" w:char="F052"/>
            </w:r>
            <w:r>
              <w:rPr>
                <w:rFonts w:hint="eastAsia"/>
                <w:color w:val="auto"/>
                <w:szCs w:val="21"/>
                <w:highlight w:val="none"/>
              </w:rPr>
              <w:t>否   □是</w:t>
            </w:r>
          </w:p>
          <w:p w14:paraId="10946E72">
            <w:pPr>
              <w:keepNext w:val="0"/>
              <w:keepLines w:val="0"/>
              <w:suppressLineNumbers w:val="0"/>
              <w:spacing w:before="0" w:beforeAutospacing="0" w:after="0" w:afterAutospacing="0"/>
              <w:ind w:left="0" w:right="0"/>
              <w:rPr>
                <w:rFonts w:hint="default"/>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            </w:t>
            </w:r>
          </w:p>
          <w:p w14:paraId="40522BA6">
            <w:pPr>
              <w:keepNext w:val="0"/>
              <w:keepLines w:val="0"/>
              <w:suppressLineNumbers w:val="0"/>
              <w:spacing w:before="0" w:beforeAutospacing="0" w:after="0" w:afterAutospacing="0"/>
              <w:ind w:left="0" w:right="0"/>
              <w:rPr>
                <w:rFonts w:hint="default"/>
                <w:color w:val="auto"/>
                <w:szCs w:val="21"/>
                <w:highlight w:val="none"/>
                <w:u w:val="single"/>
              </w:rPr>
            </w:pPr>
            <w:r>
              <w:rPr>
                <w:rFonts w:hint="eastAsia"/>
                <w:color w:val="auto"/>
                <w:szCs w:val="21"/>
                <w:highlight w:val="none"/>
              </w:rPr>
              <w:t>踏勘地点：</w:t>
            </w:r>
            <w:r>
              <w:rPr>
                <w:rFonts w:hint="eastAsia"/>
                <w:color w:val="auto"/>
                <w:szCs w:val="21"/>
                <w:highlight w:val="none"/>
                <w:u w:val="single"/>
              </w:rPr>
              <w:t xml:space="preserve"> /          </w:t>
            </w:r>
          </w:p>
          <w:p w14:paraId="398B77E8">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踏勘要求：</w:t>
            </w:r>
            <w:r>
              <w:rPr>
                <w:rFonts w:hint="eastAsia"/>
                <w:color w:val="auto"/>
                <w:szCs w:val="21"/>
                <w:highlight w:val="none"/>
                <w:u w:val="single"/>
              </w:rPr>
              <w:t xml:space="preserve"> /           </w:t>
            </w:r>
            <w:r>
              <w:rPr>
                <w:rFonts w:hint="eastAsia"/>
                <w:color w:val="auto"/>
                <w:szCs w:val="21"/>
                <w:highlight w:val="none"/>
              </w:rPr>
              <w:t xml:space="preserve">    </w:t>
            </w:r>
          </w:p>
        </w:tc>
      </w:tr>
      <w:tr w14:paraId="52BD4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FCB3B97">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36BAD533">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3A1E99B1">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是否接受分包详见招标公告</w:t>
            </w:r>
          </w:p>
        </w:tc>
      </w:tr>
      <w:tr w14:paraId="2F427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4A10FD3">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8B596FB">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6B112454">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在招标公告发布媒介发布</w:t>
            </w:r>
            <w:r>
              <w:rPr>
                <w:rFonts w:hint="eastAsia"/>
                <w:color w:val="auto"/>
                <w:szCs w:val="21"/>
                <w:highlight w:val="none"/>
              </w:rPr>
              <w:t>。</w:t>
            </w:r>
          </w:p>
        </w:tc>
      </w:tr>
      <w:tr w14:paraId="6D1A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5C7F764B">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5F6B18C1">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6CB0D30E">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澄清、修改文件</w:t>
            </w:r>
            <w:r>
              <w:rPr>
                <w:rFonts w:hint="eastAsia"/>
                <w:color w:val="auto"/>
                <w:szCs w:val="21"/>
                <w:highlight w:val="none"/>
              </w:rPr>
              <w:t>自招标</w:t>
            </w:r>
            <w:r>
              <w:rPr>
                <w:rFonts w:hint="default"/>
                <w:color w:val="auto"/>
                <w:szCs w:val="21"/>
                <w:highlight w:val="none"/>
              </w:rPr>
              <w:t>公告发布媒</w:t>
            </w:r>
            <w:r>
              <w:rPr>
                <w:rFonts w:hint="eastAsia"/>
                <w:color w:val="auto"/>
                <w:szCs w:val="21"/>
                <w:highlight w:val="none"/>
              </w:rPr>
              <w:t>体</w:t>
            </w:r>
            <w:r>
              <w:rPr>
                <w:rFonts w:hint="default"/>
                <w:color w:val="auto"/>
                <w:szCs w:val="21"/>
                <w:highlight w:val="none"/>
              </w:rPr>
              <w:t>发布之日起，视为供应商已收到该澄清、修改。供应商未及时关注</w:t>
            </w:r>
            <w:r>
              <w:rPr>
                <w:rFonts w:hint="eastAsia"/>
                <w:color w:val="auto"/>
                <w:szCs w:val="21"/>
                <w:highlight w:val="none"/>
              </w:rPr>
              <w:t>招标</w:t>
            </w:r>
            <w:r>
              <w:rPr>
                <w:rFonts w:hint="default"/>
                <w:color w:val="auto"/>
                <w:szCs w:val="21"/>
                <w:highlight w:val="none"/>
              </w:rPr>
              <w:t>公告发布媒</w:t>
            </w:r>
            <w:r>
              <w:rPr>
                <w:rFonts w:hint="eastAsia"/>
                <w:color w:val="auto"/>
                <w:szCs w:val="21"/>
                <w:highlight w:val="none"/>
              </w:rPr>
              <w:t>体</w:t>
            </w:r>
            <w:r>
              <w:rPr>
                <w:rFonts w:hint="default"/>
                <w:color w:val="auto"/>
                <w:szCs w:val="21"/>
                <w:highlight w:val="none"/>
              </w:rPr>
              <w:t>造成的损失，由供应商自行负责。</w:t>
            </w:r>
          </w:p>
        </w:tc>
      </w:tr>
      <w:tr w14:paraId="46C26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3C5CD32A">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565A6EC4">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511963EC">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投标截止之日起90天。</w:t>
            </w:r>
          </w:p>
        </w:tc>
      </w:tr>
      <w:tr w14:paraId="3B8CD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98A42F7">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2CF7AE8">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7FA86719">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default"/>
                <w:color w:val="auto"/>
                <w:szCs w:val="21"/>
                <w:highlight w:val="none"/>
              </w:rPr>
              <w:t>投标保证</w:t>
            </w:r>
            <w:r>
              <w:rPr>
                <w:rFonts w:hint="eastAsia"/>
                <w:color w:val="auto"/>
                <w:szCs w:val="21"/>
                <w:highlight w:val="none"/>
              </w:rPr>
              <w:t>金金额：</w:t>
            </w:r>
          </w:p>
          <w:p w14:paraId="4D7A7314">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1分标：人民币贰仟元整（</w:t>
            </w:r>
            <w:r>
              <w:rPr>
                <w:rFonts w:hint="default"/>
                <w:color w:val="auto"/>
                <w:szCs w:val="21"/>
                <w:highlight w:val="none"/>
              </w:rPr>
              <w:t>¥</w:t>
            </w:r>
            <w:r>
              <w:rPr>
                <w:rFonts w:hint="eastAsia"/>
                <w:color w:val="auto"/>
                <w:szCs w:val="21"/>
                <w:highlight w:val="none"/>
              </w:rPr>
              <w:t>2,000.00）。</w:t>
            </w:r>
          </w:p>
          <w:p w14:paraId="49516D7E">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2分标：人民币贰仟伍佰元整（</w:t>
            </w:r>
            <w:r>
              <w:rPr>
                <w:rFonts w:hint="default"/>
                <w:color w:val="auto"/>
                <w:szCs w:val="21"/>
                <w:highlight w:val="none"/>
              </w:rPr>
              <w:t>¥</w:t>
            </w:r>
            <w:r>
              <w:rPr>
                <w:rFonts w:hint="eastAsia"/>
                <w:color w:val="auto"/>
                <w:szCs w:val="21"/>
                <w:highlight w:val="none"/>
              </w:rPr>
              <w:t>2,500.00）。</w:t>
            </w:r>
          </w:p>
          <w:p w14:paraId="7449A0E4">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3分标：人民币陆仟元整（</w:t>
            </w:r>
            <w:r>
              <w:rPr>
                <w:rFonts w:hint="default"/>
                <w:color w:val="auto"/>
                <w:szCs w:val="21"/>
                <w:highlight w:val="none"/>
              </w:rPr>
              <w:t>¥</w:t>
            </w:r>
            <w:r>
              <w:rPr>
                <w:rFonts w:hint="eastAsia"/>
                <w:color w:val="auto"/>
                <w:szCs w:val="21"/>
                <w:highlight w:val="none"/>
              </w:rPr>
              <w:t>6,000.00）。</w:t>
            </w:r>
          </w:p>
          <w:p w14:paraId="37BE08AA">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4分标：人民币捌佰元整（</w:t>
            </w:r>
            <w:r>
              <w:rPr>
                <w:rFonts w:hint="default"/>
                <w:color w:val="auto"/>
                <w:szCs w:val="21"/>
                <w:highlight w:val="none"/>
              </w:rPr>
              <w:t>¥</w:t>
            </w:r>
            <w:r>
              <w:rPr>
                <w:rFonts w:hint="eastAsia"/>
                <w:color w:val="auto"/>
                <w:szCs w:val="21"/>
                <w:highlight w:val="none"/>
              </w:rPr>
              <w:t>800.00）。</w:t>
            </w:r>
          </w:p>
          <w:p w14:paraId="4ADCA2FC">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5分标：人民币叁仟捌佰元整（</w:t>
            </w:r>
            <w:r>
              <w:rPr>
                <w:rFonts w:hint="default"/>
                <w:color w:val="auto"/>
                <w:szCs w:val="21"/>
                <w:highlight w:val="none"/>
              </w:rPr>
              <w:t>¥</w:t>
            </w:r>
            <w:r>
              <w:rPr>
                <w:rFonts w:hint="eastAsia"/>
                <w:color w:val="auto"/>
                <w:szCs w:val="21"/>
                <w:highlight w:val="none"/>
              </w:rPr>
              <w:t>3,800.00）。</w:t>
            </w:r>
          </w:p>
          <w:p w14:paraId="28FDB9CA">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6分标：人民币肆仟伍佰元整（</w:t>
            </w:r>
            <w:r>
              <w:rPr>
                <w:rFonts w:hint="default"/>
                <w:color w:val="auto"/>
                <w:szCs w:val="21"/>
                <w:highlight w:val="none"/>
              </w:rPr>
              <w:t>¥</w:t>
            </w:r>
            <w:r>
              <w:rPr>
                <w:rFonts w:hint="eastAsia"/>
                <w:color w:val="auto"/>
                <w:szCs w:val="21"/>
                <w:highlight w:val="none"/>
              </w:rPr>
              <w:t>4,500.00）。</w:t>
            </w:r>
          </w:p>
          <w:p w14:paraId="74E38C0E">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7分标：人民币肆仟元整（</w:t>
            </w:r>
            <w:r>
              <w:rPr>
                <w:rFonts w:hint="default"/>
                <w:color w:val="auto"/>
                <w:szCs w:val="21"/>
                <w:highlight w:val="none"/>
              </w:rPr>
              <w:t>¥</w:t>
            </w:r>
            <w:r>
              <w:rPr>
                <w:rFonts w:hint="eastAsia"/>
                <w:color w:val="auto"/>
                <w:szCs w:val="21"/>
                <w:highlight w:val="none"/>
              </w:rPr>
              <w:t>4,000.00）。</w:t>
            </w:r>
          </w:p>
          <w:p w14:paraId="6DB1BAF8">
            <w:pPr>
              <w:keepNext w:val="0"/>
              <w:keepLines w:val="0"/>
              <w:suppressLineNumbers w:val="0"/>
              <w:spacing w:before="0" w:beforeAutospacing="0" w:after="0" w:afterAutospacing="0" w:line="312" w:lineRule="auto"/>
              <w:ind w:left="0" w:right="0"/>
              <w:jc w:val="left"/>
              <w:rPr>
                <w:rFonts w:hint="default"/>
                <w:color w:val="auto"/>
                <w:kern w:val="0"/>
                <w:szCs w:val="21"/>
                <w:highlight w:val="none"/>
              </w:rPr>
            </w:pPr>
            <w:r>
              <w:rPr>
                <w:rFonts w:hint="eastAsia"/>
                <w:color w:val="auto"/>
                <w:szCs w:val="21"/>
                <w:highlight w:val="none"/>
              </w:rPr>
              <w:t>8分标：人民币贰仟伍佰元整（</w:t>
            </w:r>
            <w:r>
              <w:rPr>
                <w:rFonts w:hint="default"/>
                <w:color w:val="auto"/>
                <w:szCs w:val="21"/>
                <w:highlight w:val="none"/>
              </w:rPr>
              <w:t>¥</w:t>
            </w:r>
            <w:r>
              <w:rPr>
                <w:rFonts w:hint="eastAsia"/>
                <w:color w:val="auto"/>
                <w:szCs w:val="21"/>
                <w:highlight w:val="none"/>
              </w:rPr>
              <w:t>2,500.00）。</w:t>
            </w:r>
          </w:p>
          <w:p w14:paraId="592F6AF3">
            <w:pPr>
              <w:keepNext w:val="0"/>
              <w:keepLines w:val="0"/>
              <w:suppressLineNumbers w:val="0"/>
              <w:spacing w:before="0" w:beforeAutospacing="0" w:after="0" w:afterAutospacing="0" w:line="312" w:lineRule="auto"/>
              <w:ind w:left="0" w:right="0"/>
              <w:jc w:val="left"/>
              <w:rPr>
                <w:rFonts w:hint="default"/>
                <w:color w:val="auto"/>
                <w:kern w:val="0"/>
                <w:szCs w:val="21"/>
                <w:highlight w:val="none"/>
              </w:rPr>
            </w:pPr>
            <w:r>
              <w:rPr>
                <w:rFonts w:hint="eastAsia"/>
                <w:color w:val="auto"/>
                <w:szCs w:val="21"/>
                <w:highlight w:val="none"/>
              </w:rPr>
              <w:t>9分标：人民币伍仟元整（</w:t>
            </w:r>
            <w:r>
              <w:rPr>
                <w:rFonts w:hint="default"/>
                <w:color w:val="auto"/>
                <w:szCs w:val="21"/>
                <w:highlight w:val="none"/>
              </w:rPr>
              <w:t>¥</w:t>
            </w:r>
            <w:r>
              <w:rPr>
                <w:rFonts w:hint="eastAsia"/>
                <w:color w:val="auto"/>
                <w:szCs w:val="21"/>
                <w:highlight w:val="none"/>
              </w:rPr>
              <w:t>5,000.00）。</w:t>
            </w:r>
          </w:p>
          <w:p w14:paraId="2E18EE67">
            <w:pPr>
              <w:keepNext w:val="0"/>
              <w:keepLines w:val="0"/>
              <w:suppressLineNumbers w:val="0"/>
              <w:spacing w:before="0" w:beforeAutospacing="0" w:after="0" w:afterAutospacing="0" w:line="312" w:lineRule="auto"/>
              <w:ind w:left="0" w:right="0"/>
              <w:jc w:val="left"/>
              <w:rPr>
                <w:rFonts w:hint="default"/>
                <w:color w:val="auto"/>
                <w:szCs w:val="21"/>
                <w:highlight w:val="none"/>
              </w:rPr>
            </w:pPr>
            <w:r>
              <w:rPr>
                <w:rFonts w:hint="eastAsia"/>
                <w:color w:val="auto"/>
                <w:szCs w:val="21"/>
                <w:highlight w:val="none"/>
              </w:rPr>
              <w:t>10分标：人民币柒仟元整（</w:t>
            </w:r>
            <w:r>
              <w:rPr>
                <w:rFonts w:hint="default"/>
                <w:color w:val="auto"/>
                <w:szCs w:val="21"/>
                <w:highlight w:val="none"/>
              </w:rPr>
              <w:t>¥</w:t>
            </w:r>
            <w:r>
              <w:rPr>
                <w:rFonts w:hint="eastAsia"/>
                <w:color w:val="auto"/>
                <w:szCs w:val="21"/>
                <w:highlight w:val="none"/>
              </w:rPr>
              <w:t>7,000.00）。</w:t>
            </w:r>
          </w:p>
          <w:p w14:paraId="7994D733">
            <w:pPr>
              <w:pStyle w:val="2"/>
              <w:keepNext w:val="0"/>
              <w:keepLines w:val="0"/>
              <w:suppressLineNumbers w:val="0"/>
              <w:spacing w:before="0" w:beforeAutospacing="0" w:afterAutospacing="0"/>
              <w:ind w:left="0" w:right="0" w:firstLine="0" w:firstLineChars="0"/>
              <w:rPr>
                <w:rFonts w:hint="default"/>
                <w:color w:val="auto"/>
                <w:highlight w:val="none"/>
              </w:rPr>
            </w:pPr>
            <w:r>
              <w:rPr>
                <w:rFonts w:hint="eastAsia"/>
                <w:color w:val="auto"/>
                <w:szCs w:val="21"/>
                <w:highlight w:val="none"/>
              </w:rPr>
              <w:t>11分标：人民币伍仟元整（</w:t>
            </w:r>
            <w:r>
              <w:rPr>
                <w:rFonts w:hint="default"/>
                <w:color w:val="auto"/>
                <w:szCs w:val="21"/>
                <w:highlight w:val="none"/>
              </w:rPr>
              <w:t>¥</w:t>
            </w:r>
            <w:r>
              <w:rPr>
                <w:rFonts w:hint="eastAsia"/>
                <w:color w:val="auto"/>
                <w:szCs w:val="21"/>
                <w:highlight w:val="none"/>
              </w:rPr>
              <w:t>5,000.00）</w:t>
            </w:r>
          </w:p>
          <w:p w14:paraId="61B85256">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（1）缴纳方式一：</w:t>
            </w:r>
          </w:p>
          <w:p w14:paraId="5AFF3C55">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ascii="宋体" w:hAnsi="宋体"/>
                <w:color w:val="auto"/>
                <w:szCs w:val="21"/>
                <w:highlight w:val="none"/>
              </w:rPr>
              <w:t>①</w:t>
            </w:r>
            <w:r>
              <w:rPr>
                <w:rFonts w:hint="default"/>
                <w:color w:val="auto"/>
                <w:szCs w:val="21"/>
                <w:highlight w:val="none"/>
              </w:rPr>
              <w:t>供应商应于</w:t>
            </w:r>
            <w:r>
              <w:rPr>
                <w:rFonts w:hint="eastAsia"/>
                <w:color w:val="auto"/>
                <w:szCs w:val="21"/>
                <w:highlight w:val="none"/>
              </w:rPr>
              <w:t>投标截止</w:t>
            </w:r>
            <w:r>
              <w:rPr>
                <w:rFonts w:hint="default"/>
                <w:color w:val="auto"/>
                <w:szCs w:val="21"/>
                <w:highlight w:val="none"/>
              </w:rPr>
              <w:t>时间前将投标保证金以电汇、转账形式从供应商账户一次性足额</w:t>
            </w:r>
            <w:r>
              <w:rPr>
                <w:rFonts w:hint="eastAsia"/>
                <w:color w:val="auto"/>
                <w:szCs w:val="21"/>
                <w:highlight w:val="none"/>
              </w:rPr>
              <w:t>缴</w:t>
            </w:r>
            <w:r>
              <w:rPr>
                <w:rFonts w:hint="default"/>
                <w:color w:val="auto"/>
                <w:szCs w:val="21"/>
                <w:highlight w:val="none"/>
              </w:rPr>
              <w:t>纳至本项目（各</w:t>
            </w:r>
            <w:r>
              <w:rPr>
                <w:rFonts w:hint="eastAsia"/>
                <w:color w:val="auto"/>
                <w:szCs w:val="21"/>
                <w:highlight w:val="none"/>
              </w:rPr>
              <w:t>分标</w:t>
            </w:r>
            <w:r>
              <w:rPr>
                <w:rFonts w:hint="default"/>
                <w:color w:val="auto"/>
                <w:szCs w:val="21"/>
                <w:highlight w:val="none"/>
              </w:rPr>
              <w:t>）对应的专用虚拟账号，所交纳的投标保证金仅限当次项目（</w:t>
            </w:r>
            <w:r>
              <w:rPr>
                <w:rFonts w:hint="eastAsia"/>
                <w:color w:val="auto"/>
                <w:szCs w:val="21"/>
                <w:highlight w:val="none"/>
              </w:rPr>
              <w:t>分标</w:t>
            </w:r>
            <w:r>
              <w:rPr>
                <w:rFonts w:hint="default"/>
                <w:color w:val="auto"/>
                <w:szCs w:val="21"/>
                <w:highlight w:val="none"/>
              </w:rPr>
              <w:t>）有效，不得重复替代使用。本项目投标保证金</w:t>
            </w:r>
            <w:r>
              <w:rPr>
                <w:rFonts w:hint="eastAsia"/>
                <w:color w:val="auto"/>
                <w:szCs w:val="21"/>
                <w:highlight w:val="none"/>
              </w:rPr>
              <w:t>缴</w:t>
            </w:r>
            <w:r>
              <w:rPr>
                <w:rFonts w:hint="default"/>
                <w:color w:val="auto"/>
                <w:szCs w:val="21"/>
                <w:highlight w:val="none"/>
              </w:rPr>
              <w:t>纳专用虚拟账号信息</w:t>
            </w:r>
            <w:r>
              <w:rPr>
                <w:rFonts w:hint="eastAsia"/>
                <w:color w:val="auto"/>
                <w:szCs w:val="21"/>
                <w:highlight w:val="none"/>
              </w:rPr>
              <w:t>如下：</w:t>
            </w:r>
          </w:p>
          <w:p w14:paraId="5C0F645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开户名称：广西机电设备招标有限公司</w:t>
            </w:r>
          </w:p>
          <w:p w14:paraId="6B494A56">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开户银行：平安银行南宁分行营业部</w:t>
            </w:r>
          </w:p>
          <w:p w14:paraId="10A6B614">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银行账号：</w:t>
            </w:r>
          </w:p>
          <w:p w14:paraId="480CE620">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1分标：30210485631956</w:t>
            </w:r>
          </w:p>
          <w:p w14:paraId="4F60C3B1">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2分标：30210485317433</w:t>
            </w:r>
          </w:p>
          <w:p w14:paraId="189C5213">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3分标：30210485002910</w:t>
            </w:r>
          </w:p>
          <w:p w14:paraId="03E04D35">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4分标：30210485688387</w:t>
            </w:r>
          </w:p>
          <w:p w14:paraId="00378EF8">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5分标：30210485373864</w:t>
            </w:r>
          </w:p>
          <w:p w14:paraId="564108F5">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6分标：30210485059341</w:t>
            </w:r>
          </w:p>
          <w:p w14:paraId="70C14237">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7分标：30210485744818</w:t>
            </w:r>
          </w:p>
          <w:p w14:paraId="6BB8BAFB">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8分标：30210485430295</w:t>
            </w:r>
          </w:p>
          <w:p w14:paraId="790BC57E">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9分标：30210485115772</w:t>
            </w:r>
          </w:p>
          <w:p w14:paraId="2697F69E">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10分标：30210485801249</w:t>
            </w:r>
          </w:p>
          <w:p w14:paraId="12D92FAD">
            <w:pPr>
              <w:keepNext w:val="0"/>
              <w:keepLines w:val="0"/>
              <w:suppressLineNumbers w:val="0"/>
              <w:spacing w:before="0" w:beforeAutospacing="0" w:after="0" w:afterAutospacing="0" w:line="300" w:lineRule="exact"/>
              <w:ind w:left="0" w:right="0"/>
              <w:jc w:val="left"/>
              <w:rPr>
                <w:rFonts w:hint="eastAsia"/>
                <w:color w:val="auto"/>
                <w:szCs w:val="21"/>
                <w:highlight w:val="none"/>
              </w:rPr>
            </w:pPr>
            <w:r>
              <w:rPr>
                <w:rFonts w:hint="eastAsia"/>
                <w:color w:val="auto"/>
                <w:szCs w:val="21"/>
                <w:highlight w:val="none"/>
              </w:rPr>
              <w:t>11分标：30210485486726</w:t>
            </w:r>
          </w:p>
          <w:p w14:paraId="27D567DD">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特别说明：本项目保证金采用虚拟账号，为保证投标保证金与项目一一对应，供应商如</w:t>
            </w:r>
            <w:r>
              <w:rPr>
                <w:rFonts w:hint="eastAsia"/>
                <w:color w:val="auto"/>
                <w:szCs w:val="21"/>
                <w:highlight w:val="none"/>
              </w:rPr>
              <w:t>参加</w:t>
            </w:r>
            <w:r>
              <w:rPr>
                <w:rFonts w:hint="default"/>
                <w:color w:val="auto"/>
                <w:szCs w:val="21"/>
                <w:highlight w:val="none"/>
              </w:rPr>
              <w:t>本项目多个</w:t>
            </w:r>
            <w:r>
              <w:rPr>
                <w:rFonts w:hint="eastAsia"/>
                <w:color w:val="auto"/>
                <w:szCs w:val="21"/>
                <w:highlight w:val="none"/>
              </w:rPr>
              <w:t>分标</w:t>
            </w:r>
            <w:r>
              <w:rPr>
                <w:rFonts w:hint="default"/>
                <w:color w:val="auto"/>
                <w:szCs w:val="21"/>
                <w:highlight w:val="none"/>
              </w:rPr>
              <w:t>的</w:t>
            </w:r>
            <w:r>
              <w:rPr>
                <w:rFonts w:hint="eastAsia"/>
                <w:color w:val="auto"/>
                <w:szCs w:val="21"/>
                <w:highlight w:val="none"/>
              </w:rPr>
              <w:t>投标</w:t>
            </w:r>
            <w:r>
              <w:rPr>
                <w:rFonts w:hint="default"/>
                <w:color w:val="auto"/>
                <w:szCs w:val="21"/>
                <w:highlight w:val="none"/>
              </w:rPr>
              <w:t>，应按各</w:t>
            </w:r>
            <w:r>
              <w:rPr>
                <w:rFonts w:hint="eastAsia"/>
                <w:color w:val="auto"/>
                <w:szCs w:val="21"/>
                <w:highlight w:val="none"/>
              </w:rPr>
              <w:t>分标</w:t>
            </w:r>
            <w:r>
              <w:rPr>
                <w:rFonts w:hint="default"/>
                <w:color w:val="auto"/>
                <w:szCs w:val="21"/>
                <w:highlight w:val="none"/>
              </w:rPr>
              <w:t>对应的专用虚拟账号分别</w:t>
            </w:r>
            <w:r>
              <w:rPr>
                <w:rFonts w:hint="eastAsia"/>
                <w:color w:val="auto"/>
                <w:szCs w:val="21"/>
                <w:highlight w:val="none"/>
              </w:rPr>
              <w:t>缴纳</w:t>
            </w:r>
            <w:r>
              <w:rPr>
                <w:rFonts w:hint="default"/>
                <w:color w:val="auto"/>
                <w:szCs w:val="21"/>
                <w:highlight w:val="none"/>
              </w:rPr>
              <w:t>投标保证金。</w:t>
            </w:r>
          </w:p>
          <w:p w14:paraId="729CEE8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ascii="宋体" w:hAnsi="宋体"/>
                <w:color w:val="auto"/>
                <w:szCs w:val="21"/>
                <w:highlight w:val="none"/>
              </w:rPr>
              <w:t>②</w:t>
            </w:r>
            <w:r>
              <w:rPr>
                <w:rFonts w:hint="default"/>
                <w:color w:val="auto"/>
                <w:szCs w:val="21"/>
                <w:highlight w:val="none"/>
              </w:rPr>
              <w:t>投标保证金币种应与投标报价币种相同。</w:t>
            </w:r>
            <w:r>
              <w:rPr>
                <w:rFonts w:hint="eastAsia"/>
                <w:color w:val="auto"/>
                <w:szCs w:val="21"/>
                <w:highlight w:val="none"/>
              </w:rPr>
              <w:t>投标</w:t>
            </w:r>
            <w:r>
              <w:rPr>
                <w:rFonts w:hint="default"/>
                <w:color w:val="auto"/>
                <w:szCs w:val="21"/>
                <w:highlight w:val="none"/>
              </w:rPr>
              <w:t>保证金</w:t>
            </w:r>
            <w:r>
              <w:rPr>
                <w:rFonts w:hint="eastAsia"/>
                <w:color w:val="auto"/>
                <w:szCs w:val="21"/>
                <w:highlight w:val="none"/>
              </w:rPr>
              <w:t>缴纳</w:t>
            </w:r>
            <w:r>
              <w:rPr>
                <w:rFonts w:hint="default"/>
                <w:color w:val="auto"/>
                <w:szCs w:val="21"/>
                <w:highlight w:val="none"/>
              </w:rPr>
              <w:t>后无需开具收据，但必须在</w:t>
            </w:r>
            <w:r>
              <w:rPr>
                <w:rFonts w:hint="eastAsia"/>
                <w:color w:val="auto"/>
                <w:szCs w:val="21"/>
                <w:highlight w:val="none"/>
              </w:rPr>
              <w:t>投标</w:t>
            </w:r>
            <w:r>
              <w:rPr>
                <w:rFonts w:hint="default"/>
                <w:color w:val="auto"/>
                <w:szCs w:val="21"/>
                <w:highlight w:val="none"/>
              </w:rPr>
              <w:t>截</w:t>
            </w:r>
            <w:r>
              <w:rPr>
                <w:rFonts w:hint="eastAsia"/>
                <w:color w:val="auto"/>
                <w:szCs w:val="21"/>
                <w:highlight w:val="none"/>
              </w:rPr>
              <w:t>止</w:t>
            </w:r>
            <w:r>
              <w:rPr>
                <w:rFonts w:hint="default"/>
                <w:color w:val="auto"/>
                <w:szCs w:val="21"/>
                <w:highlight w:val="none"/>
              </w:rPr>
              <w:t>时间之前到达指定账号，其到账时间以银行确认的到账时间为准。</w:t>
            </w:r>
          </w:p>
          <w:p w14:paraId="58FBF541">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ascii="宋体" w:hAnsi="宋体"/>
                <w:color w:val="auto"/>
                <w:szCs w:val="21"/>
                <w:highlight w:val="none"/>
              </w:rPr>
              <w:t>③</w:t>
            </w:r>
            <w:r>
              <w:rPr>
                <w:rFonts w:hint="default"/>
                <w:color w:val="auto"/>
                <w:szCs w:val="21"/>
                <w:highlight w:val="none"/>
              </w:rPr>
              <w:t>除</w:t>
            </w:r>
            <w:r>
              <w:rPr>
                <w:rFonts w:hint="eastAsia"/>
                <w:color w:val="auto"/>
                <w:szCs w:val="21"/>
                <w:highlight w:val="none"/>
              </w:rPr>
              <w:t>招标文件</w:t>
            </w:r>
            <w:r>
              <w:rPr>
                <w:rFonts w:hint="default"/>
                <w:color w:val="auto"/>
                <w:szCs w:val="21"/>
                <w:highlight w:val="none"/>
              </w:rPr>
              <w:t>规定不予退还保证金的情形外，采购代理机构</w:t>
            </w:r>
            <w:r>
              <w:rPr>
                <w:rFonts w:hint="eastAsia"/>
                <w:color w:val="auto"/>
                <w:szCs w:val="21"/>
                <w:highlight w:val="none"/>
              </w:rPr>
              <w:t>在法定时间内通过银行原路</w:t>
            </w:r>
            <w:r>
              <w:rPr>
                <w:rFonts w:hint="default"/>
                <w:color w:val="auto"/>
                <w:szCs w:val="21"/>
                <w:highlight w:val="none"/>
              </w:rPr>
              <w:t>退</w:t>
            </w:r>
            <w:r>
              <w:rPr>
                <w:rFonts w:hint="eastAsia"/>
                <w:color w:val="auto"/>
                <w:szCs w:val="21"/>
                <w:highlight w:val="none"/>
              </w:rPr>
              <w:t>还保证金至供应商缴纳账户。供应商</w:t>
            </w:r>
            <w:r>
              <w:rPr>
                <w:rFonts w:hint="default"/>
                <w:color w:val="auto"/>
                <w:szCs w:val="21"/>
                <w:highlight w:val="none"/>
              </w:rPr>
              <w:t>自行承担</w:t>
            </w:r>
            <w:r>
              <w:rPr>
                <w:rFonts w:hint="eastAsia"/>
                <w:color w:val="auto"/>
                <w:szCs w:val="21"/>
                <w:highlight w:val="none"/>
              </w:rPr>
              <w:t>交纳保证金后未参加投标活动或投标保证金缴纳错误而</w:t>
            </w:r>
            <w:r>
              <w:rPr>
                <w:rFonts w:hint="default"/>
                <w:color w:val="auto"/>
                <w:szCs w:val="21"/>
                <w:highlight w:val="none"/>
              </w:rPr>
              <w:t>导致</w:t>
            </w:r>
            <w:r>
              <w:rPr>
                <w:rFonts w:hint="eastAsia"/>
                <w:color w:val="auto"/>
                <w:szCs w:val="21"/>
                <w:highlight w:val="none"/>
              </w:rPr>
              <w:t>投标</w:t>
            </w:r>
            <w:r>
              <w:rPr>
                <w:rFonts w:hint="default"/>
                <w:color w:val="auto"/>
                <w:szCs w:val="21"/>
                <w:highlight w:val="none"/>
              </w:rPr>
              <w:t>保证金无法及时退还的责任</w:t>
            </w:r>
            <w:r>
              <w:rPr>
                <w:rFonts w:hint="eastAsia"/>
                <w:color w:val="auto"/>
                <w:szCs w:val="21"/>
                <w:highlight w:val="none"/>
              </w:rPr>
              <w:t>。</w:t>
            </w:r>
          </w:p>
          <w:p w14:paraId="401CC855">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（2）缴纳方式二：</w:t>
            </w:r>
          </w:p>
          <w:p w14:paraId="0C69D34C">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供应商</w:t>
            </w:r>
            <w:r>
              <w:rPr>
                <w:rFonts w:hint="eastAsia"/>
                <w:color w:val="auto"/>
                <w:szCs w:val="21"/>
                <w:highlight w:val="none"/>
              </w:rPr>
              <w:t>可</w:t>
            </w:r>
            <w:r>
              <w:rPr>
                <w:rFonts w:hint="default"/>
                <w:color w:val="auto"/>
                <w:szCs w:val="21"/>
                <w:highlight w:val="none"/>
              </w:rPr>
              <w:t>于</w:t>
            </w:r>
            <w:r>
              <w:rPr>
                <w:rFonts w:hint="eastAsia"/>
                <w:color w:val="auto"/>
                <w:szCs w:val="21"/>
                <w:highlight w:val="none"/>
              </w:rPr>
              <w:t>投标截止</w:t>
            </w:r>
            <w:r>
              <w:rPr>
                <w:rFonts w:hint="default"/>
                <w:color w:val="auto"/>
                <w:szCs w:val="21"/>
                <w:highlight w:val="none"/>
              </w:rPr>
              <w:t>时间前</w:t>
            </w:r>
            <w:r>
              <w:rPr>
                <w:rFonts w:hint="eastAsia"/>
                <w:color w:val="auto"/>
                <w:szCs w:val="21"/>
                <w:highlight w:val="none"/>
              </w:rPr>
              <w:t>选择广西政府采购云平台允许的其他非现金形式缴纳投标</w:t>
            </w:r>
            <w:r>
              <w:rPr>
                <w:rFonts w:hint="default"/>
                <w:color w:val="auto"/>
                <w:szCs w:val="21"/>
                <w:highlight w:val="none"/>
              </w:rPr>
              <w:t>保证金</w:t>
            </w:r>
            <w:r>
              <w:rPr>
                <w:rFonts w:hint="eastAsia"/>
                <w:color w:val="auto"/>
                <w:szCs w:val="21"/>
                <w:highlight w:val="none"/>
              </w:rPr>
              <w:t>。具体按照广西政府采购云平台的方式操作。</w:t>
            </w:r>
          </w:p>
          <w:p w14:paraId="04F2D98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（3）</w:t>
            </w:r>
            <w:r>
              <w:rPr>
                <w:rFonts w:hint="default"/>
                <w:color w:val="auto"/>
                <w:szCs w:val="21"/>
                <w:highlight w:val="none"/>
              </w:rPr>
              <w:t>财务部联系电话：0771-2821398</w:t>
            </w:r>
          </w:p>
          <w:p w14:paraId="02D1DC85">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（4）</w:t>
            </w:r>
            <w:r>
              <w:rPr>
                <w:rFonts w:hint="default"/>
                <w:color w:val="auto"/>
                <w:szCs w:val="21"/>
                <w:highlight w:val="none"/>
              </w:rPr>
              <w:t>未按</w:t>
            </w:r>
            <w:r>
              <w:rPr>
                <w:rFonts w:hint="eastAsia"/>
                <w:color w:val="auto"/>
                <w:szCs w:val="21"/>
                <w:highlight w:val="none"/>
              </w:rPr>
              <w:t>以上</w:t>
            </w:r>
            <w:r>
              <w:rPr>
                <w:rFonts w:hint="default"/>
                <w:color w:val="auto"/>
                <w:szCs w:val="21"/>
                <w:highlight w:val="none"/>
              </w:rPr>
              <w:t>要求</w:t>
            </w:r>
            <w:r>
              <w:rPr>
                <w:rFonts w:hint="eastAsia"/>
                <w:color w:val="auto"/>
                <w:szCs w:val="21"/>
                <w:highlight w:val="none"/>
              </w:rPr>
              <w:t>缴</w:t>
            </w:r>
            <w:r>
              <w:rPr>
                <w:rFonts w:hint="default"/>
                <w:color w:val="auto"/>
                <w:szCs w:val="21"/>
                <w:highlight w:val="none"/>
              </w:rPr>
              <w:t>纳</w:t>
            </w:r>
            <w:r>
              <w:rPr>
                <w:rFonts w:hint="eastAsia"/>
                <w:color w:val="auto"/>
                <w:szCs w:val="21"/>
                <w:highlight w:val="none"/>
              </w:rPr>
              <w:t>投标</w:t>
            </w:r>
            <w:r>
              <w:rPr>
                <w:rFonts w:hint="default"/>
                <w:color w:val="auto"/>
                <w:szCs w:val="21"/>
                <w:highlight w:val="none"/>
              </w:rPr>
              <w:t>保证金的</w:t>
            </w:r>
            <w:r>
              <w:rPr>
                <w:rFonts w:hint="eastAsia"/>
                <w:color w:val="auto"/>
                <w:szCs w:val="21"/>
                <w:highlight w:val="none"/>
              </w:rPr>
              <w:t>投标</w:t>
            </w:r>
            <w:r>
              <w:rPr>
                <w:rFonts w:hint="default"/>
                <w:color w:val="auto"/>
                <w:szCs w:val="21"/>
                <w:highlight w:val="none"/>
              </w:rPr>
              <w:t>文件，将作无效投标文件处理。</w:t>
            </w:r>
          </w:p>
          <w:p w14:paraId="65FF331C">
            <w:pPr>
              <w:keepNext w:val="0"/>
              <w:keepLines w:val="0"/>
              <w:suppressLineNumbers w:val="0"/>
              <w:spacing w:before="0" w:beforeAutospacing="0" w:after="0" w:afterAutospacing="0" w:line="300" w:lineRule="exact"/>
              <w:ind w:left="0" w:right="0"/>
              <w:jc w:val="left"/>
              <w:rPr>
                <w:rFonts w:hint="default"/>
                <w:b/>
                <w:bCs/>
                <w:color w:val="auto"/>
                <w:szCs w:val="21"/>
                <w:highlight w:val="none"/>
              </w:rPr>
            </w:pPr>
            <w:r>
              <w:rPr>
                <w:rFonts w:hint="eastAsia"/>
                <w:b/>
                <w:bCs/>
                <w:color w:val="auto"/>
                <w:szCs w:val="21"/>
                <w:highlight w:val="none"/>
              </w:rPr>
              <w:t>注：为保证投标保证金退还的及时性与便利性，鼓励优先采用方式一递交投标保证金。</w:t>
            </w:r>
          </w:p>
        </w:tc>
      </w:tr>
      <w:tr w14:paraId="18931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178DA509">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3</w:t>
            </w:r>
            <w:r>
              <w:rPr>
                <w:rFonts w:hint="default"/>
                <w:b/>
                <w:color w:val="auto"/>
                <w:szCs w:val="21"/>
                <w:highlight w:val="none"/>
              </w:rPr>
              <w:t>.6</w:t>
            </w:r>
          </w:p>
        </w:tc>
        <w:tc>
          <w:tcPr>
            <w:tcW w:w="1230" w:type="dxa"/>
            <w:tcBorders>
              <w:top w:val="single" w:color="auto" w:sz="4" w:space="0"/>
              <w:left w:val="single" w:color="auto" w:sz="4" w:space="0"/>
              <w:right w:val="single" w:color="auto" w:sz="4" w:space="0"/>
            </w:tcBorders>
            <w:vAlign w:val="center"/>
          </w:tcPr>
          <w:p w14:paraId="4D14E0E3">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61F7857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798B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2D3F5B1C">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58C01242">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AD8F8B3">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4CBA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A0958C3">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4</w:t>
            </w:r>
            <w:r>
              <w:rPr>
                <w:rFonts w:hint="default"/>
                <w:b/>
                <w:color w:val="auto"/>
                <w:szCs w:val="21"/>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3A0E8DFC">
            <w:pPr>
              <w:keepNext w:val="0"/>
              <w:keepLines w:val="0"/>
              <w:suppressLineNumbers w:val="0"/>
              <w:spacing w:before="0" w:beforeAutospacing="0" w:after="0" w:afterAutospacing="0" w:line="300" w:lineRule="exact"/>
              <w:ind w:left="0" w:right="0"/>
              <w:jc w:val="center"/>
              <w:rPr>
                <w:rFonts w:hint="default"/>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521725A2">
            <w:pPr>
              <w:keepNext w:val="0"/>
              <w:keepLines w:val="0"/>
              <w:suppressLineNumbers w:val="0"/>
              <w:spacing w:before="0" w:beforeAutospacing="0" w:after="0" w:afterAutospacing="0" w:line="276" w:lineRule="auto"/>
              <w:ind w:left="0" w:right="0"/>
              <w:rPr>
                <w:rFonts w:hint="default" w:ascii="宋体" w:hAnsi="宋体"/>
                <w:color w:val="auto"/>
                <w:szCs w:val="21"/>
                <w:highlight w:val="none"/>
              </w:rPr>
            </w:pPr>
            <w:r>
              <w:rPr>
                <w:rFonts w:hint="eastAsia" w:ascii="宋体" w:hAnsi="宋体"/>
                <w:color w:val="auto"/>
                <w:szCs w:val="21"/>
                <w:highlight w:val="none"/>
              </w:rPr>
              <w:t>本项目</w:t>
            </w:r>
            <w:r>
              <w:rPr>
                <w:rFonts w:hint="default"/>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备份投标文件</w:t>
            </w:r>
          </w:p>
          <w:p w14:paraId="4FE5C258">
            <w:pPr>
              <w:keepNext w:val="0"/>
              <w:keepLines w:val="0"/>
              <w:suppressLineNumbers w:val="0"/>
              <w:spacing w:before="0" w:beforeAutospacing="0" w:after="0" w:afterAutospacing="0" w:line="276" w:lineRule="auto"/>
              <w:ind w:left="0" w:right="0"/>
              <w:rPr>
                <w:rFonts w:hint="default"/>
                <w:color w:val="auto"/>
                <w:sz w:val="22"/>
                <w:szCs w:val="22"/>
                <w:highlight w:val="none"/>
              </w:rPr>
            </w:pPr>
            <w:r>
              <w:rPr>
                <w:rFonts w:hint="eastAsia" w:ascii="宋体" w:hAnsi="宋体"/>
                <w:color w:val="auto"/>
                <w:szCs w:val="21"/>
                <w:highlight w:val="none"/>
              </w:rPr>
              <w:t>以</w:t>
            </w:r>
            <w:r>
              <w:rPr>
                <w:rFonts w:hint="default" w:ascii="Arial" w:hAnsi="Arial" w:cs="Arial"/>
                <w:color w:val="auto"/>
                <w:kern w:val="0"/>
                <w:szCs w:val="21"/>
                <w:highlight w:val="none"/>
              </w:rPr>
              <w:t>广西政府采购云平台</w:t>
            </w:r>
            <w:r>
              <w:rPr>
                <w:rFonts w:hint="eastAsia" w:ascii="宋体" w:hAnsi="宋体"/>
                <w:color w:val="auto"/>
                <w:szCs w:val="21"/>
                <w:highlight w:val="none"/>
              </w:rPr>
              <w:t>自动生成的备份文件为依据，当项目允许接受备份投标文件时，供应商才可以按规定上传备份投标文件。</w:t>
            </w:r>
          </w:p>
        </w:tc>
      </w:tr>
      <w:tr w14:paraId="5498B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A642CFD">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4</w:t>
            </w:r>
            <w:r>
              <w:rPr>
                <w:rFonts w:hint="default"/>
                <w:b/>
                <w:color w:val="auto"/>
                <w:szCs w:val="21"/>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3845F603">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69C5C573">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default"/>
                <w:color w:val="auto"/>
                <w:sz w:val="22"/>
                <w:szCs w:val="22"/>
                <w:highlight w:val="none"/>
              </w:rPr>
              <w:sym w:font="Wingdings 2" w:char="F052"/>
            </w:r>
            <w:r>
              <w:rPr>
                <w:rFonts w:hint="eastAsia"/>
                <w:color w:val="auto"/>
                <w:szCs w:val="21"/>
                <w:highlight w:val="none"/>
              </w:rPr>
              <w:t>否   □是</w:t>
            </w:r>
          </w:p>
          <w:p w14:paraId="2CAA1003">
            <w:pPr>
              <w:keepNext w:val="0"/>
              <w:keepLines w:val="0"/>
              <w:suppressLineNumbers w:val="0"/>
              <w:spacing w:before="0" w:beforeAutospacing="0" w:after="0" w:afterAutospacing="0" w:line="276" w:lineRule="auto"/>
              <w:ind w:left="0" w:right="0"/>
              <w:rPr>
                <w:rFonts w:hint="default"/>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rFonts w:hint="default"/>
                <w:color w:val="auto"/>
                <w:szCs w:val="21"/>
                <w:highlight w:val="none"/>
                <w:u w:val="single"/>
              </w:rPr>
              <w:t xml:space="preserve"> </w:t>
            </w:r>
            <w:r>
              <w:rPr>
                <w:rFonts w:hint="eastAsia"/>
                <w:color w:val="auto"/>
                <w:szCs w:val="21"/>
                <w:highlight w:val="none"/>
                <w:u w:val="single"/>
              </w:rPr>
              <w:t>/</w:t>
            </w:r>
            <w:r>
              <w:rPr>
                <w:rFonts w:hint="default"/>
                <w:color w:val="auto"/>
                <w:szCs w:val="21"/>
                <w:highlight w:val="none"/>
                <w:u w:val="single"/>
              </w:rPr>
              <w:t xml:space="preserve">             </w:t>
            </w:r>
          </w:p>
          <w:p w14:paraId="628A232A">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eastAsia"/>
                <w:color w:val="auto"/>
                <w:szCs w:val="21"/>
                <w:highlight w:val="none"/>
              </w:rPr>
              <w:t>演示形式：</w:t>
            </w:r>
            <w:r>
              <w:rPr>
                <w:rFonts w:hint="default"/>
                <w:color w:val="auto"/>
                <w:szCs w:val="21"/>
                <w:highlight w:val="none"/>
              </w:rPr>
              <w:t xml:space="preserve"> </w:t>
            </w:r>
            <w:r>
              <w:rPr>
                <w:rFonts w:hint="eastAsia"/>
                <w:color w:val="auto"/>
                <w:szCs w:val="21"/>
                <w:highlight w:val="none"/>
              </w:rPr>
              <w:t>/</w:t>
            </w:r>
          </w:p>
        </w:tc>
      </w:tr>
      <w:tr w14:paraId="18D6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784B67E">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4</w:t>
            </w:r>
            <w:r>
              <w:rPr>
                <w:rFonts w:hint="default"/>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03190A67">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541AC33F">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default"/>
                <w:color w:val="auto"/>
                <w:sz w:val="24"/>
                <w:highlight w:val="none"/>
              </w:rPr>
              <w:sym w:font="Wingdings 2" w:char="F052"/>
            </w:r>
            <w:r>
              <w:rPr>
                <w:rFonts w:hint="eastAsia"/>
                <w:color w:val="auto"/>
                <w:szCs w:val="21"/>
                <w:highlight w:val="none"/>
              </w:rPr>
              <w:t>否   □是</w:t>
            </w:r>
          </w:p>
          <w:p w14:paraId="7F0EBEB1">
            <w:pPr>
              <w:keepNext w:val="0"/>
              <w:keepLines w:val="0"/>
              <w:suppressLineNumbers w:val="0"/>
              <w:spacing w:before="0" w:beforeAutospacing="0" w:after="0" w:afterAutospacing="0" w:line="276" w:lineRule="auto"/>
              <w:ind w:left="0" w:right="0"/>
              <w:rPr>
                <w:rFonts w:hint="default"/>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w:t>
            </w:r>
            <w:r>
              <w:rPr>
                <w:rFonts w:hint="eastAsia"/>
                <w:color w:val="auto"/>
                <w:szCs w:val="21"/>
                <w:highlight w:val="none"/>
              </w:rPr>
              <w:t xml:space="preserve"> </w:t>
            </w:r>
            <w:r>
              <w:rPr>
                <w:rFonts w:hint="default"/>
                <w:color w:val="auto"/>
                <w:szCs w:val="21"/>
                <w:highlight w:val="none"/>
                <w:u w:val="single"/>
              </w:rPr>
              <w:t xml:space="preserve">             </w:t>
            </w:r>
          </w:p>
          <w:p w14:paraId="497A0F96">
            <w:pPr>
              <w:keepNext w:val="0"/>
              <w:keepLines w:val="0"/>
              <w:suppressLineNumbers w:val="0"/>
              <w:spacing w:before="0" w:beforeAutospacing="0" w:after="0" w:afterAutospacing="0" w:line="276" w:lineRule="auto"/>
              <w:ind w:left="0" w:right="0"/>
              <w:rPr>
                <w:rFonts w:hint="default"/>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rFonts w:hint="default"/>
                <w:color w:val="auto"/>
                <w:szCs w:val="21"/>
                <w:highlight w:val="none"/>
                <w:u w:val="single"/>
              </w:rPr>
              <w:t xml:space="preserve">               </w:t>
            </w:r>
          </w:p>
          <w:p w14:paraId="4315B281">
            <w:pPr>
              <w:keepNext w:val="0"/>
              <w:keepLines w:val="0"/>
              <w:suppressLineNumbers w:val="0"/>
              <w:spacing w:before="0" w:beforeAutospacing="0" w:after="0" w:afterAutospacing="0" w:line="276" w:lineRule="auto"/>
              <w:ind w:left="0" w:right="0"/>
              <w:rPr>
                <w:rFonts w:hint="default"/>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rFonts w:hint="default"/>
                <w:color w:val="auto"/>
                <w:szCs w:val="21"/>
                <w:highlight w:val="none"/>
                <w:u w:val="single"/>
              </w:rPr>
              <w:t xml:space="preserve">                    </w:t>
            </w:r>
          </w:p>
          <w:p w14:paraId="71D2C2DD">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eastAsia"/>
                <w:color w:val="auto"/>
                <w:szCs w:val="21"/>
                <w:highlight w:val="none"/>
              </w:rPr>
              <w:t>样品递交方式：</w:t>
            </w:r>
            <w:r>
              <w:rPr>
                <w:rFonts w:hint="default"/>
                <w:color w:val="auto"/>
                <w:szCs w:val="21"/>
                <w:highlight w:val="none"/>
              </w:rPr>
              <w:t xml:space="preserve"> </w:t>
            </w:r>
            <w:r>
              <w:rPr>
                <w:rFonts w:hint="eastAsia"/>
                <w:color w:val="auto"/>
                <w:szCs w:val="21"/>
                <w:highlight w:val="none"/>
              </w:rPr>
              <w:t>/</w:t>
            </w:r>
          </w:p>
        </w:tc>
      </w:tr>
      <w:tr w14:paraId="3AD49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FB483C8">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b/>
                <w:color w:val="auto"/>
                <w:szCs w:val="21"/>
                <w:highlight w:val="none"/>
              </w:rPr>
              <w:t>6.</w:t>
            </w:r>
            <w:r>
              <w:rPr>
                <w:rFonts w:hint="default"/>
                <w:b/>
                <w:color w:val="auto"/>
                <w:szCs w:val="21"/>
                <w:highlight w:val="none"/>
              </w:rPr>
              <w:t>3</w:t>
            </w:r>
            <w:r>
              <w:rPr>
                <w:rFonts w:hint="eastAsia"/>
                <w:b/>
                <w:color w:val="auto"/>
                <w:szCs w:val="21"/>
                <w:highlight w:val="none"/>
              </w:rPr>
              <w:t>.</w:t>
            </w:r>
            <w:r>
              <w:rPr>
                <w:rFonts w:hint="default"/>
                <w:b/>
                <w:color w:val="auto"/>
                <w:szCs w:val="21"/>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14:paraId="0C1D808C">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2F1271E4">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default"/>
                <w:color w:val="auto"/>
                <w:sz w:val="22"/>
                <w:szCs w:val="22"/>
                <w:highlight w:val="none"/>
              </w:rPr>
              <w:sym w:font="Wingdings 2" w:char="F052"/>
            </w:r>
            <w:r>
              <w:rPr>
                <w:rFonts w:hint="eastAsia"/>
                <w:color w:val="auto"/>
                <w:szCs w:val="21"/>
                <w:highlight w:val="none"/>
              </w:rPr>
              <w:t>采购人委托评审委员会确定   □采购人确定</w:t>
            </w:r>
          </w:p>
        </w:tc>
      </w:tr>
      <w:tr w14:paraId="12CC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CF24B57">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6.5</w:t>
            </w:r>
            <w:r>
              <w:rPr>
                <w:rFonts w:hint="eastAsia"/>
                <w:b/>
                <w:color w:val="auto"/>
                <w:szCs w:val="21"/>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65652020">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结果</w:t>
            </w:r>
            <w:r>
              <w:rPr>
                <w:rFonts w:hint="default"/>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1FB94DC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采购代理机构在采购人依法确认中标人后2个工作日内在招标公告发布的媒体上发布</w:t>
            </w:r>
            <w:r>
              <w:rPr>
                <w:rFonts w:hint="eastAsia"/>
                <w:color w:val="auto"/>
                <w:szCs w:val="21"/>
                <w:highlight w:val="none"/>
              </w:rPr>
              <w:t>结果</w:t>
            </w:r>
            <w:r>
              <w:rPr>
                <w:rFonts w:hint="default"/>
                <w:color w:val="auto"/>
                <w:szCs w:val="21"/>
                <w:highlight w:val="none"/>
              </w:rPr>
              <w:t>公告</w:t>
            </w:r>
            <w:r>
              <w:rPr>
                <w:rFonts w:hint="eastAsia"/>
                <w:color w:val="auto"/>
                <w:szCs w:val="21"/>
                <w:highlight w:val="none"/>
              </w:rPr>
              <w:t>。</w:t>
            </w:r>
          </w:p>
        </w:tc>
      </w:tr>
      <w:tr w14:paraId="1877A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25B0F22">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53CA289B">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7C32DD30">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采购代理机构通过广西政府采购云平台发出</w:t>
            </w:r>
            <w:r>
              <w:rPr>
                <w:rFonts w:hint="default"/>
                <w:color w:val="auto"/>
                <w:szCs w:val="21"/>
                <w:highlight w:val="none"/>
              </w:rPr>
              <w:t>中标通知书。</w:t>
            </w:r>
          </w:p>
          <w:p w14:paraId="1C3F9C8B">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738D2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4524EF8">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41BDDC0">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141178A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采购代理机构通过</w:t>
            </w:r>
            <w:r>
              <w:rPr>
                <w:rFonts w:hint="default" w:ascii="Arial" w:hAnsi="Arial" w:cs="Arial"/>
                <w:color w:val="auto"/>
                <w:kern w:val="0"/>
                <w:szCs w:val="21"/>
                <w:highlight w:val="none"/>
              </w:rPr>
              <w:t>广西政府采购云平台</w:t>
            </w:r>
            <w:r>
              <w:rPr>
                <w:rFonts w:hint="eastAsia"/>
                <w:color w:val="auto"/>
                <w:szCs w:val="21"/>
                <w:highlight w:val="none"/>
              </w:rPr>
              <w:t>发出招标结果</w:t>
            </w:r>
            <w:r>
              <w:rPr>
                <w:rFonts w:hint="default"/>
                <w:color w:val="auto"/>
                <w:szCs w:val="21"/>
                <w:highlight w:val="none"/>
              </w:rPr>
              <w:t>通知书</w:t>
            </w:r>
          </w:p>
          <w:p w14:paraId="27262F80">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31D0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1BDC180">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7A16BB74">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38F6986E">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（1）供应商</w:t>
            </w:r>
            <w:r>
              <w:rPr>
                <w:rFonts w:hint="default"/>
                <w:color w:val="auto"/>
                <w:szCs w:val="21"/>
                <w:highlight w:val="none"/>
              </w:rPr>
              <w:t>认为</w:t>
            </w:r>
            <w:r>
              <w:rPr>
                <w:rFonts w:hint="eastAsia"/>
                <w:color w:val="auto"/>
                <w:szCs w:val="21"/>
                <w:highlight w:val="none"/>
              </w:rPr>
              <w:t>招标文件</w:t>
            </w:r>
            <w:r>
              <w:rPr>
                <w:rFonts w:hint="default"/>
                <w:color w:val="auto"/>
                <w:szCs w:val="21"/>
                <w:highlight w:val="none"/>
              </w:rPr>
              <w:t>、</w:t>
            </w:r>
            <w:r>
              <w:rPr>
                <w:rFonts w:hint="eastAsia"/>
                <w:color w:val="auto"/>
                <w:szCs w:val="21"/>
                <w:highlight w:val="none"/>
              </w:rPr>
              <w:t>采购</w:t>
            </w:r>
            <w:r>
              <w:rPr>
                <w:rFonts w:hint="default"/>
                <w:color w:val="auto"/>
                <w:szCs w:val="21"/>
                <w:highlight w:val="none"/>
              </w:rPr>
              <w:t>过程、中标</w:t>
            </w:r>
            <w:r>
              <w:rPr>
                <w:rFonts w:hint="eastAsia"/>
                <w:color w:val="auto"/>
                <w:szCs w:val="21"/>
                <w:highlight w:val="none"/>
              </w:rPr>
              <w:t>或者成交</w:t>
            </w:r>
            <w:r>
              <w:rPr>
                <w:rFonts w:hint="default"/>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rFonts w:hint="default"/>
                <w:color w:val="auto"/>
                <w:szCs w:val="21"/>
                <w:highlight w:val="none"/>
              </w:rPr>
              <w:t>向采购人、采购代理机构提出质疑。提出质疑的</w:t>
            </w:r>
            <w:r>
              <w:rPr>
                <w:rFonts w:hint="eastAsia"/>
                <w:color w:val="auto"/>
                <w:szCs w:val="21"/>
                <w:highlight w:val="none"/>
              </w:rPr>
              <w:t>供应商</w:t>
            </w:r>
            <w:r>
              <w:rPr>
                <w:rFonts w:hint="default"/>
                <w:color w:val="auto"/>
                <w:szCs w:val="21"/>
                <w:highlight w:val="none"/>
              </w:rPr>
              <w:t>必须是参与本项目采购活动的供应商</w:t>
            </w:r>
            <w:r>
              <w:rPr>
                <w:rFonts w:hint="eastAsia"/>
                <w:color w:val="auto"/>
                <w:szCs w:val="21"/>
                <w:highlight w:val="none"/>
              </w:rPr>
              <w:t>，并须在</w:t>
            </w:r>
            <w:r>
              <w:rPr>
                <w:rFonts w:hint="default"/>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151C1771">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（2）</w:t>
            </w:r>
            <w:r>
              <w:rPr>
                <w:rFonts w:hint="default"/>
                <w:color w:val="auto"/>
                <w:szCs w:val="21"/>
                <w:highlight w:val="none"/>
              </w:rPr>
              <w:t>本项目不接受传真、移动通信</w:t>
            </w:r>
            <w:r>
              <w:rPr>
                <w:rFonts w:hint="eastAsia"/>
                <w:color w:val="auto"/>
                <w:szCs w:val="21"/>
                <w:highlight w:val="none"/>
              </w:rPr>
              <w:t>、广西政府采购云平台</w:t>
            </w:r>
            <w:r>
              <w:rPr>
                <w:rFonts w:hint="default"/>
                <w:color w:val="auto"/>
                <w:szCs w:val="21"/>
                <w:highlight w:val="none"/>
              </w:rPr>
              <w:t>等</w:t>
            </w:r>
            <w:r>
              <w:rPr>
                <w:rFonts w:hint="eastAsia"/>
                <w:color w:val="auto"/>
                <w:szCs w:val="21"/>
                <w:highlight w:val="none"/>
              </w:rPr>
              <w:t>方式</w:t>
            </w:r>
            <w:r>
              <w:rPr>
                <w:rFonts w:hint="default"/>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0E926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3D5EDDBC">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1FA6BD86">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default"/>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6F5A6F10">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（1）</w:t>
            </w:r>
            <w:r>
              <w:rPr>
                <w:rFonts w:hint="default"/>
                <w:color w:val="auto"/>
                <w:szCs w:val="20"/>
                <w:highlight w:val="none"/>
              </w:rPr>
              <w:t>代理服务费</w:t>
            </w:r>
          </w:p>
          <w:p w14:paraId="06EC3B81">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sym w:font="Wingdings 2" w:char="F052"/>
            </w:r>
            <w:r>
              <w:rPr>
                <w:rFonts w:hint="default"/>
                <w:color w:val="auto"/>
                <w:szCs w:val="21"/>
                <w:highlight w:val="none"/>
              </w:rPr>
              <w:t>采购代理机构向中标人收取代理服务费。本项目代理服务费</w:t>
            </w:r>
            <w:r>
              <w:rPr>
                <w:rFonts w:hint="eastAsia"/>
                <w:color w:val="auto"/>
                <w:szCs w:val="21"/>
                <w:highlight w:val="none"/>
              </w:rPr>
              <w:t>按照</w:t>
            </w:r>
            <w:r>
              <w:rPr>
                <w:rFonts w:hint="default"/>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rFonts w:hint="default"/>
                <w:color w:val="auto"/>
                <w:szCs w:val="21"/>
                <w:highlight w:val="none"/>
              </w:rPr>
              <w:t>规定</w:t>
            </w:r>
            <w:r>
              <w:rPr>
                <w:rFonts w:hint="eastAsia"/>
                <w:color w:val="auto"/>
                <w:szCs w:val="21"/>
                <w:highlight w:val="none"/>
              </w:rPr>
              <w:t>采用</w:t>
            </w:r>
            <w:r>
              <w:rPr>
                <w:rFonts w:hint="default"/>
                <w:color w:val="auto"/>
                <w:szCs w:val="21"/>
                <w:highlight w:val="none"/>
              </w:rPr>
              <w:t>差额定率累进</w:t>
            </w:r>
            <w:r>
              <w:rPr>
                <w:rFonts w:hint="eastAsia"/>
                <w:color w:val="auto"/>
                <w:szCs w:val="21"/>
                <w:highlight w:val="none"/>
              </w:rPr>
              <w:t>法</w:t>
            </w:r>
            <w:r>
              <w:rPr>
                <w:rFonts w:hint="eastAsia"/>
                <w:b/>
                <w:bCs/>
                <w:color w:val="auto"/>
                <w:szCs w:val="21"/>
                <w:highlight w:val="none"/>
              </w:rPr>
              <w:t>下浮20%</w:t>
            </w:r>
            <w:r>
              <w:rPr>
                <w:rFonts w:hint="default"/>
                <w:color w:val="auto"/>
                <w:szCs w:val="21"/>
                <w:highlight w:val="none"/>
              </w:rPr>
              <w:t>计算</w:t>
            </w:r>
            <w:r>
              <w:rPr>
                <w:rFonts w:hint="eastAsia"/>
                <w:color w:val="auto"/>
                <w:szCs w:val="21"/>
                <w:highlight w:val="none"/>
              </w:rPr>
              <w:t>。</w:t>
            </w:r>
            <w:r>
              <w:rPr>
                <w:rFonts w:hint="default"/>
                <w:color w:val="auto"/>
                <w:szCs w:val="21"/>
                <w:highlight w:val="none"/>
              </w:rPr>
              <w:t>具体费率</w:t>
            </w:r>
            <w:r>
              <w:rPr>
                <w:rFonts w:hint="eastAsia"/>
                <w:color w:val="auto"/>
                <w:szCs w:val="21"/>
                <w:highlight w:val="none"/>
              </w:rPr>
              <w:t>如下：</w:t>
            </w:r>
          </w:p>
          <w:p w14:paraId="3A8A7BA8">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①中标金额在1</w:t>
            </w:r>
            <w:r>
              <w:rPr>
                <w:rFonts w:hint="default"/>
                <w:color w:val="auto"/>
                <w:szCs w:val="21"/>
                <w:highlight w:val="none"/>
              </w:rPr>
              <w:t>00</w:t>
            </w:r>
            <w:r>
              <w:rPr>
                <w:rFonts w:hint="eastAsia"/>
                <w:color w:val="auto"/>
                <w:szCs w:val="21"/>
                <w:highlight w:val="none"/>
              </w:rPr>
              <w:t>万元以下的：</w:t>
            </w:r>
          </w:p>
          <w:p w14:paraId="05599566">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货物</w:t>
            </w:r>
            <w:r>
              <w:rPr>
                <w:rFonts w:hint="default"/>
                <w:color w:val="auto"/>
                <w:szCs w:val="21"/>
                <w:highlight w:val="none"/>
              </w:rPr>
              <w:t>1.5％</w:t>
            </w:r>
            <w:r>
              <w:rPr>
                <w:rFonts w:hint="eastAsia"/>
                <w:color w:val="auto"/>
                <w:szCs w:val="21"/>
                <w:highlight w:val="none"/>
              </w:rPr>
              <w:t>；</w:t>
            </w:r>
            <w:r>
              <w:rPr>
                <w:rFonts w:hint="default"/>
                <w:color w:val="auto"/>
                <w:szCs w:val="21"/>
                <w:highlight w:val="none"/>
              </w:rPr>
              <w:t>服务招标1.5％</w:t>
            </w:r>
            <w:r>
              <w:rPr>
                <w:rFonts w:hint="eastAsia"/>
                <w:color w:val="auto"/>
                <w:szCs w:val="21"/>
                <w:highlight w:val="none"/>
              </w:rPr>
              <w:t>；</w:t>
            </w:r>
            <w:r>
              <w:rPr>
                <w:rFonts w:hint="default"/>
                <w:color w:val="auto"/>
                <w:szCs w:val="21"/>
                <w:highlight w:val="none"/>
              </w:rPr>
              <w:t>工程招标1.0％</w:t>
            </w:r>
            <w:r>
              <w:rPr>
                <w:rFonts w:hint="eastAsia"/>
                <w:color w:val="auto"/>
                <w:szCs w:val="21"/>
                <w:highlight w:val="none"/>
              </w:rPr>
              <w:t>；</w:t>
            </w:r>
          </w:p>
          <w:p w14:paraId="7569A707">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②中标金额在</w:t>
            </w:r>
            <w:r>
              <w:rPr>
                <w:rFonts w:hint="default"/>
                <w:color w:val="auto"/>
                <w:szCs w:val="21"/>
                <w:highlight w:val="none"/>
              </w:rPr>
              <w:t>100-500</w:t>
            </w:r>
            <w:r>
              <w:rPr>
                <w:rFonts w:hint="eastAsia"/>
                <w:color w:val="auto"/>
                <w:szCs w:val="21"/>
                <w:highlight w:val="none"/>
              </w:rPr>
              <w:t>万元之间：</w:t>
            </w:r>
          </w:p>
          <w:p w14:paraId="78B088ED">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货物</w:t>
            </w:r>
            <w:r>
              <w:rPr>
                <w:rFonts w:hint="default"/>
                <w:color w:val="auto"/>
                <w:szCs w:val="21"/>
                <w:highlight w:val="none"/>
              </w:rPr>
              <w:t>1.1％</w:t>
            </w:r>
            <w:r>
              <w:rPr>
                <w:rFonts w:hint="eastAsia"/>
                <w:color w:val="auto"/>
                <w:szCs w:val="21"/>
                <w:highlight w:val="none"/>
              </w:rPr>
              <w:t>；</w:t>
            </w:r>
            <w:r>
              <w:rPr>
                <w:rFonts w:hint="default"/>
                <w:color w:val="auto"/>
                <w:szCs w:val="21"/>
                <w:highlight w:val="none"/>
              </w:rPr>
              <w:t>服务招标0.8％</w:t>
            </w:r>
            <w:r>
              <w:rPr>
                <w:rFonts w:hint="eastAsia"/>
                <w:color w:val="auto"/>
                <w:szCs w:val="21"/>
                <w:highlight w:val="none"/>
              </w:rPr>
              <w:t>；</w:t>
            </w:r>
            <w:r>
              <w:rPr>
                <w:rFonts w:hint="default"/>
                <w:color w:val="auto"/>
                <w:szCs w:val="21"/>
                <w:highlight w:val="none"/>
              </w:rPr>
              <w:t>工程招标0.7％</w:t>
            </w:r>
            <w:r>
              <w:rPr>
                <w:rFonts w:hint="eastAsia"/>
                <w:color w:val="auto"/>
                <w:szCs w:val="21"/>
                <w:highlight w:val="none"/>
              </w:rPr>
              <w:t>；</w:t>
            </w:r>
          </w:p>
          <w:p w14:paraId="262B1FC4">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③中标金额在</w:t>
            </w:r>
            <w:r>
              <w:rPr>
                <w:rFonts w:hint="default"/>
                <w:color w:val="auto"/>
                <w:szCs w:val="21"/>
                <w:highlight w:val="none"/>
              </w:rPr>
              <w:t>5</w:t>
            </w:r>
            <w:r>
              <w:rPr>
                <w:rFonts w:hint="eastAsia"/>
                <w:color w:val="auto"/>
                <w:szCs w:val="21"/>
                <w:highlight w:val="none"/>
              </w:rPr>
              <w:t>0</w:t>
            </w:r>
            <w:r>
              <w:rPr>
                <w:rFonts w:hint="default"/>
                <w:color w:val="auto"/>
                <w:szCs w:val="21"/>
                <w:highlight w:val="none"/>
              </w:rPr>
              <w:t>0-1</w:t>
            </w:r>
            <w:r>
              <w:rPr>
                <w:rFonts w:hint="eastAsia"/>
                <w:color w:val="auto"/>
                <w:szCs w:val="21"/>
                <w:highlight w:val="none"/>
              </w:rPr>
              <w:t>00</w:t>
            </w:r>
            <w:r>
              <w:rPr>
                <w:rFonts w:hint="default"/>
                <w:color w:val="auto"/>
                <w:szCs w:val="21"/>
                <w:highlight w:val="none"/>
              </w:rPr>
              <w:t>0</w:t>
            </w:r>
            <w:r>
              <w:rPr>
                <w:rFonts w:hint="eastAsia"/>
                <w:color w:val="auto"/>
                <w:szCs w:val="21"/>
                <w:highlight w:val="none"/>
              </w:rPr>
              <w:t>万元之间：</w:t>
            </w:r>
          </w:p>
          <w:p w14:paraId="57863244">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货物</w:t>
            </w:r>
            <w:r>
              <w:rPr>
                <w:rFonts w:hint="default"/>
                <w:color w:val="auto"/>
                <w:szCs w:val="21"/>
                <w:highlight w:val="none"/>
              </w:rPr>
              <w:t>0.8％</w:t>
            </w:r>
            <w:r>
              <w:rPr>
                <w:rFonts w:hint="eastAsia"/>
                <w:color w:val="auto"/>
                <w:szCs w:val="21"/>
                <w:highlight w:val="none"/>
              </w:rPr>
              <w:t>；</w:t>
            </w:r>
            <w:r>
              <w:rPr>
                <w:rFonts w:hint="default"/>
                <w:color w:val="auto"/>
                <w:szCs w:val="21"/>
                <w:highlight w:val="none"/>
              </w:rPr>
              <w:t>服务招标0.45％</w:t>
            </w:r>
            <w:r>
              <w:rPr>
                <w:rFonts w:hint="eastAsia"/>
                <w:color w:val="auto"/>
                <w:szCs w:val="21"/>
                <w:highlight w:val="none"/>
              </w:rPr>
              <w:t>；</w:t>
            </w:r>
            <w:r>
              <w:rPr>
                <w:rFonts w:hint="default"/>
                <w:color w:val="auto"/>
                <w:szCs w:val="21"/>
                <w:highlight w:val="none"/>
              </w:rPr>
              <w:t>工程招标0.55％</w:t>
            </w:r>
            <w:r>
              <w:rPr>
                <w:rFonts w:hint="eastAsia"/>
                <w:color w:val="auto"/>
                <w:szCs w:val="21"/>
                <w:highlight w:val="none"/>
              </w:rPr>
              <w:t>；</w:t>
            </w:r>
          </w:p>
          <w:p w14:paraId="3440989D">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④中标金额在</w:t>
            </w:r>
            <w:r>
              <w:rPr>
                <w:rFonts w:hint="default"/>
                <w:color w:val="auto"/>
                <w:szCs w:val="21"/>
                <w:highlight w:val="none"/>
              </w:rPr>
              <w:t>1000-5000</w:t>
            </w:r>
            <w:r>
              <w:rPr>
                <w:rFonts w:hint="eastAsia"/>
                <w:color w:val="auto"/>
                <w:szCs w:val="21"/>
                <w:highlight w:val="none"/>
              </w:rPr>
              <w:t>万元之间：</w:t>
            </w:r>
          </w:p>
          <w:p w14:paraId="2351A17B">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货物</w:t>
            </w:r>
            <w:r>
              <w:rPr>
                <w:rFonts w:hint="default"/>
                <w:color w:val="auto"/>
                <w:szCs w:val="21"/>
                <w:highlight w:val="none"/>
              </w:rPr>
              <w:t>0.5％</w:t>
            </w:r>
            <w:r>
              <w:rPr>
                <w:rFonts w:hint="eastAsia"/>
                <w:color w:val="auto"/>
                <w:szCs w:val="21"/>
                <w:highlight w:val="none"/>
              </w:rPr>
              <w:t>；</w:t>
            </w:r>
            <w:r>
              <w:rPr>
                <w:rFonts w:hint="default"/>
                <w:color w:val="auto"/>
                <w:szCs w:val="21"/>
                <w:highlight w:val="none"/>
              </w:rPr>
              <w:t>服务招标0.25％</w:t>
            </w:r>
            <w:r>
              <w:rPr>
                <w:rFonts w:hint="eastAsia"/>
                <w:color w:val="auto"/>
                <w:szCs w:val="21"/>
                <w:highlight w:val="none"/>
              </w:rPr>
              <w:t>；</w:t>
            </w:r>
            <w:r>
              <w:rPr>
                <w:rFonts w:hint="default"/>
                <w:color w:val="auto"/>
                <w:szCs w:val="21"/>
                <w:highlight w:val="none"/>
              </w:rPr>
              <w:t>工程招标0.35％</w:t>
            </w:r>
            <w:r>
              <w:rPr>
                <w:rFonts w:hint="eastAsia"/>
                <w:color w:val="auto"/>
                <w:szCs w:val="21"/>
                <w:highlight w:val="none"/>
              </w:rPr>
              <w:t>；</w:t>
            </w:r>
          </w:p>
          <w:p w14:paraId="027F12B3">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w:t>
            </w:r>
          </w:p>
          <w:p w14:paraId="29B21413">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差额定率累进</w:t>
            </w:r>
            <w:r>
              <w:rPr>
                <w:rFonts w:hint="eastAsia"/>
                <w:color w:val="auto"/>
                <w:szCs w:val="21"/>
                <w:highlight w:val="none"/>
              </w:rPr>
              <w:t>法</w:t>
            </w:r>
            <w:r>
              <w:rPr>
                <w:rFonts w:hint="default"/>
                <w:color w:val="auto"/>
                <w:szCs w:val="21"/>
                <w:highlight w:val="none"/>
              </w:rPr>
              <w:t>计算</w:t>
            </w:r>
            <w:r>
              <w:rPr>
                <w:rFonts w:hint="eastAsia"/>
                <w:color w:val="auto"/>
                <w:szCs w:val="21"/>
                <w:highlight w:val="none"/>
              </w:rPr>
              <w:t>过程示例：</w:t>
            </w:r>
          </w:p>
          <w:p w14:paraId="53DA5221">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例如：某货物招标代理业务</w:t>
            </w:r>
            <w:r>
              <w:rPr>
                <w:rFonts w:hint="eastAsia"/>
                <w:color w:val="auto"/>
                <w:szCs w:val="21"/>
                <w:highlight w:val="none"/>
              </w:rPr>
              <w:t>中标</w:t>
            </w:r>
            <w:r>
              <w:rPr>
                <w:rFonts w:hint="default"/>
                <w:color w:val="auto"/>
                <w:szCs w:val="21"/>
                <w:highlight w:val="none"/>
              </w:rPr>
              <w:t>金额为300万元，招标代理服务费金额按如下计算：</w:t>
            </w:r>
          </w:p>
          <w:p w14:paraId="71AF2BF8">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100万元×1.5%＝1.5万元</w:t>
            </w:r>
          </w:p>
          <w:p w14:paraId="346B2F27">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（300－100）万元×1.1%＝2.2万元</w:t>
            </w:r>
          </w:p>
          <w:p w14:paraId="5C85C8AF">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合计收费＝1.5＋2.2=3.7万元</w:t>
            </w:r>
          </w:p>
          <w:p w14:paraId="0E193BA6">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eastAsia"/>
                <w:color w:val="auto"/>
                <w:szCs w:val="21"/>
                <w:highlight w:val="none"/>
              </w:rPr>
              <w:t>下浮20%后的总金额为：3.7 * ( 1 - 20% ) = 2.96万元</w:t>
            </w:r>
          </w:p>
          <w:p w14:paraId="7B696B55">
            <w:pPr>
              <w:keepNext w:val="0"/>
              <w:keepLines w:val="0"/>
              <w:suppressLineNumbers w:val="0"/>
              <w:spacing w:before="0" w:beforeAutospacing="0" w:after="0" w:afterAutospacing="0" w:line="300" w:lineRule="exact"/>
              <w:ind w:left="0" w:right="0"/>
              <w:jc w:val="left"/>
              <w:rPr>
                <w:rFonts w:hint="default"/>
                <w:color w:val="auto"/>
                <w:szCs w:val="21"/>
                <w:highlight w:val="none"/>
                <w:u w:val="single"/>
              </w:rPr>
            </w:pPr>
            <w:r>
              <w:rPr>
                <w:rFonts w:hint="default"/>
                <w:color w:val="auto"/>
                <w:szCs w:val="21"/>
                <w:highlight w:val="none"/>
              </w:rPr>
              <w:sym w:font="Wingdings 2" w:char="F0A3"/>
            </w:r>
            <w:r>
              <w:rPr>
                <w:rFonts w:hint="default"/>
                <w:color w:val="auto"/>
                <w:szCs w:val="21"/>
                <w:highlight w:val="none"/>
              </w:rPr>
              <w:t>采购代理机构</w:t>
            </w:r>
            <w:r>
              <w:rPr>
                <w:rFonts w:hint="default"/>
                <w:color w:val="auto"/>
                <w:szCs w:val="20"/>
                <w:highlight w:val="none"/>
              </w:rPr>
              <w:t>向中标人收取代理服务费</w:t>
            </w:r>
            <w:r>
              <w:rPr>
                <w:rFonts w:hint="eastAsia"/>
                <w:color w:val="auto"/>
                <w:szCs w:val="20"/>
                <w:highlight w:val="none"/>
              </w:rPr>
              <w:t>，</w:t>
            </w:r>
            <w:r>
              <w:rPr>
                <w:rFonts w:hint="default"/>
                <w:color w:val="auto"/>
                <w:szCs w:val="20"/>
                <w:highlight w:val="none"/>
              </w:rPr>
              <w:t>具体金额为</w:t>
            </w:r>
            <w:r>
              <w:rPr>
                <w:rFonts w:hint="eastAsia"/>
                <w:color w:val="auto"/>
                <w:szCs w:val="20"/>
                <w:highlight w:val="none"/>
                <w:u w:val="single"/>
              </w:rPr>
              <w:t xml:space="preserve">    /         </w:t>
            </w:r>
            <w:r>
              <w:rPr>
                <w:rFonts w:hint="eastAsia"/>
                <w:color w:val="auto"/>
                <w:szCs w:val="20"/>
                <w:highlight w:val="none"/>
              </w:rPr>
              <w:t>。</w:t>
            </w:r>
          </w:p>
          <w:p w14:paraId="6B4F2629">
            <w:pPr>
              <w:keepNext w:val="0"/>
              <w:keepLines w:val="0"/>
              <w:suppressLineNumbers w:val="0"/>
              <w:spacing w:before="0" w:beforeAutospacing="0" w:after="0" w:afterAutospacing="0" w:line="300" w:lineRule="exact"/>
              <w:ind w:left="0" w:right="0"/>
              <w:jc w:val="left"/>
              <w:rPr>
                <w:rFonts w:hint="default"/>
                <w:color w:val="auto"/>
                <w:szCs w:val="21"/>
                <w:highlight w:val="none"/>
              </w:rPr>
            </w:pPr>
            <w:r>
              <w:rPr>
                <w:rFonts w:hint="default"/>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2FBECC9">
            <w:pPr>
              <w:keepNext w:val="0"/>
              <w:keepLines w:val="0"/>
              <w:suppressLineNumbers w:val="0"/>
              <w:spacing w:before="0" w:beforeAutospacing="0" w:after="0" w:afterAutospacing="0" w:line="300" w:lineRule="exact"/>
              <w:ind w:left="0" w:right="0"/>
              <w:jc w:val="left"/>
              <w:rPr>
                <w:rFonts w:hint="default"/>
                <w:color w:val="auto"/>
                <w:kern w:val="0"/>
                <w:szCs w:val="21"/>
                <w:highlight w:val="none"/>
              </w:rPr>
            </w:pPr>
            <w:r>
              <w:rPr>
                <w:rFonts w:hint="eastAsia"/>
                <w:color w:val="auto"/>
                <w:kern w:val="0"/>
                <w:szCs w:val="21"/>
                <w:highlight w:val="none"/>
              </w:rPr>
              <w:t>开户银行：广西北部湾银行南宁市金湖支行</w:t>
            </w:r>
          </w:p>
          <w:p w14:paraId="01369182">
            <w:pPr>
              <w:keepNext w:val="0"/>
              <w:keepLines w:val="0"/>
              <w:suppressLineNumbers w:val="0"/>
              <w:spacing w:before="0" w:beforeAutospacing="0" w:after="0" w:afterAutospacing="0" w:line="300" w:lineRule="exact"/>
              <w:ind w:left="0" w:right="0"/>
              <w:jc w:val="left"/>
              <w:rPr>
                <w:rFonts w:hint="default"/>
                <w:color w:val="auto"/>
                <w:kern w:val="0"/>
                <w:szCs w:val="21"/>
                <w:highlight w:val="none"/>
              </w:rPr>
            </w:pPr>
            <w:r>
              <w:rPr>
                <w:rFonts w:hint="eastAsia"/>
                <w:color w:val="auto"/>
                <w:kern w:val="0"/>
                <w:szCs w:val="21"/>
                <w:highlight w:val="none"/>
              </w:rPr>
              <w:t>（银行地址：南宁市金湖路57号文德大厦1楼）</w:t>
            </w:r>
          </w:p>
          <w:p w14:paraId="0B706D8C">
            <w:pPr>
              <w:keepNext w:val="0"/>
              <w:keepLines w:val="0"/>
              <w:suppressLineNumbers w:val="0"/>
              <w:spacing w:before="0" w:beforeAutospacing="0" w:after="0" w:afterAutospacing="0" w:line="300" w:lineRule="exact"/>
              <w:ind w:left="0" w:right="0"/>
              <w:jc w:val="left"/>
              <w:rPr>
                <w:rFonts w:hint="default"/>
                <w:color w:val="auto"/>
                <w:kern w:val="0"/>
                <w:szCs w:val="21"/>
                <w:highlight w:val="none"/>
              </w:rPr>
            </w:pPr>
            <w:r>
              <w:rPr>
                <w:rFonts w:hint="eastAsia"/>
                <w:color w:val="auto"/>
                <w:kern w:val="0"/>
                <w:szCs w:val="21"/>
                <w:highlight w:val="none"/>
              </w:rPr>
              <w:t>开户名称：广西机电设备招标有限公司</w:t>
            </w:r>
          </w:p>
          <w:p w14:paraId="1D27A30B">
            <w:pPr>
              <w:keepNext w:val="0"/>
              <w:keepLines w:val="0"/>
              <w:suppressLineNumbers w:val="0"/>
              <w:spacing w:before="0" w:beforeAutospacing="0" w:after="0" w:afterAutospacing="0" w:line="300" w:lineRule="exact"/>
              <w:ind w:left="0" w:right="0"/>
              <w:jc w:val="left"/>
              <w:rPr>
                <w:rFonts w:hint="default"/>
                <w:color w:val="auto"/>
                <w:kern w:val="0"/>
                <w:szCs w:val="21"/>
                <w:highlight w:val="none"/>
              </w:rPr>
            </w:pPr>
            <w:r>
              <w:rPr>
                <w:rFonts w:hint="eastAsia"/>
                <w:color w:val="auto"/>
                <w:kern w:val="0"/>
                <w:szCs w:val="21"/>
                <w:highlight w:val="none"/>
              </w:rPr>
              <w:t>银行账号：1705012090027723 (联行号 313611017053)</w:t>
            </w:r>
          </w:p>
          <w:p w14:paraId="16529DA5">
            <w:pPr>
              <w:keepNext w:val="0"/>
              <w:keepLines w:val="0"/>
              <w:suppressLineNumbers w:val="0"/>
              <w:spacing w:before="0" w:beforeAutospacing="0" w:after="0" w:afterAutospacing="0" w:line="300" w:lineRule="exact"/>
              <w:ind w:left="0" w:right="0"/>
              <w:jc w:val="left"/>
              <w:rPr>
                <w:rFonts w:hint="default"/>
                <w:color w:val="auto"/>
                <w:kern w:val="0"/>
                <w:szCs w:val="21"/>
                <w:highlight w:val="none"/>
              </w:rPr>
            </w:pPr>
            <w:r>
              <w:rPr>
                <w:rFonts w:hint="eastAsia"/>
                <w:color w:val="auto"/>
                <w:kern w:val="0"/>
                <w:szCs w:val="21"/>
                <w:highlight w:val="none"/>
              </w:rPr>
              <w:t>财务联系人：吴茜（电话：0771-2821398）</w:t>
            </w:r>
          </w:p>
        </w:tc>
      </w:tr>
      <w:tr w14:paraId="619C3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55" w:type="dxa"/>
            <w:tcBorders>
              <w:top w:val="single" w:color="auto" w:sz="4" w:space="0"/>
              <w:left w:val="single" w:color="auto" w:sz="4" w:space="0"/>
              <w:bottom w:val="single" w:color="auto" w:sz="4" w:space="0"/>
              <w:right w:val="single" w:color="auto" w:sz="4" w:space="0"/>
            </w:tcBorders>
            <w:vAlign w:val="center"/>
          </w:tcPr>
          <w:p w14:paraId="6DD95E91">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6C54BF6F">
            <w:pPr>
              <w:keepNext w:val="0"/>
              <w:keepLines w:val="0"/>
              <w:suppressLineNumbers w:val="0"/>
              <w:spacing w:before="0" w:beforeAutospacing="0" w:after="0" w:afterAutospacing="0" w:line="300" w:lineRule="exact"/>
              <w:ind w:left="0" w:right="0"/>
              <w:jc w:val="center"/>
              <w:rPr>
                <w:rFonts w:hint="default"/>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0EE9DD80">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default"/>
                <w:color w:val="auto"/>
                <w:sz w:val="22"/>
                <w:szCs w:val="22"/>
                <w:highlight w:val="none"/>
              </w:rPr>
              <w:sym w:font="Wingdings 2" w:char="F052"/>
            </w:r>
            <w:r>
              <w:rPr>
                <w:rFonts w:hint="eastAsia"/>
                <w:color w:val="auto"/>
                <w:szCs w:val="21"/>
                <w:highlight w:val="none"/>
              </w:rPr>
              <w:t>无</w:t>
            </w:r>
            <w:r>
              <w:rPr>
                <w:rFonts w:hint="default"/>
                <w:color w:val="auto"/>
                <w:szCs w:val="21"/>
                <w:highlight w:val="none"/>
                <w:u w:val="single"/>
              </w:rPr>
              <w:t xml:space="preserve">        </w:t>
            </w:r>
          </w:p>
        </w:tc>
      </w:tr>
      <w:tr w14:paraId="0F3AA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429090F">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3066550">
            <w:pPr>
              <w:keepNext w:val="0"/>
              <w:keepLines w:val="0"/>
              <w:suppressLineNumbers w:val="0"/>
              <w:spacing w:before="0" w:beforeAutospacing="0" w:after="0" w:afterAutospacing="0" w:line="300" w:lineRule="exact"/>
              <w:ind w:left="0" w:right="0"/>
              <w:jc w:val="center"/>
              <w:rPr>
                <w:rFonts w:hint="default"/>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490D0731">
            <w:pPr>
              <w:keepNext w:val="0"/>
              <w:keepLines w:val="0"/>
              <w:suppressLineNumbers w:val="0"/>
              <w:spacing w:before="0" w:beforeAutospacing="0" w:after="0" w:afterAutospacing="0" w:line="276" w:lineRule="auto"/>
              <w:ind w:left="0" w:right="0"/>
              <w:rPr>
                <w:rFonts w:hint="default"/>
                <w:color w:val="auto"/>
                <w:szCs w:val="21"/>
                <w:highlight w:val="none"/>
              </w:rPr>
            </w:pPr>
            <w:r>
              <w:rPr>
                <w:rFonts w:hint="default"/>
                <w:color w:val="auto"/>
                <w:sz w:val="22"/>
                <w:szCs w:val="22"/>
                <w:highlight w:val="none"/>
              </w:rPr>
              <w:sym w:font="Wingdings 2" w:char="F052"/>
            </w:r>
            <w:r>
              <w:rPr>
                <w:rFonts w:hint="eastAsia"/>
                <w:color w:val="auto"/>
                <w:szCs w:val="21"/>
                <w:highlight w:val="none"/>
              </w:rPr>
              <w:t>无</w:t>
            </w:r>
            <w:r>
              <w:rPr>
                <w:rFonts w:hint="default"/>
                <w:color w:val="auto"/>
                <w:szCs w:val="21"/>
                <w:highlight w:val="none"/>
                <w:u w:val="single"/>
              </w:rPr>
              <w:t xml:space="preserve">            </w:t>
            </w:r>
          </w:p>
        </w:tc>
      </w:tr>
      <w:tr w14:paraId="37F3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08E0E7A5">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1918A39">
            <w:pPr>
              <w:keepNext w:val="0"/>
              <w:keepLines w:val="0"/>
              <w:suppressLineNumbers w:val="0"/>
              <w:spacing w:before="0" w:beforeAutospacing="0" w:after="0" w:afterAutospacing="0" w:line="300" w:lineRule="exact"/>
              <w:ind w:left="0" w:right="0"/>
              <w:jc w:val="center"/>
              <w:rPr>
                <w:rFonts w:hint="default"/>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7A045DE">
            <w:pPr>
              <w:keepNext w:val="0"/>
              <w:keepLines w:val="0"/>
              <w:suppressLineNumbers w:val="0"/>
              <w:spacing w:before="0" w:beforeAutospacing="0" w:after="0" w:afterAutospacing="0" w:line="276" w:lineRule="auto"/>
              <w:ind w:left="0" w:right="0"/>
              <w:rPr>
                <w:rFonts w:hint="default"/>
                <w:color w:val="auto"/>
                <w:sz w:val="24"/>
                <w:highlight w:val="none"/>
              </w:rPr>
            </w:pPr>
            <w:r>
              <w:rPr>
                <w:rFonts w:hint="eastAsia"/>
                <w:color w:val="auto"/>
                <w:szCs w:val="21"/>
                <w:highlight w:val="none"/>
              </w:rPr>
              <w:t>本文件中内容如有前后不一致，以在招标文件</w:t>
            </w:r>
            <w:r>
              <w:rPr>
                <w:rFonts w:hint="eastAsia"/>
                <w:color w:val="auto"/>
                <w:szCs w:val="21"/>
                <w:highlight w:val="none"/>
                <w:lang w:eastAsia="zh-CN"/>
              </w:rPr>
              <w:t>中出</w:t>
            </w:r>
            <w:r>
              <w:rPr>
                <w:rFonts w:hint="eastAsia"/>
                <w:color w:val="auto"/>
                <w:szCs w:val="21"/>
                <w:highlight w:val="none"/>
              </w:rPr>
              <w:t>现的为准。</w:t>
            </w:r>
          </w:p>
        </w:tc>
      </w:tr>
      <w:bookmarkEnd w:id="43"/>
    </w:tbl>
    <w:p w14:paraId="3405E3AF">
      <w:pPr>
        <w:spacing w:before="120" w:line="320" w:lineRule="atLeast"/>
        <w:outlineLvl w:val="1"/>
        <w:rPr>
          <w:bCs/>
          <w:color w:val="auto"/>
          <w:kern w:val="0"/>
          <w:sz w:val="28"/>
          <w:szCs w:val="28"/>
          <w:highlight w:val="none"/>
        </w:rPr>
        <w:sectPr>
          <w:headerReference r:id="rId10" w:type="first"/>
          <w:headerReference r:id="rId9" w:type="default"/>
          <w:pgSz w:w="11906" w:h="16838"/>
          <w:pgMar w:top="992" w:right="1134" w:bottom="1247" w:left="1134" w:header="851" w:footer="992" w:gutter="0"/>
          <w:cols w:space="720" w:num="1"/>
          <w:titlePg/>
          <w:docGrid w:linePitch="312" w:charSpace="0"/>
        </w:sectPr>
      </w:pPr>
    </w:p>
    <w:p w14:paraId="2697715A">
      <w:pPr>
        <w:spacing w:before="120" w:line="320" w:lineRule="atLeast"/>
        <w:outlineLvl w:val="1"/>
        <w:rPr>
          <w:b/>
          <w:bCs/>
          <w:color w:val="auto"/>
          <w:kern w:val="0"/>
          <w:szCs w:val="21"/>
          <w:highlight w:val="none"/>
        </w:rPr>
      </w:pPr>
      <w:bookmarkStart w:id="45" w:name="_Hlk88949215"/>
      <w:bookmarkStart w:id="46" w:name="_Toc254970690"/>
      <w:bookmarkStart w:id="47" w:name="_Toc254970549"/>
      <w:r>
        <w:rPr>
          <w:b/>
          <w:bCs/>
          <w:color w:val="auto"/>
          <w:kern w:val="0"/>
          <w:szCs w:val="21"/>
          <w:highlight w:val="none"/>
          <w:lang w:bidi="ar"/>
        </w:rPr>
        <w:t>1</w:t>
      </w:r>
      <w:r>
        <w:rPr>
          <w:rFonts w:hint="eastAsia" w:cs="宋体"/>
          <w:b/>
          <w:bCs/>
          <w:color w:val="auto"/>
          <w:kern w:val="0"/>
          <w:szCs w:val="21"/>
          <w:highlight w:val="none"/>
          <w:lang w:bidi="ar"/>
        </w:rPr>
        <w:t>．总则</w:t>
      </w:r>
    </w:p>
    <w:p w14:paraId="30A67B20">
      <w:pPr>
        <w:spacing w:before="120" w:line="320" w:lineRule="atLeast"/>
        <w:ind w:firstLine="422" w:firstLineChars="200"/>
        <w:outlineLvl w:val="2"/>
        <w:rPr>
          <w:b/>
          <w:bCs/>
          <w:color w:val="auto"/>
          <w:kern w:val="0"/>
          <w:szCs w:val="21"/>
          <w:highlight w:val="none"/>
        </w:rPr>
      </w:pPr>
      <w:bookmarkStart w:id="48" w:name="_Toc254970527"/>
      <w:bookmarkStart w:id="49" w:name="_Toc254970668"/>
      <w:r>
        <w:rPr>
          <w:b/>
          <w:bCs/>
          <w:color w:val="auto"/>
          <w:kern w:val="0"/>
          <w:szCs w:val="21"/>
          <w:highlight w:val="none"/>
          <w:lang w:bidi="ar"/>
        </w:rPr>
        <w:t>1.1</w:t>
      </w:r>
      <w:r>
        <w:rPr>
          <w:rFonts w:hint="eastAsia" w:cs="宋体"/>
          <w:b/>
          <w:bCs/>
          <w:color w:val="auto"/>
          <w:kern w:val="0"/>
          <w:szCs w:val="21"/>
          <w:highlight w:val="none"/>
          <w:lang w:bidi="ar"/>
        </w:rPr>
        <w:t>适用范围</w:t>
      </w:r>
      <w:bookmarkEnd w:id="48"/>
      <w:bookmarkEnd w:id="49"/>
    </w:p>
    <w:p w14:paraId="4CED02D5">
      <w:pPr>
        <w:spacing w:before="120" w:line="320" w:lineRule="atLeast"/>
        <w:ind w:firstLine="420" w:firstLineChars="200"/>
        <w:rPr>
          <w:color w:val="auto"/>
          <w:szCs w:val="21"/>
          <w:highlight w:val="none"/>
        </w:rPr>
      </w:pPr>
      <w:r>
        <w:rPr>
          <w:rFonts w:hint="eastAsia" w:cs="宋体"/>
          <w:color w:val="auto"/>
          <w:szCs w:val="21"/>
          <w:highlight w:val="none"/>
          <w:lang w:bidi="ar"/>
        </w:rPr>
        <w:t>本招标文件适用于供应商须知前附表所述项目的政府采购活动。</w:t>
      </w:r>
    </w:p>
    <w:p w14:paraId="1B23E426">
      <w:pPr>
        <w:spacing w:before="120" w:line="320" w:lineRule="atLeast"/>
        <w:ind w:firstLine="422" w:firstLineChars="200"/>
        <w:outlineLvl w:val="2"/>
        <w:rPr>
          <w:b/>
          <w:bCs/>
          <w:color w:val="auto"/>
          <w:kern w:val="0"/>
          <w:szCs w:val="21"/>
          <w:highlight w:val="none"/>
        </w:rPr>
      </w:pPr>
      <w:bookmarkStart w:id="50" w:name="_Toc254970528"/>
      <w:bookmarkStart w:id="51" w:name="_Toc254970669"/>
      <w:r>
        <w:rPr>
          <w:b/>
          <w:bCs/>
          <w:color w:val="auto"/>
          <w:kern w:val="0"/>
          <w:szCs w:val="21"/>
          <w:highlight w:val="none"/>
          <w:lang w:bidi="ar"/>
        </w:rPr>
        <w:t>1.2</w:t>
      </w:r>
      <w:r>
        <w:rPr>
          <w:rFonts w:hint="eastAsia" w:cs="宋体"/>
          <w:b/>
          <w:bCs/>
          <w:color w:val="auto"/>
          <w:kern w:val="0"/>
          <w:szCs w:val="21"/>
          <w:highlight w:val="none"/>
          <w:lang w:bidi="ar"/>
        </w:rPr>
        <w:t>定义</w:t>
      </w:r>
      <w:bookmarkEnd w:id="50"/>
      <w:bookmarkEnd w:id="51"/>
    </w:p>
    <w:p w14:paraId="3288EC83">
      <w:pPr>
        <w:spacing w:before="120" w:line="320" w:lineRule="atLeast"/>
        <w:ind w:firstLine="420" w:firstLineChars="200"/>
        <w:rPr>
          <w:color w:val="auto"/>
          <w:szCs w:val="21"/>
          <w:highlight w:val="none"/>
        </w:rPr>
      </w:pPr>
      <w:r>
        <w:rPr>
          <w:color w:val="auto"/>
          <w:szCs w:val="21"/>
          <w:highlight w:val="none"/>
          <w:lang w:bidi="ar"/>
        </w:rPr>
        <w:t>1.2.1“</w:t>
      </w:r>
      <w:r>
        <w:rPr>
          <w:rFonts w:hint="eastAsia" w:cs="宋体"/>
          <w:color w:val="auto"/>
          <w:szCs w:val="21"/>
          <w:highlight w:val="none"/>
          <w:lang w:bidi="ar"/>
        </w:rPr>
        <w:t>采购人</w:t>
      </w:r>
      <w:r>
        <w:rPr>
          <w:color w:val="auto"/>
          <w:szCs w:val="21"/>
          <w:highlight w:val="none"/>
          <w:lang w:bidi="ar"/>
        </w:rPr>
        <w:t>”</w:t>
      </w:r>
      <w:r>
        <w:rPr>
          <w:rFonts w:hint="eastAsia" w:cs="宋体"/>
          <w:color w:val="auto"/>
          <w:szCs w:val="21"/>
          <w:highlight w:val="none"/>
          <w:lang w:bidi="ar"/>
        </w:rPr>
        <w:t>系指依法进行政府采购的国家机关、事业单位、团体组织。</w:t>
      </w:r>
    </w:p>
    <w:p w14:paraId="0DD31A46">
      <w:pPr>
        <w:spacing w:before="120" w:line="320" w:lineRule="atLeast"/>
        <w:ind w:firstLine="420" w:firstLineChars="200"/>
        <w:rPr>
          <w:color w:val="auto"/>
          <w:szCs w:val="21"/>
          <w:highlight w:val="none"/>
        </w:rPr>
      </w:pPr>
      <w:r>
        <w:rPr>
          <w:color w:val="auto"/>
          <w:szCs w:val="21"/>
          <w:highlight w:val="none"/>
          <w:lang w:bidi="ar"/>
        </w:rPr>
        <w:t>1.2.2“</w:t>
      </w:r>
      <w:r>
        <w:rPr>
          <w:rFonts w:hint="eastAsia" w:cs="宋体"/>
          <w:color w:val="auto"/>
          <w:szCs w:val="21"/>
          <w:highlight w:val="none"/>
          <w:lang w:bidi="ar"/>
        </w:rPr>
        <w:t>供应商</w:t>
      </w:r>
      <w:r>
        <w:rPr>
          <w:color w:val="auto"/>
          <w:szCs w:val="21"/>
          <w:highlight w:val="none"/>
          <w:lang w:bidi="ar"/>
        </w:rPr>
        <w:t>”</w:t>
      </w:r>
      <w:r>
        <w:rPr>
          <w:rFonts w:hint="eastAsia" w:cs="宋体"/>
          <w:color w:val="auto"/>
          <w:szCs w:val="21"/>
          <w:highlight w:val="none"/>
          <w:lang w:bidi="ar"/>
        </w:rPr>
        <w:t>系</w:t>
      </w:r>
      <w:r>
        <w:rPr>
          <w:rFonts w:hint="eastAsia" w:cs="宋体"/>
          <w:color w:val="auto"/>
          <w:highlight w:val="none"/>
          <w:lang w:bidi="ar"/>
        </w:rPr>
        <w:t>指响应招标、参加投标竞争的法人、其他组织或者自然人</w:t>
      </w:r>
      <w:r>
        <w:rPr>
          <w:rFonts w:hint="eastAsia" w:cs="宋体"/>
          <w:color w:val="auto"/>
          <w:szCs w:val="21"/>
          <w:highlight w:val="none"/>
          <w:lang w:bidi="ar"/>
        </w:rPr>
        <w:t>。</w:t>
      </w:r>
    </w:p>
    <w:p w14:paraId="11FCB989">
      <w:pPr>
        <w:spacing w:before="120" w:line="360" w:lineRule="auto"/>
        <w:ind w:firstLine="420" w:firstLineChars="200"/>
        <w:rPr>
          <w:color w:val="auto"/>
          <w:highlight w:val="none"/>
        </w:rPr>
      </w:pPr>
      <w:r>
        <w:rPr>
          <w:color w:val="auto"/>
          <w:highlight w:val="none"/>
          <w:lang w:bidi="ar"/>
        </w:rPr>
        <w:t>1.2.3</w:t>
      </w:r>
      <w:r>
        <w:rPr>
          <w:rFonts w:hint="eastAsia" w:cs="宋体"/>
          <w:color w:val="auto"/>
          <w:highlight w:val="none"/>
          <w:lang w:bidi="ar"/>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1E9D8D62">
      <w:pPr>
        <w:spacing w:before="120" w:line="360" w:lineRule="auto"/>
        <w:ind w:firstLine="420" w:firstLineChars="200"/>
        <w:rPr>
          <w:color w:val="auto"/>
          <w:highlight w:val="none"/>
        </w:rPr>
      </w:pPr>
      <w:r>
        <w:rPr>
          <w:color w:val="auto"/>
          <w:highlight w:val="none"/>
          <w:lang w:bidi="ar"/>
        </w:rPr>
        <w:t>1.2.4</w:t>
      </w:r>
      <w:r>
        <w:rPr>
          <w:rFonts w:hint="eastAsia" w:cs="宋体"/>
          <w:color w:val="auto"/>
          <w:highlight w:val="none"/>
          <w:lang w:bidi="ar"/>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F957088">
      <w:pPr>
        <w:widowControl/>
        <w:spacing w:line="360" w:lineRule="auto"/>
        <w:ind w:firstLine="420" w:firstLineChars="200"/>
        <w:jc w:val="left"/>
        <w:rPr>
          <w:color w:val="auto"/>
          <w:szCs w:val="21"/>
          <w:highlight w:val="none"/>
        </w:rPr>
      </w:pPr>
      <w:r>
        <w:rPr>
          <w:color w:val="auto"/>
          <w:szCs w:val="21"/>
          <w:highlight w:val="none"/>
          <w:lang w:bidi="ar"/>
        </w:rPr>
        <w:t>1.2.5“</w:t>
      </w:r>
      <w:r>
        <w:rPr>
          <w:rFonts w:hint="eastAsia" w:cs="宋体"/>
          <w:color w:val="auto"/>
          <w:szCs w:val="21"/>
          <w:highlight w:val="none"/>
          <w:lang w:bidi="ar"/>
        </w:rPr>
        <w:t>书面形式</w:t>
      </w:r>
      <w:r>
        <w:rPr>
          <w:color w:val="auto"/>
          <w:szCs w:val="21"/>
          <w:highlight w:val="none"/>
          <w:lang w:bidi="ar"/>
        </w:rPr>
        <w:t>”</w:t>
      </w:r>
      <w:r>
        <w:rPr>
          <w:rFonts w:hint="eastAsia" w:cs="宋体"/>
          <w:color w:val="auto"/>
          <w:szCs w:val="21"/>
          <w:highlight w:val="none"/>
          <w:lang w:bidi="ar"/>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Pr>
          <w:color w:val="auto"/>
          <w:szCs w:val="21"/>
          <w:highlight w:val="none"/>
          <w:lang w:bidi="ar"/>
        </w:rPr>
        <w:t xml:space="preserve"> </w:t>
      </w:r>
    </w:p>
    <w:p w14:paraId="610DB1EA">
      <w:pPr>
        <w:spacing w:before="120" w:line="320" w:lineRule="atLeast"/>
        <w:ind w:firstLine="420" w:firstLineChars="200"/>
        <w:rPr>
          <w:color w:val="auto"/>
          <w:szCs w:val="21"/>
          <w:highlight w:val="none"/>
        </w:rPr>
      </w:pPr>
      <w:r>
        <w:rPr>
          <w:color w:val="auto"/>
          <w:szCs w:val="21"/>
          <w:highlight w:val="none"/>
          <w:lang w:bidi="ar"/>
        </w:rPr>
        <w:t>1.2.6</w:t>
      </w:r>
      <w:r>
        <w:rPr>
          <w:rFonts w:hint="eastAsia" w:cs="宋体"/>
          <w:color w:val="auto"/>
          <w:szCs w:val="21"/>
          <w:highlight w:val="none"/>
          <w:lang w:bidi="ar"/>
        </w:rPr>
        <w:t>本项目的技术商务要求重要性分为“▲”（如有）、“</w:t>
      </w:r>
      <w:r>
        <w:rPr>
          <w:color w:val="auto"/>
          <w:szCs w:val="21"/>
          <w:highlight w:val="none"/>
          <w:lang w:bidi="ar"/>
        </w:rPr>
        <w:t>#</w:t>
      </w:r>
      <w:r>
        <w:rPr>
          <w:rFonts w:hint="eastAsia" w:cs="宋体"/>
          <w:color w:val="auto"/>
          <w:szCs w:val="21"/>
          <w:highlight w:val="none"/>
          <w:lang w:bidi="ar"/>
        </w:rPr>
        <w:t>”（如有）和一般无标识指标。▲代表实质性要求指标，</w:t>
      </w:r>
      <w:r>
        <w:rPr>
          <w:rFonts w:hint="eastAsia" w:cs="宋体"/>
          <w:b/>
          <w:bCs/>
          <w:color w:val="auto"/>
          <w:szCs w:val="21"/>
          <w:highlight w:val="none"/>
          <w:lang w:bidi="ar"/>
        </w:rPr>
        <w:t>不满足该指标项将导致投标被否决</w:t>
      </w:r>
      <w:r>
        <w:rPr>
          <w:rFonts w:hint="eastAsia" w:cs="宋体"/>
          <w:color w:val="auto"/>
          <w:szCs w:val="21"/>
          <w:highlight w:val="none"/>
          <w:lang w:bidi="ar"/>
        </w:rPr>
        <w:t>，</w:t>
      </w:r>
      <w:r>
        <w:rPr>
          <w:color w:val="auto"/>
          <w:szCs w:val="21"/>
          <w:highlight w:val="none"/>
          <w:lang w:bidi="ar"/>
        </w:rPr>
        <w:t>#</w:t>
      </w:r>
      <w:r>
        <w:rPr>
          <w:rFonts w:hint="eastAsia" w:cs="宋体"/>
          <w:color w:val="auto"/>
          <w:szCs w:val="21"/>
          <w:highlight w:val="none"/>
          <w:lang w:bidi="ar"/>
        </w:rPr>
        <w:t>代表重要指标，无标识则表示一般指标项。</w:t>
      </w:r>
    </w:p>
    <w:p w14:paraId="5AA9C019">
      <w:pPr>
        <w:spacing w:before="120" w:line="320" w:lineRule="atLeast"/>
        <w:ind w:firstLine="420" w:firstLineChars="200"/>
        <w:rPr>
          <w:color w:val="auto"/>
          <w:szCs w:val="21"/>
          <w:highlight w:val="none"/>
        </w:rPr>
      </w:pPr>
      <w:r>
        <w:rPr>
          <w:color w:val="auto"/>
          <w:szCs w:val="21"/>
          <w:highlight w:val="none"/>
          <w:lang w:bidi="ar"/>
        </w:rPr>
        <w:t xml:space="preserve">1.2.7 </w:t>
      </w:r>
      <w:r>
        <w:rPr>
          <w:rFonts w:hint="eastAsia" w:cs="宋体"/>
          <w:color w:val="auto"/>
          <w:szCs w:val="21"/>
          <w:highlight w:val="none"/>
          <w:lang w:bidi="ar"/>
        </w:rPr>
        <w:t>本招标文件出现多种选项的条款，以“</w:t>
      </w:r>
      <w:r>
        <w:rPr>
          <w:rFonts w:eastAsia="Wingdings 2" w:cs="Wingdings 2"/>
          <w:color w:val="auto"/>
          <w:highlight w:val="none"/>
          <w:lang w:bidi="ar"/>
        </w:rPr>
        <w:sym w:font="Wingdings 2" w:char="0052"/>
      </w:r>
      <w:r>
        <w:rPr>
          <w:rFonts w:hint="eastAsia" w:cs="宋体"/>
          <w:color w:val="auto"/>
          <w:szCs w:val="21"/>
          <w:highlight w:val="none"/>
          <w:lang w:bidi="ar"/>
        </w:rPr>
        <w:t>”表示本条款所选择的方式。</w:t>
      </w:r>
    </w:p>
    <w:p w14:paraId="6ABE21B1">
      <w:pPr>
        <w:spacing w:before="120" w:line="320" w:lineRule="atLeast"/>
        <w:ind w:firstLine="420" w:firstLineChars="200"/>
        <w:rPr>
          <w:color w:val="auto"/>
          <w:szCs w:val="21"/>
          <w:highlight w:val="none"/>
        </w:rPr>
      </w:pPr>
      <w:r>
        <w:rPr>
          <w:color w:val="auto"/>
          <w:szCs w:val="21"/>
          <w:highlight w:val="none"/>
          <w:lang w:bidi="ar"/>
        </w:rPr>
        <w:t>1.2.8 “</w:t>
      </w:r>
      <w:r>
        <w:rPr>
          <w:rFonts w:hint="eastAsia" w:cs="宋体"/>
          <w:color w:val="auto"/>
          <w:szCs w:val="21"/>
          <w:highlight w:val="none"/>
          <w:lang w:bidi="ar"/>
        </w:rPr>
        <w:t>电子交易平台</w:t>
      </w:r>
      <w:r>
        <w:rPr>
          <w:color w:val="auto"/>
          <w:szCs w:val="21"/>
          <w:highlight w:val="none"/>
          <w:lang w:bidi="ar"/>
        </w:rPr>
        <w:t>”</w:t>
      </w:r>
      <w:r>
        <w:rPr>
          <w:rFonts w:hint="eastAsia" w:cs="宋体"/>
          <w:color w:val="auto"/>
          <w:szCs w:val="21"/>
          <w:highlight w:val="none"/>
          <w:lang w:bidi="ar"/>
        </w:rPr>
        <w:t>是指以数据电文形式在线完成采购活动的信息平台，本招标文件中也称</w:t>
      </w:r>
      <w:r>
        <w:rPr>
          <w:color w:val="auto"/>
          <w:szCs w:val="21"/>
          <w:highlight w:val="none"/>
          <w:lang w:bidi="ar"/>
        </w:rPr>
        <w:t>“</w:t>
      </w:r>
      <w:r>
        <w:rPr>
          <w:rFonts w:hint="eastAsia" w:cs="宋体"/>
          <w:color w:val="auto"/>
          <w:szCs w:val="21"/>
          <w:highlight w:val="none"/>
          <w:lang w:bidi="ar"/>
        </w:rPr>
        <w:t>广西政府采购云平台</w:t>
      </w:r>
      <w:r>
        <w:rPr>
          <w:color w:val="auto"/>
          <w:szCs w:val="21"/>
          <w:highlight w:val="none"/>
          <w:lang w:bidi="ar"/>
        </w:rPr>
        <w:t>”</w:t>
      </w:r>
      <w:r>
        <w:rPr>
          <w:rFonts w:hint="eastAsia" w:cs="宋体"/>
          <w:color w:val="auto"/>
          <w:szCs w:val="21"/>
          <w:highlight w:val="none"/>
          <w:lang w:bidi="ar"/>
        </w:rPr>
        <w:t>。</w:t>
      </w:r>
    </w:p>
    <w:p w14:paraId="469D32C1">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1.3</w:t>
      </w:r>
      <w:r>
        <w:rPr>
          <w:rFonts w:hint="eastAsia" w:cs="宋体"/>
          <w:b/>
          <w:bCs/>
          <w:color w:val="auto"/>
          <w:kern w:val="0"/>
          <w:szCs w:val="21"/>
          <w:highlight w:val="none"/>
          <w:lang w:bidi="ar"/>
        </w:rPr>
        <w:t>项目信息</w:t>
      </w:r>
    </w:p>
    <w:p w14:paraId="6F4DB79F">
      <w:pPr>
        <w:spacing w:before="120" w:line="320" w:lineRule="atLeast"/>
        <w:ind w:firstLine="420" w:firstLineChars="200"/>
        <w:rPr>
          <w:color w:val="auto"/>
          <w:szCs w:val="21"/>
          <w:highlight w:val="none"/>
        </w:rPr>
      </w:pPr>
      <w:r>
        <w:rPr>
          <w:color w:val="auto"/>
          <w:szCs w:val="21"/>
          <w:highlight w:val="none"/>
          <w:lang w:bidi="ar"/>
        </w:rPr>
        <w:t>1.3.1</w:t>
      </w:r>
      <w:r>
        <w:rPr>
          <w:rFonts w:hint="eastAsia" w:cs="宋体"/>
          <w:color w:val="auto"/>
          <w:szCs w:val="21"/>
          <w:highlight w:val="none"/>
          <w:lang w:bidi="ar"/>
        </w:rPr>
        <w:t>项目名称及编号：详见供应商须知前附表</w:t>
      </w:r>
    </w:p>
    <w:p w14:paraId="59D6F367">
      <w:pPr>
        <w:spacing w:before="120" w:line="320" w:lineRule="atLeast"/>
        <w:ind w:firstLine="420" w:firstLineChars="200"/>
        <w:rPr>
          <w:color w:val="auto"/>
          <w:szCs w:val="21"/>
          <w:highlight w:val="none"/>
        </w:rPr>
      </w:pPr>
      <w:r>
        <w:rPr>
          <w:color w:val="auto"/>
          <w:szCs w:val="21"/>
          <w:highlight w:val="none"/>
          <w:lang w:bidi="ar"/>
        </w:rPr>
        <w:t>1.3.2</w:t>
      </w:r>
      <w:r>
        <w:rPr>
          <w:rFonts w:hint="eastAsia" w:cs="宋体"/>
          <w:color w:val="auto"/>
          <w:szCs w:val="21"/>
          <w:highlight w:val="none"/>
          <w:lang w:bidi="ar"/>
        </w:rPr>
        <w:t>采购方式：详见供应商须知前附表</w:t>
      </w:r>
    </w:p>
    <w:p w14:paraId="40EEB275">
      <w:pPr>
        <w:spacing w:before="120" w:line="320" w:lineRule="atLeast"/>
        <w:ind w:firstLine="422" w:firstLineChars="200"/>
        <w:outlineLvl w:val="2"/>
        <w:rPr>
          <w:b/>
          <w:bCs/>
          <w:color w:val="auto"/>
          <w:kern w:val="0"/>
          <w:szCs w:val="21"/>
          <w:highlight w:val="none"/>
        </w:rPr>
      </w:pPr>
      <w:bookmarkStart w:id="52" w:name="_Hlk132881026"/>
      <w:r>
        <w:rPr>
          <w:b/>
          <w:bCs/>
          <w:color w:val="auto"/>
          <w:kern w:val="0"/>
          <w:szCs w:val="21"/>
          <w:highlight w:val="none"/>
          <w:lang w:bidi="ar"/>
        </w:rPr>
        <w:t>1.4</w:t>
      </w:r>
      <w:r>
        <w:rPr>
          <w:rFonts w:hint="eastAsia" w:cs="宋体"/>
          <w:b/>
          <w:bCs/>
          <w:color w:val="auto"/>
          <w:kern w:val="0"/>
          <w:szCs w:val="21"/>
          <w:highlight w:val="none"/>
          <w:lang w:bidi="ar"/>
        </w:rPr>
        <w:t>促进中小企业发展政策</w:t>
      </w:r>
    </w:p>
    <w:p w14:paraId="71A77374">
      <w:pPr>
        <w:spacing w:before="120" w:line="320" w:lineRule="atLeast"/>
        <w:ind w:left="2" w:leftChars="1" w:firstLine="420" w:firstLineChars="200"/>
        <w:rPr>
          <w:color w:val="auto"/>
          <w:szCs w:val="21"/>
          <w:highlight w:val="none"/>
        </w:rPr>
      </w:pPr>
      <w:r>
        <w:rPr>
          <w:color w:val="auto"/>
          <w:szCs w:val="21"/>
          <w:highlight w:val="none"/>
          <w:lang w:bidi="ar"/>
        </w:rPr>
        <w:t>1.4.1</w:t>
      </w:r>
      <w:r>
        <w:rPr>
          <w:rFonts w:hint="eastAsia" w:cs="宋体"/>
          <w:color w:val="auto"/>
          <w:szCs w:val="21"/>
          <w:highlight w:val="none"/>
          <w:lang w:bidi="ar"/>
        </w:rPr>
        <w:t>本项目落实促进中小企业发展政策措施在前附表规定。依据促进中小企业发展政策获得政府采购合同的，小微企业不得将合同分包给大中型企业，中型企业不得将合同分包给大型企业。</w:t>
      </w:r>
    </w:p>
    <w:p w14:paraId="29502F4C">
      <w:pPr>
        <w:spacing w:before="120" w:line="320" w:lineRule="atLeast"/>
        <w:ind w:left="2" w:leftChars="1" w:firstLine="420" w:firstLineChars="200"/>
        <w:rPr>
          <w:color w:val="auto"/>
          <w:szCs w:val="21"/>
          <w:highlight w:val="none"/>
        </w:rPr>
      </w:pPr>
      <w:bookmarkStart w:id="53" w:name="_Hlk92205820"/>
      <w:r>
        <w:rPr>
          <w:rFonts w:hint="eastAsia" w:cs="宋体"/>
          <w:color w:val="auto"/>
          <w:szCs w:val="21"/>
          <w:highlight w:val="none"/>
          <w:lang w:bidi="ar"/>
        </w:rPr>
        <w:t>根据《政府采购促进中小企业发展管理办法》（财库</w:t>
      </w:r>
      <w:r>
        <w:rPr>
          <w:color w:val="auto"/>
          <w:szCs w:val="21"/>
          <w:highlight w:val="none"/>
          <w:lang w:bidi="ar"/>
        </w:rPr>
        <w:t>[2020]46</w:t>
      </w:r>
      <w:r>
        <w:rPr>
          <w:rFonts w:hint="eastAsia" w:cs="宋体"/>
          <w:color w:val="auto"/>
          <w:szCs w:val="21"/>
          <w:highlight w:val="none"/>
          <w:lang w:bidi="ar"/>
        </w:rPr>
        <w:t>号）第九条以及《广西壮族自治区财政厅</w:t>
      </w:r>
      <w:r>
        <w:rPr>
          <w:color w:val="auto"/>
          <w:szCs w:val="21"/>
          <w:highlight w:val="none"/>
          <w:lang w:bidi="ar"/>
        </w:rPr>
        <w:t xml:space="preserve"> </w:t>
      </w:r>
      <w:r>
        <w:rPr>
          <w:rFonts w:hint="eastAsia" w:cs="宋体"/>
          <w:color w:val="auto"/>
          <w:szCs w:val="21"/>
          <w:highlight w:val="none"/>
          <w:lang w:bidi="ar"/>
        </w:rPr>
        <w:t>广西壮族自治区</w:t>
      </w:r>
      <w:r>
        <w:rPr>
          <w:rFonts w:hint="eastAsia" w:cs="宋体"/>
          <w:color w:val="auto"/>
          <w:szCs w:val="21"/>
          <w:highlight w:val="none"/>
          <w:lang w:eastAsia="zh-CN" w:bidi="ar"/>
        </w:rPr>
        <w:t>软件和信息技术服务业</w:t>
      </w:r>
      <w:r>
        <w:rPr>
          <w:rFonts w:hint="eastAsia" w:cs="宋体"/>
          <w:color w:val="auto"/>
          <w:szCs w:val="21"/>
          <w:highlight w:val="none"/>
          <w:lang w:bidi="ar"/>
        </w:rPr>
        <w:t>和信息化厅转发财政部</w:t>
      </w:r>
      <w:r>
        <w:rPr>
          <w:color w:val="auto"/>
          <w:szCs w:val="21"/>
          <w:highlight w:val="none"/>
          <w:lang w:bidi="ar"/>
        </w:rPr>
        <w:t xml:space="preserve"> </w:t>
      </w:r>
      <w:r>
        <w:rPr>
          <w:rFonts w:hint="eastAsia" w:cs="宋体"/>
          <w:color w:val="auto"/>
          <w:szCs w:val="21"/>
          <w:highlight w:val="none"/>
          <w:lang w:eastAsia="zh-CN" w:bidi="ar"/>
        </w:rPr>
        <w:t>软件和信息技术服务业</w:t>
      </w:r>
      <w:r>
        <w:rPr>
          <w:rFonts w:hint="eastAsia" w:cs="宋体"/>
          <w:color w:val="auto"/>
          <w:szCs w:val="21"/>
          <w:highlight w:val="none"/>
          <w:lang w:bidi="ar"/>
        </w:rPr>
        <w:t>和信息化部政府采购促进中小企业发展管理办法的通知》（桂财采</w:t>
      </w:r>
      <w:r>
        <w:rPr>
          <w:color w:val="auto"/>
          <w:szCs w:val="21"/>
          <w:highlight w:val="none"/>
          <w:lang w:bidi="ar"/>
        </w:rPr>
        <w:t>[2021]70</w:t>
      </w:r>
      <w:r>
        <w:rPr>
          <w:rFonts w:hint="eastAsia" w:cs="宋体"/>
          <w:color w:val="auto"/>
          <w:szCs w:val="21"/>
          <w:highlight w:val="none"/>
          <w:lang w:bidi="ar"/>
        </w:rPr>
        <w:t>号）规定，价格扣除比例在第四章评审方法及标准中规定，对小型企业和微型企业同等对待，不作区分。</w:t>
      </w:r>
    </w:p>
    <w:p w14:paraId="0A994F89">
      <w:pPr>
        <w:spacing w:before="120" w:line="320" w:lineRule="atLeast"/>
        <w:ind w:left="2" w:leftChars="1" w:firstLine="420" w:firstLineChars="200"/>
        <w:rPr>
          <w:color w:val="auto"/>
          <w:szCs w:val="21"/>
          <w:highlight w:val="none"/>
        </w:rPr>
      </w:pPr>
      <w:r>
        <w:rPr>
          <w:color w:val="auto"/>
          <w:szCs w:val="21"/>
          <w:highlight w:val="none"/>
          <w:lang w:bidi="ar"/>
        </w:rPr>
        <w:t>1.4.2</w:t>
      </w:r>
      <w:r>
        <w:rPr>
          <w:rFonts w:hint="eastAsia" w:cs="宋体"/>
          <w:color w:val="auto"/>
          <w:szCs w:val="21"/>
          <w:highlight w:val="none"/>
          <w:lang w:bidi="ar"/>
        </w:rPr>
        <w:t>中小企业定义</w:t>
      </w:r>
    </w:p>
    <w:p w14:paraId="4649FC5B">
      <w:pPr>
        <w:spacing w:before="120" w:line="320" w:lineRule="atLeast"/>
        <w:ind w:firstLine="420" w:firstLineChars="200"/>
        <w:rPr>
          <w:color w:val="auto"/>
          <w:szCs w:val="21"/>
          <w:highlight w:val="none"/>
        </w:rPr>
      </w:pPr>
      <w:r>
        <w:rPr>
          <w:color w:val="auto"/>
          <w:szCs w:val="21"/>
          <w:highlight w:val="none"/>
          <w:lang w:bidi="ar"/>
        </w:rPr>
        <w:t>1.4.2.1</w:t>
      </w:r>
      <w:r>
        <w:rPr>
          <w:rFonts w:hint="eastAsia" w:cs="宋体"/>
          <w:color w:val="auto"/>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87E4F9">
      <w:pPr>
        <w:spacing w:before="120" w:line="320" w:lineRule="atLeast"/>
        <w:ind w:left="2" w:leftChars="1" w:firstLine="420" w:firstLineChars="200"/>
        <w:rPr>
          <w:color w:val="auto"/>
          <w:szCs w:val="21"/>
          <w:highlight w:val="none"/>
        </w:rPr>
      </w:pPr>
      <w:r>
        <w:rPr>
          <w:color w:val="auto"/>
          <w:szCs w:val="21"/>
          <w:highlight w:val="none"/>
          <w:lang w:bidi="ar"/>
        </w:rPr>
        <w:t>1.4.2.2</w:t>
      </w:r>
      <w:r>
        <w:rPr>
          <w:rFonts w:hint="eastAsia" w:cs="宋体"/>
          <w:color w:val="auto"/>
          <w:szCs w:val="21"/>
          <w:highlight w:val="none"/>
          <w:lang w:bidi="ar"/>
        </w:rPr>
        <w:t>供应商提供的货物、工程或者服务符合下列情形的，享受本款规定的促进中小企业发展政策：</w:t>
      </w:r>
    </w:p>
    <w:p w14:paraId="55D386A3">
      <w:pPr>
        <w:spacing w:before="120" w:line="320" w:lineRule="atLeast"/>
        <w:ind w:left="2" w:leftChars="1" w:firstLine="420" w:firstLineChars="200"/>
        <w:rPr>
          <w:color w:val="auto"/>
          <w:szCs w:val="21"/>
          <w:highlight w:val="none"/>
        </w:rPr>
      </w:pPr>
      <w:r>
        <w:rPr>
          <w:rFonts w:hint="eastAsia" w:cs="宋体"/>
          <w:color w:val="auto"/>
          <w:szCs w:val="21"/>
          <w:highlight w:val="none"/>
          <w:lang w:bidi="ar"/>
        </w:rPr>
        <w:t>在货物采购项目中，货物由中小企业制造，即货物由中小企业生产且使用该中小企业商号或者注册商标；</w:t>
      </w:r>
    </w:p>
    <w:p w14:paraId="06EB5C1F">
      <w:pPr>
        <w:spacing w:before="120" w:line="320" w:lineRule="atLeast"/>
        <w:ind w:left="2" w:leftChars="1" w:firstLine="420" w:firstLineChars="200"/>
        <w:rPr>
          <w:color w:val="auto"/>
          <w:szCs w:val="21"/>
          <w:highlight w:val="none"/>
        </w:rPr>
      </w:pPr>
      <w:r>
        <w:rPr>
          <w:rFonts w:hint="eastAsia" w:cs="宋体"/>
          <w:color w:val="auto"/>
          <w:szCs w:val="21"/>
          <w:highlight w:val="none"/>
          <w:lang w:bidi="ar"/>
        </w:rPr>
        <w:t>在工程采购项目中，工程由中小企业承建，即工程施工单位为中小企业；</w:t>
      </w:r>
    </w:p>
    <w:p w14:paraId="711D276D">
      <w:pPr>
        <w:spacing w:before="120" w:line="320" w:lineRule="atLeast"/>
        <w:ind w:left="2" w:leftChars="1" w:firstLine="420" w:firstLineChars="200"/>
        <w:rPr>
          <w:color w:val="auto"/>
          <w:szCs w:val="21"/>
          <w:highlight w:val="none"/>
        </w:rPr>
      </w:pPr>
      <w:r>
        <w:rPr>
          <w:rFonts w:hint="eastAsia" w:cs="宋体"/>
          <w:color w:val="auto"/>
          <w:szCs w:val="21"/>
          <w:highlight w:val="none"/>
          <w:lang w:bidi="ar"/>
        </w:rPr>
        <w:t>在服务采购项目中，服务由中小企业承接，即提供服务的人员为中小企业依照《中华人民共和国劳动合同法》订立劳动合同的从业人员。</w:t>
      </w:r>
    </w:p>
    <w:p w14:paraId="23D64C7E">
      <w:pPr>
        <w:spacing w:before="120" w:line="320" w:lineRule="atLeast"/>
        <w:ind w:left="2" w:leftChars="1" w:firstLine="420" w:firstLineChars="200"/>
        <w:rPr>
          <w:color w:val="auto"/>
          <w:szCs w:val="21"/>
          <w:highlight w:val="none"/>
        </w:rPr>
      </w:pPr>
      <w:r>
        <w:rPr>
          <w:rFonts w:hint="eastAsia" w:cs="宋体"/>
          <w:color w:val="auto"/>
          <w:szCs w:val="21"/>
          <w:highlight w:val="none"/>
          <w:lang w:bidi="ar"/>
        </w:rPr>
        <w:t>在货物采购项目中，供应商提供的货物既有中小企业制造货物，也有大型企业制造货物的，不享受本款规定的促进中小企业发展政策。</w:t>
      </w:r>
    </w:p>
    <w:p w14:paraId="06024AA5">
      <w:pPr>
        <w:spacing w:before="120" w:line="320" w:lineRule="atLeast"/>
        <w:ind w:firstLine="420" w:firstLineChars="200"/>
        <w:rPr>
          <w:color w:val="auto"/>
          <w:szCs w:val="21"/>
          <w:highlight w:val="none"/>
        </w:rPr>
      </w:pPr>
      <w:r>
        <w:rPr>
          <w:color w:val="auto"/>
          <w:szCs w:val="21"/>
          <w:highlight w:val="none"/>
          <w:lang w:bidi="ar"/>
        </w:rPr>
        <w:t>1.4.2.3</w:t>
      </w:r>
      <w:r>
        <w:rPr>
          <w:rFonts w:hint="eastAsia" w:cs="宋体"/>
          <w:color w:val="auto"/>
          <w:szCs w:val="21"/>
          <w:highlight w:val="none"/>
          <w:lang w:bidi="ar"/>
        </w:rPr>
        <w:t>本项目标的所属行业在第二章采购需求中规定。供应商根据中小企业划分标准《关于印发中小企业划型标准规定的通知》（工信部联企业〔</w:t>
      </w:r>
      <w:r>
        <w:rPr>
          <w:color w:val="auto"/>
          <w:szCs w:val="21"/>
          <w:highlight w:val="none"/>
          <w:lang w:bidi="ar"/>
        </w:rPr>
        <w:t>2011</w:t>
      </w:r>
      <w:r>
        <w:rPr>
          <w:rFonts w:hint="eastAsia" w:cs="宋体"/>
          <w:color w:val="auto"/>
          <w:szCs w:val="21"/>
          <w:highlight w:val="none"/>
          <w:lang w:bidi="ar"/>
        </w:rPr>
        <w:t>〕</w:t>
      </w:r>
      <w:r>
        <w:rPr>
          <w:color w:val="auto"/>
          <w:szCs w:val="21"/>
          <w:highlight w:val="none"/>
          <w:lang w:bidi="ar"/>
        </w:rPr>
        <w:t>300</w:t>
      </w:r>
      <w:r>
        <w:rPr>
          <w:rFonts w:hint="eastAsia" w:cs="宋体"/>
          <w:color w:val="auto"/>
          <w:szCs w:val="21"/>
          <w:highlight w:val="none"/>
          <w:lang w:bidi="ar"/>
        </w:rPr>
        <w:t>号）判断是否为中小企业。（见附件）</w:t>
      </w:r>
    </w:p>
    <w:p w14:paraId="6135A4C2">
      <w:pPr>
        <w:spacing w:before="120" w:line="320" w:lineRule="atLeast"/>
        <w:ind w:firstLine="420" w:firstLineChars="200"/>
        <w:rPr>
          <w:color w:val="auto"/>
          <w:szCs w:val="21"/>
          <w:highlight w:val="none"/>
        </w:rPr>
      </w:pPr>
      <w:r>
        <w:rPr>
          <w:rFonts w:hint="eastAsia" w:cs="宋体"/>
          <w:color w:val="auto"/>
          <w:szCs w:val="21"/>
          <w:highlight w:val="none"/>
          <w:lang w:bidi="ar"/>
        </w:rPr>
        <w:t>符合条件的货物制造商、工程施工单位、服务承接单位为中小企业的，应按招标文件规定在投标文件中提供声明函。</w:t>
      </w:r>
    </w:p>
    <w:p w14:paraId="2F03F0D1">
      <w:pPr>
        <w:spacing w:before="120" w:line="320" w:lineRule="atLeast"/>
        <w:ind w:firstLine="420" w:firstLineChars="200"/>
        <w:rPr>
          <w:color w:val="auto"/>
          <w:szCs w:val="21"/>
          <w:highlight w:val="none"/>
        </w:rPr>
      </w:pPr>
      <w:r>
        <w:rPr>
          <w:color w:val="auto"/>
          <w:szCs w:val="21"/>
          <w:highlight w:val="none"/>
          <w:lang w:bidi="ar"/>
        </w:rPr>
        <w:t>1.4.2.4</w:t>
      </w:r>
      <w:r>
        <w:rPr>
          <w:rFonts w:hint="eastAsia" w:cs="宋体"/>
          <w:color w:val="auto"/>
          <w:szCs w:val="21"/>
          <w:highlight w:val="none"/>
          <w:lang w:bidi="ar"/>
        </w:rPr>
        <w:t>视同中小企业情形</w:t>
      </w:r>
    </w:p>
    <w:p w14:paraId="5B9175B6">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）符合中小企业划分标准的个体工商户，视同中小企业。</w:t>
      </w:r>
    </w:p>
    <w:p w14:paraId="03302C17">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）以联合体形式参加政府采购活动，联合体各方均为中小企业的，联合体视同中小企业。其中，联合体各方均为小微企业的，联合体视同小微企业。</w:t>
      </w:r>
    </w:p>
    <w:p w14:paraId="6BB8CE67">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）符合《财政部、司法部关于政府采购支持监狱企业发展有关问题的通知》（财库〔</w:t>
      </w:r>
      <w:r>
        <w:rPr>
          <w:color w:val="auto"/>
          <w:szCs w:val="21"/>
          <w:highlight w:val="none"/>
          <w:lang w:bidi="ar"/>
        </w:rPr>
        <w:t>2014</w:t>
      </w:r>
      <w:r>
        <w:rPr>
          <w:rFonts w:hint="eastAsia" w:cs="宋体"/>
          <w:color w:val="auto"/>
          <w:szCs w:val="21"/>
          <w:highlight w:val="none"/>
          <w:lang w:bidi="ar"/>
        </w:rPr>
        <w:t>〕</w:t>
      </w:r>
      <w:r>
        <w:rPr>
          <w:color w:val="auto"/>
          <w:szCs w:val="21"/>
          <w:highlight w:val="none"/>
          <w:lang w:bidi="ar"/>
        </w:rPr>
        <w:t>68</w:t>
      </w:r>
      <w:r>
        <w:rPr>
          <w:rFonts w:hint="eastAsia" w:cs="宋体"/>
          <w:color w:val="auto"/>
          <w:szCs w:val="21"/>
          <w:highlight w:val="none"/>
          <w:lang w:bidi="ar"/>
        </w:rPr>
        <w:t>号）规定的监狱企业，或符合《关于促进残疾人就业政府采购政策的通知》（财库〔</w:t>
      </w:r>
      <w:r>
        <w:rPr>
          <w:color w:val="auto"/>
          <w:szCs w:val="21"/>
          <w:highlight w:val="none"/>
          <w:lang w:bidi="ar"/>
        </w:rPr>
        <w:t>2017</w:t>
      </w:r>
      <w:r>
        <w:rPr>
          <w:rFonts w:hint="eastAsia" w:cs="宋体"/>
          <w:color w:val="auto"/>
          <w:szCs w:val="21"/>
          <w:highlight w:val="none"/>
          <w:lang w:bidi="ar"/>
        </w:rPr>
        <w:t>〕</w:t>
      </w:r>
      <w:r>
        <w:rPr>
          <w:color w:val="auto"/>
          <w:szCs w:val="21"/>
          <w:highlight w:val="none"/>
          <w:lang w:bidi="ar"/>
        </w:rPr>
        <w:t>141</w:t>
      </w:r>
      <w:r>
        <w:rPr>
          <w:rFonts w:hint="eastAsia" w:cs="宋体"/>
          <w:color w:val="auto"/>
          <w:szCs w:val="21"/>
          <w:highlight w:val="none"/>
          <w:lang w:bidi="ar"/>
        </w:rPr>
        <w:t>号）规定的残疾人福利性单位，视同小型、微型企业。</w:t>
      </w:r>
    </w:p>
    <w:p w14:paraId="7CBC0844">
      <w:pPr>
        <w:spacing w:before="120" w:line="320" w:lineRule="atLeast"/>
        <w:ind w:left="2" w:leftChars="1" w:firstLine="420" w:firstLineChars="200"/>
        <w:rPr>
          <w:color w:val="auto"/>
          <w:szCs w:val="21"/>
          <w:highlight w:val="none"/>
        </w:rPr>
      </w:pPr>
      <w:r>
        <w:rPr>
          <w:rFonts w:hint="eastAsia" w:cs="宋体"/>
          <w:color w:val="auto"/>
          <w:szCs w:val="21"/>
          <w:highlight w:val="none"/>
          <w:lang w:bidi="ar"/>
        </w:rPr>
        <w:t>符合条件的货物制造商、工程施工单位、服务承接单位为监狱企业或残疾人福利性单位的，应按招标文件规定在投标文件中提供相关证明文件。</w:t>
      </w:r>
      <w:bookmarkEnd w:id="53"/>
    </w:p>
    <w:bookmarkEnd w:id="52"/>
    <w:p w14:paraId="2E09F1A6">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1.5</w:t>
      </w:r>
      <w:r>
        <w:rPr>
          <w:rFonts w:hint="eastAsia" w:cs="宋体"/>
          <w:b/>
          <w:bCs/>
          <w:color w:val="auto"/>
          <w:kern w:val="0"/>
          <w:szCs w:val="21"/>
          <w:highlight w:val="none"/>
          <w:lang w:bidi="ar"/>
        </w:rPr>
        <w:t>供应商资格要求</w:t>
      </w:r>
    </w:p>
    <w:p w14:paraId="78501A5D">
      <w:pPr>
        <w:spacing w:before="120" w:line="320" w:lineRule="atLeast"/>
        <w:ind w:firstLine="420" w:firstLineChars="200"/>
        <w:rPr>
          <w:color w:val="auto"/>
          <w:szCs w:val="21"/>
          <w:highlight w:val="none"/>
        </w:rPr>
      </w:pPr>
      <w:r>
        <w:rPr>
          <w:color w:val="auto"/>
          <w:szCs w:val="21"/>
          <w:highlight w:val="none"/>
          <w:lang w:bidi="ar"/>
        </w:rPr>
        <w:t>1.5.1</w:t>
      </w:r>
      <w:r>
        <w:rPr>
          <w:rFonts w:hint="eastAsia" w:cs="宋体"/>
          <w:color w:val="auto"/>
          <w:szCs w:val="21"/>
          <w:highlight w:val="none"/>
          <w:lang w:bidi="ar"/>
        </w:rPr>
        <w:t>供应商资格要求：详见供应商须知前附表</w:t>
      </w:r>
    </w:p>
    <w:p w14:paraId="559720E8">
      <w:pPr>
        <w:spacing w:before="120" w:line="320" w:lineRule="atLeast"/>
        <w:ind w:firstLine="420" w:firstLineChars="200"/>
        <w:rPr>
          <w:color w:val="auto"/>
          <w:szCs w:val="21"/>
          <w:highlight w:val="none"/>
        </w:rPr>
      </w:pPr>
      <w:r>
        <w:rPr>
          <w:color w:val="auto"/>
          <w:szCs w:val="21"/>
          <w:highlight w:val="none"/>
          <w:lang w:bidi="ar"/>
        </w:rPr>
        <w:t>1.5.2</w:t>
      </w:r>
      <w:r>
        <w:rPr>
          <w:rFonts w:hint="eastAsia" w:cs="宋体"/>
          <w:color w:val="auto"/>
          <w:szCs w:val="21"/>
          <w:highlight w:val="none"/>
          <w:lang w:bidi="ar"/>
        </w:rPr>
        <w:t>按照招标公告的规定获得招标文件。</w:t>
      </w:r>
    </w:p>
    <w:p w14:paraId="4A6685B3">
      <w:pPr>
        <w:spacing w:before="120" w:line="320" w:lineRule="atLeast"/>
        <w:ind w:firstLine="420" w:firstLineChars="200"/>
        <w:rPr>
          <w:color w:val="auto"/>
          <w:szCs w:val="21"/>
          <w:highlight w:val="none"/>
        </w:rPr>
      </w:pPr>
      <w:r>
        <w:rPr>
          <w:color w:val="auto"/>
          <w:szCs w:val="21"/>
          <w:highlight w:val="none"/>
          <w:lang w:bidi="ar"/>
        </w:rPr>
        <w:t>1.5.3</w:t>
      </w:r>
      <w:r>
        <w:rPr>
          <w:rFonts w:hint="eastAsia" w:cs="宋体"/>
          <w:color w:val="auto"/>
          <w:szCs w:val="21"/>
          <w:highlight w:val="none"/>
          <w:lang w:bidi="ar"/>
        </w:rPr>
        <w:t>本项目是否接受联合体投标，见</w:t>
      </w:r>
      <w:r>
        <w:rPr>
          <w:color w:val="auto"/>
          <w:szCs w:val="21"/>
          <w:highlight w:val="none"/>
          <w:lang w:bidi="ar"/>
        </w:rPr>
        <w:t>“</w:t>
      </w:r>
      <w:r>
        <w:rPr>
          <w:rFonts w:hint="eastAsia" w:cs="宋体"/>
          <w:color w:val="auto"/>
          <w:szCs w:val="21"/>
          <w:highlight w:val="none"/>
          <w:lang w:bidi="ar"/>
        </w:rPr>
        <w:t>供应商须知前附表</w:t>
      </w:r>
      <w:r>
        <w:rPr>
          <w:color w:val="auto"/>
          <w:szCs w:val="21"/>
          <w:highlight w:val="none"/>
          <w:lang w:bidi="ar"/>
        </w:rPr>
        <w:t>”</w:t>
      </w:r>
      <w:r>
        <w:rPr>
          <w:rFonts w:hint="eastAsia" w:cs="宋体"/>
          <w:color w:val="auto"/>
          <w:szCs w:val="21"/>
          <w:highlight w:val="none"/>
          <w:lang w:bidi="ar"/>
        </w:rPr>
        <w:t>规定。</w:t>
      </w:r>
    </w:p>
    <w:p w14:paraId="47E2893E">
      <w:pPr>
        <w:spacing w:before="120" w:line="320" w:lineRule="atLeast"/>
        <w:ind w:firstLine="420" w:firstLineChars="200"/>
        <w:rPr>
          <w:color w:val="auto"/>
          <w:szCs w:val="21"/>
          <w:highlight w:val="none"/>
        </w:rPr>
      </w:pPr>
      <w:r>
        <w:rPr>
          <w:rFonts w:hint="eastAsia" w:cs="宋体"/>
          <w:color w:val="auto"/>
          <w:szCs w:val="21"/>
          <w:highlight w:val="none"/>
          <w:lang w:bidi="ar"/>
        </w:rPr>
        <w:t>如接受联合体投标，联合体投标要求如下：</w:t>
      </w:r>
      <w:r>
        <w:rPr>
          <w:color w:val="auto"/>
          <w:szCs w:val="21"/>
          <w:highlight w:val="none"/>
          <w:lang w:bidi="ar"/>
        </w:rPr>
        <w:t xml:space="preserve"> </w:t>
      </w:r>
    </w:p>
    <w:p w14:paraId="3DFB4B26">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）供应商可以组成一个投标联合体，以一个供应商的身份共同参加投标。联合体投标的，须提供《联合体协议书》（格式后附）</w:t>
      </w:r>
    </w:p>
    <w:p w14:paraId="335020BE">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39B29CA4">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58A046C">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）以联合体形式参加政府采购活动的，联合体各方不得再单独参加或者与其他供应商另外组成联合体参加同一合同项下的政府采购活动。</w:t>
      </w:r>
    </w:p>
    <w:p w14:paraId="19728E39">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5</w:t>
      </w:r>
      <w:r>
        <w:rPr>
          <w:rFonts w:hint="eastAsia" w:cs="宋体"/>
          <w:color w:val="auto"/>
          <w:szCs w:val="21"/>
          <w:highlight w:val="none"/>
          <w:lang w:bidi="ar"/>
        </w:rPr>
        <w:t>）联合体中有同类资质的供应商按照联合体分工承担相同工作的，应当按照资质等级较低的供应商确定资质等级。</w:t>
      </w:r>
    </w:p>
    <w:p w14:paraId="66852967">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6</w:t>
      </w:r>
      <w:r>
        <w:rPr>
          <w:rFonts w:hint="eastAsia" w:cs="宋体"/>
          <w:color w:val="auto"/>
          <w:szCs w:val="21"/>
          <w:highlight w:val="none"/>
          <w:lang w:bidi="ar"/>
        </w:rPr>
        <w:t>）联合体投标业绩、履约能力按照联合体各方其中较高的一方认定并计算（招标文件其他章节另有规定的除外）。</w:t>
      </w:r>
    </w:p>
    <w:p w14:paraId="4D37881C">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7</w:t>
      </w:r>
      <w:r>
        <w:rPr>
          <w:rFonts w:hint="eastAsia" w:cs="宋体"/>
          <w:color w:val="auto"/>
          <w:szCs w:val="21"/>
          <w:highlight w:val="none"/>
          <w:lang w:bidi="ar"/>
        </w:rPr>
        <w:t>）供应商为联合体的，可以由联合体中的一方或者多方共同交纳投标保证金，其交纳的保证金对联合体各方均具有约束力。</w:t>
      </w:r>
    </w:p>
    <w:p w14:paraId="0E7A8A18">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8</w:t>
      </w:r>
      <w:r>
        <w:rPr>
          <w:rFonts w:hint="eastAsia" w:cs="宋体"/>
          <w:color w:val="auto"/>
          <w:szCs w:val="21"/>
          <w:highlight w:val="none"/>
          <w:lang w:bidi="ar"/>
        </w:rPr>
        <w:t>）联合体各方均应按照招标文件的规定提交资格证明文件。</w:t>
      </w:r>
    </w:p>
    <w:p w14:paraId="10C44D9C">
      <w:pPr>
        <w:spacing w:before="120" w:line="320" w:lineRule="atLeast"/>
        <w:ind w:firstLine="422" w:firstLineChars="200"/>
        <w:outlineLvl w:val="2"/>
        <w:rPr>
          <w:b/>
          <w:bCs/>
          <w:color w:val="auto"/>
          <w:kern w:val="0"/>
          <w:szCs w:val="21"/>
          <w:highlight w:val="none"/>
        </w:rPr>
      </w:pPr>
      <w:bookmarkStart w:id="54" w:name="_Toc254970672"/>
      <w:bookmarkStart w:id="55" w:name="_Toc254970531"/>
      <w:r>
        <w:rPr>
          <w:b/>
          <w:bCs/>
          <w:color w:val="auto"/>
          <w:kern w:val="0"/>
          <w:szCs w:val="21"/>
          <w:highlight w:val="none"/>
          <w:lang w:bidi="ar"/>
        </w:rPr>
        <w:t>1.6</w:t>
      </w:r>
      <w:r>
        <w:rPr>
          <w:rFonts w:hint="eastAsia" w:cs="宋体"/>
          <w:b/>
          <w:bCs/>
          <w:color w:val="auto"/>
          <w:kern w:val="0"/>
          <w:szCs w:val="21"/>
          <w:highlight w:val="none"/>
          <w:lang w:bidi="ar"/>
        </w:rPr>
        <w:t>现场踏勘及投标费用</w:t>
      </w:r>
      <w:bookmarkEnd w:id="54"/>
      <w:bookmarkEnd w:id="55"/>
    </w:p>
    <w:p w14:paraId="46DB520C">
      <w:pPr>
        <w:spacing w:before="120" w:line="320" w:lineRule="atLeast"/>
        <w:ind w:firstLine="420" w:firstLineChars="200"/>
        <w:rPr>
          <w:color w:val="auto"/>
          <w:szCs w:val="21"/>
          <w:highlight w:val="none"/>
        </w:rPr>
      </w:pPr>
      <w:r>
        <w:rPr>
          <w:color w:val="auto"/>
          <w:szCs w:val="21"/>
          <w:highlight w:val="none"/>
          <w:lang w:bidi="ar"/>
        </w:rPr>
        <w:t>1.6.1</w:t>
      </w:r>
      <w:r>
        <w:rPr>
          <w:rFonts w:hint="eastAsia" w:cs="宋体"/>
          <w:color w:val="auto"/>
          <w:szCs w:val="21"/>
          <w:highlight w:val="none"/>
          <w:lang w:bidi="ar"/>
        </w:rPr>
        <w:t>前附表如规定现场踏勘的，供应商应按规定时间地点参加踏勘。</w:t>
      </w:r>
    </w:p>
    <w:p w14:paraId="1B58F26F">
      <w:pPr>
        <w:spacing w:before="120" w:line="320" w:lineRule="atLeast"/>
        <w:ind w:firstLine="420" w:firstLineChars="200"/>
        <w:rPr>
          <w:color w:val="auto"/>
          <w:szCs w:val="21"/>
          <w:highlight w:val="none"/>
        </w:rPr>
      </w:pPr>
      <w:r>
        <w:rPr>
          <w:color w:val="auto"/>
          <w:szCs w:val="21"/>
          <w:highlight w:val="none"/>
          <w:lang w:bidi="ar"/>
        </w:rPr>
        <w:t>1.6.2</w:t>
      </w:r>
      <w:r>
        <w:rPr>
          <w:rFonts w:hint="eastAsia" w:cs="宋体"/>
          <w:color w:val="auto"/>
          <w:szCs w:val="21"/>
          <w:highlight w:val="none"/>
          <w:lang w:bidi="ar"/>
        </w:rPr>
        <w:t>供应商均应自行承担所有与投标有关的全部费用（招标文件有相关的规定除外）。</w:t>
      </w:r>
    </w:p>
    <w:p w14:paraId="25A3D7C3">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1.7</w:t>
      </w:r>
      <w:r>
        <w:rPr>
          <w:rFonts w:hint="eastAsia" w:cs="宋体"/>
          <w:b/>
          <w:bCs/>
          <w:color w:val="auto"/>
          <w:kern w:val="0"/>
          <w:szCs w:val="21"/>
          <w:highlight w:val="none"/>
          <w:lang w:bidi="ar"/>
        </w:rPr>
        <w:t>转包与分包</w:t>
      </w:r>
    </w:p>
    <w:p w14:paraId="3A5C263C">
      <w:pPr>
        <w:spacing w:before="120" w:line="320" w:lineRule="atLeast"/>
        <w:ind w:firstLine="420" w:firstLineChars="200"/>
        <w:rPr>
          <w:color w:val="auto"/>
          <w:szCs w:val="21"/>
          <w:highlight w:val="none"/>
        </w:rPr>
      </w:pPr>
      <w:r>
        <w:rPr>
          <w:color w:val="auto"/>
          <w:szCs w:val="21"/>
          <w:highlight w:val="none"/>
          <w:lang w:bidi="ar"/>
        </w:rPr>
        <w:t>1.7.1</w:t>
      </w:r>
      <w:r>
        <w:rPr>
          <w:rFonts w:hint="eastAsia" w:cs="宋体"/>
          <w:color w:val="auto"/>
          <w:szCs w:val="21"/>
          <w:highlight w:val="none"/>
          <w:lang w:bidi="ar"/>
        </w:rPr>
        <w:t>如招标文件其他地方无特别规定，本项目不允许转包。</w:t>
      </w:r>
    </w:p>
    <w:p w14:paraId="2DAD868E">
      <w:pPr>
        <w:spacing w:before="120" w:line="320" w:lineRule="atLeast"/>
        <w:ind w:firstLine="420" w:firstLineChars="200"/>
        <w:rPr>
          <w:color w:val="auto"/>
          <w:szCs w:val="21"/>
          <w:highlight w:val="none"/>
        </w:rPr>
      </w:pPr>
      <w:r>
        <w:rPr>
          <w:color w:val="auto"/>
          <w:szCs w:val="21"/>
          <w:highlight w:val="none"/>
          <w:lang w:bidi="ar"/>
        </w:rPr>
        <w:t>1.7.2</w:t>
      </w:r>
      <w:r>
        <w:rPr>
          <w:rFonts w:hint="eastAsia" w:cs="宋体"/>
          <w:color w:val="auto"/>
          <w:szCs w:val="21"/>
          <w:highlight w:val="none"/>
          <w:lang w:bidi="ar"/>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1716A1C">
      <w:pPr>
        <w:spacing w:before="120" w:line="276" w:lineRule="auto"/>
        <w:ind w:firstLine="422" w:firstLineChars="200"/>
        <w:outlineLvl w:val="2"/>
        <w:rPr>
          <w:b/>
          <w:bCs/>
          <w:color w:val="auto"/>
          <w:kern w:val="0"/>
          <w:szCs w:val="21"/>
          <w:highlight w:val="none"/>
        </w:rPr>
      </w:pPr>
      <w:bookmarkStart w:id="56" w:name="_Toc254970532"/>
      <w:bookmarkStart w:id="57" w:name="_Toc254970673"/>
      <w:r>
        <w:rPr>
          <w:b/>
          <w:bCs/>
          <w:color w:val="auto"/>
          <w:kern w:val="0"/>
          <w:szCs w:val="21"/>
          <w:highlight w:val="none"/>
          <w:lang w:bidi="ar"/>
        </w:rPr>
        <w:t>1.8</w:t>
      </w:r>
      <w:r>
        <w:rPr>
          <w:rFonts w:hint="eastAsia" w:cs="宋体"/>
          <w:b/>
          <w:bCs/>
          <w:color w:val="auto"/>
          <w:kern w:val="0"/>
          <w:szCs w:val="21"/>
          <w:highlight w:val="none"/>
          <w:lang w:bidi="ar"/>
        </w:rPr>
        <w:t>特别说明</w:t>
      </w:r>
      <w:bookmarkEnd w:id="56"/>
      <w:bookmarkEnd w:id="57"/>
    </w:p>
    <w:p w14:paraId="720115A3">
      <w:pPr>
        <w:spacing w:line="276" w:lineRule="auto"/>
        <w:ind w:firstLine="420" w:firstLineChars="200"/>
        <w:rPr>
          <w:color w:val="auto"/>
          <w:szCs w:val="21"/>
          <w:highlight w:val="none"/>
        </w:rPr>
      </w:pPr>
      <w:r>
        <w:rPr>
          <w:color w:val="auto"/>
          <w:szCs w:val="21"/>
          <w:highlight w:val="none"/>
          <w:lang w:bidi="ar"/>
        </w:rPr>
        <w:t xml:space="preserve">1.8.1 </w:t>
      </w:r>
      <w:r>
        <w:rPr>
          <w:rFonts w:hint="eastAsia" w:cs="宋体"/>
          <w:color w:val="auto"/>
          <w:szCs w:val="21"/>
          <w:highlight w:val="none"/>
          <w:lang w:bidi="ar"/>
        </w:rPr>
        <w:t>供应商应保证其提供的联系方式（电话、传真、电子邮件）有效，以保证往来函件（澄清、修改等）能及时通知供应商，并能及时反馈，否则采购人及代理机构不承担由此引起的一切后果。</w:t>
      </w:r>
    </w:p>
    <w:p w14:paraId="1DE3CC03">
      <w:pPr>
        <w:spacing w:before="120" w:line="320" w:lineRule="atLeast"/>
        <w:ind w:firstLine="420" w:firstLineChars="200"/>
        <w:rPr>
          <w:color w:val="auto"/>
          <w:szCs w:val="21"/>
          <w:highlight w:val="none"/>
        </w:rPr>
      </w:pPr>
      <w:r>
        <w:rPr>
          <w:color w:val="auto"/>
          <w:szCs w:val="21"/>
          <w:highlight w:val="none"/>
          <w:lang w:bidi="ar"/>
        </w:rPr>
        <w:t>1.8.2</w:t>
      </w:r>
      <w:r>
        <w:rPr>
          <w:rFonts w:hint="eastAsia" w:cs="宋体"/>
          <w:color w:val="auto"/>
          <w:szCs w:val="21"/>
          <w:highlight w:val="none"/>
          <w:lang w:bidi="ar"/>
        </w:rPr>
        <w:t>供应商应仔细阅读招标文件的所有内容，按照招标文件的要求提交投标文件，并对所提供的全部资料的真实性承担法律责任。</w:t>
      </w:r>
    </w:p>
    <w:p w14:paraId="75739F1F">
      <w:pPr>
        <w:spacing w:before="120" w:line="360" w:lineRule="auto"/>
        <w:ind w:firstLine="420" w:firstLineChars="200"/>
        <w:rPr>
          <w:color w:val="auto"/>
          <w:szCs w:val="21"/>
          <w:highlight w:val="none"/>
        </w:rPr>
      </w:pPr>
      <w:r>
        <w:rPr>
          <w:color w:val="auto"/>
          <w:szCs w:val="21"/>
          <w:highlight w:val="none"/>
          <w:lang w:bidi="ar"/>
        </w:rPr>
        <w:t>1.8.3</w:t>
      </w:r>
      <w:r>
        <w:rPr>
          <w:rFonts w:hint="eastAsia" w:cs="宋体"/>
          <w:color w:val="auto"/>
          <w:szCs w:val="21"/>
          <w:highlight w:val="none"/>
          <w:lang w:bidi="ar"/>
        </w:rPr>
        <w:t>供应商在投标活动中提供任何虚假材料，将报监管部门查处；</w:t>
      </w:r>
      <w:r>
        <w:rPr>
          <w:color w:val="auto"/>
          <w:szCs w:val="21"/>
          <w:highlight w:val="none"/>
          <w:lang w:bidi="ar"/>
        </w:rPr>
        <w:t xml:space="preserve"> </w:t>
      </w:r>
    </w:p>
    <w:p w14:paraId="76E2A3A6">
      <w:pPr>
        <w:spacing w:before="120" w:line="320" w:lineRule="atLeast"/>
        <w:ind w:left="2" w:leftChars="1" w:firstLine="422" w:firstLineChars="200"/>
        <w:outlineLvl w:val="1"/>
        <w:rPr>
          <w:b/>
          <w:bCs/>
          <w:color w:val="auto"/>
          <w:kern w:val="0"/>
          <w:szCs w:val="21"/>
          <w:highlight w:val="none"/>
        </w:rPr>
      </w:pPr>
      <w:bookmarkStart w:id="58" w:name="_Toc254970534"/>
      <w:bookmarkStart w:id="59" w:name="_Toc254970675"/>
      <w:r>
        <w:rPr>
          <w:b/>
          <w:bCs/>
          <w:color w:val="auto"/>
          <w:kern w:val="0"/>
          <w:szCs w:val="21"/>
          <w:highlight w:val="none"/>
          <w:lang w:bidi="ar"/>
        </w:rPr>
        <w:t>2</w:t>
      </w:r>
      <w:r>
        <w:rPr>
          <w:rFonts w:hint="eastAsia" w:cs="宋体"/>
          <w:b/>
          <w:bCs/>
          <w:color w:val="auto"/>
          <w:kern w:val="0"/>
          <w:szCs w:val="21"/>
          <w:highlight w:val="none"/>
          <w:lang w:bidi="ar"/>
        </w:rPr>
        <w:t>．招标文件</w:t>
      </w:r>
      <w:bookmarkEnd w:id="58"/>
      <w:bookmarkEnd w:id="59"/>
    </w:p>
    <w:p w14:paraId="589D4BCD">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2.1</w:t>
      </w:r>
      <w:r>
        <w:rPr>
          <w:rFonts w:hint="eastAsia" w:cs="宋体"/>
          <w:b/>
          <w:bCs/>
          <w:color w:val="auto"/>
          <w:kern w:val="0"/>
          <w:szCs w:val="21"/>
          <w:highlight w:val="none"/>
          <w:lang w:bidi="ar"/>
        </w:rPr>
        <w:t>招标文件的构成</w:t>
      </w:r>
    </w:p>
    <w:p w14:paraId="38279447">
      <w:pPr>
        <w:spacing w:before="120" w:line="320" w:lineRule="atLeast"/>
        <w:ind w:firstLine="420" w:firstLineChars="200"/>
        <w:rPr>
          <w:color w:val="auto"/>
          <w:szCs w:val="21"/>
          <w:highlight w:val="none"/>
        </w:rPr>
      </w:pPr>
      <w:r>
        <w:rPr>
          <w:rFonts w:hint="eastAsia" w:cs="宋体"/>
          <w:color w:val="auto"/>
          <w:szCs w:val="21"/>
          <w:highlight w:val="none"/>
          <w:lang w:bidi="ar"/>
        </w:rPr>
        <w:t>第一章</w:t>
      </w:r>
      <w:r>
        <w:rPr>
          <w:color w:val="auto"/>
          <w:szCs w:val="21"/>
          <w:highlight w:val="none"/>
          <w:lang w:bidi="ar"/>
        </w:rPr>
        <w:t xml:space="preserve"> </w:t>
      </w:r>
      <w:r>
        <w:rPr>
          <w:rFonts w:hint="eastAsia" w:cs="宋体"/>
          <w:color w:val="auto"/>
          <w:szCs w:val="21"/>
          <w:highlight w:val="none"/>
          <w:lang w:bidi="ar"/>
        </w:rPr>
        <w:t>招标公告</w:t>
      </w:r>
    </w:p>
    <w:p w14:paraId="331293DB">
      <w:pPr>
        <w:spacing w:before="120" w:line="320" w:lineRule="atLeast"/>
        <w:ind w:firstLine="420" w:firstLineChars="200"/>
        <w:rPr>
          <w:color w:val="auto"/>
          <w:szCs w:val="21"/>
          <w:highlight w:val="none"/>
        </w:rPr>
      </w:pPr>
      <w:r>
        <w:rPr>
          <w:rFonts w:hint="eastAsia" w:cs="宋体"/>
          <w:color w:val="auto"/>
          <w:szCs w:val="21"/>
          <w:highlight w:val="none"/>
          <w:lang w:bidi="ar"/>
        </w:rPr>
        <w:t>第二章</w:t>
      </w:r>
      <w:r>
        <w:rPr>
          <w:color w:val="auto"/>
          <w:szCs w:val="21"/>
          <w:highlight w:val="none"/>
          <w:lang w:bidi="ar"/>
        </w:rPr>
        <w:t xml:space="preserve"> </w:t>
      </w:r>
      <w:r>
        <w:rPr>
          <w:rFonts w:hint="eastAsia" w:cs="宋体"/>
          <w:color w:val="auto"/>
          <w:szCs w:val="21"/>
          <w:highlight w:val="none"/>
          <w:lang w:bidi="ar"/>
        </w:rPr>
        <w:t>采购需求</w:t>
      </w:r>
    </w:p>
    <w:p w14:paraId="506F6F08">
      <w:pPr>
        <w:spacing w:before="120" w:line="320" w:lineRule="atLeast"/>
        <w:ind w:firstLine="420" w:firstLineChars="200"/>
        <w:rPr>
          <w:color w:val="auto"/>
          <w:szCs w:val="21"/>
          <w:highlight w:val="none"/>
        </w:rPr>
      </w:pPr>
      <w:r>
        <w:rPr>
          <w:rFonts w:hint="eastAsia" w:cs="宋体"/>
          <w:color w:val="auto"/>
          <w:szCs w:val="21"/>
          <w:highlight w:val="none"/>
          <w:lang w:bidi="ar"/>
        </w:rPr>
        <w:t>第三章</w:t>
      </w:r>
      <w:r>
        <w:rPr>
          <w:color w:val="auto"/>
          <w:szCs w:val="21"/>
          <w:highlight w:val="none"/>
          <w:lang w:bidi="ar"/>
        </w:rPr>
        <w:t xml:space="preserve"> </w:t>
      </w:r>
      <w:r>
        <w:rPr>
          <w:rFonts w:hint="eastAsia" w:cs="宋体"/>
          <w:color w:val="auto"/>
          <w:szCs w:val="21"/>
          <w:highlight w:val="none"/>
          <w:lang w:bidi="ar"/>
        </w:rPr>
        <w:t>供应商须知</w:t>
      </w:r>
    </w:p>
    <w:p w14:paraId="37B4AB8D">
      <w:pPr>
        <w:spacing w:before="120" w:line="320" w:lineRule="atLeast"/>
        <w:ind w:firstLine="420" w:firstLineChars="200"/>
        <w:rPr>
          <w:color w:val="auto"/>
          <w:szCs w:val="21"/>
          <w:highlight w:val="none"/>
        </w:rPr>
      </w:pPr>
      <w:r>
        <w:rPr>
          <w:rFonts w:hint="eastAsia" w:cs="宋体"/>
          <w:color w:val="auto"/>
          <w:szCs w:val="21"/>
          <w:highlight w:val="none"/>
          <w:lang w:bidi="ar"/>
        </w:rPr>
        <w:t>第四章</w:t>
      </w:r>
      <w:r>
        <w:rPr>
          <w:color w:val="auto"/>
          <w:szCs w:val="21"/>
          <w:highlight w:val="none"/>
          <w:lang w:bidi="ar"/>
        </w:rPr>
        <w:t xml:space="preserve"> </w:t>
      </w:r>
      <w:r>
        <w:rPr>
          <w:rFonts w:hint="eastAsia" w:cs="宋体"/>
          <w:color w:val="auto"/>
          <w:szCs w:val="21"/>
          <w:highlight w:val="none"/>
          <w:lang w:bidi="ar"/>
        </w:rPr>
        <w:t>评审方法及标准</w:t>
      </w:r>
    </w:p>
    <w:p w14:paraId="6329AC3C">
      <w:pPr>
        <w:spacing w:before="120" w:line="320" w:lineRule="atLeast"/>
        <w:ind w:firstLine="420" w:firstLineChars="200"/>
        <w:rPr>
          <w:color w:val="auto"/>
          <w:szCs w:val="21"/>
          <w:highlight w:val="none"/>
        </w:rPr>
      </w:pPr>
      <w:r>
        <w:rPr>
          <w:rFonts w:hint="eastAsia" w:cs="宋体"/>
          <w:color w:val="auto"/>
          <w:szCs w:val="21"/>
          <w:highlight w:val="none"/>
          <w:lang w:bidi="ar"/>
        </w:rPr>
        <w:t>第五章</w:t>
      </w:r>
      <w:r>
        <w:rPr>
          <w:color w:val="auto"/>
          <w:szCs w:val="21"/>
          <w:highlight w:val="none"/>
          <w:lang w:bidi="ar"/>
        </w:rPr>
        <w:t xml:space="preserve"> </w:t>
      </w:r>
      <w:r>
        <w:rPr>
          <w:rFonts w:hint="eastAsia" w:cs="宋体"/>
          <w:color w:val="auto"/>
          <w:szCs w:val="21"/>
          <w:highlight w:val="none"/>
          <w:lang w:bidi="ar"/>
        </w:rPr>
        <w:t>合同主要条款格式</w:t>
      </w:r>
    </w:p>
    <w:p w14:paraId="79B21380">
      <w:pPr>
        <w:spacing w:before="120" w:line="320" w:lineRule="atLeast"/>
        <w:ind w:firstLine="420" w:firstLineChars="200"/>
        <w:rPr>
          <w:color w:val="auto"/>
          <w:szCs w:val="21"/>
          <w:highlight w:val="none"/>
        </w:rPr>
      </w:pPr>
      <w:r>
        <w:rPr>
          <w:rFonts w:hint="eastAsia" w:cs="宋体"/>
          <w:color w:val="auto"/>
          <w:szCs w:val="21"/>
          <w:highlight w:val="none"/>
          <w:lang w:bidi="ar"/>
        </w:rPr>
        <w:t>第六章</w:t>
      </w:r>
      <w:r>
        <w:rPr>
          <w:color w:val="auto"/>
          <w:szCs w:val="21"/>
          <w:highlight w:val="none"/>
          <w:lang w:bidi="ar"/>
        </w:rPr>
        <w:t xml:space="preserve"> </w:t>
      </w:r>
      <w:r>
        <w:rPr>
          <w:rFonts w:hint="eastAsia" w:cs="宋体"/>
          <w:color w:val="auto"/>
          <w:szCs w:val="21"/>
          <w:highlight w:val="none"/>
          <w:lang w:bidi="ar"/>
        </w:rPr>
        <w:t>投标文件格式</w:t>
      </w:r>
    </w:p>
    <w:p w14:paraId="756FDEA1">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2.2</w:t>
      </w:r>
      <w:r>
        <w:rPr>
          <w:rFonts w:hint="eastAsia" w:cs="宋体"/>
          <w:b/>
          <w:bCs/>
          <w:color w:val="auto"/>
          <w:kern w:val="0"/>
          <w:szCs w:val="21"/>
          <w:highlight w:val="none"/>
          <w:lang w:bidi="ar"/>
        </w:rPr>
        <w:t>供应商的风险</w:t>
      </w:r>
    </w:p>
    <w:p w14:paraId="47E6886A">
      <w:pPr>
        <w:spacing w:before="120" w:line="320" w:lineRule="atLeast"/>
        <w:ind w:firstLine="420" w:firstLineChars="200"/>
        <w:rPr>
          <w:color w:val="auto"/>
          <w:szCs w:val="21"/>
          <w:highlight w:val="none"/>
        </w:rPr>
      </w:pPr>
      <w:r>
        <w:rPr>
          <w:rFonts w:hint="eastAsia" w:cs="宋体"/>
          <w:color w:val="auto"/>
          <w:szCs w:val="21"/>
          <w:highlight w:val="none"/>
          <w:lang w:bidi="ar"/>
        </w:rPr>
        <w:t>供应商没有按照招标文件要求提供全部资料，或者供应商没有对招标文件在各方面作出实质性响应是供应商的风险，并可能导致其投标被否决。</w:t>
      </w:r>
    </w:p>
    <w:p w14:paraId="6230682A">
      <w:pPr>
        <w:spacing w:before="120" w:line="320" w:lineRule="atLeast"/>
        <w:ind w:firstLine="422" w:firstLineChars="200"/>
        <w:outlineLvl w:val="2"/>
        <w:rPr>
          <w:b/>
          <w:color w:val="auto"/>
          <w:szCs w:val="21"/>
          <w:highlight w:val="none"/>
        </w:rPr>
      </w:pPr>
      <w:r>
        <w:rPr>
          <w:b/>
          <w:bCs/>
          <w:color w:val="auto"/>
          <w:kern w:val="0"/>
          <w:szCs w:val="21"/>
          <w:highlight w:val="none"/>
          <w:lang w:bidi="ar"/>
        </w:rPr>
        <w:t>2.3</w:t>
      </w:r>
      <w:r>
        <w:rPr>
          <w:rFonts w:hint="eastAsia" w:cs="宋体"/>
          <w:b/>
          <w:bCs/>
          <w:color w:val="auto"/>
          <w:kern w:val="0"/>
          <w:szCs w:val="21"/>
          <w:highlight w:val="none"/>
          <w:lang w:bidi="ar"/>
        </w:rPr>
        <w:t>招标文件的澄清与修改</w:t>
      </w:r>
    </w:p>
    <w:p w14:paraId="5124B0BB">
      <w:pPr>
        <w:spacing w:before="120" w:line="320" w:lineRule="atLeast"/>
        <w:ind w:firstLine="420" w:firstLineChars="200"/>
        <w:rPr>
          <w:color w:val="auto"/>
          <w:szCs w:val="21"/>
          <w:highlight w:val="none"/>
        </w:rPr>
      </w:pPr>
      <w:r>
        <w:rPr>
          <w:color w:val="auto"/>
          <w:szCs w:val="21"/>
          <w:highlight w:val="none"/>
          <w:lang w:bidi="ar"/>
        </w:rPr>
        <w:t>2.3.1</w:t>
      </w:r>
      <w:r>
        <w:rPr>
          <w:rFonts w:hint="eastAsia" w:cs="宋体"/>
          <w:color w:val="auto"/>
          <w:szCs w:val="21"/>
          <w:highlight w:val="none"/>
          <w:lang w:bidi="ar"/>
        </w:rPr>
        <w:t>任何已获得招标文件的潜在供应商，均可以书面形式要求采购代理机构作出书面解释、澄清。</w:t>
      </w:r>
    </w:p>
    <w:p w14:paraId="505EA1EC">
      <w:pPr>
        <w:spacing w:before="120" w:line="320" w:lineRule="atLeast"/>
        <w:ind w:firstLine="420" w:firstLineChars="200"/>
        <w:rPr>
          <w:color w:val="auto"/>
          <w:szCs w:val="21"/>
          <w:highlight w:val="none"/>
        </w:rPr>
      </w:pPr>
      <w:r>
        <w:rPr>
          <w:color w:val="auto"/>
          <w:szCs w:val="21"/>
          <w:highlight w:val="none"/>
          <w:lang w:bidi="ar"/>
        </w:rPr>
        <w:t>2.3.2</w:t>
      </w:r>
      <w:r>
        <w:rPr>
          <w:rFonts w:hint="eastAsia" w:cs="宋体"/>
          <w:color w:val="auto"/>
          <w:szCs w:val="21"/>
          <w:highlight w:val="none"/>
          <w:lang w:bidi="ar"/>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Pr>
          <w:color w:val="auto"/>
          <w:szCs w:val="21"/>
          <w:highlight w:val="none"/>
          <w:lang w:bidi="ar"/>
        </w:rPr>
        <w:t>15</w:t>
      </w:r>
      <w:r>
        <w:rPr>
          <w:rFonts w:hint="eastAsia" w:cs="宋体"/>
          <w:color w:val="auto"/>
          <w:szCs w:val="21"/>
          <w:highlight w:val="none"/>
          <w:lang w:bidi="ar"/>
        </w:rPr>
        <w:t>日前，在投标人须知前附表规定的方式通知所有获取招标文件的潜在投标人；不足</w:t>
      </w:r>
      <w:r>
        <w:rPr>
          <w:color w:val="auto"/>
          <w:szCs w:val="21"/>
          <w:highlight w:val="none"/>
          <w:lang w:bidi="ar"/>
        </w:rPr>
        <w:t>15</w:t>
      </w:r>
      <w:r>
        <w:rPr>
          <w:rFonts w:hint="eastAsia" w:cs="宋体"/>
          <w:color w:val="auto"/>
          <w:szCs w:val="21"/>
          <w:highlight w:val="none"/>
          <w:lang w:bidi="ar"/>
        </w:rPr>
        <w:t>日的，采购人或者采购代理机构应当顺延提交投标文件的截止时间。</w:t>
      </w:r>
    </w:p>
    <w:p w14:paraId="2A28F501">
      <w:pPr>
        <w:spacing w:before="120" w:line="320" w:lineRule="atLeast"/>
        <w:ind w:firstLine="420" w:firstLineChars="200"/>
        <w:rPr>
          <w:color w:val="auto"/>
          <w:szCs w:val="21"/>
          <w:highlight w:val="none"/>
        </w:rPr>
      </w:pPr>
      <w:r>
        <w:rPr>
          <w:color w:val="auto"/>
          <w:szCs w:val="21"/>
          <w:highlight w:val="none"/>
          <w:lang w:bidi="ar"/>
        </w:rPr>
        <w:t>2.3.3</w:t>
      </w:r>
      <w:r>
        <w:rPr>
          <w:rFonts w:hint="eastAsia" w:cs="宋体"/>
          <w:color w:val="auto"/>
          <w:szCs w:val="21"/>
          <w:highlight w:val="none"/>
          <w:lang w:bidi="ar"/>
        </w:rPr>
        <w:t>招标文件澄清、答复、修改、补充的内容为招标文件的组成部分。当招标文件与招标文件的答复、澄清、修改、补充通知就同一内容的表述不一致时，以最后发出的公告或书面文件为准。</w:t>
      </w:r>
    </w:p>
    <w:p w14:paraId="37959068">
      <w:pPr>
        <w:spacing w:before="120" w:line="320" w:lineRule="atLeast"/>
        <w:ind w:left="2" w:leftChars="1" w:firstLine="422" w:firstLineChars="200"/>
        <w:outlineLvl w:val="1"/>
        <w:rPr>
          <w:b/>
          <w:bCs/>
          <w:color w:val="auto"/>
          <w:kern w:val="0"/>
          <w:szCs w:val="21"/>
          <w:highlight w:val="none"/>
        </w:rPr>
      </w:pPr>
      <w:bookmarkStart w:id="60" w:name="_Toc254970535"/>
      <w:bookmarkStart w:id="61" w:name="_Toc254970676"/>
      <w:r>
        <w:rPr>
          <w:b/>
          <w:bCs/>
          <w:color w:val="auto"/>
          <w:kern w:val="0"/>
          <w:szCs w:val="21"/>
          <w:highlight w:val="none"/>
          <w:lang w:bidi="ar"/>
        </w:rPr>
        <w:t>3</w:t>
      </w:r>
      <w:r>
        <w:rPr>
          <w:rFonts w:hint="eastAsia" w:cs="宋体"/>
          <w:b/>
          <w:bCs/>
          <w:color w:val="auto"/>
          <w:kern w:val="0"/>
          <w:szCs w:val="21"/>
          <w:highlight w:val="none"/>
          <w:lang w:bidi="ar"/>
        </w:rPr>
        <w:t>．投标文件</w:t>
      </w:r>
      <w:bookmarkEnd w:id="60"/>
      <w:bookmarkEnd w:id="61"/>
    </w:p>
    <w:p w14:paraId="43C98F44">
      <w:pPr>
        <w:spacing w:before="120" w:line="320" w:lineRule="atLeast"/>
        <w:ind w:firstLine="422" w:firstLineChars="200"/>
        <w:outlineLvl w:val="2"/>
        <w:rPr>
          <w:b/>
          <w:bCs/>
          <w:color w:val="auto"/>
          <w:kern w:val="0"/>
          <w:szCs w:val="21"/>
          <w:highlight w:val="none"/>
        </w:rPr>
      </w:pPr>
      <w:bookmarkStart w:id="62" w:name="_Toc254970677"/>
      <w:bookmarkStart w:id="63" w:name="_Toc254970536"/>
      <w:r>
        <w:rPr>
          <w:b/>
          <w:bCs/>
          <w:color w:val="auto"/>
          <w:kern w:val="0"/>
          <w:szCs w:val="21"/>
          <w:highlight w:val="none"/>
          <w:lang w:bidi="ar"/>
        </w:rPr>
        <w:t>3.1</w:t>
      </w:r>
      <w:r>
        <w:rPr>
          <w:rFonts w:hint="eastAsia" w:cs="宋体"/>
          <w:b/>
          <w:bCs/>
          <w:color w:val="auto"/>
          <w:kern w:val="0"/>
          <w:szCs w:val="21"/>
          <w:highlight w:val="none"/>
          <w:lang w:bidi="ar"/>
        </w:rPr>
        <w:t>投标文件的组成</w:t>
      </w:r>
      <w:bookmarkEnd w:id="62"/>
      <w:bookmarkEnd w:id="63"/>
    </w:p>
    <w:p w14:paraId="1D0E4EF0">
      <w:pPr>
        <w:spacing w:before="120" w:line="320" w:lineRule="atLeast"/>
        <w:ind w:firstLine="420" w:firstLineChars="200"/>
        <w:rPr>
          <w:color w:val="auto"/>
          <w:szCs w:val="21"/>
          <w:highlight w:val="none"/>
        </w:rPr>
      </w:pPr>
      <w:r>
        <w:rPr>
          <w:rFonts w:hint="eastAsia" w:cs="宋体"/>
          <w:color w:val="auto"/>
          <w:szCs w:val="21"/>
          <w:highlight w:val="none"/>
          <w:lang w:bidi="ar"/>
        </w:rPr>
        <w:t>投标文件由第六章</w:t>
      </w:r>
      <w:r>
        <w:rPr>
          <w:color w:val="auto"/>
          <w:szCs w:val="21"/>
          <w:highlight w:val="none"/>
          <w:lang w:bidi="ar"/>
        </w:rPr>
        <w:t>“</w:t>
      </w:r>
      <w:r>
        <w:rPr>
          <w:rFonts w:hint="eastAsia" w:cs="宋体"/>
          <w:color w:val="auto"/>
          <w:szCs w:val="21"/>
          <w:highlight w:val="none"/>
          <w:lang w:bidi="ar"/>
        </w:rPr>
        <w:t>投标文件格式</w:t>
      </w:r>
      <w:r>
        <w:rPr>
          <w:color w:val="auto"/>
          <w:szCs w:val="21"/>
          <w:highlight w:val="none"/>
          <w:lang w:bidi="ar"/>
        </w:rPr>
        <w:t>”</w:t>
      </w:r>
      <w:r>
        <w:rPr>
          <w:rFonts w:hint="eastAsia" w:cs="宋体"/>
          <w:color w:val="auto"/>
          <w:szCs w:val="21"/>
          <w:highlight w:val="none"/>
          <w:lang w:bidi="ar"/>
        </w:rPr>
        <w:t>规定的内容和供应商所作的一切有效补充、修改和承诺等文件组成。</w:t>
      </w:r>
    </w:p>
    <w:p w14:paraId="3FC0C3E6">
      <w:pPr>
        <w:spacing w:before="120" w:line="320" w:lineRule="atLeast"/>
        <w:ind w:firstLine="422" w:firstLineChars="200"/>
        <w:outlineLvl w:val="2"/>
        <w:rPr>
          <w:b/>
          <w:bCs/>
          <w:color w:val="auto"/>
          <w:kern w:val="0"/>
          <w:szCs w:val="21"/>
          <w:highlight w:val="none"/>
        </w:rPr>
      </w:pPr>
      <w:bookmarkStart w:id="64" w:name="_Toc254970537"/>
      <w:bookmarkStart w:id="65" w:name="_Toc254970678"/>
      <w:r>
        <w:rPr>
          <w:b/>
          <w:color w:val="auto"/>
          <w:szCs w:val="21"/>
          <w:highlight w:val="none"/>
          <w:lang w:bidi="ar"/>
        </w:rPr>
        <w:t>3.2</w:t>
      </w:r>
      <w:r>
        <w:rPr>
          <w:rFonts w:hint="eastAsia" w:cs="宋体"/>
          <w:b/>
          <w:bCs/>
          <w:color w:val="auto"/>
          <w:kern w:val="0"/>
          <w:szCs w:val="21"/>
          <w:highlight w:val="none"/>
          <w:lang w:bidi="ar"/>
        </w:rPr>
        <w:t>投标文件的语言及计量</w:t>
      </w:r>
      <w:bookmarkEnd w:id="64"/>
      <w:bookmarkEnd w:id="65"/>
    </w:p>
    <w:p w14:paraId="3EB302A1">
      <w:pPr>
        <w:spacing w:before="120" w:line="320" w:lineRule="atLeast"/>
        <w:ind w:firstLine="420" w:firstLineChars="200"/>
        <w:rPr>
          <w:color w:val="auto"/>
          <w:szCs w:val="21"/>
          <w:highlight w:val="none"/>
        </w:rPr>
      </w:pPr>
      <w:r>
        <w:rPr>
          <w:color w:val="auto"/>
          <w:szCs w:val="21"/>
          <w:highlight w:val="none"/>
          <w:lang w:bidi="ar"/>
        </w:rPr>
        <w:t>3.2.1</w:t>
      </w:r>
      <w:r>
        <w:rPr>
          <w:rFonts w:hint="eastAsia" w:cs="宋体"/>
          <w:color w:val="auto"/>
          <w:szCs w:val="21"/>
          <w:highlight w:val="none"/>
          <w:lang w:bidi="ar"/>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51171E0D">
      <w:pPr>
        <w:spacing w:before="120" w:line="320" w:lineRule="atLeast"/>
        <w:ind w:firstLine="420" w:firstLineChars="200"/>
        <w:rPr>
          <w:color w:val="auto"/>
          <w:szCs w:val="21"/>
          <w:highlight w:val="none"/>
        </w:rPr>
      </w:pPr>
      <w:r>
        <w:rPr>
          <w:color w:val="auto"/>
          <w:szCs w:val="21"/>
          <w:highlight w:val="none"/>
          <w:lang w:bidi="ar"/>
        </w:rPr>
        <w:t>3.2.2</w:t>
      </w:r>
      <w:r>
        <w:rPr>
          <w:rFonts w:hint="eastAsia" w:cs="宋体"/>
          <w:color w:val="auto"/>
          <w:szCs w:val="21"/>
          <w:highlight w:val="none"/>
          <w:lang w:bidi="ar"/>
        </w:rPr>
        <w:t>计量单位招标文件已有明确规定的，投标使用招标文件规定的计量单位；招标文件没有规定的，应采用中华人民共和国法定计量单位。</w:t>
      </w:r>
    </w:p>
    <w:p w14:paraId="7FEA4E31">
      <w:pPr>
        <w:spacing w:before="120" w:line="320" w:lineRule="atLeast"/>
        <w:ind w:firstLine="422" w:firstLineChars="200"/>
        <w:outlineLvl w:val="2"/>
        <w:rPr>
          <w:b/>
          <w:bCs/>
          <w:color w:val="auto"/>
          <w:kern w:val="0"/>
          <w:szCs w:val="21"/>
          <w:highlight w:val="none"/>
        </w:rPr>
      </w:pPr>
      <w:bookmarkStart w:id="66" w:name="_Toc254970679"/>
      <w:bookmarkStart w:id="67" w:name="_Toc254970538"/>
      <w:r>
        <w:rPr>
          <w:b/>
          <w:bCs/>
          <w:color w:val="auto"/>
          <w:kern w:val="0"/>
          <w:szCs w:val="21"/>
          <w:highlight w:val="none"/>
          <w:lang w:bidi="ar"/>
        </w:rPr>
        <w:t>3.3</w:t>
      </w:r>
      <w:r>
        <w:rPr>
          <w:rFonts w:hint="eastAsia" w:cs="宋体"/>
          <w:b/>
          <w:bCs/>
          <w:color w:val="auto"/>
          <w:kern w:val="0"/>
          <w:szCs w:val="21"/>
          <w:highlight w:val="none"/>
          <w:lang w:bidi="ar"/>
        </w:rPr>
        <w:t>投标报价</w:t>
      </w:r>
      <w:bookmarkEnd w:id="66"/>
      <w:bookmarkEnd w:id="67"/>
    </w:p>
    <w:p w14:paraId="35B264C4">
      <w:pPr>
        <w:spacing w:before="120" w:line="320" w:lineRule="atLeast"/>
        <w:ind w:firstLine="420" w:firstLineChars="200"/>
        <w:rPr>
          <w:color w:val="auto"/>
          <w:szCs w:val="21"/>
          <w:highlight w:val="none"/>
        </w:rPr>
      </w:pPr>
      <w:r>
        <w:rPr>
          <w:color w:val="auto"/>
          <w:szCs w:val="21"/>
          <w:highlight w:val="none"/>
          <w:lang w:bidi="ar"/>
        </w:rPr>
        <w:t>3.3.1</w:t>
      </w:r>
      <w:r>
        <w:rPr>
          <w:rFonts w:hint="eastAsia" w:cs="宋体"/>
          <w:color w:val="auto"/>
          <w:szCs w:val="21"/>
          <w:highlight w:val="none"/>
          <w:lang w:bidi="ar"/>
        </w:rPr>
        <w:t>投标报价应按招标文件中相关附表格式填写。</w:t>
      </w:r>
    </w:p>
    <w:p w14:paraId="3A5DA83C">
      <w:pPr>
        <w:spacing w:before="120" w:line="320" w:lineRule="atLeast"/>
        <w:ind w:firstLine="420" w:firstLineChars="200"/>
        <w:rPr>
          <w:color w:val="auto"/>
          <w:szCs w:val="21"/>
          <w:highlight w:val="none"/>
        </w:rPr>
      </w:pPr>
      <w:r>
        <w:rPr>
          <w:color w:val="auto"/>
          <w:szCs w:val="21"/>
          <w:highlight w:val="none"/>
          <w:lang w:bidi="ar"/>
        </w:rPr>
        <w:t>3.3.2</w:t>
      </w:r>
      <w:r>
        <w:rPr>
          <w:rFonts w:hint="eastAsia" w:cs="宋体"/>
          <w:color w:val="auto"/>
          <w:szCs w:val="21"/>
          <w:highlight w:val="none"/>
          <w:lang w:bidi="ar"/>
        </w:rPr>
        <w:t>投标文件只允许有一个报价，有选择的或有条件的报价将不予接受。</w:t>
      </w:r>
    </w:p>
    <w:p w14:paraId="7B6A6446">
      <w:pPr>
        <w:suppressAutoHyphens/>
        <w:spacing w:before="120" w:line="320" w:lineRule="atLeast"/>
        <w:ind w:firstLine="420" w:firstLineChars="200"/>
        <w:rPr>
          <w:color w:val="auto"/>
          <w:kern w:val="1"/>
          <w:szCs w:val="21"/>
          <w:highlight w:val="none"/>
        </w:rPr>
      </w:pPr>
      <w:r>
        <w:rPr>
          <w:color w:val="auto"/>
          <w:kern w:val="1"/>
          <w:szCs w:val="21"/>
          <w:highlight w:val="none"/>
          <w:lang w:bidi="ar"/>
        </w:rPr>
        <w:t>3.3.3</w:t>
      </w:r>
      <w:r>
        <w:rPr>
          <w:rFonts w:hint="eastAsia" w:cs="宋体"/>
          <w:color w:val="auto"/>
          <w:kern w:val="1"/>
          <w:szCs w:val="21"/>
          <w:highlight w:val="none"/>
          <w:lang w:bidi="ar"/>
        </w:rPr>
        <w:t>对于本文件中未列明，而供应商认为必需的费用也需列入投标报价。在合同实施时，采购人将不予支付中标人没有列入的项目费用，并认为此项目的费用已包括在投标报价中。</w:t>
      </w:r>
    </w:p>
    <w:p w14:paraId="3FD3BD0A">
      <w:pPr>
        <w:suppressAutoHyphens/>
        <w:spacing w:before="120" w:line="320" w:lineRule="atLeast"/>
        <w:ind w:firstLine="420" w:firstLineChars="200"/>
        <w:rPr>
          <w:b/>
          <w:bCs/>
          <w:color w:val="auto"/>
          <w:kern w:val="1"/>
          <w:szCs w:val="21"/>
          <w:highlight w:val="none"/>
        </w:rPr>
      </w:pPr>
      <w:r>
        <w:rPr>
          <w:color w:val="auto"/>
          <w:kern w:val="1"/>
          <w:szCs w:val="21"/>
          <w:highlight w:val="none"/>
          <w:lang w:bidi="ar"/>
        </w:rPr>
        <w:t>3.3.4</w:t>
      </w:r>
      <w:r>
        <w:rPr>
          <w:rFonts w:hint="eastAsia" w:cs="宋体"/>
          <w:color w:val="auto"/>
          <w:kern w:val="1"/>
          <w:szCs w:val="21"/>
          <w:highlight w:val="none"/>
          <w:lang w:bidi="ar"/>
        </w:rPr>
        <w:t>采购人不接受供应商给予的赠品、回扣或者与采购无关的其他商品、服务。</w:t>
      </w:r>
    </w:p>
    <w:p w14:paraId="2D111C6F">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3.4</w:t>
      </w:r>
      <w:r>
        <w:rPr>
          <w:rFonts w:hint="eastAsia" w:cs="宋体"/>
          <w:b/>
          <w:bCs/>
          <w:color w:val="auto"/>
          <w:kern w:val="0"/>
          <w:szCs w:val="21"/>
          <w:highlight w:val="none"/>
          <w:lang w:bidi="ar"/>
        </w:rPr>
        <w:t>投标有效期</w:t>
      </w:r>
    </w:p>
    <w:p w14:paraId="72D34020">
      <w:pPr>
        <w:spacing w:before="120" w:line="320" w:lineRule="atLeast"/>
        <w:ind w:firstLine="420" w:firstLineChars="200"/>
        <w:rPr>
          <w:color w:val="auto"/>
          <w:szCs w:val="21"/>
          <w:highlight w:val="none"/>
        </w:rPr>
      </w:pPr>
      <w:r>
        <w:rPr>
          <w:color w:val="auto"/>
          <w:szCs w:val="21"/>
          <w:highlight w:val="none"/>
          <w:lang w:bidi="ar"/>
        </w:rPr>
        <w:t>3.4.1</w:t>
      </w:r>
      <w:r>
        <w:rPr>
          <w:rFonts w:hint="eastAsia" w:cs="宋体"/>
          <w:color w:val="auto"/>
          <w:szCs w:val="21"/>
          <w:highlight w:val="none"/>
          <w:lang w:bidi="ar"/>
        </w:rPr>
        <w:t>如招标文件其他地方无特别规定，投标有效期则为投标截止之日起</w:t>
      </w:r>
      <w:r>
        <w:rPr>
          <w:color w:val="auto"/>
          <w:szCs w:val="21"/>
          <w:highlight w:val="none"/>
          <w:lang w:bidi="ar"/>
        </w:rPr>
        <w:t>90</w:t>
      </w:r>
      <w:r>
        <w:rPr>
          <w:rFonts w:hint="eastAsia" w:cs="宋体"/>
          <w:color w:val="auto"/>
          <w:szCs w:val="21"/>
          <w:highlight w:val="none"/>
          <w:lang w:bidi="ar"/>
        </w:rPr>
        <w:t>天。在投标有效期内投标文件应保持有效。</w:t>
      </w:r>
      <w:r>
        <w:rPr>
          <w:rFonts w:hint="eastAsia" w:cs="宋体"/>
          <w:b/>
          <w:bCs/>
          <w:color w:val="auto"/>
          <w:szCs w:val="21"/>
          <w:highlight w:val="none"/>
          <w:lang w:bidi="ar"/>
        </w:rPr>
        <w:t>有效期不足的投标文件将被否决</w:t>
      </w:r>
      <w:r>
        <w:rPr>
          <w:rFonts w:hint="eastAsia" w:cs="宋体"/>
          <w:color w:val="auto"/>
          <w:szCs w:val="21"/>
          <w:highlight w:val="none"/>
          <w:lang w:bidi="ar"/>
        </w:rPr>
        <w:t>。</w:t>
      </w:r>
    </w:p>
    <w:p w14:paraId="66F04A8B">
      <w:pPr>
        <w:spacing w:before="120" w:line="320" w:lineRule="atLeast"/>
        <w:ind w:firstLine="420" w:firstLineChars="200"/>
        <w:rPr>
          <w:color w:val="auto"/>
          <w:szCs w:val="21"/>
          <w:highlight w:val="none"/>
        </w:rPr>
      </w:pPr>
      <w:r>
        <w:rPr>
          <w:color w:val="auto"/>
          <w:szCs w:val="21"/>
          <w:highlight w:val="none"/>
          <w:lang w:bidi="ar"/>
        </w:rPr>
        <w:t>3.4.2</w:t>
      </w:r>
      <w:r>
        <w:rPr>
          <w:rFonts w:hint="eastAsia" w:cs="宋体"/>
          <w:color w:val="auto"/>
          <w:szCs w:val="21"/>
          <w:highlight w:val="none"/>
          <w:lang w:bidi="ar"/>
        </w:rPr>
        <w:t>在特殊情况下，采购人可与供应商协商延长投标文件的有效期，这种要求和答复均以书面形式进行。</w:t>
      </w:r>
    </w:p>
    <w:p w14:paraId="36FCDE05">
      <w:pPr>
        <w:spacing w:before="120" w:line="320" w:lineRule="atLeast"/>
        <w:ind w:firstLine="420" w:firstLineChars="200"/>
        <w:rPr>
          <w:color w:val="auto"/>
          <w:szCs w:val="21"/>
          <w:highlight w:val="none"/>
        </w:rPr>
      </w:pPr>
      <w:r>
        <w:rPr>
          <w:color w:val="auto"/>
          <w:szCs w:val="21"/>
          <w:highlight w:val="none"/>
          <w:lang w:bidi="ar"/>
        </w:rPr>
        <w:t>3.4.3</w:t>
      </w:r>
      <w:r>
        <w:rPr>
          <w:rFonts w:hint="eastAsia" w:cs="宋体"/>
          <w:color w:val="auto"/>
          <w:szCs w:val="21"/>
          <w:highlight w:val="none"/>
          <w:lang w:bidi="ar"/>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DC55C8C">
      <w:pPr>
        <w:spacing w:before="120" w:line="320" w:lineRule="atLeast"/>
        <w:ind w:firstLine="422" w:firstLineChars="200"/>
        <w:outlineLvl w:val="2"/>
        <w:rPr>
          <w:b/>
          <w:bCs/>
          <w:color w:val="auto"/>
          <w:kern w:val="0"/>
          <w:szCs w:val="21"/>
          <w:highlight w:val="none"/>
        </w:rPr>
      </w:pPr>
      <w:bookmarkStart w:id="68" w:name="_Toc254970541"/>
      <w:bookmarkStart w:id="69" w:name="_Toc254970682"/>
      <w:r>
        <w:rPr>
          <w:b/>
          <w:bCs/>
          <w:color w:val="auto"/>
          <w:kern w:val="0"/>
          <w:szCs w:val="21"/>
          <w:highlight w:val="none"/>
          <w:lang w:bidi="ar"/>
        </w:rPr>
        <w:t>3.5</w:t>
      </w:r>
      <w:r>
        <w:rPr>
          <w:rFonts w:hint="eastAsia" w:cs="宋体"/>
          <w:b/>
          <w:bCs/>
          <w:color w:val="auto"/>
          <w:kern w:val="0"/>
          <w:szCs w:val="21"/>
          <w:highlight w:val="none"/>
          <w:lang w:bidi="ar"/>
        </w:rPr>
        <w:t>投标保证金</w:t>
      </w:r>
      <w:bookmarkEnd w:id="68"/>
      <w:bookmarkEnd w:id="69"/>
    </w:p>
    <w:p w14:paraId="4B59AF4A">
      <w:pPr>
        <w:spacing w:before="120" w:line="320" w:lineRule="atLeast"/>
        <w:ind w:firstLine="420" w:firstLineChars="200"/>
        <w:rPr>
          <w:color w:val="auto"/>
          <w:szCs w:val="21"/>
          <w:highlight w:val="none"/>
        </w:rPr>
      </w:pPr>
      <w:r>
        <w:rPr>
          <w:color w:val="auto"/>
          <w:szCs w:val="21"/>
          <w:highlight w:val="none"/>
          <w:lang w:bidi="ar"/>
        </w:rPr>
        <w:t>3.5.1</w:t>
      </w:r>
      <w:r>
        <w:rPr>
          <w:rFonts w:hint="eastAsia" w:cs="宋体"/>
          <w:color w:val="auto"/>
          <w:szCs w:val="21"/>
          <w:highlight w:val="none"/>
          <w:lang w:bidi="ar"/>
        </w:rPr>
        <w:t>供应商须按须知前附表规定提交投标保证金，</w:t>
      </w:r>
      <w:r>
        <w:rPr>
          <w:rFonts w:hint="eastAsia" w:cs="宋体"/>
          <w:b/>
          <w:bCs/>
          <w:color w:val="auto"/>
          <w:szCs w:val="21"/>
          <w:highlight w:val="none"/>
          <w:lang w:bidi="ar"/>
        </w:rPr>
        <w:t>否则其投标将被否决</w:t>
      </w:r>
      <w:r>
        <w:rPr>
          <w:rFonts w:hint="eastAsia" w:cs="宋体"/>
          <w:color w:val="auto"/>
          <w:szCs w:val="21"/>
          <w:highlight w:val="none"/>
          <w:lang w:bidi="ar"/>
        </w:rPr>
        <w:t>。除招标文件规定不予退还保证金的情形外，代理机构在规定时间内退回供应商的投标保证金（供应商自行承担因未按供应商须知前附表要求交纳导致投标保证金无法及时退还的责任）。</w:t>
      </w:r>
    </w:p>
    <w:p w14:paraId="03B1CD60">
      <w:pPr>
        <w:spacing w:before="120" w:line="320" w:lineRule="atLeast"/>
        <w:ind w:firstLine="420" w:firstLineChars="200"/>
        <w:rPr>
          <w:color w:val="auto"/>
          <w:szCs w:val="21"/>
          <w:highlight w:val="none"/>
        </w:rPr>
      </w:pPr>
      <w:r>
        <w:rPr>
          <w:color w:val="auto"/>
          <w:szCs w:val="21"/>
          <w:highlight w:val="none"/>
          <w:lang w:bidi="ar"/>
        </w:rPr>
        <w:t>3.5.2</w:t>
      </w:r>
      <w:r>
        <w:rPr>
          <w:rFonts w:hint="eastAsia" w:cs="宋体"/>
          <w:color w:val="auto"/>
          <w:szCs w:val="21"/>
          <w:highlight w:val="none"/>
          <w:lang w:bidi="ar"/>
        </w:rPr>
        <w:t>投标保证金币种应与投标报价币种相同。</w:t>
      </w:r>
    </w:p>
    <w:p w14:paraId="0CF7A01A">
      <w:pPr>
        <w:spacing w:before="120" w:line="320" w:lineRule="atLeast"/>
        <w:ind w:firstLine="420" w:firstLineChars="200"/>
        <w:rPr>
          <w:color w:val="auto"/>
          <w:szCs w:val="21"/>
          <w:highlight w:val="none"/>
        </w:rPr>
      </w:pPr>
      <w:r>
        <w:rPr>
          <w:color w:val="auto"/>
          <w:szCs w:val="21"/>
          <w:highlight w:val="none"/>
          <w:lang w:bidi="ar"/>
        </w:rPr>
        <w:t>3.5.3</w:t>
      </w:r>
      <w:r>
        <w:rPr>
          <w:rFonts w:hint="eastAsia" w:cs="宋体"/>
          <w:color w:val="auto"/>
          <w:szCs w:val="21"/>
          <w:highlight w:val="none"/>
          <w:lang w:bidi="ar"/>
        </w:rPr>
        <w:t>未中标人的投标保证金在中标通知书发出后</w:t>
      </w:r>
      <w:r>
        <w:rPr>
          <w:color w:val="auto"/>
          <w:szCs w:val="21"/>
          <w:highlight w:val="none"/>
          <w:lang w:bidi="ar"/>
        </w:rPr>
        <w:t>5</w:t>
      </w:r>
      <w:r>
        <w:rPr>
          <w:rFonts w:hint="eastAsia" w:cs="宋体"/>
          <w:color w:val="auto"/>
          <w:szCs w:val="21"/>
          <w:highlight w:val="none"/>
          <w:lang w:bidi="ar"/>
        </w:rPr>
        <w:t>个工作日内退还。中标人的投标保证金在合同签订后</w:t>
      </w:r>
      <w:r>
        <w:rPr>
          <w:color w:val="auto"/>
          <w:szCs w:val="21"/>
          <w:highlight w:val="none"/>
          <w:lang w:bidi="ar"/>
        </w:rPr>
        <w:t>5</w:t>
      </w:r>
      <w:r>
        <w:rPr>
          <w:rFonts w:hint="eastAsia" w:cs="宋体"/>
          <w:color w:val="auto"/>
          <w:szCs w:val="21"/>
          <w:highlight w:val="none"/>
          <w:lang w:bidi="ar"/>
        </w:rPr>
        <w:t>个工作日内退还（办理退还手续时需要向采购代理机构提供两份合同复印件）。</w:t>
      </w:r>
    </w:p>
    <w:p w14:paraId="3B3358C7">
      <w:pPr>
        <w:spacing w:before="120" w:line="320" w:lineRule="atLeast"/>
        <w:ind w:firstLine="420" w:firstLineChars="200"/>
        <w:rPr>
          <w:color w:val="auto"/>
          <w:szCs w:val="21"/>
          <w:highlight w:val="none"/>
        </w:rPr>
      </w:pPr>
      <w:r>
        <w:rPr>
          <w:color w:val="auto"/>
          <w:szCs w:val="21"/>
          <w:highlight w:val="none"/>
          <w:lang w:bidi="ar"/>
        </w:rPr>
        <w:t>3.5.4</w:t>
      </w:r>
      <w:r>
        <w:rPr>
          <w:rFonts w:hint="eastAsia" w:cs="宋体"/>
          <w:color w:val="auto"/>
          <w:szCs w:val="21"/>
          <w:highlight w:val="none"/>
          <w:lang w:bidi="ar"/>
        </w:rPr>
        <w:t>供应商有下列情形之一的，投标保证金将不予退还：</w:t>
      </w:r>
    </w:p>
    <w:p w14:paraId="48173987">
      <w:pPr>
        <w:numPr>
          <w:ilvl w:val="0"/>
          <w:numId w:val="2"/>
        </w:numPr>
        <w:spacing w:before="120" w:line="320" w:lineRule="atLeast"/>
        <w:rPr>
          <w:color w:val="auto"/>
          <w:szCs w:val="21"/>
          <w:highlight w:val="none"/>
        </w:rPr>
      </w:pPr>
      <w:r>
        <w:rPr>
          <w:rFonts w:hint="eastAsia" w:cs="宋体"/>
          <w:color w:val="auto"/>
          <w:szCs w:val="21"/>
          <w:highlight w:val="none"/>
          <w:lang w:bidi="ar"/>
        </w:rPr>
        <w:t>供应商在投标有效期内撤销投标文件的；</w:t>
      </w:r>
    </w:p>
    <w:p w14:paraId="633DC732">
      <w:pPr>
        <w:numPr>
          <w:ilvl w:val="0"/>
          <w:numId w:val="2"/>
        </w:numPr>
        <w:spacing w:before="120" w:line="320" w:lineRule="atLeast"/>
        <w:rPr>
          <w:color w:val="auto"/>
          <w:szCs w:val="21"/>
          <w:highlight w:val="none"/>
        </w:rPr>
      </w:pPr>
      <w:r>
        <w:rPr>
          <w:rFonts w:hint="eastAsia" w:cs="宋体"/>
          <w:color w:val="auto"/>
          <w:szCs w:val="21"/>
          <w:highlight w:val="none"/>
          <w:lang w:bidi="ar"/>
        </w:rPr>
        <w:t>供应商在投标过程中弄虚作假，提供虚假材料的；</w:t>
      </w:r>
    </w:p>
    <w:p w14:paraId="2DBA53B9">
      <w:pPr>
        <w:numPr>
          <w:ilvl w:val="0"/>
          <w:numId w:val="2"/>
        </w:numPr>
        <w:spacing w:before="120" w:line="320" w:lineRule="atLeast"/>
        <w:rPr>
          <w:color w:val="auto"/>
          <w:szCs w:val="21"/>
          <w:highlight w:val="none"/>
        </w:rPr>
      </w:pPr>
      <w:r>
        <w:rPr>
          <w:rFonts w:hint="eastAsia" w:cs="宋体"/>
          <w:color w:val="auto"/>
          <w:szCs w:val="21"/>
          <w:highlight w:val="none"/>
          <w:lang w:bidi="ar"/>
        </w:rPr>
        <w:t>中标人无正当理由不与采购人签订合同的；</w:t>
      </w:r>
    </w:p>
    <w:p w14:paraId="6E84A6ED">
      <w:pPr>
        <w:numPr>
          <w:ilvl w:val="0"/>
          <w:numId w:val="2"/>
        </w:numPr>
        <w:spacing w:before="120" w:line="320" w:lineRule="atLeast"/>
        <w:rPr>
          <w:color w:val="auto"/>
          <w:szCs w:val="21"/>
          <w:highlight w:val="none"/>
        </w:rPr>
      </w:pPr>
      <w:r>
        <w:rPr>
          <w:rFonts w:hint="eastAsia" w:cs="宋体"/>
          <w:color w:val="auto"/>
          <w:szCs w:val="21"/>
          <w:highlight w:val="none"/>
          <w:lang w:bidi="ar"/>
        </w:rPr>
        <w:t>将中标项目转让给他人或者在投标文件中未说明且未经采购人同意，将中标项目分包给他人的；</w:t>
      </w:r>
    </w:p>
    <w:p w14:paraId="18AF11C7">
      <w:pPr>
        <w:numPr>
          <w:ilvl w:val="0"/>
          <w:numId w:val="2"/>
        </w:numPr>
        <w:spacing w:before="120" w:line="320" w:lineRule="atLeast"/>
        <w:rPr>
          <w:color w:val="auto"/>
          <w:szCs w:val="21"/>
          <w:highlight w:val="none"/>
        </w:rPr>
      </w:pPr>
      <w:r>
        <w:rPr>
          <w:rFonts w:hint="eastAsia" w:cs="宋体"/>
          <w:color w:val="auto"/>
          <w:szCs w:val="21"/>
          <w:highlight w:val="none"/>
          <w:lang w:bidi="ar"/>
        </w:rPr>
        <w:t>拒绝履行合同义务的；</w:t>
      </w:r>
    </w:p>
    <w:p w14:paraId="26BFD8C1">
      <w:pPr>
        <w:numPr>
          <w:ilvl w:val="0"/>
          <w:numId w:val="2"/>
        </w:numPr>
        <w:spacing w:before="120" w:line="320" w:lineRule="atLeast"/>
        <w:rPr>
          <w:color w:val="auto"/>
          <w:szCs w:val="21"/>
          <w:highlight w:val="none"/>
        </w:rPr>
      </w:pPr>
      <w:r>
        <w:rPr>
          <w:rFonts w:hint="eastAsia" w:cs="宋体"/>
          <w:color w:val="auto"/>
          <w:szCs w:val="21"/>
          <w:highlight w:val="none"/>
          <w:lang w:bidi="ar"/>
        </w:rPr>
        <w:t>其他严重扰乱招投标程序的。</w:t>
      </w:r>
    </w:p>
    <w:p w14:paraId="133D13C7">
      <w:pPr>
        <w:spacing w:before="120" w:line="320" w:lineRule="atLeast"/>
        <w:ind w:firstLine="422" w:firstLineChars="200"/>
        <w:outlineLvl w:val="2"/>
        <w:rPr>
          <w:b/>
          <w:bCs/>
          <w:color w:val="auto"/>
          <w:kern w:val="0"/>
          <w:szCs w:val="21"/>
          <w:highlight w:val="none"/>
        </w:rPr>
      </w:pPr>
      <w:bookmarkStart w:id="70" w:name="_Toc254970683"/>
      <w:bookmarkStart w:id="71" w:name="_Toc254970542"/>
      <w:r>
        <w:rPr>
          <w:b/>
          <w:bCs/>
          <w:color w:val="auto"/>
          <w:kern w:val="0"/>
          <w:szCs w:val="21"/>
          <w:highlight w:val="none"/>
          <w:lang w:bidi="ar"/>
        </w:rPr>
        <w:t>3.6</w:t>
      </w:r>
      <w:r>
        <w:rPr>
          <w:rFonts w:hint="eastAsia" w:cs="宋体"/>
          <w:b/>
          <w:bCs/>
          <w:color w:val="auto"/>
          <w:kern w:val="0"/>
          <w:szCs w:val="21"/>
          <w:highlight w:val="none"/>
          <w:lang w:bidi="ar"/>
        </w:rPr>
        <w:t>投标文件的</w:t>
      </w:r>
      <w:bookmarkEnd w:id="70"/>
      <w:bookmarkEnd w:id="71"/>
      <w:r>
        <w:rPr>
          <w:rFonts w:hint="eastAsia" w:cs="宋体"/>
          <w:b/>
          <w:bCs/>
          <w:color w:val="auto"/>
          <w:kern w:val="0"/>
          <w:szCs w:val="21"/>
          <w:highlight w:val="none"/>
          <w:lang w:bidi="ar"/>
        </w:rPr>
        <w:t>编制要求</w:t>
      </w:r>
    </w:p>
    <w:p w14:paraId="7CD236AF">
      <w:pPr>
        <w:spacing w:before="120" w:line="320" w:lineRule="atLeast"/>
        <w:ind w:firstLine="420" w:firstLineChars="200"/>
        <w:rPr>
          <w:color w:val="auto"/>
          <w:szCs w:val="21"/>
          <w:highlight w:val="none"/>
        </w:rPr>
      </w:pPr>
      <w:r>
        <w:rPr>
          <w:color w:val="auto"/>
          <w:kern w:val="0"/>
          <w:szCs w:val="21"/>
          <w:highlight w:val="none"/>
          <w:lang w:bidi="ar"/>
        </w:rPr>
        <w:t>3.6.1</w:t>
      </w:r>
      <w:r>
        <w:rPr>
          <w:rFonts w:hint="eastAsia" w:cs="宋体"/>
          <w:color w:val="auto"/>
          <w:szCs w:val="21"/>
          <w:highlight w:val="none"/>
          <w:lang w:bidi="ar"/>
        </w:rPr>
        <w:t>供应商应先安装广西政府采购云平台新版客户端，通过账号密码或</w:t>
      </w:r>
      <w:r>
        <w:rPr>
          <w:color w:val="auto"/>
          <w:szCs w:val="21"/>
          <w:highlight w:val="none"/>
          <w:lang w:bidi="ar"/>
        </w:rPr>
        <w:t>CA</w:t>
      </w:r>
      <w:r>
        <w:rPr>
          <w:rFonts w:hint="eastAsia" w:cs="宋体"/>
          <w:color w:val="auto"/>
          <w:szCs w:val="21"/>
          <w:highlight w:val="none"/>
          <w:lang w:bidi="ar"/>
        </w:rPr>
        <w:t>登录客户端制作投标文件。</w:t>
      </w:r>
    </w:p>
    <w:p w14:paraId="448B3CA1">
      <w:pPr>
        <w:spacing w:before="120" w:line="320" w:lineRule="atLeast"/>
        <w:ind w:firstLine="420" w:firstLineChars="200"/>
        <w:rPr>
          <w:color w:val="auto"/>
          <w:szCs w:val="21"/>
          <w:highlight w:val="none"/>
        </w:rPr>
      </w:pPr>
      <w:r>
        <w:rPr>
          <w:color w:val="auto"/>
          <w:szCs w:val="21"/>
          <w:highlight w:val="none"/>
          <w:lang w:bidi="ar"/>
        </w:rPr>
        <w:t>3.6.2</w:t>
      </w:r>
      <w:r>
        <w:rPr>
          <w:rFonts w:hint="eastAsia" w:cs="宋体"/>
          <w:color w:val="auto"/>
          <w:szCs w:val="21"/>
          <w:highlight w:val="none"/>
          <w:lang w:bidi="ar"/>
        </w:rPr>
        <w:t>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6B17891">
      <w:pPr>
        <w:spacing w:before="120" w:line="320" w:lineRule="atLeast"/>
        <w:ind w:firstLine="420" w:firstLineChars="200"/>
        <w:rPr>
          <w:color w:val="auto"/>
          <w:szCs w:val="21"/>
          <w:highlight w:val="none"/>
        </w:rPr>
      </w:pPr>
      <w:r>
        <w:rPr>
          <w:color w:val="auto"/>
          <w:szCs w:val="21"/>
          <w:highlight w:val="none"/>
          <w:lang w:bidi="ar"/>
        </w:rPr>
        <w:t xml:space="preserve">3.6.3 </w:t>
      </w:r>
      <w:r>
        <w:rPr>
          <w:rFonts w:hint="eastAsia" w:cs="宋体"/>
          <w:color w:val="auto"/>
          <w:szCs w:val="21"/>
          <w:highlight w:val="none"/>
          <w:lang w:bidi="ar"/>
        </w:rPr>
        <w:t>投标人的投标文件未按照招标文件要求签署、盖章的，</w:t>
      </w:r>
      <w:r>
        <w:rPr>
          <w:rFonts w:hint="eastAsia" w:cs="宋体"/>
          <w:b/>
          <w:bCs/>
          <w:color w:val="auto"/>
          <w:szCs w:val="21"/>
          <w:highlight w:val="none"/>
          <w:lang w:bidi="ar"/>
        </w:rPr>
        <w:t>其投标无效</w:t>
      </w:r>
      <w:r>
        <w:rPr>
          <w:rFonts w:hint="eastAsia" w:cs="宋体"/>
          <w:color w:val="auto"/>
          <w:szCs w:val="21"/>
          <w:highlight w:val="none"/>
          <w:lang w:bidi="ar"/>
        </w:rPr>
        <w:t>。</w:t>
      </w:r>
    </w:p>
    <w:p w14:paraId="36A2504E">
      <w:pPr>
        <w:spacing w:before="120" w:line="320" w:lineRule="atLeast"/>
        <w:ind w:firstLine="420" w:firstLineChars="200"/>
        <w:rPr>
          <w:color w:val="auto"/>
          <w:szCs w:val="21"/>
          <w:highlight w:val="none"/>
        </w:rPr>
      </w:pPr>
      <w:r>
        <w:rPr>
          <w:color w:val="auto"/>
          <w:szCs w:val="21"/>
          <w:highlight w:val="none"/>
          <w:lang w:bidi="ar"/>
        </w:rPr>
        <w:t>3.6.4</w:t>
      </w:r>
      <w:r>
        <w:rPr>
          <w:rFonts w:hint="eastAsia" w:cs="宋体"/>
          <w:color w:val="auto"/>
          <w:szCs w:val="21"/>
          <w:highlight w:val="none"/>
          <w:lang w:bidi="ar"/>
        </w:rPr>
        <w:t>为确保网上操作合法、有效和安全，供应商应当在投标截止时间前完成在广西政府采购云平台的身份认证，确保在电子投标过程中能够对相关数据电文进行加密和使用电子签名。</w:t>
      </w:r>
    </w:p>
    <w:p w14:paraId="14E3B6AF">
      <w:pPr>
        <w:spacing w:before="120" w:line="320" w:lineRule="atLeast"/>
        <w:ind w:firstLine="420" w:firstLineChars="200"/>
        <w:rPr>
          <w:color w:val="auto"/>
          <w:szCs w:val="21"/>
          <w:highlight w:val="none"/>
        </w:rPr>
      </w:pPr>
      <w:r>
        <w:rPr>
          <w:color w:val="auto"/>
          <w:szCs w:val="21"/>
          <w:highlight w:val="none"/>
          <w:lang w:bidi="ar"/>
        </w:rPr>
        <w:t>3.6.5</w:t>
      </w:r>
      <w:r>
        <w:rPr>
          <w:rFonts w:hint="eastAsia" w:cs="宋体"/>
          <w:color w:val="auto"/>
          <w:szCs w:val="21"/>
          <w:highlight w:val="none"/>
          <w:lang w:bidi="ar"/>
        </w:rPr>
        <w:t>投标文件中标注的供应商名称应与主体资格证明（如营业执照、事业单位法人证书、执业许可证、个体工商户营业执照、自然人身份证等）和公章</w:t>
      </w:r>
      <w:r>
        <w:rPr>
          <w:color w:val="auto"/>
          <w:szCs w:val="21"/>
          <w:highlight w:val="none"/>
          <w:lang w:bidi="ar"/>
        </w:rPr>
        <w:t>/</w:t>
      </w:r>
      <w:r>
        <w:rPr>
          <w:rFonts w:hint="eastAsia" w:cs="宋体"/>
          <w:color w:val="auto"/>
          <w:szCs w:val="21"/>
          <w:highlight w:val="none"/>
          <w:lang w:bidi="ar"/>
        </w:rPr>
        <w:t>电子签章一致，</w:t>
      </w:r>
      <w:r>
        <w:rPr>
          <w:rFonts w:hint="eastAsia" w:cs="宋体"/>
          <w:b/>
          <w:bCs/>
          <w:color w:val="auto"/>
          <w:szCs w:val="21"/>
          <w:highlight w:val="none"/>
          <w:lang w:bidi="ar"/>
        </w:rPr>
        <w:t>否则作无效投标处理。</w:t>
      </w:r>
    </w:p>
    <w:p w14:paraId="3C8C11D2">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3.7</w:t>
      </w:r>
      <w:r>
        <w:rPr>
          <w:rFonts w:hint="eastAsia" w:cs="宋体"/>
          <w:b/>
          <w:bCs/>
          <w:color w:val="auto"/>
          <w:kern w:val="0"/>
          <w:szCs w:val="21"/>
          <w:highlight w:val="none"/>
          <w:lang w:bidi="ar"/>
        </w:rPr>
        <w:t>投标文件的递交、修改和撤回</w:t>
      </w:r>
    </w:p>
    <w:p w14:paraId="1D480A8C">
      <w:pPr>
        <w:spacing w:before="120" w:line="320" w:lineRule="atLeast"/>
        <w:ind w:firstLine="420" w:firstLineChars="200"/>
        <w:rPr>
          <w:color w:val="auto"/>
          <w:szCs w:val="21"/>
          <w:highlight w:val="none"/>
        </w:rPr>
      </w:pPr>
      <w:r>
        <w:rPr>
          <w:color w:val="auto"/>
          <w:szCs w:val="21"/>
          <w:highlight w:val="none"/>
          <w:lang w:bidi="ar"/>
        </w:rPr>
        <w:t>3.7.1</w:t>
      </w:r>
      <w:r>
        <w:rPr>
          <w:rFonts w:hint="eastAsia" w:cs="宋体"/>
          <w:color w:val="auto"/>
          <w:szCs w:val="21"/>
          <w:highlight w:val="none"/>
          <w:lang w:bidi="ar"/>
        </w:rPr>
        <w:t>供应商必须在“供应商须知前附表”规定的投标文件开标时间和投标地点提交电子版投标文件。电子投标文件应在制作完成后，在投标截止时间前通过有效数字证书（</w:t>
      </w:r>
      <w:r>
        <w:rPr>
          <w:color w:val="auto"/>
          <w:szCs w:val="21"/>
          <w:highlight w:val="none"/>
          <w:lang w:bidi="ar"/>
        </w:rPr>
        <w:t>CA</w:t>
      </w:r>
      <w:r>
        <w:rPr>
          <w:rFonts w:hint="eastAsia" w:cs="宋体"/>
          <w:color w:val="auto"/>
          <w:szCs w:val="21"/>
          <w:highlight w:val="none"/>
          <w:lang w:bidi="ar"/>
        </w:rPr>
        <w:t>认证锁）进行电子签章、加密，然后通过网络将加密的电子投标文件递交至广西政府采购云平台。</w:t>
      </w:r>
      <w:r>
        <w:rPr>
          <w:color w:val="auto"/>
          <w:szCs w:val="21"/>
          <w:highlight w:val="none"/>
          <w:lang w:bidi="ar"/>
        </w:rPr>
        <w:t xml:space="preserve"> </w:t>
      </w:r>
    </w:p>
    <w:p w14:paraId="4962676B">
      <w:pPr>
        <w:spacing w:before="120" w:line="320" w:lineRule="atLeast"/>
        <w:ind w:firstLine="420" w:firstLineChars="200"/>
        <w:rPr>
          <w:color w:val="auto"/>
          <w:szCs w:val="21"/>
          <w:highlight w:val="none"/>
        </w:rPr>
      </w:pPr>
      <w:r>
        <w:rPr>
          <w:color w:val="auto"/>
          <w:szCs w:val="21"/>
          <w:highlight w:val="none"/>
          <w:lang w:bidi="ar"/>
        </w:rPr>
        <w:t>3.7.2</w:t>
      </w:r>
      <w:r>
        <w:rPr>
          <w:rFonts w:hint="eastAsia" w:cs="宋体"/>
          <w:color w:val="auto"/>
          <w:szCs w:val="21"/>
          <w:highlight w:val="none"/>
          <w:lang w:bidi="ar"/>
        </w:rPr>
        <w:t>未在规定时间内提交或者未按照招标文件要求签章、加密的电子投标文件，广西政府采购云平台将拒收。</w:t>
      </w:r>
      <w:r>
        <w:rPr>
          <w:color w:val="auto"/>
          <w:szCs w:val="21"/>
          <w:highlight w:val="none"/>
          <w:lang w:bidi="ar"/>
        </w:rPr>
        <w:t xml:space="preserve"> </w:t>
      </w:r>
    </w:p>
    <w:p w14:paraId="22B97678">
      <w:pPr>
        <w:spacing w:before="120" w:line="320" w:lineRule="atLeast"/>
        <w:ind w:left="2" w:leftChars="1" w:firstLine="420" w:firstLineChars="200"/>
        <w:rPr>
          <w:color w:val="auto"/>
          <w:szCs w:val="21"/>
          <w:highlight w:val="none"/>
        </w:rPr>
      </w:pPr>
      <w:bookmarkStart w:id="72" w:name="_Toc254970685"/>
      <w:bookmarkStart w:id="73" w:name="_Toc254970544"/>
      <w:r>
        <w:rPr>
          <w:color w:val="auto"/>
          <w:szCs w:val="21"/>
          <w:highlight w:val="none"/>
          <w:lang w:bidi="ar"/>
        </w:rPr>
        <w:t>3.7.3</w:t>
      </w:r>
      <w:r>
        <w:rPr>
          <w:rFonts w:hint="eastAsia" w:cs="宋体"/>
          <w:color w:val="auto"/>
          <w:szCs w:val="21"/>
          <w:highlight w:val="none"/>
          <w:lang w:bidi="ar"/>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26B6934">
      <w:pPr>
        <w:spacing w:before="120" w:line="320" w:lineRule="atLeast"/>
        <w:ind w:left="2" w:leftChars="1" w:firstLine="420" w:firstLineChars="200"/>
        <w:rPr>
          <w:color w:val="auto"/>
          <w:szCs w:val="21"/>
          <w:highlight w:val="none"/>
        </w:rPr>
      </w:pPr>
      <w:r>
        <w:rPr>
          <w:color w:val="auto"/>
          <w:szCs w:val="21"/>
          <w:highlight w:val="none"/>
          <w:lang w:bidi="ar"/>
        </w:rPr>
        <w:t>3.7.4</w:t>
      </w:r>
      <w:r>
        <w:rPr>
          <w:rFonts w:hint="eastAsia" w:cs="宋体"/>
          <w:color w:val="auto"/>
          <w:szCs w:val="21"/>
          <w:highlight w:val="none"/>
          <w:lang w:bidi="ar"/>
        </w:rPr>
        <w:t>在投标截止时间前，除供应商补充、修改或者撤回投标文件外，任何单位和个人不得解密或提取投标文件。</w:t>
      </w:r>
    </w:p>
    <w:p w14:paraId="03ECD5A0">
      <w:pPr>
        <w:spacing w:before="120" w:line="320" w:lineRule="atLeast"/>
        <w:ind w:left="2" w:leftChars="1" w:firstLine="420" w:firstLineChars="200"/>
        <w:rPr>
          <w:color w:val="auto"/>
          <w:szCs w:val="21"/>
          <w:highlight w:val="none"/>
        </w:rPr>
      </w:pPr>
      <w:r>
        <w:rPr>
          <w:color w:val="auto"/>
          <w:szCs w:val="21"/>
          <w:highlight w:val="none"/>
          <w:lang w:bidi="ar"/>
        </w:rPr>
        <w:t>3.7.5</w:t>
      </w:r>
      <w:r>
        <w:rPr>
          <w:rFonts w:hint="eastAsia" w:cs="宋体"/>
          <w:color w:val="auto"/>
          <w:szCs w:val="21"/>
          <w:highlight w:val="none"/>
          <w:lang w:bidi="ar"/>
        </w:rPr>
        <w:t>在投标截止时间止提交电子版投标文件的供应商不足</w:t>
      </w:r>
      <w:r>
        <w:rPr>
          <w:color w:val="auto"/>
          <w:szCs w:val="21"/>
          <w:highlight w:val="none"/>
          <w:lang w:bidi="ar"/>
        </w:rPr>
        <w:t>3</w:t>
      </w:r>
      <w:r>
        <w:rPr>
          <w:rFonts w:hint="eastAsia" w:cs="宋体"/>
          <w:color w:val="auto"/>
          <w:szCs w:val="21"/>
          <w:highlight w:val="none"/>
          <w:lang w:bidi="ar"/>
        </w:rPr>
        <w:t>家时，电子版投标文件由代理机构在广西政府采购云平台操作退回，除此之外采购人和采购代理机构对已提交的投标文件概不退回。</w:t>
      </w:r>
    </w:p>
    <w:p w14:paraId="7E45AF15">
      <w:pPr>
        <w:spacing w:before="120" w:line="320" w:lineRule="atLeast"/>
        <w:ind w:left="2" w:leftChars="1" w:firstLine="420" w:firstLineChars="200"/>
        <w:rPr>
          <w:color w:val="auto"/>
          <w:szCs w:val="21"/>
          <w:highlight w:val="none"/>
        </w:rPr>
      </w:pPr>
      <w:r>
        <w:rPr>
          <w:color w:val="auto"/>
          <w:szCs w:val="21"/>
          <w:highlight w:val="none"/>
          <w:lang w:bidi="ar"/>
        </w:rPr>
        <w:t>3.7.6</w:t>
      </w:r>
      <w:r>
        <w:rPr>
          <w:rFonts w:hint="eastAsia" w:cs="宋体"/>
          <w:color w:val="auto"/>
          <w:szCs w:val="21"/>
          <w:highlight w:val="none"/>
          <w:lang w:bidi="ar"/>
        </w:rPr>
        <w:t>招标文件</w:t>
      </w:r>
      <w:bookmarkStart w:id="74" w:name="_Hlk106637937"/>
      <w:bookmarkStart w:id="75" w:name="_Hlk106638610"/>
      <w:r>
        <w:rPr>
          <w:rFonts w:hint="eastAsia" w:cs="宋体"/>
          <w:color w:val="auto"/>
          <w:szCs w:val="21"/>
          <w:highlight w:val="none"/>
          <w:lang w:bidi="ar"/>
        </w:rPr>
        <w:t>未允许同一供应商提交两个或以上不同的响应文件，但存在</w:t>
      </w:r>
      <w:r>
        <w:rPr>
          <w:rFonts w:hint="eastAsia" w:cs="宋体"/>
          <w:color w:val="auto"/>
          <w:highlight w:val="none"/>
          <w:lang w:bidi="ar"/>
        </w:rPr>
        <w:t>同</w:t>
      </w:r>
      <w:r>
        <w:rPr>
          <w:rFonts w:hint="eastAsia" w:cs="宋体"/>
          <w:color w:val="auto"/>
          <w:szCs w:val="21"/>
          <w:highlight w:val="none"/>
          <w:lang w:bidi="ar"/>
        </w:rPr>
        <w:t>一供应商提交两个或以上不同的响应文件的</w:t>
      </w:r>
      <w:bookmarkEnd w:id="74"/>
      <w:bookmarkEnd w:id="75"/>
      <w:r>
        <w:rPr>
          <w:rFonts w:hint="eastAsia" w:cs="宋体"/>
          <w:color w:val="auto"/>
          <w:szCs w:val="21"/>
          <w:highlight w:val="none"/>
          <w:lang w:bidi="ar"/>
        </w:rPr>
        <w:t>，</w:t>
      </w:r>
      <w:r>
        <w:rPr>
          <w:rFonts w:hint="eastAsia" w:cs="宋体"/>
          <w:b/>
          <w:bCs/>
          <w:color w:val="auto"/>
          <w:szCs w:val="21"/>
          <w:highlight w:val="none"/>
          <w:lang w:bidi="ar"/>
        </w:rPr>
        <w:t>其投标无效。</w:t>
      </w:r>
      <w:r>
        <w:rPr>
          <w:rFonts w:hint="eastAsia" w:cs="宋体"/>
          <w:color w:val="auto"/>
          <w:szCs w:val="21"/>
          <w:highlight w:val="none"/>
          <w:lang w:bidi="ar"/>
        </w:rPr>
        <w:t>供应商在同一投标文件中对某项技术、商务要求提供有选择性的响应参数或方案等同于提交两个或以上不同的投标文件。</w:t>
      </w:r>
    </w:p>
    <w:p w14:paraId="1F28BE5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4</w:t>
      </w:r>
      <w:r>
        <w:rPr>
          <w:rFonts w:hint="eastAsia" w:cs="宋体"/>
          <w:b/>
          <w:bCs/>
          <w:color w:val="auto"/>
          <w:kern w:val="0"/>
          <w:szCs w:val="21"/>
          <w:highlight w:val="none"/>
          <w:lang w:bidi="ar"/>
        </w:rPr>
        <w:t>．开标</w:t>
      </w:r>
      <w:bookmarkEnd w:id="72"/>
      <w:bookmarkEnd w:id="73"/>
    </w:p>
    <w:p w14:paraId="6F7A61A2">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4.1</w:t>
      </w:r>
      <w:r>
        <w:rPr>
          <w:rFonts w:hint="eastAsia" w:cs="宋体"/>
          <w:b/>
          <w:bCs/>
          <w:color w:val="auto"/>
          <w:kern w:val="0"/>
          <w:szCs w:val="21"/>
          <w:highlight w:val="none"/>
          <w:lang w:bidi="ar"/>
        </w:rPr>
        <w:t>开标准备</w:t>
      </w:r>
    </w:p>
    <w:p w14:paraId="2A896CAF">
      <w:pPr>
        <w:spacing w:before="120" w:line="276" w:lineRule="auto"/>
        <w:ind w:firstLine="420" w:firstLineChars="200"/>
        <w:rPr>
          <w:color w:val="auto"/>
          <w:szCs w:val="21"/>
          <w:highlight w:val="none"/>
        </w:rPr>
      </w:pPr>
      <w:r>
        <w:rPr>
          <w:rFonts w:hint="eastAsia" w:cs="宋体"/>
          <w:color w:val="auto"/>
          <w:szCs w:val="21"/>
          <w:highlight w:val="none"/>
          <w:lang w:bidi="ar"/>
        </w:rPr>
        <w:t>本项目投标截止时间及地点见</w:t>
      </w:r>
      <w:r>
        <w:rPr>
          <w:color w:val="auto"/>
          <w:szCs w:val="21"/>
          <w:highlight w:val="none"/>
          <w:lang w:bidi="ar"/>
        </w:rPr>
        <w:t>“</w:t>
      </w:r>
      <w:r>
        <w:rPr>
          <w:rFonts w:hint="eastAsia" w:cs="宋体"/>
          <w:color w:val="auto"/>
          <w:szCs w:val="21"/>
          <w:highlight w:val="none"/>
          <w:lang w:bidi="ar"/>
        </w:rPr>
        <w:t>供应商须知前附表</w:t>
      </w:r>
      <w:r>
        <w:rPr>
          <w:color w:val="auto"/>
          <w:szCs w:val="21"/>
          <w:highlight w:val="none"/>
          <w:lang w:bidi="ar"/>
        </w:rPr>
        <w:t>”</w:t>
      </w:r>
      <w:r>
        <w:rPr>
          <w:rFonts w:hint="eastAsia" w:cs="宋体"/>
          <w:color w:val="auto"/>
          <w:szCs w:val="21"/>
          <w:highlight w:val="none"/>
          <w:lang w:bidi="ar"/>
        </w:rPr>
        <w:t>规定。</w:t>
      </w:r>
    </w:p>
    <w:p w14:paraId="277A5AD4">
      <w:pPr>
        <w:autoSpaceDE w:val="0"/>
        <w:autoSpaceDN w:val="0"/>
        <w:adjustRightInd w:val="0"/>
        <w:spacing w:line="276" w:lineRule="auto"/>
        <w:ind w:firstLine="420" w:firstLineChars="200"/>
        <w:rPr>
          <w:color w:val="auto"/>
          <w:szCs w:val="21"/>
          <w:highlight w:val="none"/>
        </w:rPr>
      </w:pPr>
      <w:r>
        <w:rPr>
          <w:rFonts w:hint="eastAsia" w:cs="宋体"/>
          <w:color w:val="auto"/>
          <w:szCs w:val="21"/>
          <w:highlight w:val="none"/>
          <w:lang w:bidi="ar"/>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9E83DC8">
      <w:pPr>
        <w:spacing w:before="120" w:line="276" w:lineRule="auto"/>
        <w:ind w:firstLine="420" w:firstLineChars="200"/>
        <w:rPr>
          <w:color w:val="auto"/>
          <w:szCs w:val="21"/>
          <w:highlight w:val="none"/>
        </w:rPr>
      </w:pPr>
      <w:r>
        <w:rPr>
          <w:rFonts w:hint="eastAsia" w:cs="宋体"/>
          <w:color w:val="auto"/>
          <w:szCs w:val="21"/>
          <w:highlight w:val="none"/>
          <w:lang w:bidi="ar"/>
        </w:rPr>
        <w:t>如供应商成功解密投标文件，但未在广西政府采购云平台电子开标大厅参加开标的，视同认可开标过程和结果，由此产生的后果由供应商自行负责。</w:t>
      </w:r>
      <w:r>
        <w:rPr>
          <w:color w:val="auto"/>
          <w:szCs w:val="21"/>
          <w:highlight w:val="none"/>
          <w:lang w:bidi="ar"/>
        </w:rPr>
        <w:t xml:space="preserve"> </w:t>
      </w:r>
    </w:p>
    <w:p w14:paraId="24F1EBE8">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4.2</w:t>
      </w:r>
      <w:r>
        <w:rPr>
          <w:rFonts w:hint="eastAsia" w:cs="宋体"/>
          <w:b/>
          <w:bCs/>
          <w:color w:val="auto"/>
          <w:kern w:val="0"/>
          <w:szCs w:val="21"/>
          <w:highlight w:val="none"/>
          <w:lang w:bidi="ar"/>
        </w:rPr>
        <w:t>开标程序</w:t>
      </w:r>
    </w:p>
    <w:p w14:paraId="0BFF79C0">
      <w:pPr>
        <w:spacing w:before="120" w:line="320" w:lineRule="atLeast"/>
        <w:ind w:firstLine="420" w:firstLineChars="200"/>
        <w:rPr>
          <w:color w:val="auto"/>
          <w:szCs w:val="21"/>
          <w:highlight w:val="none"/>
        </w:rPr>
      </w:pPr>
      <w:r>
        <w:rPr>
          <w:color w:val="auto"/>
          <w:szCs w:val="21"/>
          <w:highlight w:val="none"/>
          <w:lang w:bidi="ar"/>
        </w:rPr>
        <w:t>4.2.1</w:t>
      </w:r>
      <w:r>
        <w:rPr>
          <w:rFonts w:hint="eastAsia" w:cs="宋体"/>
          <w:color w:val="auto"/>
          <w:szCs w:val="21"/>
          <w:highlight w:val="none"/>
          <w:lang w:bidi="ar"/>
        </w:rPr>
        <w:t>供应商登录广西政府采购云平台进入开标大厅签到。</w:t>
      </w:r>
    </w:p>
    <w:p w14:paraId="4DCFEF30">
      <w:pPr>
        <w:spacing w:before="120" w:line="320" w:lineRule="atLeast"/>
        <w:ind w:firstLine="420" w:firstLineChars="200"/>
        <w:rPr>
          <w:color w:val="auto"/>
          <w:szCs w:val="21"/>
          <w:highlight w:val="none"/>
        </w:rPr>
      </w:pPr>
      <w:r>
        <w:rPr>
          <w:color w:val="auto"/>
          <w:szCs w:val="21"/>
          <w:highlight w:val="none"/>
          <w:lang w:bidi="ar"/>
        </w:rPr>
        <w:t>4.2.2</w:t>
      </w:r>
      <w:r>
        <w:rPr>
          <w:rFonts w:hint="eastAsia" w:cs="宋体"/>
          <w:color w:val="auto"/>
          <w:szCs w:val="21"/>
          <w:highlight w:val="none"/>
          <w:lang w:bidi="ar"/>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color w:val="auto"/>
          <w:szCs w:val="21"/>
          <w:highlight w:val="none"/>
          <w:lang w:bidi="ar"/>
        </w:rPr>
        <w:t>CA</w:t>
      </w:r>
      <w:r>
        <w:rPr>
          <w:rFonts w:hint="eastAsia" w:cs="宋体"/>
          <w:color w:val="auto"/>
          <w:szCs w:val="21"/>
          <w:highlight w:val="none"/>
          <w:lang w:bidi="ar"/>
        </w:rPr>
        <w:t>锁准时登录到广西政府采购云平台电子开标大厅签到并对电子投标文件解密。开标后供应商未及时进行解密的，代理机构可通知供应商。</w:t>
      </w:r>
      <w:r>
        <w:rPr>
          <w:rFonts w:hint="eastAsia" w:cs="宋体"/>
          <w:color w:val="auto"/>
          <w:highlight w:val="none"/>
          <w:lang w:bidi="ar"/>
        </w:rPr>
        <w:t>通知后供应商仍未在上述规定时间内解密响应文件</w:t>
      </w:r>
      <w:r>
        <w:rPr>
          <w:rFonts w:hint="eastAsia" w:cs="宋体"/>
          <w:color w:val="auto"/>
          <w:szCs w:val="21"/>
          <w:highlight w:val="none"/>
          <w:lang w:bidi="ar"/>
        </w:rPr>
        <w:t>，或者供应商没预留联系方式或预留联系方式无效导致代理机构无法联系到供应商进行解密的，均视为无效投标。</w:t>
      </w:r>
    </w:p>
    <w:p w14:paraId="3BEB6F5A">
      <w:pPr>
        <w:spacing w:before="120" w:line="320" w:lineRule="atLeast"/>
        <w:ind w:firstLine="420" w:firstLineChars="200"/>
        <w:rPr>
          <w:color w:val="auto"/>
          <w:szCs w:val="21"/>
          <w:highlight w:val="none"/>
        </w:rPr>
      </w:pPr>
      <w:r>
        <w:rPr>
          <w:color w:val="auto"/>
          <w:szCs w:val="21"/>
          <w:highlight w:val="none"/>
          <w:lang w:bidi="ar"/>
        </w:rPr>
        <w:t>4.2.3</w:t>
      </w:r>
      <w:bookmarkStart w:id="76" w:name="_Hlk106637968"/>
      <w:r>
        <w:rPr>
          <w:rFonts w:hint="eastAsia" w:cs="宋体"/>
          <w:color w:val="auto"/>
          <w:szCs w:val="21"/>
          <w:highlight w:val="none"/>
          <w:lang w:bidi="ar"/>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76"/>
    <w:p w14:paraId="039A5555">
      <w:pPr>
        <w:spacing w:before="120" w:line="320" w:lineRule="atLeast"/>
        <w:ind w:firstLine="420" w:firstLineChars="200"/>
        <w:rPr>
          <w:color w:val="auto"/>
          <w:szCs w:val="21"/>
          <w:highlight w:val="none"/>
        </w:rPr>
      </w:pPr>
      <w:r>
        <w:rPr>
          <w:color w:val="auto"/>
          <w:szCs w:val="21"/>
          <w:highlight w:val="none"/>
          <w:lang w:bidi="ar"/>
        </w:rPr>
        <w:t>4.2.4</w:t>
      </w:r>
      <w:r>
        <w:rPr>
          <w:rFonts w:hint="eastAsia" w:cs="宋体"/>
          <w:color w:val="auto"/>
          <w:szCs w:val="21"/>
          <w:highlight w:val="none"/>
          <w:lang w:bidi="ar"/>
        </w:rPr>
        <w:t>解密异常情况处理：详见本章</w:t>
      </w:r>
      <w:r>
        <w:rPr>
          <w:color w:val="auto"/>
          <w:szCs w:val="21"/>
          <w:highlight w:val="none"/>
          <w:lang w:bidi="ar"/>
        </w:rPr>
        <w:t>9.2</w:t>
      </w:r>
      <w:r>
        <w:rPr>
          <w:rFonts w:hint="eastAsia" w:cs="宋体"/>
          <w:color w:val="auto"/>
          <w:szCs w:val="21"/>
          <w:highlight w:val="none"/>
          <w:lang w:bidi="ar"/>
        </w:rPr>
        <w:t>电子交易活动的中止。</w:t>
      </w:r>
    </w:p>
    <w:p w14:paraId="1A947B32">
      <w:pPr>
        <w:spacing w:before="120" w:line="320" w:lineRule="atLeast"/>
        <w:ind w:firstLine="420" w:firstLineChars="200"/>
        <w:rPr>
          <w:color w:val="auto"/>
          <w:szCs w:val="21"/>
          <w:highlight w:val="none"/>
        </w:rPr>
      </w:pPr>
      <w:r>
        <w:rPr>
          <w:color w:val="auto"/>
          <w:szCs w:val="21"/>
          <w:highlight w:val="none"/>
          <w:lang w:bidi="ar"/>
        </w:rPr>
        <w:t>4.2.5</w:t>
      </w:r>
      <w:r>
        <w:rPr>
          <w:rFonts w:hint="eastAsia" w:cs="宋体"/>
          <w:color w:val="auto"/>
          <w:szCs w:val="21"/>
          <w:highlight w:val="none"/>
          <w:lang w:bidi="ar"/>
        </w:rPr>
        <w:t>供应商对报价进行确认。</w:t>
      </w:r>
    </w:p>
    <w:p w14:paraId="46D201A2">
      <w:pPr>
        <w:spacing w:before="120" w:line="320" w:lineRule="atLeast"/>
        <w:ind w:firstLine="420" w:firstLineChars="200"/>
        <w:rPr>
          <w:color w:val="auto"/>
          <w:szCs w:val="21"/>
          <w:highlight w:val="none"/>
        </w:rPr>
      </w:pPr>
      <w:r>
        <w:rPr>
          <w:color w:val="auto"/>
          <w:szCs w:val="21"/>
          <w:highlight w:val="none"/>
          <w:lang w:bidi="ar"/>
        </w:rPr>
        <w:t>4.2.6</w:t>
      </w:r>
      <w:r>
        <w:rPr>
          <w:rFonts w:hint="eastAsia" w:cs="宋体"/>
          <w:color w:val="auto"/>
          <w:szCs w:val="21"/>
          <w:highlight w:val="none"/>
          <w:lang w:bidi="ar"/>
        </w:rPr>
        <w:t>开标结束。</w:t>
      </w:r>
    </w:p>
    <w:p w14:paraId="33437EE9">
      <w:pPr>
        <w:pStyle w:val="46"/>
        <w:widowControl w:val="0"/>
        <w:snapToGrid w:val="0"/>
        <w:spacing w:before="0" w:beforeAutospacing="0" w:after="0" w:afterAutospacing="0" w:line="440" w:lineRule="exact"/>
        <w:ind w:firstLine="422" w:firstLineChars="200"/>
        <w:jc w:val="both"/>
        <w:rPr>
          <w:color w:val="auto"/>
          <w:highlight w:val="none"/>
        </w:rPr>
      </w:pPr>
      <w:r>
        <w:rPr>
          <w:rFonts w:hint="eastAsia" w:cs="Courier New"/>
          <w:b/>
          <w:bCs/>
          <w:color w:val="auto"/>
          <w:kern w:val="2"/>
          <w:sz w:val="21"/>
          <w:szCs w:val="21"/>
          <w:highlight w:val="none"/>
          <w:lang w:bidi="ar"/>
        </w:rPr>
        <w:t>特别说明：</w:t>
      </w:r>
      <w:r>
        <w:rPr>
          <w:rFonts w:hint="eastAsia" w:cs="Courier New"/>
          <w:color w:val="auto"/>
          <w:kern w:val="2"/>
          <w:sz w:val="21"/>
          <w:szCs w:val="21"/>
          <w:highlight w:val="none"/>
          <w:lang w:bidi="ar"/>
        </w:rPr>
        <w:t>如遇</w:t>
      </w:r>
      <w:r>
        <w:rPr>
          <w:rFonts w:hint="eastAsia" w:hAnsi="Courier New" w:cs="Courier New"/>
          <w:snapToGrid w:val="0"/>
          <w:color w:val="auto"/>
          <w:kern w:val="2"/>
          <w:sz w:val="21"/>
          <w:szCs w:val="21"/>
          <w:highlight w:val="none"/>
          <w:lang w:bidi="ar"/>
        </w:rPr>
        <w:t>广西政府采购云平台</w:t>
      </w:r>
      <w:r>
        <w:rPr>
          <w:rFonts w:hint="eastAsia" w:cs="Courier New"/>
          <w:color w:val="auto"/>
          <w:kern w:val="2"/>
          <w:sz w:val="21"/>
          <w:szCs w:val="21"/>
          <w:highlight w:val="none"/>
          <w:lang w:bidi="ar"/>
        </w:rPr>
        <w:t>电子化开标或评审程序调整的，按调整后的程序执行。</w:t>
      </w:r>
    </w:p>
    <w:p w14:paraId="211EC4F3">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4.3</w:t>
      </w:r>
      <w:r>
        <w:rPr>
          <w:rFonts w:hint="eastAsia" w:cs="宋体"/>
          <w:b/>
          <w:bCs/>
          <w:color w:val="auto"/>
          <w:kern w:val="0"/>
          <w:szCs w:val="21"/>
          <w:highlight w:val="none"/>
          <w:lang w:bidi="ar"/>
        </w:rPr>
        <w:t>演示</w:t>
      </w:r>
    </w:p>
    <w:p w14:paraId="0B30E37B">
      <w:pPr>
        <w:spacing w:before="120" w:line="320" w:lineRule="atLeast"/>
        <w:ind w:firstLine="420" w:firstLineChars="200"/>
        <w:rPr>
          <w:color w:val="auto"/>
          <w:szCs w:val="21"/>
          <w:highlight w:val="none"/>
        </w:rPr>
      </w:pPr>
      <w:r>
        <w:rPr>
          <w:color w:val="auto"/>
          <w:szCs w:val="21"/>
          <w:highlight w:val="none"/>
          <w:lang w:bidi="ar"/>
        </w:rPr>
        <w:t>4.3.1“</w:t>
      </w:r>
      <w:r>
        <w:rPr>
          <w:rFonts w:hint="eastAsia" w:cs="宋体"/>
          <w:color w:val="auto"/>
          <w:szCs w:val="21"/>
          <w:highlight w:val="none"/>
          <w:lang w:bidi="ar"/>
        </w:rPr>
        <w:t>供应商须知前附表</w:t>
      </w:r>
      <w:r>
        <w:rPr>
          <w:color w:val="auto"/>
          <w:szCs w:val="21"/>
          <w:highlight w:val="none"/>
          <w:lang w:bidi="ar"/>
        </w:rPr>
        <w:t>”</w:t>
      </w:r>
      <w:r>
        <w:rPr>
          <w:rFonts w:hint="eastAsia" w:cs="宋体"/>
          <w:color w:val="auto"/>
          <w:szCs w:val="21"/>
          <w:highlight w:val="none"/>
          <w:lang w:bidi="ar"/>
        </w:rPr>
        <w:t>规定在开标会议结束后进行演示的，供应商应按规定进行演示。</w:t>
      </w:r>
    </w:p>
    <w:p w14:paraId="0641649E">
      <w:pPr>
        <w:spacing w:before="120" w:line="320" w:lineRule="atLeast"/>
        <w:ind w:firstLine="420" w:firstLineChars="200"/>
        <w:rPr>
          <w:color w:val="auto"/>
          <w:szCs w:val="21"/>
          <w:highlight w:val="none"/>
        </w:rPr>
      </w:pPr>
      <w:r>
        <w:rPr>
          <w:color w:val="auto"/>
          <w:szCs w:val="21"/>
          <w:highlight w:val="none"/>
          <w:lang w:bidi="ar"/>
        </w:rPr>
        <w:t>4.3.2</w:t>
      </w:r>
      <w:r>
        <w:rPr>
          <w:rFonts w:hint="eastAsia" w:cs="宋体"/>
          <w:color w:val="auto"/>
          <w:szCs w:val="21"/>
          <w:highlight w:val="none"/>
          <w:lang w:bidi="ar"/>
        </w:rPr>
        <w:t>未按规定时间进行演示可能引起的演示分数被计为</w:t>
      </w:r>
      <w:r>
        <w:rPr>
          <w:color w:val="auto"/>
          <w:szCs w:val="21"/>
          <w:highlight w:val="none"/>
          <w:lang w:bidi="ar"/>
        </w:rPr>
        <w:t>0</w:t>
      </w:r>
      <w:r>
        <w:rPr>
          <w:rFonts w:hint="eastAsia" w:cs="宋体"/>
          <w:color w:val="auto"/>
          <w:szCs w:val="21"/>
          <w:highlight w:val="none"/>
          <w:lang w:bidi="ar"/>
        </w:rPr>
        <w:t>分或投标无效等后果由供应商自行承担。</w:t>
      </w:r>
    </w:p>
    <w:p w14:paraId="2E6CDC97">
      <w:pPr>
        <w:spacing w:before="120" w:line="320" w:lineRule="atLeast"/>
        <w:ind w:firstLine="422" w:firstLineChars="200"/>
        <w:outlineLvl w:val="2"/>
        <w:rPr>
          <w:color w:val="auto"/>
          <w:szCs w:val="21"/>
          <w:highlight w:val="none"/>
        </w:rPr>
      </w:pPr>
      <w:r>
        <w:rPr>
          <w:b/>
          <w:bCs/>
          <w:color w:val="auto"/>
          <w:kern w:val="0"/>
          <w:szCs w:val="21"/>
          <w:highlight w:val="none"/>
          <w:lang w:bidi="ar"/>
        </w:rPr>
        <w:t>4.4</w:t>
      </w:r>
      <w:r>
        <w:rPr>
          <w:rFonts w:hint="eastAsia" w:cs="宋体"/>
          <w:b/>
          <w:bCs/>
          <w:color w:val="auto"/>
          <w:kern w:val="0"/>
          <w:szCs w:val="21"/>
          <w:highlight w:val="none"/>
          <w:lang w:bidi="ar"/>
        </w:rPr>
        <w:t>样品</w:t>
      </w:r>
    </w:p>
    <w:p w14:paraId="3B4AFE3B">
      <w:pPr>
        <w:spacing w:before="120" w:line="320" w:lineRule="atLeast"/>
        <w:ind w:firstLine="420" w:firstLineChars="200"/>
        <w:rPr>
          <w:color w:val="auto"/>
          <w:szCs w:val="21"/>
          <w:highlight w:val="none"/>
        </w:rPr>
      </w:pPr>
      <w:r>
        <w:rPr>
          <w:color w:val="auto"/>
          <w:szCs w:val="21"/>
          <w:highlight w:val="none"/>
          <w:lang w:bidi="ar"/>
        </w:rPr>
        <w:t>4.4.1“</w:t>
      </w:r>
      <w:r>
        <w:rPr>
          <w:rFonts w:hint="eastAsia" w:cs="宋体"/>
          <w:color w:val="auto"/>
          <w:szCs w:val="21"/>
          <w:highlight w:val="none"/>
          <w:lang w:bidi="ar"/>
        </w:rPr>
        <w:t>供应商须知前附表</w:t>
      </w:r>
      <w:r>
        <w:rPr>
          <w:color w:val="auto"/>
          <w:szCs w:val="21"/>
          <w:highlight w:val="none"/>
          <w:lang w:bidi="ar"/>
        </w:rPr>
        <w:t>”</w:t>
      </w:r>
      <w:r>
        <w:rPr>
          <w:rFonts w:hint="eastAsia" w:cs="宋体"/>
          <w:color w:val="auto"/>
          <w:szCs w:val="21"/>
          <w:highlight w:val="none"/>
          <w:lang w:bidi="ar"/>
        </w:rPr>
        <w:t>规定递交样品的，供应商应按前附表规定递交样品，递交样品时应附样品递交表（格式见第六章）。</w:t>
      </w:r>
    </w:p>
    <w:p w14:paraId="7A8789CD">
      <w:pPr>
        <w:spacing w:before="120" w:line="320" w:lineRule="atLeast"/>
        <w:ind w:firstLine="420" w:firstLineChars="200"/>
        <w:rPr>
          <w:color w:val="auto"/>
          <w:szCs w:val="21"/>
          <w:highlight w:val="none"/>
        </w:rPr>
      </w:pPr>
      <w:r>
        <w:rPr>
          <w:color w:val="auto"/>
          <w:szCs w:val="21"/>
          <w:highlight w:val="none"/>
          <w:lang w:bidi="ar"/>
        </w:rPr>
        <w:t>4.4.2</w:t>
      </w:r>
      <w:r>
        <w:rPr>
          <w:rFonts w:hint="eastAsia" w:cs="宋体"/>
          <w:color w:val="auto"/>
          <w:szCs w:val="21"/>
          <w:highlight w:val="none"/>
          <w:lang w:bidi="ar"/>
        </w:rPr>
        <w:t>未按规定时间递交样品可能引起的样品分数被计为</w:t>
      </w:r>
      <w:r>
        <w:rPr>
          <w:color w:val="auto"/>
          <w:szCs w:val="21"/>
          <w:highlight w:val="none"/>
          <w:lang w:bidi="ar"/>
        </w:rPr>
        <w:t>0</w:t>
      </w:r>
      <w:r>
        <w:rPr>
          <w:rFonts w:hint="eastAsia" w:cs="宋体"/>
          <w:color w:val="auto"/>
          <w:szCs w:val="21"/>
          <w:highlight w:val="none"/>
          <w:lang w:bidi="ar"/>
        </w:rPr>
        <w:t>分或投标无效等后果由供应商自行承担。</w:t>
      </w:r>
    </w:p>
    <w:p w14:paraId="1218DC3A">
      <w:pPr>
        <w:spacing w:before="120" w:line="320" w:lineRule="atLeast"/>
        <w:ind w:firstLine="420" w:firstLineChars="200"/>
        <w:rPr>
          <w:color w:val="auto"/>
          <w:szCs w:val="21"/>
          <w:highlight w:val="none"/>
        </w:rPr>
      </w:pPr>
      <w:bookmarkStart w:id="77" w:name="_Toc254970686"/>
      <w:bookmarkStart w:id="78" w:name="_Toc254970545"/>
      <w:r>
        <w:rPr>
          <w:color w:val="auto"/>
          <w:szCs w:val="21"/>
          <w:highlight w:val="none"/>
          <w:lang w:bidi="ar"/>
        </w:rPr>
        <w:t>4.4.3</w:t>
      </w:r>
      <w:r>
        <w:rPr>
          <w:rFonts w:hint="eastAsia" w:cs="宋体"/>
          <w:color w:val="auto"/>
          <w:szCs w:val="21"/>
          <w:highlight w:val="none"/>
          <w:lang w:bidi="ar"/>
        </w:rPr>
        <w:t>样品封存或退还的说明请见第六章投标文件格式所附样品递交表。</w:t>
      </w:r>
    </w:p>
    <w:p w14:paraId="523FF0F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5</w:t>
      </w:r>
      <w:r>
        <w:rPr>
          <w:rFonts w:hint="eastAsia" w:cs="宋体"/>
          <w:b/>
          <w:bCs/>
          <w:color w:val="auto"/>
          <w:kern w:val="0"/>
          <w:szCs w:val="21"/>
          <w:highlight w:val="none"/>
          <w:lang w:bidi="ar"/>
        </w:rPr>
        <w:t>．资格审查</w:t>
      </w:r>
    </w:p>
    <w:p w14:paraId="1015F217">
      <w:pPr>
        <w:spacing w:before="120" w:line="320" w:lineRule="atLeast"/>
        <w:ind w:left="2" w:leftChars="1" w:firstLine="420" w:firstLineChars="200"/>
        <w:outlineLvl w:val="1"/>
        <w:rPr>
          <w:bCs/>
          <w:color w:val="auto"/>
          <w:kern w:val="0"/>
          <w:szCs w:val="21"/>
          <w:highlight w:val="none"/>
        </w:rPr>
      </w:pPr>
      <w:r>
        <w:rPr>
          <w:bCs/>
          <w:color w:val="auto"/>
          <w:kern w:val="0"/>
          <w:szCs w:val="21"/>
          <w:highlight w:val="none"/>
          <w:lang w:bidi="ar"/>
        </w:rPr>
        <w:t>5.1</w:t>
      </w:r>
      <w:r>
        <w:rPr>
          <w:rFonts w:hint="eastAsia" w:ascii="宋体" w:hAnsi="宋体" w:cs="宋体"/>
          <w:bCs/>
          <w:color w:val="auto"/>
          <w:szCs w:val="21"/>
          <w:highlight w:val="none"/>
          <w:lang w:bidi="ar"/>
        </w:rPr>
        <w:t>开标结束后，采购人或者采购代理机构通过电子交易平台对供应商的资格进行审查。资格审查</w:t>
      </w:r>
      <w:r>
        <w:rPr>
          <w:rFonts w:hint="eastAsia" w:cs="宋体"/>
          <w:bCs/>
          <w:color w:val="auto"/>
          <w:kern w:val="0"/>
          <w:szCs w:val="21"/>
          <w:highlight w:val="none"/>
          <w:lang w:bidi="ar"/>
        </w:rPr>
        <w:t>是根据法律法规和招标文件的规定，对供应商的基本资格条件、特定资格条件进行审查。</w:t>
      </w:r>
    </w:p>
    <w:p w14:paraId="3124F3C0">
      <w:pPr>
        <w:spacing w:before="120" w:line="320" w:lineRule="atLeast"/>
        <w:ind w:left="2" w:leftChars="1" w:firstLine="420" w:firstLineChars="200"/>
        <w:outlineLvl w:val="1"/>
        <w:rPr>
          <w:bCs/>
          <w:color w:val="auto"/>
          <w:kern w:val="0"/>
          <w:szCs w:val="21"/>
          <w:highlight w:val="none"/>
        </w:rPr>
      </w:pPr>
      <w:r>
        <w:rPr>
          <w:bCs/>
          <w:color w:val="auto"/>
          <w:kern w:val="0"/>
          <w:szCs w:val="21"/>
          <w:highlight w:val="none"/>
          <w:lang w:bidi="ar"/>
        </w:rPr>
        <w:t>5.2</w:t>
      </w:r>
      <w:r>
        <w:rPr>
          <w:rFonts w:hint="eastAsia" w:cs="宋体"/>
          <w:bCs/>
          <w:color w:val="auto"/>
          <w:kern w:val="0"/>
          <w:szCs w:val="21"/>
          <w:highlight w:val="none"/>
          <w:lang w:bidi="ar"/>
        </w:rPr>
        <w:t>资格审查标准在第四章评审方法及标准中规定，符合资格审查标准要求的供应商即为资格审查合格。</w:t>
      </w:r>
    </w:p>
    <w:p w14:paraId="1F1BCC77">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lang w:bidi="ar"/>
        </w:rPr>
        <w:t>5.3</w:t>
      </w:r>
      <w:r>
        <w:rPr>
          <w:rFonts w:hint="eastAsia" w:cs="宋体"/>
          <w:bCs/>
          <w:color w:val="auto"/>
          <w:kern w:val="0"/>
          <w:szCs w:val="21"/>
          <w:highlight w:val="none"/>
          <w:lang w:bidi="ar"/>
        </w:rPr>
        <w:t>供应商有下列情形之一的，资格审查不合格，作无效投标处理：</w:t>
      </w:r>
    </w:p>
    <w:p w14:paraId="58DA51F7">
      <w:pPr>
        <w:spacing w:line="276" w:lineRule="auto"/>
        <w:ind w:firstLine="420" w:firstLineChars="200"/>
        <w:rPr>
          <w:rFonts w:hAnsi="宋体"/>
          <w:color w:val="auto"/>
          <w:highlight w:val="none"/>
        </w:rPr>
      </w:pPr>
      <w:r>
        <w:rPr>
          <w:color w:val="auto"/>
          <w:szCs w:val="21"/>
          <w:highlight w:val="none"/>
          <w:lang w:bidi="ar"/>
        </w:rPr>
        <w:t>5.3.1</w:t>
      </w:r>
      <w:r>
        <w:rPr>
          <w:rFonts w:hint="eastAsia" w:cs="宋体"/>
          <w:color w:val="auto"/>
          <w:szCs w:val="21"/>
          <w:highlight w:val="none"/>
          <w:lang w:bidi="ar"/>
        </w:rPr>
        <w:t>不具备招标文件中规定的资格要求或资格条件的；</w:t>
      </w:r>
      <w:r>
        <w:rPr>
          <w:color w:val="auto"/>
          <w:szCs w:val="21"/>
          <w:highlight w:val="none"/>
          <w:lang w:bidi="ar"/>
        </w:rPr>
        <w:t xml:space="preserve"> </w:t>
      </w:r>
      <w:r>
        <w:rPr>
          <w:rFonts w:hint="eastAsia" w:hAnsi="宋体" w:cs="宋体"/>
          <w:color w:val="auto"/>
          <w:highlight w:val="none"/>
          <w:lang w:bidi="ar"/>
        </w:rPr>
        <w:t>（注：</w:t>
      </w:r>
      <w:r>
        <w:rPr>
          <w:rFonts w:hint="eastAsia" w:cs="宋体"/>
          <w:color w:val="auto"/>
          <w:szCs w:val="21"/>
          <w:highlight w:val="none"/>
          <w:lang w:bidi="ar"/>
        </w:rPr>
        <w:t>广西政府采购云平台</w:t>
      </w:r>
      <w:r>
        <w:rPr>
          <w:rFonts w:hint="eastAsia" w:hAnsi="宋体" w:cs="宋体"/>
          <w:color w:val="auto"/>
          <w:highlight w:val="none"/>
          <w:lang w:bidi="ar"/>
        </w:rPr>
        <w:t>已与“信用中国”平台做接口，审查专家可直接在线查询）</w:t>
      </w:r>
    </w:p>
    <w:p w14:paraId="6C33D611">
      <w:pPr>
        <w:spacing w:before="120" w:line="276" w:lineRule="auto"/>
        <w:ind w:firstLine="420" w:firstLineChars="200"/>
        <w:rPr>
          <w:color w:val="auto"/>
          <w:szCs w:val="21"/>
          <w:highlight w:val="none"/>
        </w:rPr>
      </w:pPr>
      <w:r>
        <w:rPr>
          <w:color w:val="auto"/>
          <w:szCs w:val="21"/>
          <w:highlight w:val="none"/>
          <w:lang w:bidi="ar"/>
        </w:rPr>
        <w:t>5.3.2</w:t>
      </w:r>
      <w:r>
        <w:rPr>
          <w:rFonts w:hint="eastAsia" w:cs="宋体"/>
          <w:color w:val="auto"/>
          <w:szCs w:val="21"/>
          <w:highlight w:val="none"/>
          <w:lang w:bidi="ar"/>
        </w:rPr>
        <w:t>投标文件缺少任何一项资格证明文件或不符合第四章评审方法及标准中资格审查标准规定的评审内容的；</w:t>
      </w:r>
    </w:p>
    <w:p w14:paraId="393C7730">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lang w:bidi="ar"/>
        </w:rPr>
        <w:t>5.4</w:t>
      </w:r>
      <w:r>
        <w:rPr>
          <w:rFonts w:hint="eastAsia" w:cs="宋体"/>
          <w:bCs/>
          <w:color w:val="auto"/>
          <w:kern w:val="0"/>
          <w:szCs w:val="21"/>
          <w:highlight w:val="none"/>
          <w:lang w:bidi="ar"/>
        </w:rPr>
        <w:t>资格审查合格的供应商不足</w:t>
      </w:r>
      <w:r>
        <w:rPr>
          <w:bCs/>
          <w:color w:val="auto"/>
          <w:kern w:val="0"/>
          <w:szCs w:val="21"/>
          <w:highlight w:val="none"/>
          <w:lang w:bidi="ar"/>
        </w:rPr>
        <w:t>3</w:t>
      </w:r>
      <w:r>
        <w:rPr>
          <w:rFonts w:hint="eastAsia" w:cs="宋体"/>
          <w:bCs/>
          <w:color w:val="auto"/>
          <w:kern w:val="0"/>
          <w:szCs w:val="21"/>
          <w:highlight w:val="none"/>
          <w:lang w:bidi="ar"/>
        </w:rPr>
        <w:t>家的，不得评审。</w:t>
      </w:r>
    </w:p>
    <w:p w14:paraId="485DD40B">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6</w:t>
      </w:r>
      <w:r>
        <w:rPr>
          <w:rFonts w:hint="eastAsia" w:cs="宋体"/>
          <w:b/>
          <w:bCs/>
          <w:color w:val="auto"/>
          <w:kern w:val="0"/>
          <w:szCs w:val="21"/>
          <w:highlight w:val="none"/>
          <w:lang w:bidi="ar"/>
        </w:rPr>
        <w:t>．评审</w:t>
      </w:r>
      <w:bookmarkEnd w:id="77"/>
      <w:bookmarkEnd w:id="78"/>
    </w:p>
    <w:p w14:paraId="7250AD2F">
      <w:pPr>
        <w:spacing w:before="120" w:line="320" w:lineRule="atLeast"/>
        <w:ind w:firstLine="422" w:firstLineChars="200"/>
        <w:outlineLvl w:val="2"/>
        <w:rPr>
          <w:b/>
          <w:bCs/>
          <w:color w:val="auto"/>
          <w:kern w:val="0"/>
          <w:szCs w:val="21"/>
          <w:highlight w:val="none"/>
        </w:rPr>
      </w:pPr>
      <w:bookmarkStart w:id="79" w:name="_Toc254970687"/>
      <w:bookmarkStart w:id="80" w:name="_Toc254970546"/>
      <w:r>
        <w:rPr>
          <w:b/>
          <w:bCs/>
          <w:color w:val="auto"/>
          <w:kern w:val="0"/>
          <w:szCs w:val="21"/>
          <w:highlight w:val="none"/>
          <w:lang w:bidi="ar"/>
        </w:rPr>
        <w:t>6.1</w:t>
      </w:r>
      <w:r>
        <w:rPr>
          <w:rFonts w:hint="eastAsia" w:cs="宋体"/>
          <w:b/>
          <w:bCs/>
          <w:color w:val="auto"/>
          <w:kern w:val="0"/>
          <w:szCs w:val="21"/>
          <w:highlight w:val="none"/>
          <w:lang w:bidi="ar"/>
        </w:rPr>
        <w:t>评审委员会及评审原则</w:t>
      </w:r>
    </w:p>
    <w:p w14:paraId="14E4B06E">
      <w:pPr>
        <w:spacing w:before="120" w:line="320" w:lineRule="atLeast"/>
        <w:ind w:firstLine="420" w:firstLineChars="200"/>
        <w:rPr>
          <w:color w:val="auto"/>
          <w:szCs w:val="21"/>
          <w:highlight w:val="none"/>
        </w:rPr>
      </w:pPr>
      <w:r>
        <w:rPr>
          <w:color w:val="auto"/>
          <w:szCs w:val="21"/>
          <w:highlight w:val="none"/>
          <w:lang w:bidi="ar"/>
        </w:rPr>
        <w:t>6.1.1</w:t>
      </w:r>
      <w:r>
        <w:rPr>
          <w:rFonts w:hint="eastAsia" w:cs="宋体"/>
          <w:color w:val="auto"/>
          <w:szCs w:val="21"/>
          <w:highlight w:val="none"/>
          <w:lang w:bidi="ar"/>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2BDDE752">
      <w:pPr>
        <w:spacing w:before="120" w:line="320" w:lineRule="atLeast"/>
        <w:ind w:firstLine="420" w:firstLineChars="200"/>
        <w:rPr>
          <w:color w:val="auto"/>
          <w:szCs w:val="21"/>
          <w:highlight w:val="none"/>
        </w:rPr>
      </w:pPr>
      <w:r>
        <w:rPr>
          <w:color w:val="auto"/>
          <w:szCs w:val="21"/>
          <w:highlight w:val="none"/>
          <w:lang w:bidi="ar"/>
        </w:rPr>
        <w:t>6.1.2</w:t>
      </w:r>
      <w:r>
        <w:rPr>
          <w:rFonts w:hint="eastAsia" w:cs="宋体"/>
          <w:color w:val="auto"/>
          <w:szCs w:val="21"/>
          <w:highlight w:val="none"/>
          <w:lang w:bidi="ar"/>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32E82B9D">
      <w:pPr>
        <w:spacing w:before="120" w:line="320" w:lineRule="atLeast"/>
        <w:ind w:firstLine="420" w:firstLineChars="200"/>
        <w:rPr>
          <w:color w:val="auto"/>
          <w:szCs w:val="21"/>
          <w:highlight w:val="none"/>
        </w:rPr>
      </w:pPr>
      <w:r>
        <w:rPr>
          <w:color w:val="auto"/>
          <w:szCs w:val="21"/>
          <w:highlight w:val="none"/>
          <w:lang w:bidi="ar"/>
        </w:rPr>
        <w:t>6.1.3</w:t>
      </w:r>
      <w:r>
        <w:rPr>
          <w:rFonts w:hint="eastAsia" w:cs="宋体"/>
          <w:color w:val="auto"/>
          <w:szCs w:val="21"/>
          <w:highlight w:val="none"/>
          <w:lang w:bidi="ar"/>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F75399C">
      <w:pPr>
        <w:spacing w:before="120" w:line="320" w:lineRule="atLeast"/>
        <w:ind w:firstLine="420" w:firstLineChars="200"/>
        <w:rPr>
          <w:color w:val="auto"/>
          <w:szCs w:val="21"/>
          <w:highlight w:val="none"/>
        </w:rPr>
      </w:pPr>
      <w:r>
        <w:rPr>
          <w:color w:val="auto"/>
          <w:szCs w:val="21"/>
          <w:highlight w:val="none"/>
          <w:lang w:bidi="ar"/>
        </w:rPr>
        <w:t>6.1.4</w:t>
      </w:r>
      <w:r>
        <w:rPr>
          <w:rFonts w:hint="eastAsia" w:cs="宋体"/>
          <w:color w:val="auto"/>
          <w:szCs w:val="21"/>
          <w:highlight w:val="none"/>
          <w:lang w:bidi="ar"/>
        </w:rPr>
        <w:t>本项目评审过程实行全程网上留痕及录音、录像监控，供应商在评审过程中所进行的试图影响评审结果的不公正活动，可能导致其投标按无效处理。</w:t>
      </w:r>
    </w:p>
    <w:p w14:paraId="32D30F64">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6.2</w:t>
      </w:r>
      <w:r>
        <w:rPr>
          <w:rFonts w:hint="eastAsia" w:cs="宋体"/>
          <w:b/>
          <w:bCs/>
          <w:color w:val="auto"/>
          <w:kern w:val="0"/>
          <w:szCs w:val="21"/>
          <w:highlight w:val="none"/>
          <w:lang w:bidi="ar"/>
        </w:rPr>
        <w:t>评审方法及依据</w:t>
      </w:r>
    </w:p>
    <w:p w14:paraId="537E82B9">
      <w:pPr>
        <w:spacing w:before="120" w:line="320" w:lineRule="atLeast"/>
        <w:ind w:firstLine="420" w:firstLineChars="200"/>
        <w:rPr>
          <w:bCs/>
          <w:color w:val="auto"/>
          <w:kern w:val="0"/>
          <w:szCs w:val="21"/>
          <w:highlight w:val="none"/>
        </w:rPr>
      </w:pPr>
      <w:r>
        <w:rPr>
          <w:bCs/>
          <w:color w:val="auto"/>
          <w:kern w:val="0"/>
          <w:szCs w:val="21"/>
          <w:highlight w:val="none"/>
          <w:lang w:bidi="ar"/>
        </w:rPr>
        <w:t>6.2.1</w:t>
      </w:r>
      <w:r>
        <w:rPr>
          <w:rFonts w:hint="eastAsia" w:cs="宋体"/>
          <w:bCs/>
          <w:color w:val="auto"/>
          <w:kern w:val="0"/>
          <w:szCs w:val="21"/>
          <w:highlight w:val="none"/>
          <w:lang w:bidi="ar"/>
        </w:rPr>
        <w:t>本项目采用第四章评审方法及标准规定的方法进行评审。</w:t>
      </w:r>
    </w:p>
    <w:p w14:paraId="61EB4423">
      <w:pPr>
        <w:suppressAutoHyphens/>
        <w:spacing w:before="120" w:line="320" w:lineRule="atLeast"/>
        <w:ind w:firstLine="420" w:firstLineChars="200"/>
        <w:rPr>
          <w:bCs/>
          <w:color w:val="auto"/>
          <w:kern w:val="0"/>
          <w:szCs w:val="21"/>
          <w:highlight w:val="none"/>
        </w:rPr>
      </w:pPr>
      <w:r>
        <w:rPr>
          <w:bCs/>
          <w:color w:val="auto"/>
          <w:kern w:val="0"/>
          <w:szCs w:val="21"/>
          <w:highlight w:val="none"/>
          <w:lang w:bidi="ar"/>
        </w:rPr>
        <w:t>6.2.2</w:t>
      </w:r>
      <w:r>
        <w:rPr>
          <w:rFonts w:hint="eastAsia" w:cs="宋体"/>
          <w:color w:val="auto"/>
          <w:highlight w:val="none"/>
          <w:lang w:bidi="ar"/>
        </w:rPr>
        <w:t>评标委员会以招标文件、补充文件、投标文件、澄清及答复为评审依据，</w:t>
      </w:r>
      <w:r>
        <w:rPr>
          <w:rFonts w:hint="eastAsia" w:cs="宋体"/>
          <w:bCs/>
          <w:color w:val="auto"/>
          <w:kern w:val="0"/>
          <w:szCs w:val="21"/>
          <w:highlight w:val="none"/>
          <w:lang w:bidi="ar"/>
        </w:rPr>
        <w:t>第四章评审方法及标准没有规定的评审方法、标准及因素，不得作为评审依据。</w:t>
      </w:r>
    </w:p>
    <w:p w14:paraId="3DA1114D">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6.3</w:t>
      </w:r>
      <w:r>
        <w:rPr>
          <w:rFonts w:hint="eastAsia" w:cs="宋体"/>
          <w:b/>
          <w:bCs/>
          <w:color w:val="auto"/>
          <w:kern w:val="0"/>
          <w:szCs w:val="21"/>
          <w:highlight w:val="none"/>
          <w:lang w:bidi="ar"/>
        </w:rPr>
        <w:t>评审程序</w:t>
      </w:r>
    </w:p>
    <w:p w14:paraId="21C60680">
      <w:pPr>
        <w:spacing w:before="120" w:line="320" w:lineRule="atLeast"/>
        <w:ind w:firstLine="420" w:firstLineChars="200"/>
        <w:rPr>
          <w:color w:val="auto"/>
          <w:highlight w:val="none"/>
        </w:rPr>
      </w:pPr>
      <w:r>
        <w:rPr>
          <w:color w:val="auto"/>
          <w:highlight w:val="none"/>
          <w:lang w:bidi="ar"/>
        </w:rPr>
        <w:t>6.3.1</w:t>
      </w:r>
      <w:r>
        <w:rPr>
          <w:rFonts w:hint="eastAsia" w:cs="宋体"/>
          <w:color w:val="auto"/>
          <w:highlight w:val="none"/>
          <w:lang w:bidi="ar"/>
        </w:rPr>
        <w:t>符合性审查</w:t>
      </w:r>
    </w:p>
    <w:p w14:paraId="7CE17385">
      <w:pPr>
        <w:spacing w:before="120" w:line="320" w:lineRule="atLeast"/>
        <w:ind w:firstLine="420" w:firstLineChars="200"/>
        <w:rPr>
          <w:color w:val="auto"/>
          <w:szCs w:val="21"/>
          <w:highlight w:val="none"/>
        </w:rPr>
      </w:pPr>
      <w:r>
        <w:rPr>
          <w:rFonts w:hint="eastAsia" w:cs="宋体"/>
          <w:bCs/>
          <w:color w:val="auto"/>
          <w:kern w:val="1"/>
          <w:szCs w:val="21"/>
          <w:highlight w:val="none"/>
          <w:lang w:bidi="ar"/>
        </w:rPr>
        <w:t>资格审查结束后，</w:t>
      </w:r>
      <w:r>
        <w:rPr>
          <w:rFonts w:hint="eastAsia" w:hAnsi="宋体" w:cs="宋体"/>
          <w:color w:val="auto"/>
          <w:highlight w:val="none"/>
          <w:lang w:bidi="ar"/>
        </w:rPr>
        <w:t>评审委员会对</w:t>
      </w:r>
      <w:r>
        <w:rPr>
          <w:rFonts w:hint="eastAsia" w:cs="宋体"/>
          <w:color w:val="auto"/>
          <w:highlight w:val="none"/>
          <w:lang w:bidi="ar"/>
        </w:rPr>
        <w:t>通过资格审查的供应商</w:t>
      </w:r>
      <w:r>
        <w:rPr>
          <w:rFonts w:hint="eastAsia" w:hAnsi="宋体" w:cs="宋体"/>
          <w:color w:val="auto"/>
          <w:highlight w:val="none"/>
          <w:lang w:bidi="ar"/>
        </w:rPr>
        <w:t>的投标文件进行报价、商务资信、技术等方面实质性内容进行符合性审查，</w:t>
      </w:r>
      <w:r>
        <w:rPr>
          <w:rFonts w:hint="eastAsia" w:cs="宋体"/>
          <w:color w:val="auto"/>
          <w:szCs w:val="21"/>
          <w:highlight w:val="none"/>
          <w:lang w:bidi="ar"/>
        </w:rPr>
        <w:t>符合性审查标准详见第四章评审方法及标准。</w:t>
      </w:r>
    </w:p>
    <w:p w14:paraId="0D305085">
      <w:pPr>
        <w:spacing w:before="120" w:line="320" w:lineRule="atLeast"/>
        <w:ind w:firstLine="420" w:firstLineChars="200"/>
        <w:rPr>
          <w:color w:val="auto"/>
          <w:szCs w:val="21"/>
          <w:highlight w:val="none"/>
        </w:rPr>
      </w:pPr>
      <w:r>
        <w:rPr>
          <w:color w:val="auto"/>
          <w:szCs w:val="21"/>
          <w:highlight w:val="none"/>
          <w:lang w:bidi="ar"/>
        </w:rPr>
        <w:t>6.3.2</w:t>
      </w:r>
      <w:r>
        <w:rPr>
          <w:rFonts w:hint="eastAsia" w:hAnsi="宋体" w:cs="宋体"/>
          <w:color w:val="auto"/>
          <w:highlight w:val="none"/>
          <w:lang w:bidi="ar"/>
        </w:rPr>
        <w:t>强制性</w:t>
      </w:r>
      <w:r>
        <w:rPr>
          <w:rFonts w:hint="eastAsia" w:cs="宋体"/>
          <w:color w:val="auto"/>
          <w:szCs w:val="21"/>
          <w:highlight w:val="none"/>
          <w:lang w:bidi="ar"/>
        </w:rPr>
        <w:t>采购要求</w:t>
      </w:r>
      <w:bookmarkStart w:id="81" w:name="_Hlk92979720"/>
      <w:r>
        <w:rPr>
          <w:rFonts w:hint="eastAsia" w:cs="宋体"/>
          <w:color w:val="auto"/>
          <w:szCs w:val="21"/>
          <w:highlight w:val="none"/>
          <w:lang w:bidi="ar"/>
        </w:rPr>
        <w:t>（仅适用于货物采购项目）</w:t>
      </w:r>
      <w:bookmarkEnd w:id="81"/>
    </w:p>
    <w:p w14:paraId="5848EE72">
      <w:pPr>
        <w:suppressAutoHyphens/>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）根据《财政部</w:t>
      </w:r>
      <w:r>
        <w:rPr>
          <w:color w:val="auto"/>
          <w:szCs w:val="21"/>
          <w:highlight w:val="none"/>
          <w:lang w:bidi="ar"/>
        </w:rPr>
        <w:t xml:space="preserve"> </w:t>
      </w:r>
      <w:r>
        <w:rPr>
          <w:rFonts w:hint="eastAsia" w:cs="宋体"/>
          <w:color w:val="auto"/>
          <w:szCs w:val="21"/>
          <w:highlight w:val="none"/>
          <w:lang w:bidi="ar"/>
        </w:rPr>
        <w:t>发展改革委</w:t>
      </w:r>
      <w:r>
        <w:rPr>
          <w:color w:val="auto"/>
          <w:szCs w:val="21"/>
          <w:highlight w:val="none"/>
          <w:lang w:bidi="ar"/>
        </w:rPr>
        <w:t xml:space="preserve"> </w:t>
      </w:r>
      <w:r>
        <w:rPr>
          <w:rFonts w:hint="eastAsia" w:cs="宋体"/>
          <w:color w:val="auto"/>
          <w:szCs w:val="21"/>
          <w:highlight w:val="none"/>
          <w:lang w:bidi="ar"/>
        </w:rPr>
        <w:t>生态环境部</w:t>
      </w:r>
      <w:r>
        <w:rPr>
          <w:color w:val="auto"/>
          <w:szCs w:val="21"/>
          <w:highlight w:val="none"/>
          <w:lang w:bidi="ar"/>
        </w:rPr>
        <w:t xml:space="preserve"> </w:t>
      </w:r>
      <w:r>
        <w:rPr>
          <w:rFonts w:hint="eastAsia" w:cs="宋体"/>
          <w:color w:val="auto"/>
          <w:szCs w:val="21"/>
          <w:highlight w:val="none"/>
          <w:lang w:bidi="ar"/>
        </w:rPr>
        <w:t>市场监管总局关于调整优化节能产品、环境标志产品政府采购执行机制的通知》（财库〔</w:t>
      </w:r>
      <w:r>
        <w:rPr>
          <w:color w:val="auto"/>
          <w:szCs w:val="21"/>
          <w:highlight w:val="none"/>
          <w:lang w:bidi="ar"/>
        </w:rPr>
        <w:t>2019</w:t>
      </w:r>
      <w:r>
        <w:rPr>
          <w:rFonts w:hint="eastAsia" w:cs="宋体"/>
          <w:color w:val="auto"/>
          <w:szCs w:val="21"/>
          <w:highlight w:val="none"/>
          <w:lang w:bidi="ar"/>
        </w:rPr>
        <w:t>〕</w:t>
      </w:r>
      <w:r>
        <w:rPr>
          <w:color w:val="auto"/>
          <w:szCs w:val="21"/>
          <w:highlight w:val="none"/>
          <w:lang w:bidi="ar"/>
        </w:rPr>
        <w:t>9</w:t>
      </w:r>
      <w:r>
        <w:rPr>
          <w:rFonts w:hint="eastAsia" w:cs="宋体"/>
          <w:color w:val="auto"/>
          <w:szCs w:val="21"/>
          <w:highlight w:val="none"/>
          <w:lang w:bidi="ar"/>
        </w:rPr>
        <w:t>号）和《关于印发节能产品政府采购品目清单的通知》（财库〔</w:t>
      </w:r>
      <w:r>
        <w:rPr>
          <w:color w:val="auto"/>
          <w:szCs w:val="21"/>
          <w:highlight w:val="none"/>
          <w:lang w:bidi="ar"/>
        </w:rPr>
        <w:t>2019</w:t>
      </w:r>
      <w:r>
        <w:rPr>
          <w:rFonts w:hint="eastAsia" w:cs="宋体"/>
          <w:color w:val="auto"/>
          <w:szCs w:val="21"/>
          <w:highlight w:val="none"/>
          <w:lang w:bidi="ar"/>
        </w:rPr>
        <w:t>〕</w:t>
      </w:r>
      <w:r>
        <w:rPr>
          <w:color w:val="auto"/>
          <w:szCs w:val="21"/>
          <w:highlight w:val="none"/>
          <w:lang w:bidi="ar"/>
        </w:rPr>
        <w:t>19</w:t>
      </w:r>
      <w:r>
        <w:rPr>
          <w:rFonts w:hint="eastAsia" w:cs="宋体"/>
          <w:color w:val="auto"/>
          <w:szCs w:val="21"/>
          <w:highlight w:val="none"/>
          <w:lang w:bidi="ar"/>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2D22A029">
      <w:pPr>
        <w:spacing w:before="120" w:line="320" w:lineRule="atLeast"/>
        <w:ind w:firstLine="420" w:firstLineChars="200"/>
        <w:rPr>
          <w:color w:val="auto"/>
          <w:szCs w:val="21"/>
          <w:highlight w:val="none"/>
        </w:rPr>
      </w:pPr>
      <w:bookmarkStart w:id="82" w:name="_Hlk19176155"/>
      <w:r>
        <w:rPr>
          <w:rFonts w:hint="eastAsia" w:cs="宋体"/>
          <w:color w:val="auto"/>
          <w:szCs w:val="21"/>
          <w:highlight w:val="none"/>
          <w:lang w:bidi="ar"/>
        </w:rPr>
        <w:t>（</w:t>
      </w:r>
      <w:r>
        <w:rPr>
          <w:color w:val="auto"/>
          <w:szCs w:val="21"/>
          <w:highlight w:val="none"/>
          <w:lang w:bidi="ar"/>
        </w:rPr>
        <w:t xml:space="preserve">2 </w:t>
      </w:r>
      <w:r>
        <w:rPr>
          <w:rFonts w:hint="eastAsia" w:cs="宋体"/>
          <w:color w:val="auto"/>
          <w:szCs w:val="21"/>
          <w:highlight w:val="none"/>
          <w:lang w:bidi="ar"/>
        </w:rPr>
        <w:t>）根据《关于调整网络安全专用产品安全管理有关事项的公告》（</w:t>
      </w:r>
      <w:r>
        <w:rPr>
          <w:color w:val="auto"/>
          <w:szCs w:val="21"/>
          <w:highlight w:val="none"/>
          <w:lang w:bidi="ar"/>
        </w:rPr>
        <w:t>2023</w:t>
      </w:r>
      <w:r>
        <w:rPr>
          <w:rFonts w:hint="eastAsia" w:cs="宋体"/>
          <w:color w:val="auto"/>
          <w:szCs w:val="21"/>
          <w:highlight w:val="none"/>
          <w:lang w:bidi="ar"/>
        </w:rPr>
        <w:t>年</w:t>
      </w:r>
      <w:r>
        <w:rPr>
          <w:color w:val="auto"/>
          <w:szCs w:val="21"/>
          <w:highlight w:val="none"/>
          <w:lang w:bidi="ar"/>
        </w:rPr>
        <w:t>1</w:t>
      </w:r>
      <w:r>
        <w:rPr>
          <w:rFonts w:hint="eastAsia" w:cs="宋体"/>
          <w:color w:val="auto"/>
          <w:szCs w:val="21"/>
          <w:highlight w:val="none"/>
          <w:lang w:bidi="ar"/>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C1DDC3B">
      <w:pPr>
        <w:spacing w:before="120" w:line="320" w:lineRule="atLeast"/>
        <w:ind w:firstLine="420" w:firstLineChars="200"/>
        <w:rPr>
          <w:color w:val="auto"/>
          <w:highlight w:val="none"/>
        </w:rPr>
      </w:pPr>
      <w:r>
        <w:rPr>
          <w:rFonts w:hint="eastAsia" w:cs="宋体"/>
          <w:color w:val="auto"/>
          <w:szCs w:val="21"/>
          <w:highlight w:val="none"/>
          <w:lang w:bidi="ar"/>
        </w:rPr>
        <w:t>注：网络安全专用产品在中共中央网络安全和信息化委员会办公室网站上发布的《网络关键设备和网络安全专用产品目录》中查询。</w:t>
      </w:r>
      <w:r>
        <w:rPr>
          <w:color w:val="auto"/>
          <w:szCs w:val="21"/>
          <w:highlight w:val="none"/>
          <w:lang w:bidi="ar"/>
        </w:rPr>
        <w:t xml:space="preserve"> </w:t>
      </w:r>
      <w:r>
        <w:rPr>
          <w:rFonts w:hint="eastAsia" w:cs="宋体"/>
          <w:color w:val="auto"/>
          <w:szCs w:val="21"/>
          <w:highlight w:val="none"/>
          <w:lang w:bidi="ar"/>
        </w:rPr>
        <w:t>目前共</w:t>
      </w:r>
      <w:r>
        <w:rPr>
          <w:color w:val="auto"/>
          <w:szCs w:val="21"/>
          <w:highlight w:val="none"/>
          <w:lang w:bidi="ar"/>
        </w:rPr>
        <w:t>15</w:t>
      </w:r>
      <w:r>
        <w:rPr>
          <w:rFonts w:hint="eastAsia" w:cs="宋体"/>
          <w:color w:val="auto"/>
          <w:szCs w:val="21"/>
          <w:highlight w:val="none"/>
          <w:lang w:bidi="ar"/>
        </w:rPr>
        <w:t>类：路由器、交换机、服务器（机架式）、可编程逻辑控制器（</w:t>
      </w:r>
      <w:r>
        <w:rPr>
          <w:color w:val="auto"/>
          <w:szCs w:val="21"/>
          <w:highlight w:val="none"/>
          <w:lang w:bidi="ar"/>
        </w:rPr>
        <w:t>PLC</w:t>
      </w:r>
      <w:r>
        <w:rPr>
          <w:rFonts w:hint="eastAsia" w:cs="宋体"/>
          <w:color w:val="auto"/>
          <w:szCs w:val="21"/>
          <w:highlight w:val="none"/>
          <w:lang w:bidi="ar"/>
        </w:rPr>
        <w:t>设备）、数据备份一体机、防火墙（硬件）、</w:t>
      </w:r>
      <w:r>
        <w:rPr>
          <w:color w:val="auto"/>
          <w:szCs w:val="21"/>
          <w:highlight w:val="none"/>
          <w:lang w:bidi="ar"/>
        </w:rPr>
        <w:t>WEB</w:t>
      </w:r>
      <w:r>
        <w:rPr>
          <w:rFonts w:hint="eastAsia" w:cs="宋体"/>
          <w:color w:val="auto"/>
          <w:szCs w:val="21"/>
          <w:highlight w:val="none"/>
          <w:lang w:bidi="ar"/>
        </w:rPr>
        <w:t>应用防火墙（</w:t>
      </w:r>
      <w:r>
        <w:rPr>
          <w:color w:val="auto"/>
          <w:szCs w:val="21"/>
          <w:highlight w:val="none"/>
          <w:lang w:bidi="ar"/>
        </w:rPr>
        <w:t>WAF</w:t>
      </w:r>
      <w:r>
        <w:rPr>
          <w:rFonts w:hint="eastAsia" w:cs="宋体"/>
          <w:color w:val="auto"/>
          <w:szCs w:val="21"/>
          <w:highlight w:val="none"/>
          <w:lang w:bidi="ar"/>
        </w:rPr>
        <w:t>）、入侵检测系统（</w:t>
      </w:r>
      <w:r>
        <w:rPr>
          <w:color w:val="auto"/>
          <w:szCs w:val="21"/>
          <w:highlight w:val="none"/>
          <w:lang w:bidi="ar"/>
        </w:rPr>
        <w:t>IDS</w:t>
      </w:r>
      <w:r>
        <w:rPr>
          <w:rFonts w:hint="eastAsia" w:cs="宋体"/>
          <w:color w:val="auto"/>
          <w:szCs w:val="21"/>
          <w:highlight w:val="none"/>
          <w:lang w:bidi="ar"/>
        </w:rPr>
        <w:t>）、入侵防御系统（</w:t>
      </w:r>
      <w:r>
        <w:rPr>
          <w:color w:val="auto"/>
          <w:szCs w:val="21"/>
          <w:highlight w:val="none"/>
          <w:lang w:bidi="ar"/>
        </w:rPr>
        <w:t>IPS</w:t>
      </w:r>
      <w:r>
        <w:rPr>
          <w:rFonts w:hint="eastAsia" w:cs="宋体"/>
          <w:color w:val="auto"/>
          <w:szCs w:val="21"/>
          <w:highlight w:val="none"/>
          <w:lang w:bidi="ar"/>
        </w:rPr>
        <w:t>）、安全隔离与信息交换产品（网闸）、反垃圾邮件产品、网络综合审计系统、网络脆弱性扫描产品、安全数据库系统、网站恢复产品（硬件）。</w:t>
      </w:r>
    </w:p>
    <w:p w14:paraId="071B9D4F">
      <w:pPr>
        <w:spacing w:before="120" w:line="320" w:lineRule="atLeast"/>
        <w:ind w:firstLine="420" w:firstLineChars="200"/>
        <w:rPr>
          <w:color w:val="auto"/>
          <w:highlight w:val="none"/>
        </w:rPr>
      </w:pPr>
      <w:r>
        <w:rPr>
          <w:color w:val="auto"/>
          <w:highlight w:val="none"/>
          <w:lang w:bidi="ar"/>
        </w:rPr>
        <w:t>6.3.3</w:t>
      </w:r>
      <w:r>
        <w:rPr>
          <w:rFonts w:hint="eastAsia" w:cs="宋体"/>
          <w:color w:val="auto"/>
          <w:highlight w:val="none"/>
          <w:lang w:bidi="ar"/>
        </w:rPr>
        <w:t>澄清、说明或补正</w:t>
      </w:r>
    </w:p>
    <w:p w14:paraId="24EFEDC4">
      <w:pPr>
        <w:spacing w:before="120" w:line="320" w:lineRule="atLeast"/>
        <w:ind w:firstLine="420" w:firstLineChars="200"/>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）对投标文件中含义不明确、同类问题表述不一致或者有明显文字和计算错误的内容，评审委员会应在</w:t>
      </w:r>
      <w:r>
        <w:rPr>
          <w:rFonts w:hint="eastAsia" w:cs="宋体"/>
          <w:color w:val="auto"/>
          <w:szCs w:val="21"/>
          <w:highlight w:val="none"/>
          <w:lang w:bidi="ar"/>
        </w:rPr>
        <w:t>广西政府采购云平台</w:t>
      </w:r>
      <w:r>
        <w:rPr>
          <w:rFonts w:hint="eastAsia" w:cs="宋体"/>
          <w:color w:val="auto"/>
          <w:highlight w:val="none"/>
          <w:lang w:bidi="ar"/>
        </w:rPr>
        <w:t>发布电子澄清函，要求供应商在平台设置的时间内作出必要的澄清、说明或者补正。供应商在</w:t>
      </w:r>
      <w:r>
        <w:rPr>
          <w:rFonts w:hint="eastAsia" w:cs="宋体"/>
          <w:color w:val="auto"/>
          <w:szCs w:val="21"/>
          <w:highlight w:val="none"/>
          <w:lang w:bidi="ar"/>
        </w:rPr>
        <w:t>广西政府采购云平</w:t>
      </w:r>
      <w:r>
        <w:rPr>
          <w:rFonts w:hint="eastAsia" w:cs="宋体"/>
          <w:color w:val="auto"/>
          <w:highlight w:val="none"/>
          <w:lang w:bidi="ar"/>
        </w:rPr>
        <w:t>台接收到电子澄清函后根据澄清函内容直接在线编辑或上传</w:t>
      </w:r>
      <w:r>
        <w:rPr>
          <w:color w:val="auto"/>
          <w:highlight w:val="none"/>
          <w:lang w:bidi="ar"/>
        </w:rPr>
        <w:t>PDF</w:t>
      </w:r>
      <w:r>
        <w:rPr>
          <w:rFonts w:hint="eastAsia" w:cs="宋体"/>
          <w:color w:val="auto"/>
          <w:highlight w:val="none"/>
          <w:lang w:bidi="ar"/>
        </w:rPr>
        <w:t>格式回函，电子澄清答复函使用</w:t>
      </w:r>
      <w:r>
        <w:rPr>
          <w:color w:val="auto"/>
          <w:highlight w:val="none"/>
          <w:lang w:bidi="ar"/>
        </w:rPr>
        <w:t>CA</w:t>
      </w:r>
      <w:r>
        <w:rPr>
          <w:rFonts w:hint="eastAsia" w:cs="宋体"/>
          <w:color w:val="auto"/>
          <w:highlight w:val="none"/>
          <w:lang w:bidi="ar"/>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6F24360F">
      <w:pPr>
        <w:spacing w:before="120" w:line="320" w:lineRule="atLeast"/>
        <w:ind w:firstLine="420" w:firstLineChars="200"/>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2DCEEA67">
      <w:pPr>
        <w:spacing w:before="120" w:line="320" w:lineRule="atLeast"/>
        <w:ind w:firstLine="420" w:firstLineChars="200"/>
        <w:rPr>
          <w:color w:val="auto"/>
          <w:highlight w:val="none"/>
        </w:rPr>
      </w:pPr>
      <w:r>
        <w:rPr>
          <w:color w:val="auto"/>
          <w:highlight w:val="none"/>
          <w:lang w:bidi="ar"/>
        </w:rPr>
        <w:t>6.3.4</w:t>
      </w:r>
      <w:r>
        <w:rPr>
          <w:rFonts w:hint="eastAsia" w:cs="宋体"/>
          <w:color w:val="auto"/>
          <w:highlight w:val="none"/>
          <w:lang w:bidi="ar"/>
        </w:rPr>
        <w:t>报价修正</w:t>
      </w:r>
    </w:p>
    <w:p w14:paraId="3ADEF889">
      <w:pPr>
        <w:spacing w:before="120" w:line="320" w:lineRule="atLeast"/>
        <w:ind w:firstLine="420" w:firstLineChars="200"/>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）报价出现前后不一致的，按照下列规定修正：</w:t>
      </w:r>
    </w:p>
    <w:p w14:paraId="68BCCFE4">
      <w:pPr>
        <w:spacing w:before="120" w:line="320" w:lineRule="atLeast"/>
        <w:ind w:firstLine="420" w:firstLineChars="200"/>
        <w:rPr>
          <w:color w:val="auto"/>
          <w:szCs w:val="21"/>
          <w:highlight w:val="none"/>
        </w:rPr>
      </w:pPr>
      <w:r>
        <w:rPr>
          <w:rFonts w:hint="eastAsia" w:ascii="宋体" w:hAnsi="宋体" w:cs="宋体"/>
          <w:color w:val="auto"/>
          <w:szCs w:val="21"/>
          <w:highlight w:val="none"/>
          <w:lang w:bidi="ar"/>
        </w:rPr>
        <w:t>①</w:t>
      </w:r>
      <w:r>
        <w:rPr>
          <w:rFonts w:hint="eastAsia" w:cs="宋体"/>
          <w:color w:val="auto"/>
          <w:szCs w:val="21"/>
          <w:highlight w:val="none"/>
          <w:lang w:bidi="ar"/>
        </w:rPr>
        <w:t>投标文件中开标一览表（报价表）内容与投标文件中相应内容不一致的，以开标一览表（报价表）为准；</w:t>
      </w:r>
    </w:p>
    <w:p w14:paraId="2A2A133B">
      <w:pPr>
        <w:spacing w:before="120" w:line="320" w:lineRule="atLeast"/>
        <w:ind w:firstLine="420" w:firstLineChars="200"/>
        <w:rPr>
          <w:color w:val="auto"/>
          <w:szCs w:val="21"/>
          <w:highlight w:val="none"/>
        </w:rPr>
      </w:pPr>
      <w:r>
        <w:rPr>
          <w:rFonts w:hint="eastAsia" w:ascii="宋体" w:hAnsi="宋体" w:cs="宋体"/>
          <w:color w:val="auto"/>
          <w:szCs w:val="21"/>
          <w:highlight w:val="none"/>
          <w:lang w:bidi="ar"/>
        </w:rPr>
        <w:t>②</w:t>
      </w:r>
      <w:r>
        <w:rPr>
          <w:rFonts w:hint="eastAsia" w:cs="宋体"/>
          <w:color w:val="auto"/>
          <w:szCs w:val="21"/>
          <w:highlight w:val="none"/>
          <w:lang w:bidi="ar"/>
        </w:rPr>
        <w:t>大写金额和小写金额不一致的，以大写金额为准；</w:t>
      </w:r>
    </w:p>
    <w:p w14:paraId="3C2B0960">
      <w:pPr>
        <w:spacing w:before="120" w:line="320" w:lineRule="atLeast"/>
        <w:ind w:firstLine="420" w:firstLineChars="200"/>
        <w:rPr>
          <w:color w:val="auto"/>
          <w:szCs w:val="21"/>
          <w:highlight w:val="none"/>
        </w:rPr>
      </w:pPr>
      <w:r>
        <w:rPr>
          <w:rFonts w:hint="eastAsia" w:cs="宋体"/>
          <w:color w:val="auto"/>
          <w:szCs w:val="21"/>
          <w:highlight w:val="none"/>
          <w:lang w:bidi="ar"/>
        </w:rPr>
        <w:t>③单价金额小数点或者百分比有明显错位的，以开标一览表的总价为准，并修改单价；</w:t>
      </w:r>
    </w:p>
    <w:p w14:paraId="4B17C01A">
      <w:pPr>
        <w:spacing w:before="120" w:line="320" w:lineRule="atLeast"/>
        <w:ind w:firstLine="420" w:firstLineChars="200"/>
        <w:rPr>
          <w:color w:val="auto"/>
          <w:szCs w:val="21"/>
          <w:highlight w:val="none"/>
        </w:rPr>
      </w:pPr>
      <w:r>
        <w:rPr>
          <w:rFonts w:hint="eastAsia" w:cs="宋体"/>
          <w:color w:val="auto"/>
          <w:szCs w:val="21"/>
          <w:highlight w:val="none"/>
          <w:lang w:bidi="ar"/>
        </w:rPr>
        <w:t>④总价金额与按单价汇总金额不一致的，以单价金额计算结果为准。</w:t>
      </w:r>
    </w:p>
    <w:p w14:paraId="2563897C">
      <w:pPr>
        <w:spacing w:before="120" w:line="320" w:lineRule="atLeast"/>
        <w:ind w:firstLine="420" w:firstLineChars="200"/>
        <w:rPr>
          <w:color w:val="auto"/>
          <w:szCs w:val="21"/>
          <w:highlight w:val="none"/>
        </w:rPr>
      </w:pPr>
      <w:r>
        <w:rPr>
          <w:rFonts w:hint="eastAsia" w:cs="宋体"/>
          <w:color w:val="auto"/>
          <w:szCs w:val="21"/>
          <w:highlight w:val="none"/>
          <w:lang w:bidi="ar"/>
        </w:rPr>
        <w:t>同时出现两种以上不一致的，按照上述</w:t>
      </w:r>
      <w:r>
        <w:rPr>
          <w:rFonts w:hint="eastAsia" w:ascii="宋体" w:hAnsi="宋体" w:cs="宋体"/>
          <w:color w:val="auto"/>
          <w:szCs w:val="21"/>
          <w:highlight w:val="none"/>
          <w:lang w:bidi="ar"/>
        </w:rPr>
        <w:t>①-</w:t>
      </w:r>
      <w:r>
        <w:rPr>
          <w:rFonts w:hint="eastAsia" w:cs="宋体"/>
          <w:color w:val="auto"/>
          <w:szCs w:val="21"/>
          <w:highlight w:val="none"/>
          <w:lang w:bidi="ar"/>
        </w:rPr>
        <w:t>④顺序修正。修正后的报价按照上述“</w:t>
      </w:r>
      <w:r>
        <w:rPr>
          <w:color w:val="auto"/>
          <w:szCs w:val="21"/>
          <w:highlight w:val="none"/>
          <w:lang w:bidi="ar"/>
        </w:rPr>
        <w:t>6.3.3</w:t>
      </w:r>
      <w:r>
        <w:rPr>
          <w:rFonts w:hint="eastAsia" w:cs="宋体"/>
          <w:color w:val="auto"/>
          <w:szCs w:val="21"/>
          <w:highlight w:val="none"/>
          <w:lang w:bidi="ar"/>
        </w:rPr>
        <w:t>澄清、说明或补正”的规定经供应商确认后产生约束力，供应商不确认的，其投标无效。</w:t>
      </w:r>
    </w:p>
    <w:p w14:paraId="22E7AB1A">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lang w:bidi="ar"/>
        </w:rPr>
        <w:t>6.3.3</w:t>
      </w:r>
      <w:r>
        <w:rPr>
          <w:rFonts w:hint="eastAsia" w:cs="宋体"/>
          <w:color w:val="auto"/>
          <w:szCs w:val="21"/>
          <w:highlight w:val="none"/>
          <w:lang w:bidi="ar"/>
        </w:rPr>
        <w:t>澄清、说明或补正”的规定提交。供应商未按规定提交或不能证明其报价合理性的，评审委员会应当将其作为无效投标处理。</w:t>
      </w:r>
    </w:p>
    <w:p w14:paraId="2D70F420">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）经供应商确认修正后的报价若超过采购预算金额或者最高限价，其投标文件作无效投标处理。</w:t>
      </w:r>
    </w:p>
    <w:p w14:paraId="0CD8746B">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）经</w:t>
      </w:r>
      <w:r>
        <w:rPr>
          <w:rFonts w:hint="eastAsia" w:cs="宋体"/>
          <w:color w:val="auto"/>
          <w:szCs w:val="21"/>
          <w:highlight w:val="none"/>
          <w:lang w:eastAsia="zh-CN" w:bidi="ar"/>
        </w:rPr>
        <w:t>供应商</w:t>
      </w:r>
      <w:r>
        <w:rPr>
          <w:rFonts w:hint="eastAsia" w:cs="宋体"/>
          <w:color w:val="auto"/>
          <w:szCs w:val="21"/>
          <w:highlight w:val="none"/>
          <w:lang w:bidi="ar"/>
        </w:rPr>
        <w:t>确认修正后的报价作为签订合同的依据，并以此报价计算价格分。</w:t>
      </w:r>
    </w:p>
    <w:p w14:paraId="6E935310">
      <w:pPr>
        <w:spacing w:before="120" w:line="320" w:lineRule="atLeast"/>
        <w:ind w:firstLine="420" w:firstLineChars="200"/>
        <w:rPr>
          <w:color w:val="auto"/>
          <w:szCs w:val="21"/>
          <w:highlight w:val="none"/>
        </w:rPr>
      </w:pPr>
      <w:r>
        <w:rPr>
          <w:color w:val="auto"/>
          <w:szCs w:val="21"/>
          <w:highlight w:val="none"/>
          <w:lang w:bidi="ar"/>
        </w:rPr>
        <w:t>6.3.5</w:t>
      </w:r>
      <w:r>
        <w:rPr>
          <w:rFonts w:hint="eastAsia" w:cs="宋体"/>
          <w:color w:val="auto"/>
          <w:szCs w:val="21"/>
          <w:highlight w:val="none"/>
          <w:lang w:bidi="ar"/>
        </w:rPr>
        <w:t>相同品牌认定（仅适用于货物采购项目）</w:t>
      </w:r>
    </w:p>
    <w:p w14:paraId="7FA7F918">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）单一产品采购项目，</w:t>
      </w:r>
      <w:r>
        <w:rPr>
          <w:rFonts w:hint="eastAsia" w:cs="宋体"/>
          <w:color w:val="auto"/>
          <w:highlight w:val="none"/>
          <w:lang w:bidi="ar"/>
        </w:rPr>
        <w:t>不同供应商提供的产品品牌相同时，按以下规定确定</w:t>
      </w:r>
      <w:r>
        <w:rPr>
          <w:rFonts w:hint="eastAsia" w:cs="宋体"/>
          <w:bCs/>
          <w:color w:val="auto"/>
          <w:kern w:val="0"/>
          <w:szCs w:val="21"/>
          <w:highlight w:val="none"/>
          <w:lang w:bidi="ar"/>
        </w:rPr>
        <w:t>相同品牌的投标有效性</w:t>
      </w:r>
      <w:r>
        <w:rPr>
          <w:rFonts w:hint="eastAsia" w:cs="宋体"/>
          <w:color w:val="auto"/>
          <w:highlight w:val="none"/>
          <w:lang w:bidi="ar"/>
        </w:rPr>
        <w:t>。</w:t>
      </w:r>
    </w:p>
    <w:bookmarkEnd w:id="82"/>
    <w:p w14:paraId="70E81816">
      <w:pPr>
        <w:spacing w:before="120" w:line="320" w:lineRule="atLeast"/>
        <w:ind w:firstLine="420" w:firstLineChars="200"/>
        <w:rPr>
          <w:color w:val="auto"/>
          <w:szCs w:val="21"/>
          <w:highlight w:val="none"/>
        </w:rPr>
      </w:pPr>
      <w:r>
        <w:rPr>
          <w:rFonts w:hint="eastAsia" w:ascii="宋体" w:hAnsi="宋体" w:cs="宋体"/>
          <w:color w:val="auto"/>
          <w:szCs w:val="21"/>
          <w:highlight w:val="none"/>
          <w:lang w:bidi="ar"/>
        </w:rPr>
        <w:t>①采</w:t>
      </w:r>
      <w:r>
        <w:rPr>
          <w:rFonts w:hint="eastAsia" w:cs="宋体"/>
          <w:color w:val="auto"/>
          <w:szCs w:val="21"/>
          <w:highlight w:val="none"/>
          <w:lang w:bidi="ar"/>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37219E2">
      <w:pPr>
        <w:spacing w:before="120" w:line="320" w:lineRule="atLeast"/>
        <w:ind w:firstLine="420" w:firstLineChars="200"/>
        <w:rPr>
          <w:color w:val="auto"/>
          <w:szCs w:val="21"/>
          <w:highlight w:val="none"/>
        </w:rPr>
      </w:pPr>
      <w:r>
        <w:rPr>
          <w:rFonts w:hint="eastAsia" w:ascii="宋体" w:hAnsi="宋体" w:cs="宋体"/>
          <w:color w:val="auto"/>
          <w:szCs w:val="21"/>
          <w:highlight w:val="none"/>
          <w:lang w:bidi="ar"/>
        </w:rPr>
        <w:t>②</w:t>
      </w:r>
      <w:r>
        <w:rPr>
          <w:rFonts w:hint="eastAsia" w:cs="宋体"/>
          <w:color w:val="auto"/>
          <w:szCs w:val="21"/>
          <w:highlight w:val="none"/>
          <w:lang w:bidi="ar"/>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A3C6E64">
      <w:pPr>
        <w:spacing w:before="120" w:line="320" w:lineRule="atLeast"/>
        <w:ind w:firstLine="420" w:firstLineChars="200"/>
        <w:rPr>
          <w:color w:val="auto"/>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）非单一产品采购项目，采购人应当确定核心产品，并在招标文件中载明。不同供应商提供的核心产品品牌相同的，按上述规定处理。核心产品在第二章采购需求规定。</w:t>
      </w:r>
    </w:p>
    <w:p w14:paraId="59E11930">
      <w:pPr>
        <w:spacing w:before="120" w:line="320" w:lineRule="atLeast"/>
        <w:ind w:firstLine="420" w:firstLineChars="200"/>
        <w:rPr>
          <w:color w:val="auto"/>
          <w:szCs w:val="21"/>
          <w:highlight w:val="none"/>
        </w:rPr>
      </w:pPr>
      <w:r>
        <w:rPr>
          <w:color w:val="auto"/>
          <w:szCs w:val="21"/>
          <w:highlight w:val="none"/>
          <w:lang w:bidi="ar"/>
        </w:rPr>
        <w:t>6.3.6</w:t>
      </w:r>
      <w:r>
        <w:rPr>
          <w:rFonts w:hint="eastAsia" w:cs="宋体"/>
          <w:color w:val="auto"/>
          <w:szCs w:val="21"/>
          <w:highlight w:val="none"/>
          <w:lang w:bidi="ar"/>
        </w:rPr>
        <w:t>串通投标认定</w:t>
      </w:r>
    </w:p>
    <w:p w14:paraId="7DCEE1D6">
      <w:pPr>
        <w:spacing w:before="120" w:line="320" w:lineRule="atLeast"/>
        <w:ind w:firstLine="420" w:firstLineChars="200"/>
        <w:rPr>
          <w:color w:val="auto"/>
          <w:highlight w:val="none"/>
        </w:rPr>
      </w:pPr>
      <w:r>
        <w:rPr>
          <w:rFonts w:hint="eastAsia" w:cs="宋体"/>
          <w:color w:val="auto"/>
          <w:szCs w:val="21"/>
          <w:highlight w:val="none"/>
          <w:lang w:bidi="ar"/>
        </w:rPr>
        <w:t>评审委员会须根据以下规定认定供应商是否有</w:t>
      </w:r>
      <w:r>
        <w:rPr>
          <w:rFonts w:hint="eastAsia" w:cs="宋体"/>
          <w:bCs/>
          <w:color w:val="auto"/>
          <w:kern w:val="0"/>
          <w:szCs w:val="21"/>
          <w:highlight w:val="none"/>
          <w:lang w:bidi="ar"/>
        </w:rPr>
        <w:t>串通投标的行为</w:t>
      </w:r>
      <w:r>
        <w:rPr>
          <w:rFonts w:hint="eastAsia" w:cs="宋体"/>
          <w:color w:val="auto"/>
          <w:highlight w:val="none"/>
          <w:lang w:bidi="ar"/>
        </w:rPr>
        <w:t>。</w:t>
      </w:r>
    </w:p>
    <w:p w14:paraId="6843E4ED">
      <w:pPr>
        <w:spacing w:before="120" w:line="320" w:lineRule="atLeast"/>
        <w:ind w:firstLine="420" w:firstLineChars="200"/>
        <w:rPr>
          <w:color w:val="auto"/>
          <w:szCs w:val="21"/>
          <w:highlight w:val="none"/>
        </w:rPr>
      </w:pPr>
      <w:bookmarkStart w:id="83" w:name="_Hlk19122026"/>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w:t>
      </w:r>
      <w:bookmarkEnd w:id="83"/>
      <w:r>
        <w:rPr>
          <w:rFonts w:hint="eastAsia" w:cs="宋体"/>
          <w:color w:val="auto"/>
          <w:szCs w:val="21"/>
          <w:highlight w:val="none"/>
          <w:lang w:bidi="ar"/>
        </w:rPr>
        <w:t>根据《关于防治政府采购招标中串通投标行为的通知》（桂财采</w:t>
      </w:r>
      <w:r>
        <w:rPr>
          <w:color w:val="auto"/>
          <w:szCs w:val="21"/>
          <w:highlight w:val="none"/>
          <w:lang w:bidi="ar"/>
        </w:rPr>
        <w:t>[2016]42</w:t>
      </w:r>
      <w:r>
        <w:rPr>
          <w:rFonts w:hint="eastAsia" w:cs="宋体"/>
          <w:color w:val="auto"/>
          <w:szCs w:val="21"/>
          <w:highlight w:val="none"/>
          <w:lang w:bidi="ar"/>
        </w:rPr>
        <w:t>号）规定，出现下述情况的，相关供应商的投标作无效投标处理。</w:t>
      </w:r>
    </w:p>
    <w:p w14:paraId="1B37BFCA">
      <w:pPr>
        <w:spacing w:before="120" w:line="320" w:lineRule="atLeast"/>
        <w:ind w:firstLine="420" w:firstLineChars="200"/>
        <w:rPr>
          <w:color w:val="auto"/>
          <w:szCs w:val="21"/>
          <w:highlight w:val="none"/>
        </w:rPr>
      </w:pPr>
      <w:bookmarkStart w:id="84" w:name="_Hlk19122039"/>
      <w:r>
        <w:rPr>
          <w:rFonts w:hint="eastAsia" w:ascii="宋体" w:hAnsi="宋体" w:cs="宋体"/>
          <w:color w:val="auto"/>
          <w:szCs w:val="21"/>
          <w:highlight w:val="none"/>
          <w:lang w:bidi="ar"/>
        </w:rPr>
        <w:t>①</w:t>
      </w:r>
      <w:r>
        <w:rPr>
          <w:rFonts w:hint="eastAsia" w:cs="宋体"/>
          <w:color w:val="auto"/>
          <w:szCs w:val="21"/>
          <w:highlight w:val="none"/>
          <w:lang w:bidi="ar"/>
        </w:rPr>
        <w:t>单位负责人为同一人或者存在直接控股、管理关系，参加同一合同项下政府采购活动的不同供应商。</w:t>
      </w:r>
    </w:p>
    <w:p w14:paraId="14DAECE6">
      <w:pPr>
        <w:spacing w:before="120" w:line="320" w:lineRule="atLeast"/>
        <w:ind w:firstLine="420" w:firstLineChars="200"/>
        <w:rPr>
          <w:color w:val="auto"/>
          <w:szCs w:val="21"/>
          <w:highlight w:val="none"/>
        </w:rPr>
      </w:pPr>
      <w:r>
        <w:rPr>
          <w:rFonts w:hint="eastAsia" w:cs="宋体"/>
          <w:color w:val="auto"/>
          <w:szCs w:val="21"/>
          <w:highlight w:val="none"/>
          <w:lang w:bidi="ar"/>
        </w:rPr>
        <w:t>②授权给供应商后参加同一合同项（分标、分包）投标的生产厂商。</w:t>
      </w:r>
    </w:p>
    <w:p w14:paraId="55FEC5A2">
      <w:pPr>
        <w:spacing w:before="120" w:line="320" w:lineRule="atLeast"/>
        <w:ind w:firstLine="420" w:firstLineChars="200"/>
        <w:rPr>
          <w:color w:val="auto"/>
          <w:szCs w:val="21"/>
          <w:highlight w:val="none"/>
        </w:rPr>
      </w:pPr>
      <w:r>
        <w:rPr>
          <w:rFonts w:hint="eastAsia" w:cs="宋体"/>
          <w:color w:val="auto"/>
          <w:szCs w:val="21"/>
          <w:highlight w:val="none"/>
          <w:lang w:bidi="ar"/>
        </w:rPr>
        <w:t>③视为或被认定为串通投标的相关供应商。</w:t>
      </w:r>
    </w:p>
    <w:bookmarkEnd w:id="84"/>
    <w:p w14:paraId="462BBD29">
      <w:pPr>
        <w:spacing w:before="120" w:line="320" w:lineRule="atLeast"/>
        <w:ind w:firstLine="420" w:firstLineChars="200"/>
        <w:rPr>
          <w:color w:val="auto"/>
          <w:szCs w:val="21"/>
          <w:highlight w:val="none"/>
        </w:rPr>
      </w:pPr>
      <w:bookmarkStart w:id="85" w:name="_Hlk19122058"/>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w:t>
      </w:r>
      <w:bookmarkEnd w:id="85"/>
      <w:r>
        <w:rPr>
          <w:rFonts w:hint="eastAsia" w:cs="宋体"/>
          <w:color w:val="auto"/>
          <w:szCs w:val="21"/>
          <w:highlight w:val="none"/>
          <w:lang w:bidi="ar"/>
        </w:rPr>
        <w:t>根据《关于防治政府采购招标中串通投标行为的通知》（桂财采</w:t>
      </w:r>
      <w:r>
        <w:rPr>
          <w:color w:val="auto"/>
          <w:szCs w:val="21"/>
          <w:highlight w:val="none"/>
          <w:lang w:bidi="ar"/>
        </w:rPr>
        <w:t>[2016]42</w:t>
      </w:r>
      <w:r>
        <w:rPr>
          <w:rFonts w:hint="eastAsia" w:cs="宋体"/>
          <w:color w:val="auto"/>
          <w:szCs w:val="21"/>
          <w:highlight w:val="none"/>
          <w:lang w:bidi="ar"/>
        </w:rPr>
        <w:t>号）规定，有下列情形之一的视为供应商相互串通投标，投标文件将被视为无效。</w:t>
      </w:r>
    </w:p>
    <w:p w14:paraId="21216EA6">
      <w:pPr>
        <w:spacing w:before="120" w:line="320" w:lineRule="atLeast"/>
        <w:ind w:firstLine="420" w:firstLineChars="200"/>
        <w:rPr>
          <w:color w:val="auto"/>
          <w:szCs w:val="21"/>
          <w:highlight w:val="none"/>
        </w:rPr>
      </w:pPr>
      <w:bookmarkStart w:id="86" w:name="_Hlk19122048"/>
      <w:r>
        <w:rPr>
          <w:rFonts w:hint="eastAsia" w:ascii="宋体" w:hAnsi="宋体" w:cs="宋体"/>
          <w:color w:val="auto"/>
          <w:szCs w:val="21"/>
          <w:highlight w:val="none"/>
          <w:lang w:bidi="ar"/>
        </w:rPr>
        <w:t>①</w:t>
      </w:r>
      <w:r>
        <w:rPr>
          <w:rFonts w:hint="eastAsia" w:cs="宋体"/>
          <w:color w:val="auto"/>
          <w:szCs w:val="21"/>
          <w:highlight w:val="none"/>
          <w:lang w:bidi="ar"/>
        </w:rPr>
        <w:t>不同供应商的投标文件由同一单位或者个人编制；或不同供应商报名的</w:t>
      </w:r>
      <w:r>
        <w:rPr>
          <w:color w:val="auto"/>
          <w:szCs w:val="21"/>
          <w:highlight w:val="none"/>
          <w:lang w:bidi="ar"/>
        </w:rPr>
        <w:t>IP</w:t>
      </w:r>
      <w:r>
        <w:rPr>
          <w:rFonts w:hint="eastAsia" w:cs="宋体"/>
          <w:color w:val="auto"/>
          <w:szCs w:val="21"/>
          <w:highlight w:val="none"/>
          <w:lang w:bidi="ar"/>
        </w:rPr>
        <w:t>地址一致的；</w:t>
      </w:r>
    </w:p>
    <w:p w14:paraId="1570A1D1">
      <w:pPr>
        <w:spacing w:before="120" w:line="320" w:lineRule="atLeast"/>
        <w:ind w:firstLine="420" w:firstLineChars="200"/>
        <w:rPr>
          <w:color w:val="auto"/>
          <w:szCs w:val="21"/>
          <w:highlight w:val="none"/>
        </w:rPr>
      </w:pPr>
      <w:r>
        <w:rPr>
          <w:rFonts w:hint="eastAsia" w:cs="宋体"/>
          <w:color w:val="auto"/>
          <w:szCs w:val="21"/>
          <w:highlight w:val="none"/>
          <w:lang w:bidi="ar"/>
        </w:rPr>
        <w:t>②不同供应商委托同一单位或者个人办理投标事宜；</w:t>
      </w:r>
    </w:p>
    <w:p w14:paraId="084F8C7D">
      <w:pPr>
        <w:spacing w:before="120" w:line="320" w:lineRule="atLeast"/>
        <w:ind w:firstLine="420" w:firstLineChars="200"/>
        <w:rPr>
          <w:color w:val="auto"/>
          <w:szCs w:val="21"/>
          <w:highlight w:val="none"/>
        </w:rPr>
      </w:pPr>
      <w:r>
        <w:rPr>
          <w:rFonts w:hint="eastAsia" w:cs="宋体"/>
          <w:color w:val="auto"/>
          <w:szCs w:val="21"/>
          <w:highlight w:val="none"/>
          <w:lang w:bidi="ar"/>
        </w:rPr>
        <w:t>③不同的供应商的投标文件载明的项目管理员为同一个人；</w:t>
      </w:r>
    </w:p>
    <w:p w14:paraId="69F2C037">
      <w:pPr>
        <w:spacing w:before="120" w:line="320" w:lineRule="atLeast"/>
        <w:ind w:firstLine="420" w:firstLineChars="200"/>
        <w:rPr>
          <w:color w:val="auto"/>
          <w:szCs w:val="21"/>
          <w:highlight w:val="none"/>
        </w:rPr>
      </w:pPr>
      <w:r>
        <w:rPr>
          <w:rFonts w:hint="eastAsia" w:cs="宋体"/>
          <w:color w:val="auto"/>
          <w:szCs w:val="21"/>
          <w:highlight w:val="none"/>
          <w:lang w:bidi="ar"/>
        </w:rPr>
        <w:t>④不同供应商的投标文件异常一致或投标报价呈规律性差异；</w:t>
      </w:r>
    </w:p>
    <w:p w14:paraId="2608055F">
      <w:pPr>
        <w:spacing w:before="120" w:line="320" w:lineRule="atLeast"/>
        <w:ind w:firstLine="420" w:firstLineChars="200"/>
        <w:rPr>
          <w:color w:val="auto"/>
          <w:szCs w:val="21"/>
          <w:highlight w:val="none"/>
        </w:rPr>
      </w:pPr>
      <w:r>
        <w:rPr>
          <w:rFonts w:hint="eastAsia" w:cs="宋体"/>
          <w:color w:val="auto"/>
          <w:szCs w:val="21"/>
          <w:highlight w:val="none"/>
          <w:lang w:bidi="ar"/>
        </w:rPr>
        <w:t>⑤不同供应商的投标文件相互混装；</w:t>
      </w:r>
    </w:p>
    <w:p w14:paraId="2EA626F7">
      <w:pPr>
        <w:spacing w:before="120" w:line="320" w:lineRule="atLeast"/>
        <w:ind w:firstLine="420" w:firstLineChars="200"/>
        <w:rPr>
          <w:color w:val="auto"/>
          <w:szCs w:val="21"/>
          <w:highlight w:val="none"/>
        </w:rPr>
      </w:pPr>
      <w:r>
        <w:rPr>
          <w:rFonts w:hint="eastAsia" w:cs="宋体"/>
          <w:color w:val="auto"/>
          <w:szCs w:val="21"/>
          <w:highlight w:val="none"/>
          <w:lang w:bidi="ar"/>
        </w:rPr>
        <w:t>⑥不同供应商的保证金从同一单位或者个人账户转出。</w:t>
      </w:r>
    </w:p>
    <w:bookmarkEnd w:id="86"/>
    <w:p w14:paraId="55446FF4">
      <w:pPr>
        <w:spacing w:before="120" w:line="320" w:lineRule="atLeast"/>
        <w:ind w:firstLine="420" w:firstLineChars="200"/>
        <w:rPr>
          <w:color w:val="auto"/>
          <w:szCs w:val="21"/>
          <w:highlight w:val="none"/>
        </w:rPr>
      </w:pPr>
      <w:bookmarkStart w:id="87" w:name="_Hlk19122102"/>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w:t>
      </w:r>
      <w:bookmarkEnd w:id="87"/>
      <w:r>
        <w:rPr>
          <w:rFonts w:hint="eastAsia" w:cs="宋体"/>
          <w:color w:val="auto"/>
          <w:szCs w:val="21"/>
          <w:highlight w:val="none"/>
          <w:lang w:bidi="ar"/>
        </w:rPr>
        <w:t>根据《关于防治政府采购招标中串通投标行为的通知》（桂财采</w:t>
      </w:r>
      <w:r>
        <w:rPr>
          <w:color w:val="auto"/>
          <w:szCs w:val="21"/>
          <w:highlight w:val="none"/>
          <w:lang w:bidi="ar"/>
        </w:rPr>
        <w:t>[2016]42</w:t>
      </w:r>
      <w:r>
        <w:rPr>
          <w:rFonts w:hint="eastAsia" w:cs="宋体"/>
          <w:color w:val="auto"/>
          <w:szCs w:val="21"/>
          <w:highlight w:val="none"/>
          <w:lang w:bidi="ar"/>
        </w:rPr>
        <w:t>号）规定，供应商有下列情形之一的，属于恶意串通行为，投标文件将被视为无效。</w:t>
      </w:r>
    </w:p>
    <w:p w14:paraId="1ACAB1BC">
      <w:pPr>
        <w:spacing w:before="120" w:line="320" w:lineRule="atLeast"/>
        <w:ind w:firstLine="420" w:firstLineChars="200"/>
        <w:rPr>
          <w:color w:val="auto"/>
          <w:szCs w:val="21"/>
          <w:highlight w:val="none"/>
        </w:rPr>
      </w:pPr>
      <w:bookmarkStart w:id="88" w:name="_Hlk19122095"/>
      <w:r>
        <w:rPr>
          <w:rFonts w:hint="eastAsia" w:cs="宋体"/>
          <w:color w:val="auto"/>
          <w:szCs w:val="21"/>
          <w:highlight w:val="none"/>
          <w:lang w:bidi="ar"/>
        </w:rPr>
        <w:t>①供应商直接或者间接从采购人或者采购代理机构处获得其他供应商的相关信息并修改其投标文件或者响应文件；</w:t>
      </w:r>
    </w:p>
    <w:p w14:paraId="0B7A2010">
      <w:pPr>
        <w:spacing w:before="120" w:line="320" w:lineRule="atLeast"/>
        <w:ind w:firstLine="420" w:firstLineChars="200"/>
        <w:rPr>
          <w:color w:val="auto"/>
          <w:szCs w:val="21"/>
          <w:highlight w:val="none"/>
        </w:rPr>
      </w:pPr>
      <w:r>
        <w:rPr>
          <w:rFonts w:hint="eastAsia" w:cs="宋体"/>
          <w:color w:val="auto"/>
          <w:szCs w:val="21"/>
          <w:highlight w:val="none"/>
          <w:lang w:bidi="ar"/>
        </w:rPr>
        <w:t>②供应商按照采购人或者采购代理机构的授意撤换、修改投标文件或者响应文件；</w:t>
      </w:r>
    </w:p>
    <w:p w14:paraId="0A7BC743">
      <w:pPr>
        <w:spacing w:before="120" w:line="320" w:lineRule="atLeast"/>
        <w:ind w:firstLine="420" w:firstLineChars="200"/>
        <w:rPr>
          <w:color w:val="auto"/>
          <w:szCs w:val="21"/>
          <w:highlight w:val="none"/>
        </w:rPr>
      </w:pPr>
      <w:r>
        <w:rPr>
          <w:rFonts w:hint="eastAsia" w:cs="宋体"/>
          <w:color w:val="auto"/>
          <w:szCs w:val="21"/>
          <w:highlight w:val="none"/>
          <w:lang w:bidi="ar"/>
        </w:rPr>
        <w:t>③供应商之间协商报价、技术方案等投标文件或者响应文件的实质性内容；</w:t>
      </w:r>
    </w:p>
    <w:p w14:paraId="6D245085">
      <w:pPr>
        <w:spacing w:before="120" w:line="320" w:lineRule="atLeast"/>
        <w:ind w:firstLine="420" w:firstLineChars="200"/>
        <w:rPr>
          <w:color w:val="auto"/>
          <w:szCs w:val="21"/>
          <w:highlight w:val="none"/>
        </w:rPr>
      </w:pPr>
      <w:r>
        <w:rPr>
          <w:rFonts w:hint="eastAsia" w:cs="宋体"/>
          <w:color w:val="auto"/>
          <w:szCs w:val="21"/>
          <w:highlight w:val="none"/>
          <w:lang w:bidi="ar"/>
        </w:rPr>
        <w:t>④属于同一集团、协会、商会等组织成员的供应商按照该组织要求协同参加政府采购活动；</w:t>
      </w:r>
    </w:p>
    <w:p w14:paraId="76E4361E">
      <w:pPr>
        <w:spacing w:before="120" w:line="320" w:lineRule="atLeast"/>
        <w:ind w:firstLine="420" w:firstLineChars="200"/>
        <w:rPr>
          <w:color w:val="auto"/>
          <w:szCs w:val="21"/>
          <w:highlight w:val="none"/>
        </w:rPr>
      </w:pPr>
      <w:r>
        <w:rPr>
          <w:rFonts w:hint="eastAsia" w:cs="宋体"/>
          <w:color w:val="auto"/>
          <w:szCs w:val="21"/>
          <w:highlight w:val="none"/>
          <w:lang w:bidi="ar"/>
        </w:rPr>
        <w:t>⑤供应商之间事先约定一致抬高或者压低投标报价，或者在招标项目中事先约定轮流以高价位或者低价位中标，或者事先约定由某一特定供应商中标，然后再参加投标；</w:t>
      </w:r>
    </w:p>
    <w:p w14:paraId="431BE9D3">
      <w:pPr>
        <w:spacing w:before="120" w:line="320" w:lineRule="atLeast"/>
        <w:ind w:firstLine="420" w:firstLineChars="200"/>
        <w:rPr>
          <w:color w:val="auto"/>
          <w:szCs w:val="21"/>
          <w:highlight w:val="none"/>
        </w:rPr>
      </w:pPr>
      <w:r>
        <w:rPr>
          <w:rFonts w:hint="eastAsia" w:cs="宋体"/>
          <w:color w:val="auto"/>
          <w:szCs w:val="21"/>
          <w:highlight w:val="none"/>
          <w:lang w:bidi="ar"/>
        </w:rPr>
        <w:t>⑥供应商之间商定部分供应商放弃参加政府采购活动或者放弃中标；</w:t>
      </w:r>
    </w:p>
    <w:p w14:paraId="49A6F75E">
      <w:pPr>
        <w:spacing w:before="120" w:line="320" w:lineRule="atLeast"/>
        <w:ind w:firstLine="420" w:firstLineChars="200"/>
        <w:rPr>
          <w:color w:val="auto"/>
          <w:szCs w:val="21"/>
          <w:highlight w:val="none"/>
        </w:rPr>
      </w:pPr>
      <w:r>
        <w:rPr>
          <w:rFonts w:hint="eastAsia" w:cs="宋体"/>
          <w:color w:val="auto"/>
          <w:szCs w:val="21"/>
          <w:highlight w:val="none"/>
          <w:lang w:bidi="ar"/>
        </w:rPr>
        <w:t>⑦供应商与采购人或者采购代理机构之间、供应商相互之间，为谋求特定供应商中标或者排斥其他供应商的其他串通行为。</w:t>
      </w:r>
    </w:p>
    <w:bookmarkEnd w:id="88"/>
    <w:p w14:paraId="71D93E77">
      <w:pPr>
        <w:spacing w:before="120" w:line="320" w:lineRule="atLeast"/>
        <w:ind w:firstLine="420" w:firstLineChars="200"/>
        <w:rPr>
          <w:color w:val="auto"/>
          <w:szCs w:val="21"/>
          <w:highlight w:val="none"/>
        </w:rPr>
      </w:pPr>
      <w:r>
        <w:rPr>
          <w:color w:val="auto"/>
          <w:szCs w:val="21"/>
          <w:highlight w:val="none"/>
          <w:lang w:bidi="ar"/>
        </w:rPr>
        <w:t>6.3.7</w:t>
      </w:r>
      <w:r>
        <w:rPr>
          <w:rFonts w:hint="eastAsia" w:cs="宋体"/>
          <w:color w:val="auto"/>
          <w:szCs w:val="21"/>
          <w:highlight w:val="none"/>
          <w:lang w:bidi="ar"/>
        </w:rPr>
        <w:t>投标无效认定</w:t>
      </w:r>
    </w:p>
    <w:p w14:paraId="44F92D91">
      <w:pPr>
        <w:spacing w:before="120" w:line="320" w:lineRule="atLeast"/>
        <w:ind w:firstLine="420" w:firstLineChars="200"/>
        <w:rPr>
          <w:color w:val="auto"/>
          <w:szCs w:val="21"/>
          <w:highlight w:val="none"/>
        </w:rPr>
      </w:pPr>
      <w:bookmarkStart w:id="89" w:name="_Hlk19113301"/>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）在评审过程中如发现下列情形之一的，投标文件将被视为无效：</w:t>
      </w:r>
    </w:p>
    <w:p w14:paraId="6D4C4CF4">
      <w:pPr>
        <w:spacing w:before="120" w:line="320" w:lineRule="atLeast"/>
        <w:ind w:firstLine="420" w:firstLineChars="200"/>
        <w:rPr>
          <w:color w:val="auto"/>
          <w:highlight w:val="none"/>
        </w:rPr>
      </w:pPr>
      <w:r>
        <w:rPr>
          <w:rFonts w:hint="eastAsia" w:cs="宋体"/>
          <w:color w:val="auto"/>
          <w:szCs w:val="21"/>
          <w:highlight w:val="none"/>
          <w:lang w:bidi="ar"/>
        </w:rPr>
        <w:t>①投标文件存在法律、法规及监督部门有关文件规定的无效情形。</w:t>
      </w:r>
    </w:p>
    <w:p w14:paraId="08029C37">
      <w:pPr>
        <w:spacing w:before="120" w:line="320" w:lineRule="atLeast"/>
        <w:ind w:firstLine="420" w:firstLineChars="200"/>
        <w:rPr>
          <w:color w:val="auto"/>
          <w:szCs w:val="21"/>
          <w:highlight w:val="none"/>
        </w:rPr>
      </w:pPr>
      <w:r>
        <w:rPr>
          <w:rFonts w:hint="eastAsia" w:cs="宋体"/>
          <w:color w:val="auto"/>
          <w:szCs w:val="21"/>
          <w:highlight w:val="none"/>
          <w:lang w:bidi="ar"/>
        </w:rPr>
        <w:t>②投标文件存在招标文件规定的无效情形。</w:t>
      </w:r>
    </w:p>
    <w:bookmarkEnd w:id="89"/>
    <w:p w14:paraId="0C530819">
      <w:pPr>
        <w:spacing w:before="120" w:line="320" w:lineRule="atLeast"/>
        <w:ind w:firstLine="420" w:firstLineChars="200"/>
        <w:rPr>
          <w:color w:val="auto"/>
          <w:szCs w:val="21"/>
          <w:highlight w:val="none"/>
        </w:rPr>
      </w:pPr>
      <w:bookmarkStart w:id="90" w:name="_Hlk19113313"/>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）根据财库《关于促进政府采购公平竞争优化营商环境的通知》（〔</w:t>
      </w:r>
      <w:r>
        <w:rPr>
          <w:color w:val="auto"/>
          <w:szCs w:val="21"/>
          <w:highlight w:val="none"/>
          <w:lang w:bidi="ar"/>
        </w:rPr>
        <w:t>2019</w:t>
      </w:r>
      <w:r>
        <w:rPr>
          <w:rFonts w:hint="eastAsia" w:cs="宋体"/>
          <w:color w:val="auto"/>
          <w:szCs w:val="21"/>
          <w:highlight w:val="none"/>
          <w:lang w:bidi="ar"/>
        </w:rPr>
        <w:t>〕</w:t>
      </w:r>
      <w:r>
        <w:rPr>
          <w:color w:val="auto"/>
          <w:szCs w:val="21"/>
          <w:highlight w:val="none"/>
          <w:lang w:bidi="ar"/>
        </w:rPr>
        <w:t>38</w:t>
      </w:r>
      <w:r>
        <w:rPr>
          <w:rFonts w:hint="eastAsia" w:cs="宋体"/>
          <w:color w:val="auto"/>
          <w:szCs w:val="21"/>
          <w:highlight w:val="none"/>
          <w:lang w:bidi="ar"/>
        </w:rPr>
        <w:t>号）以及《广西壮族自治区财政厅转发财政部关于促进政府采购公平竞争优化营商环境的通知》（桂财采〔</w:t>
      </w:r>
      <w:r>
        <w:rPr>
          <w:color w:val="auto"/>
          <w:szCs w:val="21"/>
          <w:highlight w:val="none"/>
          <w:lang w:bidi="ar"/>
        </w:rPr>
        <w:t>2019</w:t>
      </w:r>
      <w:r>
        <w:rPr>
          <w:rFonts w:hint="eastAsia" w:cs="宋体"/>
          <w:color w:val="auto"/>
          <w:szCs w:val="21"/>
          <w:highlight w:val="none"/>
          <w:lang w:bidi="ar"/>
        </w:rPr>
        <w:t>〕</w:t>
      </w:r>
      <w:r>
        <w:rPr>
          <w:color w:val="auto"/>
          <w:szCs w:val="21"/>
          <w:highlight w:val="none"/>
          <w:lang w:bidi="ar"/>
        </w:rPr>
        <w:t>41</w:t>
      </w:r>
      <w:r>
        <w:rPr>
          <w:rFonts w:hint="eastAsia" w:cs="宋体"/>
          <w:color w:val="auto"/>
          <w:szCs w:val="21"/>
          <w:highlight w:val="none"/>
          <w:lang w:bidi="ar"/>
        </w:rPr>
        <w:t>号）规定，评审委员会不得因装订、纸张、文件排序等非实质性的格式、形式问题认定投标无效或否决投标，从而限制和影响供应商投标（响应）。</w:t>
      </w:r>
    </w:p>
    <w:bookmarkEnd w:id="90"/>
    <w:p w14:paraId="5F094D3A">
      <w:pPr>
        <w:spacing w:before="120" w:line="320" w:lineRule="atLeast"/>
        <w:ind w:firstLine="420" w:firstLineChars="200"/>
        <w:rPr>
          <w:color w:val="auto"/>
          <w:szCs w:val="21"/>
          <w:highlight w:val="none"/>
        </w:rPr>
      </w:pPr>
      <w:bookmarkStart w:id="91" w:name="_Hlk19113363"/>
      <w:r>
        <w:rPr>
          <w:color w:val="auto"/>
          <w:szCs w:val="21"/>
          <w:highlight w:val="none"/>
          <w:lang w:bidi="ar"/>
        </w:rPr>
        <w:t>6.3.8</w:t>
      </w:r>
      <w:r>
        <w:rPr>
          <w:rFonts w:hint="eastAsia" w:cs="宋体"/>
          <w:color w:val="auto"/>
          <w:szCs w:val="21"/>
          <w:highlight w:val="none"/>
          <w:lang w:bidi="ar"/>
        </w:rPr>
        <w:t>比较与评价</w:t>
      </w:r>
    </w:p>
    <w:p w14:paraId="0A2FAC43">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）评审委员会按招标文件中规定的评审方法和标准，对符合性审查合格的投标文件进行综合比较与评价。</w:t>
      </w:r>
    </w:p>
    <w:p w14:paraId="01329378">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）评审委员会各成员独立对每个有效供应商的投标文件进行评价。评价有误的应及时进行修正。评分标准如有客观分定义，评审委员会所有成员的客观分评分分值应当一致。</w:t>
      </w:r>
    </w:p>
    <w:p w14:paraId="1947C9CC">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）评审委员会按综合评分由高到低的排列顺序推荐中标候选人，中标候选人最多不超过</w:t>
      </w:r>
      <w:r>
        <w:rPr>
          <w:color w:val="auto"/>
          <w:szCs w:val="21"/>
          <w:highlight w:val="none"/>
          <w:lang w:bidi="ar"/>
        </w:rPr>
        <w:t>3</w:t>
      </w:r>
      <w:r>
        <w:rPr>
          <w:rFonts w:hint="eastAsia" w:cs="宋体"/>
          <w:color w:val="auto"/>
          <w:szCs w:val="21"/>
          <w:highlight w:val="none"/>
          <w:lang w:bidi="ar"/>
        </w:rPr>
        <w:t>名。若中标候选人综合评分相同的，按投标报价由低到高顺序排列；综合评分且投标报价相同的</w:t>
      </w:r>
      <w:r>
        <w:rPr>
          <w:rFonts w:hint="eastAsia" w:cs="宋体"/>
          <w:color w:val="auto"/>
          <w:highlight w:val="none"/>
          <w:lang w:bidi="ar"/>
        </w:rPr>
        <w:t>并列</w:t>
      </w:r>
      <w:r>
        <w:rPr>
          <w:rFonts w:hint="eastAsia" w:cs="宋体"/>
          <w:color w:val="auto"/>
          <w:szCs w:val="21"/>
          <w:highlight w:val="none"/>
          <w:lang w:bidi="ar"/>
        </w:rPr>
        <w:t>；中标候选人并列的，按技术部分得分由高到低顺序排列，若综合评分、投标报价、技术部分均相同的，按商务部分得分由高到低顺序排列。</w:t>
      </w:r>
    </w:p>
    <w:p w14:paraId="2024BD0B">
      <w:pPr>
        <w:spacing w:before="120" w:line="320" w:lineRule="atLeast"/>
        <w:ind w:firstLine="420" w:firstLineChars="200"/>
        <w:rPr>
          <w:color w:val="auto"/>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）评审委员会根据评审记录及评审结果编写评审报告，评审委员会成员均应当在评审报告上签字，对自己的评审意见承担法律责任。</w:t>
      </w:r>
      <w:r>
        <w:rPr>
          <w:rFonts w:hint="eastAsia" w:cs="宋体"/>
          <w:color w:val="auto"/>
          <w:highlight w:val="none"/>
          <w:lang w:bidi="ar"/>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563F81D9">
      <w:pPr>
        <w:spacing w:before="120" w:line="320" w:lineRule="atLeast"/>
        <w:ind w:firstLine="420" w:firstLineChars="200"/>
        <w:rPr>
          <w:color w:val="auto"/>
          <w:highlight w:val="none"/>
        </w:rPr>
      </w:pPr>
      <w:r>
        <w:rPr>
          <w:rFonts w:hint="eastAsia" w:cs="宋体"/>
          <w:color w:val="auto"/>
          <w:highlight w:val="none"/>
          <w:lang w:bidi="ar"/>
        </w:rPr>
        <w:t>分值汇总计算错误的；分项评分超出评分标准范围的；评审委员会成员对客观评审因素评分不一致的；经评审委员会认定评分畸高、畸低的。</w:t>
      </w:r>
    </w:p>
    <w:bookmarkEnd w:id="79"/>
    <w:bookmarkEnd w:id="80"/>
    <w:bookmarkEnd w:id="91"/>
    <w:p w14:paraId="319BF296">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6.4</w:t>
      </w:r>
      <w:r>
        <w:rPr>
          <w:rFonts w:hint="eastAsia" w:cs="宋体"/>
          <w:b/>
          <w:bCs/>
          <w:color w:val="auto"/>
          <w:kern w:val="0"/>
          <w:szCs w:val="21"/>
          <w:highlight w:val="none"/>
          <w:lang w:bidi="ar"/>
        </w:rPr>
        <w:t>确定中标人</w:t>
      </w:r>
    </w:p>
    <w:p w14:paraId="7B384D59">
      <w:pPr>
        <w:spacing w:before="120" w:line="276" w:lineRule="auto"/>
        <w:ind w:firstLine="420" w:firstLineChars="200"/>
        <w:rPr>
          <w:color w:val="auto"/>
          <w:szCs w:val="21"/>
          <w:highlight w:val="none"/>
        </w:rPr>
      </w:pPr>
      <w:r>
        <w:rPr>
          <w:color w:val="auto"/>
          <w:szCs w:val="21"/>
          <w:highlight w:val="none"/>
          <w:lang w:bidi="ar"/>
        </w:rPr>
        <w:t>6.4.1</w:t>
      </w:r>
      <w:r>
        <w:rPr>
          <w:rFonts w:hint="eastAsia" w:cs="宋体"/>
          <w:color w:val="auto"/>
          <w:szCs w:val="21"/>
          <w:highlight w:val="none"/>
          <w:lang w:bidi="ar"/>
        </w:rPr>
        <w:t>采购代理机构在评审结束后</w:t>
      </w:r>
      <w:r>
        <w:rPr>
          <w:color w:val="auto"/>
          <w:szCs w:val="21"/>
          <w:highlight w:val="none"/>
          <w:lang w:bidi="ar"/>
        </w:rPr>
        <w:t>2</w:t>
      </w:r>
      <w:r>
        <w:rPr>
          <w:rFonts w:hint="eastAsia" w:cs="宋体"/>
          <w:color w:val="auto"/>
          <w:szCs w:val="21"/>
          <w:highlight w:val="none"/>
          <w:lang w:bidi="ar"/>
        </w:rPr>
        <w:t>个工作日内将评审报告送采购人，采购人在</w:t>
      </w:r>
      <w:r>
        <w:rPr>
          <w:color w:val="auto"/>
          <w:szCs w:val="21"/>
          <w:highlight w:val="none"/>
          <w:lang w:bidi="ar"/>
        </w:rPr>
        <w:t>5</w:t>
      </w:r>
      <w:r>
        <w:rPr>
          <w:rFonts w:hint="eastAsia" w:cs="宋体"/>
          <w:color w:val="auto"/>
          <w:szCs w:val="21"/>
          <w:highlight w:val="none"/>
          <w:lang w:bidi="ar"/>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2971415C">
      <w:pPr>
        <w:spacing w:before="120" w:line="276" w:lineRule="auto"/>
        <w:ind w:firstLine="420" w:firstLineChars="200"/>
        <w:rPr>
          <w:color w:val="auto"/>
          <w:szCs w:val="21"/>
          <w:highlight w:val="none"/>
        </w:rPr>
      </w:pPr>
      <w:r>
        <w:rPr>
          <w:color w:val="auto"/>
          <w:szCs w:val="21"/>
          <w:highlight w:val="none"/>
          <w:lang w:bidi="ar"/>
        </w:rPr>
        <w:t>6.4.2</w:t>
      </w:r>
      <w:r>
        <w:rPr>
          <w:rFonts w:hint="eastAsia" w:cs="宋体"/>
          <w:color w:val="auto"/>
          <w:szCs w:val="21"/>
          <w:highlight w:val="none"/>
          <w:lang w:bidi="ar"/>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5C08B93">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6.5</w:t>
      </w:r>
      <w:r>
        <w:rPr>
          <w:rFonts w:hint="eastAsia" w:cs="宋体"/>
          <w:b/>
          <w:bCs/>
          <w:color w:val="auto"/>
          <w:kern w:val="0"/>
          <w:szCs w:val="21"/>
          <w:highlight w:val="none"/>
          <w:lang w:bidi="ar"/>
        </w:rPr>
        <w:t>结果公告</w:t>
      </w:r>
    </w:p>
    <w:p w14:paraId="10393F05">
      <w:pPr>
        <w:spacing w:before="120" w:line="320" w:lineRule="atLeast"/>
        <w:ind w:firstLine="420" w:firstLineChars="200"/>
        <w:rPr>
          <w:color w:val="auto"/>
          <w:szCs w:val="21"/>
          <w:highlight w:val="none"/>
        </w:rPr>
      </w:pPr>
      <w:r>
        <w:rPr>
          <w:color w:val="auto"/>
          <w:szCs w:val="21"/>
          <w:highlight w:val="none"/>
          <w:lang w:bidi="ar"/>
        </w:rPr>
        <w:t>6.5.1</w:t>
      </w:r>
      <w:r>
        <w:rPr>
          <w:rFonts w:hint="eastAsia" w:cs="宋体"/>
          <w:color w:val="auto"/>
          <w:szCs w:val="21"/>
          <w:highlight w:val="none"/>
          <w:lang w:bidi="ar"/>
        </w:rPr>
        <w:t>自中标人确定后</w:t>
      </w:r>
      <w:r>
        <w:rPr>
          <w:color w:val="auto"/>
          <w:szCs w:val="21"/>
          <w:highlight w:val="none"/>
          <w:lang w:bidi="ar"/>
        </w:rPr>
        <w:t>2</w:t>
      </w:r>
      <w:r>
        <w:rPr>
          <w:rFonts w:hint="eastAsia" w:cs="宋体"/>
          <w:color w:val="auto"/>
          <w:szCs w:val="21"/>
          <w:highlight w:val="none"/>
          <w:lang w:bidi="ar"/>
        </w:rPr>
        <w:t>个工作日内，采购代理机构按照供应商须知</w:t>
      </w:r>
      <w:r>
        <w:rPr>
          <w:rFonts w:hint="eastAsia" w:cs="宋体"/>
          <w:color w:val="auto"/>
          <w:kern w:val="0"/>
          <w:szCs w:val="21"/>
          <w:highlight w:val="none"/>
          <w:lang w:bidi="ar"/>
        </w:rPr>
        <w:t>前附表的规定公告</w:t>
      </w:r>
      <w:r>
        <w:rPr>
          <w:rFonts w:hint="eastAsia" w:cs="宋体"/>
          <w:color w:val="auto"/>
          <w:szCs w:val="21"/>
          <w:highlight w:val="none"/>
          <w:lang w:bidi="ar"/>
        </w:rPr>
        <w:t>中标结果。</w:t>
      </w:r>
    </w:p>
    <w:p w14:paraId="71FB6F36">
      <w:pPr>
        <w:spacing w:before="120" w:line="320" w:lineRule="atLeast"/>
        <w:ind w:firstLine="420" w:firstLineChars="200"/>
        <w:rPr>
          <w:color w:val="auto"/>
          <w:szCs w:val="21"/>
          <w:highlight w:val="none"/>
        </w:rPr>
      </w:pPr>
      <w:r>
        <w:rPr>
          <w:color w:val="auto"/>
          <w:szCs w:val="21"/>
          <w:highlight w:val="none"/>
          <w:lang w:bidi="ar"/>
        </w:rPr>
        <w:t>6.5.2</w:t>
      </w:r>
      <w:r>
        <w:rPr>
          <w:rFonts w:hint="eastAsia" w:cs="宋体"/>
          <w:color w:val="auto"/>
          <w:szCs w:val="21"/>
          <w:highlight w:val="none"/>
          <w:lang w:bidi="ar"/>
        </w:rPr>
        <w:t>在发布结果公告的同时，采购代理机构以供应商须知前附表规定的形式向中标人发出中标通知书。中标通知书发出后，采购人改变中标结果，或者中标人放弃中标，应当承担相应的法律责任。</w:t>
      </w:r>
    </w:p>
    <w:p w14:paraId="7D6552FB">
      <w:pPr>
        <w:spacing w:before="120" w:line="320" w:lineRule="atLeast"/>
        <w:ind w:firstLine="420" w:firstLineChars="200"/>
        <w:rPr>
          <w:color w:val="auto"/>
          <w:szCs w:val="21"/>
          <w:highlight w:val="none"/>
        </w:rPr>
      </w:pPr>
      <w:r>
        <w:rPr>
          <w:color w:val="auto"/>
          <w:szCs w:val="21"/>
          <w:highlight w:val="none"/>
          <w:lang w:bidi="ar"/>
        </w:rPr>
        <w:t>6.5.3</w:t>
      </w:r>
      <w:r>
        <w:rPr>
          <w:rFonts w:hint="eastAsia" w:cs="宋体"/>
          <w:color w:val="auto"/>
          <w:szCs w:val="21"/>
          <w:highlight w:val="none"/>
          <w:lang w:bidi="ar"/>
        </w:rPr>
        <w:t>在发布结果公告的同时，采购代理机构以供应商须知前附表规定的形式向未中标人发出招标结果通知书，供应商自行承担未及时查收的后果。</w:t>
      </w:r>
    </w:p>
    <w:p w14:paraId="3F65AA29">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6.6</w:t>
      </w:r>
      <w:r>
        <w:rPr>
          <w:rFonts w:hint="eastAsia" w:cs="宋体"/>
          <w:b/>
          <w:bCs/>
          <w:color w:val="auto"/>
          <w:kern w:val="0"/>
          <w:szCs w:val="21"/>
          <w:highlight w:val="none"/>
          <w:lang w:bidi="ar"/>
        </w:rPr>
        <w:t>废标</w:t>
      </w:r>
    </w:p>
    <w:p w14:paraId="27BEEF09">
      <w:pPr>
        <w:spacing w:before="120" w:line="320" w:lineRule="atLeast"/>
        <w:ind w:firstLine="420" w:firstLineChars="200"/>
        <w:rPr>
          <w:color w:val="auto"/>
          <w:kern w:val="1"/>
          <w:szCs w:val="21"/>
          <w:highlight w:val="none"/>
        </w:rPr>
      </w:pPr>
      <w:r>
        <w:rPr>
          <w:color w:val="auto"/>
          <w:kern w:val="1"/>
          <w:szCs w:val="21"/>
          <w:highlight w:val="none"/>
          <w:lang w:bidi="ar"/>
        </w:rPr>
        <w:t>6.6.1</w:t>
      </w:r>
      <w:r>
        <w:rPr>
          <w:rFonts w:hint="eastAsia" w:cs="宋体"/>
          <w:color w:val="auto"/>
          <w:kern w:val="1"/>
          <w:szCs w:val="21"/>
          <w:highlight w:val="none"/>
          <w:lang w:bidi="ar"/>
        </w:rPr>
        <w:t>出现下列情形之一，将导致项目废标：</w:t>
      </w:r>
      <w:r>
        <w:rPr>
          <w:color w:val="auto"/>
          <w:kern w:val="1"/>
          <w:szCs w:val="21"/>
          <w:highlight w:val="none"/>
          <w:lang w:bidi="ar"/>
        </w:rPr>
        <w:t xml:space="preserve"> </w:t>
      </w:r>
    </w:p>
    <w:p w14:paraId="0961D05F">
      <w:pPr>
        <w:spacing w:before="120" w:line="320" w:lineRule="atLeast"/>
        <w:ind w:firstLine="420" w:firstLineChars="200"/>
        <w:rPr>
          <w:color w:val="auto"/>
          <w:szCs w:val="21"/>
          <w:highlight w:val="none"/>
        </w:rPr>
      </w:pPr>
      <w:r>
        <w:rPr>
          <w:rFonts w:hint="eastAsia" w:cs="宋体"/>
          <w:color w:val="auto"/>
          <w:kern w:val="1"/>
          <w:szCs w:val="21"/>
          <w:highlight w:val="none"/>
          <w:lang w:bidi="ar"/>
        </w:rPr>
        <w:t>（</w:t>
      </w:r>
      <w:r>
        <w:rPr>
          <w:color w:val="auto"/>
          <w:kern w:val="1"/>
          <w:szCs w:val="21"/>
          <w:highlight w:val="none"/>
          <w:lang w:bidi="ar"/>
        </w:rPr>
        <w:t>1</w:t>
      </w:r>
      <w:r>
        <w:rPr>
          <w:rFonts w:hint="eastAsia" w:cs="宋体"/>
          <w:color w:val="auto"/>
          <w:szCs w:val="21"/>
          <w:highlight w:val="none"/>
          <w:lang w:bidi="ar"/>
        </w:rPr>
        <w:t>）符合专业条件的供应商或者对招标文件做实质性响应的供应商不足三家；</w:t>
      </w:r>
    </w:p>
    <w:p w14:paraId="7A97B579">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）出现影响采购公正的违法、违规行为的；</w:t>
      </w:r>
    </w:p>
    <w:p w14:paraId="01F291FF">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）供应商的报价均超过了采购预算，采购人不能支付的；</w:t>
      </w:r>
    </w:p>
    <w:p w14:paraId="794A783E">
      <w:pPr>
        <w:spacing w:before="120" w:line="320" w:lineRule="atLeast"/>
        <w:ind w:firstLine="420" w:firstLineChars="200"/>
        <w:rPr>
          <w:color w:val="auto"/>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w:t>
      </w:r>
      <w:r>
        <w:rPr>
          <w:rFonts w:hint="eastAsia" w:cs="宋体"/>
          <w:color w:val="auto"/>
          <w:highlight w:val="none"/>
          <w:lang w:bidi="ar"/>
        </w:rPr>
        <w:t>因发生重大变故或采购任务取消的。</w:t>
      </w:r>
    </w:p>
    <w:p w14:paraId="3E2F3DE5">
      <w:pPr>
        <w:spacing w:before="120" w:line="320" w:lineRule="atLeast"/>
        <w:ind w:firstLine="420" w:firstLineChars="200"/>
        <w:rPr>
          <w:color w:val="auto"/>
          <w:szCs w:val="21"/>
          <w:highlight w:val="none"/>
        </w:rPr>
      </w:pPr>
      <w:r>
        <w:rPr>
          <w:color w:val="auto"/>
          <w:kern w:val="1"/>
          <w:szCs w:val="21"/>
          <w:highlight w:val="none"/>
          <w:lang w:bidi="ar"/>
        </w:rPr>
        <w:t>6.6.2</w:t>
      </w:r>
      <w:r>
        <w:rPr>
          <w:rFonts w:hint="eastAsia" w:cs="宋体"/>
          <w:color w:val="auto"/>
          <w:kern w:val="1"/>
          <w:szCs w:val="21"/>
          <w:highlight w:val="none"/>
          <w:lang w:bidi="ar"/>
        </w:rPr>
        <w:t>废标后</w:t>
      </w:r>
      <w:r>
        <w:rPr>
          <w:rFonts w:hint="eastAsia" w:cs="宋体"/>
          <w:color w:val="auto"/>
          <w:szCs w:val="21"/>
          <w:highlight w:val="none"/>
          <w:lang w:bidi="ar"/>
        </w:rPr>
        <w:t>采购</w:t>
      </w:r>
      <w:r>
        <w:rPr>
          <w:rFonts w:hint="eastAsia" w:cs="宋体"/>
          <w:color w:val="auto"/>
          <w:kern w:val="1"/>
          <w:szCs w:val="21"/>
          <w:highlight w:val="none"/>
          <w:lang w:bidi="ar"/>
        </w:rPr>
        <w:t>代理机构将发布废标公告通知供应商。</w:t>
      </w:r>
    </w:p>
    <w:p w14:paraId="189843A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7</w:t>
      </w:r>
      <w:r>
        <w:rPr>
          <w:rFonts w:hint="eastAsia" w:cs="宋体"/>
          <w:b/>
          <w:bCs/>
          <w:color w:val="auto"/>
          <w:kern w:val="0"/>
          <w:szCs w:val="21"/>
          <w:highlight w:val="none"/>
          <w:lang w:bidi="ar"/>
        </w:rPr>
        <w:t>．签订合同</w:t>
      </w:r>
    </w:p>
    <w:p w14:paraId="188EB186">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7.1</w:t>
      </w:r>
      <w:r>
        <w:rPr>
          <w:rFonts w:hint="eastAsia" w:cs="宋体"/>
          <w:b/>
          <w:bCs/>
          <w:color w:val="auto"/>
          <w:kern w:val="0"/>
          <w:szCs w:val="21"/>
          <w:highlight w:val="none"/>
          <w:lang w:bidi="ar"/>
        </w:rPr>
        <w:t>合同授予标准</w:t>
      </w:r>
    </w:p>
    <w:p w14:paraId="645D0C5A">
      <w:pPr>
        <w:spacing w:before="120" w:line="320" w:lineRule="atLeast"/>
        <w:ind w:firstLine="420" w:firstLineChars="200"/>
        <w:rPr>
          <w:color w:val="auto"/>
          <w:szCs w:val="21"/>
          <w:highlight w:val="none"/>
        </w:rPr>
      </w:pPr>
      <w:r>
        <w:rPr>
          <w:rFonts w:hint="eastAsia" w:cs="宋体"/>
          <w:color w:val="auto"/>
          <w:szCs w:val="21"/>
          <w:highlight w:val="none"/>
          <w:lang w:bidi="ar"/>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color w:val="auto"/>
          <w:szCs w:val="21"/>
          <w:highlight w:val="none"/>
          <w:lang w:bidi="ar"/>
        </w:rPr>
        <w:t xml:space="preserve"> </w:t>
      </w:r>
      <w:r>
        <w:rPr>
          <w:rFonts w:hint="eastAsia" w:cs="宋体"/>
          <w:color w:val="auto"/>
          <w:szCs w:val="21"/>
          <w:highlight w:val="none"/>
          <w:lang w:bidi="ar"/>
        </w:rPr>
        <w:t>，应在中标通知书发出前或签订合同前及时书面告知采购人，未主动告知，给采购人造成损失的，采购人有权取消其中标资格并没收投标保证金。</w:t>
      </w:r>
    </w:p>
    <w:p w14:paraId="42E45F1A">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7.2</w:t>
      </w:r>
      <w:r>
        <w:rPr>
          <w:rFonts w:hint="eastAsia" w:cs="宋体"/>
          <w:b/>
          <w:bCs/>
          <w:color w:val="auto"/>
          <w:kern w:val="0"/>
          <w:szCs w:val="21"/>
          <w:highlight w:val="none"/>
          <w:lang w:bidi="ar"/>
        </w:rPr>
        <w:t>签订合同</w:t>
      </w:r>
    </w:p>
    <w:p w14:paraId="482D5D10">
      <w:pPr>
        <w:spacing w:before="120" w:line="320" w:lineRule="atLeast"/>
        <w:ind w:firstLine="420" w:firstLineChars="200"/>
        <w:rPr>
          <w:color w:val="auto"/>
          <w:szCs w:val="21"/>
          <w:highlight w:val="none"/>
        </w:rPr>
      </w:pPr>
      <w:r>
        <w:rPr>
          <w:color w:val="auto"/>
          <w:szCs w:val="21"/>
          <w:highlight w:val="none"/>
          <w:lang w:bidi="ar"/>
        </w:rPr>
        <w:t>7.2.1</w:t>
      </w:r>
      <w:r>
        <w:rPr>
          <w:rFonts w:hint="eastAsia" w:cs="宋体"/>
          <w:color w:val="auto"/>
          <w:szCs w:val="21"/>
          <w:highlight w:val="none"/>
          <w:lang w:bidi="ar"/>
        </w:rPr>
        <w:t>如招标文件无特别规定，中标人按招标文件确定的事项签订政府采购合同。</w:t>
      </w:r>
    </w:p>
    <w:p w14:paraId="0A121F01">
      <w:pPr>
        <w:spacing w:before="120" w:line="320" w:lineRule="atLeast"/>
        <w:ind w:firstLine="420" w:firstLineChars="200"/>
        <w:rPr>
          <w:color w:val="auto"/>
          <w:szCs w:val="21"/>
          <w:highlight w:val="none"/>
        </w:rPr>
      </w:pPr>
      <w:r>
        <w:rPr>
          <w:color w:val="auto"/>
          <w:szCs w:val="21"/>
          <w:highlight w:val="none"/>
          <w:lang w:bidi="ar"/>
        </w:rPr>
        <w:t>7.2.2</w:t>
      </w:r>
      <w:r>
        <w:rPr>
          <w:rFonts w:hint="eastAsia" w:cs="宋体"/>
          <w:color w:val="auto"/>
          <w:szCs w:val="21"/>
          <w:highlight w:val="none"/>
          <w:lang w:bidi="ar"/>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717A88">
      <w:pPr>
        <w:spacing w:before="120" w:line="320" w:lineRule="atLeast"/>
        <w:ind w:firstLine="420" w:firstLineChars="200"/>
        <w:rPr>
          <w:color w:val="auto"/>
          <w:szCs w:val="21"/>
          <w:highlight w:val="none"/>
        </w:rPr>
      </w:pPr>
      <w:r>
        <w:rPr>
          <w:color w:val="auto"/>
          <w:szCs w:val="21"/>
          <w:highlight w:val="none"/>
          <w:lang w:bidi="ar"/>
        </w:rPr>
        <w:t>7.2.3</w:t>
      </w:r>
      <w:r>
        <w:rPr>
          <w:rFonts w:hint="eastAsia" w:cs="宋体"/>
          <w:color w:val="auto"/>
          <w:szCs w:val="21"/>
          <w:highlight w:val="none"/>
          <w:lang w:bidi="ar"/>
        </w:rPr>
        <w:t>如中标人不按中标通知书的规定签订合同，其投标保证金将不予退还，并</w:t>
      </w:r>
      <w:r>
        <w:rPr>
          <w:rFonts w:hint="eastAsia" w:cs="宋体"/>
          <w:color w:val="auto"/>
          <w:szCs w:val="21"/>
          <w:highlight w:val="none"/>
          <w:lang w:eastAsia="zh-CN" w:bidi="ar"/>
        </w:rPr>
        <w:t>报</w:t>
      </w:r>
      <w:r>
        <w:rPr>
          <w:rFonts w:hint="eastAsia" w:cs="宋体"/>
          <w:color w:val="auto"/>
          <w:szCs w:val="21"/>
          <w:highlight w:val="none"/>
          <w:lang w:bidi="ar"/>
        </w:rPr>
        <w:t>同级政府采购监督管理部门处理。</w:t>
      </w:r>
    </w:p>
    <w:p w14:paraId="1EB41A70">
      <w:pPr>
        <w:spacing w:before="120" w:line="320" w:lineRule="atLeast"/>
        <w:ind w:firstLine="420" w:firstLineChars="200"/>
        <w:rPr>
          <w:color w:val="auto"/>
          <w:szCs w:val="21"/>
          <w:highlight w:val="none"/>
        </w:rPr>
      </w:pPr>
      <w:r>
        <w:rPr>
          <w:color w:val="auto"/>
          <w:szCs w:val="21"/>
          <w:highlight w:val="none"/>
          <w:lang w:bidi="ar"/>
        </w:rPr>
        <w:t>7.2.4</w:t>
      </w:r>
      <w:r>
        <w:rPr>
          <w:rFonts w:hint="eastAsia" w:cs="宋体"/>
          <w:color w:val="auto"/>
          <w:szCs w:val="21"/>
          <w:highlight w:val="none"/>
          <w:lang w:bidi="ar"/>
        </w:rPr>
        <w:t>中标人拒绝与采购人签订合同的，采购人可以按照评审报告推荐的中标候选人名单排序，确定下一候选人为中标人，也可以重新开展政府采购活动。</w:t>
      </w:r>
    </w:p>
    <w:p w14:paraId="77D81B88">
      <w:pPr>
        <w:spacing w:before="120" w:line="320" w:lineRule="atLeast"/>
        <w:ind w:firstLine="420" w:firstLineChars="200"/>
        <w:rPr>
          <w:color w:val="auto"/>
          <w:szCs w:val="21"/>
          <w:highlight w:val="none"/>
        </w:rPr>
      </w:pPr>
      <w:bookmarkStart w:id="92" w:name="_Hlk155170999"/>
      <w:r>
        <w:rPr>
          <w:color w:val="auto"/>
          <w:szCs w:val="21"/>
          <w:highlight w:val="none"/>
          <w:lang w:bidi="ar"/>
        </w:rPr>
        <w:t>7.2.5</w:t>
      </w:r>
      <w:r>
        <w:rPr>
          <w:rFonts w:hint="eastAsia" w:cs="宋体"/>
          <w:color w:val="auto"/>
          <w:szCs w:val="21"/>
          <w:highlight w:val="none"/>
          <w:lang w:bidi="ar"/>
        </w:rPr>
        <w:t>采购人因不可抗力原因迟延签订合同的，应当自不可抗力事由消除之日起</w:t>
      </w:r>
      <w:r>
        <w:rPr>
          <w:color w:val="auto"/>
          <w:szCs w:val="21"/>
          <w:highlight w:val="none"/>
          <w:lang w:bidi="ar"/>
        </w:rPr>
        <w:t>5</w:t>
      </w:r>
      <w:r>
        <w:rPr>
          <w:rFonts w:hint="eastAsia" w:cs="宋体"/>
          <w:color w:val="auto"/>
          <w:szCs w:val="21"/>
          <w:highlight w:val="none"/>
          <w:lang w:bidi="ar"/>
        </w:rPr>
        <w:t>个工作日内完成合同签订事宜。</w:t>
      </w:r>
      <w:bookmarkEnd w:id="92"/>
    </w:p>
    <w:p w14:paraId="3083DAD6">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7.3</w:t>
      </w:r>
      <w:r>
        <w:rPr>
          <w:rFonts w:hint="eastAsia" w:cs="宋体"/>
          <w:b/>
          <w:bCs/>
          <w:color w:val="auto"/>
          <w:kern w:val="0"/>
          <w:szCs w:val="21"/>
          <w:highlight w:val="none"/>
          <w:lang w:bidi="ar"/>
        </w:rPr>
        <w:t>合同公告</w:t>
      </w:r>
    </w:p>
    <w:p w14:paraId="6A843200">
      <w:pPr>
        <w:spacing w:before="120" w:line="320" w:lineRule="atLeast"/>
        <w:ind w:firstLine="420" w:firstLineChars="200"/>
        <w:rPr>
          <w:color w:val="auto"/>
          <w:szCs w:val="21"/>
          <w:highlight w:val="none"/>
        </w:rPr>
      </w:pPr>
      <w:r>
        <w:rPr>
          <w:color w:val="auto"/>
          <w:szCs w:val="21"/>
          <w:highlight w:val="none"/>
          <w:lang w:bidi="ar"/>
        </w:rPr>
        <w:t>7.3.1</w:t>
      </w:r>
      <w:r>
        <w:rPr>
          <w:rFonts w:hint="eastAsia" w:cs="宋体"/>
          <w:color w:val="auto"/>
          <w:szCs w:val="21"/>
          <w:highlight w:val="none"/>
          <w:lang w:bidi="ar"/>
        </w:rPr>
        <w:t>如招标文件无特殊规定，中标人应在签订合同后</w:t>
      </w:r>
      <w:r>
        <w:rPr>
          <w:color w:val="auto"/>
          <w:szCs w:val="21"/>
          <w:highlight w:val="none"/>
          <w:lang w:bidi="ar"/>
        </w:rPr>
        <w:t>1</w:t>
      </w:r>
      <w:r>
        <w:rPr>
          <w:rFonts w:hint="eastAsia" w:cs="宋体"/>
          <w:color w:val="auto"/>
          <w:szCs w:val="21"/>
          <w:highlight w:val="none"/>
          <w:lang w:bidi="ar"/>
        </w:rPr>
        <w:t>个工作日内，将政府采购合同副本送采购代理机构存档。</w:t>
      </w:r>
    </w:p>
    <w:p w14:paraId="2A208548">
      <w:pPr>
        <w:spacing w:before="120" w:line="320" w:lineRule="atLeast"/>
        <w:ind w:firstLine="420" w:firstLineChars="200"/>
        <w:rPr>
          <w:color w:val="auto"/>
          <w:szCs w:val="21"/>
          <w:highlight w:val="none"/>
        </w:rPr>
      </w:pPr>
      <w:r>
        <w:rPr>
          <w:color w:val="auto"/>
          <w:szCs w:val="21"/>
          <w:highlight w:val="none"/>
          <w:lang w:bidi="ar"/>
        </w:rPr>
        <w:t>7.3.2</w:t>
      </w:r>
      <w:r>
        <w:rPr>
          <w:rFonts w:hint="eastAsia" w:cs="宋体"/>
          <w:color w:val="auto"/>
          <w:szCs w:val="21"/>
          <w:highlight w:val="none"/>
          <w:lang w:bidi="ar"/>
        </w:rPr>
        <w:t>采购人应当自政府采购合同签订之日起</w:t>
      </w:r>
      <w:r>
        <w:rPr>
          <w:color w:val="auto"/>
          <w:szCs w:val="21"/>
          <w:highlight w:val="none"/>
          <w:lang w:bidi="ar"/>
        </w:rPr>
        <w:t>2</w:t>
      </w:r>
      <w:r>
        <w:rPr>
          <w:rFonts w:hint="eastAsia" w:cs="宋体"/>
          <w:color w:val="auto"/>
          <w:szCs w:val="21"/>
          <w:highlight w:val="none"/>
          <w:lang w:bidi="ar"/>
        </w:rPr>
        <w:t>个工作日内，将政府采购合同在省级以上人民政府财政部门指定的媒体上公告，但政府采购合同中涉及国家秘密、商业秘密的内容除外。</w:t>
      </w:r>
    </w:p>
    <w:p w14:paraId="23EA28F9">
      <w:pPr>
        <w:spacing w:before="120" w:line="320" w:lineRule="atLeast"/>
        <w:ind w:firstLine="420" w:firstLineChars="200"/>
        <w:rPr>
          <w:color w:val="auto"/>
          <w:szCs w:val="21"/>
          <w:highlight w:val="none"/>
        </w:rPr>
      </w:pPr>
      <w:bookmarkStart w:id="93" w:name="_Hlk155171014"/>
      <w:r>
        <w:rPr>
          <w:color w:val="auto"/>
          <w:szCs w:val="21"/>
          <w:highlight w:val="none"/>
          <w:lang w:bidi="ar"/>
        </w:rPr>
        <w:t xml:space="preserve">7.3.3 </w:t>
      </w:r>
      <w:r>
        <w:rPr>
          <w:rFonts w:hint="eastAsia" w:cs="宋体"/>
          <w:color w:val="auto"/>
          <w:szCs w:val="21"/>
          <w:highlight w:val="none"/>
          <w:lang w:bidi="ar"/>
        </w:rPr>
        <w:t>政府采购合同双方不得擅自变更合同，依照政府采购法确需变更政府采购合同内容的，采购人应当自合同变更之日起</w:t>
      </w:r>
      <w:r>
        <w:rPr>
          <w:color w:val="auto"/>
          <w:szCs w:val="21"/>
          <w:highlight w:val="none"/>
          <w:lang w:bidi="ar"/>
        </w:rPr>
        <w:t>2</w:t>
      </w:r>
      <w:r>
        <w:rPr>
          <w:rFonts w:hint="eastAsia" w:cs="宋体"/>
          <w:color w:val="auto"/>
          <w:szCs w:val="21"/>
          <w:highlight w:val="none"/>
          <w:lang w:bidi="ar"/>
        </w:rPr>
        <w:t>个工作日内在省级以上财政部门指定的媒体上发布政府采购合同变更公告，但涉及国家秘密、商业秘密的信息和其他依法不得公开的信息除外。</w:t>
      </w:r>
      <w:bookmarkEnd w:id="93"/>
    </w:p>
    <w:p w14:paraId="17BC5B9D">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 xml:space="preserve">7.4 </w:t>
      </w:r>
      <w:r>
        <w:rPr>
          <w:rFonts w:hint="eastAsia" w:cs="宋体"/>
          <w:b/>
          <w:bCs/>
          <w:color w:val="auto"/>
          <w:kern w:val="0"/>
          <w:szCs w:val="21"/>
          <w:highlight w:val="none"/>
          <w:lang w:bidi="ar"/>
        </w:rPr>
        <w:t>履行合同</w:t>
      </w:r>
    </w:p>
    <w:p w14:paraId="43E43C18">
      <w:pPr>
        <w:spacing w:before="120" w:line="320" w:lineRule="atLeast"/>
        <w:ind w:firstLine="420" w:firstLineChars="200"/>
        <w:rPr>
          <w:color w:val="auto"/>
          <w:szCs w:val="21"/>
          <w:highlight w:val="none"/>
        </w:rPr>
      </w:pPr>
      <w:r>
        <w:rPr>
          <w:color w:val="auto"/>
          <w:szCs w:val="21"/>
          <w:highlight w:val="none"/>
          <w:lang w:bidi="ar"/>
        </w:rPr>
        <w:t>7.4.1</w:t>
      </w:r>
      <w:bookmarkStart w:id="94" w:name="_Toc217446070"/>
      <w:bookmarkStart w:id="95" w:name="_Toc308164814"/>
      <w:r>
        <w:rPr>
          <w:rFonts w:hint="eastAsia" w:cs="宋体"/>
          <w:color w:val="auto"/>
          <w:szCs w:val="21"/>
          <w:highlight w:val="none"/>
          <w:lang w:bidi="ar"/>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A1D2DD7">
      <w:pPr>
        <w:spacing w:before="120" w:line="320" w:lineRule="atLeast"/>
        <w:ind w:firstLine="422" w:firstLineChars="200"/>
        <w:rPr>
          <w:b/>
          <w:bCs/>
          <w:color w:val="auto"/>
          <w:kern w:val="0"/>
          <w:szCs w:val="21"/>
          <w:highlight w:val="none"/>
        </w:rPr>
      </w:pPr>
      <w:r>
        <w:rPr>
          <w:b/>
          <w:bCs/>
          <w:color w:val="auto"/>
          <w:kern w:val="0"/>
          <w:szCs w:val="21"/>
          <w:highlight w:val="none"/>
          <w:lang w:bidi="ar"/>
        </w:rPr>
        <w:t>7.5</w:t>
      </w:r>
      <w:r>
        <w:rPr>
          <w:rFonts w:hint="eastAsia" w:cs="宋体"/>
          <w:b/>
          <w:bCs/>
          <w:color w:val="auto"/>
          <w:kern w:val="0"/>
          <w:szCs w:val="21"/>
          <w:highlight w:val="none"/>
          <w:lang w:bidi="ar"/>
        </w:rPr>
        <w:t>履约验收</w:t>
      </w:r>
      <w:bookmarkEnd w:id="94"/>
      <w:bookmarkEnd w:id="95"/>
    </w:p>
    <w:p w14:paraId="6617AC62">
      <w:pPr>
        <w:spacing w:before="120" w:line="320" w:lineRule="atLeast"/>
        <w:ind w:firstLine="420" w:firstLineChars="200"/>
        <w:rPr>
          <w:color w:val="auto"/>
          <w:szCs w:val="21"/>
          <w:highlight w:val="none"/>
        </w:rPr>
      </w:pPr>
      <w:r>
        <w:rPr>
          <w:color w:val="auto"/>
          <w:szCs w:val="21"/>
          <w:highlight w:val="none"/>
          <w:lang w:bidi="ar"/>
        </w:rPr>
        <w:t>7.5.1</w:t>
      </w:r>
      <w:r>
        <w:rPr>
          <w:rFonts w:hint="eastAsia" w:cs="宋体"/>
          <w:color w:val="auto"/>
          <w:szCs w:val="21"/>
          <w:highlight w:val="none"/>
          <w:lang w:bidi="ar"/>
        </w:rPr>
        <w:t>采购人可以根据政府采购项目具体情况自行组织验收，或者委托政府采购代理机构、国家认可的质量检测机构开展采购项目履约验收工作。</w:t>
      </w:r>
    </w:p>
    <w:p w14:paraId="4603E4F4">
      <w:pPr>
        <w:spacing w:before="120" w:line="320" w:lineRule="atLeast"/>
        <w:ind w:firstLine="420" w:firstLineChars="200"/>
        <w:rPr>
          <w:color w:val="auto"/>
          <w:szCs w:val="21"/>
          <w:highlight w:val="none"/>
        </w:rPr>
      </w:pPr>
      <w:r>
        <w:rPr>
          <w:color w:val="auto"/>
          <w:szCs w:val="21"/>
          <w:highlight w:val="none"/>
          <w:lang w:bidi="ar"/>
        </w:rPr>
        <w:t>7.5.2</w:t>
      </w:r>
      <w:r>
        <w:rPr>
          <w:rFonts w:hint="eastAsia" w:cs="宋体"/>
          <w:color w:val="auto"/>
          <w:szCs w:val="21"/>
          <w:highlight w:val="none"/>
          <w:lang w:bidi="ar"/>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E308B4A">
      <w:pPr>
        <w:spacing w:before="120" w:line="320" w:lineRule="atLeast"/>
        <w:ind w:firstLine="420" w:firstLineChars="200"/>
        <w:rPr>
          <w:color w:val="auto"/>
          <w:szCs w:val="21"/>
          <w:highlight w:val="none"/>
        </w:rPr>
      </w:pPr>
      <w:r>
        <w:rPr>
          <w:color w:val="auto"/>
          <w:szCs w:val="21"/>
          <w:highlight w:val="none"/>
          <w:lang w:bidi="ar"/>
        </w:rPr>
        <w:t>7.5.3</w:t>
      </w:r>
      <w:r>
        <w:rPr>
          <w:rFonts w:hint="eastAsia" w:cs="宋体"/>
          <w:color w:val="auto"/>
          <w:szCs w:val="21"/>
          <w:highlight w:val="none"/>
          <w:lang w:bidi="ar"/>
        </w:rPr>
        <w:t>采购合同项目完成验收后，采购人应当将验收原始记录、验收书等资料作为该采购项目档案妥善保管，不得伪造、变造、隐匿或者销毁，验收资料保存期为采购结束之日起至少保存</w:t>
      </w:r>
      <w:r>
        <w:rPr>
          <w:color w:val="auto"/>
          <w:szCs w:val="21"/>
          <w:highlight w:val="none"/>
          <w:lang w:bidi="ar"/>
        </w:rPr>
        <w:t>15</w:t>
      </w:r>
      <w:r>
        <w:rPr>
          <w:rFonts w:hint="eastAsia" w:cs="宋体"/>
          <w:color w:val="auto"/>
          <w:szCs w:val="21"/>
          <w:highlight w:val="none"/>
          <w:lang w:bidi="ar"/>
        </w:rPr>
        <w:t>年。</w:t>
      </w:r>
    </w:p>
    <w:p w14:paraId="389E1A93">
      <w:pPr>
        <w:spacing w:before="120" w:line="320" w:lineRule="atLeast"/>
        <w:ind w:firstLine="420" w:firstLineChars="200"/>
        <w:rPr>
          <w:color w:val="auto"/>
          <w:szCs w:val="21"/>
          <w:highlight w:val="none"/>
        </w:rPr>
      </w:pPr>
      <w:r>
        <w:rPr>
          <w:color w:val="auto"/>
          <w:szCs w:val="21"/>
          <w:highlight w:val="none"/>
          <w:lang w:bidi="ar"/>
        </w:rPr>
        <w:t>7.5.4</w:t>
      </w:r>
      <w:r>
        <w:rPr>
          <w:rFonts w:hint="eastAsia" w:cs="宋体"/>
          <w:color w:val="auto"/>
          <w:szCs w:val="21"/>
          <w:highlight w:val="none"/>
          <w:lang w:bidi="ar"/>
        </w:rPr>
        <w:t>本项目将严格按照本招标文件及合同有关规定进行合同履约验收。招标文件或合同未规定的按财政部关于进一步加强政府采购需求和履约验收管理的指导意见（财库〔</w:t>
      </w:r>
      <w:r>
        <w:rPr>
          <w:color w:val="auto"/>
          <w:szCs w:val="21"/>
          <w:highlight w:val="none"/>
          <w:lang w:bidi="ar"/>
        </w:rPr>
        <w:t>2016</w:t>
      </w:r>
      <w:r>
        <w:rPr>
          <w:rFonts w:hint="eastAsia" w:cs="宋体"/>
          <w:color w:val="auto"/>
          <w:szCs w:val="21"/>
          <w:highlight w:val="none"/>
          <w:lang w:bidi="ar"/>
        </w:rPr>
        <w:t>〕</w:t>
      </w:r>
      <w:r>
        <w:rPr>
          <w:color w:val="auto"/>
          <w:szCs w:val="21"/>
          <w:highlight w:val="none"/>
          <w:lang w:bidi="ar"/>
        </w:rPr>
        <w:t>205</w:t>
      </w:r>
      <w:r>
        <w:rPr>
          <w:rFonts w:hint="eastAsia" w:cs="宋体"/>
          <w:color w:val="auto"/>
          <w:szCs w:val="21"/>
          <w:highlight w:val="none"/>
          <w:lang w:bidi="ar"/>
        </w:rPr>
        <w:t>号）以及《广西壮族自治区政府采购项目履约验收管理办法》（桂财采〔</w:t>
      </w:r>
      <w:r>
        <w:rPr>
          <w:color w:val="auto"/>
          <w:szCs w:val="21"/>
          <w:highlight w:val="none"/>
          <w:lang w:bidi="ar"/>
        </w:rPr>
        <w:t>2015</w:t>
      </w:r>
      <w:r>
        <w:rPr>
          <w:rFonts w:hint="eastAsia" w:cs="宋体"/>
          <w:color w:val="auto"/>
          <w:szCs w:val="21"/>
          <w:highlight w:val="none"/>
          <w:lang w:bidi="ar"/>
        </w:rPr>
        <w:t>〕</w:t>
      </w:r>
      <w:r>
        <w:rPr>
          <w:color w:val="auto"/>
          <w:szCs w:val="21"/>
          <w:highlight w:val="none"/>
          <w:lang w:bidi="ar"/>
        </w:rPr>
        <w:t>22</w:t>
      </w:r>
      <w:r>
        <w:rPr>
          <w:rFonts w:hint="eastAsia" w:cs="宋体"/>
          <w:color w:val="auto"/>
          <w:szCs w:val="21"/>
          <w:highlight w:val="none"/>
          <w:lang w:bidi="ar"/>
        </w:rPr>
        <w:t>号）的规定执行。</w:t>
      </w:r>
    </w:p>
    <w:p w14:paraId="53E212E6">
      <w:pPr>
        <w:spacing w:before="120" w:line="320" w:lineRule="atLeast"/>
        <w:ind w:left="2" w:leftChars="1" w:firstLine="422" w:firstLineChars="200"/>
        <w:outlineLvl w:val="1"/>
        <w:rPr>
          <w:b/>
          <w:bCs/>
          <w:color w:val="auto"/>
          <w:kern w:val="0"/>
          <w:szCs w:val="21"/>
          <w:highlight w:val="none"/>
        </w:rPr>
      </w:pPr>
      <w:bookmarkStart w:id="96" w:name="_Toc254970533"/>
      <w:bookmarkStart w:id="97" w:name="_Toc254970674"/>
      <w:r>
        <w:rPr>
          <w:b/>
          <w:bCs/>
          <w:color w:val="auto"/>
          <w:kern w:val="0"/>
          <w:szCs w:val="21"/>
          <w:highlight w:val="none"/>
          <w:lang w:bidi="ar"/>
        </w:rPr>
        <w:t>8</w:t>
      </w:r>
      <w:r>
        <w:rPr>
          <w:rFonts w:hint="eastAsia" w:cs="宋体"/>
          <w:b/>
          <w:bCs/>
          <w:color w:val="auto"/>
          <w:kern w:val="0"/>
          <w:szCs w:val="21"/>
          <w:highlight w:val="none"/>
          <w:lang w:bidi="ar"/>
        </w:rPr>
        <w:t>．质疑和投诉</w:t>
      </w:r>
      <w:bookmarkEnd w:id="96"/>
      <w:bookmarkEnd w:id="97"/>
    </w:p>
    <w:p w14:paraId="65B80CD2">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8.1</w:t>
      </w:r>
      <w:r>
        <w:rPr>
          <w:rFonts w:hint="eastAsia" w:cs="宋体"/>
          <w:b/>
          <w:bCs/>
          <w:color w:val="auto"/>
          <w:kern w:val="0"/>
          <w:szCs w:val="21"/>
          <w:highlight w:val="none"/>
          <w:lang w:bidi="ar"/>
        </w:rPr>
        <w:t>质疑</w:t>
      </w:r>
    </w:p>
    <w:p w14:paraId="5CEEB4E8">
      <w:pPr>
        <w:spacing w:before="120" w:line="320" w:lineRule="atLeast"/>
        <w:ind w:firstLine="420" w:firstLineChars="200"/>
        <w:rPr>
          <w:color w:val="auto"/>
          <w:szCs w:val="21"/>
          <w:highlight w:val="none"/>
        </w:rPr>
      </w:pPr>
      <w:r>
        <w:rPr>
          <w:color w:val="auto"/>
          <w:szCs w:val="21"/>
          <w:highlight w:val="none"/>
          <w:lang w:bidi="ar"/>
        </w:rPr>
        <w:t>8.1.1</w:t>
      </w:r>
      <w:r>
        <w:rPr>
          <w:rFonts w:hint="eastAsia" w:cs="宋体"/>
          <w:color w:val="auto"/>
          <w:szCs w:val="21"/>
          <w:highlight w:val="none"/>
          <w:lang w:bidi="ar"/>
        </w:rPr>
        <w:t>质疑内容、时限</w:t>
      </w:r>
    </w:p>
    <w:p w14:paraId="1BD1518C">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）供应商对政府采购活动有疑问的，可以向采购人或采购代理机构提出询问。采购人或者采购代理机构应当在</w:t>
      </w:r>
      <w:r>
        <w:rPr>
          <w:color w:val="auto"/>
          <w:szCs w:val="21"/>
          <w:highlight w:val="none"/>
          <w:lang w:bidi="ar"/>
        </w:rPr>
        <w:t>3</w:t>
      </w:r>
      <w:r>
        <w:rPr>
          <w:rFonts w:hint="eastAsia" w:cs="宋体"/>
          <w:color w:val="auto"/>
          <w:szCs w:val="21"/>
          <w:highlight w:val="none"/>
          <w:lang w:bidi="ar"/>
        </w:rPr>
        <w:t>个工作日内对供应商依法提出的询问作出答复。</w:t>
      </w:r>
    </w:p>
    <w:p w14:paraId="34C951F2">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w:t>
      </w:r>
      <w:r>
        <w:rPr>
          <w:rFonts w:hint="eastAsia" w:cs="宋体"/>
          <w:color w:val="auto"/>
          <w:szCs w:val="21"/>
          <w:highlight w:val="none"/>
          <w:lang w:eastAsia="zh-CN" w:bidi="ar"/>
        </w:rPr>
        <w:t>供应商</w:t>
      </w:r>
      <w:r>
        <w:rPr>
          <w:rFonts w:hint="eastAsia" w:cs="宋体"/>
          <w:color w:val="auto"/>
          <w:szCs w:val="21"/>
          <w:highlight w:val="none"/>
          <w:lang w:bidi="ar"/>
        </w:rPr>
        <w:t>认为招标文件、采购过程、中标或者成交结果使自己的权益受到损害的，可以在知道或者应知其权益受到损害之日起</w:t>
      </w:r>
      <w:r>
        <w:rPr>
          <w:color w:val="auto"/>
          <w:szCs w:val="21"/>
          <w:highlight w:val="none"/>
          <w:lang w:bidi="ar"/>
        </w:rPr>
        <w:t>7</w:t>
      </w:r>
      <w:r>
        <w:rPr>
          <w:rFonts w:hint="eastAsia" w:cs="宋体"/>
          <w:color w:val="auto"/>
          <w:szCs w:val="21"/>
          <w:highlight w:val="none"/>
          <w:lang w:bidi="ar"/>
        </w:rPr>
        <w:t>个工作日内向采购人或采购代理机构提出质疑。采购人或采购代理机构在收到供应商书面质疑后</w:t>
      </w:r>
      <w:r>
        <w:rPr>
          <w:color w:val="auto"/>
          <w:szCs w:val="21"/>
          <w:highlight w:val="none"/>
          <w:lang w:bidi="ar"/>
        </w:rPr>
        <w:t>7</w:t>
      </w:r>
      <w:r>
        <w:rPr>
          <w:rFonts w:hint="eastAsia" w:cs="宋体"/>
          <w:color w:val="auto"/>
          <w:szCs w:val="21"/>
          <w:highlight w:val="none"/>
          <w:lang w:bidi="ar"/>
        </w:rPr>
        <w:t>个工作日内，对质疑内容作出答复。</w:t>
      </w:r>
    </w:p>
    <w:p w14:paraId="7F9D46B8">
      <w:pPr>
        <w:spacing w:before="120" w:line="320" w:lineRule="atLeast"/>
        <w:ind w:firstLine="420" w:firstLineChars="200"/>
        <w:rPr>
          <w:color w:val="auto"/>
          <w:szCs w:val="21"/>
          <w:highlight w:val="none"/>
        </w:rPr>
      </w:pPr>
      <w:r>
        <w:rPr>
          <w:color w:val="auto"/>
          <w:szCs w:val="21"/>
          <w:highlight w:val="none"/>
          <w:lang w:bidi="ar"/>
        </w:rPr>
        <w:t>8.1.2</w:t>
      </w:r>
      <w:r>
        <w:rPr>
          <w:rFonts w:hint="eastAsia" w:cs="宋体"/>
          <w:color w:val="auto"/>
          <w:szCs w:val="21"/>
          <w:highlight w:val="none"/>
          <w:lang w:bidi="ar"/>
        </w:rPr>
        <w:t>质疑形式</w:t>
      </w:r>
    </w:p>
    <w:p w14:paraId="6DEA89A4">
      <w:pPr>
        <w:spacing w:before="120" w:line="320" w:lineRule="atLeast"/>
        <w:ind w:firstLine="420" w:firstLineChars="200"/>
        <w:rPr>
          <w:color w:val="auto"/>
          <w:szCs w:val="21"/>
          <w:highlight w:val="none"/>
        </w:rPr>
      </w:pPr>
      <w:r>
        <w:rPr>
          <w:rFonts w:hint="eastAsia" w:cs="宋体"/>
          <w:color w:val="auto"/>
          <w:szCs w:val="21"/>
          <w:highlight w:val="none"/>
          <w:lang w:bidi="ar"/>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47485290">
      <w:pPr>
        <w:spacing w:before="120" w:line="320" w:lineRule="atLeast"/>
        <w:ind w:firstLine="420" w:firstLineChars="200"/>
        <w:rPr>
          <w:color w:val="auto"/>
          <w:szCs w:val="21"/>
          <w:highlight w:val="none"/>
        </w:rPr>
      </w:pPr>
      <w:r>
        <w:rPr>
          <w:color w:val="auto"/>
          <w:szCs w:val="21"/>
          <w:highlight w:val="none"/>
          <w:lang w:bidi="ar"/>
        </w:rPr>
        <w:t>8.1.3</w:t>
      </w:r>
      <w:r>
        <w:rPr>
          <w:color w:val="auto"/>
          <w:highlight w:val="none"/>
          <w:lang w:bidi="ar"/>
        </w:rPr>
        <w:t xml:space="preserve"> </w:t>
      </w:r>
      <w:r>
        <w:rPr>
          <w:rFonts w:hint="eastAsia" w:cs="宋体"/>
          <w:color w:val="auto"/>
          <w:szCs w:val="21"/>
          <w:highlight w:val="none"/>
          <w:lang w:bidi="ar"/>
        </w:rPr>
        <w:t>供应商提出质疑应当提交质疑函和必要的证明材料。质疑函应当包括下列内容：</w:t>
      </w:r>
    </w:p>
    <w:p w14:paraId="635419FC">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供应商的姓名或者名称、地址、邮编、联系人及联系电话；</w:t>
      </w:r>
    </w:p>
    <w:p w14:paraId="57AE1C49">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质疑项目的名称、编号；</w:t>
      </w:r>
    </w:p>
    <w:p w14:paraId="6F401A5D">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具体、明确的质疑事项和与质疑事项相关的请求；</w:t>
      </w:r>
    </w:p>
    <w:p w14:paraId="55CB97EE">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事实依据；</w:t>
      </w:r>
    </w:p>
    <w:p w14:paraId="56D763AF">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5</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必要的法律依据；</w:t>
      </w:r>
    </w:p>
    <w:p w14:paraId="7A3A16DB">
      <w:pPr>
        <w:spacing w:before="120" w:line="320" w:lineRule="atLeast"/>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6</w:t>
      </w:r>
      <w:r>
        <w:rPr>
          <w:rFonts w:hint="eastAsia" w:cs="宋体"/>
          <w:color w:val="auto"/>
          <w:szCs w:val="21"/>
          <w:highlight w:val="none"/>
          <w:lang w:bidi="ar"/>
        </w:rPr>
        <w:t>）</w:t>
      </w:r>
      <w:r>
        <w:rPr>
          <w:color w:val="auto"/>
          <w:szCs w:val="21"/>
          <w:highlight w:val="none"/>
          <w:lang w:bidi="ar"/>
        </w:rPr>
        <w:tab/>
      </w:r>
      <w:r>
        <w:rPr>
          <w:rFonts w:hint="eastAsia" w:cs="宋体"/>
          <w:color w:val="auto"/>
          <w:szCs w:val="21"/>
          <w:highlight w:val="none"/>
          <w:lang w:bidi="ar"/>
        </w:rPr>
        <w:t>提出质疑的日期。</w:t>
      </w:r>
    </w:p>
    <w:p w14:paraId="14F701C5">
      <w:pPr>
        <w:spacing w:before="120" w:line="320" w:lineRule="atLeast"/>
        <w:ind w:firstLine="420" w:firstLineChars="200"/>
        <w:rPr>
          <w:color w:val="auto"/>
          <w:szCs w:val="21"/>
          <w:highlight w:val="none"/>
        </w:rPr>
      </w:pPr>
      <w:r>
        <w:rPr>
          <w:rFonts w:hint="eastAsia" w:cs="宋体"/>
          <w:color w:val="auto"/>
          <w:szCs w:val="21"/>
          <w:highlight w:val="none"/>
          <w:lang w:bidi="ar"/>
        </w:rPr>
        <w:t>供应商为自然人的，应当由本人签字；供应商为法人或者其他组织的，应当由法定代表人、主要负责人，或者其授权代表签字或者盖章，并加盖公章。</w:t>
      </w:r>
      <w:r>
        <w:rPr>
          <w:color w:val="auto"/>
          <w:szCs w:val="21"/>
          <w:highlight w:val="none"/>
          <w:lang w:bidi="ar"/>
        </w:rPr>
        <w:t xml:space="preserve"> </w:t>
      </w:r>
    </w:p>
    <w:p w14:paraId="08556A9D">
      <w:pPr>
        <w:spacing w:before="120" w:line="320" w:lineRule="atLeast"/>
        <w:ind w:firstLine="422" w:firstLineChars="200"/>
        <w:outlineLvl w:val="2"/>
        <w:rPr>
          <w:b/>
          <w:bCs/>
          <w:color w:val="auto"/>
          <w:kern w:val="0"/>
          <w:szCs w:val="21"/>
          <w:highlight w:val="none"/>
        </w:rPr>
      </w:pPr>
      <w:r>
        <w:rPr>
          <w:b/>
          <w:bCs/>
          <w:color w:val="auto"/>
          <w:kern w:val="0"/>
          <w:szCs w:val="21"/>
          <w:highlight w:val="none"/>
          <w:lang w:bidi="ar"/>
        </w:rPr>
        <w:t>8.2</w:t>
      </w:r>
      <w:r>
        <w:rPr>
          <w:rFonts w:hint="eastAsia" w:cs="宋体"/>
          <w:b/>
          <w:bCs/>
          <w:color w:val="auto"/>
          <w:kern w:val="0"/>
          <w:szCs w:val="21"/>
          <w:highlight w:val="none"/>
          <w:lang w:bidi="ar"/>
        </w:rPr>
        <w:t>投诉</w:t>
      </w:r>
    </w:p>
    <w:p w14:paraId="22AD6102">
      <w:pPr>
        <w:spacing w:before="120" w:line="320" w:lineRule="atLeast"/>
        <w:ind w:firstLine="420" w:firstLineChars="200"/>
        <w:rPr>
          <w:color w:val="auto"/>
          <w:szCs w:val="21"/>
          <w:highlight w:val="none"/>
        </w:rPr>
      </w:pPr>
      <w:r>
        <w:rPr>
          <w:color w:val="auto"/>
          <w:szCs w:val="21"/>
          <w:highlight w:val="none"/>
          <w:lang w:bidi="ar"/>
        </w:rPr>
        <w:t>8.2.1</w:t>
      </w:r>
      <w:r>
        <w:rPr>
          <w:rFonts w:hint="eastAsia" w:cs="宋体"/>
          <w:color w:val="auto"/>
          <w:szCs w:val="21"/>
          <w:highlight w:val="none"/>
          <w:lang w:bidi="ar"/>
        </w:rPr>
        <w:t>供应商对采购人、采购代理机构的答复不满意，或者采购人、采购代理机构未在规定时间内答复的，可在答复期满后</w:t>
      </w:r>
      <w:r>
        <w:rPr>
          <w:color w:val="auto"/>
          <w:szCs w:val="21"/>
          <w:highlight w:val="none"/>
          <w:lang w:bidi="ar"/>
        </w:rPr>
        <w:t>15</w:t>
      </w:r>
      <w:r>
        <w:rPr>
          <w:rFonts w:hint="eastAsia" w:cs="宋体"/>
          <w:color w:val="auto"/>
          <w:szCs w:val="21"/>
          <w:highlight w:val="none"/>
          <w:lang w:bidi="ar"/>
        </w:rPr>
        <w:t>个工作日内按有关规定，向同级财政部门投诉。</w:t>
      </w:r>
    </w:p>
    <w:p w14:paraId="6AF5EECB">
      <w:pPr>
        <w:spacing w:before="120" w:line="320" w:lineRule="atLeast"/>
        <w:ind w:firstLine="420" w:firstLineChars="200"/>
        <w:rPr>
          <w:color w:val="auto"/>
          <w:szCs w:val="21"/>
          <w:highlight w:val="none"/>
        </w:rPr>
      </w:pPr>
      <w:r>
        <w:rPr>
          <w:color w:val="auto"/>
          <w:szCs w:val="21"/>
          <w:highlight w:val="none"/>
          <w:lang w:bidi="ar"/>
        </w:rPr>
        <w:t>8.2.2</w:t>
      </w:r>
      <w:r>
        <w:rPr>
          <w:rFonts w:hint="eastAsia" w:cs="宋体"/>
          <w:color w:val="auto"/>
          <w:szCs w:val="21"/>
          <w:highlight w:val="none"/>
          <w:lang w:bidi="ar"/>
        </w:rPr>
        <w:t>投诉书应使用财政部发布的政府采购供应投诉书范本，并应按照“投诉书制作说明”进行编写。</w:t>
      </w:r>
    </w:p>
    <w:p w14:paraId="1319E2C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9</w:t>
      </w:r>
      <w:r>
        <w:rPr>
          <w:rFonts w:hint="eastAsia" w:cs="宋体"/>
          <w:b/>
          <w:bCs/>
          <w:color w:val="auto"/>
          <w:kern w:val="0"/>
          <w:szCs w:val="21"/>
          <w:highlight w:val="none"/>
          <w:lang w:bidi="ar"/>
        </w:rPr>
        <w:t>．其他事项</w:t>
      </w:r>
    </w:p>
    <w:p w14:paraId="75EB9E4C">
      <w:pPr>
        <w:spacing w:before="120" w:line="320" w:lineRule="atLeast"/>
        <w:ind w:left="2" w:leftChars="1" w:firstLine="420" w:firstLineChars="200"/>
        <w:rPr>
          <w:color w:val="auto"/>
          <w:szCs w:val="21"/>
          <w:highlight w:val="none"/>
        </w:rPr>
      </w:pPr>
      <w:r>
        <w:rPr>
          <w:color w:val="auto"/>
          <w:szCs w:val="21"/>
          <w:highlight w:val="none"/>
          <w:lang w:bidi="ar"/>
        </w:rPr>
        <w:t>9.1</w:t>
      </w:r>
      <w:r>
        <w:rPr>
          <w:rFonts w:hint="eastAsia" w:cs="宋体"/>
          <w:color w:val="auto"/>
          <w:szCs w:val="21"/>
          <w:highlight w:val="none"/>
          <w:lang w:bidi="ar"/>
        </w:rPr>
        <w:t>代理服务收费由采购代理机构向中标人收取。签订合同前，中标人应向采购代理机构一次付清代理服务费。</w:t>
      </w:r>
    </w:p>
    <w:p w14:paraId="56533D22">
      <w:pPr>
        <w:spacing w:before="120" w:line="320" w:lineRule="atLeast"/>
        <w:ind w:left="2" w:leftChars="1" w:firstLine="420" w:firstLineChars="200"/>
        <w:rPr>
          <w:color w:val="auto"/>
          <w:szCs w:val="21"/>
          <w:highlight w:val="none"/>
        </w:rPr>
      </w:pPr>
      <w:r>
        <w:rPr>
          <w:color w:val="auto"/>
          <w:szCs w:val="21"/>
          <w:highlight w:val="none"/>
          <w:lang w:bidi="ar"/>
        </w:rPr>
        <w:t>9.2</w:t>
      </w:r>
      <w:r>
        <w:rPr>
          <w:rFonts w:hint="eastAsia" w:cs="宋体"/>
          <w:color w:val="auto"/>
          <w:szCs w:val="21"/>
          <w:highlight w:val="none"/>
          <w:lang w:bidi="ar"/>
        </w:rPr>
        <w:t>电子交易活动的中止。采购过程中出现以下情形，导致电子交易平台无法正常运行，或者无法保证电子交易的公平、公正和安全时，采购机构可中止电子交易活动：</w:t>
      </w:r>
    </w:p>
    <w:p w14:paraId="30FA11F5">
      <w:pPr>
        <w:spacing w:before="120" w:line="276" w:lineRule="auto"/>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1</w:t>
      </w:r>
      <w:r>
        <w:rPr>
          <w:rFonts w:hint="eastAsia" w:cs="宋体"/>
          <w:color w:val="auto"/>
          <w:szCs w:val="21"/>
          <w:highlight w:val="none"/>
          <w:lang w:bidi="ar"/>
        </w:rPr>
        <w:t>）电子交易平台发生故障而无法登录访问的；</w:t>
      </w:r>
      <w:r>
        <w:rPr>
          <w:color w:val="auto"/>
          <w:szCs w:val="21"/>
          <w:highlight w:val="none"/>
          <w:lang w:bidi="ar"/>
        </w:rPr>
        <w:t xml:space="preserve"> </w:t>
      </w:r>
    </w:p>
    <w:p w14:paraId="1BF40DD5">
      <w:pPr>
        <w:spacing w:before="120" w:line="276" w:lineRule="auto"/>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2</w:t>
      </w:r>
      <w:r>
        <w:rPr>
          <w:rFonts w:hint="eastAsia" w:cs="宋体"/>
          <w:color w:val="auto"/>
          <w:szCs w:val="21"/>
          <w:highlight w:val="none"/>
          <w:lang w:bidi="ar"/>
        </w:rPr>
        <w:t>）电子交易平台应用或数据库出现错误，不能进行正常操作的；</w:t>
      </w:r>
    </w:p>
    <w:p w14:paraId="53D922DD">
      <w:pPr>
        <w:spacing w:before="120" w:line="276" w:lineRule="auto"/>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3</w:t>
      </w:r>
      <w:r>
        <w:rPr>
          <w:rFonts w:hint="eastAsia" w:cs="宋体"/>
          <w:color w:val="auto"/>
          <w:szCs w:val="21"/>
          <w:highlight w:val="none"/>
          <w:lang w:bidi="ar"/>
        </w:rPr>
        <w:t>）电子交易平台发现严重安全漏洞，有潜在泄密危险的；</w:t>
      </w:r>
    </w:p>
    <w:p w14:paraId="0D5AF135">
      <w:pPr>
        <w:spacing w:before="120" w:line="276" w:lineRule="auto"/>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4</w:t>
      </w:r>
      <w:r>
        <w:rPr>
          <w:rFonts w:hint="eastAsia" w:cs="宋体"/>
          <w:color w:val="auto"/>
          <w:szCs w:val="21"/>
          <w:highlight w:val="none"/>
          <w:lang w:bidi="ar"/>
        </w:rPr>
        <w:t>）病毒发作导致不能进行正常操作的；</w:t>
      </w:r>
      <w:r>
        <w:rPr>
          <w:color w:val="auto"/>
          <w:szCs w:val="21"/>
          <w:highlight w:val="none"/>
          <w:lang w:bidi="ar"/>
        </w:rPr>
        <w:t xml:space="preserve"> </w:t>
      </w:r>
    </w:p>
    <w:p w14:paraId="5841E9F1">
      <w:pPr>
        <w:spacing w:before="120" w:line="276" w:lineRule="auto"/>
        <w:ind w:firstLine="420" w:firstLineChars="200"/>
        <w:rPr>
          <w:color w:val="auto"/>
          <w:szCs w:val="21"/>
          <w:highlight w:val="none"/>
        </w:rPr>
      </w:pPr>
      <w:r>
        <w:rPr>
          <w:rFonts w:hint="eastAsia" w:cs="宋体"/>
          <w:color w:val="auto"/>
          <w:szCs w:val="21"/>
          <w:highlight w:val="none"/>
          <w:lang w:bidi="ar"/>
        </w:rPr>
        <w:t>（</w:t>
      </w:r>
      <w:r>
        <w:rPr>
          <w:color w:val="auto"/>
          <w:szCs w:val="21"/>
          <w:highlight w:val="none"/>
          <w:lang w:bidi="ar"/>
        </w:rPr>
        <w:t>5</w:t>
      </w:r>
      <w:r>
        <w:rPr>
          <w:rFonts w:hint="eastAsia" w:cs="宋体"/>
          <w:color w:val="auto"/>
          <w:szCs w:val="21"/>
          <w:highlight w:val="none"/>
          <w:lang w:bidi="ar"/>
        </w:rPr>
        <w:t>）其他无法保证电子交易的公平、公正和安全的情况。</w:t>
      </w:r>
    </w:p>
    <w:p w14:paraId="6014FE83">
      <w:pPr>
        <w:tabs>
          <w:tab w:val="left" w:pos="4820"/>
        </w:tabs>
        <w:spacing w:before="120" w:line="360" w:lineRule="auto"/>
        <w:ind w:firstLine="420" w:firstLineChars="200"/>
        <w:rPr>
          <w:color w:val="auto"/>
          <w:szCs w:val="21"/>
          <w:highlight w:val="none"/>
        </w:rPr>
      </w:pPr>
      <w:r>
        <w:rPr>
          <w:rFonts w:hint="eastAsia" w:cs="宋体"/>
          <w:color w:val="auto"/>
          <w:szCs w:val="21"/>
          <w:highlight w:val="none"/>
          <w:lang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lang w:bidi="ar"/>
        </w:rPr>
        <w:t xml:space="preserve"> </w:t>
      </w:r>
    </w:p>
    <w:p w14:paraId="10A7F7A2">
      <w:pPr>
        <w:spacing w:before="120" w:line="320" w:lineRule="atLeast"/>
        <w:ind w:left="2" w:leftChars="1" w:firstLine="420" w:firstLineChars="200"/>
        <w:rPr>
          <w:color w:val="auto"/>
          <w:szCs w:val="21"/>
          <w:highlight w:val="none"/>
        </w:rPr>
      </w:pPr>
      <w:r>
        <w:rPr>
          <w:color w:val="auto"/>
          <w:szCs w:val="21"/>
          <w:highlight w:val="none"/>
          <w:lang w:bidi="ar"/>
        </w:rPr>
        <w:t>9.3</w:t>
      </w:r>
      <w:r>
        <w:rPr>
          <w:rFonts w:hint="eastAsia" w:cs="宋体"/>
          <w:color w:val="auto"/>
          <w:szCs w:val="21"/>
          <w:highlight w:val="none"/>
          <w:lang w:bidi="ar"/>
        </w:rPr>
        <w:t>本项目的附件及图纸详见供应商须知前附表。</w:t>
      </w:r>
    </w:p>
    <w:p w14:paraId="317710BF">
      <w:pPr>
        <w:spacing w:before="120" w:line="320" w:lineRule="atLeast"/>
        <w:ind w:left="2" w:leftChars="1" w:firstLine="420" w:firstLineChars="200"/>
        <w:rPr>
          <w:color w:val="auto"/>
          <w:szCs w:val="21"/>
          <w:highlight w:val="none"/>
        </w:rPr>
      </w:pPr>
      <w:r>
        <w:rPr>
          <w:color w:val="auto"/>
          <w:szCs w:val="21"/>
          <w:highlight w:val="none"/>
          <w:lang w:bidi="ar"/>
        </w:rPr>
        <w:t>9.4</w:t>
      </w:r>
      <w:r>
        <w:rPr>
          <w:rFonts w:hint="eastAsia" w:cs="宋体"/>
          <w:color w:val="auto"/>
          <w:szCs w:val="21"/>
          <w:highlight w:val="none"/>
          <w:lang w:bidi="ar"/>
        </w:rPr>
        <w:t>本项目的其他事项详见供应商须知前附表。</w:t>
      </w:r>
    </w:p>
    <w:p w14:paraId="46949F9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lang w:bidi="ar"/>
        </w:rPr>
        <w:t>10</w:t>
      </w:r>
      <w:r>
        <w:rPr>
          <w:rFonts w:hint="eastAsia" w:cs="宋体"/>
          <w:b/>
          <w:bCs/>
          <w:color w:val="auto"/>
          <w:kern w:val="0"/>
          <w:szCs w:val="21"/>
          <w:highlight w:val="none"/>
          <w:lang w:bidi="ar"/>
        </w:rPr>
        <w:t>．其他说明</w:t>
      </w:r>
    </w:p>
    <w:p w14:paraId="6A113BC3">
      <w:pPr>
        <w:spacing w:before="120" w:line="320" w:lineRule="atLeast"/>
        <w:ind w:left="2" w:leftChars="1" w:firstLine="422" w:firstLineChars="200"/>
        <w:outlineLvl w:val="1"/>
        <w:rPr>
          <w:color w:val="auto"/>
          <w:kern w:val="0"/>
          <w:szCs w:val="21"/>
          <w:highlight w:val="none"/>
        </w:rPr>
      </w:pPr>
      <w:r>
        <w:rPr>
          <w:b/>
          <w:bCs/>
          <w:color w:val="auto"/>
          <w:kern w:val="0"/>
          <w:szCs w:val="21"/>
          <w:highlight w:val="none"/>
          <w:lang w:bidi="ar"/>
        </w:rPr>
        <w:t>10.1</w:t>
      </w:r>
      <w:r>
        <w:rPr>
          <w:rFonts w:hint="eastAsia" w:cs="宋体"/>
          <w:color w:val="auto"/>
          <w:kern w:val="0"/>
          <w:szCs w:val="21"/>
          <w:highlight w:val="none"/>
          <w:lang w:bidi="ar"/>
        </w:rPr>
        <w:t>其余未尽事宜按《中华人民共和国政府采购法</w:t>
      </w:r>
      <w:r>
        <w:rPr>
          <w:rFonts w:hint="eastAsia" w:cs="宋体"/>
          <w:color w:val="auto"/>
          <w:kern w:val="0"/>
          <w:szCs w:val="21"/>
          <w:highlight w:val="none"/>
          <w:lang w:eastAsia="zh-CN" w:bidi="ar"/>
        </w:rPr>
        <w:t>》《</w:t>
      </w:r>
      <w:r>
        <w:rPr>
          <w:rFonts w:hint="eastAsia" w:cs="宋体"/>
          <w:color w:val="auto"/>
          <w:kern w:val="0"/>
          <w:szCs w:val="21"/>
          <w:highlight w:val="none"/>
          <w:lang w:bidi="ar"/>
        </w:rPr>
        <w:t>中华人民共和国政府采购法实施条例》的相关规定执行。</w:t>
      </w:r>
    </w:p>
    <w:p w14:paraId="2BD1A6F6">
      <w:pPr>
        <w:widowControl/>
        <w:jc w:val="left"/>
        <w:rPr>
          <w:color w:val="auto"/>
          <w:sz w:val="32"/>
          <w:szCs w:val="32"/>
          <w:highlight w:val="none"/>
          <w:lang w:bidi="ar"/>
        </w:rPr>
        <w:sectPr>
          <w:headerReference r:id="rId11" w:type="default"/>
          <w:pgSz w:w="11906" w:h="16838"/>
          <w:pgMar w:top="993" w:right="1133" w:bottom="1246" w:left="1418" w:header="851" w:footer="992" w:gutter="0"/>
          <w:cols w:space="720" w:num="1"/>
          <w:docGrid w:linePitch="312" w:charSpace="0"/>
        </w:sectPr>
      </w:pPr>
      <w:r>
        <w:rPr>
          <w:b/>
          <w:bCs/>
          <w:color w:val="auto"/>
          <w:szCs w:val="21"/>
          <w:highlight w:val="none"/>
          <w:lang w:bidi="ar"/>
        </w:rPr>
        <w:t>10.2</w:t>
      </w:r>
      <w:r>
        <w:rPr>
          <w:rFonts w:hint="eastAsia"/>
          <w:color w:val="auto"/>
          <w:highlight w:val="none"/>
          <w:lang w:bidi="ar"/>
        </w:rPr>
        <w:t>本招标文件是根据国家有关法律及有关政策、法规和参照国际惯例编制，解释权属采购代理机构</w:t>
      </w:r>
      <w:r>
        <w:rPr>
          <w:color w:val="auto"/>
          <w:highlight w:val="none"/>
        </w:rPr>
        <w:t>。</w:t>
      </w:r>
    </w:p>
    <w:bookmarkEnd w:id="45"/>
    <w:p w14:paraId="659BF096">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98" w:name="_Toc168670059"/>
      <w:r>
        <w:rPr>
          <w:rFonts w:ascii="Times New Roman" w:hAnsi="Times New Roman" w:cs="Times New Roman"/>
          <w:color w:val="auto"/>
          <w:sz w:val="32"/>
          <w:szCs w:val="32"/>
          <w:highlight w:val="none"/>
        </w:rPr>
        <w:t>第四章  评审方法及标准</w:t>
      </w:r>
      <w:bookmarkEnd w:id="98"/>
    </w:p>
    <w:p w14:paraId="09F78A27">
      <w:pPr>
        <w:spacing w:before="120" w:line="320" w:lineRule="atLeast"/>
        <w:ind w:firstLine="413" w:firstLineChars="196"/>
        <w:outlineLvl w:val="1"/>
        <w:rPr>
          <w:b/>
          <w:bCs/>
          <w:color w:val="auto"/>
          <w:kern w:val="0"/>
          <w:szCs w:val="21"/>
          <w:highlight w:val="none"/>
        </w:rPr>
      </w:pPr>
      <w:bookmarkStart w:id="99" w:name="_Hlk93421148"/>
      <w:r>
        <w:rPr>
          <w:rFonts w:hint="eastAsia"/>
          <w:b/>
          <w:bCs/>
          <w:color w:val="auto"/>
          <w:kern w:val="0"/>
          <w:szCs w:val="21"/>
          <w:highlight w:val="none"/>
        </w:rPr>
        <w:t>1.</w:t>
      </w:r>
      <w:r>
        <w:rPr>
          <w:b/>
          <w:bCs/>
          <w:color w:val="auto"/>
          <w:kern w:val="0"/>
          <w:szCs w:val="21"/>
          <w:highlight w:val="none"/>
        </w:rPr>
        <w:t>评审方法</w:t>
      </w:r>
    </w:p>
    <w:p w14:paraId="3942204F">
      <w:pPr>
        <w:suppressAutoHyphens/>
        <w:spacing w:before="120" w:line="320" w:lineRule="atLeast"/>
        <w:ind w:firstLine="420" w:firstLineChars="200"/>
        <w:rPr>
          <w:color w:val="auto"/>
          <w:highlight w:val="none"/>
        </w:rPr>
      </w:pPr>
      <w:r>
        <w:rPr>
          <w:color w:val="auto"/>
          <w:szCs w:val="21"/>
          <w:highlight w:val="none"/>
        </w:rPr>
        <w:sym w:font="Wingdings 2" w:char="F052"/>
      </w:r>
      <w:r>
        <w:rPr>
          <w:color w:val="auto"/>
          <w:highlight w:val="none"/>
        </w:rPr>
        <w:t>本项目采用综合评分法进行评审。</w:t>
      </w:r>
    </w:p>
    <w:p w14:paraId="09A45D15">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464CC80B">
      <w:pPr>
        <w:suppressAutoHyphens/>
        <w:spacing w:before="120" w:line="320" w:lineRule="atLeast"/>
        <w:ind w:firstLine="420" w:firstLineChars="200"/>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45905AFD">
      <w:pPr>
        <w:suppressAutoHyphens/>
        <w:spacing w:before="120" w:line="320" w:lineRule="atLeast"/>
        <w:ind w:firstLine="420" w:firstLineChars="200"/>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51D87DBF">
      <w:pPr>
        <w:suppressAutoHyphens/>
        <w:spacing w:before="120" w:line="320" w:lineRule="atLeast"/>
        <w:ind w:firstLine="420" w:firstLineChars="200"/>
        <w:rPr>
          <w:color w:val="auto"/>
          <w:highlight w:val="none"/>
        </w:rPr>
      </w:pPr>
      <w:bookmarkStart w:id="100" w:name="_Hlk92206009"/>
      <w:r>
        <w:rPr>
          <w:rFonts w:hint="eastAsia"/>
          <w:color w:val="auto"/>
          <w:highlight w:val="none"/>
        </w:rPr>
        <w:t>本项目评审的其他详细规定在第三章投标人须知中规定。</w:t>
      </w:r>
      <w:bookmarkEnd w:id="100"/>
    </w:p>
    <w:bookmarkEnd w:id="99"/>
    <w:p w14:paraId="7B0EBD41">
      <w:pPr>
        <w:spacing w:before="120" w:line="320" w:lineRule="atLeast"/>
        <w:ind w:firstLine="413" w:firstLineChars="196"/>
        <w:outlineLvl w:val="1"/>
        <w:rPr>
          <w:b/>
          <w:color w:val="auto"/>
          <w:kern w:val="0"/>
          <w:szCs w:val="21"/>
          <w:highlight w:val="none"/>
        </w:rPr>
      </w:pPr>
      <w:bookmarkStart w:id="101" w:name="_Hlk93421162"/>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102" w:name="_Hlk160525103"/>
      <w:r>
        <w:rPr>
          <w:rFonts w:hint="eastAsia"/>
          <w:b/>
          <w:bCs/>
          <w:color w:val="auto"/>
          <w:kern w:val="0"/>
          <w:szCs w:val="21"/>
          <w:highlight w:val="none"/>
        </w:rPr>
        <w:t>联合体投标的，联合体各方均应按照资格审查标准的规定提交资格证明文件）</w:t>
      </w:r>
    </w:p>
    <w:bookmarkEnd w:id="101"/>
    <w:bookmarkEnd w:id="102"/>
    <w:p w14:paraId="77A4FE85">
      <w:pPr>
        <w:spacing w:line="240" w:lineRule="exact"/>
        <w:jc w:val="left"/>
        <w:rPr>
          <w:color w:val="auto"/>
          <w:szCs w:val="21"/>
          <w:highlight w:val="none"/>
        </w:rPr>
      </w:pPr>
      <w:bookmarkStart w:id="103" w:name="_Hlk19052412"/>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975"/>
        <w:gridCol w:w="6689"/>
      </w:tblGrid>
      <w:tr w14:paraId="3279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4" w:type="pct"/>
            <w:vAlign w:val="center"/>
          </w:tcPr>
          <w:p w14:paraId="18E23263">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bookmarkStart w:id="104" w:name="_Hlk93421270"/>
            <w:r>
              <w:rPr>
                <w:rFonts w:hint="eastAsia"/>
                <w:b/>
                <w:color w:val="auto"/>
                <w:kern w:val="0"/>
                <w:szCs w:val="21"/>
                <w:highlight w:val="none"/>
              </w:rPr>
              <w:t>审查</w:t>
            </w:r>
            <w:r>
              <w:rPr>
                <w:rFonts w:hint="default"/>
                <w:b/>
                <w:color w:val="auto"/>
                <w:kern w:val="0"/>
                <w:szCs w:val="21"/>
                <w:highlight w:val="none"/>
              </w:rPr>
              <w:t>因素</w:t>
            </w:r>
          </w:p>
        </w:tc>
        <w:tc>
          <w:tcPr>
            <w:tcW w:w="1032" w:type="pct"/>
            <w:vAlign w:val="center"/>
          </w:tcPr>
          <w:p w14:paraId="30F3AA9C">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r>
              <w:rPr>
                <w:rFonts w:hint="eastAsia"/>
                <w:b/>
                <w:color w:val="auto"/>
                <w:kern w:val="0"/>
                <w:szCs w:val="21"/>
                <w:highlight w:val="none"/>
              </w:rPr>
              <w:t>审查</w:t>
            </w:r>
            <w:r>
              <w:rPr>
                <w:rFonts w:hint="default"/>
                <w:b/>
                <w:color w:val="auto"/>
                <w:kern w:val="0"/>
                <w:szCs w:val="21"/>
                <w:highlight w:val="none"/>
              </w:rPr>
              <w:t>内容</w:t>
            </w:r>
          </w:p>
        </w:tc>
        <w:tc>
          <w:tcPr>
            <w:tcW w:w="3495" w:type="pct"/>
            <w:vAlign w:val="center"/>
          </w:tcPr>
          <w:p w14:paraId="7FB2C476">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r>
              <w:rPr>
                <w:rFonts w:hint="eastAsia"/>
                <w:b/>
                <w:color w:val="auto"/>
                <w:kern w:val="0"/>
                <w:szCs w:val="21"/>
                <w:highlight w:val="none"/>
              </w:rPr>
              <w:t>说明</w:t>
            </w:r>
          </w:p>
        </w:tc>
      </w:tr>
      <w:tr w14:paraId="6EF6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74" w:type="pct"/>
            <w:vMerge w:val="restart"/>
            <w:vAlign w:val="center"/>
          </w:tcPr>
          <w:p w14:paraId="457E8395">
            <w:pPr>
              <w:keepNext w:val="0"/>
              <w:keepLines w:val="0"/>
              <w:suppressLineNumbers w:val="0"/>
              <w:spacing w:before="0" w:beforeAutospacing="0" w:after="0" w:afterAutospacing="0" w:line="240" w:lineRule="exact"/>
              <w:ind w:left="0" w:right="0"/>
              <w:rPr>
                <w:rFonts w:hint="default"/>
                <w:color w:val="auto"/>
                <w:szCs w:val="21"/>
                <w:highlight w:val="none"/>
                <w:lang w:val="zh-CN"/>
              </w:rPr>
            </w:pPr>
            <w:r>
              <w:rPr>
                <w:rFonts w:hint="default"/>
                <w:color w:val="auto"/>
                <w:szCs w:val="21"/>
                <w:highlight w:val="none"/>
                <w:lang w:val="zh-CN"/>
              </w:rPr>
              <w:t>供应商应符合的</w:t>
            </w:r>
            <w:r>
              <w:rPr>
                <w:rFonts w:hint="eastAsia"/>
                <w:color w:val="auto"/>
                <w:szCs w:val="21"/>
                <w:highlight w:val="none"/>
                <w:lang w:val="zh-CN"/>
              </w:rPr>
              <w:t>基本</w:t>
            </w:r>
            <w:r>
              <w:rPr>
                <w:rFonts w:hint="default"/>
                <w:color w:val="auto"/>
                <w:szCs w:val="21"/>
                <w:highlight w:val="none"/>
              </w:rPr>
              <w:t>资格</w:t>
            </w:r>
            <w:r>
              <w:rPr>
                <w:rFonts w:hint="eastAsia"/>
                <w:color w:val="auto"/>
                <w:szCs w:val="21"/>
                <w:highlight w:val="none"/>
              </w:rPr>
              <w:t>要求</w:t>
            </w:r>
          </w:p>
        </w:tc>
        <w:tc>
          <w:tcPr>
            <w:tcW w:w="1032" w:type="pct"/>
            <w:vAlign w:val="center"/>
          </w:tcPr>
          <w:p w14:paraId="04BD7BEE">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（1）具有独立承担民事责任的能力</w:t>
            </w:r>
          </w:p>
        </w:tc>
        <w:tc>
          <w:tcPr>
            <w:tcW w:w="3495" w:type="pct"/>
          </w:tcPr>
          <w:p w14:paraId="22115238">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1A4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0CB68BCA">
            <w:pPr>
              <w:keepNext w:val="0"/>
              <w:keepLines w:val="0"/>
              <w:suppressLineNumbers w:val="0"/>
              <w:spacing w:before="0" w:beforeAutospacing="0" w:after="0" w:afterAutospacing="0" w:line="240" w:lineRule="exact"/>
              <w:ind w:left="0" w:right="0"/>
              <w:rPr>
                <w:rFonts w:hint="default"/>
                <w:color w:val="auto"/>
                <w:szCs w:val="21"/>
                <w:highlight w:val="none"/>
                <w:lang w:val="zh-CN"/>
              </w:rPr>
            </w:pPr>
          </w:p>
        </w:tc>
        <w:tc>
          <w:tcPr>
            <w:tcW w:w="1032" w:type="pct"/>
            <w:vAlign w:val="center"/>
          </w:tcPr>
          <w:p w14:paraId="6E684601">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lang w:val="zh-CN"/>
              </w:rPr>
              <w:t>（2）</w:t>
            </w:r>
            <w:r>
              <w:rPr>
                <w:rFonts w:hint="default"/>
                <w:color w:val="auto"/>
                <w:szCs w:val="21"/>
                <w:highlight w:val="none"/>
              </w:rPr>
              <w:t>具有良好的商业信誉和健全的财务会计制度</w:t>
            </w:r>
          </w:p>
        </w:tc>
        <w:tc>
          <w:tcPr>
            <w:tcW w:w="3495" w:type="pct"/>
          </w:tcPr>
          <w:p w14:paraId="05C033B9">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①</w:t>
            </w:r>
            <w:r>
              <w:rPr>
                <w:rFonts w:hint="default"/>
                <w:color w:val="auto"/>
                <w:szCs w:val="21"/>
                <w:highlight w:val="none"/>
              </w:rPr>
              <w:t>审查商业信誉声明。须提供，格式见第六章投标文件格式“投标声明书”。</w:t>
            </w:r>
          </w:p>
          <w:p w14:paraId="016E3579">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②</w:t>
            </w:r>
            <w:r>
              <w:rPr>
                <w:rFonts w:hint="default"/>
                <w:color w:val="auto"/>
                <w:szCs w:val="21"/>
                <w:highlight w:val="none"/>
              </w:rPr>
              <w:t>审查</w:t>
            </w:r>
            <w:r>
              <w:rPr>
                <w:rFonts w:hint="eastAsia"/>
                <w:color w:val="auto"/>
                <w:szCs w:val="21"/>
                <w:highlight w:val="none"/>
              </w:rPr>
              <w:t>2022年</w:t>
            </w:r>
            <w:r>
              <w:rPr>
                <w:rFonts w:hint="default"/>
                <w:color w:val="auto"/>
                <w:szCs w:val="21"/>
                <w:highlight w:val="none"/>
              </w:rPr>
              <w:t>度</w:t>
            </w:r>
            <w:r>
              <w:rPr>
                <w:rFonts w:hint="eastAsia"/>
                <w:color w:val="auto"/>
                <w:szCs w:val="21"/>
                <w:highlight w:val="none"/>
              </w:rPr>
              <w:t>和2023年度两年</w:t>
            </w:r>
            <w:r>
              <w:rPr>
                <w:rFonts w:hint="default"/>
                <w:color w:val="auto"/>
                <w:szCs w:val="21"/>
                <w:highlight w:val="none"/>
              </w:rPr>
              <w:t>财务状况报告（表）复印件或银行出具的资信证明复印件，</w:t>
            </w:r>
            <w:r>
              <w:rPr>
                <w:rFonts w:hint="default"/>
                <w:color w:val="auto"/>
                <w:highlight w:val="none"/>
              </w:rPr>
              <w:t>对于从取得营业执照时间起到投标文件递交截止时间为止不足1年的供应商，只需提交</w:t>
            </w:r>
            <w:r>
              <w:rPr>
                <w:rFonts w:hint="default"/>
                <w:color w:val="auto"/>
                <w:szCs w:val="21"/>
                <w:highlight w:val="none"/>
              </w:rPr>
              <w:t>投标文件递交截止时间前一个月的财务状况报告（表）复印件。</w:t>
            </w:r>
          </w:p>
        </w:tc>
      </w:tr>
      <w:tr w14:paraId="1C16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48840F4A">
            <w:pPr>
              <w:keepNext w:val="0"/>
              <w:keepLines w:val="0"/>
              <w:suppressLineNumbers w:val="0"/>
              <w:spacing w:before="0" w:beforeAutospacing="0" w:after="0" w:afterAutospacing="0" w:line="240" w:lineRule="exact"/>
              <w:ind w:left="0" w:right="0"/>
              <w:rPr>
                <w:rFonts w:hint="default"/>
                <w:color w:val="auto"/>
                <w:szCs w:val="21"/>
                <w:highlight w:val="none"/>
                <w:lang w:val="zh-CN"/>
              </w:rPr>
            </w:pPr>
          </w:p>
        </w:tc>
        <w:tc>
          <w:tcPr>
            <w:tcW w:w="1032" w:type="pct"/>
            <w:vAlign w:val="center"/>
          </w:tcPr>
          <w:p w14:paraId="604C5F55">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lang w:val="zh-CN"/>
              </w:rPr>
              <w:t>（3）具有履行合同所必需的设备和专业技术能力</w:t>
            </w:r>
          </w:p>
        </w:tc>
        <w:tc>
          <w:tcPr>
            <w:tcW w:w="3495" w:type="pct"/>
          </w:tcPr>
          <w:p w14:paraId="79CCB63C">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①</w:t>
            </w:r>
            <w:r>
              <w:rPr>
                <w:rFonts w:hint="default"/>
                <w:color w:val="auto"/>
                <w:szCs w:val="21"/>
                <w:highlight w:val="none"/>
              </w:rPr>
              <w:t xml:space="preserve">审查供应商营业执照，须有效； </w:t>
            </w:r>
          </w:p>
          <w:p w14:paraId="6D8EE1AA">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②</w:t>
            </w:r>
            <w:r>
              <w:rPr>
                <w:rFonts w:hint="default"/>
                <w:color w:val="auto"/>
                <w:szCs w:val="21"/>
                <w:highlight w:val="none"/>
              </w:rPr>
              <w:t>审查书面声明。须提供，格式见第六章投标文件格式“</w:t>
            </w:r>
            <w:r>
              <w:rPr>
                <w:rFonts w:hint="default"/>
                <w:color w:val="auto"/>
                <w:highlight w:val="none"/>
              </w:rPr>
              <w:t>投标声明书</w:t>
            </w:r>
            <w:r>
              <w:rPr>
                <w:rFonts w:hint="default"/>
                <w:color w:val="auto"/>
                <w:szCs w:val="21"/>
                <w:highlight w:val="none"/>
              </w:rPr>
              <w:t>”。</w:t>
            </w:r>
          </w:p>
          <w:p w14:paraId="09644F2C">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审查</w:t>
            </w:r>
            <w:r>
              <w:rPr>
                <w:rFonts w:hint="eastAsia" w:ascii="宋体" w:hAnsi="宋体" w:cs="宋体"/>
                <w:color w:val="auto"/>
                <w:szCs w:val="21"/>
                <w:highlight w:val="none"/>
              </w:rPr>
              <w:t>①</w:t>
            </w:r>
            <w:r>
              <w:rPr>
                <w:rFonts w:hint="default"/>
                <w:color w:val="auto"/>
                <w:szCs w:val="21"/>
                <w:highlight w:val="none"/>
              </w:rPr>
              <w:t>或</w:t>
            </w:r>
            <w:r>
              <w:rPr>
                <w:rFonts w:hint="eastAsia" w:ascii="宋体" w:hAnsi="宋体" w:cs="宋体"/>
                <w:color w:val="auto"/>
                <w:szCs w:val="21"/>
                <w:highlight w:val="none"/>
              </w:rPr>
              <w:t>②</w:t>
            </w:r>
            <w:r>
              <w:rPr>
                <w:rFonts w:hint="default"/>
                <w:color w:val="auto"/>
                <w:szCs w:val="21"/>
                <w:highlight w:val="none"/>
              </w:rPr>
              <w:t>，满足其一，即为符合要求。</w:t>
            </w:r>
          </w:p>
        </w:tc>
      </w:tr>
      <w:tr w14:paraId="31DD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50A970F1">
            <w:pPr>
              <w:keepNext w:val="0"/>
              <w:keepLines w:val="0"/>
              <w:suppressLineNumbers w:val="0"/>
              <w:spacing w:before="0" w:beforeAutospacing="0" w:after="0" w:afterAutospacing="0" w:line="240" w:lineRule="exact"/>
              <w:ind w:left="0" w:right="0"/>
              <w:rPr>
                <w:rFonts w:hint="default"/>
                <w:color w:val="auto"/>
                <w:szCs w:val="21"/>
                <w:highlight w:val="none"/>
                <w:lang w:val="zh-CN"/>
              </w:rPr>
            </w:pPr>
          </w:p>
        </w:tc>
        <w:tc>
          <w:tcPr>
            <w:tcW w:w="1032" w:type="pct"/>
            <w:vAlign w:val="center"/>
          </w:tcPr>
          <w:p w14:paraId="559FB54D">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lang w:val="zh-CN"/>
              </w:rPr>
              <w:t>（4）有依法缴纳税收和社会保障金的良好记录</w:t>
            </w:r>
          </w:p>
        </w:tc>
        <w:tc>
          <w:tcPr>
            <w:tcW w:w="3495" w:type="pct"/>
          </w:tcPr>
          <w:p w14:paraId="379240D7">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①</w:t>
            </w:r>
            <w:r>
              <w:rPr>
                <w:rFonts w:hint="default"/>
                <w:color w:val="auto"/>
                <w:szCs w:val="21"/>
                <w:highlight w:val="none"/>
              </w:rPr>
              <w:t>审查投标截止时间前6个月内，</w:t>
            </w:r>
            <w:r>
              <w:rPr>
                <w:rFonts w:hint="eastAsia"/>
                <w:color w:val="auto"/>
                <w:highlight w:val="none"/>
              </w:rPr>
              <w:t>供应商</w:t>
            </w:r>
            <w:r>
              <w:rPr>
                <w:rFonts w:hint="default"/>
                <w:color w:val="auto"/>
                <w:highlight w:val="none"/>
              </w:rPr>
              <w:t>任意</w:t>
            </w:r>
            <w:r>
              <w:rPr>
                <w:rFonts w:hint="eastAsia"/>
                <w:color w:val="auto"/>
                <w:highlight w:val="none"/>
              </w:rPr>
              <w:t>1个月</w:t>
            </w:r>
            <w:r>
              <w:rPr>
                <w:rFonts w:hint="default"/>
                <w:color w:val="auto"/>
                <w:szCs w:val="21"/>
                <w:highlight w:val="none"/>
              </w:rPr>
              <w:t>依法缴纳税费证明复印件加盖供应商</w:t>
            </w:r>
            <w:r>
              <w:rPr>
                <w:rFonts w:hint="eastAsia"/>
                <w:color w:val="auto"/>
                <w:szCs w:val="21"/>
                <w:highlight w:val="none"/>
              </w:rPr>
              <w:t>电子签章</w:t>
            </w:r>
            <w:r>
              <w:rPr>
                <w:rFonts w:hint="default"/>
                <w:color w:val="auto"/>
                <w:szCs w:val="21"/>
                <w:highlight w:val="none"/>
              </w:rPr>
              <w:t>。</w:t>
            </w:r>
          </w:p>
          <w:p w14:paraId="4E9C2CE6">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ascii="宋体" w:hAnsi="宋体" w:cs="宋体"/>
                <w:color w:val="auto"/>
                <w:szCs w:val="21"/>
                <w:highlight w:val="none"/>
              </w:rPr>
              <w:t>②</w:t>
            </w:r>
            <w:r>
              <w:rPr>
                <w:rFonts w:hint="default"/>
                <w:color w:val="auto"/>
                <w:szCs w:val="21"/>
                <w:highlight w:val="none"/>
              </w:rPr>
              <w:t>审查投标截止时间前6个月内，</w:t>
            </w:r>
            <w:r>
              <w:rPr>
                <w:rFonts w:hint="eastAsia"/>
                <w:color w:val="auto"/>
                <w:highlight w:val="none"/>
              </w:rPr>
              <w:t>供应商</w:t>
            </w:r>
            <w:r>
              <w:rPr>
                <w:rFonts w:hint="default"/>
                <w:color w:val="auto"/>
                <w:highlight w:val="none"/>
              </w:rPr>
              <w:t>任意</w:t>
            </w:r>
            <w:r>
              <w:rPr>
                <w:rFonts w:hint="eastAsia"/>
                <w:color w:val="auto"/>
                <w:highlight w:val="none"/>
              </w:rPr>
              <w:t>1个月</w:t>
            </w:r>
            <w:r>
              <w:rPr>
                <w:rFonts w:hint="default"/>
                <w:color w:val="auto"/>
                <w:szCs w:val="21"/>
                <w:highlight w:val="none"/>
              </w:rPr>
              <w:t>的社保缴费证明记录复印件加盖供应商</w:t>
            </w:r>
            <w:r>
              <w:rPr>
                <w:rFonts w:hint="eastAsia"/>
                <w:color w:val="auto"/>
                <w:szCs w:val="21"/>
                <w:highlight w:val="none"/>
              </w:rPr>
              <w:t>电子签章</w:t>
            </w:r>
            <w:r>
              <w:rPr>
                <w:rFonts w:hint="default"/>
                <w:color w:val="auto"/>
                <w:szCs w:val="21"/>
                <w:highlight w:val="none"/>
              </w:rPr>
              <w:t>。</w:t>
            </w:r>
          </w:p>
          <w:p w14:paraId="2B7B4166">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供应商成立不足</w:t>
            </w:r>
            <w:r>
              <w:rPr>
                <w:rFonts w:hint="eastAsia"/>
                <w:color w:val="auto"/>
                <w:szCs w:val="21"/>
                <w:highlight w:val="none"/>
              </w:rPr>
              <w:t>1个月的，无须提供</w:t>
            </w:r>
            <w:r>
              <w:rPr>
                <w:rFonts w:hint="default"/>
                <w:color w:val="auto"/>
                <w:szCs w:val="21"/>
                <w:highlight w:val="none"/>
              </w:rPr>
              <w:t>缴纳税费证明及社保缴费证明加盖供应商电子签章</w:t>
            </w:r>
            <w:r>
              <w:rPr>
                <w:rFonts w:hint="eastAsia"/>
                <w:color w:val="auto"/>
                <w:szCs w:val="21"/>
                <w:highlight w:val="none"/>
              </w:rPr>
              <w:t>。</w:t>
            </w:r>
          </w:p>
          <w:p w14:paraId="1324211B">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依法免税或不需要缴纳社会保障资金的供应商，须提供相应文件证明其依法免税或不需要缴纳社会保障资金。</w:t>
            </w:r>
          </w:p>
        </w:tc>
      </w:tr>
      <w:tr w14:paraId="4B07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029993F4">
            <w:pPr>
              <w:keepNext w:val="0"/>
              <w:keepLines w:val="0"/>
              <w:suppressLineNumbers w:val="0"/>
              <w:spacing w:before="0" w:beforeAutospacing="0" w:after="0" w:afterAutospacing="0" w:line="240" w:lineRule="exact"/>
              <w:ind w:left="0" w:right="0"/>
              <w:rPr>
                <w:rFonts w:hint="default"/>
                <w:color w:val="auto"/>
                <w:szCs w:val="21"/>
                <w:highlight w:val="none"/>
                <w:lang w:val="zh-CN"/>
              </w:rPr>
            </w:pPr>
          </w:p>
        </w:tc>
        <w:tc>
          <w:tcPr>
            <w:tcW w:w="1032" w:type="pct"/>
            <w:vAlign w:val="center"/>
          </w:tcPr>
          <w:p w14:paraId="60E42751">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（5）参加政府采购活动前三年内，在经营活动中没有重大违法记录</w:t>
            </w:r>
          </w:p>
        </w:tc>
        <w:tc>
          <w:tcPr>
            <w:tcW w:w="3495" w:type="pct"/>
            <w:vAlign w:val="center"/>
          </w:tcPr>
          <w:p w14:paraId="67F027C6">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 xml:space="preserve">审查无重大违法记录声明。须提供，格式见第六章投标文件格式“投标声明书”。 </w:t>
            </w:r>
          </w:p>
        </w:tc>
      </w:tr>
      <w:tr w14:paraId="5F86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012D3DD1">
            <w:pPr>
              <w:keepNext w:val="0"/>
              <w:keepLines w:val="0"/>
              <w:suppressLineNumbers w:val="0"/>
              <w:spacing w:before="0" w:beforeAutospacing="0" w:after="0" w:afterAutospacing="0" w:line="240" w:lineRule="exact"/>
              <w:ind w:left="0" w:right="0"/>
              <w:rPr>
                <w:rFonts w:hint="default"/>
                <w:color w:val="auto"/>
                <w:szCs w:val="21"/>
                <w:highlight w:val="none"/>
                <w:lang w:val="zh-CN"/>
              </w:rPr>
            </w:pPr>
          </w:p>
        </w:tc>
        <w:tc>
          <w:tcPr>
            <w:tcW w:w="1032" w:type="pct"/>
            <w:vAlign w:val="center"/>
          </w:tcPr>
          <w:p w14:paraId="6BAC4771">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（6）具备法律、行政法规规定的其他要求</w:t>
            </w:r>
          </w:p>
        </w:tc>
        <w:tc>
          <w:tcPr>
            <w:tcW w:w="3495" w:type="pct"/>
            <w:vAlign w:val="center"/>
          </w:tcPr>
          <w:p w14:paraId="73134792">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无。</w:t>
            </w:r>
          </w:p>
        </w:tc>
      </w:tr>
      <w:tr w14:paraId="13E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74" w:type="pct"/>
            <w:vAlign w:val="center"/>
          </w:tcPr>
          <w:p w14:paraId="10088FAA">
            <w:pPr>
              <w:keepNext w:val="0"/>
              <w:keepLines w:val="0"/>
              <w:suppressLineNumbers w:val="0"/>
              <w:spacing w:before="0" w:beforeAutospacing="0" w:after="0" w:afterAutospacing="0" w:line="240" w:lineRule="exact"/>
              <w:ind w:left="0" w:right="0"/>
              <w:rPr>
                <w:rFonts w:hint="default"/>
                <w:color w:val="auto"/>
                <w:szCs w:val="21"/>
                <w:highlight w:val="none"/>
                <w:lang w:val="zh-CN"/>
              </w:rPr>
            </w:pPr>
            <w:r>
              <w:rPr>
                <w:rFonts w:hint="eastAsia"/>
                <w:color w:val="auto"/>
                <w:kern w:val="0"/>
                <w:szCs w:val="21"/>
                <w:highlight w:val="none"/>
              </w:rPr>
              <w:t>采购政策</w:t>
            </w:r>
          </w:p>
        </w:tc>
        <w:tc>
          <w:tcPr>
            <w:tcW w:w="1032" w:type="pct"/>
            <w:vAlign w:val="center"/>
          </w:tcPr>
          <w:p w14:paraId="23D2F798">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落实政府采购政策需满足的资格要求</w:t>
            </w:r>
          </w:p>
        </w:tc>
        <w:tc>
          <w:tcPr>
            <w:tcW w:w="3495" w:type="pct"/>
            <w:vAlign w:val="center"/>
          </w:tcPr>
          <w:p w14:paraId="7D9C7DDF">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olor w:val="auto"/>
                <w:szCs w:val="21"/>
                <w:highlight w:val="none"/>
              </w:rPr>
              <w:t>无</w:t>
            </w:r>
          </w:p>
        </w:tc>
      </w:tr>
      <w:tr w14:paraId="334D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74" w:type="pct"/>
            <w:vMerge w:val="restart"/>
            <w:vAlign w:val="center"/>
          </w:tcPr>
          <w:p w14:paraId="7E5A3C1A">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default"/>
                <w:color w:val="auto"/>
                <w:szCs w:val="21"/>
                <w:highlight w:val="none"/>
                <w:lang w:val="zh-CN"/>
              </w:rPr>
              <w:t>供应商应符合的</w:t>
            </w:r>
            <w:r>
              <w:rPr>
                <w:rFonts w:hint="default"/>
                <w:color w:val="auto"/>
                <w:szCs w:val="21"/>
                <w:highlight w:val="none"/>
              </w:rPr>
              <w:t>特定资格</w:t>
            </w:r>
            <w:r>
              <w:rPr>
                <w:rFonts w:hint="eastAsia"/>
                <w:color w:val="auto"/>
                <w:szCs w:val="21"/>
                <w:highlight w:val="none"/>
              </w:rPr>
              <w:t>要求</w:t>
            </w:r>
          </w:p>
        </w:tc>
        <w:tc>
          <w:tcPr>
            <w:tcW w:w="1032" w:type="pct"/>
            <w:vAlign w:val="center"/>
          </w:tcPr>
          <w:p w14:paraId="722D5826">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（1）资质</w:t>
            </w:r>
            <w:r>
              <w:rPr>
                <w:rFonts w:hint="eastAsia"/>
                <w:color w:val="auto"/>
                <w:szCs w:val="21"/>
                <w:highlight w:val="none"/>
              </w:rPr>
              <w:t>要求</w:t>
            </w:r>
          </w:p>
        </w:tc>
        <w:tc>
          <w:tcPr>
            <w:tcW w:w="3495" w:type="pct"/>
            <w:vAlign w:val="center"/>
          </w:tcPr>
          <w:p w14:paraId="78AF2342">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须符合</w:t>
            </w:r>
            <w:r>
              <w:rPr>
                <w:rFonts w:hint="eastAsia"/>
                <w:color w:val="auto"/>
                <w:szCs w:val="21"/>
                <w:highlight w:val="none"/>
              </w:rPr>
              <w:t>“招标公告”</w:t>
            </w:r>
            <w:r>
              <w:rPr>
                <w:rFonts w:hint="default"/>
                <w:color w:val="auto"/>
                <w:szCs w:val="21"/>
                <w:highlight w:val="none"/>
              </w:rPr>
              <w:t>的要求</w:t>
            </w:r>
          </w:p>
        </w:tc>
      </w:tr>
      <w:tr w14:paraId="46D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4" w:type="pct"/>
            <w:vMerge w:val="continue"/>
            <w:vAlign w:val="center"/>
          </w:tcPr>
          <w:p w14:paraId="34EC773F">
            <w:pPr>
              <w:keepNext w:val="0"/>
              <w:keepLines w:val="0"/>
              <w:suppressLineNumbers w:val="0"/>
              <w:spacing w:before="0" w:beforeAutospacing="0" w:after="0" w:afterAutospacing="0" w:line="240" w:lineRule="exact"/>
              <w:ind w:left="0" w:right="0"/>
              <w:rPr>
                <w:rFonts w:hint="default"/>
                <w:color w:val="auto"/>
                <w:szCs w:val="21"/>
                <w:highlight w:val="none"/>
              </w:rPr>
            </w:pPr>
          </w:p>
        </w:tc>
        <w:tc>
          <w:tcPr>
            <w:tcW w:w="1032" w:type="pct"/>
            <w:vAlign w:val="center"/>
          </w:tcPr>
          <w:p w14:paraId="674CA2D0">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（2）业绩要求</w:t>
            </w:r>
          </w:p>
        </w:tc>
        <w:tc>
          <w:tcPr>
            <w:tcW w:w="3495" w:type="pct"/>
            <w:vAlign w:val="center"/>
          </w:tcPr>
          <w:p w14:paraId="4CF97CBF">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须符合</w:t>
            </w:r>
            <w:r>
              <w:rPr>
                <w:rFonts w:hint="eastAsia"/>
                <w:color w:val="auto"/>
                <w:szCs w:val="21"/>
                <w:highlight w:val="none"/>
              </w:rPr>
              <w:t>“招标公告”</w:t>
            </w:r>
            <w:r>
              <w:rPr>
                <w:rFonts w:hint="default"/>
                <w:color w:val="auto"/>
                <w:szCs w:val="21"/>
                <w:highlight w:val="none"/>
              </w:rPr>
              <w:t>的要求</w:t>
            </w:r>
          </w:p>
        </w:tc>
      </w:tr>
      <w:tr w14:paraId="2470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474" w:type="pct"/>
            <w:vMerge w:val="continue"/>
            <w:vAlign w:val="center"/>
          </w:tcPr>
          <w:p w14:paraId="001EAB0E">
            <w:pPr>
              <w:keepNext w:val="0"/>
              <w:keepLines w:val="0"/>
              <w:suppressLineNumbers w:val="0"/>
              <w:spacing w:before="0" w:beforeAutospacing="0" w:after="0" w:afterAutospacing="0" w:line="240" w:lineRule="exact"/>
              <w:ind w:left="0" w:right="0"/>
              <w:jc w:val="left"/>
              <w:rPr>
                <w:rFonts w:hint="default"/>
                <w:color w:val="auto"/>
                <w:szCs w:val="21"/>
                <w:highlight w:val="none"/>
              </w:rPr>
            </w:pPr>
          </w:p>
        </w:tc>
        <w:tc>
          <w:tcPr>
            <w:tcW w:w="1032" w:type="pct"/>
            <w:vAlign w:val="center"/>
          </w:tcPr>
          <w:p w14:paraId="24A50AD2">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w:t>
            </w:r>
            <w:r>
              <w:rPr>
                <w:rFonts w:hint="default"/>
                <w:color w:val="auto"/>
                <w:szCs w:val="21"/>
                <w:highlight w:val="none"/>
              </w:rPr>
              <w:t>3</w:t>
            </w:r>
            <w:r>
              <w:rPr>
                <w:rFonts w:hint="eastAsia"/>
                <w:color w:val="auto"/>
                <w:szCs w:val="21"/>
                <w:highlight w:val="none"/>
              </w:rPr>
              <w:t>）供应商不得参加投标的情形</w:t>
            </w:r>
          </w:p>
        </w:tc>
        <w:tc>
          <w:tcPr>
            <w:tcW w:w="3495" w:type="pct"/>
            <w:vAlign w:val="center"/>
          </w:tcPr>
          <w:p w14:paraId="592D0EA3">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r>
              <w:rPr>
                <w:rFonts w:hint="default"/>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rFonts w:hint="default"/>
                <w:color w:val="auto"/>
                <w:kern w:val="0"/>
                <w:szCs w:val="21"/>
                <w:highlight w:val="none"/>
              </w:rPr>
              <w:t>项目的采购活动。</w:t>
            </w:r>
          </w:p>
          <w:p w14:paraId="2CE5B1DF">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default"/>
                <w:color w:val="auto"/>
                <w:szCs w:val="21"/>
                <w:highlight w:val="none"/>
              </w:rPr>
              <w:t>须提供，格式见第六章投标文件格式“</w:t>
            </w:r>
            <w:r>
              <w:rPr>
                <w:rFonts w:hint="eastAsia"/>
                <w:color w:val="auto"/>
                <w:szCs w:val="21"/>
                <w:highlight w:val="none"/>
              </w:rPr>
              <w:t>投标人直接控股股东、管理关系信息表</w:t>
            </w:r>
            <w:r>
              <w:rPr>
                <w:rFonts w:hint="default"/>
                <w:color w:val="auto"/>
                <w:szCs w:val="21"/>
                <w:highlight w:val="none"/>
              </w:rPr>
              <w:t>”。</w:t>
            </w:r>
          </w:p>
        </w:tc>
      </w:tr>
      <w:tr w14:paraId="0613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74" w:type="pct"/>
            <w:vMerge w:val="continue"/>
            <w:vAlign w:val="center"/>
          </w:tcPr>
          <w:p w14:paraId="44094166">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p>
        </w:tc>
        <w:tc>
          <w:tcPr>
            <w:tcW w:w="1032" w:type="pct"/>
            <w:vAlign w:val="center"/>
          </w:tcPr>
          <w:p w14:paraId="3B9FD66F">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r>
              <w:rPr>
                <w:rFonts w:hint="eastAsia"/>
                <w:color w:val="auto"/>
                <w:szCs w:val="21"/>
                <w:highlight w:val="none"/>
              </w:rPr>
              <w:t>（</w:t>
            </w:r>
            <w:r>
              <w:rPr>
                <w:rFonts w:hint="default"/>
                <w:color w:val="auto"/>
                <w:szCs w:val="21"/>
                <w:highlight w:val="none"/>
              </w:rPr>
              <w:t>4</w:t>
            </w:r>
            <w:r>
              <w:rPr>
                <w:rFonts w:hint="eastAsia"/>
                <w:color w:val="auto"/>
                <w:szCs w:val="21"/>
                <w:highlight w:val="none"/>
              </w:rPr>
              <w:t>）诚信要求</w:t>
            </w:r>
          </w:p>
        </w:tc>
        <w:tc>
          <w:tcPr>
            <w:tcW w:w="3495" w:type="pct"/>
          </w:tcPr>
          <w:p w14:paraId="6ECDEA9B">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r>
              <w:rPr>
                <w:rFonts w:hint="eastAsia"/>
                <w:color w:val="auto"/>
                <w:szCs w:val="21"/>
                <w:highlight w:val="none"/>
              </w:rPr>
              <w:t>未被列入失信被执行人、</w:t>
            </w:r>
            <w:r>
              <w:rPr>
                <w:rFonts w:hint="default"/>
                <w:color w:val="auto"/>
                <w:szCs w:val="21"/>
                <w:highlight w:val="none"/>
              </w:rPr>
              <w:t>重大税收违法失信主体、政府采购严重违法失信行为记录名单</w:t>
            </w:r>
            <w:r>
              <w:rPr>
                <w:rFonts w:hint="eastAsia"/>
                <w:color w:val="auto"/>
                <w:szCs w:val="21"/>
                <w:highlight w:val="none"/>
              </w:rPr>
              <w:t>。</w:t>
            </w:r>
          </w:p>
        </w:tc>
      </w:tr>
      <w:tr w14:paraId="25CB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74" w:type="pct"/>
            <w:vMerge w:val="continue"/>
            <w:vAlign w:val="center"/>
          </w:tcPr>
          <w:p w14:paraId="0F1DD79E">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p>
        </w:tc>
        <w:tc>
          <w:tcPr>
            <w:tcW w:w="1032" w:type="pct"/>
            <w:vAlign w:val="center"/>
          </w:tcPr>
          <w:p w14:paraId="580AE942">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（5）分公司</w:t>
            </w:r>
          </w:p>
        </w:tc>
        <w:tc>
          <w:tcPr>
            <w:tcW w:w="3495" w:type="pct"/>
            <w:vAlign w:val="center"/>
          </w:tcPr>
          <w:p w14:paraId="0B04FFFB">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olor w:val="auto"/>
                <w:szCs w:val="21"/>
                <w:highlight w:val="none"/>
              </w:rPr>
              <w:t>允许分公司参与投标的，供应商须提供总公司出具的授权其参与本项目的授权文件。</w:t>
            </w:r>
          </w:p>
        </w:tc>
      </w:tr>
      <w:tr w14:paraId="71F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74" w:type="pct"/>
            <w:vMerge w:val="continue"/>
            <w:vAlign w:val="center"/>
          </w:tcPr>
          <w:p w14:paraId="07109B51">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p>
        </w:tc>
        <w:tc>
          <w:tcPr>
            <w:tcW w:w="1032" w:type="pct"/>
            <w:vAlign w:val="center"/>
          </w:tcPr>
          <w:p w14:paraId="76AD0A87">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w:t>
            </w:r>
            <w:r>
              <w:rPr>
                <w:rFonts w:hint="default"/>
                <w:color w:val="auto"/>
                <w:szCs w:val="21"/>
                <w:highlight w:val="none"/>
              </w:rPr>
              <w:t>6</w:t>
            </w:r>
            <w:r>
              <w:rPr>
                <w:rFonts w:hint="eastAsia"/>
                <w:color w:val="auto"/>
                <w:szCs w:val="21"/>
                <w:highlight w:val="none"/>
              </w:rPr>
              <w:t>）分包</w:t>
            </w:r>
          </w:p>
        </w:tc>
        <w:tc>
          <w:tcPr>
            <w:tcW w:w="3495" w:type="pct"/>
            <w:vAlign w:val="center"/>
          </w:tcPr>
          <w:p w14:paraId="17C93520">
            <w:pPr>
              <w:keepNext w:val="0"/>
              <w:keepLines w:val="0"/>
              <w:suppressLineNumbers w:val="0"/>
              <w:spacing w:before="0" w:beforeAutospacing="0" w:after="0" w:afterAutospacing="0" w:line="240" w:lineRule="exact"/>
              <w:ind w:left="0" w:right="0"/>
              <w:rPr>
                <w:rFonts w:hint="default"/>
                <w:color w:val="auto"/>
                <w:szCs w:val="21"/>
                <w:highlight w:val="none"/>
                <w:lang w:val="zh-CN"/>
              </w:rPr>
            </w:pPr>
            <w:r>
              <w:rPr>
                <w:rFonts w:hint="default"/>
                <w:color w:val="auto"/>
                <w:szCs w:val="21"/>
                <w:highlight w:val="none"/>
              </w:rPr>
              <w:t>须符合</w:t>
            </w:r>
            <w:r>
              <w:rPr>
                <w:rFonts w:hint="eastAsia"/>
                <w:color w:val="auto"/>
                <w:szCs w:val="21"/>
                <w:highlight w:val="none"/>
              </w:rPr>
              <w:t>“招标公告”</w:t>
            </w:r>
            <w:r>
              <w:rPr>
                <w:rFonts w:hint="default"/>
                <w:color w:val="auto"/>
                <w:szCs w:val="21"/>
                <w:highlight w:val="none"/>
              </w:rPr>
              <w:t>的要求</w:t>
            </w:r>
          </w:p>
        </w:tc>
      </w:tr>
      <w:tr w14:paraId="4AD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74" w:type="pct"/>
            <w:vMerge w:val="continue"/>
            <w:vAlign w:val="center"/>
          </w:tcPr>
          <w:p w14:paraId="1A8FCDA4">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p>
        </w:tc>
        <w:tc>
          <w:tcPr>
            <w:tcW w:w="1032" w:type="pct"/>
            <w:vAlign w:val="center"/>
          </w:tcPr>
          <w:p w14:paraId="43CCAEA1">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w:t>
            </w:r>
            <w:r>
              <w:rPr>
                <w:rFonts w:hint="default"/>
                <w:color w:val="auto"/>
                <w:szCs w:val="21"/>
                <w:highlight w:val="none"/>
              </w:rPr>
              <w:t>7</w:t>
            </w:r>
            <w:r>
              <w:rPr>
                <w:rFonts w:hint="eastAsia"/>
                <w:color w:val="auto"/>
                <w:szCs w:val="21"/>
                <w:highlight w:val="none"/>
              </w:rPr>
              <w:t>）联合体</w:t>
            </w:r>
          </w:p>
        </w:tc>
        <w:tc>
          <w:tcPr>
            <w:tcW w:w="3495" w:type="pct"/>
            <w:vAlign w:val="center"/>
          </w:tcPr>
          <w:p w14:paraId="7FE9BD41">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olor w:val="auto"/>
                <w:szCs w:val="21"/>
                <w:highlight w:val="none"/>
                <w:lang w:val="zh-CN"/>
              </w:rPr>
              <w:t>须符合“招标公告”的要求</w:t>
            </w:r>
          </w:p>
        </w:tc>
      </w:tr>
      <w:tr w14:paraId="7849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74" w:type="pct"/>
            <w:vMerge w:val="continue"/>
            <w:vAlign w:val="center"/>
          </w:tcPr>
          <w:p w14:paraId="67211762">
            <w:pPr>
              <w:keepNext w:val="0"/>
              <w:keepLines w:val="0"/>
              <w:suppressLineNumbers w:val="0"/>
              <w:spacing w:before="0" w:beforeAutospacing="0" w:after="0" w:afterAutospacing="0" w:line="240" w:lineRule="exact"/>
              <w:ind w:left="0" w:right="0"/>
              <w:jc w:val="left"/>
              <w:rPr>
                <w:rFonts w:hint="default"/>
                <w:color w:val="auto"/>
                <w:kern w:val="0"/>
                <w:szCs w:val="21"/>
                <w:highlight w:val="none"/>
              </w:rPr>
            </w:pPr>
          </w:p>
        </w:tc>
        <w:tc>
          <w:tcPr>
            <w:tcW w:w="1032" w:type="pct"/>
            <w:vAlign w:val="center"/>
          </w:tcPr>
          <w:p w14:paraId="613B2DC0">
            <w:pPr>
              <w:keepNext w:val="0"/>
              <w:keepLines w:val="0"/>
              <w:suppressLineNumbers w:val="0"/>
              <w:spacing w:before="0" w:beforeAutospacing="0" w:after="0" w:afterAutospacing="0" w:line="240" w:lineRule="exact"/>
              <w:ind w:left="0" w:right="0"/>
              <w:jc w:val="left"/>
              <w:rPr>
                <w:rFonts w:hint="default"/>
                <w:color w:val="auto"/>
                <w:szCs w:val="21"/>
                <w:highlight w:val="none"/>
              </w:rPr>
            </w:pPr>
            <w:r>
              <w:rPr>
                <w:rFonts w:hint="eastAsia"/>
                <w:color w:val="auto"/>
                <w:szCs w:val="21"/>
                <w:highlight w:val="none"/>
              </w:rPr>
              <w:t>（</w:t>
            </w:r>
            <w:r>
              <w:rPr>
                <w:rFonts w:hint="default"/>
                <w:color w:val="auto"/>
                <w:szCs w:val="21"/>
                <w:highlight w:val="none"/>
              </w:rPr>
              <w:t>8</w:t>
            </w:r>
            <w:r>
              <w:rPr>
                <w:rFonts w:hint="eastAsia"/>
                <w:color w:val="auto"/>
                <w:szCs w:val="21"/>
                <w:highlight w:val="none"/>
              </w:rPr>
              <w:t>）其他要求</w:t>
            </w:r>
          </w:p>
        </w:tc>
        <w:tc>
          <w:tcPr>
            <w:tcW w:w="3495" w:type="pct"/>
          </w:tcPr>
          <w:p w14:paraId="65DD80A1">
            <w:pPr>
              <w:keepNext w:val="0"/>
              <w:keepLines w:val="0"/>
              <w:suppressLineNumbers w:val="0"/>
              <w:spacing w:before="0" w:beforeAutospacing="0" w:after="0" w:afterAutospacing="0" w:line="312" w:lineRule="auto"/>
              <w:ind w:left="0" w:right="0"/>
              <w:jc w:val="left"/>
              <w:rPr>
                <w:rFonts w:hint="default"/>
                <w:color w:val="auto"/>
                <w:kern w:val="0"/>
                <w:szCs w:val="21"/>
                <w:highlight w:val="none"/>
              </w:rPr>
            </w:pPr>
            <w:r>
              <w:rPr>
                <w:rFonts w:hint="eastAsia"/>
                <w:color w:val="auto"/>
                <w:kern w:val="0"/>
                <w:szCs w:val="21"/>
                <w:highlight w:val="none"/>
              </w:rPr>
              <w:t>按</w:t>
            </w:r>
            <w:r>
              <w:rPr>
                <w:rFonts w:hint="default"/>
                <w:color w:val="auto"/>
                <w:kern w:val="0"/>
                <w:szCs w:val="21"/>
                <w:highlight w:val="none"/>
              </w:rPr>
              <w:t>照招标公告规定获得招标文件。</w:t>
            </w:r>
            <w:r>
              <w:rPr>
                <w:rFonts w:hint="eastAsia"/>
                <w:color w:val="auto"/>
                <w:kern w:val="0"/>
                <w:szCs w:val="21"/>
                <w:highlight w:val="none"/>
              </w:rPr>
              <w:t>足额、及时缴纳投标保证金。</w:t>
            </w:r>
          </w:p>
        </w:tc>
      </w:tr>
      <w:bookmarkEnd w:id="104"/>
    </w:tbl>
    <w:p w14:paraId="35226DC6">
      <w:pPr>
        <w:suppressAutoHyphens/>
        <w:spacing w:before="120" w:line="320" w:lineRule="atLeast"/>
        <w:ind w:firstLine="422" w:firstLineChars="200"/>
        <w:rPr>
          <w:b/>
          <w:bCs/>
          <w:color w:val="auto"/>
          <w:kern w:val="0"/>
          <w:szCs w:val="21"/>
          <w:highlight w:val="none"/>
        </w:rPr>
      </w:pPr>
    </w:p>
    <w:p w14:paraId="257BBAF6">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499"/>
        <w:gridCol w:w="5449"/>
      </w:tblGrid>
      <w:tr w14:paraId="255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63CBCDE7">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bookmarkStart w:id="105" w:name="_Hlk92966680"/>
            <w:bookmarkStart w:id="106" w:name="_Hlk19113393"/>
            <w:r>
              <w:rPr>
                <w:rFonts w:hint="eastAsia" w:cs="宋体"/>
                <w:b/>
                <w:color w:val="auto"/>
                <w:kern w:val="0"/>
                <w:szCs w:val="21"/>
                <w:highlight w:val="none"/>
                <w:lang w:bidi="ar"/>
              </w:rPr>
              <w:t>审查因素</w:t>
            </w: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7F53DC6C">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r>
              <w:rPr>
                <w:rFonts w:hint="eastAsia" w:cs="宋体"/>
                <w:b/>
                <w:color w:val="auto"/>
                <w:kern w:val="0"/>
                <w:szCs w:val="21"/>
                <w:highlight w:val="none"/>
                <w:lang w:bidi="ar"/>
              </w:rPr>
              <w:t>审查内容</w:t>
            </w:r>
          </w:p>
        </w:tc>
        <w:tc>
          <w:tcPr>
            <w:tcW w:w="2847" w:type="pct"/>
            <w:tcBorders>
              <w:top w:val="single" w:color="auto" w:sz="4" w:space="0"/>
              <w:left w:val="single" w:color="auto" w:sz="4" w:space="0"/>
              <w:bottom w:val="single" w:color="auto" w:sz="4" w:space="0"/>
              <w:right w:val="single" w:color="auto" w:sz="4" w:space="0"/>
            </w:tcBorders>
            <w:shd w:val="clear" w:color="auto" w:fill="auto"/>
          </w:tcPr>
          <w:p w14:paraId="6F9BC82A">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p>
          <w:p w14:paraId="17F9A13B">
            <w:pPr>
              <w:keepNext w:val="0"/>
              <w:keepLines w:val="0"/>
              <w:suppressLineNumbers w:val="0"/>
              <w:spacing w:before="0" w:beforeAutospacing="0" w:after="0" w:afterAutospacing="0" w:line="240" w:lineRule="exact"/>
              <w:ind w:left="0" w:right="0"/>
              <w:jc w:val="center"/>
              <w:rPr>
                <w:rFonts w:hint="default"/>
                <w:b/>
                <w:color w:val="auto"/>
                <w:kern w:val="0"/>
                <w:szCs w:val="21"/>
                <w:highlight w:val="none"/>
              </w:rPr>
            </w:pPr>
            <w:r>
              <w:rPr>
                <w:rFonts w:hint="eastAsia" w:cs="宋体"/>
                <w:b/>
                <w:color w:val="auto"/>
                <w:kern w:val="0"/>
                <w:szCs w:val="21"/>
                <w:highlight w:val="none"/>
                <w:lang w:bidi="ar"/>
              </w:rPr>
              <w:t>说明</w:t>
            </w:r>
          </w:p>
        </w:tc>
      </w:tr>
      <w:tr w14:paraId="2744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81195C">
            <w:pPr>
              <w:keepNext w:val="0"/>
              <w:keepLines w:val="0"/>
              <w:suppressLineNumbers w:val="0"/>
              <w:spacing w:before="0" w:beforeAutospacing="0" w:after="0" w:afterAutospacing="0" w:line="240" w:lineRule="exact"/>
              <w:ind w:left="0" w:right="0"/>
              <w:jc w:val="center"/>
              <w:rPr>
                <w:rFonts w:hint="default"/>
                <w:color w:val="auto"/>
                <w:kern w:val="0"/>
                <w:szCs w:val="21"/>
                <w:highlight w:val="none"/>
              </w:rPr>
            </w:pPr>
            <w:r>
              <w:rPr>
                <w:rFonts w:hint="eastAsia" w:cs="宋体"/>
                <w:color w:val="auto"/>
                <w:kern w:val="0"/>
                <w:szCs w:val="21"/>
                <w:highlight w:val="none"/>
                <w:lang w:bidi="ar"/>
              </w:rPr>
              <w:t>商务资信</w:t>
            </w: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7DEA8A9B">
            <w:pPr>
              <w:keepNext w:val="0"/>
              <w:keepLines w:val="0"/>
              <w:suppressLineNumbers w:val="0"/>
              <w:spacing w:before="0" w:beforeAutospacing="0" w:after="0" w:afterAutospacing="0" w:line="240" w:lineRule="exact"/>
              <w:ind w:left="0" w:right="0"/>
              <w:rPr>
                <w:rFonts w:hint="default"/>
                <w:color w:val="auto"/>
                <w:highlight w:val="none"/>
              </w:rPr>
            </w:pPr>
            <w:r>
              <w:rPr>
                <w:rFonts w:hint="eastAsia" w:cs="宋体"/>
                <w:color w:val="auto"/>
                <w:highlight w:val="none"/>
                <w:lang w:bidi="ar"/>
              </w:rPr>
              <w:t>法定代表人身份证明及授权委托书</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3603BC90">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s="宋体"/>
                <w:color w:val="auto"/>
                <w:szCs w:val="21"/>
                <w:highlight w:val="none"/>
                <w:lang w:bidi="ar"/>
              </w:rPr>
              <w:t>授权代表参加投标时审查</w:t>
            </w:r>
            <w:r>
              <w:rPr>
                <w:rFonts w:hint="eastAsia" w:cs="宋体"/>
                <w:color w:val="auto"/>
                <w:highlight w:val="none"/>
                <w:lang w:bidi="ar"/>
              </w:rPr>
              <w:t>：</w:t>
            </w:r>
            <w:r>
              <w:rPr>
                <w:rFonts w:hint="eastAsia" w:ascii="宋体" w:hAnsi="宋体" w:cs="宋体"/>
                <w:color w:val="auto"/>
                <w:szCs w:val="21"/>
                <w:highlight w:val="none"/>
                <w:lang w:bidi="ar"/>
              </w:rPr>
              <w:t>法定代表人授权委托书及附件</w:t>
            </w:r>
            <w:r>
              <w:rPr>
                <w:rFonts w:hint="default"/>
                <w:color w:val="auto"/>
                <w:szCs w:val="21"/>
                <w:highlight w:val="none"/>
                <w:lang w:bidi="ar"/>
              </w:rPr>
              <w:t xml:space="preserve"> </w:t>
            </w:r>
          </w:p>
          <w:p w14:paraId="09DA529F">
            <w:pPr>
              <w:keepNext w:val="0"/>
              <w:keepLines w:val="0"/>
              <w:suppressLineNumbers w:val="0"/>
              <w:spacing w:before="0" w:beforeAutospacing="0" w:after="0" w:afterAutospacing="0" w:line="240" w:lineRule="exact"/>
              <w:ind w:left="0" w:right="0"/>
              <w:rPr>
                <w:rFonts w:hint="default" w:ascii="宋体" w:hAnsi="宋体" w:cs="宋体"/>
                <w:color w:val="auto"/>
                <w:szCs w:val="21"/>
                <w:highlight w:val="none"/>
              </w:rPr>
            </w:pPr>
            <w:r>
              <w:rPr>
                <w:rFonts w:hint="eastAsia" w:cs="宋体"/>
                <w:color w:val="auto"/>
                <w:szCs w:val="21"/>
                <w:highlight w:val="none"/>
                <w:lang w:bidi="ar"/>
              </w:rPr>
              <w:t>法定代表人直接参加投标时审查</w:t>
            </w:r>
            <w:r>
              <w:rPr>
                <w:rFonts w:hint="eastAsia" w:cs="宋体"/>
                <w:color w:val="auto"/>
                <w:highlight w:val="none"/>
                <w:lang w:bidi="ar"/>
              </w:rPr>
              <w:t>：</w:t>
            </w:r>
            <w:r>
              <w:rPr>
                <w:rFonts w:hint="eastAsia" w:ascii="宋体" w:hAnsi="宋体" w:cs="宋体"/>
                <w:color w:val="auto"/>
                <w:szCs w:val="21"/>
                <w:highlight w:val="none"/>
                <w:lang w:bidi="ar"/>
              </w:rPr>
              <w:t>法定代表人身份证明及附件</w:t>
            </w:r>
          </w:p>
          <w:p w14:paraId="2CD2DF10">
            <w:pPr>
              <w:keepNext w:val="0"/>
              <w:keepLines w:val="0"/>
              <w:suppressLineNumbers w:val="0"/>
              <w:spacing w:before="0" w:beforeAutospacing="0" w:after="0" w:afterAutospacing="0" w:line="240" w:lineRule="exact"/>
              <w:ind w:left="0" w:right="0"/>
              <w:rPr>
                <w:rFonts w:hint="default"/>
                <w:color w:val="auto"/>
                <w:highlight w:val="none"/>
              </w:rPr>
            </w:pPr>
            <w:r>
              <w:rPr>
                <w:rFonts w:hint="eastAsia" w:ascii="宋体" w:hAnsi="宋体" w:cs="宋体"/>
                <w:color w:val="auto"/>
                <w:szCs w:val="21"/>
                <w:highlight w:val="none"/>
                <w:lang w:bidi="ar"/>
              </w:rPr>
              <w:t>格式及附件见第六章投标文件格式要求</w:t>
            </w:r>
          </w:p>
        </w:tc>
      </w:tr>
      <w:tr w14:paraId="203A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9671E">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3C7ACBA6">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s="宋体"/>
                <w:color w:val="auto"/>
                <w:szCs w:val="21"/>
                <w:highlight w:val="none"/>
                <w:lang w:bidi="ar"/>
              </w:rPr>
              <w:t>实质性条款响应</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43C79524">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ascii="宋体" w:hAnsi="宋体" w:cs="宋体"/>
                <w:color w:val="auto"/>
                <w:szCs w:val="21"/>
                <w:highlight w:val="none"/>
                <w:lang w:bidi="ar"/>
              </w:rPr>
              <w:t>招标文件实质性要求响应均无负偏离</w:t>
            </w:r>
          </w:p>
        </w:tc>
      </w:tr>
      <w:tr w14:paraId="73FD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5AFD6">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6B4654A6">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s="宋体"/>
                <w:color w:val="auto"/>
                <w:szCs w:val="21"/>
                <w:highlight w:val="none"/>
                <w:lang w:bidi="ar"/>
              </w:rPr>
              <w:t>串通投标</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29D4304F">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ascii="宋体" w:hAnsi="宋体" w:cs="宋体"/>
                <w:color w:val="auto"/>
                <w:szCs w:val="21"/>
                <w:highlight w:val="none"/>
                <w:lang w:bidi="ar"/>
              </w:rPr>
              <w:t>不属于供应商须知正文第6.3.6规定的串通投标情形，见第六章投标文件格式要求</w:t>
            </w:r>
          </w:p>
        </w:tc>
      </w:tr>
      <w:tr w14:paraId="0825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1A6EF">
            <w:pPr>
              <w:keepNext w:val="0"/>
              <w:keepLines w:val="0"/>
              <w:suppressLineNumbers w:val="0"/>
              <w:spacing w:before="0" w:beforeAutospacing="0" w:after="0" w:afterAutospacing="0" w:line="240" w:lineRule="exact"/>
              <w:ind w:left="0" w:right="0"/>
              <w:jc w:val="center"/>
              <w:rPr>
                <w:rFonts w:hint="default"/>
                <w:color w:val="auto"/>
                <w:kern w:val="0"/>
                <w:szCs w:val="21"/>
                <w:highlight w:val="none"/>
              </w:rPr>
            </w:pPr>
            <w:r>
              <w:rPr>
                <w:rFonts w:hint="eastAsia" w:cs="宋体"/>
                <w:color w:val="auto"/>
                <w:kern w:val="0"/>
                <w:szCs w:val="21"/>
                <w:highlight w:val="none"/>
                <w:lang w:bidi="ar"/>
              </w:rPr>
              <w:t>报价</w:t>
            </w: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770D0CB3">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cs="宋体"/>
                <w:color w:val="auto"/>
                <w:szCs w:val="21"/>
                <w:highlight w:val="none"/>
                <w:lang w:bidi="ar"/>
              </w:rPr>
              <w:t>有效报价</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1FFE0AA8">
            <w:pPr>
              <w:keepNext w:val="0"/>
              <w:keepLines w:val="0"/>
              <w:suppressLineNumbers w:val="0"/>
              <w:spacing w:before="0" w:beforeAutospacing="0" w:after="0" w:afterAutospacing="0" w:line="240" w:lineRule="exact"/>
              <w:ind w:left="0" w:right="0"/>
              <w:rPr>
                <w:rFonts w:hint="default"/>
                <w:bCs/>
                <w:color w:val="auto"/>
                <w:kern w:val="0"/>
                <w:szCs w:val="21"/>
                <w:highlight w:val="none"/>
              </w:rPr>
            </w:pPr>
            <w:r>
              <w:rPr>
                <w:rFonts w:hint="eastAsia" w:cs="宋体"/>
                <w:color w:val="auto"/>
                <w:highlight w:val="none"/>
                <w:lang w:bidi="ar"/>
              </w:rPr>
              <w:t>报价未超出采购预算金额（包括分项预算），也未超出最高限价（如有）</w:t>
            </w:r>
          </w:p>
        </w:tc>
      </w:tr>
      <w:tr w14:paraId="2BD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D8062">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630199D1">
            <w:pPr>
              <w:keepNext w:val="0"/>
              <w:keepLines w:val="0"/>
              <w:suppressLineNumbers w:val="0"/>
              <w:spacing w:before="0" w:beforeAutospacing="0" w:after="0" w:afterAutospacing="0" w:line="240" w:lineRule="exact"/>
              <w:ind w:left="0" w:right="0"/>
              <w:rPr>
                <w:rFonts w:hint="default"/>
                <w:bCs/>
                <w:color w:val="auto"/>
                <w:kern w:val="0"/>
                <w:szCs w:val="21"/>
                <w:highlight w:val="none"/>
              </w:rPr>
            </w:pPr>
            <w:r>
              <w:rPr>
                <w:rFonts w:hint="eastAsia" w:cs="宋体"/>
                <w:bCs/>
                <w:color w:val="auto"/>
                <w:kern w:val="0"/>
                <w:szCs w:val="21"/>
                <w:highlight w:val="none"/>
                <w:lang w:bidi="ar"/>
              </w:rPr>
              <w:t>漏项报价</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265BB483">
            <w:pPr>
              <w:keepNext w:val="0"/>
              <w:keepLines w:val="0"/>
              <w:suppressLineNumbers w:val="0"/>
              <w:spacing w:before="0" w:beforeAutospacing="0" w:after="0" w:afterAutospacing="0" w:line="240" w:lineRule="exact"/>
              <w:ind w:left="0" w:right="0"/>
              <w:rPr>
                <w:rFonts w:hint="default" w:hAnsi="宋体"/>
                <w:color w:val="auto"/>
                <w:szCs w:val="21"/>
                <w:highlight w:val="none"/>
              </w:rPr>
            </w:pPr>
            <w:r>
              <w:rPr>
                <w:rFonts w:hint="eastAsia" w:ascii="宋体" w:hAnsi="宋体" w:cs="宋体"/>
                <w:color w:val="auto"/>
                <w:szCs w:val="21"/>
                <w:highlight w:val="none"/>
                <w:lang w:bidi="ar"/>
              </w:rPr>
              <w:t>未就所投分标进行报价或者存在漏项报价；</w:t>
            </w:r>
          </w:p>
        </w:tc>
      </w:tr>
      <w:tr w14:paraId="782E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741C9">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3FE021C9">
            <w:pPr>
              <w:keepNext w:val="0"/>
              <w:keepLines w:val="0"/>
              <w:suppressLineNumbers w:val="0"/>
              <w:spacing w:before="0" w:beforeAutospacing="0" w:after="0" w:afterAutospacing="0" w:line="240" w:lineRule="exact"/>
              <w:ind w:left="0" w:right="0"/>
              <w:rPr>
                <w:rFonts w:hint="default" w:hAnsi="宋体"/>
                <w:color w:val="auto"/>
                <w:szCs w:val="21"/>
                <w:highlight w:val="none"/>
              </w:rPr>
            </w:pPr>
            <w:r>
              <w:rPr>
                <w:rFonts w:hint="eastAsia" w:hAnsi="宋体" w:cs="宋体"/>
                <w:color w:val="auto"/>
                <w:szCs w:val="21"/>
                <w:highlight w:val="none"/>
                <w:lang w:bidi="ar"/>
              </w:rPr>
              <w:t>投标报价唯一性</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124395BB">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ascii="宋体" w:hAnsi="宋体" w:cs="宋体"/>
                <w:color w:val="auto"/>
                <w:szCs w:val="21"/>
                <w:highlight w:val="none"/>
                <w:lang w:bidi="ar"/>
              </w:rPr>
              <w:t>不存在有选择、有条件报价（招标文件允许有备选方案或者其他约定的除外）</w:t>
            </w:r>
          </w:p>
        </w:tc>
      </w:tr>
      <w:tr w14:paraId="10D4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DB2B4">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2EC03B34">
            <w:pPr>
              <w:keepNext w:val="0"/>
              <w:keepLines w:val="0"/>
              <w:suppressLineNumbers w:val="0"/>
              <w:spacing w:before="0" w:beforeAutospacing="0" w:after="0" w:afterAutospacing="0" w:line="240" w:lineRule="exact"/>
              <w:ind w:left="0" w:right="0"/>
              <w:rPr>
                <w:rFonts w:hint="default"/>
                <w:color w:val="auto"/>
                <w:szCs w:val="21"/>
                <w:highlight w:val="none"/>
                <w:lang w:val="zh-CN"/>
              </w:rPr>
            </w:pPr>
            <w:r>
              <w:rPr>
                <w:rFonts w:hint="eastAsia" w:cs="宋体"/>
                <w:color w:val="auto"/>
                <w:szCs w:val="21"/>
                <w:highlight w:val="none"/>
                <w:lang w:val="zh-CN" w:bidi="ar"/>
              </w:rPr>
              <w:t>过低报价合理性</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34C82973">
            <w:pPr>
              <w:keepNext w:val="0"/>
              <w:keepLines w:val="0"/>
              <w:suppressLineNumbers w:val="0"/>
              <w:spacing w:before="0" w:beforeAutospacing="0" w:after="0" w:afterAutospacing="0" w:line="240" w:lineRule="exact"/>
              <w:ind w:left="0" w:right="0"/>
              <w:rPr>
                <w:rFonts w:hint="default" w:hAnsi="宋体"/>
                <w:color w:val="auto"/>
                <w:szCs w:val="21"/>
                <w:highlight w:val="none"/>
              </w:rPr>
            </w:pPr>
            <w:r>
              <w:rPr>
                <w:rFonts w:hint="eastAsia" w:cs="宋体"/>
                <w:color w:val="auto"/>
                <w:highlight w:val="none"/>
                <w:lang w:bidi="ar"/>
              </w:rPr>
              <w:t>供应商的报价不存在明显低于其他通过符合性审查供应商报价的情况，并可能影响产品质量或者不能诚信履约。</w:t>
            </w:r>
            <w:r>
              <w:rPr>
                <w:rFonts w:hint="eastAsia" w:cs="宋体"/>
                <w:color w:val="auto"/>
                <w:szCs w:val="21"/>
                <w:highlight w:val="none"/>
                <w:lang w:bidi="ar"/>
              </w:rPr>
              <w:t>如存在应提供书面说明，必要时提交相关证明材料；</w:t>
            </w:r>
          </w:p>
        </w:tc>
      </w:tr>
      <w:tr w14:paraId="5D96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6927E">
            <w:pPr>
              <w:keepNext w:val="0"/>
              <w:keepLines w:val="0"/>
              <w:suppressLineNumbers w:val="0"/>
              <w:spacing w:before="0" w:beforeAutospacing="0" w:after="0" w:afterAutospacing="0"/>
              <w:ind w:left="0" w:right="0"/>
              <w:rPr>
                <w:rFonts w:hint="default"/>
                <w:color w:val="auto"/>
                <w:sz w:val="20"/>
                <w:szCs w:val="20"/>
                <w:highlight w:val="none"/>
              </w:rPr>
            </w:pPr>
          </w:p>
        </w:tc>
        <w:tc>
          <w:tcPr>
            <w:tcW w:w="1306" w:type="pct"/>
            <w:tcBorders>
              <w:top w:val="single" w:color="auto" w:sz="4" w:space="0"/>
              <w:left w:val="single" w:color="auto" w:sz="4" w:space="0"/>
              <w:bottom w:val="single" w:color="auto" w:sz="4" w:space="0"/>
              <w:right w:val="single" w:color="auto" w:sz="4" w:space="0"/>
            </w:tcBorders>
            <w:shd w:val="clear" w:color="auto" w:fill="auto"/>
            <w:vAlign w:val="center"/>
          </w:tcPr>
          <w:p w14:paraId="2F5B2933">
            <w:pPr>
              <w:keepNext w:val="0"/>
              <w:keepLines w:val="0"/>
              <w:suppressLineNumbers w:val="0"/>
              <w:spacing w:before="0" w:beforeAutospacing="0" w:after="0" w:afterAutospacing="0" w:line="240" w:lineRule="exact"/>
              <w:ind w:left="0" w:right="0"/>
              <w:rPr>
                <w:rFonts w:hint="default" w:ascii="宋体" w:hAnsi="宋体" w:cs="宋体"/>
                <w:color w:val="auto"/>
                <w:szCs w:val="21"/>
                <w:highlight w:val="none"/>
              </w:rPr>
            </w:pPr>
            <w:r>
              <w:rPr>
                <w:rFonts w:hint="eastAsia" w:cs="宋体"/>
                <w:color w:val="auto"/>
                <w:szCs w:val="21"/>
                <w:highlight w:val="none"/>
                <w:lang w:bidi="ar"/>
              </w:rPr>
              <w:t>投标有效期</w:t>
            </w:r>
          </w:p>
        </w:tc>
        <w:tc>
          <w:tcPr>
            <w:tcW w:w="2847" w:type="pct"/>
            <w:tcBorders>
              <w:top w:val="single" w:color="auto" w:sz="4" w:space="0"/>
              <w:left w:val="single" w:color="auto" w:sz="4" w:space="0"/>
              <w:bottom w:val="single" w:color="auto" w:sz="4" w:space="0"/>
              <w:right w:val="single" w:color="auto" w:sz="4" w:space="0"/>
            </w:tcBorders>
            <w:shd w:val="clear" w:color="auto" w:fill="auto"/>
            <w:vAlign w:val="center"/>
          </w:tcPr>
          <w:p w14:paraId="29DD7F54">
            <w:pPr>
              <w:keepNext w:val="0"/>
              <w:keepLines w:val="0"/>
              <w:suppressLineNumbers w:val="0"/>
              <w:spacing w:before="0" w:beforeAutospacing="0" w:after="0" w:afterAutospacing="0" w:line="240" w:lineRule="exact"/>
              <w:ind w:left="0" w:right="0"/>
              <w:rPr>
                <w:rFonts w:hint="default"/>
                <w:color w:val="auto"/>
                <w:szCs w:val="21"/>
                <w:highlight w:val="none"/>
              </w:rPr>
            </w:pPr>
            <w:r>
              <w:rPr>
                <w:rFonts w:hint="eastAsia" w:ascii="宋体" w:hAnsi="宋体" w:cs="宋体"/>
                <w:color w:val="auto"/>
                <w:szCs w:val="21"/>
                <w:highlight w:val="none"/>
                <w:lang w:bidi="ar"/>
              </w:rPr>
              <w:t>满足招标文件规定</w:t>
            </w:r>
          </w:p>
        </w:tc>
      </w:tr>
      <w:bookmarkEnd w:id="105"/>
    </w:tbl>
    <w:p w14:paraId="7383F0BB">
      <w:pPr>
        <w:rPr>
          <w:b/>
          <w:bCs/>
          <w:color w:val="auto"/>
          <w:kern w:val="0"/>
          <w:szCs w:val="21"/>
          <w:highlight w:val="none"/>
        </w:rPr>
      </w:pPr>
      <w:r>
        <w:rPr>
          <w:b/>
          <w:bCs/>
          <w:color w:val="auto"/>
          <w:kern w:val="0"/>
          <w:szCs w:val="21"/>
          <w:highlight w:val="none"/>
        </w:rPr>
        <w:br w:type="page"/>
      </w:r>
    </w:p>
    <w:p w14:paraId="5177074C">
      <w:pPr>
        <w:numPr>
          <w:ilvl w:val="0"/>
          <w:numId w:val="3"/>
        </w:numPr>
        <w:spacing w:before="120" w:line="320" w:lineRule="atLeast"/>
        <w:ind w:firstLine="422" w:firstLineChars="200"/>
        <w:outlineLvl w:val="1"/>
        <w:rPr>
          <w:color w:val="auto"/>
          <w:highlight w:val="none"/>
        </w:rPr>
      </w:pPr>
      <w:r>
        <w:rPr>
          <w:rFonts w:hint="eastAsia"/>
          <w:b/>
          <w:bCs/>
          <w:color w:val="auto"/>
          <w:kern w:val="0"/>
          <w:szCs w:val="21"/>
          <w:highlight w:val="none"/>
        </w:rPr>
        <w:t>评分</w:t>
      </w:r>
      <w:r>
        <w:rPr>
          <w:b/>
          <w:bCs/>
          <w:color w:val="auto"/>
          <w:kern w:val="0"/>
          <w:szCs w:val="21"/>
          <w:highlight w:val="none"/>
        </w:rPr>
        <w:t>标准</w:t>
      </w:r>
      <w:bookmarkEnd w:id="106"/>
      <w:bookmarkStart w:id="107" w:name="_Hlk77609326"/>
    </w:p>
    <w:p w14:paraId="0F5FB5FF">
      <w:pPr>
        <w:ind w:firstLine="420" w:firstLineChars="200"/>
        <w:rPr>
          <w:color w:val="auto"/>
          <w:highlight w:val="none"/>
        </w:rPr>
      </w:pPr>
      <w:r>
        <w:rPr>
          <w:rFonts w:hint="eastAsia"/>
          <w:color w:val="auto"/>
          <w:highlight w:val="none"/>
        </w:rPr>
        <w:t>（1）技术及商务资信分</w:t>
      </w:r>
    </w:p>
    <w:tbl>
      <w:tblPr>
        <w:tblStyle w:val="51"/>
        <w:tblpPr w:leftFromText="180" w:rightFromText="180" w:vertAnchor="text" w:horzAnchor="page" w:tblpX="1343" w:tblpY="63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291"/>
        <w:gridCol w:w="7141"/>
        <w:gridCol w:w="646"/>
      </w:tblGrid>
      <w:tr w14:paraId="5C8F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tcBorders>
              <w:top w:val="single" w:color="auto" w:sz="4" w:space="0"/>
              <w:left w:val="single" w:color="auto" w:sz="4" w:space="0"/>
              <w:bottom w:val="single" w:color="auto" w:sz="4" w:space="0"/>
              <w:right w:val="single" w:color="auto" w:sz="4" w:space="0"/>
            </w:tcBorders>
            <w:vAlign w:val="center"/>
          </w:tcPr>
          <w:p w14:paraId="4EA6F023">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cs="宋体"/>
                <w:b/>
                <w:color w:val="auto"/>
                <w:szCs w:val="21"/>
                <w:highlight w:val="none"/>
              </w:rPr>
              <w:t>序号</w:t>
            </w:r>
          </w:p>
        </w:tc>
        <w:tc>
          <w:tcPr>
            <w:tcW w:w="675" w:type="pct"/>
            <w:tcBorders>
              <w:top w:val="single" w:color="auto" w:sz="4" w:space="0"/>
              <w:left w:val="single" w:color="auto" w:sz="4" w:space="0"/>
              <w:bottom w:val="single" w:color="auto" w:sz="4" w:space="0"/>
              <w:right w:val="single" w:color="auto" w:sz="4" w:space="0"/>
            </w:tcBorders>
            <w:vAlign w:val="center"/>
          </w:tcPr>
          <w:p w14:paraId="7247B6DD">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cs="宋体"/>
                <w:b/>
                <w:color w:val="auto"/>
                <w:szCs w:val="21"/>
                <w:highlight w:val="none"/>
              </w:rPr>
              <w:t>类型</w:t>
            </w:r>
          </w:p>
        </w:tc>
        <w:tc>
          <w:tcPr>
            <w:tcW w:w="3734" w:type="pct"/>
            <w:tcBorders>
              <w:top w:val="single" w:color="auto" w:sz="4" w:space="0"/>
              <w:left w:val="single" w:color="auto" w:sz="4" w:space="0"/>
              <w:bottom w:val="single" w:color="auto" w:sz="4" w:space="0"/>
              <w:right w:val="single" w:color="auto" w:sz="4" w:space="0"/>
            </w:tcBorders>
            <w:vAlign w:val="center"/>
          </w:tcPr>
          <w:p w14:paraId="02CC8149">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cs="宋体"/>
                <w:b/>
                <w:color w:val="auto"/>
                <w:szCs w:val="21"/>
                <w:highlight w:val="none"/>
              </w:rPr>
              <w:t>评分标准</w:t>
            </w:r>
          </w:p>
        </w:tc>
        <w:tc>
          <w:tcPr>
            <w:tcW w:w="338" w:type="pct"/>
            <w:tcBorders>
              <w:top w:val="single" w:color="auto" w:sz="4" w:space="0"/>
              <w:left w:val="single" w:color="auto" w:sz="4" w:space="0"/>
              <w:bottom w:val="single" w:color="auto" w:sz="4" w:space="0"/>
              <w:right w:val="single" w:color="auto" w:sz="4" w:space="0"/>
            </w:tcBorders>
            <w:vAlign w:val="center"/>
          </w:tcPr>
          <w:p w14:paraId="545C197B">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eastAsia" w:cs="宋体"/>
                <w:b/>
                <w:color w:val="auto"/>
                <w:szCs w:val="21"/>
                <w:highlight w:val="none"/>
              </w:rPr>
              <w:t>分值</w:t>
            </w:r>
          </w:p>
        </w:tc>
      </w:tr>
      <w:tr w14:paraId="2698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52" w:type="pct"/>
            <w:vMerge w:val="restart"/>
            <w:tcBorders>
              <w:top w:val="single" w:color="auto" w:sz="4" w:space="0"/>
              <w:left w:val="single" w:color="auto" w:sz="4" w:space="0"/>
              <w:right w:val="single" w:color="auto" w:sz="4" w:space="0"/>
            </w:tcBorders>
            <w:vAlign w:val="center"/>
          </w:tcPr>
          <w:p w14:paraId="4AD26936">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1</w:t>
            </w:r>
          </w:p>
        </w:tc>
        <w:tc>
          <w:tcPr>
            <w:tcW w:w="675" w:type="pct"/>
            <w:vMerge w:val="restart"/>
            <w:tcBorders>
              <w:top w:val="single" w:color="auto" w:sz="4" w:space="0"/>
              <w:left w:val="single" w:color="auto" w:sz="4" w:space="0"/>
              <w:right w:val="single" w:color="auto" w:sz="4" w:space="0"/>
            </w:tcBorders>
            <w:vAlign w:val="center"/>
          </w:tcPr>
          <w:p w14:paraId="5FC8FE6D">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r>
              <w:rPr>
                <w:rFonts w:hint="eastAsia" w:cs="宋体"/>
                <w:color w:val="auto"/>
                <w:szCs w:val="21"/>
                <w:highlight w:val="none"/>
              </w:rPr>
              <w:t>商务资信</w:t>
            </w:r>
          </w:p>
          <w:p w14:paraId="7C106391">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s="宋体"/>
                <w:color w:val="auto"/>
                <w:szCs w:val="21"/>
                <w:highlight w:val="none"/>
              </w:rPr>
              <w:t>（1</w:t>
            </w:r>
            <w:r>
              <w:rPr>
                <w:rFonts w:hint="eastAsia" w:cs="宋体"/>
                <w:color w:val="auto"/>
                <w:szCs w:val="21"/>
                <w:highlight w:val="none"/>
                <w:lang w:val="en-US" w:eastAsia="zh-CN"/>
              </w:rPr>
              <w:t>4</w:t>
            </w:r>
            <w:r>
              <w:rPr>
                <w:rFonts w:hint="eastAsia" w:cs="宋体"/>
                <w:color w:val="auto"/>
                <w:szCs w:val="21"/>
                <w:highlight w:val="none"/>
              </w:rPr>
              <w:t>分）</w:t>
            </w:r>
          </w:p>
        </w:tc>
        <w:tc>
          <w:tcPr>
            <w:tcW w:w="3734" w:type="pct"/>
            <w:tcBorders>
              <w:top w:val="single" w:color="auto" w:sz="4" w:space="0"/>
              <w:left w:val="single" w:color="auto" w:sz="4" w:space="0"/>
              <w:bottom w:val="single" w:color="auto" w:sz="4" w:space="0"/>
              <w:right w:val="single" w:color="auto" w:sz="4" w:space="0"/>
            </w:tcBorders>
            <w:vAlign w:val="center"/>
          </w:tcPr>
          <w:p w14:paraId="79A1EB14">
            <w:pPr>
              <w:keepNext w:val="0"/>
              <w:keepLines w:val="0"/>
              <w:suppressLineNumbers w:val="0"/>
              <w:spacing w:before="0" w:beforeAutospacing="0" w:after="0" w:afterAutospacing="0" w:line="300" w:lineRule="exact"/>
              <w:ind w:left="0" w:right="0"/>
              <w:jc w:val="left"/>
              <w:rPr>
                <w:rFonts w:hint="default"/>
                <w:b/>
                <w:bCs/>
                <w:color w:val="auto"/>
                <w:szCs w:val="21"/>
                <w:highlight w:val="none"/>
              </w:rPr>
            </w:pPr>
            <w:r>
              <w:rPr>
                <w:rFonts w:hint="eastAsia"/>
                <w:b/>
                <w:bCs/>
                <w:color w:val="auto"/>
                <w:szCs w:val="21"/>
                <w:highlight w:val="none"/>
              </w:rPr>
              <w:t>1、业绩分（满分5分）</w:t>
            </w:r>
          </w:p>
          <w:p w14:paraId="71131849">
            <w:pPr>
              <w:pStyle w:val="59"/>
              <w:keepNext w:val="0"/>
              <w:keepLines w:val="0"/>
              <w:suppressLineNumbers w:val="0"/>
              <w:spacing w:before="0" w:beforeAutospacing="0" w:after="0" w:afterAutospacing="0" w:line="300" w:lineRule="exact"/>
              <w:ind w:left="0" w:right="0"/>
              <w:rPr>
                <w:rFonts w:hint="default"/>
                <w:color w:val="auto"/>
                <w:sz w:val="21"/>
                <w:szCs w:val="21"/>
                <w:highlight w:val="none"/>
              </w:rPr>
            </w:pPr>
            <w:r>
              <w:rPr>
                <w:rFonts w:hint="eastAsia"/>
                <w:color w:val="auto"/>
                <w:sz w:val="21"/>
                <w:szCs w:val="21"/>
                <w:highlight w:val="none"/>
              </w:rPr>
              <w:t>投标人</w:t>
            </w:r>
            <w:r>
              <w:rPr>
                <w:rFonts w:hint="default"/>
                <w:color w:val="auto"/>
                <w:sz w:val="21"/>
                <w:szCs w:val="21"/>
                <w:highlight w:val="none"/>
              </w:rPr>
              <w:t>或拟投入产品制造商2021年1月1日至今具有同类</w:t>
            </w:r>
            <w:r>
              <w:rPr>
                <w:rFonts w:hint="eastAsia"/>
                <w:color w:val="auto"/>
                <w:sz w:val="21"/>
                <w:szCs w:val="21"/>
                <w:highlight w:val="none"/>
              </w:rPr>
              <w:t>软件</w:t>
            </w:r>
            <w:r>
              <w:rPr>
                <w:rFonts w:hint="default"/>
                <w:color w:val="auto"/>
                <w:sz w:val="21"/>
                <w:szCs w:val="21"/>
                <w:highlight w:val="none"/>
              </w:rPr>
              <w:t>项目业绩的，每提供一个项目业绩得</w:t>
            </w:r>
            <w:r>
              <w:rPr>
                <w:rFonts w:hint="eastAsia"/>
                <w:color w:val="auto"/>
                <w:sz w:val="21"/>
                <w:szCs w:val="21"/>
                <w:highlight w:val="none"/>
              </w:rPr>
              <w:t>1</w:t>
            </w:r>
            <w:r>
              <w:rPr>
                <w:rFonts w:hint="default"/>
                <w:color w:val="auto"/>
                <w:sz w:val="21"/>
                <w:szCs w:val="21"/>
                <w:highlight w:val="none"/>
              </w:rPr>
              <w:t>分，满分</w:t>
            </w:r>
            <w:r>
              <w:rPr>
                <w:rFonts w:hint="eastAsia"/>
                <w:color w:val="auto"/>
                <w:sz w:val="21"/>
                <w:szCs w:val="21"/>
                <w:highlight w:val="none"/>
              </w:rPr>
              <w:t>5</w:t>
            </w:r>
            <w:r>
              <w:rPr>
                <w:rFonts w:hint="default"/>
                <w:color w:val="auto"/>
                <w:sz w:val="21"/>
                <w:szCs w:val="21"/>
                <w:highlight w:val="none"/>
              </w:rPr>
              <w:t>分</w:t>
            </w:r>
            <w:r>
              <w:rPr>
                <w:rFonts w:hint="eastAsia"/>
                <w:color w:val="auto"/>
                <w:sz w:val="21"/>
                <w:szCs w:val="21"/>
                <w:highlight w:val="none"/>
              </w:rPr>
              <w:t>。</w:t>
            </w:r>
          </w:p>
          <w:p w14:paraId="311BACFC">
            <w:pPr>
              <w:pStyle w:val="3"/>
              <w:keepNext w:val="0"/>
              <w:keepLines w:val="0"/>
              <w:suppressLineNumbers w:val="0"/>
              <w:spacing w:before="0" w:beforeAutospacing="0" w:after="0" w:afterAutospacing="0" w:line="300" w:lineRule="exact"/>
              <w:ind w:left="0" w:right="0"/>
              <w:rPr>
                <w:rFonts w:hint="default"/>
                <w:color w:val="auto"/>
                <w:sz w:val="21"/>
                <w:szCs w:val="21"/>
                <w:highlight w:val="none"/>
              </w:rPr>
            </w:pPr>
            <w:r>
              <w:rPr>
                <w:rFonts w:hint="eastAsia"/>
                <w:bCs/>
                <w:color w:val="auto"/>
                <w:spacing w:val="10"/>
                <w:kern w:val="0"/>
                <w:sz w:val="21"/>
                <w:szCs w:val="21"/>
                <w:highlight w:val="none"/>
              </w:rPr>
              <w:t>注：</w:t>
            </w:r>
            <w:r>
              <w:rPr>
                <w:rFonts w:hint="default"/>
                <w:bCs/>
                <w:color w:val="auto"/>
                <w:spacing w:val="10"/>
                <w:kern w:val="0"/>
                <w:sz w:val="21"/>
                <w:szCs w:val="21"/>
                <w:highlight w:val="none"/>
              </w:rPr>
              <w:t>提供业绩的合同或中标/成交通知书的扫描件并加盖投标人电子签章，否则不得分。</w:t>
            </w:r>
          </w:p>
        </w:tc>
        <w:tc>
          <w:tcPr>
            <w:tcW w:w="338" w:type="pct"/>
            <w:tcBorders>
              <w:top w:val="single" w:color="auto" w:sz="4" w:space="0"/>
              <w:left w:val="single" w:color="auto" w:sz="4" w:space="0"/>
              <w:bottom w:val="single" w:color="auto" w:sz="4" w:space="0"/>
              <w:right w:val="single" w:color="auto" w:sz="4" w:space="0"/>
            </w:tcBorders>
            <w:vAlign w:val="center"/>
          </w:tcPr>
          <w:p w14:paraId="69930580">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5</w:t>
            </w:r>
          </w:p>
        </w:tc>
      </w:tr>
      <w:tr w14:paraId="0D3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52" w:type="pct"/>
            <w:vMerge w:val="continue"/>
            <w:tcBorders>
              <w:left w:val="single" w:color="auto" w:sz="4" w:space="0"/>
              <w:bottom w:val="single" w:color="auto" w:sz="4" w:space="0"/>
              <w:right w:val="single" w:color="auto" w:sz="4" w:space="0"/>
            </w:tcBorders>
            <w:vAlign w:val="center"/>
          </w:tcPr>
          <w:p w14:paraId="0750EC87">
            <w:pPr>
              <w:keepNext w:val="0"/>
              <w:keepLines w:val="0"/>
              <w:suppressLineNumbers w:val="0"/>
              <w:spacing w:before="0" w:beforeAutospacing="0" w:after="0" w:afterAutospacing="0" w:line="300" w:lineRule="exact"/>
              <w:ind w:left="0" w:right="0"/>
              <w:jc w:val="center"/>
              <w:rPr>
                <w:rFonts w:hint="default"/>
                <w:b/>
                <w:color w:val="auto"/>
                <w:szCs w:val="21"/>
                <w:highlight w:val="none"/>
              </w:rPr>
            </w:pPr>
          </w:p>
        </w:tc>
        <w:tc>
          <w:tcPr>
            <w:tcW w:w="675" w:type="pct"/>
            <w:vMerge w:val="continue"/>
            <w:tcBorders>
              <w:left w:val="single" w:color="auto" w:sz="4" w:space="0"/>
              <w:bottom w:val="single" w:color="auto" w:sz="4" w:space="0"/>
              <w:right w:val="single" w:color="auto" w:sz="4" w:space="0"/>
            </w:tcBorders>
            <w:vAlign w:val="center"/>
          </w:tcPr>
          <w:p w14:paraId="7174EA10">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p>
        </w:tc>
        <w:tc>
          <w:tcPr>
            <w:tcW w:w="3734" w:type="pct"/>
            <w:tcBorders>
              <w:top w:val="single" w:color="auto" w:sz="4" w:space="0"/>
              <w:left w:val="single" w:color="auto" w:sz="4" w:space="0"/>
              <w:bottom w:val="single" w:color="auto" w:sz="4" w:space="0"/>
              <w:right w:val="single" w:color="auto" w:sz="4" w:space="0"/>
            </w:tcBorders>
            <w:vAlign w:val="center"/>
          </w:tcPr>
          <w:p w14:paraId="11FF0D56">
            <w:pPr>
              <w:keepNext w:val="0"/>
              <w:keepLines w:val="0"/>
              <w:suppressLineNumbers w:val="0"/>
              <w:spacing w:before="0" w:beforeAutospacing="0" w:after="0" w:afterAutospacing="0" w:line="300" w:lineRule="exact"/>
              <w:ind w:left="0" w:right="0"/>
              <w:jc w:val="left"/>
              <w:rPr>
                <w:rFonts w:hint="default"/>
                <w:b/>
                <w:bCs/>
                <w:color w:val="auto"/>
                <w:szCs w:val="21"/>
                <w:highlight w:val="none"/>
              </w:rPr>
            </w:pPr>
            <w:r>
              <w:rPr>
                <w:rFonts w:hint="eastAsia"/>
                <w:b/>
                <w:bCs/>
                <w:color w:val="auto"/>
                <w:szCs w:val="21"/>
                <w:highlight w:val="none"/>
              </w:rPr>
              <w:t>2、信誉分（满分</w:t>
            </w:r>
            <w:r>
              <w:rPr>
                <w:rFonts w:hint="eastAsia"/>
                <w:b/>
                <w:bCs/>
                <w:color w:val="auto"/>
                <w:szCs w:val="21"/>
                <w:highlight w:val="none"/>
                <w:lang w:val="en-US" w:eastAsia="zh-CN"/>
              </w:rPr>
              <w:t>9</w:t>
            </w:r>
            <w:r>
              <w:rPr>
                <w:rFonts w:hint="eastAsia"/>
                <w:b/>
                <w:bCs/>
                <w:color w:val="auto"/>
                <w:szCs w:val="21"/>
                <w:highlight w:val="none"/>
              </w:rPr>
              <w:t>分）</w:t>
            </w:r>
          </w:p>
          <w:p w14:paraId="11443973">
            <w:pPr>
              <w:pStyle w:val="59"/>
              <w:keepNext w:val="0"/>
              <w:keepLines w:val="0"/>
              <w:suppressLineNumbers w:val="0"/>
              <w:spacing w:before="0" w:beforeAutospacing="0" w:after="0" w:afterAutospacing="0" w:line="300" w:lineRule="exact"/>
              <w:ind w:left="0" w:right="0"/>
              <w:rPr>
                <w:rFonts w:hint="default"/>
                <w:bCs w:val="0"/>
                <w:color w:val="auto"/>
                <w:spacing w:val="0"/>
                <w:kern w:val="2"/>
                <w:sz w:val="21"/>
                <w:szCs w:val="21"/>
                <w:highlight w:val="none"/>
              </w:rPr>
            </w:pPr>
            <w:r>
              <w:rPr>
                <w:rFonts w:hint="default" w:ascii="Calibri" w:hAnsi="Calibri" w:cs="Calibri"/>
                <w:bCs w:val="0"/>
                <w:color w:val="auto"/>
                <w:spacing w:val="0"/>
                <w:kern w:val="2"/>
                <w:sz w:val="21"/>
                <w:szCs w:val="21"/>
                <w:highlight w:val="none"/>
              </w:rPr>
              <w:t>①</w:t>
            </w:r>
            <w:r>
              <w:rPr>
                <w:rFonts w:hint="eastAsia"/>
                <w:bCs w:val="0"/>
                <w:color w:val="auto"/>
                <w:spacing w:val="0"/>
                <w:kern w:val="2"/>
                <w:sz w:val="21"/>
                <w:szCs w:val="21"/>
                <w:highlight w:val="none"/>
              </w:rPr>
              <w:t>投标人</w:t>
            </w:r>
            <w:r>
              <w:rPr>
                <w:rFonts w:hint="default"/>
                <w:bCs w:val="0"/>
                <w:color w:val="auto"/>
                <w:spacing w:val="0"/>
                <w:kern w:val="2"/>
                <w:sz w:val="21"/>
                <w:szCs w:val="21"/>
                <w:highlight w:val="none"/>
              </w:rPr>
              <w:t>或软件厂商具有有效的ISO9001质量管理体系认证证书、</w:t>
            </w:r>
            <w:r>
              <w:rPr>
                <w:rFonts w:hint="eastAsia" w:ascii="宋体" w:hAnsi="宋体"/>
                <w:color w:val="auto"/>
                <w:kern w:val="2"/>
                <w:sz w:val="21"/>
                <w:szCs w:val="21"/>
                <w:highlight w:val="none"/>
                <w:lang w:bidi="ar"/>
              </w:rPr>
              <w:t>ISO14001环境管理体系认证证书、ISO45001职业健康管理体系认证证书的，每有1项得1分，满分3分。</w:t>
            </w:r>
          </w:p>
          <w:p w14:paraId="06223DE1">
            <w:pPr>
              <w:pStyle w:val="59"/>
              <w:keepNext w:val="0"/>
              <w:keepLines w:val="0"/>
              <w:suppressLineNumbers w:val="0"/>
              <w:spacing w:before="0" w:beforeAutospacing="0" w:after="0" w:afterAutospacing="0" w:line="300" w:lineRule="exact"/>
              <w:ind w:left="0" w:right="0"/>
              <w:rPr>
                <w:rFonts w:hint="default"/>
                <w:bCs w:val="0"/>
                <w:color w:val="auto"/>
                <w:spacing w:val="0"/>
                <w:kern w:val="2"/>
                <w:sz w:val="21"/>
                <w:szCs w:val="21"/>
                <w:highlight w:val="none"/>
              </w:rPr>
            </w:pPr>
            <w:r>
              <w:rPr>
                <w:rFonts w:hint="default" w:ascii="Calibri" w:hAnsi="Calibri" w:cs="Calibri"/>
                <w:bCs w:val="0"/>
                <w:color w:val="auto"/>
                <w:spacing w:val="0"/>
                <w:kern w:val="2"/>
                <w:sz w:val="21"/>
                <w:szCs w:val="21"/>
                <w:highlight w:val="none"/>
              </w:rPr>
              <w:t>②</w:t>
            </w:r>
            <w:r>
              <w:rPr>
                <w:rFonts w:hint="eastAsia"/>
                <w:bCs w:val="0"/>
                <w:color w:val="auto"/>
                <w:spacing w:val="0"/>
                <w:kern w:val="2"/>
                <w:sz w:val="21"/>
                <w:szCs w:val="21"/>
                <w:highlight w:val="none"/>
              </w:rPr>
              <w:t>投标人</w:t>
            </w:r>
            <w:r>
              <w:rPr>
                <w:rFonts w:hint="default"/>
                <w:bCs w:val="0"/>
                <w:color w:val="auto"/>
                <w:spacing w:val="0"/>
                <w:kern w:val="2"/>
                <w:sz w:val="21"/>
                <w:szCs w:val="21"/>
                <w:highlight w:val="none"/>
              </w:rPr>
              <w:t>或软件厂商具备信息系统安全等级保护备案证明二级（含）</w:t>
            </w:r>
            <w:r>
              <w:rPr>
                <w:rFonts w:hint="eastAsia"/>
                <w:bCs w:val="0"/>
                <w:color w:val="auto"/>
                <w:spacing w:val="0"/>
                <w:kern w:val="2"/>
                <w:sz w:val="21"/>
                <w:szCs w:val="21"/>
                <w:highlight w:val="none"/>
              </w:rPr>
              <w:t>或</w:t>
            </w:r>
            <w:r>
              <w:rPr>
                <w:rFonts w:hint="default"/>
                <w:bCs w:val="0"/>
                <w:color w:val="auto"/>
                <w:spacing w:val="0"/>
                <w:kern w:val="2"/>
                <w:sz w:val="21"/>
                <w:szCs w:val="21"/>
                <w:highlight w:val="none"/>
              </w:rPr>
              <w:t>以上</w:t>
            </w:r>
            <w:r>
              <w:rPr>
                <w:rFonts w:hint="eastAsia"/>
                <w:bCs w:val="0"/>
                <w:color w:val="auto"/>
                <w:spacing w:val="0"/>
                <w:kern w:val="2"/>
                <w:sz w:val="21"/>
                <w:szCs w:val="21"/>
                <w:highlight w:val="none"/>
              </w:rPr>
              <w:t>级</w:t>
            </w:r>
            <w:r>
              <w:rPr>
                <w:rFonts w:hint="default"/>
                <w:bCs w:val="0"/>
                <w:color w:val="auto"/>
                <w:spacing w:val="0"/>
                <w:kern w:val="2"/>
                <w:sz w:val="21"/>
                <w:szCs w:val="21"/>
                <w:highlight w:val="none"/>
              </w:rPr>
              <w:t>证书</w:t>
            </w:r>
            <w:r>
              <w:rPr>
                <w:rFonts w:hint="eastAsia"/>
                <w:bCs w:val="0"/>
                <w:color w:val="auto"/>
                <w:spacing w:val="0"/>
                <w:kern w:val="2"/>
                <w:sz w:val="21"/>
                <w:szCs w:val="21"/>
                <w:highlight w:val="none"/>
              </w:rPr>
              <w:t>的，得</w:t>
            </w:r>
            <w:r>
              <w:rPr>
                <w:rFonts w:hint="eastAsia"/>
                <w:bCs w:val="0"/>
                <w:color w:val="auto"/>
                <w:spacing w:val="0"/>
                <w:kern w:val="2"/>
                <w:sz w:val="21"/>
                <w:szCs w:val="21"/>
                <w:highlight w:val="none"/>
                <w:lang w:val="en-US" w:eastAsia="zh-CN"/>
              </w:rPr>
              <w:t>3</w:t>
            </w:r>
            <w:r>
              <w:rPr>
                <w:rFonts w:hint="eastAsia"/>
                <w:bCs w:val="0"/>
                <w:color w:val="auto"/>
                <w:spacing w:val="0"/>
                <w:kern w:val="2"/>
                <w:sz w:val="21"/>
                <w:szCs w:val="21"/>
                <w:highlight w:val="none"/>
              </w:rPr>
              <w:t>分。</w:t>
            </w:r>
          </w:p>
          <w:p w14:paraId="7504F524">
            <w:pPr>
              <w:pStyle w:val="59"/>
              <w:keepNext w:val="0"/>
              <w:keepLines w:val="0"/>
              <w:suppressLineNumbers w:val="0"/>
              <w:spacing w:before="0" w:beforeAutospacing="0" w:after="0" w:afterAutospacing="0" w:line="300" w:lineRule="exact"/>
              <w:ind w:left="0" w:right="0"/>
              <w:rPr>
                <w:rFonts w:hint="default"/>
                <w:bCs w:val="0"/>
                <w:color w:val="auto"/>
                <w:spacing w:val="0"/>
                <w:kern w:val="2"/>
                <w:sz w:val="21"/>
                <w:szCs w:val="21"/>
                <w:highlight w:val="none"/>
              </w:rPr>
            </w:pPr>
            <w:r>
              <w:rPr>
                <w:rFonts w:hint="default" w:ascii="Calibri" w:hAnsi="Calibri" w:cs="Calibri"/>
                <w:bCs w:val="0"/>
                <w:color w:val="auto"/>
                <w:spacing w:val="0"/>
                <w:kern w:val="2"/>
                <w:sz w:val="21"/>
                <w:szCs w:val="21"/>
                <w:highlight w:val="none"/>
              </w:rPr>
              <w:t>③</w:t>
            </w:r>
            <w:r>
              <w:rPr>
                <w:rFonts w:hint="eastAsia"/>
                <w:bCs w:val="0"/>
                <w:color w:val="auto"/>
                <w:spacing w:val="0"/>
                <w:kern w:val="2"/>
                <w:sz w:val="21"/>
                <w:szCs w:val="21"/>
                <w:highlight w:val="none"/>
              </w:rPr>
              <w:t>投标人</w:t>
            </w:r>
            <w:r>
              <w:rPr>
                <w:rFonts w:hint="default"/>
                <w:bCs w:val="0"/>
                <w:color w:val="auto"/>
                <w:spacing w:val="0"/>
                <w:kern w:val="2"/>
                <w:sz w:val="21"/>
                <w:szCs w:val="21"/>
                <w:highlight w:val="none"/>
              </w:rPr>
              <w:t>或软件厂商具备软件著作权证书</w:t>
            </w:r>
            <w:r>
              <w:rPr>
                <w:rFonts w:hint="eastAsia"/>
                <w:bCs w:val="0"/>
                <w:color w:val="auto"/>
                <w:spacing w:val="0"/>
                <w:kern w:val="2"/>
                <w:sz w:val="21"/>
                <w:szCs w:val="21"/>
                <w:highlight w:val="none"/>
              </w:rPr>
              <w:t>的</w:t>
            </w:r>
            <w:r>
              <w:rPr>
                <w:rFonts w:hint="default"/>
                <w:bCs w:val="0"/>
                <w:color w:val="auto"/>
                <w:spacing w:val="0"/>
                <w:kern w:val="2"/>
                <w:sz w:val="21"/>
                <w:szCs w:val="21"/>
                <w:highlight w:val="none"/>
              </w:rPr>
              <w:t>，</w:t>
            </w:r>
            <w:r>
              <w:rPr>
                <w:rFonts w:hint="eastAsia"/>
                <w:bCs w:val="0"/>
                <w:color w:val="auto"/>
                <w:spacing w:val="0"/>
                <w:kern w:val="2"/>
                <w:sz w:val="21"/>
                <w:szCs w:val="21"/>
                <w:highlight w:val="none"/>
              </w:rPr>
              <w:t>得</w:t>
            </w:r>
            <w:r>
              <w:rPr>
                <w:rFonts w:hint="eastAsia"/>
                <w:bCs w:val="0"/>
                <w:color w:val="auto"/>
                <w:spacing w:val="0"/>
                <w:kern w:val="2"/>
                <w:sz w:val="21"/>
                <w:szCs w:val="21"/>
                <w:highlight w:val="none"/>
                <w:lang w:val="en-US" w:eastAsia="zh-CN"/>
              </w:rPr>
              <w:t>3</w:t>
            </w:r>
            <w:r>
              <w:rPr>
                <w:rFonts w:hint="eastAsia"/>
                <w:bCs w:val="0"/>
                <w:color w:val="auto"/>
                <w:spacing w:val="0"/>
                <w:kern w:val="2"/>
                <w:sz w:val="21"/>
                <w:szCs w:val="21"/>
                <w:highlight w:val="none"/>
              </w:rPr>
              <w:t>分</w:t>
            </w:r>
            <w:r>
              <w:rPr>
                <w:rFonts w:hint="default"/>
                <w:bCs w:val="0"/>
                <w:color w:val="auto"/>
                <w:spacing w:val="0"/>
                <w:kern w:val="2"/>
                <w:sz w:val="21"/>
                <w:szCs w:val="21"/>
                <w:highlight w:val="none"/>
              </w:rPr>
              <w:t>。</w:t>
            </w:r>
          </w:p>
          <w:p w14:paraId="68FF6140">
            <w:pPr>
              <w:pStyle w:val="3"/>
              <w:keepNext w:val="0"/>
              <w:keepLines w:val="0"/>
              <w:suppressLineNumbers w:val="0"/>
              <w:spacing w:before="0" w:beforeAutospacing="0" w:after="0" w:afterAutospacing="0" w:line="300" w:lineRule="exact"/>
              <w:ind w:left="0" w:right="0"/>
              <w:rPr>
                <w:rFonts w:hint="default"/>
                <w:color w:val="auto"/>
                <w:sz w:val="21"/>
                <w:szCs w:val="21"/>
                <w:highlight w:val="none"/>
              </w:rPr>
            </w:pPr>
            <w:r>
              <w:rPr>
                <w:rFonts w:hint="eastAsia"/>
                <w:color w:val="auto"/>
                <w:sz w:val="21"/>
                <w:szCs w:val="21"/>
                <w:highlight w:val="none"/>
              </w:rPr>
              <w:t>注：</w:t>
            </w:r>
            <w:r>
              <w:rPr>
                <w:rFonts w:hint="default"/>
                <w:color w:val="auto"/>
                <w:sz w:val="21"/>
                <w:szCs w:val="21"/>
                <w:highlight w:val="none"/>
              </w:rPr>
              <w:t>提供</w:t>
            </w:r>
            <w:r>
              <w:rPr>
                <w:rFonts w:hint="eastAsia"/>
                <w:color w:val="auto"/>
                <w:sz w:val="21"/>
                <w:szCs w:val="21"/>
                <w:highlight w:val="none"/>
              </w:rPr>
              <w:t>相关</w:t>
            </w:r>
            <w:r>
              <w:rPr>
                <w:rFonts w:hint="default"/>
                <w:color w:val="auto"/>
                <w:sz w:val="21"/>
                <w:szCs w:val="21"/>
                <w:highlight w:val="none"/>
              </w:rPr>
              <w:t>证书</w:t>
            </w:r>
            <w:r>
              <w:rPr>
                <w:rFonts w:hint="eastAsia"/>
                <w:color w:val="auto"/>
                <w:sz w:val="21"/>
                <w:szCs w:val="21"/>
                <w:highlight w:val="none"/>
              </w:rPr>
              <w:t>扫描</w:t>
            </w:r>
            <w:r>
              <w:rPr>
                <w:rFonts w:hint="default"/>
                <w:color w:val="auto"/>
                <w:sz w:val="21"/>
                <w:szCs w:val="21"/>
                <w:highlight w:val="none"/>
              </w:rPr>
              <w:t>件并加盖</w:t>
            </w:r>
            <w:r>
              <w:rPr>
                <w:rFonts w:hint="eastAsia"/>
                <w:color w:val="auto"/>
                <w:sz w:val="21"/>
                <w:szCs w:val="21"/>
                <w:highlight w:val="none"/>
              </w:rPr>
              <w:t>投标人电子签章，否则不得分。</w:t>
            </w:r>
          </w:p>
        </w:tc>
        <w:tc>
          <w:tcPr>
            <w:tcW w:w="338" w:type="pct"/>
            <w:tcBorders>
              <w:top w:val="single" w:color="auto" w:sz="4" w:space="0"/>
              <w:left w:val="single" w:color="auto" w:sz="4" w:space="0"/>
              <w:bottom w:val="single" w:color="auto" w:sz="4" w:space="0"/>
              <w:right w:val="single" w:color="auto" w:sz="4" w:space="0"/>
            </w:tcBorders>
            <w:vAlign w:val="center"/>
          </w:tcPr>
          <w:p w14:paraId="16941EB4">
            <w:pPr>
              <w:keepNext w:val="0"/>
              <w:keepLines w:val="0"/>
              <w:suppressLineNumbers w:val="0"/>
              <w:spacing w:before="0" w:beforeAutospacing="0" w:after="0" w:afterAutospacing="0" w:line="30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9</w:t>
            </w:r>
          </w:p>
        </w:tc>
      </w:tr>
      <w:tr w14:paraId="2310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52" w:type="pct"/>
            <w:vMerge w:val="restart"/>
            <w:tcBorders>
              <w:top w:val="single" w:color="auto" w:sz="4" w:space="0"/>
              <w:left w:val="single" w:color="auto" w:sz="4" w:space="0"/>
              <w:right w:val="single" w:color="auto" w:sz="4" w:space="0"/>
            </w:tcBorders>
            <w:vAlign w:val="center"/>
          </w:tcPr>
          <w:p w14:paraId="6554FF66">
            <w:pPr>
              <w:keepNext w:val="0"/>
              <w:keepLines w:val="0"/>
              <w:suppressLineNumbers w:val="0"/>
              <w:spacing w:before="0" w:beforeAutospacing="0" w:after="0" w:afterAutospacing="0" w:line="300" w:lineRule="exact"/>
              <w:ind w:left="0" w:right="0"/>
              <w:jc w:val="center"/>
              <w:rPr>
                <w:rFonts w:hint="default"/>
                <w:b/>
                <w:color w:val="auto"/>
                <w:szCs w:val="21"/>
                <w:highlight w:val="none"/>
              </w:rPr>
            </w:pPr>
            <w:r>
              <w:rPr>
                <w:rFonts w:hint="default"/>
                <w:b/>
                <w:color w:val="auto"/>
                <w:szCs w:val="21"/>
                <w:highlight w:val="none"/>
              </w:rPr>
              <w:t>2</w:t>
            </w:r>
          </w:p>
        </w:tc>
        <w:tc>
          <w:tcPr>
            <w:tcW w:w="675" w:type="pct"/>
            <w:vMerge w:val="restart"/>
            <w:tcBorders>
              <w:top w:val="single" w:color="auto" w:sz="4" w:space="0"/>
              <w:left w:val="single" w:color="auto" w:sz="4" w:space="0"/>
              <w:right w:val="single" w:color="auto" w:sz="4" w:space="0"/>
            </w:tcBorders>
            <w:vAlign w:val="center"/>
          </w:tcPr>
          <w:p w14:paraId="7BFFD061">
            <w:pPr>
              <w:keepNext w:val="0"/>
              <w:keepLines w:val="0"/>
              <w:suppressLineNumbers w:val="0"/>
              <w:spacing w:before="0" w:beforeAutospacing="0" w:after="0" w:afterAutospacing="0" w:line="300" w:lineRule="exact"/>
              <w:ind w:left="0" w:right="0"/>
              <w:jc w:val="center"/>
              <w:rPr>
                <w:rFonts w:hint="default"/>
                <w:color w:val="auto"/>
                <w:szCs w:val="21"/>
                <w:highlight w:val="none"/>
              </w:rPr>
            </w:pPr>
            <w:r>
              <w:rPr>
                <w:rFonts w:hint="eastAsia" w:cs="宋体"/>
                <w:color w:val="auto"/>
                <w:szCs w:val="21"/>
                <w:highlight w:val="none"/>
              </w:rPr>
              <w:t>技术部分（</w:t>
            </w:r>
            <w:r>
              <w:rPr>
                <w:rFonts w:hint="eastAsia" w:cs="宋体"/>
                <w:color w:val="auto"/>
                <w:szCs w:val="21"/>
                <w:highlight w:val="none"/>
                <w:lang w:val="en-US" w:eastAsia="zh-CN"/>
              </w:rPr>
              <w:t>46</w:t>
            </w:r>
            <w:r>
              <w:rPr>
                <w:rFonts w:hint="eastAsia" w:cs="宋体"/>
                <w:color w:val="auto"/>
                <w:szCs w:val="21"/>
                <w:highlight w:val="none"/>
              </w:rPr>
              <w:t>分）</w:t>
            </w:r>
          </w:p>
        </w:tc>
        <w:tc>
          <w:tcPr>
            <w:tcW w:w="3734" w:type="pct"/>
            <w:tcBorders>
              <w:top w:val="single" w:color="auto" w:sz="4" w:space="0"/>
              <w:left w:val="single" w:color="auto" w:sz="4" w:space="0"/>
              <w:bottom w:val="single" w:color="auto" w:sz="4" w:space="0"/>
              <w:right w:val="single" w:color="auto" w:sz="4" w:space="0"/>
            </w:tcBorders>
            <w:vAlign w:val="center"/>
          </w:tcPr>
          <w:p w14:paraId="4DA3C8F9">
            <w:pPr>
              <w:pStyle w:val="61"/>
              <w:keepNext w:val="0"/>
              <w:keepLines w:val="0"/>
              <w:numPr>
                <w:ilvl w:val="0"/>
                <w:numId w:val="4"/>
              </w:numPr>
              <w:suppressLineNumbers w:val="0"/>
              <w:spacing w:before="0" w:beforeAutospacing="0" w:after="0" w:afterAutospacing="0" w:line="300" w:lineRule="exact"/>
              <w:ind w:left="0" w:right="0"/>
              <w:rPr>
                <w:rFonts w:hint="default"/>
                <w:color w:val="auto"/>
                <w:sz w:val="21"/>
                <w:szCs w:val="21"/>
                <w:highlight w:val="none"/>
              </w:rPr>
            </w:pPr>
            <w:r>
              <w:rPr>
                <w:rFonts w:hint="eastAsia"/>
                <w:color w:val="auto"/>
                <w:sz w:val="21"/>
                <w:szCs w:val="21"/>
                <w:highlight w:val="none"/>
              </w:rPr>
              <w:t>技术方案分（</w:t>
            </w:r>
            <w:r>
              <w:rPr>
                <w:rFonts w:hint="eastAsia" w:hAnsi="宋体"/>
                <w:bCs w:val="0"/>
                <w:color w:val="auto"/>
                <w:sz w:val="21"/>
                <w:szCs w:val="21"/>
                <w:highlight w:val="none"/>
                <w:lang w:bidi="ar"/>
              </w:rPr>
              <w:t>满分</w:t>
            </w:r>
            <w:r>
              <w:rPr>
                <w:rFonts w:hint="eastAsia" w:hAnsi="宋体"/>
                <w:bCs w:val="0"/>
                <w:color w:val="auto"/>
                <w:sz w:val="21"/>
                <w:szCs w:val="21"/>
                <w:highlight w:val="none"/>
                <w:lang w:val="en-US" w:eastAsia="zh-CN" w:bidi="ar"/>
              </w:rPr>
              <w:t>9</w:t>
            </w:r>
            <w:r>
              <w:rPr>
                <w:rFonts w:hint="eastAsia" w:hAnsi="宋体"/>
                <w:bCs w:val="0"/>
                <w:color w:val="auto"/>
                <w:sz w:val="21"/>
                <w:szCs w:val="21"/>
                <w:highlight w:val="none"/>
                <w:lang w:bidi="ar"/>
              </w:rPr>
              <w:t>分</w:t>
            </w:r>
            <w:r>
              <w:rPr>
                <w:rFonts w:hint="eastAsia"/>
                <w:color w:val="auto"/>
                <w:sz w:val="21"/>
                <w:szCs w:val="21"/>
                <w:highlight w:val="none"/>
              </w:rPr>
              <w:t>）</w:t>
            </w:r>
          </w:p>
          <w:p w14:paraId="5E48D7EF">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一档（</w:t>
            </w:r>
            <w:r>
              <w:rPr>
                <w:rFonts w:hint="eastAsia"/>
                <w:color w:val="auto"/>
                <w:highlight w:val="none"/>
                <w:lang w:val="en-US" w:eastAsia="zh-CN"/>
              </w:rPr>
              <w:t>3</w:t>
            </w:r>
            <w:r>
              <w:rPr>
                <w:rFonts w:hint="eastAsia"/>
                <w:color w:val="auto"/>
                <w:highlight w:val="none"/>
              </w:rPr>
              <w:t>分）：提供的项目建设服务技术方案简单说明设计原则、平台架构、功能、性能。</w:t>
            </w:r>
          </w:p>
          <w:p w14:paraId="19079223">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二档（</w:t>
            </w:r>
            <w:r>
              <w:rPr>
                <w:rFonts w:hint="eastAsia"/>
                <w:color w:val="auto"/>
                <w:highlight w:val="none"/>
                <w:lang w:val="en-US" w:eastAsia="zh-CN"/>
              </w:rPr>
              <w:t>6</w:t>
            </w:r>
            <w:r>
              <w:rPr>
                <w:rFonts w:hint="eastAsia"/>
                <w:color w:val="auto"/>
                <w:highlight w:val="none"/>
              </w:rPr>
              <w:t>分）：提供的项目建设服务技术方案对项目需求进行简单分析，基本了解项目需求重点，对设计原则、平台架构、功能、性能进行完整说明，方案基本可行。</w:t>
            </w:r>
          </w:p>
          <w:p w14:paraId="5C802C95">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三档（</w:t>
            </w:r>
            <w:r>
              <w:rPr>
                <w:rFonts w:hint="eastAsia"/>
                <w:color w:val="auto"/>
                <w:highlight w:val="none"/>
                <w:lang w:val="en-US" w:eastAsia="zh-CN"/>
              </w:rPr>
              <w:t>9</w:t>
            </w:r>
            <w:r>
              <w:rPr>
                <w:rFonts w:hint="eastAsia"/>
                <w:color w:val="auto"/>
                <w:highlight w:val="none"/>
              </w:rPr>
              <w:t>分）：提供的项目建设服务技术方案针对项目需求进行详细分析，能准确阐述项目需求重点，对设计原则、平台架构、功能、性能进行全面、详细说明，方案条理清晰、合理可行，贴合采购人实际需要</w:t>
            </w:r>
            <w:r>
              <w:rPr>
                <w:rFonts w:hint="default"/>
                <w:color w:val="auto"/>
                <w:highlight w:val="none"/>
              </w:rPr>
              <w:t>。</w:t>
            </w:r>
          </w:p>
          <w:p w14:paraId="57D3B6E9">
            <w:pPr>
              <w:keepNext w:val="0"/>
              <w:keepLines w:val="0"/>
              <w:suppressLineNumbers w:val="0"/>
              <w:spacing w:before="0" w:beforeAutospacing="0" w:after="0" w:afterAutospacing="0" w:line="300" w:lineRule="exact"/>
              <w:ind w:left="0" w:right="0"/>
              <w:rPr>
                <w:rFonts w:hint="default"/>
                <w:color w:val="auto"/>
                <w:highlight w:val="none"/>
              </w:rPr>
            </w:pPr>
            <w:r>
              <w:rPr>
                <w:rFonts w:hint="default"/>
                <w:color w:val="auto"/>
                <w:highlight w:val="none"/>
              </w:rPr>
              <w:t>注：</w:t>
            </w:r>
            <w:r>
              <w:rPr>
                <w:rFonts w:hint="eastAsia"/>
                <w:color w:val="auto"/>
                <w:highlight w:val="none"/>
              </w:rPr>
              <w:t>投标人</w:t>
            </w:r>
            <w:r>
              <w:rPr>
                <w:rFonts w:hint="default"/>
                <w:color w:val="auto"/>
                <w:highlight w:val="none"/>
              </w:rPr>
              <w:t>未提供方案或提供的内容不符合</w:t>
            </w:r>
            <w:r>
              <w:rPr>
                <w:rFonts w:hint="eastAsia"/>
                <w:color w:val="auto"/>
                <w:highlight w:val="none"/>
              </w:rPr>
              <w:t>一档要求</w:t>
            </w:r>
            <w:r>
              <w:rPr>
                <w:rFonts w:hint="default"/>
                <w:color w:val="auto"/>
                <w:highlight w:val="none"/>
              </w:rPr>
              <w:t>的，得0分。</w:t>
            </w:r>
          </w:p>
        </w:tc>
        <w:tc>
          <w:tcPr>
            <w:tcW w:w="338" w:type="pct"/>
            <w:tcBorders>
              <w:top w:val="single" w:color="auto" w:sz="4" w:space="0"/>
              <w:left w:val="single" w:color="auto" w:sz="4" w:space="0"/>
              <w:bottom w:val="single" w:color="auto" w:sz="4" w:space="0"/>
              <w:right w:val="single" w:color="auto" w:sz="4" w:space="0"/>
            </w:tcBorders>
            <w:vAlign w:val="center"/>
          </w:tcPr>
          <w:p w14:paraId="0CBA39C6">
            <w:pPr>
              <w:keepNext w:val="0"/>
              <w:keepLines w:val="0"/>
              <w:suppressLineNumbers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val="en-US" w:eastAsia="zh-CN"/>
              </w:rPr>
              <w:t>9</w:t>
            </w:r>
          </w:p>
        </w:tc>
      </w:tr>
      <w:tr w14:paraId="392F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Borders>
              <w:left w:val="single" w:color="auto" w:sz="4" w:space="0"/>
              <w:right w:val="single" w:color="auto" w:sz="4" w:space="0"/>
            </w:tcBorders>
            <w:vAlign w:val="center"/>
          </w:tcPr>
          <w:p w14:paraId="5C14A43D">
            <w:pPr>
              <w:keepNext w:val="0"/>
              <w:keepLines w:val="0"/>
              <w:suppressLineNumbers w:val="0"/>
              <w:spacing w:before="0" w:beforeAutospacing="0" w:after="0" w:afterAutospacing="0" w:line="300" w:lineRule="exact"/>
              <w:ind w:left="0" w:right="0"/>
              <w:jc w:val="center"/>
              <w:rPr>
                <w:rFonts w:hint="default"/>
                <w:b/>
                <w:color w:val="auto"/>
                <w:szCs w:val="21"/>
                <w:highlight w:val="none"/>
              </w:rPr>
            </w:pPr>
          </w:p>
        </w:tc>
        <w:tc>
          <w:tcPr>
            <w:tcW w:w="675" w:type="pct"/>
            <w:vMerge w:val="continue"/>
            <w:tcBorders>
              <w:left w:val="single" w:color="auto" w:sz="4" w:space="0"/>
              <w:right w:val="single" w:color="auto" w:sz="4" w:space="0"/>
            </w:tcBorders>
            <w:vAlign w:val="center"/>
          </w:tcPr>
          <w:p w14:paraId="30E30DF4">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p>
        </w:tc>
        <w:tc>
          <w:tcPr>
            <w:tcW w:w="3734" w:type="pct"/>
            <w:tcBorders>
              <w:top w:val="single" w:color="auto" w:sz="4" w:space="0"/>
              <w:left w:val="single" w:color="auto" w:sz="4" w:space="0"/>
              <w:bottom w:val="single" w:color="auto" w:sz="4" w:space="0"/>
              <w:right w:val="single" w:color="auto" w:sz="4" w:space="0"/>
            </w:tcBorders>
            <w:vAlign w:val="center"/>
          </w:tcPr>
          <w:p w14:paraId="3E2FA589">
            <w:pPr>
              <w:pStyle w:val="61"/>
              <w:keepNext w:val="0"/>
              <w:keepLines w:val="0"/>
              <w:suppressLineNumbers w:val="0"/>
              <w:spacing w:before="0" w:beforeAutospacing="0" w:after="0" w:afterAutospacing="0" w:line="300" w:lineRule="exact"/>
              <w:ind w:left="0" w:right="0"/>
              <w:rPr>
                <w:rFonts w:hint="default"/>
                <w:color w:val="auto"/>
                <w:sz w:val="21"/>
                <w:szCs w:val="21"/>
                <w:highlight w:val="none"/>
              </w:rPr>
            </w:pPr>
            <w:r>
              <w:rPr>
                <w:rFonts w:hint="eastAsia"/>
                <w:color w:val="auto"/>
                <w:sz w:val="21"/>
                <w:szCs w:val="21"/>
                <w:highlight w:val="none"/>
              </w:rPr>
              <w:t>2、项目实施方案分（满分</w:t>
            </w:r>
            <w:r>
              <w:rPr>
                <w:rFonts w:hint="eastAsia"/>
                <w:color w:val="auto"/>
                <w:sz w:val="21"/>
                <w:szCs w:val="21"/>
                <w:highlight w:val="none"/>
                <w:lang w:val="en-US" w:eastAsia="zh-CN"/>
              </w:rPr>
              <w:t>9</w:t>
            </w:r>
            <w:r>
              <w:rPr>
                <w:rFonts w:hint="eastAsia"/>
                <w:color w:val="auto"/>
                <w:sz w:val="21"/>
                <w:szCs w:val="21"/>
                <w:highlight w:val="none"/>
              </w:rPr>
              <w:t>分）</w:t>
            </w:r>
          </w:p>
          <w:p w14:paraId="4841E313">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由评标委员会根据采购文件要求及投标人的投标文件中的项目安装、调试、验收计划方案，确保质量及交付期的组织方案，人力资源和技术力量安排等内容进行评审，独立确定各投标人所属档次并打分。</w:t>
            </w:r>
          </w:p>
          <w:p w14:paraId="49C67193">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一档（</w:t>
            </w:r>
            <w:r>
              <w:rPr>
                <w:rFonts w:hint="eastAsia"/>
                <w:color w:val="auto"/>
                <w:highlight w:val="none"/>
                <w:lang w:val="en-US" w:eastAsia="zh-CN"/>
              </w:rPr>
              <w:t>3</w:t>
            </w:r>
            <w:r>
              <w:rPr>
                <w:rFonts w:hint="eastAsia"/>
                <w:color w:val="auto"/>
                <w:highlight w:val="none"/>
              </w:rPr>
              <w:t>分）：项目实施方案基本满足上述评分内容，描述简单，基本能保障项目实施。驻点实施团队不少于2人，其中</w:t>
            </w:r>
            <w:r>
              <w:rPr>
                <w:rFonts w:hint="eastAsia"/>
                <w:color w:val="auto"/>
                <w:highlight w:val="none"/>
                <w:lang w:val="en-US" w:eastAsia="zh-CN"/>
              </w:rPr>
              <w:t>计算机或软件或信息类等与本项目相关的</w:t>
            </w:r>
            <w:r>
              <w:rPr>
                <w:rFonts w:hint="eastAsia"/>
                <w:color w:val="auto"/>
                <w:highlight w:val="none"/>
              </w:rPr>
              <w:t>高级职称人员不少于1人。</w:t>
            </w:r>
          </w:p>
          <w:p w14:paraId="7B610A38">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二档（</w:t>
            </w:r>
            <w:r>
              <w:rPr>
                <w:rFonts w:hint="eastAsia"/>
                <w:color w:val="auto"/>
                <w:highlight w:val="none"/>
                <w:lang w:val="en-US" w:eastAsia="zh-CN"/>
              </w:rPr>
              <w:t>6</w:t>
            </w:r>
            <w:r>
              <w:rPr>
                <w:rFonts w:hint="eastAsia"/>
                <w:color w:val="auto"/>
                <w:highlight w:val="none"/>
              </w:rPr>
              <w:t>分）：项目实施方案满足上述评分内容，方案可行，实施步骤、计划及组织方案完整具体，拟投入的人力资源和技术力量满足项目实施需要。驻点实施团队不少于 3 人，其中</w:t>
            </w:r>
            <w:r>
              <w:rPr>
                <w:rFonts w:hint="eastAsia"/>
                <w:color w:val="auto"/>
                <w:highlight w:val="none"/>
                <w:lang w:val="en-US" w:eastAsia="zh-CN"/>
              </w:rPr>
              <w:t>计算机或软件或信息类等与本项目相关的</w:t>
            </w:r>
            <w:r>
              <w:rPr>
                <w:rFonts w:hint="eastAsia"/>
                <w:color w:val="auto"/>
                <w:highlight w:val="none"/>
              </w:rPr>
              <w:t>高级职称人员不少于 2 人。</w:t>
            </w:r>
          </w:p>
          <w:p w14:paraId="76FA5C6D">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三档（</w:t>
            </w:r>
            <w:r>
              <w:rPr>
                <w:rFonts w:hint="eastAsia"/>
                <w:color w:val="auto"/>
                <w:highlight w:val="none"/>
                <w:lang w:val="en-US" w:eastAsia="zh-CN"/>
              </w:rPr>
              <w:t>9</w:t>
            </w:r>
            <w:r>
              <w:rPr>
                <w:rFonts w:hint="eastAsia"/>
                <w:color w:val="auto"/>
                <w:highlight w:val="none"/>
              </w:rPr>
              <w:t>分）：项目实施方案优于上述评分内容，方案详实、切合本项目实际，实施步骤、计划及组织方案完整周全，设立针对本项目的组织机构，项目实施人员配备充足、分工合理明确，很好保障项目实施质量及按期交付。驻点实施团队不少于4人或以上，其中</w:t>
            </w:r>
            <w:r>
              <w:rPr>
                <w:rFonts w:hint="eastAsia"/>
                <w:color w:val="auto"/>
                <w:highlight w:val="none"/>
                <w:lang w:val="en-US" w:eastAsia="zh-CN"/>
              </w:rPr>
              <w:t>计算机或软件或信息类等与本项目相关的</w:t>
            </w:r>
            <w:r>
              <w:rPr>
                <w:rFonts w:hint="eastAsia"/>
                <w:color w:val="auto"/>
                <w:highlight w:val="none"/>
              </w:rPr>
              <w:t>高级职称人员不少于 3 人。</w:t>
            </w:r>
          </w:p>
          <w:p w14:paraId="433D1845">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注：（1）投标人未提供或提供的内容不符合项目采购需求的，不得分。（2）投标文件中须提供有效的职称证原件扫描件并加盖投标人电子签章，否则不予计分。</w:t>
            </w:r>
          </w:p>
        </w:tc>
        <w:tc>
          <w:tcPr>
            <w:tcW w:w="338" w:type="pct"/>
            <w:tcBorders>
              <w:top w:val="single" w:color="auto" w:sz="4" w:space="0"/>
              <w:left w:val="single" w:color="auto" w:sz="4" w:space="0"/>
              <w:bottom w:val="single" w:color="auto" w:sz="4" w:space="0"/>
              <w:right w:val="single" w:color="auto" w:sz="4" w:space="0"/>
            </w:tcBorders>
            <w:vAlign w:val="center"/>
          </w:tcPr>
          <w:p w14:paraId="7CE59827">
            <w:pPr>
              <w:keepNext w:val="0"/>
              <w:keepLines w:val="0"/>
              <w:suppressLineNumbers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val="en-US" w:eastAsia="zh-CN"/>
              </w:rPr>
              <w:t>9</w:t>
            </w:r>
          </w:p>
        </w:tc>
      </w:tr>
      <w:tr w14:paraId="54B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Borders>
              <w:left w:val="single" w:color="auto" w:sz="4" w:space="0"/>
              <w:right w:val="single" w:color="auto" w:sz="4" w:space="0"/>
            </w:tcBorders>
            <w:vAlign w:val="center"/>
          </w:tcPr>
          <w:p w14:paraId="6B1F3EA0">
            <w:pPr>
              <w:keepNext w:val="0"/>
              <w:keepLines w:val="0"/>
              <w:suppressLineNumbers w:val="0"/>
              <w:spacing w:before="0" w:beforeAutospacing="0" w:after="0" w:afterAutospacing="0" w:line="300" w:lineRule="exact"/>
              <w:ind w:left="0" w:right="0"/>
              <w:jc w:val="center"/>
              <w:rPr>
                <w:rFonts w:hint="default"/>
                <w:b/>
                <w:color w:val="auto"/>
                <w:szCs w:val="21"/>
                <w:highlight w:val="none"/>
              </w:rPr>
            </w:pPr>
          </w:p>
        </w:tc>
        <w:tc>
          <w:tcPr>
            <w:tcW w:w="675" w:type="pct"/>
            <w:vMerge w:val="continue"/>
            <w:tcBorders>
              <w:left w:val="single" w:color="auto" w:sz="4" w:space="0"/>
              <w:right w:val="single" w:color="auto" w:sz="4" w:space="0"/>
            </w:tcBorders>
            <w:vAlign w:val="center"/>
          </w:tcPr>
          <w:p w14:paraId="6B84EB2B">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p>
        </w:tc>
        <w:tc>
          <w:tcPr>
            <w:tcW w:w="3734" w:type="pct"/>
            <w:tcBorders>
              <w:top w:val="single" w:color="auto" w:sz="4" w:space="0"/>
              <w:left w:val="single" w:color="auto" w:sz="4" w:space="0"/>
              <w:bottom w:val="single" w:color="auto" w:sz="4" w:space="0"/>
              <w:right w:val="single" w:color="auto" w:sz="4" w:space="0"/>
            </w:tcBorders>
            <w:vAlign w:val="center"/>
          </w:tcPr>
          <w:p w14:paraId="25296DB7">
            <w:pPr>
              <w:keepNext w:val="0"/>
              <w:keepLines w:val="0"/>
              <w:suppressLineNumbers w:val="0"/>
              <w:spacing w:before="0" w:beforeAutospacing="0" w:after="0" w:afterAutospacing="0" w:line="300" w:lineRule="exact"/>
              <w:ind w:left="0" w:right="0"/>
              <w:rPr>
                <w:rFonts w:hint="default"/>
                <w:color w:val="auto"/>
                <w:highlight w:val="none"/>
              </w:rPr>
            </w:pPr>
            <w:r>
              <w:rPr>
                <w:rFonts w:hint="eastAsia" w:ascii="宋体" w:hAnsi="宋体"/>
                <w:b/>
                <w:color w:val="auto"/>
                <w:szCs w:val="21"/>
                <w:highlight w:val="none"/>
                <w:lang w:bidi="ar"/>
              </w:rPr>
              <w:t>3、培训方案分（满分</w:t>
            </w:r>
            <w:r>
              <w:rPr>
                <w:rFonts w:hint="eastAsia" w:ascii="宋体" w:hAnsi="宋体"/>
                <w:b/>
                <w:color w:val="auto"/>
                <w:szCs w:val="21"/>
                <w:highlight w:val="none"/>
                <w:lang w:val="en-US" w:eastAsia="zh-CN" w:bidi="ar"/>
              </w:rPr>
              <w:t>9</w:t>
            </w:r>
            <w:r>
              <w:rPr>
                <w:rFonts w:hint="eastAsia" w:ascii="宋体" w:hAnsi="宋体"/>
                <w:b/>
                <w:color w:val="auto"/>
                <w:szCs w:val="21"/>
                <w:highlight w:val="none"/>
                <w:lang w:bidi="ar"/>
              </w:rPr>
              <w:t>分）</w:t>
            </w:r>
          </w:p>
          <w:p w14:paraId="656230EA">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由评标委员会根据各投标人提供的培训方案进行独立评审，达不到一档要求的不得分。</w:t>
            </w:r>
          </w:p>
          <w:p w14:paraId="5CD52E7B">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一档（</w:t>
            </w:r>
            <w:r>
              <w:rPr>
                <w:rFonts w:hint="eastAsia"/>
                <w:color w:val="auto"/>
                <w:highlight w:val="none"/>
                <w:lang w:val="en-US" w:eastAsia="zh-CN"/>
              </w:rPr>
              <w:t>3</w:t>
            </w:r>
            <w:r>
              <w:rPr>
                <w:rFonts w:hint="eastAsia"/>
                <w:color w:val="auto"/>
                <w:highlight w:val="none"/>
              </w:rPr>
              <w:t xml:space="preserve">分）：培训方案有培训计划安排，但安排不明确，没有针对采购需求进行对应表述。 </w:t>
            </w:r>
          </w:p>
          <w:p w14:paraId="34F53E70">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二档（</w:t>
            </w:r>
            <w:r>
              <w:rPr>
                <w:rFonts w:hint="eastAsia"/>
                <w:color w:val="auto"/>
                <w:highlight w:val="none"/>
                <w:lang w:val="en-US" w:eastAsia="zh-CN"/>
              </w:rPr>
              <w:t>6</w:t>
            </w:r>
            <w:r>
              <w:rPr>
                <w:rFonts w:hint="eastAsia"/>
                <w:color w:val="auto"/>
                <w:highlight w:val="none"/>
              </w:rPr>
              <w:t xml:space="preserve"> 分）：培训方案有完整的计划，内容至少包含：培训时间、培训进度安排内容。 </w:t>
            </w:r>
          </w:p>
          <w:p w14:paraId="104F9A84">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三档（</w:t>
            </w:r>
            <w:r>
              <w:rPr>
                <w:rFonts w:hint="eastAsia"/>
                <w:color w:val="auto"/>
                <w:highlight w:val="none"/>
                <w:lang w:val="en-US" w:eastAsia="zh-CN"/>
              </w:rPr>
              <w:t>9</w:t>
            </w:r>
            <w:r>
              <w:rPr>
                <w:rFonts w:hint="eastAsia"/>
                <w:color w:val="auto"/>
                <w:highlight w:val="none"/>
              </w:rPr>
              <w:t>分）：培训方案有详实可行的计划，包含：拟派培训技术人员的安排、拟派培训技术人员的经验介绍、培训时间、规模人数等内容。</w:t>
            </w:r>
          </w:p>
        </w:tc>
        <w:tc>
          <w:tcPr>
            <w:tcW w:w="338" w:type="pct"/>
            <w:tcBorders>
              <w:top w:val="single" w:color="auto" w:sz="4" w:space="0"/>
              <w:left w:val="single" w:color="auto" w:sz="4" w:space="0"/>
              <w:bottom w:val="single" w:color="auto" w:sz="4" w:space="0"/>
              <w:right w:val="single" w:color="auto" w:sz="4" w:space="0"/>
            </w:tcBorders>
            <w:vAlign w:val="center"/>
          </w:tcPr>
          <w:p w14:paraId="2C7E22E2">
            <w:pPr>
              <w:keepNext w:val="0"/>
              <w:keepLines w:val="0"/>
              <w:suppressLineNumbers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val="en-US" w:eastAsia="zh-CN"/>
              </w:rPr>
              <w:t>9</w:t>
            </w:r>
          </w:p>
        </w:tc>
      </w:tr>
      <w:tr w14:paraId="78B6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Borders>
              <w:left w:val="single" w:color="auto" w:sz="4" w:space="0"/>
              <w:right w:val="single" w:color="auto" w:sz="4" w:space="0"/>
            </w:tcBorders>
            <w:vAlign w:val="center"/>
          </w:tcPr>
          <w:p w14:paraId="7A57808A">
            <w:pPr>
              <w:keepNext w:val="0"/>
              <w:keepLines w:val="0"/>
              <w:suppressLineNumbers w:val="0"/>
              <w:spacing w:before="0" w:beforeAutospacing="0" w:after="0" w:afterAutospacing="0" w:line="300" w:lineRule="exact"/>
              <w:ind w:left="0" w:right="0"/>
              <w:jc w:val="center"/>
              <w:rPr>
                <w:rFonts w:hint="default"/>
                <w:b/>
                <w:color w:val="auto"/>
                <w:szCs w:val="21"/>
                <w:highlight w:val="none"/>
              </w:rPr>
            </w:pPr>
          </w:p>
        </w:tc>
        <w:tc>
          <w:tcPr>
            <w:tcW w:w="675" w:type="pct"/>
            <w:vMerge w:val="continue"/>
            <w:tcBorders>
              <w:left w:val="single" w:color="auto" w:sz="4" w:space="0"/>
              <w:right w:val="single" w:color="auto" w:sz="4" w:space="0"/>
            </w:tcBorders>
            <w:vAlign w:val="center"/>
          </w:tcPr>
          <w:p w14:paraId="2A21A2DF">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p>
        </w:tc>
        <w:tc>
          <w:tcPr>
            <w:tcW w:w="3734" w:type="pct"/>
            <w:tcBorders>
              <w:top w:val="single" w:color="auto" w:sz="4" w:space="0"/>
              <w:left w:val="single" w:color="auto" w:sz="4" w:space="0"/>
              <w:bottom w:val="single" w:color="auto" w:sz="4" w:space="0"/>
              <w:right w:val="single" w:color="auto" w:sz="4" w:space="0"/>
            </w:tcBorders>
            <w:vAlign w:val="center"/>
          </w:tcPr>
          <w:p w14:paraId="54455CAF">
            <w:pPr>
              <w:keepNext w:val="0"/>
              <w:keepLines w:val="0"/>
              <w:suppressLineNumbers w:val="0"/>
              <w:spacing w:before="0" w:beforeAutospacing="0" w:after="0" w:afterAutospacing="0" w:line="300" w:lineRule="exact"/>
              <w:ind w:left="0" w:right="0"/>
              <w:rPr>
                <w:rFonts w:hint="default"/>
                <w:color w:val="auto"/>
                <w:highlight w:val="none"/>
              </w:rPr>
            </w:pPr>
            <w:r>
              <w:rPr>
                <w:rFonts w:hint="eastAsia" w:ascii="宋体" w:hAnsi="宋体"/>
                <w:b/>
                <w:color w:val="auto"/>
                <w:szCs w:val="21"/>
                <w:highlight w:val="none"/>
                <w:lang w:bidi="ar"/>
              </w:rPr>
              <w:t>4、售后服务方案分（满分</w:t>
            </w:r>
            <w:r>
              <w:rPr>
                <w:rFonts w:hint="eastAsia" w:ascii="宋体" w:hAnsi="宋体"/>
                <w:b/>
                <w:color w:val="auto"/>
                <w:szCs w:val="21"/>
                <w:highlight w:val="none"/>
                <w:lang w:val="en-US" w:eastAsia="zh-CN" w:bidi="ar"/>
              </w:rPr>
              <w:t>9</w:t>
            </w:r>
            <w:r>
              <w:rPr>
                <w:rFonts w:hint="eastAsia" w:ascii="宋体" w:hAnsi="宋体"/>
                <w:b/>
                <w:color w:val="auto"/>
                <w:szCs w:val="21"/>
                <w:highlight w:val="none"/>
                <w:lang w:bidi="ar"/>
              </w:rPr>
              <w:t>分）</w:t>
            </w:r>
          </w:p>
          <w:p w14:paraId="00AFDEBF">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由评标委员会在打分前根据各投标人售后服务方案及承诺书中故障响应时间、到达故障现场时间、人员配备情况、故障出现解决方案、定期回访 (注明时间)、免费保修期外维修方案、其他售后服务保证等内容的完整性和可行性进行评审，独立确定各投标人所属档次并打分。</w:t>
            </w:r>
          </w:p>
          <w:p w14:paraId="1E0C7FD6">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一档（</w:t>
            </w:r>
            <w:r>
              <w:rPr>
                <w:rFonts w:hint="eastAsia"/>
                <w:color w:val="auto"/>
                <w:highlight w:val="none"/>
                <w:lang w:val="en-US" w:eastAsia="zh-CN"/>
              </w:rPr>
              <w:t>3</w:t>
            </w:r>
            <w:r>
              <w:rPr>
                <w:rFonts w:hint="eastAsia"/>
                <w:color w:val="auto"/>
                <w:highlight w:val="none"/>
              </w:rPr>
              <w:t>分）：售后服务方案及承诺满足采购文件基本要求，提供有简单的故障出现解决方案，提供2人的售后服务人员。</w:t>
            </w:r>
          </w:p>
          <w:p w14:paraId="67AACEF1">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二档（</w:t>
            </w:r>
            <w:r>
              <w:rPr>
                <w:rFonts w:hint="eastAsia"/>
                <w:color w:val="auto"/>
                <w:highlight w:val="none"/>
                <w:lang w:val="en-US" w:eastAsia="zh-CN"/>
              </w:rPr>
              <w:t>6</w:t>
            </w:r>
            <w:r>
              <w:rPr>
                <w:rFonts w:hint="eastAsia"/>
                <w:color w:val="auto"/>
                <w:highlight w:val="none"/>
              </w:rPr>
              <w:t>分）：售后服务方案及承诺满足采购文件要求，各项内容编制思路合理且基本完整，售后服务人员配备3-5（含）人，故障出现解决方案、免费保修期外维修方案可行。</w:t>
            </w:r>
          </w:p>
          <w:p w14:paraId="76BB3F5A">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rPr>
              <w:t>三档（</w:t>
            </w:r>
            <w:r>
              <w:rPr>
                <w:rFonts w:hint="eastAsia"/>
                <w:color w:val="auto"/>
                <w:highlight w:val="none"/>
                <w:lang w:val="en-US" w:eastAsia="zh-CN"/>
              </w:rPr>
              <w:t>9</w:t>
            </w:r>
            <w:r>
              <w:rPr>
                <w:rFonts w:hint="eastAsia"/>
                <w:color w:val="auto"/>
                <w:highlight w:val="none"/>
              </w:rPr>
              <w:t>分）：售后服务方案及承诺详细、全面，安排有充足的专职售后服务人员6（含）人以上且职责明确，应用及操作计划明确详细、安排恰当、人员经验丰富，故障响应时间、到达现场维护时间优于采购要求，故障出现解决方案、免费保修期外维修方案详细、可操作性强，承诺每年回访不少于两次（明确具体时间），对产品实行跟踪服务。</w:t>
            </w:r>
          </w:p>
          <w:p w14:paraId="5A6C8C7E">
            <w:pPr>
              <w:keepNext w:val="0"/>
              <w:keepLines w:val="0"/>
              <w:suppressLineNumbers w:val="0"/>
              <w:spacing w:before="0" w:beforeAutospacing="0" w:after="0" w:afterAutospacing="0" w:line="300" w:lineRule="exact"/>
              <w:ind w:left="0" w:right="0"/>
              <w:rPr>
                <w:rFonts w:hint="eastAsia"/>
                <w:color w:val="auto"/>
                <w:highlight w:val="none"/>
              </w:rPr>
            </w:pPr>
            <w:r>
              <w:rPr>
                <w:rFonts w:hint="eastAsia"/>
                <w:color w:val="auto"/>
                <w:highlight w:val="none"/>
              </w:rPr>
              <w:t>注：投标人未提供方案或提供的内容不符合的，得0分。</w:t>
            </w:r>
          </w:p>
        </w:tc>
        <w:tc>
          <w:tcPr>
            <w:tcW w:w="338" w:type="pct"/>
            <w:tcBorders>
              <w:top w:val="single" w:color="auto" w:sz="4" w:space="0"/>
              <w:left w:val="single" w:color="auto" w:sz="4" w:space="0"/>
              <w:bottom w:val="single" w:color="auto" w:sz="4" w:space="0"/>
              <w:right w:val="single" w:color="auto" w:sz="4" w:space="0"/>
            </w:tcBorders>
            <w:vAlign w:val="center"/>
          </w:tcPr>
          <w:p w14:paraId="7133941D">
            <w:pPr>
              <w:keepNext w:val="0"/>
              <w:keepLines w:val="0"/>
              <w:suppressLineNumbers w:val="0"/>
              <w:spacing w:before="0" w:beforeAutospacing="0" w:after="0" w:afterAutospacing="0" w:line="300" w:lineRule="exact"/>
              <w:ind w:left="0" w:right="0"/>
              <w:jc w:val="center"/>
              <w:rPr>
                <w:rFonts w:hint="default"/>
                <w:color w:val="auto"/>
                <w:szCs w:val="21"/>
                <w:highlight w:val="none"/>
                <w:lang w:val="en-US" w:eastAsia="zh-CN"/>
              </w:rPr>
            </w:pPr>
            <w:r>
              <w:rPr>
                <w:rFonts w:hint="eastAsia"/>
                <w:color w:val="auto"/>
                <w:szCs w:val="21"/>
                <w:highlight w:val="none"/>
                <w:lang w:val="en-US" w:eastAsia="zh-CN"/>
              </w:rPr>
              <w:t>9</w:t>
            </w:r>
          </w:p>
        </w:tc>
      </w:tr>
      <w:tr w14:paraId="40C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Borders>
              <w:left w:val="single" w:color="auto" w:sz="4" w:space="0"/>
              <w:right w:val="single" w:color="auto" w:sz="4" w:space="0"/>
            </w:tcBorders>
            <w:vAlign w:val="center"/>
          </w:tcPr>
          <w:p w14:paraId="743D10B5">
            <w:pPr>
              <w:keepNext w:val="0"/>
              <w:keepLines w:val="0"/>
              <w:suppressLineNumbers w:val="0"/>
              <w:spacing w:before="0" w:beforeAutospacing="0" w:after="0" w:afterAutospacing="0" w:line="300" w:lineRule="exact"/>
              <w:ind w:left="0" w:right="0"/>
              <w:jc w:val="center"/>
              <w:rPr>
                <w:rFonts w:hint="default"/>
                <w:b/>
                <w:color w:val="auto"/>
                <w:szCs w:val="21"/>
                <w:highlight w:val="none"/>
              </w:rPr>
            </w:pPr>
          </w:p>
        </w:tc>
        <w:tc>
          <w:tcPr>
            <w:tcW w:w="675" w:type="pct"/>
            <w:vMerge w:val="continue"/>
            <w:tcBorders>
              <w:left w:val="single" w:color="auto" w:sz="4" w:space="0"/>
              <w:right w:val="single" w:color="auto" w:sz="4" w:space="0"/>
            </w:tcBorders>
            <w:vAlign w:val="center"/>
          </w:tcPr>
          <w:p w14:paraId="7ACE996E">
            <w:pPr>
              <w:keepNext w:val="0"/>
              <w:keepLines w:val="0"/>
              <w:suppressLineNumbers w:val="0"/>
              <w:spacing w:before="0" w:beforeAutospacing="0" w:after="0" w:afterAutospacing="0" w:line="300" w:lineRule="exact"/>
              <w:ind w:left="0" w:right="0"/>
              <w:jc w:val="center"/>
              <w:rPr>
                <w:rFonts w:hint="default" w:cs="宋体"/>
                <w:color w:val="auto"/>
                <w:szCs w:val="21"/>
                <w:highlight w:val="none"/>
              </w:rPr>
            </w:pPr>
          </w:p>
        </w:tc>
        <w:tc>
          <w:tcPr>
            <w:tcW w:w="3734" w:type="pct"/>
            <w:tcBorders>
              <w:top w:val="single" w:color="auto" w:sz="4" w:space="0"/>
              <w:left w:val="single" w:color="auto" w:sz="4" w:space="0"/>
              <w:bottom w:val="single" w:color="auto" w:sz="4" w:space="0"/>
              <w:right w:val="single" w:color="auto" w:sz="4" w:space="0"/>
            </w:tcBorders>
            <w:vAlign w:val="center"/>
          </w:tcPr>
          <w:p w14:paraId="7FC27EB1">
            <w:pPr>
              <w:keepNext w:val="0"/>
              <w:keepLines w:val="0"/>
              <w:suppressLineNumbers w:val="0"/>
              <w:spacing w:before="0" w:beforeAutospacing="0" w:after="0" w:afterAutospacing="0" w:line="300" w:lineRule="exact"/>
              <w:ind w:left="0" w:right="0"/>
              <w:rPr>
                <w:rFonts w:hint="eastAsia"/>
                <w:color w:val="auto"/>
                <w:highlight w:val="none"/>
                <w:lang w:val="en-US" w:eastAsia="zh-CN"/>
              </w:rPr>
            </w:pPr>
            <w:r>
              <w:rPr>
                <w:rFonts w:hint="eastAsia"/>
                <w:color w:val="auto"/>
                <w:highlight w:val="none"/>
                <w:lang w:val="en-US" w:eastAsia="zh-CN"/>
              </w:rPr>
              <w:t xml:space="preserve">5、技术参数分（满分10分）    </w:t>
            </w:r>
          </w:p>
          <w:p w14:paraId="51FB3766">
            <w:pPr>
              <w:keepNext w:val="0"/>
              <w:keepLines w:val="0"/>
              <w:suppressLineNumbers w:val="0"/>
              <w:spacing w:before="0" w:beforeAutospacing="0" w:after="0" w:afterAutospacing="0" w:line="300" w:lineRule="exact"/>
              <w:ind w:left="0" w:right="0"/>
              <w:rPr>
                <w:rFonts w:hint="default"/>
                <w:color w:val="auto"/>
                <w:highlight w:val="none"/>
              </w:rPr>
            </w:pPr>
            <w:r>
              <w:rPr>
                <w:rFonts w:hint="eastAsia"/>
                <w:color w:val="auto"/>
                <w:highlight w:val="none"/>
                <w:lang w:val="en-US" w:eastAsia="zh-CN"/>
              </w:rPr>
              <w:t>技术参数完全满足招标文件要求的得基本分10分。一般参数及功能（未标▲的技术参数）负偏离或漏项一项扣0.5分，最多扣完本项分值（在采购文件允许偏离的项数内）。</w:t>
            </w:r>
          </w:p>
        </w:tc>
        <w:tc>
          <w:tcPr>
            <w:tcW w:w="338" w:type="pct"/>
            <w:tcBorders>
              <w:top w:val="single" w:color="auto" w:sz="4" w:space="0"/>
              <w:left w:val="single" w:color="auto" w:sz="4" w:space="0"/>
              <w:bottom w:val="single" w:color="auto" w:sz="4" w:space="0"/>
              <w:right w:val="single" w:color="auto" w:sz="4" w:space="0"/>
            </w:tcBorders>
            <w:vAlign w:val="center"/>
          </w:tcPr>
          <w:p w14:paraId="7AD948E8">
            <w:pPr>
              <w:keepNext w:val="0"/>
              <w:keepLines w:val="0"/>
              <w:suppressLineNumbers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val="en-US" w:eastAsia="zh-CN"/>
              </w:rPr>
              <w:t>10</w:t>
            </w:r>
          </w:p>
        </w:tc>
      </w:tr>
    </w:tbl>
    <w:p w14:paraId="18983A89">
      <w:pPr>
        <w:ind w:firstLine="315" w:firstLineChars="150"/>
        <w:rPr>
          <w:color w:val="auto"/>
          <w:highlight w:val="none"/>
          <w:lang w:val="zh-CN"/>
        </w:rPr>
      </w:pPr>
    </w:p>
    <w:p w14:paraId="6152DD1F">
      <w:pPr>
        <w:pStyle w:val="2"/>
        <w:rPr>
          <w:color w:val="auto"/>
          <w:highlight w:val="none"/>
          <w:lang w:val="zh-CN"/>
        </w:rPr>
      </w:pPr>
    </w:p>
    <w:p w14:paraId="4C74F2C5">
      <w:pPr>
        <w:pStyle w:val="27"/>
        <w:snapToGrid w:val="0"/>
        <w:ind w:firstLine="316" w:firstLineChars="150"/>
        <w:rPr>
          <w:rFonts w:ascii="Times New Roman" w:hAnsi="Times New Roman" w:cs="Times New Roman"/>
          <w:b/>
          <w:bCs/>
          <w:color w:val="auto"/>
          <w:sz w:val="24"/>
          <w:szCs w:val="24"/>
          <w:highlight w:val="none"/>
        </w:rPr>
      </w:pPr>
      <w:r>
        <w:rPr>
          <w:rFonts w:hint="eastAsia"/>
          <w:b/>
          <w:bCs/>
          <w:color w:val="auto"/>
          <w:highlight w:val="none"/>
          <w:lang w:val="zh-CN"/>
        </w:rPr>
        <w:t>（2）投标报价分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128"/>
        <w:gridCol w:w="3607"/>
        <w:gridCol w:w="816"/>
        <w:gridCol w:w="2205"/>
      </w:tblGrid>
      <w:tr w14:paraId="54D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42AB50E7">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cs="宋体"/>
                <w:b/>
                <w:color w:val="auto"/>
                <w:szCs w:val="21"/>
                <w:highlight w:val="none"/>
              </w:rPr>
              <w:t>序号</w:t>
            </w:r>
          </w:p>
        </w:tc>
        <w:tc>
          <w:tcPr>
            <w:tcW w:w="1111" w:type="pct"/>
            <w:tcBorders>
              <w:top w:val="single" w:color="auto" w:sz="4" w:space="0"/>
              <w:left w:val="single" w:color="auto" w:sz="4" w:space="0"/>
              <w:bottom w:val="single" w:color="auto" w:sz="4" w:space="0"/>
              <w:right w:val="single" w:color="auto" w:sz="4" w:space="0"/>
            </w:tcBorders>
            <w:vAlign w:val="center"/>
          </w:tcPr>
          <w:p w14:paraId="474D9DD8">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cs="宋体"/>
                <w:b/>
                <w:color w:val="auto"/>
                <w:szCs w:val="21"/>
                <w:highlight w:val="none"/>
              </w:rPr>
              <w:t>类型</w:t>
            </w:r>
          </w:p>
        </w:tc>
        <w:tc>
          <w:tcPr>
            <w:tcW w:w="1883" w:type="pct"/>
            <w:tcBorders>
              <w:top w:val="single" w:color="auto" w:sz="4" w:space="0"/>
              <w:left w:val="single" w:color="auto" w:sz="4" w:space="0"/>
              <w:bottom w:val="single" w:color="auto" w:sz="4" w:space="0"/>
              <w:right w:val="single" w:color="auto" w:sz="4" w:space="0"/>
            </w:tcBorders>
            <w:vAlign w:val="center"/>
          </w:tcPr>
          <w:p w14:paraId="515A631A">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cs="宋体"/>
                <w:b/>
                <w:color w:val="auto"/>
                <w:szCs w:val="21"/>
                <w:highlight w:val="none"/>
              </w:rPr>
              <w:t>评分标准</w:t>
            </w:r>
          </w:p>
        </w:tc>
        <w:tc>
          <w:tcPr>
            <w:tcW w:w="426" w:type="pct"/>
            <w:tcBorders>
              <w:top w:val="single" w:color="auto" w:sz="4" w:space="0"/>
              <w:left w:val="single" w:color="auto" w:sz="4" w:space="0"/>
              <w:bottom w:val="single" w:color="auto" w:sz="4" w:space="0"/>
              <w:right w:val="single" w:color="auto" w:sz="4" w:space="0"/>
            </w:tcBorders>
            <w:vAlign w:val="center"/>
          </w:tcPr>
          <w:p w14:paraId="5B26842A">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cs="宋体"/>
                <w:b/>
                <w:color w:val="auto"/>
                <w:szCs w:val="21"/>
                <w:highlight w:val="none"/>
              </w:rPr>
              <w:t>分值</w:t>
            </w:r>
          </w:p>
        </w:tc>
        <w:tc>
          <w:tcPr>
            <w:tcW w:w="1151" w:type="pct"/>
            <w:tcBorders>
              <w:top w:val="single" w:color="auto" w:sz="4" w:space="0"/>
              <w:left w:val="single" w:color="auto" w:sz="4" w:space="0"/>
              <w:bottom w:val="single" w:color="auto" w:sz="4" w:space="0"/>
              <w:right w:val="single" w:color="auto" w:sz="4" w:space="0"/>
            </w:tcBorders>
            <w:vAlign w:val="center"/>
          </w:tcPr>
          <w:p w14:paraId="7A7C1163">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cs="宋体"/>
                <w:b/>
                <w:color w:val="auto"/>
                <w:szCs w:val="21"/>
                <w:highlight w:val="none"/>
              </w:rPr>
              <w:t>说明</w:t>
            </w:r>
          </w:p>
        </w:tc>
      </w:tr>
      <w:tr w14:paraId="31C4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572EF3E9">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default"/>
                <w:b/>
                <w:color w:val="auto"/>
                <w:szCs w:val="21"/>
                <w:highlight w:val="none"/>
              </w:rPr>
              <w:t>1</w:t>
            </w:r>
          </w:p>
        </w:tc>
        <w:tc>
          <w:tcPr>
            <w:tcW w:w="1111" w:type="pct"/>
            <w:tcBorders>
              <w:top w:val="single" w:color="auto" w:sz="4" w:space="0"/>
              <w:left w:val="single" w:color="auto" w:sz="4" w:space="0"/>
              <w:bottom w:val="single" w:color="auto" w:sz="4" w:space="0"/>
              <w:right w:val="single" w:color="auto" w:sz="4" w:space="0"/>
            </w:tcBorders>
            <w:vAlign w:val="center"/>
          </w:tcPr>
          <w:p w14:paraId="1AFCD22A">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s="宋体"/>
                <w:color w:val="auto"/>
                <w:szCs w:val="21"/>
                <w:highlight w:val="none"/>
              </w:rPr>
              <w:t>投标报价</w:t>
            </w:r>
          </w:p>
        </w:tc>
        <w:tc>
          <w:tcPr>
            <w:tcW w:w="1883" w:type="pct"/>
            <w:tcBorders>
              <w:top w:val="single" w:color="auto" w:sz="4" w:space="0"/>
              <w:left w:val="single" w:color="auto" w:sz="4" w:space="0"/>
              <w:bottom w:val="single" w:color="auto" w:sz="4" w:space="0"/>
              <w:right w:val="single" w:color="auto" w:sz="4" w:space="0"/>
            </w:tcBorders>
            <w:vAlign w:val="center"/>
          </w:tcPr>
          <w:p w14:paraId="09C6EE1C">
            <w:pPr>
              <w:keepNext w:val="0"/>
              <w:keepLines w:val="0"/>
              <w:suppressLineNumbers w:val="0"/>
              <w:spacing w:before="0" w:beforeAutospacing="0" w:after="0" w:afterAutospacing="0" w:line="320" w:lineRule="exact"/>
              <w:ind w:left="0" w:right="0"/>
              <w:rPr>
                <w:rFonts w:hint="default"/>
                <w:color w:val="auto"/>
                <w:szCs w:val="21"/>
                <w:highlight w:val="none"/>
              </w:rPr>
            </w:pPr>
            <w:r>
              <w:rPr>
                <w:rFonts w:hint="eastAsia"/>
                <w:color w:val="auto"/>
                <w:szCs w:val="21"/>
                <w:highlight w:val="none"/>
                <w:lang w:bidi="ar"/>
              </w:rPr>
              <w:t>以满足招标文件要求且投标价格最低的投标报价为评审基准价，其价格分为满分。其他投标人的价格分统一按照下列公式计算：投标报价得分</w:t>
            </w:r>
            <w:r>
              <w:rPr>
                <w:rFonts w:hint="default"/>
                <w:color w:val="auto"/>
                <w:szCs w:val="21"/>
                <w:highlight w:val="none"/>
                <w:lang w:bidi="ar"/>
              </w:rPr>
              <w:t>=</w:t>
            </w:r>
            <w:r>
              <w:rPr>
                <w:rFonts w:hint="eastAsia"/>
                <w:color w:val="auto"/>
                <w:szCs w:val="21"/>
                <w:highlight w:val="none"/>
                <w:lang w:bidi="ar"/>
              </w:rPr>
              <w:t>（评审基准价</w:t>
            </w:r>
            <w:r>
              <w:rPr>
                <w:rFonts w:hint="default"/>
                <w:color w:val="auto"/>
                <w:szCs w:val="21"/>
                <w:highlight w:val="none"/>
                <w:lang w:bidi="ar"/>
              </w:rPr>
              <w:t>/</w:t>
            </w:r>
            <w:r>
              <w:rPr>
                <w:rFonts w:hint="eastAsia"/>
                <w:color w:val="auto"/>
                <w:szCs w:val="21"/>
                <w:highlight w:val="none"/>
                <w:lang w:bidi="ar"/>
              </w:rPr>
              <w:t>投标报价）</w:t>
            </w:r>
            <w:r>
              <w:rPr>
                <w:rFonts w:hint="default"/>
                <w:color w:val="auto"/>
                <w:szCs w:val="21"/>
                <w:highlight w:val="none"/>
                <w:lang w:bidi="ar"/>
              </w:rPr>
              <w:t>×</w:t>
            </w:r>
            <w:r>
              <w:rPr>
                <w:rFonts w:hint="eastAsia"/>
                <w:color w:val="auto"/>
                <w:szCs w:val="21"/>
                <w:highlight w:val="none"/>
                <w:lang w:bidi="ar"/>
              </w:rPr>
              <w:t>投标报价分满分分值</w:t>
            </w:r>
            <w:r>
              <w:rPr>
                <w:rFonts w:hint="eastAsia" w:cs="宋体"/>
                <w:color w:val="auto"/>
                <w:szCs w:val="21"/>
                <w:highlight w:val="none"/>
              </w:rPr>
              <w:t>。</w:t>
            </w:r>
          </w:p>
        </w:tc>
        <w:tc>
          <w:tcPr>
            <w:tcW w:w="426" w:type="pct"/>
            <w:tcBorders>
              <w:top w:val="single" w:color="auto" w:sz="4" w:space="0"/>
              <w:left w:val="single" w:color="auto" w:sz="4" w:space="0"/>
              <w:bottom w:val="single" w:color="auto" w:sz="4" w:space="0"/>
              <w:right w:val="single" w:color="auto" w:sz="4" w:space="0"/>
            </w:tcBorders>
            <w:vAlign w:val="center"/>
          </w:tcPr>
          <w:p w14:paraId="1D63DFB9">
            <w:pPr>
              <w:keepNext w:val="0"/>
              <w:keepLines w:val="0"/>
              <w:suppressLineNumbers w:val="0"/>
              <w:spacing w:before="0" w:beforeAutospacing="0" w:after="0" w:afterAutospacing="0" w:line="320" w:lineRule="exact"/>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1151" w:type="pct"/>
            <w:tcBorders>
              <w:top w:val="single" w:color="auto" w:sz="4" w:space="0"/>
              <w:left w:val="single" w:color="auto" w:sz="4" w:space="0"/>
              <w:bottom w:val="single" w:color="auto" w:sz="4" w:space="0"/>
              <w:right w:val="single" w:color="auto" w:sz="4" w:space="0"/>
            </w:tcBorders>
            <w:vAlign w:val="center"/>
          </w:tcPr>
          <w:p w14:paraId="22781630">
            <w:pPr>
              <w:keepNext w:val="0"/>
              <w:keepLines w:val="0"/>
              <w:suppressLineNumbers w:val="0"/>
              <w:spacing w:before="0" w:beforeAutospacing="0" w:after="0" w:afterAutospacing="0" w:line="320" w:lineRule="exact"/>
              <w:ind w:left="0" w:right="0"/>
              <w:rPr>
                <w:rFonts w:hint="default"/>
                <w:color w:val="auto"/>
                <w:szCs w:val="21"/>
                <w:highlight w:val="none"/>
              </w:rPr>
            </w:pPr>
            <w:r>
              <w:rPr>
                <w:rFonts w:hint="eastAsia"/>
                <w:color w:val="auto"/>
                <w:szCs w:val="21"/>
                <w:highlight w:val="none"/>
                <w:lang w:bidi="ar"/>
              </w:rPr>
              <w:t>如有价格扣除时，投标报价分均按投标人实际投标报价进行价格扣除后的价格进行计算，最终中标金额＝投标报价。价格扣除计算方法见后</w:t>
            </w:r>
            <w:r>
              <w:rPr>
                <w:rFonts w:hint="eastAsia" w:cs="宋体"/>
                <w:color w:val="auto"/>
                <w:szCs w:val="21"/>
                <w:highlight w:val="none"/>
              </w:rPr>
              <w:t>。</w:t>
            </w:r>
          </w:p>
        </w:tc>
      </w:tr>
    </w:tbl>
    <w:p w14:paraId="1D568C22">
      <w:pPr>
        <w:spacing w:before="120" w:line="320" w:lineRule="atLeast"/>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518CAE89">
      <w:pPr>
        <w:spacing w:before="120" w:line="320" w:lineRule="atLeast"/>
        <w:ind w:firstLine="420" w:firstLineChars="200"/>
        <w:rPr>
          <w:color w:val="auto"/>
          <w:szCs w:val="21"/>
          <w:highlight w:val="none"/>
        </w:rPr>
      </w:pPr>
      <w:r>
        <w:rPr>
          <w:rFonts w:hint="eastAsia"/>
          <w:color w:val="auto"/>
          <w:szCs w:val="21"/>
          <w:highlight w:val="none"/>
        </w:rPr>
        <w:t>投标人投标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5318"/>
        <w:gridCol w:w="2735"/>
      </w:tblGrid>
      <w:tr w14:paraId="5024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tcPr>
          <w:p w14:paraId="458FFA31">
            <w:pPr>
              <w:keepNext w:val="0"/>
              <w:keepLines w:val="0"/>
              <w:suppressLineNumbers w:val="0"/>
              <w:spacing w:before="120" w:beforeAutospacing="0" w:after="0" w:afterAutospacing="0" w:line="320" w:lineRule="atLeast"/>
              <w:ind w:left="0" w:right="0"/>
              <w:jc w:val="center"/>
              <w:rPr>
                <w:rFonts w:hint="default"/>
                <w:color w:val="auto"/>
                <w:szCs w:val="21"/>
                <w:highlight w:val="none"/>
              </w:rPr>
            </w:pPr>
            <w:r>
              <w:rPr>
                <w:rFonts w:hint="eastAsia"/>
                <w:color w:val="auto"/>
                <w:szCs w:val="21"/>
                <w:highlight w:val="none"/>
              </w:rPr>
              <w:t>独立投标</w:t>
            </w:r>
          </w:p>
        </w:tc>
        <w:tc>
          <w:tcPr>
            <w:tcW w:w="2778" w:type="pct"/>
          </w:tcPr>
          <w:p w14:paraId="45F3AC4C">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供应商所提供产品制造商均为所列企业之一（小型企业、微型企业、残疾人福利企业、监狱企业）</w:t>
            </w:r>
          </w:p>
        </w:tc>
        <w:tc>
          <w:tcPr>
            <w:tcW w:w="1428" w:type="pct"/>
          </w:tcPr>
          <w:p w14:paraId="47DFB762">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价格扣除响应报价的20%</w:t>
            </w:r>
          </w:p>
        </w:tc>
      </w:tr>
      <w:tr w14:paraId="58FD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Merge w:val="restart"/>
          </w:tcPr>
          <w:p w14:paraId="02A1CDD6">
            <w:pPr>
              <w:keepNext w:val="0"/>
              <w:keepLines w:val="0"/>
              <w:suppressLineNumbers w:val="0"/>
              <w:spacing w:before="120" w:beforeAutospacing="0" w:after="0" w:afterAutospacing="0" w:line="320" w:lineRule="atLeast"/>
              <w:ind w:left="0" w:right="0"/>
              <w:jc w:val="center"/>
              <w:rPr>
                <w:rFonts w:hint="default"/>
                <w:color w:val="auto"/>
                <w:szCs w:val="21"/>
                <w:highlight w:val="none"/>
              </w:rPr>
            </w:pPr>
            <w:r>
              <w:rPr>
                <w:rFonts w:hint="eastAsia"/>
                <w:color w:val="auto"/>
                <w:szCs w:val="21"/>
                <w:highlight w:val="none"/>
              </w:rPr>
              <w:t>联合体或</w:t>
            </w:r>
          </w:p>
          <w:p w14:paraId="6EBB5D64">
            <w:pPr>
              <w:keepNext w:val="0"/>
              <w:keepLines w:val="0"/>
              <w:suppressLineNumbers w:val="0"/>
              <w:spacing w:before="120" w:beforeAutospacing="0" w:after="0" w:afterAutospacing="0" w:line="320" w:lineRule="atLeast"/>
              <w:ind w:left="0" w:right="0"/>
              <w:jc w:val="center"/>
              <w:rPr>
                <w:rFonts w:hint="default"/>
                <w:color w:val="auto"/>
                <w:szCs w:val="21"/>
                <w:highlight w:val="none"/>
              </w:rPr>
            </w:pPr>
            <w:r>
              <w:rPr>
                <w:rFonts w:hint="eastAsia"/>
                <w:color w:val="auto"/>
                <w:szCs w:val="21"/>
                <w:highlight w:val="none"/>
              </w:rPr>
              <w:t>分包</w:t>
            </w:r>
          </w:p>
        </w:tc>
        <w:tc>
          <w:tcPr>
            <w:tcW w:w="2778" w:type="pct"/>
          </w:tcPr>
          <w:p w14:paraId="1AFC2397">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小微企业制造商承担的金额比例为1</w:t>
            </w:r>
            <w:r>
              <w:rPr>
                <w:rFonts w:hint="default"/>
                <w:color w:val="auto"/>
                <w:szCs w:val="21"/>
                <w:highlight w:val="none"/>
              </w:rPr>
              <w:t>00</w:t>
            </w:r>
            <w:r>
              <w:rPr>
                <w:rFonts w:hint="eastAsia"/>
                <w:color w:val="auto"/>
                <w:szCs w:val="21"/>
                <w:highlight w:val="none"/>
              </w:rPr>
              <w:t>%</w:t>
            </w:r>
          </w:p>
        </w:tc>
        <w:tc>
          <w:tcPr>
            <w:tcW w:w="1428" w:type="pct"/>
          </w:tcPr>
          <w:p w14:paraId="3B055AC2">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价格扣除响应报价的20%</w:t>
            </w:r>
          </w:p>
        </w:tc>
      </w:tr>
      <w:tr w14:paraId="7285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Merge w:val="continue"/>
          </w:tcPr>
          <w:p w14:paraId="5586EA2B">
            <w:pPr>
              <w:keepNext w:val="0"/>
              <w:keepLines w:val="0"/>
              <w:suppressLineNumbers w:val="0"/>
              <w:spacing w:before="120" w:beforeAutospacing="0" w:after="0" w:afterAutospacing="0" w:line="320" w:lineRule="atLeast"/>
              <w:ind w:left="0" w:right="0"/>
              <w:rPr>
                <w:rFonts w:hint="default"/>
                <w:color w:val="auto"/>
                <w:szCs w:val="21"/>
                <w:highlight w:val="none"/>
              </w:rPr>
            </w:pPr>
          </w:p>
        </w:tc>
        <w:tc>
          <w:tcPr>
            <w:tcW w:w="2778" w:type="pct"/>
          </w:tcPr>
          <w:p w14:paraId="25FECC1A">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小微企业制造商承担的金额比例达到合同总金额3</w:t>
            </w:r>
            <w:r>
              <w:rPr>
                <w:rFonts w:hint="default"/>
                <w:color w:val="auto"/>
                <w:szCs w:val="21"/>
                <w:highlight w:val="none"/>
              </w:rPr>
              <w:t>0%</w:t>
            </w:r>
            <w:r>
              <w:rPr>
                <w:rFonts w:hint="eastAsia"/>
                <w:color w:val="auto"/>
                <w:szCs w:val="21"/>
                <w:highlight w:val="none"/>
              </w:rPr>
              <w:t>以上</w:t>
            </w:r>
          </w:p>
        </w:tc>
        <w:tc>
          <w:tcPr>
            <w:tcW w:w="1428" w:type="pct"/>
          </w:tcPr>
          <w:p w14:paraId="484389E0">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价格扣除响应报价的</w:t>
            </w:r>
            <w:r>
              <w:rPr>
                <w:rFonts w:hint="default"/>
                <w:color w:val="auto"/>
                <w:szCs w:val="21"/>
                <w:highlight w:val="none"/>
              </w:rPr>
              <w:t>4</w:t>
            </w:r>
            <w:r>
              <w:rPr>
                <w:rFonts w:hint="eastAsia"/>
                <w:color w:val="auto"/>
                <w:szCs w:val="21"/>
                <w:highlight w:val="none"/>
              </w:rPr>
              <w:t>%</w:t>
            </w:r>
          </w:p>
        </w:tc>
      </w:tr>
      <w:tr w14:paraId="750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2D9CEEEA">
            <w:pPr>
              <w:keepNext w:val="0"/>
              <w:keepLines w:val="0"/>
              <w:suppressLineNumbers w:val="0"/>
              <w:spacing w:before="120" w:beforeAutospacing="0" w:after="0" w:afterAutospacing="0" w:line="320" w:lineRule="atLeast"/>
              <w:ind w:left="0" w:right="0"/>
              <w:rPr>
                <w:rFonts w:hint="default"/>
                <w:color w:val="auto"/>
                <w:szCs w:val="21"/>
                <w:highlight w:val="none"/>
              </w:rPr>
            </w:pPr>
            <w:r>
              <w:rPr>
                <w:rFonts w:hint="eastAsia"/>
                <w:color w:val="auto"/>
                <w:szCs w:val="21"/>
                <w:highlight w:val="none"/>
              </w:rPr>
              <w:t>注：未提供《中小企业声明函</w:t>
            </w:r>
            <w:r>
              <w:rPr>
                <w:rFonts w:hint="eastAsia"/>
                <w:color w:val="auto"/>
                <w:szCs w:val="21"/>
                <w:highlight w:val="none"/>
                <w:lang w:eastAsia="zh-CN"/>
              </w:rPr>
              <w:t>》《</w:t>
            </w:r>
            <w:r>
              <w:rPr>
                <w:rFonts w:hint="eastAsia"/>
                <w:color w:val="auto"/>
                <w:szCs w:val="21"/>
                <w:highlight w:val="none"/>
              </w:rPr>
              <w:t>分包意向协议书》或《联合体协议书》或不符合条件的，不享受价格扣除优惠。</w:t>
            </w:r>
          </w:p>
        </w:tc>
      </w:tr>
    </w:tbl>
    <w:p w14:paraId="6B1FB1A2">
      <w:pPr>
        <w:ind w:firstLine="420" w:firstLineChars="200"/>
        <w:rPr>
          <w:color w:val="auto"/>
          <w:szCs w:val="21"/>
          <w:highlight w:val="none"/>
        </w:rPr>
      </w:pPr>
    </w:p>
    <w:p w14:paraId="00755ADC">
      <w:pPr>
        <w:rPr>
          <w:color w:val="auto"/>
          <w:highlight w:val="none"/>
        </w:rPr>
      </w:pPr>
    </w:p>
    <w:p w14:paraId="1DD74853">
      <w:pPr>
        <w:ind w:firstLine="316" w:firstLineChars="150"/>
        <w:rPr>
          <w:b/>
          <w:bCs/>
          <w:color w:val="auto"/>
          <w:highlight w:val="none"/>
        </w:rPr>
      </w:pPr>
      <w:r>
        <w:rPr>
          <w:rFonts w:hint="eastAsia"/>
          <w:b/>
          <w:bCs/>
          <w:color w:val="auto"/>
          <w:highlight w:val="none"/>
        </w:rPr>
        <w:t>（3）</w:t>
      </w:r>
      <w:r>
        <w:rPr>
          <w:b/>
          <w:bCs/>
          <w:color w:val="auto"/>
          <w:highlight w:val="none"/>
        </w:rPr>
        <w:t>综合评分</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05"/>
        <w:gridCol w:w="2906"/>
        <w:gridCol w:w="2905"/>
      </w:tblGrid>
      <w:tr w14:paraId="3691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33A7A1DF">
            <w:pPr>
              <w:keepNext w:val="0"/>
              <w:keepLines w:val="0"/>
              <w:suppressLineNumbers w:val="0"/>
              <w:spacing w:before="0" w:beforeAutospacing="0" w:after="0" w:afterAutospacing="0"/>
              <w:ind w:left="0" w:right="0"/>
              <w:jc w:val="center"/>
              <w:rPr>
                <w:rFonts w:hint="default"/>
                <w:b/>
                <w:color w:val="auto"/>
                <w:szCs w:val="21"/>
                <w:highlight w:val="none"/>
              </w:rPr>
            </w:pPr>
            <w:r>
              <w:rPr>
                <w:rFonts w:hint="eastAsia" w:cs="宋体"/>
                <w:b/>
                <w:color w:val="auto"/>
                <w:szCs w:val="21"/>
                <w:highlight w:val="none"/>
              </w:rPr>
              <w:t>分项</w:t>
            </w:r>
          </w:p>
        </w:tc>
        <w:tc>
          <w:tcPr>
            <w:tcW w:w="1518" w:type="pct"/>
            <w:tcBorders>
              <w:top w:val="single" w:color="auto" w:sz="4" w:space="0"/>
              <w:left w:val="single" w:color="auto" w:sz="4" w:space="0"/>
              <w:bottom w:val="single" w:color="auto" w:sz="4" w:space="0"/>
              <w:right w:val="single" w:color="auto" w:sz="4" w:space="0"/>
            </w:tcBorders>
            <w:vAlign w:val="center"/>
          </w:tcPr>
          <w:p w14:paraId="2286745F">
            <w:pPr>
              <w:keepNext w:val="0"/>
              <w:keepLines w:val="0"/>
              <w:suppressLineNumbers w:val="0"/>
              <w:spacing w:before="0" w:beforeAutospacing="0" w:after="0" w:afterAutospacing="0"/>
              <w:ind w:left="0" w:right="0"/>
              <w:jc w:val="center"/>
              <w:rPr>
                <w:rFonts w:hint="default"/>
                <w:b/>
                <w:color w:val="auto"/>
                <w:szCs w:val="21"/>
                <w:highlight w:val="none"/>
              </w:rPr>
            </w:pPr>
            <w:r>
              <w:rPr>
                <w:rFonts w:hint="eastAsia" w:cs="宋体"/>
                <w:b/>
                <w:color w:val="auto"/>
                <w:szCs w:val="21"/>
                <w:highlight w:val="none"/>
              </w:rPr>
              <w:t>技术及商务资信分</w:t>
            </w:r>
          </w:p>
        </w:tc>
        <w:tc>
          <w:tcPr>
            <w:tcW w:w="1519" w:type="pct"/>
            <w:tcBorders>
              <w:top w:val="single" w:color="auto" w:sz="4" w:space="0"/>
              <w:left w:val="single" w:color="auto" w:sz="4" w:space="0"/>
              <w:bottom w:val="single" w:color="auto" w:sz="4" w:space="0"/>
              <w:right w:val="single" w:color="auto" w:sz="4" w:space="0"/>
            </w:tcBorders>
            <w:vAlign w:val="center"/>
          </w:tcPr>
          <w:p w14:paraId="60B5D0F5">
            <w:pPr>
              <w:keepNext w:val="0"/>
              <w:keepLines w:val="0"/>
              <w:suppressLineNumbers w:val="0"/>
              <w:spacing w:before="0" w:beforeAutospacing="0" w:after="0" w:afterAutospacing="0"/>
              <w:ind w:left="0" w:right="0"/>
              <w:jc w:val="center"/>
              <w:rPr>
                <w:rFonts w:hint="default"/>
                <w:b/>
                <w:color w:val="auto"/>
                <w:szCs w:val="21"/>
                <w:highlight w:val="none"/>
              </w:rPr>
            </w:pPr>
            <w:r>
              <w:rPr>
                <w:rFonts w:hint="eastAsia" w:cs="宋体"/>
                <w:b/>
                <w:color w:val="auto"/>
                <w:szCs w:val="21"/>
                <w:highlight w:val="none"/>
              </w:rPr>
              <w:t>投标报价得分</w:t>
            </w:r>
          </w:p>
        </w:tc>
        <w:tc>
          <w:tcPr>
            <w:tcW w:w="1519" w:type="pct"/>
            <w:tcBorders>
              <w:top w:val="single" w:color="auto" w:sz="4" w:space="0"/>
              <w:left w:val="single" w:color="auto" w:sz="4" w:space="0"/>
              <w:bottom w:val="single" w:color="auto" w:sz="4" w:space="0"/>
              <w:right w:val="single" w:color="auto" w:sz="4" w:space="0"/>
            </w:tcBorders>
            <w:vAlign w:val="center"/>
          </w:tcPr>
          <w:p w14:paraId="7DD33E33">
            <w:pPr>
              <w:keepNext w:val="0"/>
              <w:keepLines w:val="0"/>
              <w:suppressLineNumbers w:val="0"/>
              <w:spacing w:before="0" w:beforeAutospacing="0" w:after="0" w:afterAutospacing="0"/>
              <w:ind w:left="0" w:right="0"/>
              <w:jc w:val="center"/>
              <w:rPr>
                <w:rFonts w:hint="default"/>
                <w:b/>
                <w:color w:val="auto"/>
                <w:szCs w:val="21"/>
                <w:highlight w:val="none"/>
              </w:rPr>
            </w:pPr>
            <w:r>
              <w:rPr>
                <w:rFonts w:hint="eastAsia" w:cs="宋体"/>
                <w:b/>
                <w:color w:val="auto"/>
                <w:szCs w:val="21"/>
                <w:highlight w:val="none"/>
              </w:rPr>
              <w:t>总分</w:t>
            </w:r>
          </w:p>
        </w:tc>
      </w:tr>
      <w:tr w14:paraId="0802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52D81C46">
            <w:pPr>
              <w:keepNext w:val="0"/>
              <w:keepLines w:val="0"/>
              <w:suppressLineNumbers w:val="0"/>
              <w:spacing w:before="0" w:beforeAutospacing="0" w:after="0" w:afterAutospacing="0"/>
              <w:ind w:left="0" w:right="0"/>
              <w:jc w:val="center"/>
              <w:rPr>
                <w:rFonts w:hint="default"/>
                <w:b/>
                <w:color w:val="auto"/>
                <w:szCs w:val="21"/>
                <w:highlight w:val="none"/>
              </w:rPr>
            </w:pPr>
            <w:r>
              <w:rPr>
                <w:rFonts w:hint="eastAsia" w:cs="宋体"/>
                <w:b/>
                <w:color w:val="auto"/>
                <w:szCs w:val="21"/>
                <w:highlight w:val="none"/>
              </w:rPr>
              <w:t>分值</w:t>
            </w:r>
          </w:p>
        </w:tc>
        <w:tc>
          <w:tcPr>
            <w:tcW w:w="1518" w:type="pct"/>
            <w:tcBorders>
              <w:top w:val="single" w:color="auto" w:sz="4" w:space="0"/>
              <w:left w:val="single" w:color="auto" w:sz="4" w:space="0"/>
              <w:bottom w:val="single" w:color="auto" w:sz="4" w:space="0"/>
              <w:right w:val="single" w:color="auto" w:sz="4" w:space="0"/>
            </w:tcBorders>
            <w:vAlign w:val="center"/>
          </w:tcPr>
          <w:p w14:paraId="7D84617E">
            <w:pPr>
              <w:keepNext w:val="0"/>
              <w:keepLines w:val="0"/>
              <w:suppressLineNumbers w:val="0"/>
              <w:spacing w:before="0" w:beforeAutospacing="0" w:after="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60</w:t>
            </w:r>
          </w:p>
        </w:tc>
        <w:tc>
          <w:tcPr>
            <w:tcW w:w="1519" w:type="pct"/>
            <w:tcBorders>
              <w:top w:val="single" w:color="auto" w:sz="4" w:space="0"/>
              <w:left w:val="single" w:color="auto" w:sz="4" w:space="0"/>
              <w:bottom w:val="single" w:color="auto" w:sz="4" w:space="0"/>
              <w:right w:val="single" w:color="auto" w:sz="4" w:space="0"/>
            </w:tcBorders>
            <w:vAlign w:val="center"/>
          </w:tcPr>
          <w:p w14:paraId="1EA7B39D">
            <w:pPr>
              <w:keepNext w:val="0"/>
              <w:keepLines w:val="0"/>
              <w:suppressLineNumbers w:val="0"/>
              <w:spacing w:before="0" w:beforeAutospacing="0" w:after="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1519" w:type="pct"/>
            <w:tcBorders>
              <w:top w:val="single" w:color="auto" w:sz="4" w:space="0"/>
              <w:left w:val="single" w:color="auto" w:sz="4" w:space="0"/>
              <w:bottom w:val="single" w:color="auto" w:sz="4" w:space="0"/>
              <w:right w:val="single" w:color="auto" w:sz="4" w:space="0"/>
            </w:tcBorders>
            <w:vAlign w:val="center"/>
          </w:tcPr>
          <w:p w14:paraId="556ACB48">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100</w:t>
            </w:r>
          </w:p>
        </w:tc>
      </w:tr>
      <w:tr w14:paraId="52F8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5EB5F2B">
            <w:pPr>
              <w:keepNext w:val="0"/>
              <w:keepLines w:val="0"/>
              <w:suppressLineNumbers w:val="0"/>
              <w:spacing w:before="0" w:beforeAutospacing="0" w:after="0" w:afterAutospacing="0"/>
              <w:ind w:left="0" w:right="0"/>
              <w:rPr>
                <w:rFonts w:hint="default"/>
                <w:color w:val="auto"/>
                <w:szCs w:val="21"/>
                <w:highlight w:val="none"/>
              </w:rPr>
            </w:pPr>
            <w:r>
              <w:rPr>
                <w:rFonts w:hint="eastAsia" w:cs="宋体"/>
                <w:color w:val="auto"/>
                <w:szCs w:val="21"/>
                <w:highlight w:val="none"/>
              </w:rPr>
              <w:t>综合评分</w:t>
            </w:r>
            <w:r>
              <w:rPr>
                <w:rFonts w:hint="default"/>
                <w:color w:val="auto"/>
                <w:szCs w:val="21"/>
                <w:highlight w:val="none"/>
              </w:rPr>
              <w:t>=</w:t>
            </w:r>
            <w:r>
              <w:rPr>
                <w:rFonts w:hint="eastAsia" w:cs="宋体"/>
                <w:color w:val="auto"/>
                <w:szCs w:val="21"/>
                <w:highlight w:val="none"/>
              </w:rPr>
              <w:t>技术及商务资信分</w:t>
            </w:r>
            <w:r>
              <w:rPr>
                <w:rFonts w:hint="default"/>
                <w:color w:val="auto"/>
                <w:szCs w:val="21"/>
                <w:highlight w:val="none"/>
              </w:rPr>
              <w:t>+</w:t>
            </w:r>
            <w:r>
              <w:rPr>
                <w:rFonts w:hint="eastAsia" w:cs="宋体"/>
                <w:color w:val="auto"/>
                <w:szCs w:val="21"/>
                <w:highlight w:val="none"/>
              </w:rPr>
              <w:t>投标报价得分</w:t>
            </w:r>
            <w:r>
              <w:rPr>
                <w:rFonts w:hint="default"/>
                <w:color w:val="auto"/>
                <w:szCs w:val="21"/>
                <w:highlight w:val="none"/>
              </w:rPr>
              <w:t>+</w:t>
            </w:r>
            <w:r>
              <w:rPr>
                <w:rFonts w:hint="eastAsia" w:cs="宋体"/>
                <w:color w:val="auto"/>
                <w:szCs w:val="21"/>
                <w:highlight w:val="none"/>
              </w:rPr>
              <w:t>政策性加分（</w:t>
            </w:r>
            <w:r>
              <w:rPr>
                <w:rFonts w:hint="eastAsia" w:cs="宋体"/>
                <w:color w:val="auto"/>
                <w:highlight w:val="none"/>
              </w:rPr>
              <w:t>注：各</w:t>
            </w:r>
            <w:r>
              <w:rPr>
                <w:rFonts w:hint="eastAsia" w:cs="宋体"/>
                <w:color w:val="auto"/>
                <w:szCs w:val="21"/>
                <w:highlight w:val="none"/>
              </w:rPr>
              <w:t>项评分分值计算保留小数点后两位，小数点后第三位</w:t>
            </w:r>
            <w:r>
              <w:rPr>
                <w:rFonts w:hint="default"/>
                <w:color w:val="auto"/>
                <w:szCs w:val="21"/>
                <w:highlight w:val="none"/>
              </w:rPr>
              <w:t>“</w:t>
            </w:r>
            <w:r>
              <w:rPr>
                <w:rFonts w:hint="eastAsia" w:cs="宋体"/>
                <w:color w:val="auto"/>
                <w:szCs w:val="21"/>
                <w:highlight w:val="none"/>
              </w:rPr>
              <w:t>四舍五入</w:t>
            </w:r>
            <w:r>
              <w:rPr>
                <w:rFonts w:hint="default"/>
                <w:color w:val="auto"/>
                <w:szCs w:val="21"/>
                <w:highlight w:val="none"/>
              </w:rPr>
              <w:t>”</w:t>
            </w:r>
            <w:r>
              <w:rPr>
                <w:rFonts w:hint="eastAsia" w:cs="宋体"/>
                <w:color w:val="auto"/>
                <w:szCs w:val="21"/>
                <w:highlight w:val="none"/>
              </w:rPr>
              <w:t>）</w:t>
            </w:r>
          </w:p>
        </w:tc>
      </w:tr>
    </w:tbl>
    <w:p w14:paraId="56B74F18">
      <w:pPr>
        <w:rPr>
          <w:color w:val="auto"/>
          <w:highlight w:val="none"/>
        </w:rPr>
      </w:pPr>
    </w:p>
    <w:p w14:paraId="7B9199AE">
      <w:pPr>
        <w:pStyle w:val="60"/>
        <w:rPr>
          <w:color w:val="auto"/>
          <w:highlight w:val="none"/>
        </w:rPr>
      </w:pPr>
    </w:p>
    <w:bookmarkEnd w:id="46"/>
    <w:bookmarkEnd w:id="47"/>
    <w:bookmarkEnd w:id="107"/>
    <w:p w14:paraId="4E94CF28">
      <w:pPr>
        <w:rPr>
          <w:color w:val="auto"/>
          <w:highlight w:val="none"/>
        </w:rPr>
      </w:pPr>
      <w:bookmarkStart w:id="108" w:name="_Hlk80957087"/>
      <w:bookmarkStart w:id="109" w:name="_Hlk60651046"/>
      <w:bookmarkStart w:id="110" w:name="_Hlk65851690"/>
      <w:r>
        <w:rPr>
          <w:color w:val="auto"/>
          <w:highlight w:val="none"/>
        </w:rPr>
        <w:br w:type="page"/>
      </w:r>
    </w:p>
    <w:p w14:paraId="28DA1BC4">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5722469A">
      <w:pPr>
        <w:spacing w:before="120" w:line="320" w:lineRule="atLeast"/>
        <w:ind w:firstLine="420" w:firstLineChars="200"/>
        <w:rPr>
          <w:color w:val="auto"/>
          <w:szCs w:val="21"/>
          <w:highlight w:val="none"/>
        </w:rPr>
      </w:pPr>
      <w:bookmarkStart w:id="111" w:name="_Hlk132792081"/>
      <w:r>
        <w:rPr>
          <w:rFonts w:hint="eastAsia"/>
          <w:color w:val="auto"/>
          <w:szCs w:val="21"/>
          <w:highlight w:val="none"/>
        </w:rPr>
        <w:t>供应商根据采购需求中技术参数为基准，填写响应表，对于响应表或证明材料与技术参数不符的，按如下规定：</w:t>
      </w:r>
    </w:p>
    <w:p w14:paraId="4A032636">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AACE946">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55530962">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7A5EEF4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4B743C7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42C636E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71CDD713">
      <w:pPr>
        <w:spacing w:before="120" w:line="320" w:lineRule="atLeast"/>
        <w:ind w:firstLine="420" w:firstLineChars="200"/>
        <w:rPr>
          <w:color w:val="auto"/>
          <w:szCs w:val="21"/>
          <w:highlight w:val="none"/>
        </w:rPr>
      </w:pPr>
      <w:r>
        <w:rPr>
          <w:rFonts w:hint="eastAsia"/>
          <w:color w:val="auto"/>
          <w:szCs w:val="21"/>
          <w:highlight w:val="none"/>
        </w:rPr>
        <w:t>（7）对于单边任意参数的要求，例“长度≥5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04702FBD">
      <w:pPr>
        <w:spacing w:before="120" w:line="320" w:lineRule="atLeast"/>
        <w:ind w:firstLine="420" w:firstLineChars="200"/>
        <w:rPr>
          <w:color w:val="auto"/>
          <w:szCs w:val="21"/>
          <w:highlight w:val="none"/>
        </w:rPr>
      </w:pPr>
      <w:r>
        <w:rPr>
          <w:rFonts w:hint="eastAsia"/>
          <w:color w:val="auto"/>
          <w:szCs w:val="21"/>
          <w:highlight w:val="none"/>
        </w:rPr>
        <w:t>（8）对于固定参数，响应与采购需求中技术参数一致，视为无偏离，其他均视为负偏离，此类参数无正偏离。</w:t>
      </w:r>
    </w:p>
    <w:p w14:paraId="5472FEEB">
      <w:pPr>
        <w:spacing w:before="120" w:line="320" w:lineRule="atLeast"/>
        <w:ind w:firstLine="420" w:firstLineChars="200"/>
        <w:rPr>
          <w:color w:val="auto"/>
          <w:szCs w:val="21"/>
          <w:highlight w:val="none"/>
        </w:rPr>
      </w:pPr>
      <w:r>
        <w:rPr>
          <w:rFonts w:hint="eastAsia"/>
          <w:color w:val="auto"/>
          <w:szCs w:val="21"/>
          <w:highlight w:val="none"/>
        </w:rPr>
        <w:t>（9）如采购需求中技术参数有特殊要求与上述说明不一致的，以特殊要求为准。</w:t>
      </w:r>
    </w:p>
    <w:bookmarkEnd w:id="103"/>
    <w:bookmarkEnd w:id="108"/>
    <w:bookmarkEnd w:id="109"/>
    <w:bookmarkEnd w:id="110"/>
    <w:bookmarkEnd w:id="111"/>
    <w:p w14:paraId="0AE65C8C">
      <w:pPr>
        <w:pStyle w:val="27"/>
        <w:snapToGrid w:val="0"/>
        <w:spacing w:before="120" w:after="120"/>
        <w:outlineLvl w:val="0"/>
        <w:rPr>
          <w:rFonts w:ascii="Times New Roman" w:hAnsi="Times New Roman" w:cs="Times New Roman"/>
          <w:b/>
          <w:color w:val="auto"/>
          <w:sz w:val="32"/>
          <w:szCs w:val="32"/>
          <w:highlight w:val="none"/>
        </w:rPr>
        <w:sectPr>
          <w:pgSz w:w="11906" w:h="16838"/>
          <w:pgMar w:top="1418" w:right="1133" w:bottom="1246" w:left="1418" w:header="851" w:footer="992" w:gutter="0"/>
          <w:cols w:space="720" w:num="1"/>
          <w:docGrid w:linePitch="312" w:charSpace="0"/>
        </w:sectPr>
      </w:pPr>
    </w:p>
    <w:p w14:paraId="7E20EF96">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12" w:name="_Toc168670060"/>
      <w:bookmarkStart w:id="113" w:name="_Hlk160525271"/>
      <w:bookmarkStart w:id="114" w:name="_Hlk132792163"/>
      <w:r>
        <w:rPr>
          <w:rFonts w:ascii="Times New Roman" w:hAnsi="Times New Roman" w:cs="Times New Roman"/>
          <w:color w:val="auto"/>
          <w:sz w:val="32"/>
          <w:szCs w:val="32"/>
          <w:highlight w:val="none"/>
        </w:rPr>
        <w:t>第五章  合同主要条款格式</w:t>
      </w:r>
      <w:bookmarkEnd w:id="112"/>
    </w:p>
    <w:p w14:paraId="4BEE7BFD">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r>
        <w:rPr>
          <w:rFonts w:hint="eastAsia"/>
          <w:b/>
          <w:bCs/>
          <w:color w:val="auto"/>
          <w:kern w:val="0"/>
          <w:szCs w:val="21"/>
          <w:highlight w:val="none"/>
        </w:rPr>
        <w:t>（适用于   分标）</w:t>
      </w: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6"/>
        <w:gridCol w:w="2336"/>
        <w:gridCol w:w="2336"/>
        <w:gridCol w:w="2337"/>
      </w:tblGrid>
      <w:tr w14:paraId="1D61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0880771D">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合同编号：</w:t>
            </w:r>
          </w:p>
        </w:tc>
        <w:tc>
          <w:tcPr>
            <w:tcW w:w="2336" w:type="dxa"/>
          </w:tcPr>
          <w:p w14:paraId="343E5406">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c>
          <w:tcPr>
            <w:tcW w:w="2336" w:type="dxa"/>
          </w:tcPr>
          <w:p w14:paraId="3FEFFE02">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采购计划号：</w:t>
            </w:r>
          </w:p>
        </w:tc>
        <w:tc>
          <w:tcPr>
            <w:tcW w:w="2337" w:type="dxa"/>
          </w:tcPr>
          <w:p w14:paraId="6F1BA556">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r>
      <w:tr w14:paraId="1A69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408E85DF">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项目名称：</w:t>
            </w:r>
          </w:p>
        </w:tc>
        <w:tc>
          <w:tcPr>
            <w:tcW w:w="2336" w:type="dxa"/>
          </w:tcPr>
          <w:p w14:paraId="41FAA077">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c>
          <w:tcPr>
            <w:tcW w:w="2336" w:type="dxa"/>
          </w:tcPr>
          <w:p w14:paraId="3018CC29">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项目编号：</w:t>
            </w:r>
          </w:p>
        </w:tc>
        <w:tc>
          <w:tcPr>
            <w:tcW w:w="2337" w:type="dxa"/>
          </w:tcPr>
          <w:p w14:paraId="7FC30302">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r>
      <w:tr w14:paraId="4385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59B24B0C">
            <w:pPr>
              <w:keepNext w:val="0"/>
              <w:keepLines w:val="0"/>
              <w:suppressLineNumbers w:val="0"/>
              <w:snapToGrid w:val="0"/>
              <w:spacing w:before="0" w:beforeAutospacing="0" w:after="0" w:afterAutospacing="0" w:line="360" w:lineRule="exact"/>
              <w:ind w:left="0" w:right="0"/>
              <w:jc w:val="left"/>
              <w:rPr>
                <w:rFonts w:hint="default"/>
                <w:bCs/>
                <w:color w:val="auto"/>
                <w:szCs w:val="21"/>
                <w:highlight w:val="none"/>
              </w:rPr>
            </w:pPr>
            <w:r>
              <w:rPr>
                <w:rFonts w:hint="eastAsia"/>
                <w:bCs/>
                <w:color w:val="auto"/>
                <w:szCs w:val="21"/>
                <w:highlight w:val="none"/>
              </w:rPr>
              <w:t>采购人（甲方）：</w:t>
            </w:r>
          </w:p>
        </w:tc>
        <w:tc>
          <w:tcPr>
            <w:tcW w:w="2336" w:type="dxa"/>
          </w:tcPr>
          <w:p w14:paraId="69CFB3FC">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c>
          <w:tcPr>
            <w:tcW w:w="2336" w:type="dxa"/>
          </w:tcPr>
          <w:p w14:paraId="1CFAF82A">
            <w:pPr>
              <w:keepNext w:val="0"/>
              <w:keepLines w:val="0"/>
              <w:suppressLineNumbers w:val="0"/>
              <w:snapToGrid w:val="0"/>
              <w:spacing w:before="0" w:beforeAutospacing="0" w:after="0" w:afterAutospacing="0" w:line="360" w:lineRule="exact"/>
              <w:ind w:left="0" w:right="0"/>
              <w:jc w:val="left"/>
              <w:rPr>
                <w:rFonts w:hint="default"/>
                <w:bCs/>
                <w:color w:val="auto"/>
                <w:szCs w:val="21"/>
                <w:highlight w:val="none"/>
              </w:rPr>
            </w:pPr>
            <w:r>
              <w:rPr>
                <w:rFonts w:hint="eastAsia"/>
                <w:bCs/>
                <w:color w:val="auto"/>
                <w:szCs w:val="21"/>
                <w:highlight w:val="none"/>
              </w:rPr>
              <w:t>供应商（乙方）：</w:t>
            </w:r>
          </w:p>
        </w:tc>
        <w:tc>
          <w:tcPr>
            <w:tcW w:w="2337" w:type="dxa"/>
          </w:tcPr>
          <w:p w14:paraId="3F44AD63">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r>
      <w:tr w14:paraId="729E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4372723">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签订地点：</w:t>
            </w:r>
          </w:p>
        </w:tc>
        <w:tc>
          <w:tcPr>
            <w:tcW w:w="2336" w:type="dxa"/>
          </w:tcPr>
          <w:p w14:paraId="5957A03A">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c>
          <w:tcPr>
            <w:tcW w:w="2336" w:type="dxa"/>
          </w:tcPr>
          <w:p w14:paraId="694A147A">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r>
              <w:rPr>
                <w:rFonts w:hint="eastAsia"/>
                <w:bCs/>
                <w:color w:val="auto"/>
                <w:szCs w:val="21"/>
                <w:highlight w:val="none"/>
              </w:rPr>
              <w:t>签订时间：</w:t>
            </w:r>
          </w:p>
        </w:tc>
        <w:tc>
          <w:tcPr>
            <w:tcW w:w="2337" w:type="dxa"/>
          </w:tcPr>
          <w:p w14:paraId="2A187487">
            <w:pPr>
              <w:keepNext w:val="0"/>
              <w:keepLines w:val="0"/>
              <w:suppressLineNumbers w:val="0"/>
              <w:snapToGrid w:val="0"/>
              <w:spacing w:before="0" w:beforeAutospacing="0" w:after="0" w:afterAutospacing="0" w:line="360" w:lineRule="exact"/>
              <w:ind w:left="0" w:right="480"/>
              <w:jc w:val="left"/>
              <w:rPr>
                <w:rFonts w:hint="default"/>
                <w:bCs/>
                <w:color w:val="auto"/>
                <w:szCs w:val="21"/>
                <w:highlight w:val="none"/>
              </w:rPr>
            </w:pPr>
          </w:p>
        </w:tc>
      </w:tr>
    </w:tbl>
    <w:p w14:paraId="66A8641D">
      <w:pPr>
        <w:snapToGrid w:val="0"/>
        <w:spacing w:line="360" w:lineRule="exact"/>
        <w:ind w:firstLine="420" w:firstLineChars="200"/>
        <w:rPr>
          <w:color w:val="auto"/>
          <w:szCs w:val="21"/>
          <w:highlight w:val="none"/>
        </w:rPr>
      </w:pPr>
    </w:p>
    <w:p w14:paraId="3FDFCB79">
      <w:pPr>
        <w:pStyle w:val="27"/>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w:t>
      </w:r>
      <w:r>
        <w:rPr>
          <w:rFonts w:hint="eastAsia" w:ascii="Times New Roman" w:hAnsi="Times New Roman" w:cs="Times New Roman"/>
          <w:color w:val="auto"/>
          <w:highlight w:val="none"/>
        </w:rPr>
        <w:t>、</w:t>
      </w:r>
      <w:r>
        <w:rPr>
          <w:rFonts w:ascii="Times New Roman" w:hAnsi="Times New Roman" w:cs="Times New Roman"/>
          <w:color w:val="auto"/>
          <w:highlight w:val="none"/>
        </w:rPr>
        <w:t>《中华人民共和国政府采购法</w:t>
      </w:r>
      <w:r>
        <w:rPr>
          <w:rFonts w:hint="eastAsia" w:ascii="Times New Roman" w:hAnsi="Times New Roman" w:cs="Times New Roman"/>
          <w:color w:val="auto"/>
          <w:highlight w:val="none"/>
        </w:rPr>
        <w:t>实施条例</w:t>
      </w:r>
      <w:r>
        <w:rPr>
          <w:rFonts w:ascii="Times New Roman" w:hAnsi="Times New Roman" w:cs="Times New Roman"/>
          <w:color w:val="auto"/>
          <w:highlight w:val="none"/>
        </w:rPr>
        <w:t>》等法律、法规规定，按照招标文件规定</w:t>
      </w:r>
      <w:r>
        <w:rPr>
          <w:rFonts w:hint="eastAsia" w:ascii="Times New Roman" w:hAnsi="Times New Roman" w:cs="Times New Roman"/>
          <w:color w:val="auto"/>
          <w:highlight w:val="none"/>
        </w:rPr>
        <w:t>、</w:t>
      </w:r>
      <w:r>
        <w:rPr>
          <w:rFonts w:ascii="Times New Roman" w:hAnsi="Times New Roman" w:cs="Times New Roman"/>
          <w:color w:val="auto"/>
          <w:highlight w:val="none"/>
        </w:rPr>
        <w:t>乙方投标文件及其承诺</w:t>
      </w:r>
      <w:r>
        <w:rPr>
          <w:rFonts w:hint="eastAsia" w:ascii="Times New Roman" w:hAnsi="Times New Roman" w:cs="Times New Roman"/>
          <w:color w:val="auto"/>
          <w:highlight w:val="none"/>
        </w:rPr>
        <w:t>和中标通知书</w:t>
      </w:r>
      <w:r>
        <w:rPr>
          <w:rFonts w:ascii="Times New Roman" w:hAnsi="Times New Roman" w:cs="Times New Roman"/>
          <w:color w:val="auto"/>
          <w:highlight w:val="none"/>
        </w:rPr>
        <w:t>，甲乙双方签订本合同。</w:t>
      </w:r>
    </w:p>
    <w:p w14:paraId="6E640E13">
      <w:pPr>
        <w:snapToGrid w:val="0"/>
        <w:spacing w:line="360" w:lineRule="exact"/>
        <w:ind w:firstLine="422" w:firstLineChars="200"/>
        <w:rPr>
          <w:b/>
          <w:color w:val="auto"/>
          <w:szCs w:val="21"/>
          <w:highlight w:val="none"/>
        </w:rPr>
      </w:pPr>
      <w:r>
        <w:rPr>
          <w:rFonts w:hint="eastAsia" w:cs="宋体"/>
          <w:b/>
          <w:color w:val="auto"/>
          <w:szCs w:val="21"/>
          <w:highlight w:val="none"/>
          <w:lang w:bidi="ar"/>
        </w:rPr>
        <w:t>第一条　项目概况</w:t>
      </w:r>
    </w:p>
    <w:p w14:paraId="40D55175">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项目名称：</w:t>
      </w:r>
      <w:r>
        <w:rPr>
          <w:rFonts w:hint="eastAsia" w:cs="宋体"/>
          <w:color w:val="auto"/>
          <w:szCs w:val="21"/>
          <w:highlight w:val="none"/>
          <w:u w:val="single"/>
          <w:lang w:bidi="ar"/>
        </w:rPr>
        <w:t>中国—东盟职业师范教育数智化产教融合实验实训基地项目软件采购</w:t>
      </w:r>
    </w:p>
    <w:p w14:paraId="704CFD8A">
      <w:pPr>
        <w:snapToGrid w:val="0"/>
        <w:spacing w:line="360" w:lineRule="exact"/>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采购</w:t>
      </w:r>
      <w:r>
        <w:rPr>
          <w:rFonts w:hint="eastAsia" w:cs="宋体"/>
          <w:color w:val="auto"/>
          <w:szCs w:val="21"/>
          <w:highlight w:val="none"/>
          <w:lang w:bidi="ar"/>
        </w:rPr>
        <w:t>分标内容：</w:t>
      </w:r>
      <w:r>
        <w:rPr>
          <w:color w:val="auto"/>
          <w:szCs w:val="21"/>
          <w:highlight w:val="none"/>
          <w:u w:val="single"/>
          <w:lang w:bidi="ar"/>
        </w:rPr>
        <w:t xml:space="preserve">                                                    </w:t>
      </w:r>
      <w:r>
        <w:rPr>
          <w:rFonts w:hint="eastAsia" w:cs="宋体"/>
          <w:color w:val="auto"/>
          <w:szCs w:val="21"/>
          <w:highlight w:val="none"/>
          <w:u w:val="single"/>
          <w:lang w:bidi="ar"/>
        </w:rPr>
        <w:t>；</w:t>
      </w:r>
      <w:r>
        <w:rPr>
          <w:color w:val="auto"/>
          <w:szCs w:val="21"/>
          <w:highlight w:val="none"/>
          <w:lang w:bidi="ar"/>
        </w:rPr>
        <w:t xml:space="preserve">  </w:t>
      </w:r>
    </w:p>
    <w:p w14:paraId="5DE158B7">
      <w:pPr>
        <w:snapToGrid w:val="0"/>
        <w:spacing w:line="360" w:lineRule="exact"/>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交付期：</w:t>
      </w:r>
      <w:r>
        <w:rPr>
          <w:color w:val="auto"/>
          <w:szCs w:val="21"/>
          <w:highlight w:val="none"/>
          <w:u w:val="single"/>
          <w:lang w:bidi="ar"/>
        </w:rPr>
        <w:t xml:space="preserve">                                                            </w:t>
      </w:r>
      <w:r>
        <w:rPr>
          <w:rFonts w:hint="eastAsia" w:cs="宋体"/>
          <w:color w:val="auto"/>
          <w:szCs w:val="21"/>
          <w:highlight w:val="none"/>
          <w:lang w:bidi="ar"/>
        </w:rPr>
        <w:t>；</w:t>
      </w:r>
    </w:p>
    <w:p w14:paraId="60917AD9">
      <w:pPr>
        <w:snapToGrid w:val="0"/>
        <w:spacing w:line="360" w:lineRule="exact"/>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交付地点：</w:t>
      </w:r>
      <w:r>
        <w:rPr>
          <w:color w:val="auto"/>
          <w:szCs w:val="21"/>
          <w:highlight w:val="none"/>
          <w:u w:val="single"/>
          <w:lang w:bidi="ar"/>
        </w:rPr>
        <w:t xml:space="preserve">                                                    </w:t>
      </w:r>
      <w:r>
        <w:rPr>
          <w:rFonts w:hint="eastAsia" w:cs="宋体"/>
          <w:color w:val="auto"/>
          <w:szCs w:val="21"/>
          <w:highlight w:val="none"/>
          <w:lang w:bidi="ar"/>
        </w:rPr>
        <w:t>；</w:t>
      </w:r>
      <w:r>
        <w:rPr>
          <w:color w:val="auto"/>
          <w:szCs w:val="21"/>
          <w:highlight w:val="none"/>
          <w:lang w:bidi="ar"/>
        </w:rPr>
        <w:t xml:space="preserve"> </w:t>
      </w:r>
    </w:p>
    <w:p w14:paraId="09116F79">
      <w:pPr>
        <w:snapToGrid w:val="0"/>
        <w:spacing w:line="360" w:lineRule="exact"/>
        <w:ind w:firstLine="420" w:firstLineChars="200"/>
        <w:rPr>
          <w:color w:val="auto"/>
          <w:szCs w:val="21"/>
          <w:highlight w:val="none"/>
        </w:rPr>
      </w:pPr>
      <w:r>
        <w:rPr>
          <w:color w:val="auto"/>
          <w:szCs w:val="21"/>
          <w:highlight w:val="none"/>
          <w:lang w:bidi="ar"/>
        </w:rPr>
        <w:t>5.</w:t>
      </w:r>
      <w:r>
        <w:rPr>
          <w:rFonts w:hint="eastAsia" w:cs="宋体"/>
          <w:color w:val="auto"/>
          <w:szCs w:val="21"/>
          <w:highlight w:val="none"/>
          <w:lang w:bidi="ar"/>
        </w:rPr>
        <w:t>报价要求：合同合计金额可能包括包含</w:t>
      </w:r>
      <w:r>
        <w:rPr>
          <w:rFonts w:hint="eastAsia"/>
          <w:color w:val="auto"/>
          <w:szCs w:val="21"/>
          <w:highlight w:val="none"/>
        </w:rPr>
        <w:t>产品价、运输费、保险费、安装调试费、税费、培训费、产品检测费、产品质保期内维护费等费用。对于本文件中明确列明必须报价的货物或服务，乙方应分别报价。对于本文件中未列明，而乙方认为必需的费用也需列入总报价。在合同实施时，甲方将不予支付乙方没有列入的项目费用，并认为此项目的费用已包括在投标总报价中</w:t>
      </w:r>
      <w:r>
        <w:rPr>
          <w:rFonts w:hint="eastAsia" w:cs="宋体"/>
          <w:color w:val="auto"/>
          <w:szCs w:val="21"/>
          <w:highlight w:val="none"/>
          <w:lang w:bidi="ar"/>
        </w:rPr>
        <w:t>。</w:t>
      </w:r>
    </w:p>
    <w:p w14:paraId="16162478">
      <w:pPr>
        <w:pStyle w:val="46"/>
        <w:widowControl w:val="0"/>
        <w:spacing w:before="0" w:beforeAutospacing="0" w:after="0" w:afterAutospacing="0" w:line="300" w:lineRule="exact"/>
        <w:ind w:firstLine="420" w:firstLineChars="200"/>
        <w:jc w:val="both"/>
        <w:rPr>
          <w:rFonts w:ascii="Times New Roman" w:hAnsi="Times New Roman"/>
          <w:color w:val="auto"/>
          <w:highlight w:val="none"/>
        </w:rPr>
      </w:pPr>
      <w:bookmarkStart w:id="115" w:name="_Hlk77611311"/>
      <w:r>
        <w:rPr>
          <w:rFonts w:ascii="Times New Roman" w:hAnsi="Times New Roman"/>
          <w:color w:val="auto"/>
          <w:kern w:val="2"/>
          <w:sz w:val="21"/>
          <w:szCs w:val="21"/>
          <w:highlight w:val="none"/>
          <w:lang w:bidi="ar"/>
        </w:rPr>
        <w:t>6.</w:t>
      </w:r>
      <w:r>
        <w:rPr>
          <w:rFonts w:hint="eastAsia" w:ascii="Times New Roman" w:hAnsi="Times New Roman"/>
          <w:color w:val="auto"/>
          <w:kern w:val="2"/>
          <w:sz w:val="21"/>
          <w:szCs w:val="21"/>
          <w:highlight w:val="none"/>
          <w:lang w:bidi="ar"/>
        </w:rPr>
        <w:t>合同价格形式：☑固定总价</w:t>
      </w:r>
      <w:r>
        <w:rPr>
          <w:rFonts w:ascii="Times New Roman" w:hAnsi="Times New Roman"/>
          <w:color w:val="auto"/>
          <w:kern w:val="2"/>
          <w:sz w:val="21"/>
          <w:szCs w:val="21"/>
          <w:highlight w:val="none"/>
          <w:lang w:bidi="ar"/>
        </w:rPr>
        <w:t xml:space="preserve">  </w:t>
      </w:r>
      <w:r>
        <w:rPr>
          <w:rFonts w:hint="eastAsia" w:ascii="Times New Roman" w:hAnsi="Times New Roman"/>
          <w:color w:val="auto"/>
          <w:kern w:val="2"/>
          <w:sz w:val="21"/>
          <w:szCs w:val="21"/>
          <w:highlight w:val="none"/>
          <w:lang w:bidi="ar"/>
        </w:rPr>
        <w:t>□固定单价</w:t>
      </w:r>
      <w:r>
        <w:rPr>
          <w:rFonts w:ascii="Times New Roman" w:hAnsi="Times New Roman"/>
          <w:color w:val="auto"/>
          <w:kern w:val="2"/>
          <w:sz w:val="21"/>
          <w:szCs w:val="21"/>
          <w:highlight w:val="none"/>
          <w:lang w:bidi="ar"/>
        </w:rPr>
        <w:t xml:space="preserve">  </w:t>
      </w:r>
      <w:r>
        <w:rPr>
          <w:rFonts w:hint="eastAsia" w:ascii="Times New Roman" w:hAnsi="Times New Roman"/>
          <w:color w:val="auto"/>
          <w:kern w:val="2"/>
          <w:sz w:val="21"/>
          <w:szCs w:val="21"/>
          <w:highlight w:val="none"/>
          <w:lang w:bidi="ar"/>
        </w:rPr>
        <w:t>□成本补偿</w:t>
      </w:r>
      <w:r>
        <w:rPr>
          <w:rFonts w:ascii="Times New Roman" w:hAnsi="Times New Roman"/>
          <w:color w:val="auto"/>
          <w:kern w:val="2"/>
          <w:sz w:val="21"/>
          <w:szCs w:val="21"/>
          <w:highlight w:val="none"/>
          <w:lang w:bidi="ar"/>
        </w:rPr>
        <w:t xml:space="preserve"> </w:t>
      </w:r>
      <w:r>
        <w:rPr>
          <w:rFonts w:hint="eastAsia" w:ascii="Times New Roman" w:hAnsi="Times New Roman"/>
          <w:color w:val="auto"/>
          <w:kern w:val="2"/>
          <w:sz w:val="21"/>
          <w:szCs w:val="21"/>
          <w:highlight w:val="none"/>
          <w:lang w:bidi="ar"/>
        </w:rPr>
        <w:t>□绩效激励</w:t>
      </w:r>
      <w:r>
        <w:rPr>
          <w:rFonts w:ascii="Times New Roman" w:hAnsi="Times New Roman"/>
          <w:color w:val="auto"/>
          <w:kern w:val="2"/>
          <w:sz w:val="21"/>
          <w:szCs w:val="21"/>
          <w:highlight w:val="none"/>
          <w:lang w:bidi="ar"/>
        </w:rPr>
        <w:t xml:space="preserve"> </w:t>
      </w:r>
      <w:r>
        <w:rPr>
          <w:rFonts w:hint="eastAsia" w:ascii="Times New Roman" w:hAnsi="Times New Roman"/>
          <w:color w:val="auto"/>
          <w:kern w:val="2"/>
          <w:sz w:val="21"/>
          <w:szCs w:val="21"/>
          <w:highlight w:val="none"/>
          <w:lang w:bidi="ar"/>
        </w:rPr>
        <w:t>□其他</w:t>
      </w:r>
    </w:p>
    <w:bookmarkEnd w:id="115"/>
    <w:p w14:paraId="2AA5BECD">
      <w:pPr>
        <w:snapToGrid w:val="0"/>
        <w:spacing w:line="360" w:lineRule="exact"/>
        <w:ind w:firstLine="422" w:firstLineChars="200"/>
        <w:rPr>
          <w:b/>
          <w:color w:val="auto"/>
          <w:szCs w:val="21"/>
          <w:highlight w:val="none"/>
        </w:rPr>
      </w:pPr>
      <w:r>
        <w:rPr>
          <w:rFonts w:hint="eastAsia" w:cs="宋体"/>
          <w:b/>
          <w:color w:val="auto"/>
          <w:szCs w:val="21"/>
          <w:highlight w:val="none"/>
          <w:lang w:bidi="ar"/>
        </w:rPr>
        <w:t>第二条　交付成果（产品）清单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926"/>
        <w:gridCol w:w="1201"/>
        <w:gridCol w:w="1311"/>
        <w:gridCol w:w="1748"/>
        <w:gridCol w:w="1748"/>
      </w:tblGrid>
      <w:tr w14:paraId="38E6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337FF684">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序号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7C653D9">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产品名称</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30CFC26B">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数</w:t>
            </w:r>
            <w:r>
              <w:rPr>
                <w:rFonts w:hint="default"/>
                <w:color w:val="auto"/>
                <w:szCs w:val="21"/>
                <w:highlight w:val="none"/>
                <w:lang w:bidi="ar"/>
              </w:rPr>
              <w:t xml:space="preserve">  </w:t>
            </w:r>
            <w:r>
              <w:rPr>
                <w:rFonts w:hint="eastAsia" w:cs="宋体"/>
                <w:color w:val="auto"/>
                <w:szCs w:val="21"/>
                <w:highlight w:val="none"/>
                <w:lang w:bidi="ar"/>
              </w:rPr>
              <w:t>量</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7EA751F8">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单位</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3F0A5231">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单</w:t>
            </w:r>
            <w:r>
              <w:rPr>
                <w:rFonts w:hint="default"/>
                <w:color w:val="auto"/>
                <w:szCs w:val="21"/>
                <w:highlight w:val="none"/>
                <w:lang w:bidi="ar"/>
              </w:rPr>
              <w:t xml:space="preserve">  </w:t>
            </w:r>
            <w:r>
              <w:rPr>
                <w:rFonts w:hint="eastAsia" w:cs="宋体"/>
                <w:color w:val="auto"/>
                <w:szCs w:val="21"/>
                <w:highlight w:val="none"/>
                <w:lang w:bidi="ar"/>
              </w:rPr>
              <w:t>价</w:t>
            </w:r>
          </w:p>
          <w:p w14:paraId="30E6D321">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（元）</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64C7ABD1">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金</w:t>
            </w:r>
            <w:r>
              <w:rPr>
                <w:rFonts w:hint="default"/>
                <w:color w:val="auto"/>
                <w:szCs w:val="21"/>
                <w:highlight w:val="none"/>
                <w:lang w:bidi="ar"/>
              </w:rPr>
              <w:t xml:space="preserve">  </w:t>
            </w:r>
            <w:r>
              <w:rPr>
                <w:rFonts w:hint="eastAsia" w:cs="宋体"/>
                <w:color w:val="auto"/>
                <w:szCs w:val="21"/>
                <w:highlight w:val="none"/>
                <w:lang w:bidi="ar"/>
              </w:rPr>
              <w:t>额</w:t>
            </w:r>
          </w:p>
          <w:p w14:paraId="7D7E5BE8">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（元）</w:t>
            </w:r>
          </w:p>
        </w:tc>
        <w:tc>
          <w:tcPr>
            <w:tcW w:w="1748" w:type="dxa"/>
            <w:tcBorders>
              <w:top w:val="single" w:color="auto" w:sz="4" w:space="0"/>
              <w:left w:val="single" w:color="auto" w:sz="4" w:space="0"/>
              <w:bottom w:val="single" w:color="auto" w:sz="4" w:space="0"/>
              <w:right w:val="single" w:color="auto" w:sz="4" w:space="0"/>
            </w:tcBorders>
            <w:shd w:val="clear" w:color="auto" w:fill="auto"/>
          </w:tcPr>
          <w:p w14:paraId="7B253470">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eastAsia" w:cs="宋体"/>
                <w:color w:val="auto"/>
                <w:szCs w:val="21"/>
                <w:highlight w:val="none"/>
                <w:lang w:bidi="ar"/>
              </w:rPr>
              <w:t>备注</w:t>
            </w:r>
          </w:p>
        </w:tc>
      </w:tr>
      <w:tr w14:paraId="1AD5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2FFF254A">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lang w:bidi="ar"/>
              </w:rPr>
              <w:t>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046DB9D0">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tcPr>
          <w:p w14:paraId="083607E5">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tcPr>
          <w:p w14:paraId="3C4F45B6">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1F5A2B29">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19C344F7">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tcPr>
          <w:p w14:paraId="0760927E">
            <w:pPr>
              <w:keepNext w:val="0"/>
              <w:keepLines w:val="0"/>
              <w:suppressLineNumbers w:val="0"/>
              <w:snapToGrid w:val="0"/>
              <w:spacing w:before="0" w:beforeAutospacing="0" w:after="0" w:afterAutospacing="0" w:line="360" w:lineRule="exact"/>
              <w:ind w:left="0" w:right="0"/>
              <w:jc w:val="left"/>
              <w:rPr>
                <w:rFonts w:hint="default"/>
                <w:color w:val="auto"/>
                <w:szCs w:val="21"/>
                <w:highlight w:val="none"/>
              </w:rPr>
            </w:pPr>
            <w:r>
              <w:rPr>
                <w:rFonts w:hint="eastAsia" w:cs="宋体"/>
                <w:color w:val="auto"/>
                <w:szCs w:val="21"/>
                <w:highlight w:val="none"/>
                <w:lang w:bidi="ar"/>
              </w:rPr>
              <w:t>如有商标品牌、型号参数、生产厂家等信息请注明</w:t>
            </w:r>
          </w:p>
        </w:tc>
      </w:tr>
      <w:tr w14:paraId="4D48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75DFA4DF">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lang w:bidi="ar"/>
              </w:rPr>
              <w:t>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0CA90A9C">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tcPr>
          <w:p w14:paraId="2F515329">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tcPr>
          <w:p w14:paraId="5CB33217">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19B2B642">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1E335100">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vMerge w:val="continue"/>
            <w:tcBorders>
              <w:top w:val="single" w:color="auto" w:sz="4" w:space="0"/>
              <w:left w:val="single" w:color="auto" w:sz="4" w:space="0"/>
              <w:bottom w:val="single" w:color="auto" w:sz="4" w:space="0"/>
              <w:right w:val="single" w:color="auto" w:sz="4" w:space="0"/>
            </w:tcBorders>
            <w:shd w:val="clear" w:color="auto" w:fill="auto"/>
          </w:tcPr>
          <w:p w14:paraId="7B1CDA6F">
            <w:pPr>
              <w:keepNext w:val="0"/>
              <w:keepLines w:val="0"/>
              <w:suppressLineNumbers w:val="0"/>
              <w:spacing w:before="0" w:beforeAutospacing="0" w:after="0" w:afterAutospacing="0"/>
              <w:ind w:left="0" w:right="0"/>
              <w:rPr>
                <w:rFonts w:hint="default"/>
                <w:color w:val="auto"/>
                <w:sz w:val="20"/>
                <w:szCs w:val="20"/>
                <w:highlight w:val="none"/>
              </w:rPr>
            </w:pPr>
          </w:p>
        </w:tc>
      </w:tr>
      <w:tr w14:paraId="3F5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3C1A5D2C">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lang w:bidi="ar"/>
              </w:rPr>
              <w:t>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1331B42">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tcPr>
          <w:p w14:paraId="4A2CA5B8">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tcPr>
          <w:p w14:paraId="2E3CFCBD">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6D13B3D4">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14:paraId="2C4BF65E">
            <w:pPr>
              <w:keepNext w:val="0"/>
              <w:keepLines w:val="0"/>
              <w:suppressLineNumbers w:val="0"/>
              <w:snapToGrid w:val="0"/>
              <w:spacing w:before="0" w:beforeAutospacing="0" w:after="0" w:afterAutospacing="0" w:line="360" w:lineRule="exact"/>
              <w:ind w:left="0" w:right="0"/>
              <w:jc w:val="center"/>
              <w:rPr>
                <w:rFonts w:hint="default"/>
                <w:color w:val="auto"/>
                <w:szCs w:val="21"/>
                <w:highlight w:val="none"/>
              </w:rPr>
            </w:pPr>
          </w:p>
        </w:tc>
        <w:tc>
          <w:tcPr>
            <w:tcW w:w="1748" w:type="dxa"/>
            <w:vMerge w:val="continue"/>
            <w:tcBorders>
              <w:top w:val="single" w:color="auto" w:sz="4" w:space="0"/>
              <w:left w:val="single" w:color="auto" w:sz="4" w:space="0"/>
              <w:bottom w:val="single" w:color="auto" w:sz="4" w:space="0"/>
              <w:right w:val="single" w:color="auto" w:sz="4" w:space="0"/>
            </w:tcBorders>
            <w:shd w:val="clear" w:color="auto" w:fill="auto"/>
          </w:tcPr>
          <w:p w14:paraId="44C86CBF">
            <w:pPr>
              <w:keepNext w:val="0"/>
              <w:keepLines w:val="0"/>
              <w:suppressLineNumbers w:val="0"/>
              <w:spacing w:before="0" w:beforeAutospacing="0" w:after="0" w:afterAutospacing="0"/>
              <w:ind w:left="0" w:right="0"/>
              <w:rPr>
                <w:rFonts w:hint="default"/>
                <w:color w:val="auto"/>
                <w:sz w:val="20"/>
                <w:szCs w:val="20"/>
                <w:highlight w:val="none"/>
              </w:rPr>
            </w:pPr>
          </w:p>
        </w:tc>
      </w:tr>
      <w:tr w14:paraId="3D87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11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3507F2">
            <w:pPr>
              <w:keepNext w:val="0"/>
              <w:keepLines w:val="0"/>
              <w:suppressLineNumbers w:val="0"/>
              <w:snapToGrid w:val="0"/>
              <w:spacing w:before="0" w:beforeAutospacing="0" w:after="0" w:afterAutospacing="0" w:line="360" w:lineRule="exact"/>
              <w:ind w:left="0" w:right="0"/>
              <w:jc w:val="left"/>
              <w:rPr>
                <w:rFonts w:hint="default"/>
                <w:color w:val="auto"/>
                <w:szCs w:val="21"/>
                <w:highlight w:val="none"/>
              </w:rPr>
            </w:pPr>
            <w:r>
              <w:rPr>
                <w:rFonts w:hint="eastAsia" w:cs="宋体"/>
                <w:color w:val="auto"/>
                <w:szCs w:val="21"/>
                <w:highlight w:val="none"/>
                <w:lang w:bidi="ar"/>
              </w:rPr>
              <w:t>总价（人民币）（大写）</w:t>
            </w:r>
            <w:r>
              <w:rPr>
                <w:rFonts w:hint="default"/>
                <w:color w:val="auto"/>
                <w:szCs w:val="21"/>
                <w:highlight w:val="none"/>
                <w:lang w:bidi="ar"/>
              </w:rPr>
              <w:t xml:space="preserve">                          </w:t>
            </w:r>
            <w:r>
              <w:rPr>
                <w:rFonts w:hint="eastAsia" w:cs="宋体"/>
                <w:color w:val="auto"/>
                <w:szCs w:val="21"/>
                <w:highlight w:val="none"/>
                <w:lang w:bidi="ar"/>
              </w:rPr>
              <w:t>（小写）</w:t>
            </w:r>
          </w:p>
        </w:tc>
      </w:tr>
    </w:tbl>
    <w:p w14:paraId="06D18442">
      <w:pPr>
        <w:snapToGrid w:val="0"/>
        <w:spacing w:line="360" w:lineRule="exact"/>
        <w:ind w:firstLine="422" w:firstLineChars="200"/>
        <w:rPr>
          <w:b/>
          <w:color w:val="auto"/>
          <w:szCs w:val="21"/>
          <w:highlight w:val="none"/>
        </w:rPr>
      </w:pPr>
      <w:r>
        <w:rPr>
          <w:rFonts w:hint="eastAsia" w:cs="宋体"/>
          <w:b/>
          <w:color w:val="auto"/>
          <w:szCs w:val="21"/>
          <w:highlight w:val="none"/>
          <w:lang w:bidi="ar"/>
        </w:rPr>
        <w:t>第三条</w:t>
      </w:r>
      <w:r>
        <w:rPr>
          <w:b/>
          <w:color w:val="auto"/>
          <w:szCs w:val="21"/>
          <w:highlight w:val="none"/>
          <w:lang w:bidi="ar"/>
        </w:rPr>
        <w:t xml:space="preserve">  </w:t>
      </w:r>
      <w:r>
        <w:rPr>
          <w:rFonts w:hint="eastAsia" w:cs="宋体"/>
          <w:b/>
          <w:color w:val="auto"/>
          <w:szCs w:val="21"/>
          <w:highlight w:val="none"/>
          <w:lang w:bidi="ar"/>
        </w:rPr>
        <w:t>甲方权利和义务</w:t>
      </w:r>
    </w:p>
    <w:p w14:paraId="5F5A773F">
      <w:pPr>
        <w:snapToGrid w:val="0"/>
        <w:spacing w:line="360" w:lineRule="exact"/>
        <w:ind w:firstLine="420" w:firstLineChars="200"/>
        <w:rPr>
          <w:color w:val="auto"/>
          <w:szCs w:val="21"/>
          <w:highlight w:val="none"/>
        </w:rPr>
      </w:pPr>
      <w:r>
        <w:rPr>
          <w:color w:val="auto"/>
          <w:szCs w:val="21"/>
          <w:highlight w:val="none"/>
          <w:lang w:bidi="ar"/>
        </w:rPr>
        <w:t xml:space="preserve">1. </w:t>
      </w:r>
      <w:r>
        <w:rPr>
          <w:rFonts w:hint="eastAsia" w:cs="宋体"/>
          <w:color w:val="auto"/>
          <w:szCs w:val="21"/>
          <w:highlight w:val="none"/>
          <w:lang w:bidi="ar"/>
        </w:rPr>
        <w:t>甲方有权要求乙方按时、按质、按量、按计划与合同协议约定完成本项目，并有权对乙方工作情况进行监督。</w:t>
      </w:r>
    </w:p>
    <w:p w14:paraId="34FEF082">
      <w:pPr>
        <w:snapToGrid w:val="0"/>
        <w:spacing w:line="360" w:lineRule="exact"/>
        <w:ind w:firstLine="420" w:firstLineChars="200"/>
        <w:rPr>
          <w:color w:val="auto"/>
          <w:szCs w:val="21"/>
          <w:highlight w:val="none"/>
        </w:rPr>
      </w:pPr>
      <w:r>
        <w:rPr>
          <w:color w:val="auto"/>
          <w:szCs w:val="21"/>
          <w:highlight w:val="none"/>
          <w:lang w:bidi="ar"/>
        </w:rPr>
        <w:t xml:space="preserve">2. </w:t>
      </w:r>
      <w:r>
        <w:rPr>
          <w:rFonts w:hint="eastAsia" w:cs="宋体"/>
          <w:color w:val="auto"/>
          <w:szCs w:val="21"/>
          <w:highlight w:val="none"/>
          <w:lang w:bidi="ar"/>
        </w:rPr>
        <w:t>根据项目进度，甲方有权及时对乙方提交的方案提出修改意见，并要求乙方按修改意见完成服务工作。</w:t>
      </w:r>
    </w:p>
    <w:p w14:paraId="2C61D807">
      <w:pPr>
        <w:snapToGrid w:val="0"/>
        <w:spacing w:line="360" w:lineRule="exact"/>
        <w:ind w:firstLine="420" w:firstLineChars="200"/>
        <w:rPr>
          <w:color w:val="auto"/>
          <w:szCs w:val="21"/>
          <w:highlight w:val="none"/>
        </w:rPr>
      </w:pPr>
      <w:r>
        <w:rPr>
          <w:color w:val="auto"/>
          <w:szCs w:val="21"/>
          <w:highlight w:val="none"/>
          <w:lang w:bidi="ar"/>
        </w:rPr>
        <w:t xml:space="preserve">3. </w:t>
      </w:r>
      <w:r>
        <w:rPr>
          <w:rFonts w:hint="eastAsia" w:cs="宋体"/>
          <w:color w:val="auto"/>
          <w:szCs w:val="21"/>
          <w:highlight w:val="none"/>
          <w:lang w:bidi="ar"/>
        </w:rPr>
        <w:t>乙方配备的项目投入人员应得到甲方的认可；对派遣到甲方的服务人员进行管理、考核、检查与奖惩。</w:t>
      </w:r>
    </w:p>
    <w:p w14:paraId="6974DCB1">
      <w:pPr>
        <w:snapToGrid w:val="0"/>
        <w:spacing w:line="360" w:lineRule="exact"/>
        <w:ind w:firstLine="420" w:firstLineChars="200"/>
        <w:rPr>
          <w:strike/>
          <w:color w:val="auto"/>
          <w:szCs w:val="21"/>
          <w:highlight w:val="none"/>
        </w:rPr>
      </w:pPr>
      <w:r>
        <w:rPr>
          <w:color w:val="auto"/>
          <w:szCs w:val="21"/>
          <w:highlight w:val="none"/>
          <w:lang w:bidi="ar"/>
        </w:rPr>
        <w:t>4.</w:t>
      </w:r>
      <w:r>
        <w:rPr>
          <w:rFonts w:hint="eastAsia" w:cs="宋体"/>
          <w:color w:val="auto"/>
          <w:szCs w:val="21"/>
          <w:highlight w:val="none"/>
          <w:lang w:bidi="ar"/>
        </w:rPr>
        <w:t>甲方有权要求乙方更换不合格的工作人员。</w:t>
      </w:r>
    </w:p>
    <w:p w14:paraId="189CC3F6">
      <w:pPr>
        <w:snapToGrid w:val="0"/>
        <w:spacing w:line="360" w:lineRule="exact"/>
        <w:ind w:firstLine="420" w:firstLineChars="200"/>
        <w:rPr>
          <w:color w:val="auto"/>
          <w:szCs w:val="21"/>
          <w:highlight w:val="none"/>
        </w:rPr>
      </w:pPr>
      <w:r>
        <w:rPr>
          <w:color w:val="auto"/>
          <w:szCs w:val="21"/>
          <w:highlight w:val="none"/>
          <w:lang w:bidi="ar"/>
        </w:rPr>
        <w:t xml:space="preserve">5. </w:t>
      </w:r>
      <w:r>
        <w:rPr>
          <w:rFonts w:hint="eastAsia" w:cs="宋体"/>
          <w:color w:val="auto"/>
          <w:szCs w:val="21"/>
          <w:highlight w:val="none"/>
          <w:lang w:bidi="ar"/>
        </w:rPr>
        <w:t>按合同要求及时向乙方支付产品和服务费用。</w:t>
      </w:r>
    </w:p>
    <w:p w14:paraId="16988272">
      <w:pPr>
        <w:snapToGrid w:val="0"/>
        <w:spacing w:line="360" w:lineRule="exact"/>
        <w:ind w:firstLine="420" w:firstLineChars="200"/>
        <w:rPr>
          <w:color w:val="auto"/>
          <w:szCs w:val="21"/>
          <w:highlight w:val="none"/>
        </w:rPr>
      </w:pPr>
      <w:bookmarkStart w:id="116" w:name="_Hlk77611324"/>
      <w:r>
        <w:rPr>
          <w:color w:val="auto"/>
          <w:szCs w:val="21"/>
          <w:highlight w:val="none"/>
          <w:lang w:bidi="ar"/>
        </w:rPr>
        <w:t>6.</w:t>
      </w:r>
      <w:r>
        <w:rPr>
          <w:color w:val="auto"/>
          <w:highlight w:val="none"/>
          <w:lang w:bidi="ar"/>
        </w:rPr>
        <w:t xml:space="preserve"> </w:t>
      </w:r>
      <w:r>
        <w:rPr>
          <w:rFonts w:hint="eastAsia" w:cs="宋体"/>
          <w:color w:val="auto"/>
          <w:szCs w:val="21"/>
          <w:highlight w:val="none"/>
          <w:lang w:bidi="ar"/>
        </w:rPr>
        <w:t>如采购项目涉及采购标的的知识产权归属的，产权归属为：</w:t>
      </w:r>
      <w:r>
        <w:rPr>
          <w:color w:val="auto"/>
          <w:szCs w:val="21"/>
          <w:highlight w:val="none"/>
          <w:u w:val="single"/>
          <w:lang w:bidi="ar"/>
        </w:rPr>
        <w:t xml:space="preserve">    </w:t>
      </w:r>
      <w:r>
        <w:rPr>
          <w:rFonts w:hint="eastAsia" w:cs="宋体"/>
          <w:color w:val="auto"/>
          <w:szCs w:val="21"/>
          <w:highlight w:val="none"/>
          <w:u w:val="single"/>
          <w:lang w:bidi="ar"/>
        </w:rPr>
        <w:t>甲方</w:t>
      </w:r>
      <w:r>
        <w:rPr>
          <w:color w:val="auto"/>
          <w:szCs w:val="21"/>
          <w:highlight w:val="none"/>
          <w:u w:val="single"/>
          <w:lang w:bidi="ar"/>
        </w:rPr>
        <w:t xml:space="preserve">    </w:t>
      </w:r>
      <w:r>
        <w:rPr>
          <w:color w:val="auto"/>
          <w:szCs w:val="21"/>
          <w:highlight w:val="none"/>
          <w:lang w:bidi="ar"/>
        </w:rPr>
        <w:t xml:space="preserve">    </w:t>
      </w:r>
    </w:p>
    <w:p w14:paraId="7A3F7557">
      <w:pPr>
        <w:snapToGrid w:val="0"/>
        <w:spacing w:line="360" w:lineRule="exact"/>
        <w:ind w:firstLine="420" w:firstLineChars="200"/>
        <w:rPr>
          <w:color w:val="auto"/>
          <w:szCs w:val="21"/>
          <w:highlight w:val="none"/>
          <w:u w:val="single"/>
        </w:rPr>
      </w:pPr>
      <w:r>
        <w:rPr>
          <w:color w:val="auto"/>
          <w:highlight w:val="none"/>
          <w:lang w:bidi="ar"/>
        </w:rPr>
        <w:t>7.</w:t>
      </w:r>
      <w:r>
        <w:rPr>
          <w:rFonts w:hint="eastAsia" w:cs="宋体"/>
          <w:color w:val="auto"/>
          <w:highlight w:val="none"/>
          <w:lang w:bidi="ar"/>
        </w:rPr>
        <w:t>产权纠纷</w:t>
      </w:r>
      <w:r>
        <w:rPr>
          <w:rFonts w:hint="eastAsia" w:cs="宋体"/>
          <w:color w:val="auto"/>
          <w:szCs w:val="21"/>
          <w:highlight w:val="none"/>
          <w:lang w:bidi="ar"/>
        </w:rPr>
        <w:t>处理方式：</w:t>
      </w:r>
      <w:r>
        <w:rPr>
          <w:rFonts w:hint="eastAsia" w:cs="宋体"/>
          <w:color w:val="auto"/>
          <w:szCs w:val="21"/>
          <w:highlight w:val="none"/>
          <w:u w:val="single"/>
          <w:lang w:bidi="ar"/>
        </w:rPr>
        <w:t>采购人在中华人民共和国境内使用供应商提供的产品及服务时免受第三方提出的侵犯其专利权或其它知识产权的起诉。如果第三方提出侵权指控，乙方应妥善处理纠纷并承担由此而引起的一切法律责任和费用。</w:t>
      </w:r>
    </w:p>
    <w:bookmarkEnd w:id="116"/>
    <w:p w14:paraId="0C512EFD">
      <w:pPr>
        <w:snapToGrid w:val="0"/>
        <w:spacing w:line="360" w:lineRule="exact"/>
        <w:ind w:firstLine="422" w:firstLineChars="200"/>
        <w:rPr>
          <w:b/>
          <w:color w:val="auto"/>
          <w:szCs w:val="21"/>
          <w:highlight w:val="none"/>
        </w:rPr>
      </w:pPr>
      <w:r>
        <w:rPr>
          <w:rFonts w:hint="eastAsia" w:cs="宋体"/>
          <w:b/>
          <w:color w:val="auto"/>
          <w:szCs w:val="21"/>
          <w:highlight w:val="none"/>
          <w:lang w:bidi="ar"/>
        </w:rPr>
        <w:t>第四条</w:t>
      </w:r>
      <w:r>
        <w:rPr>
          <w:b/>
          <w:color w:val="auto"/>
          <w:szCs w:val="21"/>
          <w:highlight w:val="none"/>
          <w:lang w:bidi="ar"/>
        </w:rPr>
        <w:t xml:space="preserve">  </w:t>
      </w:r>
      <w:r>
        <w:rPr>
          <w:rFonts w:hint="eastAsia" w:cs="宋体"/>
          <w:b/>
          <w:color w:val="auto"/>
          <w:szCs w:val="21"/>
          <w:highlight w:val="none"/>
          <w:lang w:bidi="ar"/>
        </w:rPr>
        <w:t>乙方权利和义务</w:t>
      </w:r>
    </w:p>
    <w:p w14:paraId="577D94C2">
      <w:pPr>
        <w:snapToGrid w:val="0"/>
        <w:spacing w:line="360" w:lineRule="exact"/>
        <w:ind w:firstLine="420" w:firstLineChars="200"/>
        <w:rPr>
          <w:color w:val="auto"/>
          <w:szCs w:val="21"/>
          <w:highlight w:val="none"/>
        </w:rPr>
      </w:pPr>
      <w:r>
        <w:rPr>
          <w:color w:val="auto"/>
          <w:szCs w:val="21"/>
          <w:highlight w:val="none"/>
          <w:lang w:bidi="ar"/>
        </w:rPr>
        <w:t xml:space="preserve">1. </w:t>
      </w:r>
      <w:r>
        <w:rPr>
          <w:rFonts w:hint="eastAsia" w:cs="宋体"/>
          <w:color w:val="auto"/>
          <w:szCs w:val="21"/>
          <w:highlight w:val="none"/>
          <w:lang w:bidi="ar"/>
        </w:rPr>
        <w:t>严格履行合同文件（含招标文件、投标文件等）约定和承诺的服务内容和质量标准，保证甲方项目的相关工作质量和进度。</w:t>
      </w:r>
    </w:p>
    <w:p w14:paraId="6B281BC3">
      <w:pPr>
        <w:snapToGrid w:val="0"/>
        <w:spacing w:line="360" w:lineRule="exact"/>
        <w:ind w:firstLine="420" w:firstLineChars="200"/>
        <w:rPr>
          <w:color w:val="auto"/>
          <w:szCs w:val="21"/>
          <w:highlight w:val="none"/>
        </w:rPr>
      </w:pPr>
      <w:r>
        <w:rPr>
          <w:color w:val="auto"/>
          <w:szCs w:val="21"/>
          <w:highlight w:val="none"/>
          <w:lang w:bidi="ar"/>
        </w:rPr>
        <w:t xml:space="preserve">2. </w:t>
      </w:r>
      <w:r>
        <w:rPr>
          <w:rFonts w:hint="eastAsia" w:cs="宋体"/>
          <w:color w:val="auto"/>
          <w:szCs w:val="21"/>
          <w:highlight w:val="none"/>
          <w:lang w:bidi="ar"/>
        </w:rPr>
        <w:t>必须严格实施乙方投标文件中承诺的人力资源配置。在必须补充或更换人员时，必须补充或更换优于或等同于投标文件所承诺资质的服务人员，并需取得甲方书面同意。</w:t>
      </w:r>
    </w:p>
    <w:p w14:paraId="43693EA0">
      <w:pPr>
        <w:snapToGrid w:val="0"/>
        <w:spacing w:line="360" w:lineRule="exact"/>
        <w:ind w:firstLine="420" w:firstLineChars="200"/>
        <w:rPr>
          <w:color w:val="auto"/>
          <w:szCs w:val="21"/>
          <w:highlight w:val="none"/>
        </w:rPr>
      </w:pPr>
      <w:r>
        <w:rPr>
          <w:color w:val="auto"/>
          <w:szCs w:val="21"/>
          <w:highlight w:val="none"/>
          <w:lang w:bidi="ar"/>
        </w:rPr>
        <w:t xml:space="preserve">3. </w:t>
      </w:r>
      <w:r>
        <w:rPr>
          <w:rFonts w:hint="eastAsia" w:cs="宋体"/>
          <w:color w:val="auto"/>
          <w:szCs w:val="21"/>
          <w:highlight w:val="none"/>
          <w:lang w:bidi="ar"/>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56581402">
      <w:pPr>
        <w:snapToGrid w:val="0"/>
        <w:spacing w:line="360" w:lineRule="exact"/>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25D2C204">
      <w:pPr>
        <w:snapToGrid w:val="0"/>
        <w:spacing w:line="360" w:lineRule="exact"/>
        <w:ind w:firstLine="420" w:firstLineChars="200"/>
        <w:rPr>
          <w:color w:val="auto"/>
          <w:szCs w:val="21"/>
          <w:highlight w:val="none"/>
        </w:rPr>
      </w:pPr>
      <w:r>
        <w:rPr>
          <w:color w:val="auto"/>
          <w:szCs w:val="21"/>
          <w:highlight w:val="none"/>
          <w:lang w:bidi="ar"/>
        </w:rPr>
        <w:t xml:space="preserve">5. </w:t>
      </w:r>
      <w:r>
        <w:rPr>
          <w:rFonts w:hint="eastAsia" w:cs="宋体"/>
          <w:color w:val="auto"/>
          <w:szCs w:val="21"/>
          <w:highlight w:val="none"/>
          <w:lang w:bidi="ar"/>
        </w:rPr>
        <w:t>乙方服务人员应履行保密义务。如乙方因违反本条约定给甲方造成损失的，乙方应当承担相应的法律责任，并赔偿由此给甲方造成的一切损失。</w:t>
      </w:r>
    </w:p>
    <w:p w14:paraId="76AF2841">
      <w:pPr>
        <w:snapToGrid w:val="0"/>
        <w:spacing w:line="360" w:lineRule="exact"/>
        <w:ind w:firstLine="420" w:firstLineChars="200"/>
        <w:rPr>
          <w:color w:val="auto"/>
          <w:szCs w:val="21"/>
          <w:highlight w:val="none"/>
        </w:rPr>
      </w:pPr>
      <w:r>
        <w:rPr>
          <w:color w:val="auto"/>
          <w:szCs w:val="21"/>
          <w:highlight w:val="none"/>
          <w:lang w:bidi="ar"/>
        </w:rPr>
        <w:t xml:space="preserve">6. </w:t>
      </w:r>
      <w:r>
        <w:rPr>
          <w:rFonts w:hint="eastAsia" w:cs="宋体"/>
          <w:color w:val="auto"/>
          <w:szCs w:val="21"/>
          <w:highlight w:val="none"/>
          <w:lang w:bidi="ar"/>
        </w:rPr>
        <w:t>按照合同约定收取服务费，当甲方出现无故拖欠费用时，乙方有权采取适当方式进行催缴，若甲方仍未支付费用，乙方有权停止工作。</w:t>
      </w:r>
    </w:p>
    <w:p w14:paraId="37537680">
      <w:pPr>
        <w:snapToGrid w:val="0"/>
        <w:spacing w:line="360" w:lineRule="exact"/>
        <w:ind w:firstLine="422" w:firstLineChars="200"/>
        <w:rPr>
          <w:b/>
          <w:color w:val="auto"/>
          <w:szCs w:val="21"/>
          <w:highlight w:val="none"/>
        </w:rPr>
      </w:pPr>
      <w:r>
        <w:rPr>
          <w:rFonts w:hint="eastAsia" w:cs="宋体"/>
          <w:b/>
          <w:color w:val="auto"/>
          <w:szCs w:val="21"/>
          <w:highlight w:val="none"/>
          <w:lang w:bidi="ar"/>
        </w:rPr>
        <w:t>第五条</w:t>
      </w:r>
      <w:r>
        <w:rPr>
          <w:b/>
          <w:color w:val="auto"/>
          <w:szCs w:val="21"/>
          <w:highlight w:val="none"/>
          <w:lang w:bidi="ar"/>
        </w:rPr>
        <w:t xml:space="preserve">  </w:t>
      </w:r>
      <w:r>
        <w:rPr>
          <w:rFonts w:hint="eastAsia" w:cs="宋体"/>
          <w:b/>
          <w:color w:val="auto"/>
          <w:szCs w:val="21"/>
          <w:highlight w:val="none"/>
          <w:lang w:bidi="ar"/>
        </w:rPr>
        <w:t>包装和运输</w:t>
      </w:r>
    </w:p>
    <w:p w14:paraId="32F01506">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乙方提供的服务交付成果或产品均应按招标文件要求的包装材料、包装标准、包装方式进行包装，每一包装单元内应附详细的交付清单和质量合格证，如有缺失应及时补齐，否则视为逾期交付。</w:t>
      </w:r>
    </w:p>
    <w:p w14:paraId="738EDC37">
      <w:pPr>
        <w:snapToGrid w:val="0"/>
        <w:spacing w:line="360" w:lineRule="exact"/>
        <w:ind w:firstLine="420" w:firstLineChars="200"/>
        <w:rPr>
          <w:color w:val="auto"/>
          <w:szCs w:val="21"/>
          <w:highlight w:val="none"/>
        </w:rPr>
      </w:pPr>
      <w:r>
        <w:rPr>
          <w:color w:val="auto"/>
          <w:szCs w:val="21"/>
          <w:highlight w:val="none"/>
          <w:lang w:bidi="ar"/>
        </w:rPr>
        <w:t xml:space="preserve">2. </w:t>
      </w:r>
      <w:r>
        <w:rPr>
          <w:rFonts w:hint="eastAsia" w:cs="宋体"/>
          <w:color w:val="auto"/>
          <w:szCs w:val="21"/>
          <w:highlight w:val="none"/>
          <w:lang w:bidi="ar"/>
        </w:rPr>
        <w:t>乙方负责服务交付成果、产品的运输。服务交付成果、产品的运输方式由乙方自定。服务交付成果、产品运输合理损耗及计算方法由乙方负责。</w:t>
      </w:r>
    </w:p>
    <w:p w14:paraId="2126DD08">
      <w:pPr>
        <w:pStyle w:val="46"/>
        <w:widowControl w:val="0"/>
        <w:spacing w:before="0" w:beforeAutospacing="0" w:after="0" w:afterAutospacing="0" w:line="300" w:lineRule="exact"/>
        <w:ind w:firstLine="420" w:firstLineChars="200"/>
        <w:jc w:val="both"/>
        <w:rPr>
          <w:rFonts w:ascii="Times New Roman" w:hAnsi="Times New Roman"/>
          <w:color w:val="auto"/>
          <w:highlight w:val="none"/>
        </w:rPr>
      </w:pPr>
      <w:bookmarkStart w:id="117" w:name="_Hlk60651149"/>
      <w:r>
        <w:rPr>
          <w:rFonts w:ascii="Times New Roman" w:hAnsi="Times New Roman"/>
          <w:color w:val="auto"/>
          <w:kern w:val="2"/>
          <w:sz w:val="21"/>
          <w:szCs w:val="21"/>
          <w:highlight w:val="none"/>
          <w:lang w:bidi="ar"/>
        </w:rPr>
        <w:t>3.</w:t>
      </w:r>
      <w:r>
        <w:rPr>
          <w:rFonts w:hint="eastAsia" w:ascii="Times New Roman" w:hAnsi="Times New Roman"/>
          <w:color w:val="auto"/>
          <w:kern w:val="2"/>
          <w:sz w:val="21"/>
          <w:szCs w:val="21"/>
          <w:highlight w:val="none"/>
          <w:lang w:bidi="ar"/>
        </w:rPr>
        <w:t>乙方提供的产品包装及快递包装应满足《财政部等三部门联合印发商品包装和快递包装政府采购需求标准（试行）》财办库【</w:t>
      </w:r>
      <w:r>
        <w:rPr>
          <w:rFonts w:ascii="Times New Roman" w:hAnsi="Times New Roman"/>
          <w:color w:val="auto"/>
          <w:kern w:val="2"/>
          <w:sz w:val="21"/>
          <w:szCs w:val="21"/>
          <w:highlight w:val="none"/>
          <w:lang w:bidi="ar"/>
        </w:rPr>
        <w:t>2020</w:t>
      </w:r>
      <w:r>
        <w:rPr>
          <w:rFonts w:hint="eastAsia" w:ascii="Times New Roman" w:hAnsi="Times New Roman"/>
          <w:color w:val="auto"/>
          <w:kern w:val="2"/>
          <w:sz w:val="21"/>
          <w:szCs w:val="21"/>
          <w:highlight w:val="none"/>
          <w:lang w:bidi="ar"/>
        </w:rPr>
        <w:t>】</w:t>
      </w:r>
      <w:r>
        <w:rPr>
          <w:rFonts w:ascii="Times New Roman" w:hAnsi="Times New Roman"/>
          <w:color w:val="auto"/>
          <w:kern w:val="2"/>
          <w:sz w:val="21"/>
          <w:szCs w:val="21"/>
          <w:highlight w:val="none"/>
          <w:lang w:bidi="ar"/>
        </w:rPr>
        <w:t>123</w:t>
      </w:r>
      <w:r>
        <w:rPr>
          <w:rFonts w:hint="eastAsia" w:ascii="Times New Roman" w:hAnsi="Times New Roman"/>
          <w:color w:val="auto"/>
          <w:kern w:val="2"/>
          <w:sz w:val="21"/>
          <w:szCs w:val="21"/>
          <w:highlight w:val="none"/>
          <w:lang w:bidi="ar"/>
        </w:rPr>
        <w:t>号文要求。</w:t>
      </w:r>
      <w:bookmarkEnd w:id="117"/>
    </w:p>
    <w:p w14:paraId="27742F8C">
      <w:pPr>
        <w:snapToGrid w:val="0"/>
        <w:spacing w:line="360" w:lineRule="exact"/>
        <w:ind w:firstLine="422" w:firstLineChars="200"/>
        <w:rPr>
          <w:color w:val="auto"/>
          <w:szCs w:val="21"/>
          <w:highlight w:val="none"/>
        </w:rPr>
      </w:pPr>
      <w:r>
        <w:rPr>
          <w:rFonts w:hint="eastAsia" w:cs="宋体"/>
          <w:b/>
          <w:color w:val="auto"/>
          <w:szCs w:val="21"/>
          <w:highlight w:val="none"/>
          <w:lang w:bidi="ar"/>
        </w:rPr>
        <w:t>第六条</w:t>
      </w:r>
      <w:r>
        <w:rPr>
          <w:b/>
          <w:color w:val="auto"/>
          <w:szCs w:val="21"/>
          <w:highlight w:val="none"/>
          <w:lang w:bidi="ar"/>
        </w:rPr>
        <w:t xml:space="preserve">  </w:t>
      </w:r>
      <w:r>
        <w:rPr>
          <w:rFonts w:hint="eastAsia" w:cs="宋体"/>
          <w:b/>
          <w:color w:val="auto"/>
          <w:szCs w:val="21"/>
          <w:highlight w:val="none"/>
          <w:lang w:bidi="ar"/>
        </w:rPr>
        <w:t>交付和验收</w:t>
      </w:r>
    </w:p>
    <w:p w14:paraId="3BC331E6">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交付使用时间：</w:t>
      </w:r>
      <w:r>
        <w:rPr>
          <w:rFonts w:hint="eastAsia" w:cs="宋体"/>
          <w:color w:val="auto"/>
          <w:szCs w:val="21"/>
          <w:highlight w:val="none"/>
          <w:u w:val="single"/>
          <w:lang w:bidi="ar"/>
        </w:rPr>
        <w:t>按乙方投标文件中所承诺的时间</w:t>
      </w:r>
      <w:r>
        <w:rPr>
          <w:rFonts w:hint="eastAsia" w:cs="宋体"/>
          <w:color w:val="auto"/>
          <w:szCs w:val="21"/>
          <w:highlight w:val="none"/>
          <w:lang w:bidi="ar"/>
        </w:rPr>
        <w:t>；地点：</w:t>
      </w:r>
      <w:r>
        <w:rPr>
          <w:rFonts w:hint="eastAsia" w:cs="宋体"/>
          <w:color w:val="auto"/>
          <w:szCs w:val="21"/>
          <w:highlight w:val="none"/>
          <w:u w:val="single"/>
          <w:lang w:bidi="ar"/>
        </w:rPr>
        <w:t>甲方指定地点</w:t>
      </w:r>
      <w:r>
        <w:rPr>
          <w:rFonts w:hint="eastAsia" w:cs="宋体"/>
          <w:color w:val="auto"/>
          <w:szCs w:val="21"/>
          <w:highlight w:val="none"/>
          <w:lang w:bidi="ar"/>
        </w:rPr>
        <w:t>。</w:t>
      </w:r>
    </w:p>
    <w:p w14:paraId="3DC9C1FA">
      <w:pPr>
        <w:snapToGrid w:val="0"/>
        <w:spacing w:line="300" w:lineRule="exact"/>
        <w:ind w:firstLine="420" w:firstLineChars="200"/>
        <w:rPr>
          <w:color w:val="auto"/>
          <w:highlight w:val="none"/>
        </w:rPr>
      </w:pPr>
      <w:r>
        <w:rPr>
          <w:color w:val="auto"/>
          <w:highlight w:val="none"/>
          <w:lang w:bidi="ar"/>
        </w:rPr>
        <w:t>2.</w:t>
      </w:r>
      <w:r>
        <w:rPr>
          <w:rFonts w:hint="eastAsia" w:cs="宋体"/>
          <w:color w:val="auto"/>
          <w:highlight w:val="none"/>
          <w:lang w:bidi="ar"/>
        </w:rPr>
        <w:t>交付标准：</w:t>
      </w:r>
      <w:r>
        <w:rPr>
          <w:rFonts w:hint="eastAsia" w:cs="宋体"/>
          <w:color w:val="auto"/>
          <w:highlight w:val="none"/>
          <w:lang w:val="en-US" w:eastAsia="zh-CN" w:bidi="ar"/>
        </w:rPr>
        <w:t>乙方交付的产品须</w:t>
      </w:r>
      <w:r>
        <w:rPr>
          <w:rFonts w:hint="eastAsia"/>
          <w:color w:val="auto"/>
          <w:szCs w:val="21"/>
          <w:highlight w:val="none"/>
          <w:lang w:val="en-US" w:eastAsia="zh-CN"/>
        </w:rPr>
        <w:t>与</w:t>
      </w:r>
      <w:r>
        <w:rPr>
          <w:rFonts w:hint="default"/>
          <w:color w:val="auto"/>
          <w:szCs w:val="21"/>
          <w:highlight w:val="none"/>
        </w:rPr>
        <w:t>学校硬件终端（包括信创计算机终端）和服务器（含信创服务器）适配</w:t>
      </w:r>
      <w:r>
        <w:rPr>
          <w:rFonts w:hint="eastAsia"/>
          <w:color w:val="auto"/>
          <w:szCs w:val="21"/>
          <w:highlight w:val="none"/>
          <w:lang w:eastAsia="zh-CN"/>
        </w:rPr>
        <w:t>，</w:t>
      </w:r>
      <w:r>
        <w:rPr>
          <w:rFonts w:hint="eastAsia" w:cs="宋体"/>
          <w:color w:val="auto"/>
          <w:highlight w:val="none"/>
          <w:lang w:bidi="ar"/>
        </w:rPr>
        <w:t>乙方交付前应对</w:t>
      </w:r>
      <w:r>
        <w:rPr>
          <w:rFonts w:hint="eastAsia" w:cs="宋体"/>
          <w:color w:val="auto"/>
          <w:szCs w:val="21"/>
          <w:highlight w:val="none"/>
          <w:lang w:bidi="ar"/>
        </w:rPr>
        <w:t>产品或服务成果</w:t>
      </w:r>
      <w:r>
        <w:rPr>
          <w:rFonts w:hint="eastAsia" w:cs="宋体"/>
          <w:color w:val="auto"/>
          <w:highlight w:val="none"/>
          <w:lang w:bidi="ar"/>
        </w:rPr>
        <w:t>作出全面检查后，</w:t>
      </w:r>
      <w:r>
        <w:rPr>
          <w:rFonts w:hint="eastAsia" w:cs="宋体"/>
          <w:color w:val="auto"/>
          <w:szCs w:val="21"/>
          <w:highlight w:val="none"/>
          <w:lang w:bidi="ar"/>
        </w:rPr>
        <w:t>将符合合同文件要求的产品或服务成果交付给甲方。</w:t>
      </w:r>
    </w:p>
    <w:p w14:paraId="4164B6EF">
      <w:pPr>
        <w:snapToGrid w:val="0"/>
        <w:spacing w:line="300" w:lineRule="exact"/>
        <w:ind w:firstLine="420" w:firstLineChars="200"/>
        <w:rPr>
          <w:color w:val="auto"/>
          <w:highlight w:val="none"/>
        </w:rPr>
      </w:pPr>
      <w:r>
        <w:rPr>
          <w:color w:val="auto"/>
          <w:highlight w:val="none"/>
          <w:lang w:bidi="ar"/>
        </w:rPr>
        <w:t>3.</w:t>
      </w:r>
      <w:r>
        <w:rPr>
          <w:rFonts w:hint="eastAsia" w:cs="宋体"/>
          <w:color w:val="auto"/>
          <w:highlight w:val="none"/>
          <w:lang w:bidi="ar"/>
        </w:rPr>
        <w:t>验收程序：验收一般分为到货验收和最终验收两次单项验收。经甲方同意，两次单项验收可以合并进行。本项目采用的验收方式为：</w:t>
      </w:r>
      <w:r>
        <w:rPr>
          <w:rFonts w:eastAsia="Wingdings 2" w:cs="Wingdings 2"/>
          <w:color w:val="auto"/>
          <w:highlight w:val="none"/>
          <w:lang w:bidi="ar"/>
        </w:rPr>
        <w:sym w:font="Wingdings 2" w:char="00A3"/>
      </w:r>
      <w:r>
        <w:rPr>
          <w:rFonts w:hint="eastAsia" w:cs="宋体"/>
          <w:color w:val="auto"/>
          <w:highlight w:val="none"/>
          <w:lang w:bidi="ar"/>
        </w:rPr>
        <w:t>到货验收（如有）</w:t>
      </w:r>
      <w:r>
        <w:rPr>
          <w:color w:val="auto"/>
          <w:highlight w:val="none"/>
          <w:lang w:bidi="ar"/>
        </w:rPr>
        <w:t xml:space="preserve">  </w:t>
      </w:r>
      <w:r>
        <w:rPr>
          <w:rFonts w:eastAsia="Wingdings 2" w:cs="Wingdings 2"/>
          <w:color w:val="auto"/>
          <w:highlight w:val="none"/>
          <w:lang w:bidi="ar"/>
        </w:rPr>
        <w:sym w:font="Wingdings 2" w:char="0052"/>
      </w:r>
      <w:r>
        <w:rPr>
          <w:rFonts w:hint="eastAsia" w:cs="宋体"/>
          <w:color w:val="auto"/>
          <w:highlight w:val="none"/>
          <w:lang w:bidi="ar"/>
        </w:rPr>
        <w:t>最终验收</w:t>
      </w:r>
      <w:r>
        <w:rPr>
          <w:color w:val="auto"/>
          <w:highlight w:val="none"/>
          <w:lang w:bidi="ar"/>
        </w:rPr>
        <w:t xml:space="preserve">  </w:t>
      </w:r>
      <w:r>
        <w:rPr>
          <w:rFonts w:hint="eastAsia" w:cs="宋体"/>
          <w:color w:val="auto"/>
          <w:highlight w:val="none"/>
          <w:lang w:bidi="ar"/>
        </w:rPr>
        <w:t>□合并验收</w:t>
      </w:r>
    </w:p>
    <w:p w14:paraId="21A7623D">
      <w:pPr>
        <w:snapToGrid w:val="0"/>
        <w:spacing w:line="300" w:lineRule="exact"/>
        <w:ind w:firstLine="420" w:firstLineChars="200"/>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）到货验收：</w:t>
      </w:r>
      <w:r>
        <w:rPr>
          <w:rFonts w:hint="eastAsia" w:cs="宋体"/>
          <w:color w:val="auto"/>
          <w:szCs w:val="21"/>
          <w:highlight w:val="none"/>
          <w:lang w:bidi="ar"/>
        </w:rPr>
        <w:t>在项目中如有提供货物的，</w:t>
      </w:r>
      <w:r>
        <w:rPr>
          <w:rFonts w:hint="eastAsia" w:cs="宋体"/>
          <w:color w:val="auto"/>
          <w:highlight w:val="none"/>
          <w:lang w:bidi="ar"/>
        </w:rPr>
        <w:t>甲方在接到乙方通知后对交付的</w:t>
      </w:r>
      <w:r>
        <w:rPr>
          <w:rFonts w:hint="eastAsia" w:cs="宋体"/>
          <w:color w:val="auto"/>
          <w:szCs w:val="21"/>
          <w:highlight w:val="none"/>
          <w:lang w:bidi="ar"/>
        </w:rPr>
        <w:t>产品</w:t>
      </w:r>
      <w:r>
        <w:rPr>
          <w:rFonts w:hint="eastAsia" w:cs="宋体"/>
          <w:color w:val="auto"/>
          <w:highlight w:val="none"/>
          <w:lang w:bidi="ar"/>
        </w:rPr>
        <w:t>依据验收标准进行到货验收，对品牌、规格型号、外观、有关资料及备品备件、包装要求符合招标文件及合同要求的，视为到货验收合格给予签收。</w:t>
      </w:r>
    </w:p>
    <w:p w14:paraId="65E2E2BE">
      <w:pPr>
        <w:snapToGrid w:val="0"/>
        <w:spacing w:line="300" w:lineRule="exact"/>
        <w:ind w:firstLine="420" w:firstLineChars="200"/>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）最终验收：交付的</w:t>
      </w:r>
      <w:r>
        <w:rPr>
          <w:rFonts w:hint="eastAsia" w:cs="宋体"/>
          <w:color w:val="auto"/>
          <w:szCs w:val="21"/>
          <w:highlight w:val="none"/>
          <w:lang w:bidi="ar"/>
        </w:rPr>
        <w:t>产品或服务成果在</w:t>
      </w:r>
      <w:r>
        <w:rPr>
          <w:rFonts w:hint="eastAsia" w:cs="宋体"/>
          <w:color w:val="auto"/>
          <w:highlight w:val="none"/>
          <w:lang w:bidi="ar"/>
        </w:rPr>
        <w:t>满足合同交付标准后，依照本合同验收标准进行最终验收。甲方在乙方通知后进行最终验收。</w:t>
      </w:r>
    </w:p>
    <w:p w14:paraId="26CBC0DE">
      <w:pPr>
        <w:snapToGrid w:val="0"/>
        <w:spacing w:line="300" w:lineRule="exact"/>
        <w:ind w:firstLine="420" w:firstLineChars="200"/>
        <w:rPr>
          <w:color w:val="auto"/>
          <w:highlight w:val="none"/>
        </w:rPr>
      </w:pPr>
      <w:r>
        <w:rPr>
          <w:rFonts w:hint="eastAsia" w:cs="宋体"/>
          <w:color w:val="auto"/>
          <w:highlight w:val="none"/>
          <w:lang w:bidi="ar"/>
        </w:rPr>
        <w:t>（</w:t>
      </w:r>
      <w:r>
        <w:rPr>
          <w:color w:val="auto"/>
          <w:highlight w:val="none"/>
          <w:lang w:bidi="ar"/>
        </w:rPr>
        <w:t>3</w:t>
      </w:r>
      <w:r>
        <w:rPr>
          <w:rFonts w:hint="eastAsia" w:cs="宋体"/>
          <w:color w:val="auto"/>
          <w:highlight w:val="none"/>
          <w:lang w:bidi="ar"/>
        </w:rPr>
        <w:t>）合并验收：</w:t>
      </w:r>
      <w:r>
        <w:rPr>
          <w:rFonts w:hint="eastAsia" w:cs="宋体"/>
          <w:color w:val="auto"/>
          <w:szCs w:val="21"/>
          <w:highlight w:val="none"/>
          <w:lang w:bidi="ar"/>
        </w:rPr>
        <w:t>将以上两项验收合并进行。</w:t>
      </w:r>
    </w:p>
    <w:p w14:paraId="21E79182">
      <w:pPr>
        <w:snapToGrid w:val="0"/>
        <w:spacing w:line="300" w:lineRule="exact"/>
        <w:ind w:firstLine="420" w:firstLineChars="200"/>
        <w:rPr>
          <w:color w:val="auto"/>
          <w:highlight w:val="none"/>
        </w:rPr>
      </w:pPr>
      <w:r>
        <w:rPr>
          <w:color w:val="auto"/>
          <w:highlight w:val="none"/>
          <w:lang w:bidi="ar"/>
        </w:rPr>
        <w:t>4.</w:t>
      </w:r>
      <w:r>
        <w:rPr>
          <w:rFonts w:hint="eastAsia" w:cs="宋体"/>
          <w:color w:val="auto"/>
          <w:highlight w:val="none"/>
          <w:lang w:bidi="ar"/>
        </w:rPr>
        <w:t>验收标准：按国家有关标准以及甲方招标文件的采购需求、乙方的投标文件响应及承诺与本合同约定进行验收；上述标准如有不一致事项，以招标文件与投标文件中对应要求或指标中较优作为验收标准。如果交付的</w:t>
      </w:r>
      <w:r>
        <w:rPr>
          <w:rFonts w:hint="eastAsia" w:cs="宋体"/>
          <w:color w:val="auto"/>
          <w:szCs w:val="21"/>
          <w:highlight w:val="none"/>
          <w:lang w:bidi="ar"/>
        </w:rPr>
        <w:t>产品或服务成果</w:t>
      </w:r>
      <w:r>
        <w:rPr>
          <w:rFonts w:hint="eastAsia" w:cs="宋体"/>
          <w:color w:val="auto"/>
          <w:highlight w:val="none"/>
          <w:lang w:bidi="ar"/>
        </w:rPr>
        <w:t>中有执行国家强制标准的，则验收标准不得低于国家强制标准。</w:t>
      </w:r>
    </w:p>
    <w:p w14:paraId="442B627E">
      <w:pPr>
        <w:pStyle w:val="46"/>
        <w:widowControl w:val="0"/>
        <w:spacing w:before="0" w:beforeAutospacing="0" w:after="0" w:afterAutospacing="0" w:line="300" w:lineRule="exact"/>
        <w:ind w:firstLine="420" w:firstLineChars="200"/>
        <w:rPr>
          <w:color w:val="auto"/>
          <w:highlight w:val="none"/>
        </w:rPr>
      </w:pPr>
      <w:r>
        <w:rPr>
          <w:rFonts w:ascii="Times New Roman" w:hAnsi="Times New Roman"/>
          <w:color w:val="auto"/>
          <w:kern w:val="2"/>
          <w:sz w:val="21"/>
          <w:szCs w:val="21"/>
          <w:highlight w:val="none"/>
          <w:lang w:bidi="ar"/>
        </w:rPr>
        <w:t>5.</w:t>
      </w:r>
      <w:r>
        <w:rPr>
          <w:rFonts w:hint="eastAsia" w:ascii="Times New Roman" w:hAnsi="Times New Roman"/>
          <w:color w:val="auto"/>
          <w:kern w:val="2"/>
          <w:sz w:val="21"/>
          <w:szCs w:val="21"/>
          <w:highlight w:val="none"/>
          <w:lang w:bidi="ar"/>
        </w:rPr>
        <w:t>验收地点及验收期限：验收地点为产品</w:t>
      </w:r>
      <w:r>
        <w:rPr>
          <w:rFonts w:hint="eastAsia" w:hAnsi="Courier New" w:cs="Courier New"/>
          <w:color w:val="auto"/>
          <w:kern w:val="2"/>
          <w:sz w:val="21"/>
          <w:szCs w:val="21"/>
          <w:highlight w:val="none"/>
          <w:lang w:bidi="ar"/>
        </w:rPr>
        <w:t>或服务成果</w:t>
      </w:r>
      <w:r>
        <w:rPr>
          <w:rFonts w:hint="eastAsia" w:ascii="Times New Roman" w:hAnsi="Times New Roman"/>
          <w:color w:val="auto"/>
          <w:kern w:val="2"/>
          <w:sz w:val="21"/>
          <w:szCs w:val="21"/>
          <w:highlight w:val="none"/>
          <w:lang w:bidi="ar"/>
        </w:rPr>
        <w:t>交付地点；</w:t>
      </w:r>
      <w:r>
        <w:rPr>
          <w:rFonts w:hint="eastAsia" w:hAnsi="Courier New" w:cs="Courier New"/>
          <w:color w:val="auto"/>
          <w:kern w:val="2"/>
          <w:sz w:val="21"/>
          <w:szCs w:val="21"/>
          <w:highlight w:val="none"/>
          <w:lang w:bidi="ar"/>
        </w:rPr>
        <w:t>各单项验收应在甲方收到乙方的书面验收申请后5个工作日内组织。乙方在提出验收申请时，应确保已具备验收条件。甲方收到乙方书面通知后无故不进行验收工作的，验收期限结束之日起视为当次单项验收合格。</w:t>
      </w:r>
    </w:p>
    <w:p w14:paraId="5D00F6FD">
      <w:pPr>
        <w:pStyle w:val="46"/>
        <w:widowControl w:val="0"/>
        <w:spacing w:before="0" w:beforeAutospacing="0" w:after="0" w:afterAutospacing="0" w:line="300" w:lineRule="exact"/>
        <w:ind w:firstLine="420" w:firstLineChars="200"/>
        <w:rPr>
          <w:color w:val="auto"/>
          <w:highlight w:val="none"/>
        </w:rPr>
      </w:pPr>
      <w:r>
        <w:rPr>
          <w:rFonts w:ascii="Times New Roman" w:hAnsi="Times New Roman"/>
          <w:color w:val="auto"/>
          <w:kern w:val="2"/>
          <w:sz w:val="21"/>
          <w:szCs w:val="21"/>
          <w:highlight w:val="none"/>
          <w:lang w:bidi="ar"/>
        </w:rPr>
        <w:t>6.</w:t>
      </w:r>
      <w:r>
        <w:rPr>
          <w:rFonts w:hint="eastAsia" w:ascii="Times New Roman" w:hAnsi="Times New Roman"/>
          <w:color w:val="auto"/>
          <w:kern w:val="2"/>
          <w:sz w:val="21"/>
          <w:szCs w:val="21"/>
          <w:highlight w:val="none"/>
          <w:lang w:bidi="ar"/>
        </w:rPr>
        <w:t>验收结果：在任一单项验收环节，甲、乙双方代表均应在场，交付的产品</w:t>
      </w:r>
      <w:r>
        <w:rPr>
          <w:rFonts w:hint="eastAsia" w:hAnsi="Courier New" w:cs="Courier New"/>
          <w:color w:val="auto"/>
          <w:kern w:val="2"/>
          <w:sz w:val="21"/>
          <w:szCs w:val="21"/>
          <w:highlight w:val="none"/>
          <w:lang w:bidi="ar"/>
        </w:rPr>
        <w:t>或服务成果</w:t>
      </w:r>
      <w:r>
        <w:rPr>
          <w:rFonts w:hint="eastAsia" w:ascii="Times New Roman" w:hAnsi="Times New Roman"/>
          <w:color w:val="auto"/>
          <w:kern w:val="2"/>
          <w:sz w:val="21"/>
          <w:szCs w:val="21"/>
          <w:highlight w:val="none"/>
          <w:lang w:bidi="ar"/>
        </w:rPr>
        <w:t>符合验收标准的为单项验收合格，不符合验收标准的为单项验收不合格。验收结果由甲方出具</w:t>
      </w:r>
      <w:r>
        <w:rPr>
          <w:rFonts w:hint="eastAsia" w:hAnsi="Courier New" w:cs="Courier New"/>
          <w:color w:val="auto"/>
          <w:kern w:val="2"/>
          <w:sz w:val="21"/>
          <w:szCs w:val="21"/>
          <w:highlight w:val="none"/>
          <w:lang w:bidi="ar"/>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1619EA58">
      <w:pPr>
        <w:pStyle w:val="46"/>
        <w:widowControl w:val="0"/>
        <w:spacing w:before="0" w:beforeAutospacing="0" w:after="0" w:afterAutospacing="0" w:line="300" w:lineRule="exact"/>
        <w:ind w:firstLine="420" w:firstLineChars="200"/>
        <w:rPr>
          <w:color w:val="auto"/>
          <w:highlight w:val="none"/>
        </w:rPr>
      </w:pPr>
      <w:r>
        <w:rPr>
          <w:rFonts w:ascii="Times New Roman" w:hAnsi="Times New Roman"/>
          <w:color w:val="auto"/>
          <w:kern w:val="2"/>
          <w:sz w:val="21"/>
          <w:szCs w:val="21"/>
          <w:highlight w:val="none"/>
          <w:lang w:bidi="ar"/>
        </w:rPr>
        <w:t>7.</w:t>
      </w:r>
      <w:r>
        <w:rPr>
          <w:rFonts w:hint="eastAsia" w:ascii="Times New Roman" w:hAnsi="Times New Roman"/>
          <w:color w:val="auto"/>
          <w:kern w:val="2"/>
          <w:sz w:val="21"/>
          <w:szCs w:val="21"/>
          <w:highlight w:val="none"/>
          <w:lang w:bidi="ar"/>
        </w:rPr>
        <w:t>不予签收或单项验收不合格的，</w:t>
      </w:r>
      <w:r>
        <w:rPr>
          <w:rFonts w:hint="eastAsia" w:hAnsi="Courier New" w:cs="Courier New"/>
          <w:color w:val="auto"/>
          <w:kern w:val="2"/>
          <w:sz w:val="21"/>
          <w:szCs w:val="21"/>
          <w:highlight w:val="none"/>
          <w:lang w:bidi="ar"/>
        </w:rPr>
        <w:t>乙方应在当次验收后</w:t>
      </w:r>
      <w:r>
        <w:rPr>
          <w:rFonts w:hint="eastAsia" w:hAnsi="Courier New" w:cs="Courier New"/>
          <w:color w:val="auto"/>
          <w:kern w:val="2"/>
          <w:sz w:val="21"/>
          <w:szCs w:val="21"/>
          <w:highlight w:val="none"/>
          <w:u w:val="single"/>
          <w:lang w:bidi="ar"/>
        </w:rPr>
        <w:t>5</w:t>
      </w:r>
      <w:r>
        <w:rPr>
          <w:rFonts w:hint="eastAsia" w:hAnsi="Courier New" w:cs="Courier New"/>
          <w:color w:val="auto"/>
          <w:kern w:val="2"/>
          <w:sz w:val="21"/>
          <w:szCs w:val="21"/>
          <w:highlight w:val="none"/>
          <w:lang w:bidi="ar"/>
        </w:rPr>
        <w:t>个工作日内就不符合要求项以补充、更换、修理等甲方认可的方式进行整改并重新验收，未按时进行整改或整改后重新验收仍不合格的视为逾期交付，逾期交付最长不得超过</w:t>
      </w:r>
      <w:r>
        <w:rPr>
          <w:rFonts w:hint="eastAsia" w:hAnsi="Courier New" w:cs="Courier New"/>
          <w:color w:val="auto"/>
          <w:kern w:val="2"/>
          <w:sz w:val="21"/>
          <w:szCs w:val="21"/>
          <w:highlight w:val="none"/>
          <w:u w:val="single"/>
          <w:lang w:bidi="ar"/>
        </w:rPr>
        <w:t>30</w:t>
      </w:r>
      <w:r>
        <w:rPr>
          <w:rFonts w:hint="eastAsia" w:hAnsi="Courier New" w:cs="Courier New"/>
          <w:color w:val="auto"/>
          <w:kern w:val="2"/>
          <w:sz w:val="21"/>
          <w:szCs w:val="21"/>
          <w:highlight w:val="none"/>
          <w:lang w:bidi="ar"/>
        </w:rPr>
        <w:t>日，超过</w:t>
      </w:r>
      <w:r>
        <w:rPr>
          <w:rFonts w:hint="eastAsia" w:hAnsi="Courier New" w:cs="Courier New"/>
          <w:color w:val="auto"/>
          <w:kern w:val="2"/>
          <w:sz w:val="21"/>
          <w:szCs w:val="21"/>
          <w:highlight w:val="none"/>
          <w:u w:val="single"/>
          <w:lang w:bidi="ar"/>
        </w:rPr>
        <w:t>30</w:t>
      </w:r>
      <w:r>
        <w:rPr>
          <w:rFonts w:hint="eastAsia" w:hAnsi="Courier New" w:cs="Courier New"/>
          <w:color w:val="auto"/>
          <w:kern w:val="2"/>
          <w:sz w:val="21"/>
          <w:szCs w:val="21"/>
          <w:highlight w:val="none"/>
          <w:lang w:bidi="ar"/>
        </w:rPr>
        <w:t>日则视为最终验收不合格。逾期交付不影响本条第1款约定的使用时间。</w:t>
      </w:r>
    </w:p>
    <w:p w14:paraId="685E0C13">
      <w:pPr>
        <w:snapToGrid w:val="0"/>
        <w:spacing w:line="360" w:lineRule="exact"/>
        <w:ind w:firstLine="420" w:firstLineChars="200"/>
        <w:rPr>
          <w:color w:val="auto"/>
          <w:szCs w:val="21"/>
          <w:highlight w:val="none"/>
        </w:rPr>
      </w:pPr>
      <w:r>
        <w:rPr>
          <w:color w:val="auto"/>
          <w:szCs w:val="21"/>
          <w:highlight w:val="none"/>
          <w:lang w:bidi="ar"/>
        </w:rPr>
        <w:t>8.</w:t>
      </w:r>
      <w:r>
        <w:rPr>
          <w:rFonts w:hint="eastAsia" w:cs="宋体"/>
          <w:color w:val="auto"/>
          <w:szCs w:val="21"/>
          <w:highlight w:val="none"/>
          <w:lang w:bidi="ar"/>
        </w:rPr>
        <w:t>甲方</w:t>
      </w:r>
      <w:r>
        <w:rPr>
          <w:rFonts w:hint="eastAsia" w:cs="宋体"/>
          <w:color w:val="auto"/>
          <w:highlight w:val="none"/>
          <w:lang w:bidi="ar"/>
        </w:rPr>
        <w:t>有权委托第三方机构组织验收，验收按上述规定执行，乙方应予以配合。</w:t>
      </w:r>
    </w:p>
    <w:p w14:paraId="714DAC41">
      <w:pPr>
        <w:snapToGrid w:val="0"/>
        <w:spacing w:line="360" w:lineRule="exact"/>
        <w:ind w:firstLine="420" w:firstLineChars="200"/>
        <w:rPr>
          <w:color w:val="auto"/>
          <w:szCs w:val="21"/>
          <w:highlight w:val="none"/>
        </w:rPr>
      </w:pPr>
      <w:r>
        <w:rPr>
          <w:color w:val="auto"/>
          <w:szCs w:val="21"/>
          <w:highlight w:val="none"/>
          <w:lang w:bidi="ar"/>
        </w:rPr>
        <w:t xml:space="preserve">9. </w:t>
      </w:r>
      <w:r>
        <w:rPr>
          <w:rFonts w:hint="eastAsia" w:cs="宋体"/>
          <w:color w:val="auto"/>
          <w:szCs w:val="21"/>
          <w:highlight w:val="none"/>
          <w:lang w:bidi="ar"/>
        </w:rPr>
        <w:t>其他未尽事宜应严格按照《关于印发广西壮族自治区政府采购项目履约验收管理办法的通知》</w:t>
      </w:r>
      <w:r>
        <w:rPr>
          <w:color w:val="auto"/>
          <w:szCs w:val="21"/>
          <w:highlight w:val="none"/>
          <w:lang w:bidi="ar"/>
        </w:rPr>
        <w:t>[</w:t>
      </w:r>
      <w:r>
        <w:rPr>
          <w:rFonts w:hint="eastAsia" w:cs="宋体"/>
          <w:color w:val="auto"/>
          <w:szCs w:val="21"/>
          <w:highlight w:val="none"/>
          <w:lang w:bidi="ar"/>
        </w:rPr>
        <w:t>桂财采〔</w:t>
      </w:r>
      <w:r>
        <w:rPr>
          <w:color w:val="auto"/>
          <w:szCs w:val="21"/>
          <w:highlight w:val="none"/>
          <w:lang w:bidi="ar"/>
        </w:rPr>
        <w:t>2015</w:t>
      </w:r>
      <w:r>
        <w:rPr>
          <w:rFonts w:hint="eastAsia" w:cs="宋体"/>
          <w:color w:val="auto"/>
          <w:szCs w:val="21"/>
          <w:highlight w:val="none"/>
          <w:lang w:bidi="ar"/>
        </w:rPr>
        <w:t>〕</w:t>
      </w:r>
      <w:r>
        <w:rPr>
          <w:color w:val="auto"/>
          <w:szCs w:val="21"/>
          <w:highlight w:val="none"/>
          <w:lang w:bidi="ar"/>
        </w:rPr>
        <w:t>22</w:t>
      </w:r>
      <w:r>
        <w:rPr>
          <w:rFonts w:hint="eastAsia" w:cs="宋体"/>
          <w:color w:val="auto"/>
          <w:szCs w:val="21"/>
          <w:highlight w:val="none"/>
          <w:lang w:bidi="ar"/>
        </w:rPr>
        <w:t>号</w:t>
      </w:r>
      <w:r>
        <w:rPr>
          <w:color w:val="auto"/>
          <w:szCs w:val="21"/>
          <w:highlight w:val="none"/>
          <w:lang w:bidi="ar"/>
        </w:rPr>
        <w:t>]</w:t>
      </w:r>
      <w:r>
        <w:rPr>
          <w:rFonts w:hint="eastAsia" w:cs="宋体"/>
          <w:color w:val="auto"/>
          <w:szCs w:val="21"/>
          <w:highlight w:val="none"/>
          <w:lang w:bidi="ar"/>
        </w:rPr>
        <w:t>以及《财政部关于进一步加强政府采购需求和履约验收管理的指导意见》</w:t>
      </w:r>
      <w:r>
        <w:rPr>
          <w:color w:val="auto"/>
          <w:szCs w:val="21"/>
          <w:highlight w:val="none"/>
          <w:lang w:bidi="ar"/>
        </w:rPr>
        <w:t>[</w:t>
      </w:r>
      <w:r>
        <w:rPr>
          <w:rFonts w:hint="eastAsia" w:cs="宋体"/>
          <w:color w:val="auto"/>
          <w:szCs w:val="21"/>
          <w:highlight w:val="none"/>
          <w:lang w:bidi="ar"/>
        </w:rPr>
        <w:t>财库〔</w:t>
      </w:r>
      <w:r>
        <w:rPr>
          <w:color w:val="auto"/>
          <w:szCs w:val="21"/>
          <w:highlight w:val="none"/>
          <w:lang w:bidi="ar"/>
        </w:rPr>
        <w:t>2016</w:t>
      </w:r>
      <w:r>
        <w:rPr>
          <w:rFonts w:hint="eastAsia" w:cs="宋体"/>
          <w:color w:val="auto"/>
          <w:szCs w:val="21"/>
          <w:highlight w:val="none"/>
          <w:lang w:bidi="ar"/>
        </w:rPr>
        <w:t>〕</w:t>
      </w:r>
      <w:r>
        <w:rPr>
          <w:color w:val="auto"/>
          <w:szCs w:val="21"/>
          <w:highlight w:val="none"/>
          <w:lang w:bidi="ar"/>
        </w:rPr>
        <w:t>205</w:t>
      </w:r>
      <w:r>
        <w:rPr>
          <w:rFonts w:hint="eastAsia" w:cs="宋体"/>
          <w:color w:val="auto"/>
          <w:szCs w:val="21"/>
          <w:highlight w:val="none"/>
          <w:lang w:bidi="ar"/>
        </w:rPr>
        <w:t>号</w:t>
      </w:r>
      <w:r>
        <w:rPr>
          <w:color w:val="auto"/>
          <w:szCs w:val="21"/>
          <w:highlight w:val="none"/>
          <w:lang w:bidi="ar"/>
        </w:rPr>
        <w:t>]</w:t>
      </w:r>
      <w:r>
        <w:rPr>
          <w:rFonts w:hint="eastAsia" w:cs="宋体"/>
          <w:color w:val="auto"/>
          <w:szCs w:val="21"/>
          <w:highlight w:val="none"/>
          <w:lang w:bidi="ar"/>
        </w:rPr>
        <w:t>规定执行。</w:t>
      </w:r>
    </w:p>
    <w:p w14:paraId="33DCC1A9">
      <w:pPr>
        <w:snapToGrid w:val="0"/>
        <w:spacing w:line="300" w:lineRule="exact"/>
        <w:ind w:firstLine="420" w:firstLineChars="200"/>
        <w:rPr>
          <w:color w:val="auto"/>
          <w:szCs w:val="21"/>
          <w:highlight w:val="none"/>
        </w:rPr>
      </w:pPr>
      <w:r>
        <w:rPr>
          <w:color w:val="auto"/>
          <w:szCs w:val="21"/>
          <w:highlight w:val="none"/>
          <w:lang w:bidi="ar"/>
        </w:rPr>
        <w:t>10.</w:t>
      </w:r>
      <w:r>
        <w:rPr>
          <w:rFonts w:hint="eastAsia" w:cs="宋体"/>
          <w:color w:val="auto"/>
          <w:szCs w:val="21"/>
          <w:highlight w:val="none"/>
          <w:lang w:bidi="ar"/>
        </w:rPr>
        <w:t>甲方委托第三方组织验收的，其验收时间、验收程序以该项目验收方案确定的验收时间、验收程序为准，验收结果以该项目验收报告结论为准。</w:t>
      </w:r>
    </w:p>
    <w:p w14:paraId="07A67BE3">
      <w:pPr>
        <w:pStyle w:val="46"/>
        <w:widowControl w:val="0"/>
        <w:snapToGrid w:val="0"/>
        <w:spacing w:before="120" w:beforeAutospacing="0" w:after="120" w:afterAutospacing="0" w:line="300" w:lineRule="exact"/>
        <w:ind w:firstLine="420" w:firstLineChars="200"/>
        <w:rPr>
          <w:rFonts w:ascii="Times New Roman" w:hAnsi="Times New Roman"/>
          <w:color w:val="auto"/>
          <w:highlight w:val="none"/>
        </w:rPr>
      </w:pPr>
      <w:bookmarkStart w:id="118" w:name="_Hlk77611338"/>
      <w:r>
        <w:rPr>
          <w:rFonts w:ascii="Times New Roman" w:hAnsi="Times New Roman"/>
          <w:color w:val="auto"/>
          <w:kern w:val="2"/>
          <w:sz w:val="21"/>
          <w:szCs w:val="21"/>
          <w:highlight w:val="none"/>
          <w:lang w:bidi="ar"/>
        </w:rPr>
        <w:t>11.</w:t>
      </w:r>
      <w:r>
        <w:rPr>
          <w:rFonts w:hint="eastAsia" w:ascii="Times New Roman" w:hAnsi="Times New Roman"/>
          <w:color w:val="auto"/>
          <w:kern w:val="2"/>
          <w:sz w:val="21"/>
          <w:szCs w:val="21"/>
          <w:highlight w:val="none"/>
          <w:lang w:bidi="ar"/>
        </w:rPr>
        <w:t>履约验收方案详见附件。</w:t>
      </w:r>
    </w:p>
    <w:bookmarkEnd w:id="118"/>
    <w:p w14:paraId="1C49D304">
      <w:pPr>
        <w:snapToGrid w:val="0"/>
        <w:spacing w:line="360" w:lineRule="exact"/>
        <w:ind w:firstLine="422" w:firstLineChars="200"/>
        <w:rPr>
          <w:b/>
          <w:color w:val="auto"/>
          <w:szCs w:val="21"/>
          <w:highlight w:val="none"/>
        </w:rPr>
      </w:pPr>
      <w:r>
        <w:rPr>
          <w:rFonts w:hint="eastAsia" w:cs="宋体"/>
          <w:b/>
          <w:color w:val="auto"/>
          <w:szCs w:val="21"/>
          <w:highlight w:val="none"/>
          <w:lang w:bidi="ar"/>
        </w:rPr>
        <w:t>第七条</w:t>
      </w:r>
      <w:r>
        <w:rPr>
          <w:b/>
          <w:color w:val="auto"/>
          <w:szCs w:val="21"/>
          <w:highlight w:val="none"/>
          <w:lang w:bidi="ar"/>
        </w:rPr>
        <w:t xml:space="preserve">  </w:t>
      </w:r>
      <w:r>
        <w:rPr>
          <w:rFonts w:hint="eastAsia" w:cs="宋体"/>
          <w:b/>
          <w:color w:val="auto"/>
          <w:szCs w:val="21"/>
          <w:highlight w:val="none"/>
          <w:lang w:bidi="ar"/>
        </w:rPr>
        <w:t>安装和培训</w:t>
      </w:r>
    </w:p>
    <w:p w14:paraId="4AE60990">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甲方应提供必要安装条件（如场地、电源、水源等）。</w:t>
      </w:r>
    </w:p>
    <w:p w14:paraId="270DB980">
      <w:pPr>
        <w:snapToGrid w:val="0"/>
        <w:spacing w:line="360" w:lineRule="exact"/>
        <w:ind w:firstLine="420" w:firstLineChars="200"/>
        <w:rPr>
          <w:color w:val="auto"/>
          <w:szCs w:val="21"/>
          <w:highlight w:val="none"/>
          <w:u w:val="single"/>
        </w:rPr>
      </w:pPr>
      <w:r>
        <w:rPr>
          <w:color w:val="auto"/>
          <w:szCs w:val="21"/>
          <w:highlight w:val="none"/>
          <w:lang w:bidi="ar"/>
        </w:rPr>
        <w:t>2.</w:t>
      </w:r>
      <w:r>
        <w:rPr>
          <w:rFonts w:hint="eastAsia" w:cs="宋体"/>
          <w:color w:val="auto"/>
          <w:szCs w:val="21"/>
          <w:highlight w:val="none"/>
          <w:lang w:bidi="ar"/>
        </w:rPr>
        <w:t>乙方负责甲方有关人员的培训。培训时间、地点：</w:t>
      </w:r>
      <w:r>
        <w:rPr>
          <w:color w:val="auto"/>
          <w:szCs w:val="21"/>
          <w:highlight w:val="none"/>
          <w:u w:val="single"/>
          <w:lang w:bidi="ar"/>
        </w:rPr>
        <w:t xml:space="preserve"> </w:t>
      </w:r>
      <w:r>
        <w:rPr>
          <w:rFonts w:hint="eastAsia" w:cs="宋体"/>
          <w:color w:val="auto"/>
          <w:szCs w:val="21"/>
          <w:highlight w:val="none"/>
          <w:u w:val="single"/>
          <w:lang w:bidi="ar"/>
        </w:rPr>
        <w:t>由甲方决定。</w:t>
      </w:r>
    </w:p>
    <w:p w14:paraId="62B8AB22">
      <w:pPr>
        <w:snapToGrid w:val="0"/>
        <w:spacing w:line="360" w:lineRule="exact"/>
        <w:ind w:firstLine="422" w:firstLineChars="200"/>
        <w:rPr>
          <w:b/>
          <w:color w:val="auto"/>
          <w:szCs w:val="21"/>
          <w:highlight w:val="none"/>
        </w:rPr>
      </w:pPr>
      <w:r>
        <w:rPr>
          <w:rFonts w:hint="eastAsia" w:cs="宋体"/>
          <w:b/>
          <w:color w:val="auto"/>
          <w:szCs w:val="21"/>
          <w:highlight w:val="none"/>
          <w:lang w:bidi="ar"/>
        </w:rPr>
        <w:t>第八条</w:t>
      </w:r>
      <w:r>
        <w:rPr>
          <w:b/>
          <w:color w:val="auto"/>
          <w:szCs w:val="21"/>
          <w:highlight w:val="none"/>
          <w:lang w:bidi="ar"/>
        </w:rPr>
        <w:t xml:space="preserve">  </w:t>
      </w:r>
      <w:r>
        <w:rPr>
          <w:rFonts w:hint="eastAsia" w:cs="宋体"/>
          <w:b/>
          <w:color w:val="auto"/>
          <w:szCs w:val="21"/>
          <w:highlight w:val="none"/>
          <w:lang w:bidi="ar"/>
        </w:rPr>
        <w:t>售后服务、质保期</w:t>
      </w:r>
    </w:p>
    <w:p w14:paraId="65481E8F">
      <w:pPr>
        <w:snapToGrid w:val="0"/>
        <w:spacing w:line="276" w:lineRule="auto"/>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乙方应按照国家有关法律法规和</w:t>
      </w:r>
      <w:r>
        <w:rPr>
          <w:color w:val="auto"/>
          <w:szCs w:val="21"/>
          <w:highlight w:val="none"/>
          <w:lang w:bidi="ar"/>
        </w:rPr>
        <w:t>“</w:t>
      </w:r>
      <w:r>
        <w:rPr>
          <w:rFonts w:hint="eastAsia" w:cs="宋体"/>
          <w:color w:val="auto"/>
          <w:szCs w:val="21"/>
          <w:highlight w:val="none"/>
          <w:lang w:bidi="ar"/>
        </w:rPr>
        <w:t>三包</w:t>
      </w:r>
      <w:r>
        <w:rPr>
          <w:color w:val="auto"/>
          <w:szCs w:val="21"/>
          <w:highlight w:val="none"/>
          <w:lang w:bidi="ar"/>
        </w:rPr>
        <w:t>”</w:t>
      </w:r>
      <w:r>
        <w:rPr>
          <w:rFonts w:hint="eastAsia" w:cs="宋体"/>
          <w:color w:val="auto"/>
          <w:szCs w:val="21"/>
          <w:highlight w:val="none"/>
          <w:lang w:bidi="ar"/>
        </w:rPr>
        <w:t>规定以及招标文件、投标文件和本合同附件，为甲方提供售后服务。</w:t>
      </w:r>
    </w:p>
    <w:p w14:paraId="02EE8EE0">
      <w:pPr>
        <w:snapToGrid w:val="0"/>
        <w:spacing w:line="276" w:lineRule="auto"/>
        <w:ind w:firstLine="420" w:firstLineChars="200"/>
        <w:rPr>
          <w:color w:val="auto"/>
          <w:szCs w:val="21"/>
          <w:highlight w:val="none"/>
          <w:u w:val="single"/>
        </w:rPr>
      </w:pPr>
      <w:r>
        <w:rPr>
          <w:color w:val="auto"/>
          <w:szCs w:val="21"/>
          <w:highlight w:val="none"/>
          <w:lang w:bidi="ar"/>
        </w:rPr>
        <w:t>2.</w:t>
      </w:r>
      <w:r>
        <w:rPr>
          <w:rFonts w:hint="eastAsia" w:cs="宋体"/>
          <w:color w:val="auto"/>
          <w:szCs w:val="21"/>
          <w:highlight w:val="none"/>
          <w:lang w:bidi="ar"/>
        </w:rPr>
        <w:t>产品或服务成果质保期：</w:t>
      </w:r>
      <w:r>
        <w:rPr>
          <w:rFonts w:hint="eastAsia" w:cs="宋体"/>
          <w:color w:val="auto"/>
          <w:szCs w:val="21"/>
          <w:highlight w:val="none"/>
          <w:u w:val="single"/>
          <w:lang w:bidi="ar"/>
        </w:rPr>
        <w:t>按乙方承诺，但是不得低于国家相关标准</w:t>
      </w:r>
      <w:r>
        <w:rPr>
          <w:rFonts w:hint="eastAsia" w:cs="宋体"/>
          <w:color w:val="auto"/>
          <w:szCs w:val="21"/>
          <w:highlight w:val="none"/>
          <w:lang w:bidi="ar"/>
        </w:rPr>
        <w:t>。</w:t>
      </w:r>
    </w:p>
    <w:p w14:paraId="3B8C79CF">
      <w:pPr>
        <w:snapToGrid w:val="0"/>
        <w:spacing w:line="276" w:lineRule="auto"/>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按招标文件规定的服务质量标准，并达到或优于中标人承诺的标准。</w:t>
      </w:r>
    </w:p>
    <w:p w14:paraId="08E1BF89">
      <w:pPr>
        <w:snapToGrid w:val="0"/>
        <w:spacing w:line="276" w:lineRule="auto"/>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乙方所提供的服务内容、标准必须与</w:t>
      </w:r>
      <w:bookmarkStart w:id="119" w:name="_Hlk19187447"/>
      <w:r>
        <w:rPr>
          <w:rFonts w:hint="eastAsia" w:cs="宋体"/>
          <w:color w:val="auto"/>
          <w:szCs w:val="21"/>
          <w:highlight w:val="none"/>
          <w:lang w:bidi="ar"/>
        </w:rPr>
        <w:t>招标文件、投标文件</w:t>
      </w:r>
      <w:bookmarkEnd w:id="119"/>
      <w:r>
        <w:rPr>
          <w:rFonts w:hint="eastAsia" w:cs="宋体"/>
          <w:color w:val="auto"/>
          <w:szCs w:val="21"/>
          <w:highlight w:val="none"/>
          <w:lang w:bidi="ar"/>
        </w:rPr>
        <w:t>和承诺相一致。</w:t>
      </w:r>
    </w:p>
    <w:p w14:paraId="7F37EB2D">
      <w:pPr>
        <w:snapToGrid w:val="0"/>
        <w:spacing w:line="276" w:lineRule="auto"/>
        <w:ind w:firstLine="420" w:firstLineChars="200"/>
        <w:rPr>
          <w:color w:val="auto"/>
          <w:szCs w:val="21"/>
          <w:highlight w:val="none"/>
        </w:rPr>
      </w:pPr>
      <w:r>
        <w:rPr>
          <w:color w:val="auto"/>
          <w:szCs w:val="21"/>
          <w:highlight w:val="none"/>
          <w:lang w:bidi="ar"/>
        </w:rPr>
        <w:t>5.</w:t>
      </w:r>
      <w:r>
        <w:rPr>
          <w:rFonts w:hint="eastAsia" w:cs="宋体"/>
          <w:color w:val="auto"/>
          <w:szCs w:val="21"/>
          <w:highlight w:val="none"/>
          <w:lang w:bidi="ar"/>
        </w:rPr>
        <w:t>如在使用过程中发生质量问题，乙方在接到甲方通知后在</w:t>
      </w:r>
      <w:r>
        <w:rPr>
          <w:color w:val="auto"/>
          <w:szCs w:val="21"/>
          <w:highlight w:val="none"/>
          <w:u w:val="single"/>
          <w:lang w:bidi="ar"/>
        </w:rPr>
        <w:t xml:space="preserve">    </w:t>
      </w:r>
      <w:r>
        <w:rPr>
          <w:rFonts w:hint="eastAsia" w:cs="宋体"/>
          <w:color w:val="auto"/>
          <w:szCs w:val="21"/>
          <w:highlight w:val="none"/>
          <w:lang w:bidi="ar"/>
        </w:rPr>
        <w:t>小时内到达甲方现场。</w:t>
      </w:r>
    </w:p>
    <w:p w14:paraId="2F714880">
      <w:pPr>
        <w:snapToGrid w:val="0"/>
        <w:spacing w:line="276" w:lineRule="auto"/>
        <w:ind w:firstLine="420" w:firstLineChars="200"/>
        <w:rPr>
          <w:color w:val="auto"/>
          <w:szCs w:val="21"/>
          <w:highlight w:val="none"/>
        </w:rPr>
      </w:pPr>
      <w:r>
        <w:rPr>
          <w:color w:val="auto"/>
          <w:szCs w:val="21"/>
          <w:highlight w:val="none"/>
          <w:lang w:bidi="ar"/>
        </w:rPr>
        <w:t>6.</w:t>
      </w:r>
      <w:r>
        <w:rPr>
          <w:rFonts w:hint="eastAsia" w:cs="宋体"/>
          <w:color w:val="auto"/>
          <w:szCs w:val="21"/>
          <w:highlight w:val="none"/>
          <w:lang w:bidi="ar"/>
        </w:rPr>
        <w:t>在质保期内，乙方应对产品或服务成果出现的质量及安全问题负责处理解决并承担一切费用。</w:t>
      </w:r>
    </w:p>
    <w:p w14:paraId="6EF37779">
      <w:pPr>
        <w:snapToGrid w:val="0"/>
        <w:spacing w:line="276" w:lineRule="auto"/>
        <w:ind w:firstLine="420" w:firstLineChars="200"/>
        <w:rPr>
          <w:rFonts w:hint="eastAsia" w:cs="宋体"/>
          <w:color w:val="auto"/>
          <w:szCs w:val="21"/>
          <w:highlight w:val="none"/>
          <w:lang w:bidi="ar"/>
        </w:rPr>
      </w:pPr>
      <w:r>
        <w:rPr>
          <w:color w:val="auto"/>
          <w:szCs w:val="21"/>
          <w:highlight w:val="none"/>
          <w:lang w:bidi="ar"/>
        </w:rPr>
        <w:t>7.</w:t>
      </w:r>
      <w:r>
        <w:rPr>
          <w:rFonts w:hint="eastAsia" w:cs="宋体"/>
          <w:color w:val="auto"/>
          <w:szCs w:val="21"/>
          <w:highlight w:val="none"/>
          <w:lang w:bidi="ar"/>
        </w:rPr>
        <w:t>乙方提供的服务承诺和售后服务及质保期责任等其它具体约定事项。</w:t>
      </w:r>
    </w:p>
    <w:p w14:paraId="61A61653">
      <w:pPr>
        <w:pStyle w:val="2"/>
        <w:ind w:left="0" w:leftChars="0" w:firstLine="0" w:firstLineChars="0"/>
        <w:rPr>
          <w:rFonts w:hint="default" w:eastAsia="宋体"/>
          <w:color w:val="auto"/>
          <w:highlight w:val="none"/>
          <w:lang w:val="en-US" w:eastAsia="zh-CN"/>
        </w:rPr>
      </w:pPr>
    </w:p>
    <w:p w14:paraId="3CC5F64E">
      <w:pPr>
        <w:snapToGrid w:val="0"/>
        <w:spacing w:line="360" w:lineRule="exact"/>
        <w:ind w:firstLine="422" w:firstLineChars="200"/>
        <w:rPr>
          <w:color w:val="auto"/>
          <w:szCs w:val="21"/>
          <w:highlight w:val="none"/>
        </w:rPr>
      </w:pPr>
      <w:r>
        <w:rPr>
          <w:rFonts w:hint="eastAsia" w:cs="宋体"/>
          <w:b/>
          <w:color w:val="auto"/>
          <w:szCs w:val="21"/>
          <w:highlight w:val="none"/>
          <w:lang w:bidi="ar"/>
        </w:rPr>
        <w:t>第九条　付款方式</w:t>
      </w:r>
    </w:p>
    <w:p w14:paraId="60A2E938">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资金性质：</w:t>
      </w:r>
      <w:r>
        <w:rPr>
          <w:rFonts w:hint="eastAsia" w:cs="宋体"/>
          <w:color w:val="auto"/>
          <w:szCs w:val="21"/>
          <w:highlight w:val="none"/>
          <w:u w:val="single"/>
          <w:lang w:bidi="ar"/>
        </w:rPr>
        <w:t>财政性资金。</w:t>
      </w:r>
    </w:p>
    <w:p w14:paraId="648A30DC">
      <w:pPr>
        <w:snapToGrid w:val="0"/>
        <w:spacing w:line="36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付款方式：</w:t>
      </w:r>
    </w:p>
    <w:p w14:paraId="451B0429">
      <w:pPr>
        <w:spacing w:line="360" w:lineRule="auto"/>
        <w:ind w:firstLine="420" w:firstLineChars="200"/>
        <w:rPr>
          <w:rFonts w:cs="宋体"/>
          <w:color w:val="auto"/>
          <w:szCs w:val="21"/>
          <w:highlight w:val="none"/>
          <w:lang w:bidi="ar"/>
        </w:rPr>
      </w:pPr>
      <w:r>
        <w:rPr>
          <w:rFonts w:hint="eastAsia" w:cs="宋体"/>
          <w:color w:val="auto"/>
          <w:szCs w:val="21"/>
          <w:highlight w:val="none"/>
          <w:lang w:bidi="ar"/>
        </w:rPr>
        <w:t>2.1</w:t>
      </w:r>
      <w:r>
        <w:rPr>
          <w:rFonts w:hint="eastAsia" w:ascii="宋体" w:hAnsi="宋体"/>
          <w:color w:val="auto"/>
          <w:highlight w:val="none"/>
        </w:rPr>
        <w:t>根据合同要求，全部货物到达指定采购人地点后，采购人确认货到且安装合格后，3个工作日内，中标供应商按合同总金额的50%金额开具增值税专用发票给采购人，采购人收到票据后，10个工作日内以转账方式将合同金额的50%货款支付给中标供应商；完成安装并正式验收合格后，中标供应商3个工作日内向采购人开具合同余款的增值税专用发票，采购人在收到发票后1</w:t>
      </w:r>
      <w:r>
        <w:rPr>
          <w:rFonts w:ascii="宋体" w:hAnsi="宋体"/>
          <w:color w:val="auto"/>
          <w:highlight w:val="none"/>
        </w:rPr>
        <w:t>5</w:t>
      </w:r>
      <w:r>
        <w:rPr>
          <w:rFonts w:hint="eastAsia" w:ascii="宋体" w:hAnsi="宋体"/>
          <w:color w:val="auto"/>
          <w:highlight w:val="none"/>
        </w:rPr>
        <w:t>个工作日内支付合同余款给中标供应商</w:t>
      </w:r>
      <w:r>
        <w:rPr>
          <w:rFonts w:hint="eastAsia" w:cs="宋体"/>
          <w:color w:val="auto"/>
          <w:szCs w:val="21"/>
          <w:highlight w:val="none"/>
          <w:lang w:bidi="ar"/>
        </w:rPr>
        <w:t>。</w:t>
      </w:r>
    </w:p>
    <w:p w14:paraId="25CED2C0">
      <w:pPr>
        <w:spacing w:line="360" w:lineRule="auto"/>
        <w:ind w:firstLine="420" w:firstLineChars="200"/>
        <w:rPr>
          <w:rFonts w:cs="宋体"/>
          <w:color w:val="auto"/>
          <w:szCs w:val="21"/>
          <w:highlight w:val="none"/>
          <w:lang w:bidi="ar"/>
        </w:rPr>
      </w:pPr>
      <w:r>
        <w:rPr>
          <w:rFonts w:hint="eastAsia" w:cs="宋体"/>
          <w:color w:val="auto"/>
          <w:szCs w:val="21"/>
          <w:highlight w:val="none"/>
          <w:lang w:bidi="ar"/>
        </w:rPr>
        <w:t>2.2票据要求：付款前乙方必须按照合同要求提供真实、有效、合法的正式发票，并经甲方检查票据合格。一旦发现乙方提供虚假发票，除须向甲方补开合法发票外，须向甲方支付发票票面金额一倍的违约金，且甲方有权终止合同，因终止合同而产生的一切损失均由乙方承担。</w:t>
      </w:r>
    </w:p>
    <w:p w14:paraId="32888AE7">
      <w:pPr>
        <w:snapToGrid w:val="0"/>
        <w:spacing w:line="360" w:lineRule="exact"/>
        <w:ind w:firstLine="420" w:firstLineChars="200"/>
        <w:rPr>
          <w:rFonts w:cs="宋体"/>
          <w:color w:val="auto"/>
          <w:szCs w:val="21"/>
          <w:highlight w:val="none"/>
          <w:lang w:bidi="ar"/>
        </w:rPr>
      </w:pPr>
      <w:r>
        <w:rPr>
          <w:rFonts w:hint="eastAsia" w:cs="宋体"/>
          <w:color w:val="auto"/>
          <w:szCs w:val="21"/>
          <w:highlight w:val="none"/>
          <w:lang w:bidi="ar"/>
        </w:rPr>
        <w:t>2.3本合同使用货币币制如未作特别说明均为人民币。</w:t>
      </w:r>
    </w:p>
    <w:p w14:paraId="510A129D">
      <w:pPr>
        <w:snapToGrid w:val="0"/>
        <w:spacing w:line="360" w:lineRule="exact"/>
        <w:ind w:firstLine="422" w:firstLineChars="200"/>
        <w:rPr>
          <w:b/>
          <w:color w:val="auto"/>
          <w:szCs w:val="21"/>
          <w:highlight w:val="none"/>
        </w:rPr>
      </w:pPr>
      <w:r>
        <w:rPr>
          <w:rFonts w:hint="eastAsia" w:cs="宋体"/>
          <w:b/>
          <w:color w:val="auto"/>
          <w:szCs w:val="21"/>
          <w:highlight w:val="none"/>
          <w:lang w:bidi="ar"/>
        </w:rPr>
        <w:t>第十条履约保证金</w:t>
      </w:r>
      <w:bookmarkStart w:id="120" w:name="_Hlk47715711"/>
      <w:r>
        <w:rPr>
          <w:rFonts w:hint="eastAsia" w:cs="宋体"/>
          <w:b/>
          <w:color w:val="auto"/>
          <w:szCs w:val="21"/>
          <w:highlight w:val="none"/>
          <w:lang w:bidi="ar"/>
        </w:rPr>
        <w:t>及投标保证金</w:t>
      </w:r>
      <w:r>
        <w:rPr>
          <w:b/>
          <w:color w:val="auto"/>
          <w:szCs w:val="21"/>
          <w:highlight w:val="none"/>
          <w:lang w:bidi="ar"/>
        </w:rPr>
        <w:t xml:space="preserve"> </w:t>
      </w:r>
      <w:bookmarkEnd w:id="120"/>
      <w:r>
        <w:rPr>
          <w:b/>
          <w:color w:val="auto"/>
          <w:szCs w:val="21"/>
          <w:highlight w:val="none"/>
          <w:lang w:bidi="ar"/>
        </w:rPr>
        <w:t xml:space="preserve">  </w:t>
      </w:r>
    </w:p>
    <w:p w14:paraId="5488CCD1">
      <w:pPr>
        <w:spacing w:line="300" w:lineRule="exact"/>
        <w:ind w:firstLine="420" w:firstLineChars="200"/>
        <w:jc w:val="left"/>
        <w:rPr>
          <w:color w:val="auto"/>
          <w:szCs w:val="21"/>
          <w:highlight w:val="none"/>
        </w:rPr>
      </w:pPr>
      <w:r>
        <w:rPr>
          <w:rFonts w:hint="eastAsia" w:cs="宋体"/>
          <w:color w:val="auto"/>
          <w:szCs w:val="21"/>
          <w:highlight w:val="none"/>
          <w:lang w:bidi="ar"/>
        </w:rPr>
        <w:t>履约保证金金额缴纳时间：</w:t>
      </w:r>
      <w:r>
        <w:rPr>
          <w:color w:val="auto"/>
          <w:szCs w:val="21"/>
          <w:highlight w:val="none"/>
          <w:u w:val="single"/>
          <w:lang w:bidi="ar"/>
        </w:rPr>
        <w:t xml:space="preserve">  </w:t>
      </w:r>
      <w:r>
        <w:rPr>
          <w:rFonts w:hint="eastAsia"/>
          <w:color w:val="auto"/>
          <w:szCs w:val="21"/>
          <w:highlight w:val="none"/>
          <w:u w:val="single"/>
          <w:lang w:bidi="ar"/>
        </w:rPr>
        <w:t>5%（若为中小企业为2%）</w:t>
      </w:r>
      <w:r>
        <w:rPr>
          <w:color w:val="auto"/>
          <w:szCs w:val="21"/>
          <w:highlight w:val="none"/>
          <w:u w:val="single"/>
          <w:lang w:bidi="ar"/>
        </w:rPr>
        <w:t xml:space="preserve">    </w:t>
      </w:r>
      <w:bookmarkStart w:id="121" w:name="_Hlk47715729"/>
      <w:r>
        <w:rPr>
          <w:rFonts w:hint="eastAsia" w:cs="宋体"/>
          <w:color w:val="auto"/>
          <w:szCs w:val="21"/>
          <w:highlight w:val="none"/>
          <w:lang w:bidi="ar"/>
        </w:rPr>
        <w:t>【备注：不超过合同金额的</w:t>
      </w:r>
      <w:r>
        <w:rPr>
          <w:color w:val="auto"/>
          <w:szCs w:val="21"/>
          <w:highlight w:val="none"/>
          <w:lang w:bidi="ar"/>
        </w:rPr>
        <w:t>5%</w:t>
      </w:r>
      <w:r>
        <w:rPr>
          <w:rFonts w:hint="eastAsia" w:cs="宋体"/>
          <w:color w:val="auto"/>
          <w:szCs w:val="21"/>
          <w:highlight w:val="none"/>
          <w:lang w:bidi="ar"/>
        </w:rPr>
        <w:t>，如为中小企业，不超过合同金额的</w:t>
      </w:r>
      <w:r>
        <w:rPr>
          <w:color w:val="auto"/>
          <w:szCs w:val="21"/>
          <w:highlight w:val="none"/>
          <w:lang w:bidi="ar"/>
        </w:rPr>
        <w:t>2%</w:t>
      </w:r>
      <w:r>
        <w:rPr>
          <w:rFonts w:hint="eastAsia" w:cs="宋体"/>
          <w:color w:val="auto"/>
          <w:szCs w:val="21"/>
          <w:highlight w:val="none"/>
          <w:lang w:bidi="ar"/>
        </w:rPr>
        <w:t>】【备注：注意根据各地市的规定调整履约保证金比例】</w:t>
      </w:r>
    </w:p>
    <w:p w14:paraId="1522A94F">
      <w:pPr>
        <w:spacing w:line="300" w:lineRule="exact"/>
        <w:ind w:firstLine="420" w:firstLineChars="200"/>
        <w:jc w:val="left"/>
        <w:rPr>
          <w:color w:val="auto"/>
          <w:szCs w:val="21"/>
          <w:highlight w:val="none"/>
        </w:rPr>
      </w:pPr>
      <w:r>
        <w:rPr>
          <w:rFonts w:hint="eastAsia" w:cs="宋体"/>
          <w:color w:val="auto"/>
          <w:szCs w:val="21"/>
          <w:highlight w:val="none"/>
          <w:lang w:bidi="ar"/>
        </w:rPr>
        <w:t>履约保证金缴纳形式：供应商可以选择电汇、转账、支票、汇票、本票、保函等形式缴纳或提交；采用保函形式缴纳的，采购人在保证期限届满后及时对收取的保证金进行核实和结算。</w:t>
      </w:r>
    </w:p>
    <w:p w14:paraId="34C9D48D">
      <w:pPr>
        <w:spacing w:line="276" w:lineRule="auto"/>
        <w:ind w:firstLine="420" w:firstLineChars="200"/>
        <w:rPr>
          <w:color w:val="auto"/>
          <w:szCs w:val="21"/>
          <w:highlight w:val="none"/>
          <w:u w:val="single"/>
        </w:rPr>
      </w:pPr>
      <w:r>
        <w:rPr>
          <w:rFonts w:hint="eastAsia" w:cs="宋体"/>
          <w:color w:val="auto"/>
          <w:szCs w:val="21"/>
          <w:highlight w:val="none"/>
          <w:lang w:bidi="ar"/>
        </w:rPr>
        <w:t>保证金缴纳的账号信息：</w:t>
      </w:r>
      <w:r>
        <w:rPr>
          <w:color w:val="auto"/>
          <w:szCs w:val="21"/>
          <w:highlight w:val="none"/>
          <w:u w:val="single"/>
          <w:lang w:bidi="ar"/>
        </w:rPr>
        <w:t xml:space="preserve">                </w:t>
      </w:r>
    </w:p>
    <w:p w14:paraId="4B04A52F">
      <w:pPr>
        <w:spacing w:line="276" w:lineRule="auto"/>
        <w:ind w:firstLine="420" w:firstLineChars="200"/>
        <w:rPr>
          <w:color w:val="auto"/>
          <w:szCs w:val="21"/>
          <w:highlight w:val="none"/>
          <w:u w:val="single"/>
        </w:rPr>
      </w:pPr>
      <w:r>
        <w:rPr>
          <w:rFonts w:hint="eastAsia" w:cs="宋体"/>
          <w:color w:val="auto"/>
          <w:szCs w:val="21"/>
          <w:highlight w:val="none"/>
          <w:lang w:bidi="ar"/>
        </w:rPr>
        <w:t>开户名称：广西职业师范学院</w:t>
      </w:r>
      <w:r>
        <w:rPr>
          <w:color w:val="auto"/>
          <w:szCs w:val="21"/>
          <w:highlight w:val="none"/>
          <w:u w:val="single"/>
          <w:lang w:bidi="ar"/>
        </w:rPr>
        <w:t xml:space="preserve">                   </w:t>
      </w:r>
    </w:p>
    <w:p w14:paraId="4C343FF7">
      <w:pPr>
        <w:spacing w:line="276" w:lineRule="auto"/>
        <w:ind w:firstLine="420" w:firstLineChars="200"/>
        <w:rPr>
          <w:color w:val="auto"/>
          <w:szCs w:val="21"/>
          <w:highlight w:val="none"/>
          <w:u w:val="single"/>
        </w:rPr>
      </w:pPr>
      <w:r>
        <w:rPr>
          <w:rFonts w:hint="eastAsia" w:cs="宋体"/>
          <w:color w:val="auto"/>
          <w:szCs w:val="21"/>
          <w:highlight w:val="none"/>
          <w:lang w:bidi="ar"/>
        </w:rPr>
        <w:t>开户银行：工行南宁市西乡塘支行</w:t>
      </w:r>
      <w:r>
        <w:rPr>
          <w:color w:val="auto"/>
          <w:szCs w:val="21"/>
          <w:highlight w:val="none"/>
          <w:u w:val="single"/>
          <w:lang w:bidi="ar"/>
        </w:rPr>
        <w:t xml:space="preserve">                   </w:t>
      </w:r>
    </w:p>
    <w:p w14:paraId="45820069">
      <w:pPr>
        <w:spacing w:line="276" w:lineRule="auto"/>
        <w:ind w:firstLine="420" w:firstLineChars="200"/>
        <w:rPr>
          <w:rFonts w:cs="宋体"/>
          <w:color w:val="auto"/>
          <w:szCs w:val="21"/>
          <w:highlight w:val="none"/>
          <w:lang w:bidi="ar"/>
        </w:rPr>
      </w:pPr>
      <w:r>
        <w:rPr>
          <w:rFonts w:hint="eastAsia" w:cs="宋体"/>
          <w:color w:val="auto"/>
          <w:szCs w:val="21"/>
          <w:highlight w:val="none"/>
          <w:lang w:bidi="ar"/>
        </w:rPr>
        <w:t>银行账号：2102111309264000331</w:t>
      </w:r>
    </w:p>
    <w:p w14:paraId="60F7ECB7">
      <w:pPr>
        <w:spacing w:line="276" w:lineRule="auto"/>
        <w:ind w:firstLine="420" w:firstLineChars="200"/>
        <w:rPr>
          <w:color w:val="auto"/>
          <w:szCs w:val="21"/>
          <w:highlight w:val="none"/>
          <w:u w:val="single"/>
        </w:rPr>
      </w:pPr>
      <w:r>
        <w:rPr>
          <w:rFonts w:hint="eastAsia"/>
          <w:color w:val="auto"/>
          <w:szCs w:val="21"/>
          <w:highlight w:val="none"/>
          <w:lang w:bidi="ar"/>
        </w:rPr>
        <w:t>纳税人识别号：</w:t>
      </w:r>
      <w:r>
        <w:rPr>
          <w:color w:val="auto"/>
          <w:szCs w:val="21"/>
          <w:highlight w:val="none"/>
          <w:lang w:bidi="ar"/>
        </w:rPr>
        <w:t>124500004985047071</w:t>
      </w:r>
      <w:r>
        <w:rPr>
          <w:color w:val="auto"/>
          <w:szCs w:val="21"/>
          <w:highlight w:val="none"/>
          <w:u w:val="single"/>
          <w:lang w:bidi="ar"/>
        </w:rPr>
        <w:t xml:space="preserve">                  </w:t>
      </w:r>
    </w:p>
    <w:bookmarkEnd w:id="121"/>
    <w:p w14:paraId="078304CB">
      <w:pPr>
        <w:snapToGrid w:val="0"/>
        <w:spacing w:line="360" w:lineRule="exact"/>
        <w:ind w:firstLine="420" w:firstLineChars="200"/>
        <w:rPr>
          <w:color w:val="auto"/>
          <w:szCs w:val="21"/>
          <w:highlight w:val="none"/>
        </w:rPr>
      </w:pPr>
      <w:r>
        <w:rPr>
          <w:rFonts w:hint="eastAsia" w:cs="宋体"/>
          <w:color w:val="auto"/>
          <w:szCs w:val="21"/>
          <w:highlight w:val="none"/>
          <w:lang w:bidi="ar"/>
        </w:rPr>
        <w:t>履约保证金退还方式及时间、条件、不予退还的情形：项目</w:t>
      </w:r>
      <w:r>
        <w:rPr>
          <w:rFonts w:hint="eastAsia" w:cs="宋体"/>
          <w:color w:val="auto"/>
          <w:szCs w:val="21"/>
          <w:highlight w:val="none"/>
          <w:lang w:val="en-US" w:eastAsia="zh-CN" w:bidi="ar"/>
        </w:rPr>
        <w:t>质保期满后</w:t>
      </w:r>
      <w:r>
        <w:rPr>
          <w:rFonts w:hint="eastAsia" w:cs="宋体"/>
          <w:color w:val="auto"/>
          <w:szCs w:val="21"/>
          <w:highlight w:val="none"/>
          <w:lang w:bidi="ar"/>
        </w:rPr>
        <w:t>，中标人可向采购人申请办理履约保证金的退付手续；</w:t>
      </w:r>
      <w:bookmarkStart w:id="122" w:name="_Hlk155171868"/>
      <w:r>
        <w:rPr>
          <w:rFonts w:hint="eastAsia" w:cs="宋体"/>
          <w:color w:val="auto"/>
          <w:szCs w:val="21"/>
          <w:highlight w:val="none"/>
          <w:lang w:bidi="ar"/>
        </w:rPr>
        <w:t>采购人应当按照合同约定的退还方式，在</w:t>
      </w:r>
      <w:r>
        <w:rPr>
          <w:rFonts w:hint="eastAsia"/>
          <w:color w:val="auto"/>
          <w:szCs w:val="21"/>
          <w:highlight w:val="none"/>
          <w:lang w:val="en-US" w:eastAsia="zh-CN" w:bidi="ar"/>
        </w:rPr>
        <w:t>10</w:t>
      </w:r>
      <w:r>
        <w:rPr>
          <w:rFonts w:hint="eastAsia" w:cs="宋体"/>
          <w:color w:val="auto"/>
          <w:szCs w:val="21"/>
          <w:highlight w:val="none"/>
          <w:lang w:bidi="ar"/>
        </w:rPr>
        <w:t>个工作日内办理履约保证金退还手续。</w:t>
      </w:r>
      <w:bookmarkEnd w:id="122"/>
      <w:r>
        <w:rPr>
          <w:rFonts w:hint="eastAsia" w:cs="宋体"/>
          <w:color w:val="auto"/>
          <w:highlight w:val="none"/>
          <w:lang w:bidi="ar"/>
        </w:rPr>
        <w:t>如果中标人不履行合同约定的义务或其履行不符合合同的</w:t>
      </w:r>
      <w:r>
        <w:rPr>
          <w:color w:val="auto"/>
          <w:highlight w:val="none"/>
          <w:lang w:bidi="ar"/>
        </w:rPr>
        <w:t> </w:t>
      </w:r>
      <w:r>
        <w:rPr>
          <w:rFonts w:hint="eastAsia" w:cs="宋体"/>
          <w:color w:val="auto"/>
          <w:highlight w:val="none"/>
          <w:lang w:bidi="ar"/>
        </w:rPr>
        <w:t>约定，采购人有权扣划全部或相应金额的履约保证金。</w:t>
      </w:r>
      <w:r>
        <w:rPr>
          <w:color w:val="auto"/>
          <w:szCs w:val="21"/>
          <w:highlight w:val="none"/>
          <w:lang w:bidi="ar"/>
        </w:rPr>
        <w:t xml:space="preserve"> </w:t>
      </w:r>
    </w:p>
    <w:p w14:paraId="5C1948AD">
      <w:pPr>
        <w:snapToGrid w:val="0"/>
        <w:spacing w:line="300" w:lineRule="exact"/>
        <w:ind w:firstLine="420" w:firstLineChars="200"/>
        <w:rPr>
          <w:color w:val="auto"/>
          <w:szCs w:val="21"/>
          <w:highlight w:val="none"/>
        </w:rPr>
      </w:pPr>
      <w:r>
        <w:rPr>
          <w:rFonts w:hint="eastAsia" w:cs="宋体"/>
          <w:color w:val="auto"/>
          <w:szCs w:val="21"/>
          <w:highlight w:val="none"/>
          <w:lang w:bidi="ar"/>
        </w:rPr>
        <w:t>履约保证金符合退还条件的，采购人在收到中标人提交的履约保证金退付申请之日起</w:t>
      </w:r>
      <w:r>
        <w:rPr>
          <w:color w:val="auto"/>
          <w:szCs w:val="21"/>
          <w:highlight w:val="none"/>
          <w:u w:val="single"/>
          <w:lang w:bidi="ar"/>
        </w:rPr>
        <w:t xml:space="preserve"> </w:t>
      </w:r>
      <w:r>
        <w:rPr>
          <w:rFonts w:hint="eastAsia"/>
          <w:color w:val="auto"/>
          <w:szCs w:val="21"/>
          <w:highlight w:val="none"/>
          <w:u w:val="single"/>
          <w:lang w:bidi="ar"/>
        </w:rPr>
        <w:t>30</w:t>
      </w:r>
      <w:r>
        <w:rPr>
          <w:color w:val="auto"/>
          <w:szCs w:val="21"/>
          <w:highlight w:val="none"/>
          <w:u w:val="single"/>
          <w:lang w:bidi="ar"/>
        </w:rPr>
        <w:t xml:space="preserve"> </w:t>
      </w:r>
      <w:r>
        <w:rPr>
          <w:rFonts w:hint="eastAsia" w:cs="宋体"/>
          <w:color w:val="auto"/>
          <w:szCs w:val="21"/>
          <w:highlight w:val="none"/>
          <w:lang w:bidi="ar"/>
        </w:rPr>
        <w:t>天内退还履约保证金，如未在规定时间内退还的，中标人可予以催告，采购人应按中国人民银行发布的同期同类贷款基准利率向中标人支付自催告日期起的利息。</w:t>
      </w:r>
    </w:p>
    <w:p w14:paraId="68938D3C">
      <w:pPr>
        <w:snapToGrid w:val="0"/>
        <w:spacing w:line="360" w:lineRule="exact"/>
        <w:ind w:firstLine="422" w:firstLineChars="200"/>
        <w:rPr>
          <w:b/>
          <w:color w:val="auto"/>
          <w:szCs w:val="21"/>
          <w:highlight w:val="none"/>
        </w:rPr>
      </w:pPr>
      <w:r>
        <w:rPr>
          <w:rFonts w:hint="eastAsia" w:cs="宋体"/>
          <w:b/>
          <w:color w:val="auto"/>
          <w:szCs w:val="21"/>
          <w:highlight w:val="none"/>
          <w:lang w:bidi="ar"/>
        </w:rPr>
        <w:t>第十一条</w:t>
      </w:r>
      <w:r>
        <w:rPr>
          <w:b/>
          <w:color w:val="auto"/>
          <w:szCs w:val="21"/>
          <w:highlight w:val="none"/>
          <w:lang w:bidi="ar"/>
        </w:rPr>
        <w:t xml:space="preserve"> </w:t>
      </w:r>
      <w:r>
        <w:rPr>
          <w:rFonts w:hint="eastAsia" w:cs="宋体"/>
          <w:b/>
          <w:color w:val="auto"/>
          <w:szCs w:val="21"/>
          <w:highlight w:val="none"/>
          <w:lang w:bidi="ar"/>
        </w:rPr>
        <w:t>税费</w:t>
      </w:r>
    </w:p>
    <w:p w14:paraId="43699ACE">
      <w:pPr>
        <w:snapToGrid w:val="0"/>
        <w:spacing w:line="360" w:lineRule="exact"/>
        <w:ind w:firstLine="420" w:firstLineChars="200"/>
        <w:rPr>
          <w:color w:val="auto"/>
          <w:szCs w:val="21"/>
          <w:highlight w:val="none"/>
        </w:rPr>
      </w:pPr>
      <w:r>
        <w:rPr>
          <w:rFonts w:hint="eastAsia" w:cs="宋体"/>
          <w:color w:val="auto"/>
          <w:szCs w:val="21"/>
          <w:highlight w:val="none"/>
          <w:lang w:bidi="ar"/>
        </w:rPr>
        <w:t>本合同执行中相关的一切税费均由乙方承担。</w:t>
      </w:r>
    </w:p>
    <w:p w14:paraId="2A21A554">
      <w:pPr>
        <w:snapToGrid w:val="0"/>
        <w:spacing w:line="360" w:lineRule="exact"/>
        <w:ind w:firstLine="422" w:firstLineChars="200"/>
        <w:rPr>
          <w:b/>
          <w:color w:val="auto"/>
          <w:szCs w:val="21"/>
          <w:highlight w:val="none"/>
        </w:rPr>
      </w:pPr>
      <w:r>
        <w:rPr>
          <w:rFonts w:hint="eastAsia" w:cs="宋体"/>
          <w:b/>
          <w:color w:val="auto"/>
          <w:szCs w:val="21"/>
          <w:highlight w:val="none"/>
          <w:lang w:bidi="ar"/>
        </w:rPr>
        <w:t>第十二条　违约责任</w:t>
      </w:r>
    </w:p>
    <w:p w14:paraId="35D1B31A">
      <w:pPr>
        <w:snapToGrid w:val="0"/>
        <w:spacing w:line="300" w:lineRule="exact"/>
        <w:ind w:firstLine="420" w:firstLineChars="200"/>
        <w:rPr>
          <w:color w:val="auto"/>
          <w:szCs w:val="21"/>
          <w:highlight w:val="none"/>
        </w:rPr>
      </w:pPr>
      <w:r>
        <w:rPr>
          <w:color w:val="auto"/>
          <w:szCs w:val="21"/>
          <w:highlight w:val="none"/>
          <w:lang w:bidi="ar"/>
        </w:rPr>
        <w:t>1.</w:t>
      </w:r>
      <w:r>
        <w:rPr>
          <w:rFonts w:eastAsia="微软雅黑"/>
          <w:color w:val="auto"/>
          <w:szCs w:val="21"/>
          <w:highlight w:val="none"/>
          <w:lang w:bidi="ar"/>
        </w:rPr>
        <w:t xml:space="preserve"> </w:t>
      </w:r>
      <w:r>
        <w:rPr>
          <w:rFonts w:hint="eastAsia" w:cs="宋体"/>
          <w:color w:val="auto"/>
          <w:szCs w:val="21"/>
          <w:highlight w:val="none"/>
          <w:lang w:bidi="ar"/>
        </w:rPr>
        <w:t>若因乙方原因而未能履行合同或最终验收不合格的，甲方有权解除合同，由此产生的费用由乙方承担，给甲方造成其他损失的，乙方应进行赔偿，并承担甲方追究的其他违约责任。</w:t>
      </w:r>
    </w:p>
    <w:p w14:paraId="4D0B038E">
      <w:pPr>
        <w:snapToGrid w:val="0"/>
        <w:spacing w:line="30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乙方逾期交付产品或服务成果的，应向甲方支付违约金，标准为合同总价</w:t>
      </w:r>
      <w:r>
        <w:rPr>
          <w:color w:val="auto"/>
          <w:szCs w:val="21"/>
          <w:highlight w:val="none"/>
          <w:u w:val="single"/>
          <w:lang w:bidi="ar"/>
        </w:rPr>
        <w:t>3‰</w:t>
      </w:r>
      <w:r>
        <w:rPr>
          <w:color w:val="auto"/>
          <w:szCs w:val="21"/>
          <w:highlight w:val="none"/>
          <w:lang w:bidi="ar"/>
        </w:rPr>
        <w:t>/</w:t>
      </w:r>
      <w:r>
        <w:rPr>
          <w:rFonts w:hint="eastAsia" w:cs="宋体"/>
          <w:color w:val="auto"/>
          <w:szCs w:val="21"/>
          <w:highlight w:val="none"/>
          <w:lang w:bidi="ar"/>
        </w:rPr>
        <w:t>日，但违约金累计不得超过</w:t>
      </w:r>
      <w:r>
        <w:rPr>
          <w:rFonts w:hint="eastAsia" w:cs="宋体"/>
          <w:color w:val="auto"/>
          <w:highlight w:val="none"/>
          <w:lang w:bidi="ar"/>
        </w:rPr>
        <w:t>合同总金额</w:t>
      </w:r>
      <w:r>
        <w:rPr>
          <w:color w:val="auto"/>
          <w:szCs w:val="21"/>
          <w:highlight w:val="none"/>
          <w:u w:val="single"/>
          <w:lang w:bidi="ar"/>
        </w:rPr>
        <w:t>5%</w:t>
      </w:r>
      <w:r>
        <w:rPr>
          <w:rFonts w:hint="eastAsia" w:cs="宋体"/>
          <w:color w:val="auto"/>
          <w:szCs w:val="21"/>
          <w:highlight w:val="none"/>
          <w:u w:val="single"/>
          <w:lang w:bidi="ar"/>
        </w:rPr>
        <w:t>，</w:t>
      </w:r>
      <w:r>
        <w:rPr>
          <w:rFonts w:hint="eastAsia" w:cs="宋体"/>
          <w:color w:val="auto"/>
          <w:szCs w:val="21"/>
          <w:highlight w:val="none"/>
          <w:lang w:bidi="ar"/>
        </w:rPr>
        <w:t>甲方延期付产品或服务费用的，应向乙方支付延期滞纳金，标准为合同总价额</w:t>
      </w:r>
      <w:r>
        <w:rPr>
          <w:color w:val="auto"/>
          <w:szCs w:val="21"/>
          <w:highlight w:val="none"/>
          <w:u w:val="single"/>
          <w:lang w:bidi="ar"/>
        </w:rPr>
        <w:t>3‰/</w:t>
      </w:r>
      <w:r>
        <w:rPr>
          <w:rFonts w:hint="eastAsia" w:cs="宋体"/>
          <w:color w:val="auto"/>
          <w:szCs w:val="21"/>
          <w:highlight w:val="none"/>
          <w:u w:val="single"/>
          <w:lang w:bidi="ar"/>
        </w:rPr>
        <w:t>日</w:t>
      </w:r>
      <w:r>
        <w:rPr>
          <w:rFonts w:hint="eastAsia" w:cs="宋体"/>
          <w:color w:val="auto"/>
          <w:szCs w:val="21"/>
          <w:highlight w:val="none"/>
          <w:lang w:bidi="ar"/>
        </w:rPr>
        <w:t>，但滞纳金累计不得超过</w:t>
      </w:r>
      <w:r>
        <w:rPr>
          <w:rFonts w:hint="eastAsia" w:cs="宋体"/>
          <w:color w:val="auto"/>
          <w:highlight w:val="none"/>
          <w:lang w:bidi="ar"/>
        </w:rPr>
        <w:t>合同总金额</w:t>
      </w:r>
      <w:r>
        <w:rPr>
          <w:color w:val="auto"/>
          <w:szCs w:val="21"/>
          <w:highlight w:val="none"/>
          <w:u w:val="single"/>
          <w:lang w:bidi="ar"/>
        </w:rPr>
        <w:t>5%</w:t>
      </w:r>
      <w:r>
        <w:rPr>
          <w:rFonts w:hint="eastAsia" w:cs="宋体"/>
          <w:color w:val="auto"/>
          <w:szCs w:val="21"/>
          <w:highlight w:val="none"/>
          <w:lang w:bidi="ar"/>
        </w:rPr>
        <w:t>。</w:t>
      </w:r>
    </w:p>
    <w:p w14:paraId="124C2AE8">
      <w:pPr>
        <w:snapToGrid w:val="0"/>
        <w:spacing w:line="360" w:lineRule="exact"/>
        <w:ind w:firstLine="420" w:firstLineChars="200"/>
        <w:rPr>
          <w:color w:val="auto"/>
          <w:szCs w:val="21"/>
          <w:highlight w:val="none"/>
        </w:rPr>
      </w:pPr>
      <w:r>
        <w:rPr>
          <w:color w:val="auto"/>
          <w:szCs w:val="21"/>
          <w:highlight w:val="none"/>
          <w:lang w:bidi="ar"/>
        </w:rPr>
        <w:t xml:space="preserve">3. </w:t>
      </w:r>
      <w:r>
        <w:rPr>
          <w:rFonts w:hint="eastAsia" w:cs="宋体"/>
          <w:color w:val="auto"/>
          <w:szCs w:val="21"/>
          <w:highlight w:val="none"/>
          <w:lang w:bidi="ar"/>
        </w:rPr>
        <w:t>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36266DD6">
      <w:pPr>
        <w:snapToGrid w:val="0"/>
        <w:spacing w:line="360" w:lineRule="exact"/>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乙方或乙方人员违反保密义务时，甲方有权书面通知乙方解除合同，且无需支付合同解除后的合同后续费用。同时，乙方必须退还甲方已付出的所有咨询费用，并赔偿由此给甲方造成的全部损失。</w:t>
      </w:r>
    </w:p>
    <w:p w14:paraId="519AFB70">
      <w:pPr>
        <w:snapToGrid w:val="0"/>
        <w:spacing w:line="360" w:lineRule="exact"/>
        <w:ind w:firstLine="420" w:firstLineChars="200"/>
        <w:rPr>
          <w:color w:val="auto"/>
          <w:szCs w:val="21"/>
          <w:highlight w:val="none"/>
        </w:rPr>
      </w:pPr>
      <w:r>
        <w:rPr>
          <w:color w:val="auto"/>
          <w:szCs w:val="21"/>
          <w:highlight w:val="none"/>
          <w:lang w:bidi="ar"/>
        </w:rPr>
        <w:t>5.</w:t>
      </w:r>
      <w:r>
        <w:rPr>
          <w:rFonts w:hint="eastAsia" w:cs="宋体"/>
          <w:color w:val="auto"/>
          <w:szCs w:val="21"/>
          <w:highlight w:val="none"/>
          <w:lang w:bidi="ar"/>
        </w:rPr>
        <w:t>乙方未按本合同和投标文件中规定的服务承诺提供售后服务的，乙方应按本合同总金额</w:t>
      </w:r>
      <w:r>
        <w:rPr>
          <w:color w:val="auto"/>
          <w:szCs w:val="21"/>
          <w:highlight w:val="none"/>
          <w:u w:val="single"/>
          <w:lang w:bidi="ar"/>
        </w:rPr>
        <w:t xml:space="preserve"> 5%</w:t>
      </w:r>
      <w:r>
        <w:rPr>
          <w:rFonts w:hint="eastAsia" w:cs="宋体"/>
          <w:color w:val="auto"/>
          <w:szCs w:val="21"/>
          <w:highlight w:val="none"/>
          <w:lang w:bidi="ar"/>
        </w:rPr>
        <w:t>向甲方支付违约金。</w:t>
      </w:r>
    </w:p>
    <w:p w14:paraId="060C3B04">
      <w:pPr>
        <w:snapToGrid w:val="0"/>
        <w:spacing w:line="360" w:lineRule="exact"/>
        <w:ind w:firstLine="420" w:firstLineChars="200"/>
        <w:rPr>
          <w:color w:val="auto"/>
          <w:szCs w:val="21"/>
          <w:highlight w:val="none"/>
        </w:rPr>
      </w:pPr>
      <w:r>
        <w:rPr>
          <w:color w:val="auto"/>
          <w:szCs w:val="21"/>
          <w:highlight w:val="none"/>
          <w:lang w:bidi="ar"/>
        </w:rPr>
        <w:t>6.</w:t>
      </w:r>
      <w:r>
        <w:rPr>
          <w:rFonts w:hint="eastAsia" w:cs="宋体"/>
          <w:color w:val="auto"/>
          <w:szCs w:val="21"/>
          <w:highlight w:val="none"/>
          <w:lang w:bidi="ar"/>
        </w:rPr>
        <w:t>乙方提供的产品或服务成果在质量保证期内，因设计、工艺或材料的缺陷和其它质量原因造成的问题，由乙方负责，费用从质量保证金中扣除，质量保证金不足以支付的，由乙方另行支付。</w:t>
      </w:r>
    </w:p>
    <w:p w14:paraId="774AD8AD">
      <w:pPr>
        <w:snapToGrid w:val="0"/>
        <w:spacing w:line="360" w:lineRule="exact"/>
        <w:ind w:firstLine="420" w:firstLineChars="200"/>
        <w:jc w:val="left"/>
        <w:rPr>
          <w:color w:val="auto"/>
          <w:szCs w:val="21"/>
          <w:highlight w:val="none"/>
        </w:rPr>
      </w:pPr>
      <w:r>
        <w:rPr>
          <w:color w:val="auto"/>
          <w:szCs w:val="21"/>
          <w:highlight w:val="none"/>
          <w:lang w:bidi="ar"/>
        </w:rPr>
        <w:t>7.</w:t>
      </w:r>
      <w:r>
        <w:rPr>
          <w:rFonts w:hint="eastAsia" w:cs="宋体"/>
          <w:color w:val="auto"/>
          <w:szCs w:val="21"/>
          <w:highlight w:val="none"/>
          <w:lang w:bidi="ar"/>
        </w:rPr>
        <w:t>乙方提供的产品或服务如侵犯了第三方合法权益而引发的任何纠纷或诉讼，均由乙方负责交涉并承担全部责任</w:t>
      </w:r>
      <w:r>
        <w:rPr>
          <w:rFonts w:hint="eastAsia" w:cs="宋体"/>
          <w:color w:val="auto"/>
          <w:szCs w:val="21"/>
          <w:highlight w:val="none"/>
          <w:lang w:eastAsia="zh-CN" w:bidi="ar"/>
        </w:rPr>
        <w:t>，</w:t>
      </w:r>
      <w:r>
        <w:rPr>
          <w:rFonts w:hint="eastAsia" w:cs="宋体"/>
          <w:color w:val="auto"/>
          <w:szCs w:val="21"/>
          <w:highlight w:val="none"/>
          <w:lang w:val="en-US" w:eastAsia="zh-CN" w:bidi="ar"/>
        </w:rPr>
        <w:t>若由此给甲方造成的一切损失由乙方承担</w:t>
      </w:r>
      <w:r>
        <w:rPr>
          <w:rFonts w:hint="eastAsia" w:cs="宋体"/>
          <w:color w:val="auto"/>
          <w:szCs w:val="21"/>
          <w:highlight w:val="none"/>
          <w:lang w:bidi="ar"/>
        </w:rPr>
        <w:t>。</w:t>
      </w:r>
    </w:p>
    <w:p w14:paraId="7EC65316">
      <w:pPr>
        <w:snapToGrid w:val="0"/>
        <w:spacing w:line="360" w:lineRule="exact"/>
        <w:ind w:firstLine="420" w:firstLineChars="200"/>
        <w:rPr>
          <w:color w:val="auto"/>
          <w:szCs w:val="21"/>
          <w:highlight w:val="none"/>
        </w:rPr>
      </w:pPr>
      <w:r>
        <w:rPr>
          <w:color w:val="auto"/>
          <w:szCs w:val="21"/>
          <w:highlight w:val="none"/>
          <w:lang w:bidi="ar"/>
        </w:rPr>
        <w:t>8.</w:t>
      </w:r>
      <w:r>
        <w:rPr>
          <w:rFonts w:hint="eastAsia" w:cs="宋体"/>
          <w:color w:val="auto"/>
          <w:szCs w:val="21"/>
          <w:highlight w:val="none"/>
          <w:lang w:bidi="ar"/>
        </w:rPr>
        <w:t>其它违约行为按违约部分产品或服务费用金额</w:t>
      </w:r>
      <w:r>
        <w:rPr>
          <w:color w:val="auto"/>
          <w:szCs w:val="21"/>
          <w:highlight w:val="none"/>
          <w:lang w:bidi="ar"/>
        </w:rPr>
        <w:t>5%</w:t>
      </w:r>
      <w:r>
        <w:rPr>
          <w:rFonts w:hint="eastAsia" w:cs="宋体"/>
          <w:color w:val="auto"/>
          <w:szCs w:val="21"/>
          <w:highlight w:val="none"/>
          <w:lang w:bidi="ar"/>
        </w:rPr>
        <w:t>收取违约金并赔偿经济损失。</w:t>
      </w:r>
    </w:p>
    <w:p w14:paraId="1D8E1A17">
      <w:pPr>
        <w:snapToGrid w:val="0"/>
        <w:spacing w:line="300" w:lineRule="exact"/>
        <w:ind w:firstLine="420" w:firstLineChars="200"/>
        <w:rPr>
          <w:color w:val="auto"/>
          <w:szCs w:val="21"/>
          <w:highlight w:val="none"/>
        </w:rPr>
      </w:pPr>
      <w:r>
        <w:rPr>
          <w:color w:val="auto"/>
          <w:szCs w:val="21"/>
          <w:highlight w:val="none"/>
          <w:lang w:bidi="ar"/>
        </w:rPr>
        <w:t>9.</w:t>
      </w:r>
      <w:r>
        <w:rPr>
          <w:rFonts w:hint="eastAsia" w:cs="宋体"/>
          <w:color w:val="auto"/>
          <w:szCs w:val="21"/>
          <w:highlight w:val="none"/>
          <w:lang w:bidi="ar"/>
        </w:rPr>
        <w:t>因甲方原因导致变更、中止或者终止政府采购合同的，应当依照合同约定对乙方受到的损失予以赔偿或者补偿。赔偿（补偿）标准：</w:t>
      </w:r>
      <w:r>
        <w:rPr>
          <w:color w:val="auto"/>
          <w:szCs w:val="21"/>
          <w:highlight w:val="none"/>
          <w:u w:val="single"/>
          <w:lang w:bidi="ar"/>
        </w:rPr>
        <w:t xml:space="preserve">  </w:t>
      </w:r>
      <w:r>
        <w:rPr>
          <w:rFonts w:hint="eastAsia" w:cs="宋体"/>
          <w:color w:val="auto"/>
          <w:szCs w:val="21"/>
          <w:highlight w:val="none"/>
          <w:u w:val="single"/>
          <w:lang w:bidi="ar"/>
        </w:rPr>
        <w:t>按实际损失赔偿</w:t>
      </w:r>
      <w:r>
        <w:rPr>
          <w:color w:val="auto"/>
          <w:szCs w:val="21"/>
          <w:highlight w:val="none"/>
          <w:u w:val="single"/>
          <w:lang w:bidi="ar"/>
        </w:rPr>
        <w:t xml:space="preserve">  </w:t>
      </w:r>
      <w:r>
        <w:rPr>
          <w:rFonts w:hint="eastAsia" w:cs="宋体"/>
          <w:color w:val="auto"/>
          <w:szCs w:val="21"/>
          <w:highlight w:val="none"/>
          <w:lang w:bidi="ar"/>
        </w:rPr>
        <w:t>。</w:t>
      </w:r>
    </w:p>
    <w:p w14:paraId="7491E448">
      <w:pPr>
        <w:pStyle w:val="46"/>
        <w:widowControl w:val="0"/>
        <w:snapToGrid w:val="0"/>
        <w:spacing w:before="120" w:beforeAutospacing="0" w:after="120" w:afterAutospacing="0" w:line="360" w:lineRule="exact"/>
        <w:ind w:firstLine="413" w:firstLineChars="196"/>
        <w:jc w:val="both"/>
        <w:rPr>
          <w:rFonts w:ascii="Times New Roman" w:hAnsi="Times New Roman"/>
          <w:b/>
          <w:color w:val="auto"/>
          <w:highlight w:val="none"/>
        </w:rPr>
      </w:pPr>
      <w:r>
        <w:rPr>
          <w:rFonts w:hint="eastAsia" w:ascii="Times New Roman" w:hAnsi="Times New Roman"/>
          <w:b/>
          <w:color w:val="auto"/>
          <w:kern w:val="2"/>
          <w:sz w:val="21"/>
          <w:szCs w:val="21"/>
          <w:highlight w:val="none"/>
          <w:lang w:bidi="ar"/>
        </w:rPr>
        <w:t>第十三条</w:t>
      </w:r>
      <w:r>
        <w:rPr>
          <w:rFonts w:ascii="Times New Roman" w:hAnsi="Times New Roman"/>
          <w:b/>
          <w:color w:val="auto"/>
          <w:kern w:val="2"/>
          <w:sz w:val="21"/>
          <w:szCs w:val="21"/>
          <w:highlight w:val="none"/>
          <w:lang w:bidi="ar"/>
        </w:rPr>
        <w:t xml:space="preserve"> </w:t>
      </w:r>
      <w:r>
        <w:rPr>
          <w:rFonts w:hint="eastAsia" w:ascii="Times New Roman" w:hAnsi="Times New Roman"/>
          <w:b/>
          <w:color w:val="auto"/>
          <w:kern w:val="2"/>
          <w:sz w:val="21"/>
          <w:szCs w:val="21"/>
          <w:highlight w:val="none"/>
          <w:lang w:bidi="ar"/>
        </w:rPr>
        <w:t>不可抗力事件处理</w:t>
      </w:r>
    </w:p>
    <w:p w14:paraId="315C90F9">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在合同有效期内，任何一方因不可抗力事件导致不能履行合同，则合同履行期可延长，其延长期与不可抗力影响期相同。</w:t>
      </w:r>
    </w:p>
    <w:p w14:paraId="5F5F920E">
      <w:pPr>
        <w:snapToGrid w:val="0"/>
        <w:spacing w:line="36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不可抗力事件发生后，应立即通知对方，并寄送有关权威机构出具的证明。</w:t>
      </w:r>
    </w:p>
    <w:p w14:paraId="7679774A">
      <w:pPr>
        <w:snapToGrid w:val="0"/>
        <w:spacing w:line="360" w:lineRule="exact"/>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不可抗力事件延续一百二十天以上，双方应通过友好协商，确定是否继续履行合同。</w:t>
      </w:r>
    </w:p>
    <w:p w14:paraId="15DF986C">
      <w:pPr>
        <w:snapToGrid w:val="0"/>
        <w:spacing w:line="360" w:lineRule="exact"/>
        <w:ind w:firstLine="422" w:firstLineChars="200"/>
        <w:rPr>
          <w:color w:val="auto"/>
          <w:szCs w:val="21"/>
          <w:highlight w:val="none"/>
        </w:rPr>
      </w:pPr>
      <w:r>
        <w:rPr>
          <w:rFonts w:hint="eastAsia" w:cs="宋体"/>
          <w:b/>
          <w:color w:val="auto"/>
          <w:szCs w:val="21"/>
          <w:highlight w:val="none"/>
          <w:lang w:bidi="ar"/>
        </w:rPr>
        <w:t>第十四条</w:t>
      </w:r>
      <w:r>
        <w:rPr>
          <w:b/>
          <w:color w:val="auto"/>
          <w:szCs w:val="21"/>
          <w:highlight w:val="none"/>
          <w:lang w:bidi="ar"/>
        </w:rPr>
        <w:t xml:space="preserve">  </w:t>
      </w:r>
      <w:r>
        <w:rPr>
          <w:rFonts w:hint="eastAsia" w:cs="宋体"/>
          <w:b/>
          <w:color w:val="auto"/>
          <w:szCs w:val="21"/>
          <w:highlight w:val="none"/>
          <w:lang w:bidi="ar"/>
        </w:rPr>
        <w:t>合同争议解决</w:t>
      </w:r>
    </w:p>
    <w:p w14:paraId="2A795A2C">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因产品或服务成果质量问题或验收结果发生争议的，应邀请国家认定的质量检测机构按照国家标准对产品或服务成果质量进行验收。产品或服务成果符合国家标准的，鉴定费由甲方承担；产品或服务成果不符合国家标准的，鉴定费由乙方承担。</w:t>
      </w:r>
    </w:p>
    <w:p w14:paraId="42116FCA">
      <w:pPr>
        <w:snapToGrid w:val="0"/>
        <w:spacing w:line="36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因履行本合同引起的或与本合同有关的争议，甲乙双方应首先通过友好协商解决，如果协商不能解决，可向甲方所在地人民法院提起诉讼。</w:t>
      </w:r>
    </w:p>
    <w:p w14:paraId="4FE80543">
      <w:pPr>
        <w:snapToGrid w:val="0"/>
        <w:spacing w:line="360" w:lineRule="exact"/>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诉讼期间，本合同继续履行。</w:t>
      </w:r>
    </w:p>
    <w:p w14:paraId="74C09BDF">
      <w:pPr>
        <w:pStyle w:val="46"/>
        <w:widowControl w:val="0"/>
        <w:snapToGrid w:val="0"/>
        <w:spacing w:before="120" w:beforeAutospacing="0" w:after="120" w:afterAutospacing="0" w:line="360" w:lineRule="exact"/>
        <w:ind w:firstLine="422" w:firstLineChars="200"/>
        <w:jc w:val="both"/>
        <w:rPr>
          <w:rFonts w:ascii="Times New Roman" w:hAnsi="Times New Roman"/>
          <w:b/>
          <w:color w:val="auto"/>
          <w:highlight w:val="none"/>
        </w:rPr>
      </w:pPr>
      <w:r>
        <w:rPr>
          <w:rFonts w:hint="eastAsia" w:ascii="Times New Roman" w:hAnsi="Times New Roman"/>
          <w:b/>
          <w:color w:val="auto"/>
          <w:kern w:val="2"/>
          <w:sz w:val="21"/>
          <w:szCs w:val="21"/>
          <w:highlight w:val="none"/>
          <w:lang w:bidi="ar"/>
        </w:rPr>
        <w:t>第十五条</w:t>
      </w:r>
      <w:r>
        <w:rPr>
          <w:rFonts w:ascii="Times New Roman" w:hAnsi="Times New Roman"/>
          <w:b/>
          <w:color w:val="auto"/>
          <w:kern w:val="2"/>
          <w:sz w:val="21"/>
          <w:szCs w:val="21"/>
          <w:highlight w:val="none"/>
          <w:lang w:bidi="ar"/>
        </w:rPr>
        <w:t xml:space="preserve"> </w:t>
      </w:r>
      <w:r>
        <w:rPr>
          <w:rFonts w:hint="eastAsia" w:ascii="Times New Roman" w:hAnsi="Times New Roman"/>
          <w:b/>
          <w:color w:val="auto"/>
          <w:kern w:val="2"/>
          <w:sz w:val="21"/>
          <w:szCs w:val="21"/>
          <w:highlight w:val="none"/>
          <w:lang w:bidi="ar"/>
        </w:rPr>
        <w:t>合同生效及其它</w:t>
      </w:r>
    </w:p>
    <w:p w14:paraId="1447294C">
      <w:pPr>
        <w:snapToGrid w:val="0"/>
        <w:spacing w:line="300" w:lineRule="exact"/>
        <w:ind w:firstLine="420" w:firstLineChars="200"/>
        <w:rPr>
          <w:color w:val="auto"/>
          <w:szCs w:val="21"/>
          <w:highlight w:val="none"/>
          <w:u w:val="single"/>
        </w:rPr>
      </w:pPr>
      <w:r>
        <w:rPr>
          <w:color w:val="auto"/>
          <w:szCs w:val="21"/>
          <w:highlight w:val="none"/>
          <w:u w:val="single"/>
          <w:lang w:bidi="ar"/>
        </w:rPr>
        <w:t>1.</w:t>
      </w:r>
      <w:r>
        <w:rPr>
          <w:rFonts w:hint="eastAsia" w:cs="宋体"/>
          <w:color w:val="auto"/>
          <w:szCs w:val="21"/>
          <w:highlight w:val="none"/>
          <w:u w:val="single"/>
          <w:lang w:bidi="ar"/>
        </w:rPr>
        <w:t>本合同履行期限为：</w:t>
      </w:r>
      <w:r>
        <w:rPr>
          <w:rFonts w:hint="eastAsia" w:cs="宋体"/>
          <w:color w:val="auto"/>
          <w:szCs w:val="21"/>
          <w:highlight w:val="none"/>
          <w:u w:val="single"/>
          <w:lang w:val="en-US" w:eastAsia="zh-CN" w:bidi="ar"/>
        </w:rPr>
        <w:t xml:space="preserve">  年  月  日至    年  月  日</w:t>
      </w:r>
      <w:r>
        <w:rPr>
          <w:rFonts w:hint="eastAsia" w:cs="宋体"/>
          <w:color w:val="auto"/>
          <w:szCs w:val="21"/>
          <w:highlight w:val="none"/>
          <w:u w:val="single"/>
          <w:lang w:bidi="ar"/>
        </w:rPr>
        <w:t>；合同履行地点为：</w:t>
      </w:r>
      <w:r>
        <w:rPr>
          <w:rFonts w:hint="eastAsia"/>
          <w:color w:val="auto"/>
          <w:szCs w:val="21"/>
          <w:highlight w:val="none"/>
          <w:u w:val="single"/>
          <w:lang w:bidi="ar"/>
        </w:rPr>
        <w:t>甲方指定地点</w:t>
      </w:r>
      <w:r>
        <w:rPr>
          <w:color w:val="auto"/>
          <w:szCs w:val="21"/>
          <w:highlight w:val="none"/>
          <w:u w:val="single"/>
          <w:lang w:bidi="ar"/>
        </w:rPr>
        <w:t xml:space="preserve"> </w:t>
      </w:r>
      <w:r>
        <w:rPr>
          <w:rFonts w:hint="eastAsia" w:cs="宋体"/>
          <w:color w:val="auto"/>
          <w:szCs w:val="21"/>
          <w:highlight w:val="none"/>
          <w:u w:val="single"/>
          <w:lang w:bidi="ar"/>
        </w:rPr>
        <w:t>；合同履行的方式：</w:t>
      </w:r>
      <w:r>
        <w:rPr>
          <w:color w:val="auto"/>
          <w:szCs w:val="21"/>
          <w:highlight w:val="none"/>
          <w:u w:val="single"/>
          <w:lang w:bidi="ar"/>
        </w:rPr>
        <w:t xml:space="preserve"> </w:t>
      </w:r>
      <w:r>
        <w:rPr>
          <w:rFonts w:hint="eastAsia" w:cs="宋体"/>
          <w:color w:val="auto"/>
          <w:szCs w:val="21"/>
          <w:highlight w:val="none"/>
          <w:u w:val="single"/>
          <w:lang w:bidi="ar"/>
        </w:rPr>
        <w:t>按照本合同约定</w:t>
      </w:r>
      <w:r>
        <w:rPr>
          <w:color w:val="auto"/>
          <w:szCs w:val="21"/>
          <w:highlight w:val="none"/>
          <w:u w:val="single"/>
          <w:lang w:bidi="ar"/>
        </w:rPr>
        <w:t xml:space="preserve">  </w:t>
      </w:r>
      <w:r>
        <w:rPr>
          <w:rFonts w:hint="eastAsia" w:cs="宋体"/>
          <w:color w:val="auto"/>
          <w:szCs w:val="21"/>
          <w:highlight w:val="none"/>
          <w:u w:val="single"/>
          <w:lang w:bidi="ar"/>
        </w:rPr>
        <w:t>。</w:t>
      </w:r>
    </w:p>
    <w:p w14:paraId="13B65809">
      <w:pPr>
        <w:snapToGrid w:val="0"/>
        <w:spacing w:line="30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合同经双方法定代表人或授权代表签字并加盖单位公章后生效。</w:t>
      </w:r>
    </w:p>
    <w:p w14:paraId="49F5CA7F">
      <w:pPr>
        <w:snapToGrid w:val="0"/>
        <w:spacing w:line="300" w:lineRule="exact"/>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合同执行中涉及采购资金和采购内容修改或补充的，须经财政部门备案，经财政部门同意后签书面补充协议。</w:t>
      </w:r>
    </w:p>
    <w:p w14:paraId="48D77B27">
      <w:pPr>
        <w:snapToGrid w:val="0"/>
        <w:spacing w:line="300" w:lineRule="exact"/>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如无特别说明，本合同使用货币币制为人民币，使用单位为中国国家法定计量单位。</w:t>
      </w:r>
    </w:p>
    <w:p w14:paraId="05B4B1D1">
      <w:pPr>
        <w:snapToGrid w:val="0"/>
        <w:spacing w:line="300" w:lineRule="exact"/>
        <w:ind w:firstLine="420" w:firstLineChars="200"/>
        <w:rPr>
          <w:color w:val="auto"/>
          <w:szCs w:val="21"/>
          <w:highlight w:val="none"/>
        </w:rPr>
      </w:pPr>
      <w:r>
        <w:rPr>
          <w:color w:val="auto"/>
          <w:szCs w:val="21"/>
          <w:highlight w:val="none"/>
          <w:lang w:bidi="ar"/>
        </w:rPr>
        <w:t>5.</w:t>
      </w:r>
      <w:r>
        <w:rPr>
          <w:rFonts w:hint="eastAsia" w:cs="宋体"/>
          <w:color w:val="auto"/>
          <w:szCs w:val="21"/>
          <w:highlight w:val="none"/>
          <w:lang w:bidi="ar"/>
        </w:rPr>
        <w:t>本合同中提及的招标与谈判、磋商、询价、单一来源采购为同一含义，提及的投标与响应为同一含义，提及的中标与成交为同一含义。</w:t>
      </w:r>
    </w:p>
    <w:p w14:paraId="579DCC1C">
      <w:pPr>
        <w:snapToGrid w:val="0"/>
        <w:spacing w:line="300" w:lineRule="exact"/>
        <w:ind w:firstLine="420" w:firstLineChars="200"/>
        <w:rPr>
          <w:color w:val="auto"/>
          <w:szCs w:val="21"/>
          <w:highlight w:val="none"/>
        </w:rPr>
      </w:pPr>
      <w:r>
        <w:rPr>
          <w:color w:val="auto"/>
          <w:szCs w:val="21"/>
          <w:highlight w:val="none"/>
          <w:lang w:bidi="ar"/>
        </w:rPr>
        <w:t>6.</w:t>
      </w:r>
      <w:r>
        <w:rPr>
          <w:rFonts w:hint="eastAsia" w:cs="宋体"/>
          <w:color w:val="auto"/>
          <w:szCs w:val="21"/>
          <w:highlight w:val="none"/>
          <w:lang w:bidi="ar"/>
        </w:rPr>
        <w:t>本合同未尽事宜，遵照《民法典》有关条文执行。</w:t>
      </w:r>
    </w:p>
    <w:p w14:paraId="540FB473">
      <w:pPr>
        <w:snapToGrid w:val="0"/>
        <w:spacing w:line="300" w:lineRule="exact"/>
        <w:ind w:firstLine="420" w:firstLineChars="200"/>
        <w:rPr>
          <w:color w:val="auto"/>
          <w:szCs w:val="21"/>
          <w:highlight w:val="none"/>
        </w:rPr>
      </w:pPr>
      <w:r>
        <w:rPr>
          <w:color w:val="auto"/>
          <w:szCs w:val="21"/>
          <w:highlight w:val="none"/>
          <w:lang w:bidi="ar"/>
        </w:rPr>
        <w:t>7.</w:t>
      </w:r>
      <w:r>
        <w:rPr>
          <w:rFonts w:hint="eastAsia" w:cs="宋体"/>
          <w:color w:val="auto"/>
          <w:szCs w:val="21"/>
          <w:highlight w:val="none"/>
          <w:lang w:bidi="ar"/>
        </w:rPr>
        <w:t>本合同（□是</w:t>
      </w:r>
      <w:r>
        <w:rPr>
          <w:color w:val="auto"/>
          <w:szCs w:val="21"/>
          <w:highlight w:val="none"/>
          <w:lang w:bidi="ar"/>
        </w:rPr>
        <w:t xml:space="preserve">  </w:t>
      </w:r>
      <w:r>
        <w:rPr>
          <w:rFonts w:eastAsia="Wingdings 2" w:cs="Wingdings 2"/>
          <w:color w:val="auto"/>
          <w:szCs w:val="21"/>
          <w:highlight w:val="none"/>
          <w:lang w:bidi="ar"/>
        </w:rPr>
        <w:sym w:font="Wingdings 2" w:char="0052"/>
      </w:r>
      <w:r>
        <w:rPr>
          <w:rFonts w:hint="eastAsia" w:cs="宋体"/>
          <w:color w:val="auto"/>
          <w:szCs w:val="21"/>
          <w:highlight w:val="none"/>
          <w:lang w:bidi="ar"/>
        </w:rPr>
        <w:t>否）为中小企业预留合同</w:t>
      </w:r>
    </w:p>
    <w:p w14:paraId="50E099B6">
      <w:pPr>
        <w:snapToGrid w:val="0"/>
        <w:spacing w:line="360" w:lineRule="exact"/>
        <w:ind w:firstLine="422" w:firstLineChars="200"/>
        <w:rPr>
          <w:b/>
          <w:color w:val="auto"/>
          <w:szCs w:val="21"/>
          <w:highlight w:val="none"/>
        </w:rPr>
      </w:pPr>
      <w:r>
        <w:rPr>
          <w:rFonts w:hint="eastAsia" w:cs="宋体"/>
          <w:b/>
          <w:color w:val="auto"/>
          <w:szCs w:val="21"/>
          <w:highlight w:val="none"/>
          <w:lang w:bidi="ar"/>
        </w:rPr>
        <w:t>第十六条　合同的变更、终止与转让</w:t>
      </w:r>
    </w:p>
    <w:p w14:paraId="03E1257D">
      <w:pPr>
        <w:snapToGrid w:val="0"/>
        <w:spacing w:line="360" w:lineRule="exact"/>
        <w:ind w:firstLine="420" w:firstLineChars="200"/>
        <w:rPr>
          <w:color w:val="auto"/>
          <w:szCs w:val="21"/>
          <w:highlight w:val="none"/>
        </w:rPr>
      </w:pPr>
      <w:r>
        <w:rPr>
          <w:color w:val="auto"/>
          <w:szCs w:val="21"/>
          <w:highlight w:val="none"/>
          <w:lang w:bidi="ar"/>
        </w:rPr>
        <w:t>1.</w:t>
      </w:r>
      <w:r>
        <w:rPr>
          <w:rFonts w:hint="eastAsia" w:cs="宋体"/>
          <w:color w:val="auto"/>
          <w:szCs w:val="21"/>
          <w:highlight w:val="none"/>
          <w:lang w:bidi="ar"/>
        </w:rPr>
        <w:t>除《中华人民共和国政府采购法》第五十条规定的情形外，本合同一经签订，甲乙双方不得擅自变更、中止或终止。</w:t>
      </w:r>
      <w:bookmarkStart w:id="123" w:name="_Hlk155172858"/>
      <w:r>
        <w:rPr>
          <w:rFonts w:hint="eastAsia" w:cs="宋体"/>
          <w:color w:val="auto"/>
          <w:szCs w:val="21"/>
          <w:highlight w:val="none"/>
          <w:lang w:bidi="ar"/>
        </w:rPr>
        <w:t>如依照政府采购法确需变更合同内容的，甲方应当自合同变更之日起</w:t>
      </w:r>
      <w:r>
        <w:rPr>
          <w:color w:val="auto"/>
          <w:szCs w:val="21"/>
          <w:highlight w:val="none"/>
          <w:lang w:bidi="ar"/>
        </w:rPr>
        <w:t>2</w:t>
      </w:r>
      <w:r>
        <w:rPr>
          <w:rFonts w:hint="eastAsia" w:cs="宋体"/>
          <w:color w:val="auto"/>
          <w:szCs w:val="21"/>
          <w:highlight w:val="none"/>
          <w:lang w:bidi="ar"/>
        </w:rPr>
        <w:t>个工作日内在省级以上财政部门指定的媒体上发布合同变更公告。</w:t>
      </w:r>
      <w:bookmarkEnd w:id="123"/>
    </w:p>
    <w:p w14:paraId="23722845">
      <w:pPr>
        <w:snapToGrid w:val="0"/>
        <w:spacing w:line="36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未经甲方书面同意，乙方不得擅自转让其应履行的合同义务。</w:t>
      </w:r>
    </w:p>
    <w:p w14:paraId="3836B279">
      <w:pPr>
        <w:snapToGrid w:val="0"/>
        <w:spacing w:line="360" w:lineRule="exact"/>
        <w:ind w:firstLine="422" w:firstLineChars="200"/>
        <w:rPr>
          <w:b/>
          <w:color w:val="auto"/>
          <w:szCs w:val="21"/>
          <w:highlight w:val="none"/>
        </w:rPr>
      </w:pPr>
      <w:r>
        <w:rPr>
          <w:rFonts w:hint="eastAsia" w:cs="宋体"/>
          <w:b/>
          <w:color w:val="auto"/>
          <w:szCs w:val="21"/>
          <w:highlight w:val="none"/>
          <w:lang w:bidi="ar"/>
        </w:rPr>
        <w:t>第十七条　合同文件的组成</w:t>
      </w:r>
    </w:p>
    <w:p w14:paraId="3D9C846B">
      <w:pPr>
        <w:snapToGrid w:val="0"/>
        <w:spacing w:line="360" w:lineRule="exact"/>
        <w:ind w:firstLine="420" w:firstLineChars="200"/>
        <w:rPr>
          <w:color w:val="auto"/>
          <w:szCs w:val="21"/>
          <w:highlight w:val="none"/>
        </w:rPr>
      </w:pPr>
      <w:r>
        <w:rPr>
          <w:color w:val="auto"/>
          <w:szCs w:val="21"/>
          <w:highlight w:val="none"/>
          <w:lang w:bidi="ar"/>
        </w:rPr>
        <w:t>1.</w:t>
      </w:r>
      <w:r>
        <w:rPr>
          <w:rFonts w:hint="eastAsia" w:hAnsi="宋体" w:cs="宋体"/>
          <w:color w:val="auto"/>
          <w:kern w:val="0"/>
          <w:highlight w:val="none"/>
          <w:lang w:bidi="ar"/>
        </w:rPr>
        <w:t>政府采购合同；</w:t>
      </w:r>
    </w:p>
    <w:p w14:paraId="3D1470E1">
      <w:pPr>
        <w:snapToGrid w:val="0"/>
        <w:spacing w:line="360" w:lineRule="exact"/>
        <w:ind w:firstLine="420" w:firstLineChars="200"/>
        <w:rPr>
          <w:color w:val="auto"/>
          <w:szCs w:val="21"/>
          <w:highlight w:val="none"/>
        </w:rPr>
      </w:pPr>
      <w:r>
        <w:rPr>
          <w:color w:val="auto"/>
          <w:szCs w:val="21"/>
          <w:highlight w:val="none"/>
          <w:lang w:bidi="ar"/>
        </w:rPr>
        <w:t>2.</w:t>
      </w:r>
      <w:r>
        <w:rPr>
          <w:rFonts w:hint="eastAsia" w:cs="宋体"/>
          <w:color w:val="auto"/>
          <w:szCs w:val="21"/>
          <w:highlight w:val="none"/>
          <w:lang w:bidi="ar"/>
        </w:rPr>
        <w:t>中标通知书（如有）；</w:t>
      </w:r>
    </w:p>
    <w:p w14:paraId="5C9A614B">
      <w:pPr>
        <w:snapToGrid w:val="0"/>
        <w:spacing w:line="360" w:lineRule="exact"/>
        <w:ind w:firstLine="420" w:firstLineChars="200"/>
        <w:rPr>
          <w:color w:val="auto"/>
          <w:szCs w:val="21"/>
          <w:highlight w:val="none"/>
        </w:rPr>
      </w:pPr>
      <w:r>
        <w:rPr>
          <w:color w:val="auto"/>
          <w:szCs w:val="21"/>
          <w:highlight w:val="none"/>
          <w:lang w:bidi="ar"/>
        </w:rPr>
        <w:t>3.</w:t>
      </w:r>
      <w:r>
        <w:rPr>
          <w:rFonts w:hint="eastAsia" w:cs="宋体"/>
          <w:color w:val="auto"/>
          <w:szCs w:val="21"/>
          <w:highlight w:val="none"/>
          <w:lang w:bidi="ar"/>
        </w:rPr>
        <w:t>乙方的投标文件；</w:t>
      </w:r>
    </w:p>
    <w:p w14:paraId="6C7703FA">
      <w:pPr>
        <w:snapToGrid w:val="0"/>
        <w:spacing w:line="360" w:lineRule="exact"/>
        <w:ind w:firstLine="420" w:firstLineChars="200"/>
        <w:rPr>
          <w:color w:val="auto"/>
          <w:szCs w:val="21"/>
          <w:highlight w:val="none"/>
        </w:rPr>
      </w:pPr>
      <w:r>
        <w:rPr>
          <w:color w:val="auto"/>
          <w:szCs w:val="21"/>
          <w:highlight w:val="none"/>
          <w:lang w:bidi="ar"/>
        </w:rPr>
        <w:t>4.</w:t>
      </w:r>
      <w:r>
        <w:rPr>
          <w:rFonts w:hint="eastAsia" w:cs="宋体"/>
          <w:color w:val="auto"/>
          <w:szCs w:val="21"/>
          <w:highlight w:val="none"/>
          <w:lang w:bidi="ar"/>
        </w:rPr>
        <w:t>采购文件；</w:t>
      </w:r>
    </w:p>
    <w:p w14:paraId="140F41AA">
      <w:pPr>
        <w:snapToGrid w:val="0"/>
        <w:spacing w:line="300" w:lineRule="exact"/>
        <w:ind w:firstLine="420" w:firstLineChars="200"/>
        <w:rPr>
          <w:color w:val="auto"/>
          <w:szCs w:val="21"/>
          <w:highlight w:val="none"/>
          <w:u w:val="single"/>
        </w:rPr>
      </w:pPr>
      <w:r>
        <w:rPr>
          <w:color w:val="auto"/>
          <w:highlight w:val="none"/>
          <w:lang w:bidi="ar"/>
        </w:rPr>
        <w:t>5.</w:t>
      </w:r>
      <w:r>
        <w:rPr>
          <w:rFonts w:hint="eastAsia" w:cs="宋体"/>
          <w:color w:val="auto"/>
          <w:highlight w:val="none"/>
          <w:lang w:bidi="ar"/>
        </w:rPr>
        <w:t>其他合同文件。</w:t>
      </w:r>
    </w:p>
    <w:p w14:paraId="120EAD64">
      <w:pPr>
        <w:snapToGrid w:val="0"/>
        <w:spacing w:line="360" w:lineRule="exact"/>
        <w:ind w:firstLine="422" w:firstLineChars="200"/>
        <w:rPr>
          <w:color w:val="auto"/>
          <w:szCs w:val="21"/>
          <w:highlight w:val="none"/>
        </w:rPr>
      </w:pPr>
      <w:r>
        <w:rPr>
          <w:rFonts w:hint="eastAsia" w:cs="宋体"/>
          <w:b/>
          <w:color w:val="auto"/>
          <w:szCs w:val="21"/>
          <w:highlight w:val="none"/>
          <w:lang w:bidi="ar"/>
        </w:rPr>
        <w:t>第十八条　</w:t>
      </w:r>
      <w:r>
        <w:rPr>
          <w:rFonts w:hint="eastAsia" w:cs="宋体"/>
          <w:color w:val="auto"/>
          <w:szCs w:val="21"/>
          <w:highlight w:val="none"/>
          <w:lang w:bidi="ar"/>
        </w:rPr>
        <w:t>本合同一式五份，具有同等法律效力。甲、乙双方各执两份，</w:t>
      </w:r>
      <w:r>
        <w:rPr>
          <w:rFonts w:hint="eastAsia" w:cs="宋体"/>
          <w:color w:val="auto"/>
          <w:spacing w:val="4"/>
          <w:szCs w:val="21"/>
          <w:highlight w:val="none"/>
          <w:lang w:bidi="ar"/>
        </w:rPr>
        <w:t>采购代理机构</w:t>
      </w:r>
      <w:r>
        <w:rPr>
          <w:rFonts w:hint="eastAsia" w:cs="宋体"/>
          <w:color w:val="auto"/>
          <w:szCs w:val="21"/>
          <w:highlight w:val="none"/>
          <w:lang w:bidi="ar"/>
        </w:rPr>
        <w:t>各一份。</w:t>
      </w:r>
    </w:p>
    <w:p w14:paraId="19D1F03C">
      <w:pPr>
        <w:snapToGrid w:val="0"/>
        <w:spacing w:line="360" w:lineRule="exact"/>
        <w:ind w:firstLine="420" w:firstLineChars="200"/>
        <w:rPr>
          <w:color w:val="auto"/>
          <w:szCs w:val="21"/>
          <w:highlight w:val="none"/>
        </w:rPr>
      </w:pPr>
      <w:r>
        <w:rPr>
          <w:rFonts w:hint="eastAsia" w:cs="宋体"/>
          <w:color w:val="auto"/>
          <w:szCs w:val="21"/>
          <w:highlight w:val="none"/>
          <w:lang w:bidi="ar"/>
        </w:rPr>
        <w:t>本合同经甲乙双方法定代表人或被授权代表签字并加盖单位公章后生效。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5E2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2076926">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甲方（章）</w:t>
            </w:r>
            <w:r>
              <w:rPr>
                <w:rFonts w:hint="default"/>
                <w:color w:val="auto"/>
                <w:szCs w:val="21"/>
                <w:highlight w:val="none"/>
                <w:lang w:bidi="ar"/>
              </w:rPr>
              <w:t xml:space="preserve">           </w:t>
            </w:r>
          </w:p>
          <w:p w14:paraId="089AA29A">
            <w:pPr>
              <w:keepNext w:val="0"/>
              <w:keepLines w:val="0"/>
              <w:suppressLineNumbers w:val="0"/>
              <w:snapToGrid w:val="0"/>
              <w:spacing w:before="0" w:beforeAutospacing="0" w:after="0" w:afterAutospacing="0" w:line="360" w:lineRule="exact"/>
              <w:ind w:left="0" w:right="0" w:firstLine="945" w:firstLineChars="450"/>
              <w:jc w:val="right"/>
              <w:rPr>
                <w:rFonts w:hint="default"/>
                <w:color w:val="auto"/>
                <w:szCs w:val="21"/>
                <w:highlight w:val="none"/>
              </w:rPr>
            </w:pP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76360D68">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乙方（章）</w:t>
            </w:r>
            <w:r>
              <w:rPr>
                <w:rFonts w:hint="default"/>
                <w:color w:val="auto"/>
                <w:szCs w:val="21"/>
                <w:highlight w:val="none"/>
                <w:lang w:bidi="ar"/>
              </w:rPr>
              <w:t xml:space="preserve">              </w:t>
            </w:r>
          </w:p>
          <w:p w14:paraId="13580261">
            <w:pPr>
              <w:keepNext w:val="0"/>
              <w:keepLines w:val="0"/>
              <w:suppressLineNumbers w:val="0"/>
              <w:snapToGrid w:val="0"/>
              <w:spacing w:before="0" w:beforeAutospacing="0" w:after="0" w:afterAutospacing="0" w:line="360" w:lineRule="exact"/>
              <w:ind w:left="0" w:right="0"/>
              <w:jc w:val="right"/>
              <w:rPr>
                <w:rFonts w:hint="default"/>
                <w:color w:val="auto"/>
                <w:szCs w:val="21"/>
                <w:highlight w:val="none"/>
              </w:rPr>
            </w:pPr>
          </w:p>
        </w:tc>
      </w:tr>
      <w:tr w14:paraId="1D0D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6BE561BC">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单位地址：</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9D3CCD8">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单位地址：</w:t>
            </w:r>
          </w:p>
        </w:tc>
      </w:tr>
      <w:tr w14:paraId="79FB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6E7BC955">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法定代表人：</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829D5C6">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法定代表人：</w:t>
            </w:r>
          </w:p>
        </w:tc>
      </w:tr>
      <w:tr w14:paraId="196E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3E8A5EEE">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委托代理人：</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CC641F2">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委托代理人</w:t>
            </w:r>
          </w:p>
        </w:tc>
      </w:tr>
      <w:tr w14:paraId="1F8A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5C24B756">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电话：</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0171C79D">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电话：</w:t>
            </w:r>
          </w:p>
        </w:tc>
      </w:tr>
      <w:tr w14:paraId="4482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565863BA">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开户银行：</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77F28E9B">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开户银行：</w:t>
            </w:r>
          </w:p>
        </w:tc>
      </w:tr>
      <w:tr w14:paraId="6698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3DDB086D">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账号：</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36E9853A">
            <w:pPr>
              <w:keepNext w:val="0"/>
              <w:keepLines w:val="0"/>
              <w:suppressLineNumbers w:val="0"/>
              <w:snapToGrid w:val="0"/>
              <w:spacing w:before="0" w:beforeAutospacing="0" w:after="0" w:afterAutospacing="0" w:line="360" w:lineRule="exact"/>
              <w:ind w:left="0" w:right="0"/>
              <w:rPr>
                <w:rFonts w:hint="default"/>
                <w:color w:val="auto"/>
                <w:szCs w:val="21"/>
                <w:highlight w:val="none"/>
              </w:rPr>
            </w:pPr>
            <w:r>
              <w:rPr>
                <w:rFonts w:hint="eastAsia" w:cs="宋体"/>
                <w:color w:val="auto"/>
                <w:szCs w:val="21"/>
                <w:highlight w:val="none"/>
                <w:lang w:bidi="ar"/>
              </w:rPr>
              <w:t>账号：</w:t>
            </w:r>
          </w:p>
        </w:tc>
      </w:tr>
    </w:tbl>
    <w:p w14:paraId="5C2FAB15">
      <w:pPr>
        <w:pStyle w:val="27"/>
        <w:snapToGrid w:val="0"/>
        <w:rPr>
          <w:rFonts w:ascii="Times New Roman" w:hAnsi="Times New Roman" w:cs="Times New Roman"/>
          <w:color w:val="auto"/>
          <w:highlight w:val="none"/>
        </w:rPr>
      </w:pPr>
    </w:p>
    <w:bookmarkEnd w:id="113"/>
    <w:p w14:paraId="75BA7B6B">
      <w:pPr>
        <w:widowControl/>
        <w:jc w:val="left"/>
        <w:rPr>
          <w:color w:val="auto"/>
          <w:szCs w:val="21"/>
          <w:highlight w:val="none"/>
        </w:rPr>
      </w:pPr>
    </w:p>
    <w:p w14:paraId="175DBE89">
      <w:pPr>
        <w:widowControl/>
        <w:jc w:val="left"/>
        <w:rPr>
          <w:b/>
          <w:bCs/>
          <w:color w:val="auto"/>
          <w:kern w:val="0"/>
          <w:szCs w:val="21"/>
          <w:highlight w:val="none"/>
        </w:rPr>
      </w:pPr>
      <w:r>
        <w:rPr>
          <w:b/>
          <w:bCs/>
          <w:color w:val="auto"/>
          <w:kern w:val="0"/>
          <w:szCs w:val="21"/>
          <w:highlight w:val="none"/>
        </w:rPr>
        <w:br w:type="page"/>
      </w:r>
    </w:p>
    <w:p w14:paraId="3D708D2D">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0D0A75CE">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7D1536CE">
      <w:pPr>
        <w:jc w:val="center"/>
        <w:rPr>
          <w:color w:val="auto"/>
          <w:sz w:val="36"/>
          <w:szCs w:val="36"/>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0902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15E1263">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供</w:t>
            </w:r>
          </w:p>
          <w:p w14:paraId="31A59A9D">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应</w:t>
            </w:r>
          </w:p>
          <w:p w14:paraId="13757594">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商</w:t>
            </w:r>
          </w:p>
          <w:p w14:paraId="16E51098">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申</w:t>
            </w:r>
          </w:p>
          <w:p w14:paraId="4D62AB59">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请</w:t>
            </w:r>
          </w:p>
        </w:tc>
        <w:tc>
          <w:tcPr>
            <w:tcW w:w="8640" w:type="dxa"/>
            <w:vAlign w:val="center"/>
          </w:tcPr>
          <w:p w14:paraId="2BF58809">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项目编号：</w:t>
            </w:r>
          </w:p>
        </w:tc>
      </w:tr>
      <w:tr w14:paraId="7AE5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B680CDA">
            <w:pPr>
              <w:keepNext w:val="0"/>
              <w:keepLines w:val="0"/>
              <w:suppressLineNumbers w:val="0"/>
              <w:spacing w:before="0" w:beforeAutospacing="0" w:after="0" w:afterAutospacing="0"/>
              <w:ind w:left="0" w:right="0"/>
              <w:rPr>
                <w:rFonts w:hint="default"/>
                <w:color w:val="auto"/>
                <w:szCs w:val="21"/>
                <w:highlight w:val="none"/>
              </w:rPr>
            </w:pPr>
          </w:p>
        </w:tc>
        <w:tc>
          <w:tcPr>
            <w:tcW w:w="8640" w:type="dxa"/>
            <w:vAlign w:val="center"/>
          </w:tcPr>
          <w:p w14:paraId="6FEA0144">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项目名称：</w:t>
            </w:r>
          </w:p>
        </w:tc>
      </w:tr>
      <w:tr w14:paraId="0EF7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7FA8B626">
            <w:pPr>
              <w:keepNext w:val="0"/>
              <w:keepLines w:val="0"/>
              <w:suppressLineNumbers w:val="0"/>
              <w:spacing w:before="0" w:beforeAutospacing="0" w:after="0" w:afterAutospacing="0"/>
              <w:ind w:left="0" w:right="0"/>
              <w:rPr>
                <w:rFonts w:hint="default"/>
                <w:color w:val="auto"/>
                <w:szCs w:val="21"/>
                <w:highlight w:val="none"/>
              </w:rPr>
            </w:pPr>
          </w:p>
        </w:tc>
        <w:tc>
          <w:tcPr>
            <w:tcW w:w="8640" w:type="dxa"/>
          </w:tcPr>
          <w:p w14:paraId="71E1E80A">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 xml:space="preserve">  </w:t>
            </w:r>
          </w:p>
          <w:p w14:paraId="604AF27D">
            <w:pPr>
              <w:keepNext w:val="0"/>
              <w:keepLines w:val="0"/>
              <w:suppressLineNumbers w:val="0"/>
              <w:spacing w:before="0" w:beforeAutospacing="0" w:after="0" w:afterAutospacing="0" w:line="400" w:lineRule="exact"/>
              <w:ind w:left="0" w:right="0" w:firstLine="420" w:firstLineChars="200"/>
              <w:rPr>
                <w:rFonts w:hint="default"/>
                <w:color w:val="auto"/>
                <w:szCs w:val="21"/>
                <w:highlight w:val="none"/>
              </w:rPr>
            </w:pPr>
            <w:r>
              <w:rPr>
                <w:rFonts w:hint="default"/>
                <w:color w:val="auto"/>
                <w:szCs w:val="21"/>
                <w:highlight w:val="none"/>
              </w:rPr>
              <w:t>该项目已于</w:t>
            </w:r>
            <w:r>
              <w:rPr>
                <w:rFonts w:hint="default"/>
                <w:color w:val="auto"/>
                <w:szCs w:val="21"/>
                <w:highlight w:val="none"/>
                <w:u w:val="single"/>
              </w:rPr>
              <w:t xml:space="preserve">       </w:t>
            </w:r>
            <w:r>
              <w:rPr>
                <w:rFonts w:hint="default"/>
                <w:color w:val="auto"/>
                <w:szCs w:val="21"/>
                <w:highlight w:val="none"/>
              </w:rPr>
              <w:t>年</w:t>
            </w:r>
            <w:r>
              <w:rPr>
                <w:rFonts w:hint="default"/>
                <w:color w:val="auto"/>
                <w:szCs w:val="21"/>
                <w:highlight w:val="none"/>
                <w:u w:val="single"/>
              </w:rPr>
              <w:t xml:space="preserve">     </w:t>
            </w:r>
            <w:r>
              <w:rPr>
                <w:rFonts w:hint="default"/>
                <w:color w:val="auto"/>
                <w:szCs w:val="21"/>
                <w:highlight w:val="none"/>
              </w:rPr>
              <w:t>月</w:t>
            </w:r>
            <w:r>
              <w:rPr>
                <w:rFonts w:hint="default"/>
                <w:color w:val="auto"/>
                <w:szCs w:val="21"/>
                <w:highlight w:val="none"/>
                <w:u w:val="single"/>
              </w:rPr>
              <w:t xml:space="preserve">     </w:t>
            </w:r>
            <w:r>
              <w:rPr>
                <w:rFonts w:hint="default"/>
                <w:color w:val="auto"/>
                <w:szCs w:val="21"/>
                <w:highlight w:val="none"/>
              </w:rPr>
              <w:t>日验收并交付使用。根据合同规定，该项目的履约保证金期限于</w:t>
            </w:r>
            <w:r>
              <w:rPr>
                <w:rFonts w:hint="default"/>
                <w:color w:val="auto"/>
                <w:szCs w:val="21"/>
                <w:highlight w:val="none"/>
                <w:u w:val="single"/>
              </w:rPr>
              <w:t xml:space="preserve">         </w:t>
            </w:r>
            <w:r>
              <w:rPr>
                <w:rFonts w:hint="default"/>
                <w:color w:val="auto"/>
                <w:szCs w:val="21"/>
                <w:highlight w:val="none"/>
              </w:rPr>
              <w:t>年</w:t>
            </w:r>
            <w:r>
              <w:rPr>
                <w:rFonts w:hint="default"/>
                <w:color w:val="auto"/>
                <w:szCs w:val="21"/>
                <w:highlight w:val="none"/>
                <w:u w:val="single"/>
              </w:rPr>
              <w:t xml:space="preserve">      </w:t>
            </w:r>
            <w:r>
              <w:rPr>
                <w:rFonts w:hint="default"/>
                <w:color w:val="auto"/>
                <w:szCs w:val="21"/>
                <w:highlight w:val="none"/>
              </w:rPr>
              <w:t>月</w:t>
            </w:r>
            <w:r>
              <w:rPr>
                <w:rFonts w:hint="default"/>
                <w:color w:val="auto"/>
                <w:szCs w:val="21"/>
                <w:highlight w:val="none"/>
                <w:u w:val="single"/>
              </w:rPr>
              <w:t xml:space="preserve">       </w:t>
            </w:r>
            <w:r>
              <w:rPr>
                <w:rFonts w:hint="default"/>
                <w:color w:val="auto"/>
                <w:szCs w:val="21"/>
                <w:highlight w:val="none"/>
              </w:rPr>
              <w:t>日已满，请将履约保证金</w:t>
            </w:r>
          </w:p>
          <w:p w14:paraId="1FC8D2B5">
            <w:pPr>
              <w:keepNext w:val="0"/>
              <w:keepLines w:val="0"/>
              <w:suppressLineNumbers w:val="0"/>
              <w:spacing w:before="0" w:beforeAutospacing="0" w:after="0" w:afterAutospacing="0" w:line="400" w:lineRule="exact"/>
              <w:ind w:left="0" w:right="0"/>
              <w:rPr>
                <w:rFonts w:hint="default"/>
                <w:color w:val="auto"/>
                <w:szCs w:val="21"/>
                <w:highlight w:val="none"/>
              </w:rPr>
            </w:pPr>
            <w:r>
              <w:rPr>
                <w:rFonts w:hint="default"/>
                <w:color w:val="auto"/>
                <w:szCs w:val="21"/>
                <w:highlight w:val="none"/>
                <w:u w:val="single"/>
              </w:rPr>
              <w:t xml:space="preserve">                                        </w:t>
            </w:r>
            <w:r>
              <w:rPr>
                <w:rFonts w:hint="default"/>
                <w:color w:val="auto"/>
                <w:szCs w:val="21"/>
                <w:highlight w:val="none"/>
              </w:rPr>
              <w:t>（大写）¥</w:t>
            </w:r>
            <w:r>
              <w:rPr>
                <w:rFonts w:hint="default"/>
                <w:color w:val="auto"/>
                <w:szCs w:val="21"/>
                <w:highlight w:val="none"/>
                <w:u w:val="single"/>
              </w:rPr>
              <w:t xml:space="preserve">          </w:t>
            </w:r>
            <w:r>
              <w:rPr>
                <w:rFonts w:hint="default"/>
                <w:color w:val="auto"/>
                <w:szCs w:val="21"/>
                <w:highlight w:val="none"/>
              </w:rPr>
              <w:t>（小写）退付到达以下账户。</w:t>
            </w:r>
          </w:p>
          <w:p w14:paraId="2D89BC9B">
            <w:pPr>
              <w:keepNext w:val="0"/>
              <w:keepLines w:val="0"/>
              <w:suppressLineNumbers w:val="0"/>
              <w:spacing w:before="0" w:beforeAutospacing="0" w:after="0" w:afterAutospacing="0" w:line="400" w:lineRule="exact"/>
              <w:ind w:left="0" w:right="0" w:firstLine="705"/>
              <w:rPr>
                <w:rFonts w:hint="default"/>
                <w:color w:val="auto"/>
                <w:szCs w:val="21"/>
                <w:highlight w:val="none"/>
              </w:rPr>
            </w:pPr>
            <w:r>
              <w:rPr>
                <w:rFonts w:hint="default"/>
                <w:color w:val="auto"/>
                <w:szCs w:val="21"/>
                <w:highlight w:val="none"/>
              </w:rPr>
              <w:t>单位名称：</w:t>
            </w:r>
          </w:p>
          <w:p w14:paraId="12E84E17">
            <w:pPr>
              <w:keepNext w:val="0"/>
              <w:keepLines w:val="0"/>
              <w:suppressLineNumbers w:val="0"/>
              <w:spacing w:before="0" w:beforeAutospacing="0" w:after="0" w:afterAutospacing="0" w:line="400" w:lineRule="exact"/>
              <w:ind w:left="0" w:right="0" w:firstLine="705"/>
              <w:rPr>
                <w:rFonts w:hint="default"/>
                <w:color w:val="auto"/>
                <w:szCs w:val="21"/>
                <w:highlight w:val="none"/>
              </w:rPr>
            </w:pPr>
            <w:r>
              <w:rPr>
                <w:rFonts w:hint="default"/>
                <w:color w:val="auto"/>
                <w:szCs w:val="21"/>
                <w:highlight w:val="none"/>
              </w:rPr>
              <w:t>开户银行：</w:t>
            </w:r>
          </w:p>
          <w:p w14:paraId="73894A89">
            <w:pPr>
              <w:keepNext w:val="0"/>
              <w:keepLines w:val="0"/>
              <w:suppressLineNumbers w:val="0"/>
              <w:spacing w:before="0" w:beforeAutospacing="0" w:after="0" w:afterAutospacing="0" w:line="400" w:lineRule="exact"/>
              <w:ind w:left="0" w:right="0" w:firstLine="705"/>
              <w:rPr>
                <w:rFonts w:hint="default"/>
                <w:color w:val="auto"/>
                <w:szCs w:val="21"/>
                <w:highlight w:val="none"/>
              </w:rPr>
            </w:pPr>
            <w:r>
              <w:rPr>
                <w:rFonts w:hint="default"/>
                <w:color w:val="auto"/>
                <w:szCs w:val="21"/>
                <w:highlight w:val="none"/>
              </w:rPr>
              <w:t>账   号：</w:t>
            </w:r>
          </w:p>
          <w:p w14:paraId="35E36873">
            <w:pPr>
              <w:keepNext w:val="0"/>
              <w:keepLines w:val="0"/>
              <w:suppressLineNumbers w:val="0"/>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联系人及电话：</w:t>
            </w:r>
          </w:p>
          <w:p w14:paraId="78828756">
            <w:pPr>
              <w:keepNext w:val="0"/>
              <w:keepLines w:val="0"/>
              <w:suppressLineNumbers w:val="0"/>
              <w:spacing w:before="0" w:beforeAutospacing="0" w:after="0" w:afterAutospacing="0" w:line="400" w:lineRule="exact"/>
              <w:ind w:left="0" w:right="0"/>
              <w:rPr>
                <w:rFonts w:hint="default"/>
                <w:color w:val="auto"/>
                <w:szCs w:val="21"/>
                <w:highlight w:val="none"/>
              </w:rPr>
            </w:pPr>
          </w:p>
          <w:p w14:paraId="7CB25D71">
            <w:pPr>
              <w:keepNext w:val="0"/>
              <w:keepLines w:val="0"/>
              <w:suppressLineNumbers w:val="0"/>
              <w:spacing w:before="0" w:beforeAutospacing="0" w:after="0" w:afterAutospacing="0" w:line="520" w:lineRule="exact"/>
              <w:ind w:left="0" w:right="0"/>
              <w:jc w:val="center"/>
              <w:rPr>
                <w:rFonts w:hint="default"/>
                <w:color w:val="auto"/>
                <w:szCs w:val="21"/>
                <w:highlight w:val="none"/>
              </w:rPr>
            </w:pPr>
            <w:r>
              <w:rPr>
                <w:rFonts w:hint="default"/>
                <w:color w:val="auto"/>
                <w:szCs w:val="21"/>
                <w:highlight w:val="none"/>
              </w:rPr>
              <w:t xml:space="preserve">                                     供应商</w:t>
            </w:r>
            <w:r>
              <w:rPr>
                <w:rFonts w:hint="eastAsia"/>
                <w:color w:val="auto"/>
                <w:szCs w:val="21"/>
                <w:highlight w:val="none"/>
              </w:rPr>
              <w:t>公</w:t>
            </w:r>
            <w:r>
              <w:rPr>
                <w:rFonts w:hint="default"/>
                <w:color w:val="auto"/>
                <w:szCs w:val="21"/>
                <w:highlight w:val="none"/>
              </w:rPr>
              <w:t>章：</w:t>
            </w:r>
          </w:p>
          <w:p w14:paraId="65D34F92">
            <w:pPr>
              <w:keepNext w:val="0"/>
              <w:keepLines w:val="0"/>
              <w:suppressLineNumbers w:val="0"/>
              <w:spacing w:before="0" w:beforeAutospacing="0" w:after="0" w:afterAutospacing="0" w:line="520" w:lineRule="exact"/>
              <w:ind w:left="0" w:right="0"/>
              <w:jc w:val="center"/>
              <w:rPr>
                <w:rFonts w:hint="default"/>
                <w:color w:val="auto"/>
                <w:szCs w:val="21"/>
                <w:highlight w:val="none"/>
              </w:rPr>
            </w:pPr>
            <w:r>
              <w:rPr>
                <w:rFonts w:hint="default"/>
                <w:color w:val="auto"/>
                <w:szCs w:val="21"/>
                <w:highlight w:val="none"/>
              </w:rPr>
              <w:t xml:space="preserve">                           年    月     日</w:t>
            </w:r>
          </w:p>
        </w:tc>
      </w:tr>
      <w:tr w14:paraId="2E62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DCD12A">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采</w:t>
            </w:r>
          </w:p>
          <w:p w14:paraId="62EE34A0">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购</w:t>
            </w:r>
          </w:p>
          <w:p w14:paraId="1146130C">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单</w:t>
            </w:r>
          </w:p>
          <w:p w14:paraId="4443B802">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位</w:t>
            </w:r>
          </w:p>
          <w:p w14:paraId="32C1FE8A">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意</w:t>
            </w:r>
          </w:p>
          <w:p w14:paraId="5E8D9CC8">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见</w:t>
            </w:r>
          </w:p>
        </w:tc>
        <w:tc>
          <w:tcPr>
            <w:tcW w:w="8640" w:type="dxa"/>
          </w:tcPr>
          <w:p w14:paraId="198B2442">
            <w:pPr>
              <w:keepNext w:val="0"/>
              <w:keepLines w:val="0"/>
              <w:suppressLineNumbers w:val="0"/>
              <w:spacing w:before="0" w:beforeAutospacing="0" w:after="0" w:afterAutospacing="0"/>
              <w:ind w:left="0" w:right="0"/>
              <w:rPr>
                <w:rFonts w:hint="default"/>
                <w:color w:val="auto"/>
                <w:szCs w:val="21"/>
                <w:highlight w:val="none"/>
              </w:rPr>
            </w:pPr>
          </w:p>
          <w:p w14:paraId="70B82CB4">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退付意见：是否同意退付履约保证金及退付金额：</w:t>
            </w:r>
          </w:p>
          <w:p w14:paraId="627510F2">
            <w:pPr>
              <w:keepNext w:val="0"/>
              <w:keepLines w:val="0"/>
              <w:suppressLineNumbers w:val="0"/>
              <w:spacing w:before="0" w:beforeAutospacing="0" w:after="0" w:afterAutospacing="0"/>
              <w:ind w:left="0" w:right="0"/>
              <w:rPr>
                <w:rFonts w:hint="default"/>
                <w:color w:val="auto"/>
                <w:szCs w:val="21"/>
                <w:highlight w:val="none"/>
              </w:rPr>
            </w:pPr>
          </w:p>
          <w:p w14:paraId="401E9FDE">
            <w:pPr>
              <w:keepNext w:val="0"/>
              <w:keepLines w:val="0"/>
              <w:suppressLineNumbers w:val="0"/>
              <w:spacing w:before="0" w:beforeAutospacing="0" w:after="0" w:afterAutospacing="0"/>
              <w:ind w:left="0" w:right="0"/>
              <w:rPr>
                <w:rFonts w:hint="default"/>
                <w:color w:val="auto"/>
                <w:szCs w:val="21"/>
                <w:highlight w:val="none"/>
              </w:rPr>
            </w:pPr>
          </w:p>
          <w:p w14:paraId="1C8FE484">
            <w:pPr>
              <w:keepNext w:val="0"/>
              <w:keepLines w:val="0"/>
              <w:suppressLineNumbers w:val="0"/>
              <w:spacing w:before="0" w:beforeAutospacing="0" w:after="0" w:afterAutospacing="0" w:line="520" w:lineRule="exact"/>
              <w:ind w:left="0" w:right="0"/>
              <w:rPr>
                <w:rFonts w:hint="default"/>
                <w:color w:val="auto"/>
                <w:szCs w:val="21"/>
                <w:highlight w:val="none"/>
              </w:rPr>
            </w:pPr>
            <w:r>
              <w:rPr>
                <w:rFonts w:hint="default"/>
                <w:color w:val="auto"/>
                <w:szCs w:val="21"/>
                <w:highlight w:val="none"/>
              </w:rPr>
              <w:t>联系人及电话：                                 采购单位</w:t>
            </w:r>
            <w:r>
              <w:rPr>
                <w:rFonts w:hint="eastAsia"/>
                <w:color w:val="auto"/>
                <w:szCs w:val="21"/>
                <w:highlight w:val="none"/>
              </w:rPr>
              <w:t>公</w:t>
            </w:r>
            <w:r>
              <w:rPr>
                <w:rFonts w:hint="default"/>
                <w:color w:val="auto"/>
                <w:szCs w:val="21"/>
                <w:highlight w:val="none"/>
              </w:rPr>
              <w:t>章</w:t>
            </w:r>
          </w:p>
          <w:p w14:paraId="14F2735D">
            <w:pPr>
              <w:keepNext w:val="0"/>
              <w:keepLines w:val="0"/>
              <w:suppressLineNumbers w:val="0"/>
              <w:spacing w:before="0" w:beforeAutospacing="0" w:after="0" w:afterAutospacing="0" w:line="520" w:lineRule="exact"/>
              <w:ind w:left="0" w:right="0"/>
              <w:jc w:val="center"/>
              <w:rPr>
                <w:rFonts w:hint="default"/>
                <w:color w:val="auto"/>
                <w:szCs w:val="21"/>
                <w:highlight w:val="none"/>
              </w:rPr>
            </w:pPr>
            <w:r>
              <w:rPr>
                <w:rFonts w:hint="default"/>
                <w:color w:val="auto"/>
                <w:szCs w:val="21"/>
                <w:highlight w:val="none"/>
              </w:rPr>
              <w:t xml:space="preserve">                                        年    月     日</w:t>
            </w:r>
          </w:p>
        </w:tc>
      </w:tr>
      <w:tr w14:paraId="0AE1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33A2775">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财</w:t>
            </w:r>
          </w:p>
          <w:p w14:paraId="3B0176B0">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务</w:t>
            </w:r>
          </w:p>
          <w:p w14:paraId="09678306">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部</w:t>
            </w:r>
          </w:p>
          <w:p w14:paraId="429916D2">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门</w:t>
            </w:r>
          </w:p>
          <w:p w14:paraId="7196D8B0">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意</w:t>
            </w:r>
          </w:p>
          <w:p w14:paraId="6493F9AD">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见</w:t>
            </w:r>
          </w:p>
        </w:tc>
        <w:tc>
          <w:tcPr>
            <w:tcW w:w="8640" w:type="dxa"/>
          </w:tcPr>
          <w:p w14:paraId="0C472FF8">
            <w:pPr>
              <w:keepNext w:val="0"/>
              <w:keepLines w:val="0"/>
              <w:suppressLineNumbers w:val="0"/>
              <w:spacing w:before="0" w:beforeAutospacing="0" w:after="0" w:afterAutospacing="0" w:line="640" w:lineRule="exact"/>
              <w:ind w:left="0" w:right="0"/>
              <w:rPr>
                <w:rFonts w:hint="default"/>
                <w:color w:val="auto"/>
                <w:szCs w:val="21"/>
                <w:highlight w:val="none"/>
              </w:rPr>
            </w:pPr>
            <w:r>
              <w:rPr>
                <w:rFonts w:hint="default"/>
                <w:color w:val="auto"/>
                <w:szCs w:val="21"/>
                <w:highlight w:val="none"/>
              </w:rPr>
              <w:t>此表于</w:t>
            </w:r>
            <w:r>
              <w:rPr>
                <w:rFonts w:hint="default"/>
                <w:color w:val="auto"/>
                <w:szCs w:val="21"/>
                <w:highlight w:val="none"/>
                <w:u w:val="single"/>
              </w:rPr>
              <w:t xml:space="preserve">     </w:t>
            </w:r>
            <w:r>
              <w:rPr>
                <w:rFonts w:hint="default"/>
                <w:color w:val="auto"/>
                <w:szCs w:val="21"/>
                <w:highlight w:val="none"/>
              </w:rPr>
              <w:t>年</w:t>
            </w:r>
            <w:r>
              <w:rPr>
                <w:rFonts w:hint="default"/>
                <w:color w:val="auto"/>
                <w:szCs w:val="21"/>
                <w:highlight w:val="none"/>
                <w:u w:val="single"/>
              </w:rPr>
              <w:t xml:space="preserve">    </w:t>
            </w:r>
            <w:r>
              <w:rPr>
                <w:rFonts w:hint="default"/>
                <w:color w:val="auto"/>
                <w:szCs w:val="21"/>
                <w:highlight w:val="none"/>
              </w:rPr>
              <w:t xml:space="preserve"> 月 </w:t>
            </w:r>
            <w:r>
              <w:rPr>
                <w:rFonts w:hint="default"/>
                <w:color w:val="auto"/>
                <w:szCs w:val="21"/>
                <w:highlight w:val="none"/>
                <w:u w:val="single"/>
              </w:rPr>
              <w:t xml:space="preserve">   </w:t>
            </w:r>
            <w:r>
              <w:rPr>
                <w:rFonts w:hint="default"/>
                <w:color w:val="auto"/>
                <w:szCs w:val="21"/>
                <w:highlight w:val="none"/>
              </w:rPr>
              <w:t xml:space="preserve"> 日收到。</w:t>
            </w:r>
          </w:p>
          <w:p w14:paraId="1F13310B">
            <w:pPr>
              <w:keepNext w:val="0"/>
              <w:keepLines w:val="0"/>
              <w:suppressLineNumbers w:val="0"/>
              <w:spacing w:before="0" w:beforeAutospacing="0" w:after="0" w:afterAutospacing="0" w:line="640" w:lineRule="exact"/>
              <w:ind w:left="0" w:right="0"/>
              <w:rPr>
                <w:rFonts w:hint="default"/>
                <w:color w:val="auto"/>
                <w:szCs w:val="21"/>
                <w:highlight w:val="none"/>
              </w:rPr>
            </w:pPr>
            <w:r>
              <w:rPr>
                <w:rFonts w:hint="default"/>
                <w:color w:val="auto"/>
                <w:szCs w:val="21"/>
                <w:highlight w:val="none"/>
              </w:rPr>
              <w:t>会计审核：</w:t>
            </w:r>
          </w:p>
          <w:p w14:paraId="1C3A6224">
            <w:pPr>
              <w:keepNext w:val="0"/>
              <w:keepLines w:val="0"/>
              <w:suppressLineNumbers w:val="0"/>
              <w:spacing w:before="0" w:beforeAutospacing="0" w:after="0" w:afterAutospacing="0" w:line="640" w:lineRule="exact"/>
              <w:ind w:left="0" w:right="0"/>
              <w:rPr>
                <w:rFonts w:hint="default"/>
                <w:color w:val="auto"/>
                <w:szCs w:val="21"/>
                <w:highlight w:val="none"/>
              </w:rPr>
            </w:pPr>
            <w:r>
              <w:rPr>
                <w:rFonts w:hint="default"/>
                <w:color w:val="auto"/>
                <w:szCs w:val="21"/>
                <w:highlight w:val="none"/>
              </w:rPr>
              <w:t>财务负责人审核：</w:t>
            </w:r>
          </w:p>
          <w:p w14:paraId="16865503">
            <w:pPr>
              <w:keepNext w:val="0"/>
              <w:keepLines w:val="0"/>
              <w:suppressLineNumbers w:val="0"/>
              <w:spacing w:before="0" w:beforeAutospacing="0" w:after="0" w:afterAutospacing="0" w:line="640" w:lineRule="exact"/>
              <w:ind w:left="0" w:right="0"/>
              <w:rPr>
                <w:rFonts w:hint="default"/>
                <w:color w:val="auto"/>
                <w:szCs w:val="21"/>
                <w:highlight w:val="none"/>
              </w:rPr>
            </w:pPr>
            <w:r>
              <w:rPr>
                <w:rFonts w:hint="default"/>
                <w:color w:val="auto"/>
                <w:szCs w:val="21"/>
                <w:highlight w:val="none"/>
              </w:rPr>
              <w:t>单位负责人签字：</w:t>
            </w:r>
          </w:p>
          <w:p w14:paraId="6247F1B7">
            <w:pPr>
              <w:keepNext w:val="0"/>
              <w:keepLines w:val="0"/>
              <w:suppressLineNumbers w:val="0"/>
              <w:spacing w:before="0" w:beforeAutospacing="0" w:after="0" w:afterAutospacing="0" w:line="640" w:lineRule="exact"/>
              <w:ind w:left="0" w:right="0"/>
              <w:rPr>
                <w:rFonts w:hint="default"/>
                <w:color w:val="auto"/>
                <w:szCs w:val="21"/>
                <w:highlight w:val="none"/>
              </w:rPr>
            </w:pPr>
            <w:r>
              <w:rPr>
                <w:rFonts w:hint="default"/>
                <w:color w:val="auto"/>
                <w:szCs w:val="21"/>
                <w:highlight w:val="none"/>
              </w:rPr>
              <w:t>出纳办理转账日期：</w:t>
            </w:r>
          </w:p>
        </w:tc>
      </w:tr>
    </w:tbl>
    <w:p w14:paraId="14231216">
      <w:pPr>
        <w:pStyle w:val="3"/>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42B77193">
      <w:pPr>
        <w:widowControl/>
        <w:jc w:val="left"/>
        <w:rPr>
          <w:b/>
          <w:bCs/>
          <w:color w:val="auto"/>
          <w:szCs w:val="21"/>
          <w:highlight w:val="none"/>
        </w:rPr>
      </w:pPr>
      <w:r>
        <w:rPr>
          <w:b/>
          <w:bCs/>
          <w:color w:val="auto"/>
          <w:szCs w:val="21"/>
          <w:highlight w:val="none"/>
        </w:rPr>
        <w:br w:type="page"/>
      </w:r>
    </w:p>
    <w:p w14:paraId="04F2830F">
      <w:pPr>
        <w:spacing w:before="120" w:line="320" w:lineRule="atLeast"/>
        <w:jc w:val="left"/>
        <w:outlineLvl w:val="1"/>
        <w:rPr>
          <w:b/>
          <w:bCs/>
          <w:color w:val="auto"/>
          <w:kern w:val="0"/>
          <w:szCs w:val="21"/>
          <w:highlight w:val="none"/>
        </w:rPr>
      </w:pPr>
      <w:r>
        <w:rPr>
          <w:b/>
          <w:bCs/>
          <w:color w:val="auto"/>
          <w:kern w:val="0"/>
          <w:szCs w:val="21"/>
          <w:highlight w:val="none"/>
        </w:rPr>
        <w:t>合同附件2</w:t>
      </w:r>
    </w:p>
    <w:p w14:paraId="5F4BDC87">
      <w:pPr>
        <w:snapToGrid w:val="0"/>
        <w:spacing w:line="360" w:lineRule="exact"/>
        <w:jc w:val="center"/>
        <w:rPr>
          <w:b/>
          <w:bCs/>
          <w:color w:val="auto"/>
          <w:szCs w:val="21"/>
          <w:highlight w:val="none"/>
        </w:rPr>
      </w:pPr>
      <w:bookmarkStart w:id="124" w:name="_Hlk80978015"/>
    </w:p>
    <w:p w14:paraId="38358AA5">
      <w:pPr>
        <w:snapToGrid w:val="0"/>
        <w:spacing w:line="360" w:lineRule="exact"/>
        <w:jc w:val="center"/>
        <w:rPr>
          <w:b/>
          <w:bCs/>
          <w:color w:val="auto"/>
          <w:szCs w:val="21"/>
          <w:highlight w:val="none"/>
        </w:rPr>
      </w:pPr>
      <w:bookmarkStart w:id="125" w:name="_Hlk77607667"/>
      <w:r>
        <w:rPr>
          <w:b/>
          <w:bCs/>
          <w:color w:val="auto"/>
          <w:szCs w:val="21"/>
          <w:highlight w:val="none"/>
        </w:rPr>
        <w:t>履约</w:t>
      </w:r>
      <w:r>
        <w:rPr>
          <w:rFonts w:hint="eastAsia"/>
          <w:b/>
          <w:bCs/>
          <w:color w:val="auto"/>
          <w:szCs w:val="21"/>
          <w:highlight w:val="none"/>
        </w:rPr>
        <w:t>验收方案</w:t>
      </w:r>
    </w:p>
    <w:p w14:paraId="124C0BE0">
      <w:pPr>
        <w:widowControl/>
        <w:jc w:val="left"/>
        <w:rPr>
          <w:color w:val="auto"/>
          <w:szCs w:val="21"/>
          <w:highlight w:val="none"/>
        </w:rPr>
      </w:pPr>
    </w:p>
    <w:p w14:paraId="63F203A5">
      <w:pPr>
        <w:pStyle w:val="27"/>
        <w:snapToGrid w:val="0"/>
        <w:jc w:val="center"/>
        <w:rPr>
          <w:rFonts w:ascii="Times New Roman" w:hAnsi="Times New Roman" w:cs="Times New Roman"/>
          <w:b/>
          <w:color w:val="auto"/>
          <w:sz w:val="24"/>
          <w:szCs w:val="24"/>
          <w:highlight w:val="none"/>
        </w:rPr>
      </w:pPr>
      <w:bookmarkStart w:id="126" w:name="_Hlk77607077"/>
      <w:r>
        <w:rPr>
          <w:rFonts w:hint="eastAsia" w:eastAsia="楷体_GB2312"/>
          <w:b/>
          <w:color w:val="auto"/>
          <w:sz w:val="24"/>
          <w:szCs w:val="24"/>
          <w:highlight w:val="none"/>
        </w:rPr>
        <w:t>【备注：本方案除无法确定的内容外，所有选项必须选择，所有空格必须填写内容】</w:t>
      </w:r>
    </w:p>
    <w:bookmarkEnd w:id="126"/>
    <w:p w14:paraId="5DD78645">
      <w:pPr>
        <w:pStyle w:val="202"/>
        <w:ind w:firstLineChars="0"/>
        <w:rPr>
          <w:rFonts w:ascii="Times New Roman" w:hAnsi="Times New Roman" w:eastAsia="宋体"/>
          <w:color w:val="auto"/>
          <w:kern w:val="2"/>
          <w:sz w:val="21"/>
          <w:szCs w:val="21"/>
          <w:highlight w:val="none"/>
        </w:rPr>
      </w:pPr>
    </w:p>
    <w:p w14:paraId="59B913F0">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10C01C89">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1.1履约验收主体单位</w:t>
      </w:r>
    </w:p>
    <w:p w14:paraId="46741D1B">
      <w:pPr>
        <w:spacing w:before="120" w:line="320" w:lineRule="exact"/>
        <w:ind w:firstLine="420" w:firstLineChars="200"/>
        <w:jc w:val="left"/>
        <w:rPr>
          <w:rFonts w:ascii="宋体" w:hAnsi="宋体" w:cs="宋体"/>
          <w:color w:val="auto"/>
          <w:szCs w:val="21"/>
          <w:highlight w:val="none"/>
          <w:u w:val="single"/>
        </w:rPr>
      </w:pPr>
      <w:r>
        <w:rPr>
          <w:rStyle w:val="58"/>
          <w:rFonts w:hint="eastAsia"/>
          <w:color w:val="auto"/>
          <w:highlight w:val="none"/>
          <w:u w:val="single"/>
        </w:rPr>
        <w:t>采购人</w:t>
      </w:r>
      <w:r>
        <w:rPr>
          <w:rStyle w:val="58"/>
          <w:rFonts w:hint="eastAsia"/>
          <w:color w:val="auto"/>
          <w:highlight w:val="none"/>
        </w:rPr>
        <w:t>（如委托第三方机构签订，应注明收费方式）</w:t>
      </w:r>
    </w:p>
    <w:p w14:paraId="4787B94C">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1.2履约验收参加人员</w:t>
      </w:r>
    </w:p>
    <w:p w14:paraId="53F2A5E1">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255108B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2.履约验收时间</w:t>
      </w:r>
    </w:p>
    <w:p w14:paraId="6106ADEB">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20XX年XX月XX日</w:t>
      </w:r>
    </w:p>
    <w:p w14:paraId="0249B9F5">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3.履约验收地点</w:t>
      </w:r>
    </w:p>
    <w:p w14:paraId="7B2590D2">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南宁市XX区XX路XX号</w:t>
      </w:r>
    </w:p>
    <w:p w14:paraId="57268C92">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4.履约验收方式</w:t>
      </w:r>
    </w:p>
    <w:p w14:paraId="6EC9DB6E">
      <w:pPr>
        <w:spacing w:before="120" w:line="320" w:lineRule="exact"/>
        <w:jc w:val="left"/>
        <w:rPr>
          <w:rFonts w:ascii="宋体" w:hAnsi="宋体" w:cs="宋体"/>
          <w:b/>
          <w:bCs/>
          <w:color w:val="auto"/>
          <w:szCs w:val="21"/>
          <w:highlight w:val="none"/>
        </w:rPr>
      </w:pPr>
      <w:r>
        <w:rPr>
          <w:rFonts w:hint="eastAsia" w:ascii="宋体" w:hAnsi="宋体" w:cs="宋体"/>
          <w:color w:val="auto"/>
          <w:szCs w:val="21"/>
          <w:highlight w:val="none"/>
          <w:u w:val="single"/>
        </w:rPr>
        <w:t>采购人自行验收</w:t>
      </w:r>
    </w:p>
    <w:p w14:paraId="5B43172B">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5.履约验收程序</w:t>
      </w:r>
    </w:p>
    <w:p w14:paraId="0567A2B5">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5.1成立验收小组</w:t>
      </w:r>
    </w:p>
    <w:p w14:paraId="086DD7BA">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25EEE82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53EE5E2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23482523">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3A0DC9DC">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33408B4E">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0F18CF73">
      <w:pPr>
        <w:spacing w:before="120" w:line="320" w:lineRule="exact"/>
        <w:jc w:val="left"/>
        <w:rPr>
          <w:rFonts w:ascii="宋体" w:hAnsi="宋体" w:cs="宋体"/>
          <w:b/>
          <w:bCs/>
          <w:iCs/>
          <w:color w:val="auto"/>
          <w:szCs w:val="21"/>
          <w:highlight w:val="none"/>
        </w:rPr>
      </w:pPr>
      <w:r>
        <w:rPr>
          <w:rFonts w:hint="eastAsia" w:ascii="宋体" w:hAnsi="宋体" w:cs="宋体"/>
          <w:b/>
          <w:bCs/>
          <w:color w:val="auto"/>
          <w:szCs w:val="21"/>
          <w:highlight w:val="none"/>
        </w:rPr>
        <w:t>6.履约验收内容</w:t>
      </w:r>
    </w:p>
    <w:p w14:paraId="566F38BA">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6.1商务验收内容</w:t>
      </w:r>
    </w:p>
    <w:p w14:paraId="4FC1C63A">
      <w:pPr>
        <w:spacing w:before="120" w:line="320" w:lineRule="exact"/>
        <w:ind w:firstLine="420" w:firstLineChars="200"/>
        <w:jc w:val="left"/>
        <w:rPr>
          <w:rFonts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2B02FE5C">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6.2技术验收内容</w:t>
      </w:r>
    </w:p>
    <w:p w14:paraId="3E910DB1">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1F2366C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7.履约验收标准</w:t>
      </w:r>
    </w:p>
    <w:p w14:paraId="331AB2ED">
      <w:pPr>
        <w:pStyle w:val="202"/>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237B5ABB">
      <w:pPr>
        <w:pStyle w:val="202"/>
        <w:spacing w:before="120" w:line="320" w:lineRule="exact"/>
        <w:ind w:firstLine="42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1）中标（成交）供应商应提供完备的技术资料、装箱单和合格证等，并派遣专业人员进行现场安装调试。验收合格条件如下：</w:t>
      </w:r>
    </w:p>
    <w:p w14:paraId="0FBEE1FB">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货物技术参数与投标文件中响应表或证明材料一致，性能或指标达到规定的标准。否则，以实际货物技术参数与投标文件响应表参数或证明材料比较，按如下情况处理：</w:t>
      </w:r>
    </w:p>
    <w:p w14:paraId="76C7337F">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①供应商投标文件响应表或证明材料中满足或优于的技术参数，在验收时实际不满足技术参数要求的，视为供应商违约，采购人有权解除合同拒收货物，并追究供应商责任，同时报财政部门备案。</w:t>
      </w:r>
    </w:p>
    <w:p w14:paraId="18348EB9">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②供应商投标文件响应表或证明材料中优于的技术参数，在验收时实际仅满足并未优于技术参数要求的，视为供应商违约，采购人有权终止合同拒收货物，并追究供应商责任，同时报财政部门备案。</w:t>
      </w:r>
    </w:p>
    <w:p w14:paraId="58123501">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 xml:space="preserve">③供应商投标文件响应表或证明材料中不满足的技术参数，在验收时实际满足技术参数的要求，以满足技术参数的要求验收。 </w:t>
      </w:r>
    </w:p>
    <w:p w14:paraId="3A3A740D">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④供应商投标文件响应表或证明材料中满足的技术参数，在验收时实际优于技术参数的要求，以满足技术参数的要求验收。</w:t>
      </w:r>
    </w:p>
    <w:p w14:paraId="61C3E658">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⑤供应商投标文件响应表或证明材料中优于的技术参数，在验收时实际也优于技术参数的要求，但没有达到响应表或证明材料中优于的程度，由采购人与供应商协商按是否满足要求验收。</w:t>
      </w:r>
    </w:p>
    <w:p w14:paraId="51A45097">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56BF98F9">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（1）技术资料、装箱单、合格证等资料齐全。</w:t>
      </w:r>
    </w:p>
    <w:p w14:paraId="757C75C8">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（2）在测试或试运行期间所出现的问题得到解决，并运行或工作正常。</w:t>
      </w:r>
    </w:p>
    <w:p w14:paraId="64652329">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（3）在规定时间内完成交货及验收，并经采购人确认。</w:t>
      </w:r>
    </w:p>
    <w:p w14:paraId="4B476C2B">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（4）货物在安装调试并试运行符合要求后，才作为最终验收。</w:t>
      </w:r>
    </w:p>
    <w:p w14:paraId="4823325A">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（5）成交供应商提供的货物未达到招标文件规定要求，且对采购人造成损失的，由成交供应商承担一切责任，并赔偿所造成的损失。</w:t>
      </w:r>
    </w:p>
    <w:p w14:paraId="124C07E8">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（6）采购人需要制造商对成交供应商交付的产品（包括质量、参数等）进行确认的，制造商应予以配合并出具书面意见，相关配合事项由成交供应商与制造商协调。</w:t>
      </w:r>
    </w:p>
    <w:p w14:paraId="48909EBB">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（7）产品包装材料归采购人所有。</w:t>
      </w:r>
    </w:p>
    <w:p w14:paraId="2AA5D855">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（8）政府采购合同约定的其他要求及投标文件响应的其他标准。</w:t>
      </w:r>
    </w:p>
    <w:p w14:paraId="18BDCFC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13293FC7">
      <w:pPr>
        <w:spacing w:before="120" w:line="320" w:lineRule="exact"/>
        <w:rPr>
          <w:rFonts w:ascii="仿宋" w:hAnsi="仿宋" w:eastAsia="仿宋"/>
          <w:color w:val="auto"/>
          <w:szCs w:val="21"/>
          <w:highlight w:val="none"/>
          <w:u w:val="single"/>
        </w:rPr>
      </w:pPr>
      <w:r>
        <w:rPr>
          <w:rFonts w:hint="eastAsia" w:ascii="宋体" w:hAnsi="宋体" w:cs="宋体"/>
          <w:color w:val="auto"/>
          <w:szCs w:val="21"/>
          <w:highlight w:val="none"/>
        </w:rPr>
        <w:t>无</w:t>
      </w:r>
      <w:r>
        <w:rPr>
          <w:rFonts w:hint="eastAsia" w:ascii="仿宋" w:hAnsi="仿宋" w:eastAsia="仿宋"/>
          <w:color w:val="auto"/>
          <w:szCs w:val="21"/>
          <w:highlight w:val="none"/>
          <w:u w:val="single"/>
        </w:rPr>
        <w:br w:type="page"/>
      </w:r>
    </w:p>
    <w:bookmarkEnd w:id="124"/>
    <w:bookmarkEnd w:id="125"/>
    <w:p w14:paraId="538C38F6">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006F0EB5">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255390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36C085B8">
            <w:pPr>
              <w:keepNext w:val="0"/>
              <w:keepLines w:val="0"/>
              <w:widowControl/>
              <w:suppressLineNumbers w:val="0"/>
              <w:snapToGrid w:val="0"/>
              <w:spacing w:before="100" w:beforeAutospacing="1" w:after="100" w:afterAutospacing="1" w:line="320" w:lineRule="exact"/>
              <w:ind w:left="-3" w:right="0" w:firstLine="4" w:firstLineChars="2"/>
              <w:jc w:val="center"/>
              <w:rPr>
                <w:rFonts w:hint="default"/>
                <w:color w:val="auto"/>
                <w:kern w:val="0"/>
                <w:szCs w:val="21"/>
                <w:highlight w:val="none"/>
              </w:rPr>
            </w:pPr>
            <w:r>
              <w:rPr>
                <w:rFonts w:hint="default"/>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07E2BA1C">
            <w:pPr>
              <w:keepNext w:val="0"/>
              <w:keepLines w:val="0"/>
              <w:widowControl/>
              <w:suppressLineNumbers w:val="0"/>
              <w:snapToGrid w:val="0"/>
              <w:spacing w:before="100" w:beforeAutospacing="1" w:after="100" w:afterAutospacing="1" w:line="320" w:lineRule="exact"/>
              <w:ind w:left="-3" w:right="0" w:firstLine="420" w:firstLineChars="200"/>
              <w:jc w:val="center"/>
              <w:rPr>
                <w:rFonts w:hint="default"/>
                <w:color w:val="auto"/>
                <w:kern w:val="0"/>
                <w:szCs w:val="21"/>
                <w:highlight w:val="none"/>
              </w:rPr>
            </w:pPr>
            <w:r>
              <w:rPr>
                <w:rFonts w:hint="eastAsia" w:cs="Arial"/>
                <w:color w:val="auto"/>
                <w:szCs w:val="21"/>
                <w:highlight w:val="none"/>
              </w:rPr>
              <w:t>□</w:t>
            </w:r>
            <w:r>
              <w:rPr>
                <w:rFonts w:hint="default"/>
                <w:color w:val="auto"/>
                <w:kern w:val="0"/>
                <w:szCs w:val="21"/>
                <w:highlight w:val="none"/>
              </w:rPr>
              <w:t>自行验收        </w:t>
            </w:r>
            <w:r>
              <w:rPr>
                <w:rFonts w:hint="default" w:cs="Arial"/>
                <w:color w:val="auto"/>
                <w:szCs w:val="21"/>
                <w:highlight w:val="none"/>
              </w:rPr>
              <w:sym w:font="Wingdings 2" w:char="00A3"/>
            </w:r>
            <w:r>
              <w:rPr>
                <w:rFonts w:hint="default"/>
                <w:color w:val="auto"/>
                <w:kern w:val="0"/>
                <w:szCs w:val="21"/>
                <w:highlight w:val="none"/>
              </w:rPr>
              <w:t>委托验收</w:t>
            </w:r>
          </w:p>
        </w:tc>
      </w:tr>
      <w:tr w14:paraId="6CB1D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DE9FDAA">
            <w:pPr>
              <w:keepNext w:val="0"/>
              <w:keepLines w:val="0"/>
              <w:widowControl/>
              <w:suppressLineNumbers w:val="0"/>
              <w:snapToGrid w:val="0"/>
              <w:spacing w:before="100" w:beforeAutospacing="1" w:after="100" w:afterAutospacing="1" w:line="320" w:lineRule="exact"/>
              <w:ind w:left="0" w:right="0" w:firstLine="2" w:firstLineChars="1"/>
              <w:jc w:val="center"/>
              <w:rPr>
                <w:rFonts w:hint="default"/>
                <w:color w:val="auto"/>
                <w:kern w:val="0"/>
                <w:szCs w:val="21"/>
                <w:highlight w:val="none"/>
              </w:rPr>
            </w:pPr>
            <w:r>
              <w:rPr>
                <w:rFonts w:hint="default"/>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18312511">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color w:val="auto"/>
                <w:kern w:val="0"/>
                <w:szCs w:val="21"/>
                <w:highlight w:val="none"/>
              </w:rPr>
            </w:pPr>
            <w:r>
              <w:rPr>
                <w:rFonts w:hint="default"/>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985CEFF">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color w:val="auto"/>
                <w:kern w:val="0"/>
                <w:szCs w:val="21"/>
                <w:highlight w:val="none"/>
              </w:rPr>
            </w:pPr>
            <w:r>
              <w:rPr>
                <w:rFonts w:hint="default"/>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74B92E48">
            <w:pPr>
              <w:keepNext w:val="0"/>
              <w:keepLines w:val="0"/>
              <w:widowControl/>
              <w:suppressLineNumbers w:val="0"/>
              <w:snapToGrid w:val="0"/>
              <w:spacing w:before="100" w:beforeAutospacing="1" w:after="100" w:afterAutospacing="1" w:line="320" w:lineRule="exact"/>
              <w:ind w:left="0" w:right="0"/>
              <w:jc w:val="center"/>
              <w:rPr>
                <w:rFonts w:hint="default"/>
                <w:color w:val="auto"/>
                <w:kern w:val="0"/>
                <w:szCs w:val="21"/>
                <w:highlight w:val="none"/>
              </w:rPr>
            </w:pPr>
            <w:r>
              <w:rPr>
                <w:rFonts w:hint="default"/>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6943F33E">
            <w:pPr>
              <w:keepNext w:val="0"/>
              <w:keepLines w:val="0"/>
              <w:widowControl/>
              <w:suppressLineNumbers w:val="0"/>
              <w:snapToGrid w:val="0"/>
              <w:spacing w:before="100" w:beforeAutospacing="1" w:after="100" w:afterAutospacing="1" w:line="320" w:lineRule="exact"/>
              <w:ind w:left="-3" w:right="0" w:firstLine="2" w:firstLineChars="1"/>
              <w:jc w:val="center"/>
              <w:rPr>
                <w:rFonts w:hint="default"/>
                <w:color w:val="auto"/>
                <w:kern w:val="0"/>
                <w:szCs w:val="21"/>
                <w:highlight w:val="none"/>
              </w:rPr>
            </w:pPr>
            <w:r>
              <w:rPr>
                <w:rFonts w:hint="default"/>
                <w:color w:val="auto"/>
                <w:kern w:val="0"/>
                <w:szCs w:val="21"/>
                <w:highlight w:val="none"/>
              </w:rPr>
              <w:t>金  额</w:t>
            </w:r>
          </w:p>
        </w:tc>
      </w:tr>
      <w:tr w14:paraId="2D10B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09B8704B">
            <w:pPr>
              <w:keepNext w:val="0"/>
              <w:keepLines w:val="0"/>
              <w:widowControl/>
              <w:suppressLineNumbers w:val="0"/>
              <w:snapToGrid w:val="0"/>
              <w:spacing w:before="100" w:beforeAutospacing="1" w:after="100" w:afterAutospacing="1" w:line="320" w:lineRule="exact"/>
              <w:ind w:left="-3" w:right="0" w:firstLine="4" w:firstLineChars="2"/>
              <w:jc w:val="center"/>
              <w:rPr>
                <w:rFonts w:hint="default"/>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0AA6881A">
            <w:pPr>
              <w:keepNext w:val="0"/>
              <w:keepLines w:val="0"/>
              <w:widowControl/>
              <w:suppressLineNumbers w:val="0"/>
              <w:snapToGrid w:val="0"/>
              <w:spacing w:before="100" w:beforeAutospacing="1" w:after="100" w:afterAutospacing="1" w:line="320" w:lineRule="exact"/>
              <w:ind w:left="-3" w:right="0" w:firstLine="420" w:firstLineChars="200"/>
              <w:jc w:val="left"/>
              <w:rPr>
                <w:rFonts w:hint="default"/>
                <w:color w:val="auto"/>
                <w:kern w:val="0"/>
                <w:szCs w:val="21"/>
                <w:highlight w:val="none"/>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64A80F7">
            <w:pPr>
              <w:pStyle w:val="204"/>
              <w:keepNext w:val="0"/>
              <w:keepLines w:val="0"/>
              <w:suppressLineNumbers w:val="0"/>
              <w:spacing w:before="0" w:beforeAutospacing="0" w:after="0" w:afterAutospacing="0"/>
              <w:ind w:left="0" w:right="0" w:firstLine="0" w:firstLineChars="0"/>
              <w:rPr>
                <w:rFonts w:hint="default"/>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70DB37A6">
            <w:pPr>
              <w:keepNext w:val="0"/>
              <w:keepLines w:val="0"/>
              <w:widowControl/>
              <w:suppressLineNumbers w:val="0"/>
              <w:snapToGrid w:val="0"/>
              <w:spacing w:before="100" w:beforeAutospacing="1" w:after="100" w:afterAutospacing="1" w:line="320" w:lineRule="exact"/>
              <w:ind w:left="0" w:right="0"/>
              <w:jc w:val="center"/>
              <w:rPr>
                <w:rFonts w:hint="default"/>
                <w:color w:val="auto"/>
                <w:kern w:val="0"/>
                <w:szCs w:val="21"/>
                <w:highlight w:val="none"/>
              </w:rPr>
            </w:pPr>
            <w:r>
              <w:rPr>
                <w:rFonts w:hint="default"/>
                <w:color w:val="auto"/>
                <w:kern w:val="0"/>
                <w:szCs w:val="21"/>
                <w:highlight w:val="none"/>
              </w:rPr>
              <w:t>1</w:t>
            </w:r>
            <w:r>
              <w:rPr>
                <w:rFonts w:hint="eastAsia"/>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56C56757">
            <w:pPr>
              <w:pStyle w:val="204"/>
              <w:keepNext w:val="0"/>
              <w:keepLines w:val="0"/>
              <w:suppressLineNumbers w:val="0"/>
              <w:spacing w:before="0" w:beforeAutospacing="0" w:after="0" w:afterAutospacing="0"/>
              <w:ind w:left="0" w:right="0" w:firstLine="0" w:firstLineChars="0"/>
              <w:jc w:val="center"/>
              <w:rPr>
                <w:rFonts w:hint="default"/>
                <w:color w:val="auto"/>
                <w:kern w:val="0"/>
                <w:szCs w:val="21"/>
                <w:highlight w:val="none"/>
              </w:rPr>
            </w:pPr>
            <w:r>
              <w:rPr>
                <w:rFonts w:hint="default"/>
                <w:color w:val="auto"/>
                <w:kern w:val="0"/>
                <w:szCs w:val="21"/>
                <w:highlight w:val="none"/>
              </w:rPr>
              <w:t>¥0.00元</w:t>
            </w:r>
          </w:p>
        </w:tc>
      </w:tr>
      <w:tr w14:paraId="7F813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77F9B8A4">
            <w:pPr>
              <w:pStyle w:val="204"/>
              <w:keepNext w:val="0"/>
              <w:keepLines w:val="0"/>
              <w:suppressLineNumbers w:val="0"/>
              <w:spacing w:before="0" w:beforeAutospacing="0" w:after="0" w:afterAutospacing="0"/>
              <w:ind w:left="0" w:right="0" w:firstLine="0" w:firstLineChars="0"/>
              <w:jc w:val="center"/>
              <w:rPr>
                <w:rFonts w:hint="default"/>
                <w:color w:val="auto"/>
                <w:kern w:val="0"/>
                <w:szCs w:val="21"/>
                <w:highlight w:val="none"/>
              </w:rPr>
            </w:pPr>
            <w:r>
              <w:rPr>
                <w:rFonts w:hint="eastAsia"/>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34A34519">
            <w:pPr>
              <w:keepNext w:val="0"/>
              <w:keepLines w:val="0"/>
              <w:widowControl/>
              <w:suppressLineNumbers w:val="0"/>
              <w:snapToGrid w:val="0"/>
              <w:spacing w:before="100" w:beforeAutospacing="1" w:after="100" w:afterAutospacing="1" w:line="320" w:lineRule="exact"/>
              <w:ind w:left="0" w:right="0"/>
              <w:jc w:val="center"/>
              <w:rPr>
                <w:rFonts w:hint="default"/>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F90C0A9">
            <w:pPr>
              <w:pStyle w:val="204"/>
              <w:keepNext w:val="0"/>
              <w:keepLines w:val="0"/>
              <w:suppressLineNumbers w:val="0"/>
              <w:spacing w:before="0" w:beforeAutospacing="0" w:after="0" w:afterAutospacing="0"/>
              <w:ind w:left="0" w:right="0" w:firstLine="0" w:firstLineChars="0"/>
              <w:jc w:val="center"/>
              <w:rPr>
                <w:rFonts w:hint="default"/>
                <w:color w:val="auto"/>
                <w:kern w:val="0"/>
                <w:szCs w:val="21"/>
                <w:highlight w:val="none"/>
              </w:rPr>
            </w:pPr>
            <w:r>
              <w:rPr>
                <w:rFonts w:hint="default"/>
                <w:color w:val="auto"/>
                <w:kern w:val="0"/>
                <w:szCs w:val="21"/>
                <w:highlight w:val="none"/>
              </w:rPr>
              <w:t>¥0.00元</w:t>
            </w:r>
          </w:p>
        </w:tc>
      </w:tr>
      <w:tr w14:paraId="7ACD6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1648FF4B">
            <w:pPr>
              <w:keepNext w:val="0"/>
              <w:keepLines w:val="0"/>
              <w:widowControl/>
              <w:suppressLineNumbers w:val="0"/>
              <w:snapToGrid w:val="0"/>
              <w:spacing w:before="100" w:beforeAutospacing="1" w:after="100" w:afterAutospacing="1" w:line="320" w:lineRule="exact"/>
              <w:ind w:left="0" w:right="0" w:firstLine="2" w:firstLineChars="1"/>
              <w:jc w:val="left"/>
              <w:rPr>
                <w:rFonts w:hint="default"/>
                <w:color w:val="auto"/>
                <w:kern w:val="0"/>
                <w:szCs w:val="21"/>
                <w:highlight w:val="none"/>
              </w:rPr>
            </w:pPr>
            <w:r>
              <w:rPr>
                <w:rFonts w:hint="default"/>
                <w:color w:val="auto"/>
                <w:kern w:val="0"/>
                <w:szCs w:val="21"/>
                <w:highlight w:val="none"/>
              </w:rPr>
              <w:t>合计大写金额：</w:t>
            </w:r>
            <w:r>
              <w:rPr>
                <w:rFonts w:hint="eastAsia"/>
                <w:color w:val="auto"/>
                <w:kern w:val="0"/>
                <w:szCs w:val="21"/>
                <w:highlight w:val="none"/>
              </w:rPr>
              <w:t>人民币元整</w:t>
            </w:r>
          </w:p>
        </w:tc>
      </w:tr>
      <w:tr w14:paraId="32B36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7621ED88">
            <w:pPr>
              <w:keepNext w:val="0"/>
              <w:keepLines w:val="0"/>
              <w:widowControl/>
              <w:suppressLineNumbers w:val="0"/>
              <w:snapToGrid w:val="0"/>
              <w:spacing w:before="100" w:beforeAutospacing="1" w:after="100" w:afterAutospacing="1" w:line="320" w:lineRule="exact"/>
              <w:ind w:left="0" w:right="0" w:firstLine="2" w:firstLineChars="1"/>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09817779">
            <w:pPr>
              <w:keepNext w:val="0"/>
              <w:keepLines w:val="0"/>
              <w:suppressLineNumbers w:val="0"/>
              <w:snapToGrid w:val="0"/>
              <w:spacing w:before="100" w:beforeAutospacing="1" w:after="100" w:afterAutospacing="1"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4342A3E5">
            <w:pPr>
              <w:keepNext w:val="0"/>
              <w:keepLines w:val="0"/>
              <w:suppressLineNumbers w:val="0"/>
              <w:snapToGrid w:val="0"/>
              <w:spacing w:before="100" w:beforeAutospacing="1" w:after="100" w:afterAutospacing="1" w:line="320" w:lineRule="exact"/>
              <w:ind w:left="0" w:right="0" w:firstLine="39" w:firstLineChars="19"/>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04859ECA">
            <w:pPr>
              <w:keepNext w:val="0"/>
              <w:keepLines w:val="0"/>
              <w:suppressLineNumbers w:val="0"/>
              <w:snapToGrid w:val="0"/>
              <w:spacing w:before="100" w:beforeAutospacing="1" w:after="100" w:afterAutospacing="1"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11670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929756">
            <w:pPr>
              <w:keepNext w:val="0"/>
              <w:keepLines w:val="0"/>
              <w:widowControl/>
              <w:suppressLineNumbers w:val="0"/>
              <w:snapToGrid w:val="0"/>
              <w:spacing w:before="100" w:beforeAutospacing="1" w:after="100" w:afterAutospacing="1"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739BA8">
            <w:pPr>
              <w:pStyle w:val="204"/>
              <w:keepNext w:val="0"/>
              <w:keepLines w:val="0"/>
              <w:suppressLineNumbers w:val="0"/>
              <w:spacing w:before="0" w:beforeAutospacing="0" w:after="0" w:afterAutospacing="0"/>
              <w:ind w:left="0" w:right="0" w:firstLine="0" w:firstLineChars="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1.中标人所供货的1套设备的技术性能能满足采购合同约定的技术标准。</w:t>
            </w:r>
          </w:p>
          <w:p w14:paraId="702BC2F4">
            <w:pPr>
              <w:pStyle w:val="204"/>
              <w:keepNext w:val="0"/>
              <w:keepLines w:val="0"/>
              <w:suppressLineNumbers w:val="0"/>
              <w:spacing w:before="0" w:beforeAutospacing="0" w:after="0" w:afterAutospacing="0"/>
              <w:ind w:left="0" w:right="0" w:firstLine="0" w:firstLineChars="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2.中标人对设备的安装调试符合合同约定或服务规范的要求。</w:t>
            </w:r>
          </w:p>
          <w:p w14:paraId="110D8814">
            <w:pPr>
              <w:pStyle w:val="204"/>
              <w:keepNext w:val="0"/>
              <w:keepLines w:val="0"/>
              <w:suppressLineNumbers w:val="0"/>
              <w:spacing w:before="0" w:beforeAutospacing="0" w:after="0" w:afterAutospacing="0"/>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3.中标人提供的质量保证证明材料齐全。</w:t>
            </w:r>
          </w:p>
          <w:p w14:paraId="10F10659">
            <w:pPr>
              <w:pStyle w:val="204"/>
              <w:keepNext w:val="0"/>
              <w:keepLines w:val="0"/>
              <w:suppressLineNumbers w:val="0"/>
              <w:spacing w:before="0" w:beforeAutospacing="0" w:after="0" w:afterAutospacing="0"/>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验收过程材料详见验收书附件《验收书附表——商务（服务）验收》以及《验收书附表——技术验收、安全验收》。</w:t>
            </w:r>
          </w:p>
        </w:tc>
      </w:tr>
      <w:tr w14:paraId="5C2F8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061FB4">
            <w:pPr>
              <w:keepNext w:val="0"/>
              <w:keepLines w:val="0"/>
              <w:widowControl/>
              <w:suppressLineNumbers w:val="0"/>
              <w:spacing w:before="100" w:beforeAutospacing="1" w:after="100" w:afterAutospacing="1"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22F70D6A">
            <w:pPr>
              <w:keepNext w:val="0"/>
              <w:keepLines w:val="0"/>
              <w:widowControl/>
              <w:suppressLineNumbers w:val="0"/>
              <w:spacing w:before="100" w:beforeAutospacing="1" w:after="100" w:afterAutospacing="1"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696F5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2720C3A">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DD2FE53">
            <w:pPr>
              <w:pStyle w:val="204"/>
              <w:keepNext w:val="0"/>
              <w:keepLines w:val="0"/>
              <w:suppressLineNumbers w:val="0"/>
              <w:spacing w:before="0" w:beforeAutospacing="0" w:after="0" w:afterAutospacing="0"/>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7D8151D">
            <w:pPr>
              <w:pStyle w:val="204"/>
              <w:keepNext w:val="0"/>
              <w:keepLines w:val="0"/>
              <w:suppressLineNumbers w:val="0"/>
              <w:spacing w:before="0" w:beforeAutospacing="0" w:after="0" w:afterAutospacing="0"/>
              <w:ind w:left="0" w:right="0" w:firstLine="5880" w:firstLineChars="28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B7E1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EBC099">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验收小组成员签字：</w:t>
            </w:r>
          </w:p>
          <w:p w14:paraId="707EEE75">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p>
        </w:tc>
      </w:tr>
      <w:tr w14:paraId="2A016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1E8DF2">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监督人员或其他相关人员签字：</w:t>
            </w:r>
          </w:p>
          <w:p w14:paraId="7B967D9C">
            <w:pPr>
              <w:keepNext w:val="0"/>
              <w:keepLines w:val="0"/>
              <w:widowControl/>
              <w:suppressLineNumbers w:val="0"/>
              <w:spacing w:before="100" w:beforeAutospacing="1" w:after="100" w:afterAutospacing="1" w:line="320" w:lineRule="exact"/>
              <w:ind w:left="0" w:right="0" w:firstLine="65" w:firstLineChars="31"/>
              <w:jc w:val="left"/>
              <w:rPr>
                <w:rFonts w:hint="default"/>
                <w:color w:val="auto"/>
                <w:kern w:val="0"/>
                <w:szCs w:val="21"/>
                <w:highlight w:val="none"/>
              </w:rPr>
            </w:pPr>
            <w:r>
              <w:rPr>
                <w:rFonts w:hint="default"/>
                <w:color w:val="auto"/>
                <w:kern w:val="0"/>
                <w:szCs w:val="21"/>
                <w:highlight w:val="none"/>
              </w:rPr>
              <w:t>或受邀机构的意见（盖章）：</w:t>
            </w:r>
          </w:p>
        </w:tc>
      </w:tr>
      <w:tr w14:paraId="65BEC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8E8090E">
            <w:pPr>
              <w:keepNext w:val="0"/>
              <w:keepLines w:val="0"/>
              <w:widowControl/>
              <w:suppressLineNumbers w:val="0"/>
              <w:spacing w:before="100" w:beforeAutospacing="1" w:after="100" w:afterAutospacing="1" w:line="320" w:lineRule="exact"/>
              <w:ind w:left="0" w:right="0" w:firstLine="65" w:firstLineChars="31"/>
              <w:jc w:val="left"/>
              <w:rPr>
                <w:rFonts w:hint="default"/>
                <w:color w:val="auto"/>
                <w:kern w:val="0"/>
                <w:szCs w:val="21"/>
                <w:highlight w:val="none"/>
              </w:rPr>
            </w:pPr>
            <w:r>
              <w:rPr>
                <w:rFonts w:hint="default"/>
                <w:color w:val="auto"/>
                <w:kern w:val="0"/>
                <w:szCs w:val="21"/>
                <w:highlight w:val="none"/>
              </w:rPr>
              <w:t>中标或者成交供应商负责人签字或盖章：</w:t>
            </w:r>
          </w:p>
          <w:p w14:paraId="55E081C4">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联系电话：     </w:t>
            </w:r>
            <w:r>
              <w:rPr>
                <w:rFonts w:hint="eastAsia"/>
                <w:color w:val="auto"/>
                <w:kern w:val="0"/>
                <w:szCs w:val="21"/>
                <w:highlight w:val="none"/>
              </w:rPr>
              <w:t xml:space="preserve">   </w:t>
            </w:r>
            <w:r>
              <w:rPr>
                <w:rFonts w:hint="default"/>
                <w:color w:val="auto"/>
                <w:kern w:val="0"/>
                <w:szCs w:val="21"/>
                <w:highlight w:val="none"/>
              </w:rPr>
              <w:t>  年</w:t>
            </w:r>
            <w:r>
              <w:rPr>
                <w:rFonts w:hint="eastAsia"/>
                <w:color w:val="auto"/>
                <w:kern w:val="0"/>
                <w:szCs w:val="21"/>
                <w:highlight w:val="none"/>
              </w:rPr>
              <w:t xml:space="preserve">  </w:t>
            </w:r>
            <w:r>
              <w:rPr>
                <w:rFonts w:hint="default"/>
                <w:color w:val="auto"/>
                <w:kern w:val="0"/>
                <w:szCs w:val="21"/>
                <w:highlight w:val="none"/>
              </w:rPr>
              <w:t> 月 </w:t>
            </w:r>
            <w:r>
              <w:rPr>
                <w:rFonts w:hint="eastAsia"/>
                <w:color w:val="auto"/>
                <w:kern w:val="0"/>
                <w:szCs w:val="21"/>
                <w:highlight w:val="none"/>
              </w:rPr>
              <w:t xml:space="preserve">  </w:t>
            </w:r>
            <w:r>
              <w:rPr>
                <w:rFonts w:hint="default"/>
                <w:color w:val="auto"/>
                <w:kern w:val="0"/>
                <w:szCs w:val="21"/>
                <w:highlight w:val="none"/>
              </w:rPr>
              <w:t>日</w:t>
            </w:r>
          </w:p>
          <w:p w14:paraId="092029AB">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p>
          <w:p w14:paraId="37712F4F">
            <w:pPr>
              <w:keepNext w:val="0"/>
              <w:keepLines w:val="0"/>
              <w:widowControl/>
              <w:suppressLineNumbers w:val="0"/>
              <w:spacing w:before="100" w:beforeAutospacing="1" w:after="100" w:afterAutospacing="1" w:line="320" w:lineRule="exact"/>
              <w:ind w:left="0" w:right="0" w:firstLine="65" w:firstLineChars="31"/>
              <w:jc w:val="left"/>
              <w:rPr>
                <w:rFonts w:hint="default"/>
                <w:color w:val="auto"/>
                <w:kern w:val="0"/>
                <w:szCs w:val="21"/>
                <w:highlight w:val="none"/>
              </w:rPr>
            </w:pPr>
            <w:r>
              <w:rPr>
                <w:rFonts w:hint="eastAsia"/>
                <w:color w:val="auto"/>
                <w:kern w:val="0"/>
                <w:szCs w:val="21"/>
                <w:highlight w:val="none"/>
              </w:rPr>
              <w:t>采购人</w:t>
            </w:r>
            <w:r>
              <w:rPr>
                <w:rFonts w:hint="default"/>
                <w:color w:val="auto"/>
                <w:kern w:val="0"/>
                <w:szCs w:val="21"/>
                <w:highlight w:val="none"/>
              </w:rPr>
              <w:t>签字或盖章：</w:t>
            </w:r>
          </w:p>
          <w:p w14:paraId="38E41AFB">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 xml:space="preserve">联系电话：      </w:t>
            </w:r>
            <w:r>
              <w:rPr>
                <w:rFonts w:hint="eastAsia"/>
                <w:color w:val="auto"/>
                <w:kern w:val="0"/>
                <w:szCs w:val="21"/>
                <w:highlight w:val="none"/>
              </w:rPr>
              <w:t xml:space="preserve"> </w:t>
            </w:r>
            <w:r>
              <w:rPr>
                <w:rFonts w:hint="default"/>
                <w:color w:val="auto"/>
                <w:kern w:val="0"/>
                <w:szCs w:val="21"/>
                <w:highlight w:val="none"/>
              </w:rPr>
              <w:t>  年</w:t>
            </w:r>
            <w:r>
              <w:rPr>
                <w:rFonts w:hint="eastAsia"/>
                <w:color w:val="auto"/>
                <w:kern w:val="0"/>
                <w:szCs w:val="21"/>
                <w:highlight w:val="none"/>
              </w:rPr>
              <w:t xml:space="preserve">  </w:t>
            </w:r>
            <w:r>
              <w:rPr>
                <w:rFonts w:hint="default"/>
                <w:color w:val="auto"/>
                <w:kern w:val="0"/>
                <w:szCs w:val="21"/>
                <w:highlight w:val="none"/>
              </w:rPr>
              <w:t> 月 </w:t>
            </w:r>
            <w:r>
              <w:rPr>
                <w:rFonts w:hint="eastAsia"/>
                <w:color w:val="auto"/>
                <w:kern w:val="0"/>
                <w:szCs w:val="21"/>
                <w:highlight w:val="none"/>
              </w:rPr>
              <w:t xml:space="preserve">  </w:t>
            </w:r>
            <w:r>
              <w:rPr>
                <w:rFonts w:hint="default"/>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11D6AC93">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 受托机构的意见（盖章）：</w:t>
            </w:r>
          </w:p>
          <w:p w14:paraId="68E86235">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r>
              <w:rPr>
                <w:rFonts w:hint="default"/>
                <w:color w:val="auto"/>
                <w:kern w:val="0"/>
                <w:szCs w:val="21"/>
                <w:highlight w:val="none"/>
              </w:rPr>
              <w:t xml:space="preserve">联系电话：                 </w:t>
            </w:r>
            <w:r>
              <w:rPr>
                <w:rFonts w:hint="eastAsia"/>
                <w:color w:val="auto"/>
                <w:kern w:val="0"/>
                <w:szCs w:val="21"/>
                <w:highlight w:val="none"/>
              </w:rPr>
              <w:t xml:space="preserve">    </w:t>
            </w:r>
            <w:r>
              <w:rPr>
                <w:rFonts w:hint="default"/>
                <w:color w:val="auto"/>
                <w:kern w:val="0"/>
                <w:szCs w:val="21"/>
                <w:highlight w:val="none"/>
              </w:rPr>
              <w:t>年   月   日</w:t>
            </w:r>
          </w:p>
          <w:p w14:paraId="2E7B2EB0">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p>
          <w:p w14:paraId="34AB3947">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p>
          <w:p w14:paraId="412BDDA6">
            <w:pPr>
              <w:keepNext w:val="0"/>
              <w:keepLines w:val="0"/>
              <w:widowControl/>
              <w:suppressLineNumbers w:val="0"/>
              <w:spacing w:before="100" w:beforeAutospacing="1" w:after="100" w:afterAutospacing="1" w:line="320" w:lineRule="exact"/>
              <w:ind w:left="0" w:right="0"/>
              <w:jc w:val="left"/>
              <w:rPr>
                <w:rFonts w:hint="default"/>
                <w:color w:val="auto"/>
                <w:kern w:val="0"/>
                <w:szCs w:val="21"/>
                <w:highlight w:val="none"/>
              </w:rPr>
            </w:pPr>
          </w:p>
        </w:tc>
      </w:tr>
    </w:tbl>
    <w:p w14:paraId="751F3B12">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bookmarkEnd w:id="114"/>
    <w:p w14:paraId="4D38D49A">
      <w:pPr>
        <w:widowControl/>
        <w:jc w:val="left"/>
        <w:rPr>
          <w:color w:val="auto"/>
          <w:sz w:val="32"/>
          <w:szCs w:val="32"/>
          <w:highlight w:val="none"/>
        </w:rPr>
      </w:pPr>
    </w:p>
    <w:p w14:paraId="30EE2BAD">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27" w:name="_Toc168670061"/>
      <w:r>
        <w:rPr>
          <w:rFonts w:ascii="Times New Roman" w:hAnsi="Times New Roman" w:cs="Times New Roman"/>
          <w:color w:val="auto"/>
          <w:sz w:val="32"/>
          <w:szCs w:val="32"/>
          <w:highlight w:val="none"/>
        </w:rPr>
        <w:t>第六章  投标文件格式</w:t>
      </w:r>
      <w:bookmarkEnd w:id="127"/>
    </w:p>
    <w:p w14:paraId="1DC07BC8">
      <w:pPr>
        <w:rPr>
          <w:color w:val="auto"/>
          <w:sz w:val="28"/>
          <w:szCs w:val="28"/>
          <w:highlight w:val="none"/>
        </w:rPr>
      </w:pPr>
    </w:p>
    <w:p w14:paraId="4E752B82">
      <w:pPr>
        <w:rPr>
          <w:color w:val="auto"/>
          <w:sz w:val="28"/>
          <w:szCs w:val="28"/>
          <w:highlight w:val="none"/>
        </w:rPr>
      </w:pPr>
    </w:p>
    <w:p w14:paraId="11D67DFE">
      <w:pPr>
        <w:spacing w:line="500" w:lineRule="exact"/>
        <w:ind w:firstLine="560" w:firstLineChars="200"/>
        <w:rPr>
          <w:color w:val="auto"/>
          <w:sz w:val="28"/>
          <w:szCs w:val="28"/>
          <w:highlight w:val="none"/>
        </w:rPr>
      </w:pPr>
      <w:bookmarkStart w:id="128" w:name="_Hlk19114175"/>
      <w:r>
        <w:rPr>
          <w:rFonts w:hint="eastAsia"/>
          <w:color w:val="auto"/>
          <w:sz w:val="28"/>
          <w:szCs w:val="28"/>
          <w:highlight w:val="none"/>
        </w:rPr>
        <w:t>注：有签字、盖章要求的应按要求</w:t>
      </w:r>
      <w:bookmarkStart w:id="129" w:name="_Hlk89032274"/>
      <w:r>
        <w:rPr>
          <w:rFonts w:hint="eastAsia"/>
          <w:color w:val="auto"/>
          <w:sz w:val="28"/>
          <w:szCs w:val="28"/>
          <w:highlight w:val="none"/>
        </w:rPr>
        <w:t>签字（签章）、盖章（签章）</w:t>
      </w:r>
      <w:bookmarkEnd w:id="129"/>
      <w:r>
        <w:rPr>
          <w:rFonts w:hint="eastAsia"/>
          <w:color w:val="auto"/>
          <w:sz w:val="28"/>
          <w:szCs w:val="28"/>
          <w:highlight w:val="none"/>
        </w:rPr>
        <w:t>。</w:t>
      </w:r>
    </w:p>
    <w:bookmarkEnd w:id="128"/>
    <w:p w14:paraId="7CABDD22">
      <w:pPr>
        <w:spacing w:line="500" w:lineRule="exact"/>
        <w:ind w:firstLine="480" w:firstLineChars="200"/>
        <w:rPr>
          <w:rFonts w:ascii="宋体" w:hAnsi="宋体"/>
          <w:color w:val="auto"/>
          <w:sz w:val="24"/>
          <w:highlight w:val="none"/>
        </w:rPr>
      </w:pPr>
    </w:p>
    <w:p w14:paraId="71737A3D">
      <w:pPr>
        <w:spacing w:line="500" w:lineRule="exact"/>
        <w:rPr>
          <w:bCs/>
          <w:color w:val="auto"/>
          <w:sz w:val="24"/>
          <w:highlight w:val="none"/>
        </w:rPr>
      </w:pPr>
      <w:r>
        <w:rPr>
          <w:rFonts w:ascii="宋体" w:hAnsi="宋体"/>
          <w:color w:val="auto"/>
          <w:sz w:val="24"/>
          <w:highlight w:val="none"/>
        </w:rPr>
        <w:br w:type="page"/>
      </w:r>
      <w:bookmarkEnd w:id="0"/>
      <w:bookmarkEnd w:id="1"/>
    </w:p>
    <w:p w14:paraId="557730E6">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30" w:name="_Hlk92966991"/>
      <w:r>
        <w:rPr>
          <w:rFonts w:hint="eastAsia"/>
          <w:bCs/>
          <w:color w:val="auto"/>
          <w:sz w:val="24"/>
          <w:highlight w:val="none"/>
        </w:rPr>
        <w:t>（资格证明文件）</w:t>
      </w:r>
      <w:bookmarkEnd w:id="130"/>
      <w:r>
        <w:rPr>
          <w:bCs/>
          <w:color w:val="auto"/>
          <w:sz w:val="24"/>
          <w:highlight w:val="none"/>
        </w:rPr>
        <w:t xml:space="preserve">： </w:t>
      </w:r>
    </w:p>
    <w:p w14:paraId="5D3C7EA6">
      <w:pPr>
        <w:snapToGrid w:val="0"/>
        <w:spacing w:before="120" w:beforeLines="50" w:after="50" w:line="360" w:lineRule="exact"/>
        <w:rPr>
          <w:color w:val="auto"/>
          <w:sz w:val="24"/>
          <w:highlight w:val="none"/>
        </w:rPr>
      </w:pPr>
    </w:p>
    <w:p w14:paraId="252EA0B8">
      <w:pPr>
        <w:snapToGrid w:val="0"/>
        <w:spacing w:before="120" w:beforeLines="50" w:after="50" w:line="360" w:lineRule="exact"/>
        <w:jc w:val="center"/>
        <w:rPr>
          <w:bCs/>
          <w:color w:val="auto"/>
          <w:sz w:val="24"/>
          <w:highlight w:val="none"/>
        </w:rPr>
      </w:pPr>
    </w:p>
    <w:p w14:paraId="1EA54AD2">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50656339">
      <w:pPr>
        <w:snapToGrid w:val="0"/>
        <w:spacing w:before="120" w:beforeLines="50" w:after="50" w:line="360" w:lineRule="exact"/>
        <w:jc w:val="center"/>
        <w:rPr>
          <w:b/>
          <w:bCs/>
          <w:color w:val="auto"/>
          <w:sz w:val="44"/>
          <w:szCs w:val="44"/>
          <w:highlight w:val="none"/>
        </w:rPr>
      </w:pPr>
    </w:p>
    <w:p w14:paraId="4DB75CA4">
      <w:pPr>
        <w:snapToGrid w:val="0"/>
        <w:spacing w:before="120" w:beforeLines="50" w:after="50" w:line="360" w:lineRule="exact"/>
        <w:jc w:val="center"/>
        <w:rPr>
          <w:b/>
          <w:bCs/>
          <w:color w:val="auto"/>
          <w:sz w:val="44"/>
          <w:szCs w:val="44"/>
          <w:highlight w:val="none"/>
        </w:rPr>
      </w:pPr>
    </w:p>
    <w:p w14:paraId="7C8091D8">
      <w:pPr>
        <w:snapToGrid w:val="0"/>
        <w:spacing w:before="120" w:beforeLines="50" w:after="50" w:line="360" w:lineRule="exact"/>
        <w:jc w:val="center"/>
        <w:rPr>
          <w:b/>
          <w:bCs/>
          <w:color w:val="auto"/>
          <w:sz w:val="44"/>
          <w:szCs w:val="44"/>
          <w:highlight w:val="none"/>
        </w:rPr>
      </w:pPr>
      <w:bookmarkStart w:id="131" w:name="_Hlk92967018"/>
      <w:r>
        <w:rPr>
          <w:b/>
          <w:bCs/>
          <w:color w:val="auto"/>
          <w:sz w:val="44"/>
          <w:szCs w:val="44"/>
          <w:highlight w:val="none"/>
        </w:rPr>
        <w:t>资格</w:t>
      </w:r>
      <w:r>
        <w:rPr>
          <w:rFonts w:hint="eastAsia"/>
          <w:b/>
          <w:bCs/>
          <w:color w:val="auto"/>
          <w:sz w:val="44"/>
          <w:szCs w:val="44"/>
          <w:highlight w:val="none"/>
        </w:rPr>
        <w:t>证明文件</w:t>
      </w:r>
    </w:p>
    <w:bookmarkEnd w:id="131"/>
    <w:p w14:paraId="5412E1E4">
      <w:pPr>
        <w:snapToGrid w:val="0"/>
        <w:spacing w:before="120" w:beforeLines="50" w:after="50" w:line="360" w:lineRule="exact"/>
        <w:rPr>
          <w:bCs/>
          <w:color w:val="auto"/>
          <w:sz w:val="24"/>
          <w:highlight w:val="none"/>
        </w:rPr>
      </w:pPr>
    </w:p>
    <w:p w14:paraId="04EC914B">
      <w:pPr>
        <w:snapToGrid w:val="0"/>
        <w:spacing w:before="120" w:beforeLines="50" w:after="50" w:line="360" w:lineRule="exact"/>
        <w:rPr>
          <w:bCs/>
          <w:color w:val="auto"/>
          <w:sz w:val="24"/>
          <w:highlight w:val="none"/>
        </w:rPr>
      </w:pPr>
    </w:p>
    <w:p w14:paraId="0643FD08">
      <w:pPr>
        <w:snapToGrid w:val="0"/>
        <w:spacing w:before="120" w:beforeLines="50" w:after="50" w:line="360" w:lineRule="exact"/>
        <w:rPr>
          <w:bCs/>
          <w:color w:val="auto"/>
          <w:sz w:val="24"/>
          <w:highlight w:val="none"/>
        </w:rPr>
      </w:pPr>
    </w:p>
    <w:p w14:paraId="3F806CD1">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3316606C">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552A0669">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E6F06AA">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C1FF400">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B6954EA">
      <w:pPr>
        <w:pStyle w:val="9"/>
        <w:snapToGrid w:val="0"/>
        <w:spacing w:before="50" w:after="50" w:line="360" w:lineRule="exact"/>
        <w:ind w:firstLine="960" w:firstLineChars="400"/>
        <w:rPr>
          <w:bCs/>
          <w:color w:val="auto"/>
          <w:sz w:val="24"/>
          <w:szCs w:val="24"/>
          <w:highlight w:val="none"/>
        </w:rPr>
      </w:pPr>
    </w:p>
    <w:p w14:paraId="109613FC">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12E40B63">
      <w:pPr>
        <w:rPr>
          <w:color w:val="auto"/>
          <w:highlight w:val="none"/>
        </w:rPr>
      </w:pPr>
      <w:bookmarkStart w:id="132" w:name="_Toc254970557"/>
      <w:bookmarkStart w:id="133" w:name="_Toc254970698"/>
      <w:r>
        <w:rPr>
          <w:color w:val="auto"/>
          <w:highlight w:val="none"/>
        </w:rPr>
        <w:br w:type="page"/>
      </w:r>
      <w:bookmarkEnd w:id="132"/>
      <w:bookmarkEnd w:id="133"/>
      <w:r>
        <w:rPr>
          <w:b/>
          <w:bCs/>
          <w:color w:val="auto"/>
          <w:highlight w:val="none"/>
        </w:rPr>
        <w:t xml:space="preserve"> </w:t>
      </w:r>
    </w:p>
    <w:p w14:paraId="7FA5FA7F">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4C22B302">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6721F8D2">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64188187">
      <w:pPr>
        <w:snapToGrid w:val="0"/>
        <w:spacing w:before="50" w:after="50" w:line="440" w:lineRule="exact"/>
        <w:jc w:val="left"/>
        <w:rPr>
          <w:b/>
          <w:color w:val="auto"/>
          <w:szCs w:val="21"/>
          <w:highlight w:val="none"/>
        </w:rPr>
      </w:pPr>
      <w:bookmarkStart w:id="134" w:name="_Hlk19114217"/>
      <w:r>
        <w:rPr>
          <w:b/>
          <w:color w:val="auto"/>
          <w:szCs w:val="21"/>
          <w:highlight w:val="none"/>
        </w:rPr>
        <w:t>1．投标声明书格式：</w:t>
      </w:r>
    </w:p>
    <w:p w14:paraId="76EEFA84">
      <w:pPr>
        <w:snapToGrid w:val="0"/>
        <w:spacing w:before="120" w:beforeLines="50" w:after="50" w:line="360" w:lineRule="exact"/>
        <w:jc w:val="center"/>
        <w:rPr>
          <w:b/>
          <w:color w:val="auto"/>
          <w:szCs w:val="21"/>
          <w:highlight w:val="none"/>
        </w:rPr>
      </w:pPr>
    </w:p>
    <w:p w14:paraId="25201681">
      <w:pPr>
        <w:snapToGrid w:val="0"/>
        <w:spacing w:before="120" w:beforeLines="50" w:after="50" w:line="360" w:lineRule="exact"/>
        <w:jc w:val="center"/>
        <w:rPr>
          <w:b/>
          <w:color w:val="auto"/>
          <w:szCs w:val="21"/>
          <w:highlight w:val="none"/>
        </w:rPr>
      </w:pPr>
      <w:r>
        <w:rPr>
          <w:b/>
          <w:color w:val="auto"/>
          <w:szCs w:val="21"/>
          <w:highlight w:val="none"/>
        </w:rPr>
        <w:t>投标声明书</w:t>
      </w:r>
    </w:p>
    <w:p w14:paraId="48E46789">
      <w:pPr>
        <w:snapToGrid w:val="0"/>
        <w:spacing w:before="120" w:beforeLines="50" w:after="50" w:line="360" w:lineRule="exact"/>
        <w:jc w:val="center"/>
        <w:rPr>
          <w:color w:val="auto"/>
          <w:szCs w:val="21"/>
          <w:highlight w:val="none"/>
        </w:rPr>
      </w:pPr>
    </w:p>
    <w:p w14:paraId="5C7AA563">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750358D">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953E0C5">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60CE3912">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4833476E">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2BB36C5F">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3947029F">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5AF92D46">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6EBACDFA">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596CA3E7">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034F2EF0">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34"/>
    <w:p w14:paraId="2858FBA0">
      <w:pPr>
        <w:snapToGrid w:val="0"/>
        <w:spacing w:before="120" w:beforeLines="50" w:line="360" w:lineRule="exact"/>
        <w:ind w:firstLine="420" w:firstLineChars="200"/>
        <w:rPr>
          <w:color w:val="auto"/>
          <w:szCs w:val="21"/>
          <w:highlight w:val="none"/>
        </w:rPr>
      </w:pPr>
    </w:p>
    <w:p w14:paraId="1BC029B6">
      <w:pPr>
        <w:snapToGrid w:val="0"/>
        <w:spacing w:before="120" w:beforeLines="50" w:line="360" w:lineRule="exact"/>
        <w:rPr>
          <w:color w:val="auto"/>
          <w:szCs w:val="21"/>
          <w:highlight w:val="none"/>
          <w:u w:val="single"/>
        </w:rPr>
      </w:pPr>
    </w:p>
    <w:p w14:paraId="69141F3C">
      <w:pPr>
        <w:snapToGrid w:val="0"/>
        <w:spacing w:before="120" w:beforeLines="50" w:after="50" w:line="360" w:lineRule="exact"/>
        <w:ind w:firstLine="3570" w:firstLineChars="1700"/>
        <w:rPr>
          <w:color w:val="auto"/>
          <w:szCs w:val="21"/>
          <w:highlight w:val="none"/>
        </w:rPr>
      </w:pPr>
      <w:bookmarkStart w:id="135" w:name="_Hlk88990289"/>
      <w:r>
        <w:rPr>
          <w:color w:val="auto"/>
          <w:szCs w:val="21"/>
          <w:highlight w:val="none"/>
        </w:rPr>
        <w:t>供应商</w:t>
      </w:r>
      <w:r>
        <w:rPr>
          <w:rFonts w:hint="eastAsia"/>
          <w:color w:val="auto"/>
          <w:szCs w:val="21"/>
          <w:highlight w:val="none"/>
        </w:rPr>
        <w:t>名称（电子签章）</w:t>
      </w:r>
      <w:bookmarkEnd w:id="135"/>
      <w:r>
        <w:rPr>
          <w:color w:val="auto"/>
          <w:szCs w:val="21"/>
          <w:highlight w:val="none"/>
        </w:rPr>
        <w:t>：</w:t>
      </w:r>
      <w:r>
        <w:rPr>
          <w:color w:val="auto"/>
          <w:szCs w:val="21"/>
          <w:highlight w:val="none"/>
          <w:u w:val="single"/>
        </w:rPr>
        <w:t xml:space="preserve">                </w:t>
      </w:r>
    </w:p>
    <w:p w14:paraId="56A2AB65">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3606A17B">
      <w:pPr>
        <w:snapToGrid w:val="0"/>
        <w:spacing w:before="120" w:beforeLines="50" w:after="50" w:line="360" w:lineRule="exact"/>
        <w:rPr>
          <w:color w:val="auto"/>
          <w:szCs w:val="21"/>
          <w:highlight w:val="none"/>
        </w:rPr>
      </w:pPr>
      <w:r>
        <w:rPr>
          <w:color w:val="auto"/>
          <w:szCs w:val="21"/>
          <w:highlight w:val="none"/>
        </w:rPr>
        <w:br w:type="page"/>
      </w:r>
      <w:r>
        <w:rPr>
          <w:color w:val="auto"/>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p>
    <w:p w14:paraId="3E02564B">
      <w:pPr>
        <w:snapToGrid w:val="0"/>
        <w:spacing w:before="120" w:beforeLines="50" w:after="50" w:line="440" w:lineRule="exact"/>
        <w:rPr>
          <w:color w:val="auto"/>
          <w:sz w:val="18"/>
          <w:szCs w:val="18"/>
          <w:highlight w:val="none"/>
        </w:rPr>
      </w:pPr>
    </w:p>
    <w:p w14:paraId="5B01F7C5">
      <w:pPr>
        <w:snapToGrid w:val="0"/>
        <w:spacing w:before="120" w:beforeLines="50" w:after="50" w:line="440" w:lineRule="exact"/>
        <w:rPr>
          <w:b/>
          <w:color w:val="auto"/>
          <w:szCs w:val="21"/>
          <w:highlight w:val="none"/>
        </w:rPr>
      </w:pPr>
      <w:bookmarkStart w:id="136" w:name="_Hlk19114230"/>
      <w:r>
        <w:rPr>
          <w:color w:val="auto"/>
          <w:szCs w:val="21"/>
          <w:highlight w:val="none"/>
        </w:rPr>
        <w:t>3．财务状况报告（表）复印件或银行出具的资信证明复印件。</w:t>
      </w:r>
      <w:r>
        <w:rPr>
          <w:color w:val="auto"/>
          <w:highlight w:val="none"/>
        </w:rPr>
        <w:t>对于从取得营业执照时间起到开标时间为止不足1年的供应商，只需提交</w:t>
      </w:r>
      <w:r>
        <w:rPr>
          <w:color w:val="auto"/>
          <w:szCs w:val="21"/>
          <w:highlight w:val="none"/>
        </w:rPr>
        <w:t>开标时间前一个月的财务状况报告（表）复印件。（按“评审方法及标准”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491B141">
      <w:pPr>
        <w:snapToGrid w:val="0"/>
        <w:spacing w:before="120" w:beforeLines="50" w:after="50" w:line="440" w:lineRule="exact"/>
        <w:rPr>
          <w:color w:val="auto"/>
          <w:szCs w:val="21"/>
          <w:highlight w:val="none"/>
        </w:rPr>
      </w:pPr>
    </w:p>
    <w:bookmarkEnd w:id="136"/>
    <w:p w14:paraId="3E602BA8">
      <w:pPr>
        <w:snapToGrid w:val="0"/>
        <w:spacing w:before="120" w:beforeLines="50" w:after="50" w:line="440" w:lineRule="exact"/>
        <w:rPr>
          <w:color w:val="auto"/>
          <w:highlight w:val="none"/>
        </w:rPr>
      </w:pPr>
      <w:r>
        <w:rPr>
          <w:color w:val="auto"/>
          <w:highlight w:val="none"/>
        </w:rPr>
        <w:t>4．依法缴纳税费证明和社会保险缴纳证明材料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43CBCD2C">
      <w:pPr>
        <w:snapToGrid w:val="0"/>
        <w:spacing w:before="120" w:beforeLines="50" w:after="50" w:line="440" w:lineRule="exact"/>
        <w:rPr>
          <w:color w:val="auto"/>
          <w:szCs w:val="21"/>
          <w:highlight w:val="none"/>
        </w:rPr>
      </w:pPr>
    </w:p>
    <w:p w14:paraId="1A2FCF1F">
      <w:pPr>
        <w:snapToGrid w:val="0"/>
        <w:spacing w:before="50" w:after="120" w:afterLines="50" w:line="440" w:lineRule="exact"/>
        <w:jc w:val="left"/>
        <w:rPr>
          <w:color w:val="auto"/>
          <w:highlight w:val="none"/>
        </w:rPr>
      </w:pPr>
    </w:p>
    <w:p w14:paraId="7CBC01AD">
      <w:pPr>
        <w:snapToGrid w:val="0"/>
        <w:spacing w:before="50" w:after="120" w:afterLines="50" w:line="440" w:lineRule="exact"/>
        <w:jc w:val="left"/>
        <w:rPr>
          <w:b/>
          <w:color w:val="auto"/>
          <w:szCs w:val="21"/>
          <w:highlight w:val="none"/>
        </w:rPr>
      </w:pPr>
      <w:bookmarkStart w:id="137" w:name="_Hlk19114283"/>
      <w:r>
        <w:rPr>
          <w:color w:val="auto"/>
          <w:szCs w:val="21"/>
          <w:highlight w:val="none"/>
        </w:rPr>
        <w:t>5．具备法律、行政法规规定的其他要求的证明材料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38" w:name="_Hlk48144477"/>
      <w:r>
        <w:rPr>
          <w:rFonts w:hint="eastAsia"/>
          <w:b/>
          <w:color w:val="auto"/>
          <w:szCs w:val="21"/>
          <w:highlight w:val="none"/>
        </w:rPr>
        <w:t>（如招标文件有要求时提供）</w:t>
      </w:r>
      <w:bookmarkEnd w:id="138"/>
    </w:p>
    <w:p w14:paraId="17DFB97A">
      <w:pPr>
        <w:widowControl/>
        <w:jc w:val="left"/>
        <w:rPr>
          <w:b/>
          <w:color w:val="auto"/>
          <w:szCs w:val="21"/>
          <w:highlight w:val="none"/>
        </w:rPr>
      </w:pPr>
    </w:p>
    <w:p w14:paraId="7B80E970">
      <w:pPr>
        <w:widowControl/>
        <w:jc w:val="left"/>
        <w:rPr>
          <w:b/>
          <w:color w:val="auto"/>
          <w:szCs w:val="21"/>
          <w:highlight w:val="none"/>
        </w:rPr>
      </w:pPr>
    </w:p>
    <w:p w14:paraId="4DD572CD">
      <w:pPr>
        <w:snapToGrid w:val="0"/>
        <w:spacing w:before="50" w:after="120" w:afterLines="50" w:line="440" w:lineRule="exact"/>
        <w:jc w:val="left"/>
        <w:rPr>
          <w:b/>
          <w:color w:val="auto"/>
          <w:szCs w:val="21"/>
          <w:highlight w:val="none"/>
        </w:rPr>
      </w:pPr>
      <w:bookmarkStart w:id="139" w:name="_Hlk132792497"/>
      <w:r>
        <w:rPr>
          <w:color w:val="auto"/>
          <w:szCs w:val="21"/>
          <w:highlight w:val="none"/>
        </w:rPr>
        <w:t>6．</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39"/>
    <w:p w14:paraId="0D539FF9">
      <w:pPr>
        <w:rPr>
          <w:color w:val="auto"/>
          <w:szCs w:val="21"/>
          <w:highlight w:val="none"/>
        </w:rPr>
      </w:pPr>
      <w:r>
        <w:rPr>
          <w:b/>
          <w:color w:val="auto"/>
          <w:szCs w:val="21"/>
          <w:highlight w:val="none"/>
        </w:rPr>
        <w:br w:type="page"/>
      </w:r>
      <w:bookmarkStart w:id="140" w:name="_Hlk132801855"/>
      <w:bookmarkStart w:id="141" w:name="_Hlk132792727"/>
      <w:r>
        <w:rPr>
          <w:color w:val="auto"/>
          <w:szCs w:val="21"/>
          <w:highlight w:val="none"/>
        </w:rPr>
        <w:t>6.1</w:t>
      </w:r>
      <w:r>
        <w:rPr>
          <w:rFonts w:hint="eastAsia"/>
          <w:bCs/>
          <w:color w:val="auto"/>
          <w:szCs w:val="21"/>
          <w:highlight w:val="none"/>
        </w:rPr>
        <w:t>中小企业声明函</w:t>
      </w:r>
      <w:r>
        <w:rPr>
          <w:color w:val="auto"/>
          <w:szCs w:val="21"/>
          <w:highlight w:val="none"/>
        </w:rPr>
        <w:t>。</w:t>
      </w:r>
    </w:p>
    <w:p w14:paraId="627E3711">
      <w:pPr>
        <w:spacing w:line="360" w:lineRule="auto"/>
        <w:ind w:firstLine="3584" w:firstLineChars="1700"/>
        <w:rPr>
          <w:b/>
          <w:color w:val="auto"/>
          <w:szCs w:val="21"/>
          <w:highlight w:val="none"/>
        </w:rPr>
      </w:pPr>
    </w:p>
    <w:p w14:paraId="145464F8">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758EFEBB">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391C34F4">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8D716CB">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149B08A">
      <w:pPr>
        <w:spacing w:line="360" w:lineRule="auto"/>
        <w:ind w:firstLine="420"/>
        <w:rPr>
          <w:bCs/>
          <w:color w:val="auto"/>
          <w:szCs w:val="21"/>
          <w:highlight w:val="none"/>
        </w:rPr>
      </w:pPr>
      <w:r>
        <w:rPr>
          <w:rFonts w:hint="eastAsia"/>
          <w:bCs/>
          <w:color w:val="auto"/>
          <w:szCs w:val="21"/>
          <w:highlight w:val="none"/>
        </w:rPr>
        <w:t>……</w:t>
      </w:r>
    </w:p>
    <w:p w14:paraId="685783D7">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A89E56D">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9C48D2C">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336DBD88">
      <w:pPr>
        <w:spacing w:line="360" w:lineRule="auto"/>
        <w:jc w:val="left"/>
        <w:rPr>
          <w:bCs/>
          <w:color w:val="auto"/>
          <w:szCs w:val="21"/>
          <w:highlight w:val="none"/>
        </w:rPr>
      </w:pPr>
      <w:r>
        <w:rPr>
          <w:rFonts w:hint="eastAsia"/>
          <w:bCs/>
          <w:color w:val="auto"/>
          <w:szCs w:val="21"/>
          <w:highlight w:val="none"/>
        </w:rPr>
        <w:t>注：</w:t>
      </w:r>
    </w:p>
    <w:p w14:paraId="775A78BC">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31C7847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50479C3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CA83FC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w:t>
      </w:r>
      <w:r>
        <w:rPr>
          <w:rFonts w:hint="eastAsia"/>
          <w:bCs/>
          <w:color w:val="auto"/>
          <w:szCs w:val="21"/>
          <w:highlight w:val="none"/>
          <w:lang w:eastAsia="zh-CN"/>
        </w:rPr>
        <w:t>软件和信息技术服务业</w:t>
      </w:r>
      <w:r>
        <w:rPr>
          <w:rFonts w:hint="eastAsia"/>
          <w:bCs/>
          <w:color w:val="auto"/>
          <w:szCs w:val="21"/>
          <w:highlight w:val="none"/>
        </w:rPr>
        <w:t>和信息化部对“从业人员”定义的答复，《民法典》、《公司法》等法律规定，分公司不具有法人资格，其民事责任由总公司承担。企业划型时，应将分公司的从业人员、营业收入、资产总额等指标数据纳入合并计算。</w:t>
      </w:r>
    </w:p>
    <w:p w14:paraId="0D618654">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250896A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27BABB9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05A687B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9A779CA">
      <w:pPr>
        <w:snapToGrid w:val="0"/>
        <w:spacing w:before="50" w:after="120" w:afterLines="50"/>
        <w:jc w:val="left"/>
        <w:rPr>
          <w:color w:val="auto"/>
          <w:szCs w:val="21"/>
          <w:highlight w:val="none"/>
        </w:rPr>
      </w:pPr>
      <w:r>
        <w:rPr>
          <w:color w:val="auto"/>
          <w:szCs w:val="21"/>
          <w:highlight w:val="none"/>
        </w:rPr>
        <w:t>6.2监狱企业须提供最新一期《XX省监狱企业产品目录》或其他监狱企业证明材料。（非监狱企业无需提供）</w:t>
      </w:r>
    </w:p>
    <w:p w14:paraId="34EF82EF">
      <w:pPr>
        <w:snapToGrid w:val="0"/>
        <w:spacing w:before="50" w:after="120" w:afterLines="50"/>
        <w:jc w:val="left"/>
        <w:rPr>
          <w:color w:val="auto"/>
          <w:szCs w:val="21"/>
          <w:highlight w:val="none"/>
        </w:rPr>
      </w:pPr>
    </w:p>
    <w:p w14:paraId="10C8AAF4">
      <w:pPr>
        <w:widowControl/>
        <w:jc w:val="left"/>
        <w:rPr>
          <w:color w:val="auto"/>
          <w:szCs w:val="21"/>
          <w:highlight w:val="none"/>
        </w:rPr>
      </w:pPr>
      <w:r>
        <w:rPr>
          <w:color w:val="auto"/>
          <w:szCs w:val="21"/>
          <w:highlight w:val="none"/>
        </w:rPr>
        <w:t>6.3</w:t>
      </w:r>
      <w:r>
        <w:rPr>
          <w:color w:val="auto"/>
          <w:highlight w:val="none"/>
        </w:rPr>
        <w:t>残疾人福利性单位须提供《残疾人福利性单位声明函》，格式如下。</w:t>
      </w:r>
      <w:r>
        <w:rPr>
          <w:color w:val="auto"/>
          <w:szCs w:val="21"/>
          <w:highlight w:val="none"/>
        </w:rPr>
        <w:t>（非残疾人福利性单位无需提供）</w:t>
      </w:r>
    </w:p>
    <w:p w14:paraId="39CC774D">
      <w:pPr>
        <w:spacing w:line="360" w:lineRule="auto"/>
        <w:jc w:val="center"/>
        <w:rPr>
          <w:b/>
          <w:color w:val="auto"/>
          <w:szCs w:val="21"/>
          <w:highlight w:val="none"/>
        </w:rPr>
      </w:pPr>
      <w:r>
        <w:rPr>
          <w:b/>
          <w:color w:val="auto"/>
          <w:szCs w:val="21"/>
          <w:highlight w:val="none"/>
        </w:rPr>
        <w:t>残疾人福利性单位声明函</w:t>
      </w:r>
    </w:p>
    <w:p w14:paraId="2AFCBCAF">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D2F218F">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D44511B">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70770C5D">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22DFA7F6">
      <w:pPr>
        <w:spacing w:line="360" w:lineRule="auto"/>
        <w:rPr>
          <w:color w:val="auto"/>
          <w:szCs w:val="21"/>
          <w:highlight w:val="none"/>
        </w:rPr>
      </w:pPr>
    </w:p>
    <w:p w14:paraId="521301F3">
      <w:pPr>
        <w:widowControl/>
        <w:jc w:val="left"/>
        <w:rPr>
          <w:color w:val="auto"/>
          <w:szCs w:val="21"/>
          <w:highlight w:val="none"/>
        </w:rPr>
      </w:pPr>
      <w:r>
        <w:rPr>
          <w:color w:val="auto"/>
          <w:szCs w:val="21"/>
          <w:highlight w:val="none"/>
        </w:rPr>
        <w:br w:type="page"/>
      </w:r>
    </w:p>
    <w:bookmarkEnd w:id="140"/>
    <w:p w14:paraId="42C001DA">
      <w:pPr>
        <w:widowControl/>
        <w:jc w:val="left"/>
        <w:rPr>
          <w:b/>
          <w:color w:val="auto"/>
          <w:szCs w:val="21"/>
          <w:highlight w:val="none"/>
        </w:rPr>
      </w:pPr>
    </w:p>
    <w:bookmarkEnd w:id="141"/>
    <w:p w14:paraId="6ADCCB9E">
      <w:pPr>
        <w:snapToGrid w:val="0"/>
        <w:spacing w:before="50" w:after="120" w:afterLines="50" w:line="440" w:lineRule="exact"/>
        <w:jc w:val="left"/>
        <w:rPr>
          <w:b/>
          <w:color w:val="auto"/>
          <w:szCs w:val="21"/>
          <w:highlight w:val="none"/>
        </w:rPr>
      </w:pPr>
      <w:r>
        <w:rPr>
          <w:color w:val="auto"/>
          <w:szCs w:val="21"/>
          <w:highlight w:val="none"/>
        </w:rPr>
        <w:t>7．</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4C61381B">
      <w:pPr>
        <w:snapToGrid w:val="0"/>
        <w:spacing w:before="50" w:after="120" w:afterLines="50" w:line="440" w:lineRule="exact"/>
        <w:jc w:val="left"/>
        <w:rPr>
          <w:color w:val="auto"/>
          <w:highlight w:val="none"/>
        </w:rPr>
      </w:pPr>
    </w:p>
    <w:p w14:paraId="379470C8">
      <w:pPr>
        <w:widowControl/>
        <w:jc w:val="left"/>
        <w:rPr>
          <w:color w:val="auto"/>
          <w:highlight w:val="none"/>
        </w:rPr>
      </w:pPr>
      <w:r>
        <w:rPr>
          <w:color w:val="auto"/>
          <w:highlight w:val="none"/>
        </w:rPr>
        <w:br w:type="page"/>
      </w:r>
    </w:p>
    <w:p w14:paraId="1A22F8D6">
      <w:pPr>
        <w:snapToGrid w:val="0"/>
        <w:spacing w:before="50" w:after="120" w:afterLines="50" w:line="360" w:lineRule="auto"/>
        <w:jc w:val="left"/>
        <w:rPr>
          <w:color w:val="auto"/>
          <w:szCs w:val="21"/>
          <w:highlight w:val="none"/>
        </w:rPr>
      </w:pPr>
      <w:bookmarkStart w:id="142" w:name="_Hlk93048232"/>
      <w:r>
        <w:rPr>
          <w:color w:val="auto"/>
          <w:szCs w:val="21"/>
          <w:highlight w:val="none"/>
        </w:rPr>
        <w:t>7.1</w:t>
      </w:r>
      <w:r>
        <w:rPr>
          <w:rFonts w:hint="eastAsia"/>
          <w:color w:val="auto"/>
          <w:szCs w:val="21"/>
          <w:highlight w:val="none"/>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37EACC7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EB63F3">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37D873">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EFB30E">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9DBBBD">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C37AC2">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备注</w:t>
            </w:r>
          </w:p>
        </w:tc>
      </w:tr>
      <w:tr w14:paraId="1A81D7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599C33">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18F02">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757788">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3DA7A7">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8AE857">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4D99629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87F18A">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981344">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161F2B">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9602DE">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FDDB8E">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491ECAFB">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B7FBB2">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ADC1AC">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D7ED4B">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C525AA">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0ECCFB">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54264CB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FB382D">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500BB0">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7137BA">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9AC760">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3CAC7">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bl>
    <w:p w14:paraId="22D62FEB">
      <w:pPr>
        <w:snapToGrid w:val="0"/>
        <w:spacing w:line="360" w:lineRule="auto"/>
        <w:jc w:val="left"/>
        <w:rPr>
          <w:color w:val="auto"/>
          <w:szCs w:val="21"/>
          <w:highlight w:val="none"/>
        </w:rPr>
      </w:pPr>
      <w:r>
        <w:rPr>
          <w:rFonts w:hint="eastAsia"/>
          <w:color w:val="auto"/>
          <w:szCs w:val="21"/>
          <w:highlight w:val="none"/>
        </w:rPr>
        <w:t>注：</w:t>
      </w:r>
    </w:p>
    <w:p w14:paraId="1631687C">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1A6021">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255D17B2">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77FC548F">
      <w:pPr>
        <w:snapToGrid w:val="0"/>
        <w:spacing w:line="360" w:lineRule="auto"/>
        <w:jc w:val="left"/>
        <w:rPr>
          <w:color w:val="auto"/>
          <w:szCs w:val="21"/>
          <w:highlight w:val="none"/>
        </w:rPr>
      </w:pPr>
    </w:p>
    <w:p w14:paraId="713F4FB6">
      <w:pPr>
        <w:snapToGrid w:val="0"/>
        <w:spacing w:line="360" w:lineRule="auto"/>
        <w:jc w:val="left"/>
        <w:rPr>
          <w:color w:val="auto"/>
          <w:szCs w:val="21"/>
          <w:highlight w:val="none"/>
        </w:rPr>
      </w:pPr>
    </w:p>
    <w:p w14:paraId="1349D51E">
      <w:pPr>
        <w:snapToGrid w:val="0"/>
        <w:spacing w:line="360" w:lineRule="auto"/>
        <w:jc w:val="left"/>
        <w:rPr>
          <w:color w:val="auto"/>
          <w:szCs w:val="21"/>
          <w:highlight w:val="none"/>
        </w:rPr>
      </w:pPr>
    </w:p>
    <w:p w14:paraId="20407CE9">
      <w:pPr>
        <w:snapToGrid w:val="0"/>
        <w:spacing w:line="360" w:lineRule="auto"/>
        <w:jc w:val="left"/>
        <w:rPr>
          <w:color w:val="auto"/>
          <w:szCs w:val="21"/>
          <w:highlight w:val="none"/>
        </w:rPr>
      </w:pPr>
    </w:p>
    <w:p w14:paraId="68764088">
      <w:pPr>
        <w:snapToGrid w:val="0"/>
        <w:spacing w:line="360" w:lineRule="auto"/>
        <w:jc w:val="left"/>
        <w:rPr>
          <w:color w:val="auto"/>
          <w:szCs w:val="21"/>
          <w:highlight w:val="none"/>
        </w:rPr>
      </w:pPr>
    </w:p>
    <w:p w14:paraId="0782A2F2">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F94DCB9">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18C74229">
      <w:pPr>
        <w:snapToGrid w:val="0"/>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7FC21BCB">
      <w:pPr>
        <w:snapToGrid w:val="0"/>
        <w:spacing w:line="360" w:lineRule="auto"/>
        <w:jc w:val="left"/>
        <w:rPr>
          <w:color w:val="auto"/>
          <w:szCs w:val="21"/>
          <w:highlight w:val="none"/>
        </w:rPr>
      </w:pPr>
      <w:r>
        <w:rPr>
          <w:color w:val="auto"/>
          <w:szCs w:val="21"/>
          <w:highlight w:val="none"/>
        </w:rPr>
        <w:t>7.2</w:t>
      </w:r>
      <w:r>
        <w:rPr>
          <w:rFonts w:hint="eastAsia"/>
          <w:color w:val="auto"/>
          <w:szCs w:val="21"/>
          <w:highlight w:val="none"/>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425A5C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AB7580">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969B6">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E2BB78">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5D1A3A">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备注</w:t>
            </w:r>
          </w:p>
        </w:tc>
      </w:tr>
      <w:tr w14:paraId="72CC9C1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431E86">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DCE1CC">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5F3694">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19B8C9">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20C18C7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EACC21">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F5F239">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F5F3E3">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ECEB02">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4711A4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748DD8">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default"/>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046EB">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2B30A">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DE03D6">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r w14:paraId="77751AA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860EDF">
            <w:pPr>
              <w:keepNext w:val="0"/>
              <w:keepLines w:val="0"/>
              <w:suppressLineNumbers w:val="0"/>
              <w:spacing w:before="0" w:beforeAutospacing="0" w:after="0" w:afterAutospacing="0" w:line="360" w:lineRule="auto"/>
              <w:ind w:left="0" w:right="0"/>
              <w:jc w:val="center"/>
              <w:rPr>
                <w:rFonts w:hint="default"/>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75415">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EDA8C8">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E15350">
            <w:pPr>
              <w:keepNext w:val="0"/>
              <w:keepLines w:val="0"/>
              <w:suppressLineNumbers w:val="0"/>
              <w:spacing w:before="0" w:beforeAutospacing="0" w:after="0" w:afterAutospacing="0" w:line="360" w:lineRule="auto"/>
              <w:ind w:left="0" w:right="0"/>
              <w:jc w:val="center"/>
              <w:rPr>
                <w:rFonts w:hint="default"/>
                <w:color w:val="auto"/>
                <w:szCs w:val="21"/>
                <w:highlight w:val="none"/>
              </w:rPr>
            </w:pPr>
          </w:p>
        </w:tc>
      </w:tr>
    </w:tbl>
    <w:p w14:paraId="5917C21C">
      <w:pPr>
        <w:snapToGrid w:val="0"/>
        <w:spacing w:line="360" w:lineRule="auto"/>
        <w:jc w:val="left"/>
        <w:rPr>
          <w:color w:val="auto"/>
          <w:szCs w:val="21"/>
          <w:highlight w:val="none"/>
        </w:rPr>
      </w:pPr>
      <w:r>
        <w:rPr>
          <w:rFonts w:hint="eastAsia"/>
          <w:color w:val="auto"/>
          <w:szCs w:val="21"/>
          <w:highlight w:val="none"/>
        </w:rPr>
        <w:t>注：</w:t>
      </w:r>
    </w:p>
    <w:p w14:paraId="39D56A20">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3752E465">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34CDB210">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5F89D236">
      <w:pPr>
        <w:snapToGrid w:val="0"/>
        <w:spacing w:line="360" w:lineRule="auto"/>
        <w:jc w:val="left"/>
        <w:rPr>
          <w:color w:val="auto"/>
          <w:szCs w:val="21"/>
          <w:highlight w:val="none"/>
        </w:rPr>
      </w:pPr>
    </w:p>
    <w:p w14:paraId="12C3F8EC">
      <w:pPr>
        <w:snapToGrid w:val="0"/>
        <w:spacing w:line="360" w:lineRule="auto"/>
        <w:jc w:val="left"/>
        <w:rPr>
          <w:color w:val="auto"/>
          <w:szCs w:val="21"/>
          <w:highlight w:val="none"/>
        </w:rPr>
      </w:pPr>
    </w:p>
    <w:p w14:paraId="4230DF26">
      <w:pPr>
        <w:snapToGrid w:val="0"/>
        <w:spacing w:line="360" w:lineRule="auto"/>
        <w:jc w:val="left"/>
        <w:rPr>
          <w:color w:val="auto"/>
          <w:szCs w:val="21"/>
          <w:highlight w:val="none"/>
        </w:rPr>
      </w:pPr>
    </w:p>
    <w:p w14:paraId="13D66F83">
      <w:pPr>
        <w:snapToGrid w:val="0"/>
        <w:spacing w:line="360" w:lineRule="auto"/>
        <w:jc w:val="left"/>
        <w:rPr>
          <w:color w:val="auto"/>
          <w:szCs w:val="21"/>
          <w:highlight w:val="none"/>
        </w:rPr>
      </w:pPr>
    </w:p>
    <w:p w14:paraId="0CE901A7">
      <w:pPr>
        <w:snapToGrid w:val="0"/>
        <w:spacing w:line="360" w:lineRule="auto"/>
        <w:jc w:val="left"/>
        <w:rPr>
          <w:color w:val="auto"/>
          <w:szCs w:val="21"/>
          <w:highlight w:val="none"/>
        </w:rPr>
      </w:pPr>
    </w:p>
    <w:p w14:paraId="68F076D4">
      <w:pPr>
        <w:snapToGrid w:val="0"/>
        <w:spacing w:line="360" w:lineRule="auto"/>
        <w:jc w:val="left"/>
        <w:rPr>
          <w:color w:val="auto"/>
          <w:szCs w:val="21"/>
          <w:highlight w:val="none"/>
        </w:rPr>
      </w:pPr>
    </w:p>
    <w:p w14:paraId="40DF5FBF">
      <w:pPr>
        <w:snapToGrid w:val="0"/>
        <w:spacing w:line="360" w:lineRule="auto"/>
        <w:jc w:val="left"/>
        <w:rPr>
          <w:color w:val="auto"/>
          <w:szCs w:val="21"/>
          <w:highlight w:val="none"/>
        </w:rPr>
      </w:pPr>
    </w:p>
    <w:p w14:paraId="26D76932">
      <w:pPr>
        <w:snapToGrid w:val="0"/>
        <w:spacing w:line="360" w:lineRule="auto"/>
        <w:jc w:val="left"/>
        <w:rPr>
          <w:color w:val="auto"/>
          <w:szCs w:val="21"/>
          <w:highlight w:val="none"/>
        </w:rPr>
      </w:pPr>
    </w:p>
    <w:p w14:paraId="3A4B3A94">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CA7BF17">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21503B06">
      <w:pPr>
        <w:snapToGrid w:val="0"/>
        <w:spacing w:before="50" w:after="120" w:afterLines="50" w:line="440" w:lineRule="exact"/>
        <w:jc w:val="left"/>
        <w:rPr>
          <w:color w:val="auto"/>
          <w:szCs w:val="21"/>
          <w:highlight w:val="none"/>
        </w:rPr>
      </w:pPr>
    </w:p>
    <w:bookmarkEnd w:id="142"/>
    <w:p w14:paraId="1CD931F5">
      <w:pPr>
        <w:widowControl/>
        <w:jc w:val="left"/>
        <w:rPr>
          <w:color w:val="auto"/>
          <w:szCs w:val="21"/>
          <w:highlight w:val="none"/>
        </w:rPr>
      </w:pPr>
      <w:r>
        <w:rPr>
          <w:color w:val="auto"/>
          <w:szCs w:val="21"/>
          <w:highlight w:val="none"/>
        </w:rPr>
        <w:br w:type="page"/>
      </w:r>
      <w:bookmarkStart w:id="143" w:name="_Hlk60652166"/>
      <w:bookmarkStart w:id="144" w:name="_Hlk65854557"/>
      <w:bookmarkStart w:id="145" w:name="_Hlk65852070"/>
    </w:p>
    <w:bookmarkEnd w:id="143"/>
    <w:bookmarkEnd w:id="144"/>
    <w:p w14:paraId="2E83C9E0">
      <w:pPr>
        <w:snapToGrid w:val="0"/>
        <w:spacing w:before="50" w:after="120" w:afterLines="50" w:line="400" w:lineRule="exact"/>
        <w:jc w:val="left"/>
        <w:rPr>
          <w:color w:val="auto"/>
          <w:szCs w:val="21"/>
          <w:highlight w:val="none"/>
        </w:rPr>
      </w:pPr>
      <w:r>
        <w:rPr>
          <w:color w:val="auto"/>
          <w:szCs w:val="21"/>
          <w:highlight w:val="none"/>
        </w:rPr>
        <w:t>8．投标保证金缴纳证明</w:t>
      </w:r>
      <w:r>
        <w:rPr>
          <w:rFonts w:hint="eastAsia"/>
          <w:color w:val="auto"/>
          <w:szCs w:val="21"/>
          <w:highlight w:val="none"/>
        </w:rPr>
        <w:t>。</w:t>
      </w:r>
      <w:r>
        <w:rPr>
          <w:rFonts w:hint="eastAsia"/>
          <w:b/>
          <w:color w:val="auto"/>
          <w:szCs w:val="21"/>
          <w:highlight w:val="none"/>
        </w:rPr>
        <w:t>（如招标文件有要求时提供）</w:t>
      </w:r>
    </w:p>
    <w:p w14:paraId="4F297E69">
      <w:pPr>
        <w:snapToGrid w:val="0"/>
        <w:spacing w:before="50" w:after="120" w:afterLines="50" w:line="400" w:lineRule="exact"/>
        <w:jc w:val="left"/>
        <w:rPr>
          <w:color w:val="auto"/>
          <w:szCs w:val="21"/>
          <w:highlight w:val="none"/>
        </w:rPr>
      </w:pPr>
      <w:r>
        <w:rPr>
          <w:color w:val="auto"/>
          <w:szCs w:val="21"/>
          <w:highlight w:val="none"/>
          <w:lang w:bidi="ar"/>
        </w:rPr>
        <w:t>8</w:t>
      </w:r>
      <w:r>
        <w:rPr>
          <w:rFonts w:hint="eastAsia" w:cs="宋体"/>
          <w:color w:val="auto"/>
          <w:szCs w:val="21"/>
          <w:highlight w:val="none"/>
          <w:lang w:bidi="ar"/>
        </w:rPr>
        <w:t>．投标保证金缴纳证明。</w:t>
      </w:r>
      <w:r>
        <w:rPr>
          <w:rFonts w:hint="eastAsia" w:cs="宋体"/>
          <w:b/>
          <w:color w:val="auto"/>
          <w:szCs w:val="21"/>
          <w:highlight w:val="none"/>
          <w:lang w:bidi="ar"/>
        </w:rPr>
        <w:t>（如招标文件有要求时提供）</w:t>
      </w:r>
    </w:p>
    <w:p w14:paraId="1239DD1A">
      <w:pPr>
        <w:snapToGrid w:val="0"/>
        <w:spacing w:before="50" w:after="120" w:afterLines="50" w:line="440" w:lineRule="exact"/>
        <w:jc w:val="left"/>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）以转账、电汇形式缴纳的，提供转账、电汇凭证扫描件或复印件（网银可提供截图）加盖</w:t>
      </w:r>
      <w:r>
        <w:rPr>
          <w:rFonts w:hint="eastAsia" w:cs="宋体"/>
          <w:color w:val="auto"/>
          <w:szCs w:val="21"/>
          <w:highlight w:val="none"/>
          <w:lang w:bidi="ar"/>
        </w:rPr>
        <w:t>供应商电子签章</w:t>
      </w:r>
      <w:r>
        <w:rPr>
          <w:rFonts w:hint="eastAsia" w:cs="宋体"/>
          <w:color w:val="auto"/>
          <w:highlight w:val="none"/>
          <w:lang w:bidi="ar"/>
        </w:rPr>
        <w:t>；</w:t>
      </w:r>
    </w:p>
    <w:p w14:paraId="12AAB5F7">
      <w:pPr>
        <w:snapToGrid w:val="0"/>
        <w:spacing w:before="50" w:after="120" w:afterLines="50" w:line="440" w:lineRule="exact"/>
        <w:jc w:val="left"/>
        <w:rPr>
          <w:color w:val="auto"/>
          <w:szCs w:val="21"/>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）以支票、汇票、本票或金融机构、担保机构出具的保函等非现金形式缴纳的，提供原件扫描件或复印件并加盖供应商电子签章。投标保函应按照如下格式开具：</w:t>
      </w:r>
    </w:p>
    <w:p w14:paraId="39669378">
      <w:pPr>
        <w:widowControl/>
        <w:jc w:val="center"/>
        <w:rPr>
          <w:b/>
          <w:bCs/>
          <w:color w:val="auto"/>
          <w:sz w:val="28"/>
          <w:szCs w:val="36"/>
          <w:highlight w:val="none"/>
        </w:rPr>
      </w:pPr>
    </w:p>
    <w:p w14:paraId="74077712">
      <w:pPr>
        <w:widowControl/>
        <w:jc w:val="center"/>
        <w:rPr>
          <w:color w:val="auto"/>
          <w:szCs w:val="21"/>
          <w:highlight w:val="none"/>
        </w:rPr>
      </w:pPr>
      <w:r>
        <w:rPr>
          <w:rFonts w:hint="eastAsia" w:cs="宋体"/>
          <w:b/>
          <w:bCs/>
          <w:color w:val="auto"/>
          <w:sz w:val="28"/>
          <w:szCs w:val="36"/>
          <w:highlight w:val="none"/>
          <w:lang w:bidi="ar"/>
        </w:rPr>
        <w:t>投标保函格式</w:t>
      </w:r>
    </w:p>
    <w:p w14:paraId="08CA6BEE">
      <w:pPr>
        <w:snapToGrid w:val="0"/>
        <w:spacing w:before="50" w:after="120" w:afterLines="50"/>
        <w:jc w:val="left"/>
        <w:rPr>
          <w:color w:val="auto"/>
          <w:highlight w:val="none"/>
        </w:rPr>
      </w:pPr>
      <w:r>
        <w:rPr>
          <w:rFonts w:hint="eastAsia" w:cs="宋体"/>
          <w:color w:val="auto"/>
          <w:highlight w:val="none"/>
          <w:lang w:bidi="ar"/>
        </w:rPr>
        <w:t>编号：</w:t>
      </w:r>
      <w:r>
        <w:rPr>
          <w:color w:val="auto"/>
          <w:highlight w:val="none"/>
          <w:lang w:bidi="ar"/>
        </w:rPr>
        <w:t xml:space="preserve">           </w:t>
      </w:r>
    </w:p>
    <w:p w14:paraId="0FB81152">
      <w:pPr>
        <w:snapToGrid w:val="0"/>
        <w:spacing w:before="50" w:after="120" w:afterLines="50"/>
        <w:jc w:val="left"/>
        <w:rPr>
          <w:color w:val="auto"/>
          <w:highlight w:val="none"/>
        </w:rPr>
      </w:pPr>
      <w:r>
        <w:rPr>
          <w:rFonts w:hint="eastAsia" w:cs="宋体"/>
          <w:color w:val="auto"/>
          <w:highlight w:val="none"/>
          <w:lang w:bidi="ar"/>
        </w:rPr>
        <w:t>申请人：</w:t>
      </w:r>
    </w:p>
    <w:p w14:paraId="069460DC">
      <w:pPr>
        <w:snapToGrid w:val="0"/>
        <w:spacing w:before="50" w:after="120" w:afterLines="50"/>
        <w:jc w:val="left"/>
        <w:rPr>
          <w:color w:val="auto"/>
          <w:highlight w:val="none"/>
        </w:rPr>
      </w:pPr>
      <w:r>
        <w:rPr>
          <w:rFonts w:hint="eastAsia" w:cs="宋体"/>
          <w:color w:val="auto"/>
          <w:highlight w:val="none"/>
          <w:lang w:bidi="ar"/>
        </w:rPr>
        <w:t>地址：</w:t>
      </w:r>
    </w:p>
    <w:p w14:paraId="218F8059">
      <w:pPr>
        <w:snapToGrid w:val="0"/>
        <w:spacing w:before="50" w:after="120" w:afterLines="50"/>
        <w:jc w:val="left"/>
        <w:rPr>
          <w:color w:val="auto"/>
          <w:highlight w:val="none"/>
        </w:rPr>
      </w:pPr>
      <w:r>
        <w:rPr>
          <w:rFonts w:hint="eastAsia" w:cs="宋体"/>
          <w:color w:val="auto"/>
          <w:highlight w:val="none"/>
          <w:lang w:bidi="ar"/>
        </w:rPr>
        <w:t>受益人：广西机电设备招标有限公司</w:t>
      </w:r>
      <w:r>
        <w:rPr>
          <w:snapToGrid w:val="0"/>
          <w:color w:val="auto"/>
          <w:highlight w:val="none"/>
          <w:lang w:bidi="ar"/>
        </w:rPr>
        <w:t xml:space="preserve"> </w:t>
      </w:r>
    </w:p>
    <w:p w14:paraId="7D6E5D78">
      <w:pPr>
        <w:snapToGrid w:val="0"/>
        <w:spacing w:before="50" w:after="120" w:afterLines="50"/>
        <w:jc w:val="left"/>
        <w:rPr>
          <w:color w:val="auto"/>
          <w:highlight w:val="none"/>
        </w:rPr>
      </w:pPr>
      <w:r>
        <w:rPr>
          <w:rFonts w:hint="eastAsia" w:cs="宋体"/>
          <w:color w:val="auto"/>
          <w:highlight w:val="none"/>
          <w:lang w:bidi="ar"/>
        </w:rPr>
        <w:t>地址：</w:t>
      </w:r>
    </w:p>
    <w:p w14:paraId="019C1F89">
      <w:pPr>
        <w:snapToGrid w:val="0"/>
        <w:spacing w:before="50" w:after="120" w:afterLines="50"/>
        <w:jc w:val="left"/>
        <w:rPr>
          <w:color w:val="auto"/>
          <w:highlight w:val="none"/>
        </w:rPr>
      </w:pPr>
      <w:r>
        <w:rPr>
          <w:rFonts w:hint="eastAsia" w:cs="宋体"/>
          <w:color w:val="auto"/>
          <w:highlight w:val="none"/>
          <w:lang w:bidi="ar"/>
        </w:rPr>
        <w:t>开立人：</w:t>
      </w:r>
    </w:p>
    <w:p w14:paraId="2C827D93">
      <w:pPr>
        <w:snapToGrid w:val="0"/>
        <w:spacing w:before="50" w:after="120" w:afterLines="50"/>
        <w:jc w:val="left"/>
        <w:rPr>
          <w:color w:val="auto"/>
          <w:highlight w:val="none"/>
        </w:rPr>
      </w:pPr>
      <w:r>
        <w:rPr>
          <w:rFonts w:hint="eastAsia" w:cs="宋体"/>
          <w:color w:val="auto"/>
          <w:highlight w:val="none"/>
          <w:lang w:bidi="ar"/>
        </w:rPr>
        <w:t>地址：</w:t>
      </w:r>
    </w:p>
    <w:p w14:paraId="0271A80D">
      <w:pPr>
        <w:snapToGrid w:val="0"/>
        <w:spacing w:before="50" w:after="120" w:afterLines="50" w:line="440" w:lineRule="exact"/>
        <w:jc w:val="left"/>
        <w:rPr>
          <w:color w:val="auto"/>
          <w:highlight w:val="none"/>
        </w:rPr>
      </w:pPr>
    </w:p>
    <w:p w14:paraId="02491679">
      <w:pPr>
        <w:snapToGrid w:val="0"/>
        <w:spacing w:before="50" w:after="120" w:afterLines="50" w:line="276" w:lineRule="auto"/>
        <w:jc w:val="left"/>
        <w:rPr>
          <w:color w:val="auto"/>
          <w:highlight w:val="none"/>
        </w:rPr>
      </w:pPr>
      <w:r>
        <w:rPr>
          <w:rFonts w:hint="eastAsia" w:cs="宋体"/>
          <w:color w:val="auto"/>
          <w:highlight w:val="none"/>
          <w:lang w:bidi="ar"/>
        </w:rPr>
        <w:t>致：广西机电设备招标有限公司</w:t>
      </w:r>
    </w:p>
    <w:p w14:paraId="2061469E">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我方（即“开立人”）已获得通知，本保函申请人（即“供应商”）已响应贵方于</w:t>
      </w:r>
      <w:r>
        <w:rPr>
          <w:color w:val="auto"/>
          <w:highlight w:val="none"/>
          <w:u w:val="single"/>
          <w:lang w:bidi="ar"/>
        </w:rPr>
        <w:t xml:space="preserve">         </w:t>
      </w:r>
      <w:r>
        <w:rPr>
          <w:rFonts w:hint="eastAsia" w:cs="宋体"/>
          <w:color w:val="auto"/>
          <w:highlight w:val="none"/>
          <w:lang w:bidi="ar"/>
        </w:rPr>
        <w:t>年</w:t>
      </w:r>
      <w:r>
        <w:rPr>
          <w:color w:val="auto"/>
          <w:highlight w:val="none"/>
          <w:u w:val="single"/>
          <w:lang w:bidi="ar"/>
        </w:rPr>
        <w:t xml:space="preserve">             </w:t>
      </w:r>
      <w:r>
        <w:rPr>
          <w:rFonts w:hint="eastAsia" w:cs="宋体"/>
          <w:color w:val="auto"/>
          <w:highlight w:val="none"/>
          <w:lang w:bidi="ar"/>
        </w:rPr>
        <w:t>月</w:t>
      </w:r>
      <w:r>
        <w:rPr>
          <w:color w:val="auto"/>
          <w:highlight w:val="none"/>
          <w:u w:val="single"/>
          <w:lang w:bidi="ar"/>
        </w:rPr>
        <w:t xml:space="preserve">     </w:t>
      </w:r>
      <w:r>
        <w:rPr>
          <w:color w:val="auto"/>
          <w:highlight w:val="none"/>
          <w:lang w:bidi="ar"/>
        </w:rPr>
        <w:t xml:space="preserve"> </w:t>
      </w:r>
      <w:r>
        <w:rPr>
          <w:rFonts w:hint="eastAsia" w:cs="宋体"/>
          <w:color w:val="auto"/>
          <w:highlight w:val="none"/>
          <w:lang w:bidi="ar"/>
        </w:rPr>
        <w:t>日就</w:t>
      </w:r>
      <w:r>
        <w:rPr>
          <w:snapToGrid w:val="0"/>
          <w:color w:val="auto"/>
          <w:highlight w:val="none"/>
          <w:lang w:bidi="ar"/>
        </w:rPr>
        <w:t xml:space="preserve"> </w:t>
      </w:r>
      <w:r>
        <w:rPr>
          <w:color w:val="auto"/>
          <w:highlight w:val="none"/>
          <w:u w:val="single"/>
          <w:lang w:bidi="ar"/>
        </w:rPr>
        <w:t xml:space="preserve">                                          </w:t>
      </w:r>
      <w:r>
        <w:rPr>
          <w:rFonts w:hint="eastAsia" w:cs="宋体"/>
          <w:color w:val="auto"/>
          <w:highlight w:val="none"/>
          <w:lang w:bidi="ar"/>
        </w:rPr>
        <w:t>（以下简称“本项目”）发出的招标文件，并已向采购代理机构（即“受益人”）提交了投标文件。</w:t>
      </w:r>
    </w:p>
    <w:p w14:paraId="672EEAD2">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color w:val="auto"/>
          <w:highlight w:val="none"/>
          <w:u w:val="single"/>
          <w:lang w:bidi="ar"/>
        </w:rPr>
        <w:t xml:space="preserve">                            </w:t>
      </w:r>
      <w:r>
        <w:rPr>
          <w:rFonts w:hint="eastAsia" w:cs="宋体"/>
          <w:color w:val="auto"/>
          <w:highlight w:val="none"/>
          <w:lang w:bidi="ar"/>
        </w:rPr>
        <w:t>元（</w:t>
      </w:r>
      <w:r>
        <w:rPr>
          <w:color w:val="auto"/>
          <w:highlight w:val="none"/>
          <w:lang w:bidi="ar"/>
        </w:rPr>
        <w:t>¥</w:t>
      </w:r>
      <w:r>
        <w:rPr>
          <w:color w:val="auto"/>
          <w:highlight w:val="none"/>
          <w:u w:val="single"/>
          <w:lang w:bidi="ar"/>
        </w:rPr>
        <w:t xml:space="preserve">                         </w:t>
      </w:r>
      <w:r>
        <w:rPr>
          <w:rFonts w:hint="eastAsia" w:cs="宋体"/>
          <w:color w:val="auto"/>
          <w:highlight w:val="none"/>
          <w:lang w:bidi="ar"/>
        </w:rPr>
        <w:t>）。</w:t>
      </w:r>
    </w:p>
    <w:p w14:paraId="5C5D75D7">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二、我方在供应商发生以下情形时承担保证担保责任：</w:t>
      </w:r>
      <w:r>
        <w:rPr>
          <w:snapToGrid w:val="0"/>
          <w:color w:val="auto"/>
          <w:highlight w:val="none"/>
          <w:lang w:bidi="ar"/>
        </w:rPr>
        <w:t xml:space="preserve"> </w:t>
      </w:r>
    </w:p>
    <w:p w14:paraId="1A58DEFE">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）投标人在开标后和投标有效期满之前撤销投标文件的；</w:t>
      </w:r>
      <w:r>
        <w:rPr>
          <w:snapToGrid w:val="0"/>
          <w:color w:val="auto"/>
          <w:highlight w:val="none"/>
          <w:lang w:bidi="ar"/>
        </w:rPr>
        <w:t xml:space="preserve"> </w:t>
      </w:r>
    </w:p>
    <w:p w14:paraId="68ACB149">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）投标人在收到中标通知书后，不能或拒绝按招标文件规定的时间内与采购人签订合同；</w:t>
      </w:r>
      <w:r>
        <w:rPr>
          <w:snapToGrid w:val="0"/>
          <w:color w:val="auto"/>
          <w:highlight w:val="none"/>
          <w:lang w:bidi="ar"/>
        </w:rPr>
        <w:t xml:space="preserve"> </w:t>
      </w:r>
    </w:p>
    <w:p w14:paraId="2B9524A6">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3</w:t>
      </w:r>
      <w:r>
        <w:rPr>
          <w:rFonts w:hint="eastAsia" w:cs="宋体"/>
          <w:color w:val="auto"/>
          <w:highlight w:val="none"/>
          <w:lang w:bidi="ar"/>
        </w:rPr>
        <w:t>）投标人在与采购人签订合同后，未在规定的时间内提交符合招标文件要求的履约担保；</w:t>
      </w:r>
    </w:p>
    <w:p w14:paraId="7795EF14">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4</w:t>
      </w:r>
      <w:r>
        <w:rPr>
          <w:rFonts w:hint="eastAsia" w:cs="宋体"/>
          <w:color w:val="auto"/>
          <w:highlight w:val="none"/>
          <w:lang w:bidi="ar"/>
        </w:rPr>
        <w:t>）投标人在中标通知书发出之日起</w:t>
      </w:r>
      <w:r>
        <w:rPr>
          <w:color w:val="auto"/>
          <w:highlight w:val="none"/>
          <w:lang w:bidi="ar"/>
        </w:rPr>
        <w:t>5</w:t>
      </w:r>
      <w:r>
        <w:rPr>
          <w:rFonts w:hint="eastAsia" w:cs="宋体"/>
          <w:color w:val="auto"/>
          <w:highlight w:val="none"/>
          <w:lang w:bidi="ar"/>
        </w:rPr>
        <w:t>个工作日内，未缴纳本项目代理服务费的；</w:t>
      </w:r>
    </w:p>
    <w:p w14:paraId="7D371573">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5</w:t>
      </w:r>
      <w:r>
        <w:rPr>
          <w:rFonts w:hint="eastAsia" w:cs="宋体"/>
          <w:color w:val="auto"/>
          <w:highlight w:val="none"/>
          <w:lang w:bidi="ar"/>
        </w:rPr>
        <w:t>）投标人违反招标文件规定的其他情形。</w:t>
      </w:r>
    </w:p>
    <w:p w14:paraId="29C2837B">
      <w:pPr>
        <w:snapToGrid w:val="0"/>
        <w:spacing w:before="50" w:after="120" w:afterLines="50" w:line="276" w:lineRule="auto"/>
        <w:ind w:firstLine="210" w:firstLineChars="100"/>
        <w:jc w:val="left"/>
        <w:rPr>
          <w:color w:val="auto"/>
          <w:highlight w:val="none"/>
        </w:rPr>
      </w:pPr>
      <w:r>
        <w:rPr>
          <w:color w:val="auto"/>
          <w:highlight w:val="none"/>
          <w:lang w:bidi="ar"/>
        </w:rPr>
        <w:t xml:space="preserve">    </w:t>
      </w:r>
      <w:r>
        <w:rPr>
          <w:rFonts w:hint="eastAsia" w:cs="宋体"/>
          <w:color w:val="auto"/>
          <w:highlight w:val="none"/>
          <w:lang w:bidi="ar"/>
        </w:rPr>
        <w:t>三、本保函为不可撤销、不可转让的见索即付独立保函。本保函有效期自开立之日起至投标有效期届满之日后的</w:t>
      </w:r>
      <w:r>
        <w:rPr>
          <w:snapToGrid w:val="0"/>
          <w:color w:val="auto"/>
          <w:highlight w:val="none"/>
          <w:u w:val="single"/>
          <w:lang w:bidi="ar"/>
        </w:rPr>
        <w:t xml:space="preserve"> </w:t>
      </w:r>
      <w:r>
        <w:rPr>
          <w:color w:val="auto"/>
          <w:highlight w:val="none"/>
          <w:u w:val="single"/>
          <w:lang w:bidi="ar"/>
        </w:rPr>
        <w:t xml:space="preserve"> 28  </w:t>
      </w:r>
      <w:r>
        <w:rPr>
          <w:rFonts w:hint="eastAsia" w:cs="宋体"/>
          <w:color w:val="auto"/>
          <w:highlight w:val="none"/>
          <w:lang w:bidi="ar"/>
        </w:rPr>
        <w:t>日。投标有效期延长的，本保函有效期相应顺延。</w:t>
      </w:r>
    </w:p>
    <w:p w14:paraId="4A5AFF6C">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四、我方承诺，在收到受益人发来的书面付款通知后的</w:t>
      </w:r>
      <w:r>
        <w:rPr>
          <w:color w:val="auto"/>
          <w:highlight w:val="none"/>
          <w:u w:val="single"/>
          <w:lang w:bidi="ar"/>
        </w:rPr>
        <w:t xml:space="preserve">   5    </w:t>
      </w:r>
      <w:r>
        <w:rPr>
          <w:rFonts w:hint="eastAsia" w:cs="宋体"/>
          <w:color w:val="auto"/>
          <w:highlight w:val="none"/>
          <w:lang w:bidi="ar"/>
        </w:rPr>
        <w:t>日内无条件支付，前述书面付款通知即为付款要求之单据，且应满足以下要求：</w:t>
      </w:r>
    </w:p>
    <w:p w14:paraId="4C81C1FD">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1</w:t>
      </w:r>
      <w:r>
        <w:rPr>
          <w:rFonts w:hint="eastAsia" w:cs="宋体"/>
          <w:color w:val="auto"/>
          <w:highlight w:val="none"/>
          <w:lang w:bidi="ar"/>
        </w:rPr>
        <w:t>）付款通知到达的日期在本保函的有效期内；</w:t>
      </w:r>
    </w:p>
    <w:p w14:paraId="0D20F488">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2</w:t>
      </w:r>
      <w:r>
        <w:rPr>
          <w:rFonts w:hint="eastAsia" w:cs="宋体"/>
          <w:color w:val="auto"/>
          <w:highlight w:val="none"/>
          <w:lang w:bidi="ar"/>
        </w:rPr>
        <w:t>）载明要求支付的金额；</w:t>
      </w:r>
    </w:p>
    <w:p w14:paraId="5FC9BF66">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3</w:t>
      </w:r>
      <w:r>
        <w:rPr>
          <w:rFonts w:hint="eastAsia" w:cs="宋体"/>
          <w:color w:val="auto"/>
          <w:highlight w:val="none"/>
          <w:lang w:bidi="ar"/>
        </w:rPr>
        <w:t>）载明申请人违反采购文件规定的义务内容和具体条款；</w:t>
      </w:r>
    </w:p>
    <w:p w14:paraId="254E1E6B">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4</w:t>
      </w:r>
      <w:r>
        <w:rPr>
          <w:rFonts w:hint="eastAsia" w:cs="宋体"/>
          <w:color w:val="auto"/>
          <w:highlight w:val="none"/>
          <w:lang w:bidi="ar"/>
        </w:rPr>
        <w:t>）声明不存在采购文件规定或我国法律规定免除申请人或我方支付责任的情形；</w:t>
      </w:r>
    </w:p>
    <w:p w14:paraId="4367B39E">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w:t>
      </w:r>
      <w:r>
        <w:rPr>
          <w:color w:val="auto"/>
          <w:highlight w:val="none"/>
          <w:lang w:bidi="ar"/>
        </w:rPr>
        <w:t>5</w:t>
      </w:r>
      <w:r>
        <w:rPr>
          <w:rFonts w:hint="eastAsia" w:cs="宋体"/>
          <w:color w:val="auto"/>
          <w:highlight w:val="none"/>
          <w:lang w:bidi="ar"/>
        </w:rPr>
        <w:t>）书面付款通知应在本保函有效期内到达的地址是：</w:t>
      </w:r>
      <w:r>
        <w:rPr>
          <w:color w:val="auto"/>
          <w:highlight w:val="none"/>
          <w:u w:val="single"/>
          <w:lang w:bidi="ar"/>
        </w:rPr>
        <w:t xml:space="preserve">                                     </w:t>
      </w:r>
      <w:r>
        <w:rPr>
          <w:rFonts w:hint="eastAsia" w:cs="宋体"/>
          <w:color w:val="auto"/>
          <w:highlight w:val="none"/>
          <w:lang w:bidi="ar"/>
        </w:rPr>
        <w:t>。</w:t>
      </w:r>
    </w:p>
    <w:p w14:paraId="3D5623B0">
      <w:pPr>
        <w:snapToGrid w:val="0"/>
        <w:spacing w:before="50" w:after="120" w:afterLines="50" w:line="276" w:lineRule="auto"/>
        <w:jc w:val="left"/>
        <w:rPr>
          <w:color w:val="auto"/>
          <w:highlight w:val="none"/>
        </w:rPr>
      </w:pPr>
      <w:r>
        <w:rPr>
          <w:color w:val="auto"/>
          <w:highlight w:val="none"/>
          <w:lang w:bidi="ar"/>
        </w:rPr>
        <w:t xml:space="preserve">        </w:t>
      </w:r>
      <w:r>
        <w:rPr>
          <w:rFonts w:hint="eastAsia" w:cs="宋体"/>
          <w:color w:val="auto"/>
          <w:highlight w:val="none"/>
          <w:lang w:bidi="ar"/>
        </w:rPr>
        <w:t>受益人发出的书面付款通知应由其为鉴明受益人法定代表人（负责人）或授权代理人签字并加盖公章。</w:t>
      </w:r>
    </w:p>
    <w:p w14:paraId="14AD50C6">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五、本保函项下的权利不得转让，不得设定担保。贵方未经我方书面同意转让本保函或其项下任何权利，对我方不发生法律效力。</w:t>
      </w:r>
      <w:r>
        <w:rPr>
          <w:snapToGrid w:val="0"/>
          <w:color w:val="auto"/>
          <w:highlight w:val="none"/>
          <w:lang w:bidi="ar"/>
        </w:rPr>
        <w:t xml:space="preserve"> </w:t>
      </w:r>
    </w:p>
    <w:p w14:paraId="1B64B341">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六、本保函项下的基础交易不成立、不生效、无效、被撤销、被解除，不影响本保函的独立有效。</w:t>
      </w:r>
      <w:r>
        <w:rPr>
          <w:snapToGrid w:val="0"/>
          <w:color w:val="auto"/>
          <w:highlight w:val="none"/>
          <w:lang w:bidi="ar"/>
        </w:rPr>
        <w:t xml:space="preserve"> </w:t>
      </w:r>
    </w:p>
    <w:p w14:paraId="4A36BAEF">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七、受益人应在本保函到期后的七日内将本保函正本退回我方注销，但是不论受益人是否按此要求将本保函正本退回我方，我方在本保函项下的义务和责任均在保函有效期到期后自动消灭。</w:t>
      </w:r>
      <w:r>
        <w:rPr>
          <w:snapToGrid w:val="0"/>
          <w:color w:val="auto"/>
          <w:highlight w:val="none"/>
          <w:lang w:bidi="ar"/>
        </w:rPr>
        <w:t xml:space="preserve"> </w:t>
      </w:r>
    </w:p>
    <w:p w14:paraId="51DB5179">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八、本保函适用的法律为中华人民共和国法律，争议裁判管辖地为中华人民共和国。</w:t>
      </w:r>
      <w:r>
        <w:rPr>
          <w:snapToGrid w:val="0"/>
          <w:color w:val="auto"/>
          <w:highlight w:val="none"/>
          <w:lang w:bidi="ar"/>
        </w:rPr>
        <w:t xml:space="preserve"> </w:t>
      </w:r>
    </w:p>
    <w:p w14:paraId="1F66955B">
      <w:pPr>
        <w:snapToGrid w:val="0"/>
        <w:spacing w:before="50" w:after="120" w:afterLines="50" w:line="276" w:lineRule="auto"/>
        <w:ind w:firstLine="420" w:firstLineChars="200"/>
        <w:jc w:val="left"/>
        <w:rPr>
          <w:color w:val="auto"/>
          <w:highlight w:val="none"/>
        </w:rPr>
      </w:pPr>
      <w:r>
        <w:rPr>
          <w:rFonts w:hint="eastAsia" w:cs="宋体"/>
          <w:color w:val="auto"/>
          <w:highlight w:val="none"/>
          <w:lang w:bidi="ar"/>
        </w:rPr>
        <w:t>九、本保函自我方法定代表人或授权代表签字并加盖公章之日起生效。</w:t>
      </w:r>
      <w:r>
        <w:rPr>
          <w:snapToGrid w:val="0"/>
          <w:color w:val="auto"/>
          <w:highlight w:val="none"/>
          <w:lang w:bidi="ar"/>
        </w:rPr>
        <w:t xml:space="preserve"> </w:t>
      </w:r>
    </w:p>
    <w:p w14:paraId="21322516">
      <w:pPr>
        <w:snapToGrid w:val="0"/>
        <w:spacing w:before="50" w:after="120" w:afterLines="50" w:line="276" w:lineRule="auto"/>
        <w:jc w:val="left"/>
        <w:rPr>
          <w:color w:val="auto"/>
          <w:highlight w:val="none"/>
        </w:rPr>
      </w:pPr>
    </w:p>
    <w:p w14:paraId="1EEEE9BA">
      <w:pPr>
        <w:snapToGrid w:val="0"/>
        <w:spacing w:before="50" w:after="120" w:afterLines="50" w:line="276" w:lineRule="auto"/>
        <w:jc w:val="left"/>
        <w:rPr>
          <w:color w:val="auto"/>
          <w:highlight w:val="none"/>
        </w:rPr>
      </w:pPr>
      <w:r>
        <w:rPr>
          <w:rFonts w:hint="eastAsia" w:cs="宋体"/>
          <w:color w:val="auto"/>
          <w:highlight w:val="none"/>
          <w:lang w:bidi="ar"/>
        </w:rPr>
        <w:t>开</w:t>
      </w:r>
      <w:r>
        <w:rPr>
          <w:snapToGrid w:val="0"/>
          <w:color w:val="auto"/>
          <w:highlight w:val="none"/>
          <w:lang w:bidi="ar"/>
        </w:rPr>
        <w:t xml:space="preserve"> </w:t>
      </w:r>
      <w:r>
        <w:rPr>
          <w:rFonts w:hint="eastAsia" w:cs="宋体"/>
          <w:color w:val="auto"/>
          <w:highlight w:val="none"/>
          <w:lang w:bidi="ar"/>
        </w:rPr>
        <w:t>立</w:t>
      </w:r>
      <w:r>
        <w:rPr>
          <w:snapToGrid w:val="0"/>
          <w:color w:val="auto"/>
          <w:highlight w:val="none"/>
          <w:lang w:bidi="ar"/>
        </w:rPr>
        <w:t xml:space="preserve"> </w:t>
      </w:r>
      <w:r>
        <w:rPr>
          <w:rFonts w:hint="eastAsia" w:cs="宋体"/>
          <w:color w:val="auto"/>
          <w:highlight w:val="none"/>
          <w:lang w:bidi="ar"/>
        </w:rPr>
        <w:t>人：</w:t>
      </w:r>
      <w:r>
        <w:rPr>
          <w:color w:val="auto"/>
          <w:highlight w:val="none"/>
          <w:lang w:bidi="ar"/>
        </w:rPr>
        <w:t xml:space="preserve">                                                  </w:t>
      </w:r>
      <w:r>
        <w:rPr>
          <w:rFonts w:hint="eastAsia" w:cs="宋体"/>
          <w:color w:val="auto"/>
          <w:highlight w:val="none"/>
          <w:lang w:bidi="ar"/>
        </w:rPr>
        <w:t>（公章）</w:t>
      </w:r>
      <w:r>
        <w:rPr>
          <w:snapToGrid w:val="0"/>
          <w:color w:val="auto"/>
          <w:highlight w:val="none"/>
          <w:lang w:bidi="ar"/>
        </w:rPr>
        <w:t xml:space="preserve"> </w:t>
      </w:r>
    </w:p>
    <w:p w14:paraId="60A9604B">
      <w:pPr>
        <w:snapToGrid w:val="0"/>
        <w:spacing w:before="50" w:after="120" w:afterLines="50" w:line="276" w:lineRule="auto"/>
        <w:jc w:val="left"/>
        <w:rPr>
          <w:color w:val="auto"/>
          <w:highlight w:val="none"/>
        </w:rPr>
      </w:pPr>
      <w:r>
        <w:rPr>
          <w:rFonts w:hint="eastAsia" w:cs="宋体"/>
          <w:color w:val="auto"/>
          <w:highlight w:val="none"/>
          <w:lang w:bidi="ar"/>
        </w:rPr>
        <w:t>法定代表人（或授权代表）</w:t>
      </w:r>
      <w:r>
        <w:rPr>
          <w:snapToGrid w:val="0"/>
          <w:color w:val="auto"/>
          <w:highlight w:val="none"/>
          <w:lang w:bidi="ar"/>
        </w:rPr>
        <w:t xml:space="preserve"> </w:t>
      </w:r>
      <w:r>
        <w:rPr>
          <w:rFonts w:hint="eastAsia" w:cs="宋体"/>
          <w:color w:val="auto"/>
          <w:highlight w:val="none"/>
          <w:lang w:bidi="ar"/>
        </w:rPr>
        <w:t>：</w:t>
      </w:r>
      <w:r>
        <w:rPr>
          <w:color w:val="auto"/>
          <w:highlight w:val="none"/>
          <w:lang w:bidi="ar"/>
        </w:rPr>
        <w:t xml:space="preserve">               </w:t>
      </w:r>
      <w:r>
        <w:rPr>
          <w:rFonts w:hint="eastAsia" w:cs="宋体"/>
          <w:color w:val="auto"/>
          <w:highlight w:val="none"/>
          <w:lang w:bidi="ar"/>
        </w:rPr>
        <w:t>（签字）</w:t>
      </w:r>
      <w:r>
        <w:rPr>
          <w:snapToGrid w:val="0"/>
          <w:color w:val="auto"/>
          <w:highlight w:val="none"/>
          <w:lang w:bidi="ar"/>
        </w:rPr>
        <w:t xml:space="preserve"> </w:t>
      </w:r>
    </w:p>
    <w:p w14:paraId="248AC6BE">
      <w:pPr>
        <w:snapToGrid w:val="0"/>
        <w:spacing w:before="50" w:after="120" w:afterLines="50" w:line="276" w:lineRule="auto"/>
        <w:jc w:val="left"/>
        <w:rPr>
          <w:color w:val="auto"/>
          <w:highlight w:val="none"/>
        </w:rPr>
      </w:pPr>
      <w:r>
        <w:rPr>
          <w:rFonts w:hint="eastAsia" w:cs="宋体"/>
          <w:color w:val="auto"/>
          <w:highlight w:val="none"/>
          <w:lang w:bidi="ar"/>
        </w:rPr>
        <w:t>地</w:t>
      </w:r>
      <w:r>
        <w:rPr>
          <w:color w:val="auto"/>
          <w:highlight w:val="none"/>
          <w:lang w:bidi="ar"/>
        </w:rPr>
        <w:t xml:space="preserve">    </w:t>
      </w:r>
      <w:r>
        <w:rPr>
          <w:rFonts w:hint="eastAsia" w:cs="宋体"/>
          <w:color w:val="auto"/>
          <w:highlight w:val="none"/>
          <w:lang w:bidi="ar"/>
        </w:rPr>
        <w:t>址：</w:t>
      </w:r>
      <w:r>
        <w:rPr>
          <w:color w:val="auto"/>
          <w:highlight w:val="none"/>
          <w:lang w:bidi="ar"/>
        </w:rPr>
        <w:t xml:space="preserve">                                       </w:t>
      </w:r>
    </w:p>
    <w:p w14:paraId="0A45E128">
      <w:pPr>
        <w:snapToGrid w:val="0"/>
        <w:spacing w:before="50" w:after="120" w:afterLines="50" w:line="276" w:lineRule="auto"/>
        <w:jc w:val="left"/>
        <w:rPr>
          <w:color w:val="auto"/>
          <w:highlight w:val="none"/>
        </w:rPr>
      </w:pPr>
      <w:r>
        <w:rPr>
          <w:rFonts w:hint="eastAsia" w:cs="宋体"/>
          <w:color w:val="auto"/>
          <w:highlight w:val="none"/>
          <w:lang w:bidi="ar"/>
        </w:rPr>
        <w:t>邮政编码：</w:t>
      </w:r>
      <w:r>
        <w:rPr>
          <w:color w:val="auto"/>
          <w:highlight w:val="none"/>
          <w:lang w:bidi="ar"/>
        </w:rPr>
        <w:t xml:space="preserve">                 </w:t>
      </w:r>
    </w:p>
    <w:p w14:paraId="5E856D12">
      <w:pPr>
        <w:snapToGrid w:val="0"/>
        <w:spacing w:before="50" w:after="120" w:afterLines="50" w:line="276" w:lineRule="auto"/>
        <w:jc w:val="left"/>
        <w:rPr>
          <w:color w:val="auto"/>
          <w:highlight w:val="none"/>
        </w:rPr>
      </w:pPr>
      <w:r>
        <w:rPr>
          <w:rFonts w:hint="eastAsia" w:cs="宋体"/>
          <w:color w:val="auto"/>
          <w:highlight w:val="none"/>
          <w:lang w:bidi="ar"/>
        </w:rPr>
        <w:t>电</w:t>
      </w:r>
      <w:r>
        <w:rPr>
          <w:color w:val="auto"/>
          <w:highlight w:val="none"/>
          <w:lang w:bidi="ar"/>
        </w:rPr>
        <w:t xml:space="preserve">    </w:t>
      </w:r>
      <w:r>
        <w:rPr>
          <w:rFonts w:hint="eastAsia" w:cs="宋体"/>
          <w:color w:val="auto"/>
          <w:highlight w:val="none"/>
          <w:lang w:bidi="ar"/>
        </w:rPr>
        <w:t>话：</w:t>
      </w:r>
      <w:r>
        <w:rPr>
          <w:color w:val="auto"/>
          <w:highlight w:val="none"/>
          <w:lang w:bidi="ar"/>
        </w:rPr>
        <w:t xml:space="preserve">                 </w:t>
      </w:r>
    </w:p>
    <w:p w14:paraId="3E2C975E">
      <w:pPr>
        <w:snapToGrid w:val="0"/>
        <w:spacing w:before="50" w:after="120" w:afterLines="50" w:line="276" w:lineRule="auto"/>
        <w:jc w:val="left"/>
        <w:rPr>
          <w:color w:val="auto"/>
          <w:highlight w:val="none"/>
        </w:rPr>
      </w:pPr>
      <w:r>
        <w:rPr>
          <w:rFonts w:hint="eastAsia" w:cs="宋体"/>
          <w:color w:val="auto"/>
          <w:highlight w:val="none"/>
          <w:lang w:bidi="ar"/>
        </w:rPr>
        <w:t>传</w:t>
      </w:r>
      <w:r>
        <w:rPr>
          <w:color w:val="auto"/>
          <w:highlight w:val="none"/>
          <w:lang w:bidi="ar"/>
        </w:rPr>
        <w:t xml:space="preserve">    </w:t>
      </w:r>
      <w:r>
        <w:rPr>
          <w:rFonts w:hint="eastAsia" w:cs="宋体"/>
          <w:color w:val="auto"/>
          <w:highlight w:val="none"/>
          <w:lang w:bidi="ar"/>
        </w:rPr>
        <w:t>真：</w:t>
      </w:r>
      <w:r>
        <w:rPr>
          <w:color w:val="auto"/>
          <w:highlight w:val="none"/>
          <w:lang w:bidi="ar"/>
        </w:rPr>
        <w:t xml:space="preserve">                 </w:t>
      </w:r>
    </w:p>
    <w:p w14:paraId="7E854370">
      <w:pPr>
        <w:widowControl/>
        <w:jc w:val="left"/>
        <w:rPr>
          <w:color w:val="auto"/>
          <w:highlight w:val="none"/>
        </w:rPr>
      </w:pPr>
      <w:r>
        <w:rPr>
          <w:rFonts w:hint="eastAsia"/>
          <w:color w:val="auto"/>
          <w:highlight w:val="none"/>
          <w:lang w:bidi="ar"/>
        </w:rPr>
        <w:t>开立时间：</w:t>
      </w:r>
      <w:r>
        <w:rPr>
          <w:color w:val="auto"/>
          <w:highlight w:val="none"/>
          <w:lang w:bidi="ar"/>
        </w:rPr>
        <w:t xml:space="preserve">      </w:t>
      </w:r>
      <w:r>
        <w:rPr>
          <w:rFonts w:hint="eastAsia"/>
          <w:color w:val="auto"/>
          <w:highlight w:val="none"/>
          <w:lang w:bidi="ar"/>
        </w:rPr>
        <w:t>年</w:t>
      </w:r>
      <w:r>
        <w:rPr>
          <w:color w:val="auto"/>
          <w:highlight w:val="none"/>
          <w:lang w:bidi="ar"/>
        </w:rPr>
        <w:t xml:space="preserve">       </w:t>
      </w:r>
      <w:r>
        <w:rPr>
          <w:rFonts w:hint="eastAsia"/>
          <w:color w:val="auto"/>
          <w:highlight w:val="none"/>
          <w:lang w:bidi="ar"/>
        </w:rPr>
        <w:t>月</w:t>
      </w:r>
      <w:r>
        <w:rPr>
          <w:color w:val="auto"/>
          <w:highlight w:val="none"/>
          <w:lang w:bidi="ar"/>
        </w:rPr>
        <w:t xml:space="preserve">        </w:t>
      </w:r>
      <w:r>
        <w:rPr>
          <w:rFonts w:hint="eastAsia"/>
          <w:color w:val="auto"/>
          <w:highlight w:val="none"/>
          <w:lang w:bidi="ar"/>
        </w:rPr>
        <w:t>日</w:t>
      </w:r>
    </w:p>
    <w:p w14:paraId="4727625E">
      <w:pPr>
        <w:pStyle w:val="59"/>
        <w:rPr>
          <w:color w:val="auto"/>
          <w:highlight w:val="none"/>
        </w:rPr>
      </w:pPr>
    </w:p>
    <w:p w14:paraId="567B6472">
      <w:pPr>
        <w:pStyle w:val="3"/>
        <w:rPr>
          <w:color w:val="auto"/>
          <w:highlight w:val="none"/>
        </w:rPr>
      </w:pPr>
    </w:p>
    <w:p w14:paraId="11CD7F61">
      <w:pPr>
        <w:rPr>
          <w:color w:val="auto"/>
          <w:highlight w:val="none"/>
        </w:rPr>
      </w:pPr>
    </w:p>
    <w:p w14:paraId="01862FD9">
      <w:pPr>
        <w:snapToGrid w:val="0"/>
        <w:spacing w:before="50" w:after="120" w:afterLines="50"/>
        <w:jc w:val="left"/>
        <w:rPr>
          <w:color w:val="auto"/>
          <w:szCs w:val="21"/>
          <w:highlight w:val="none"/>
        </w:rPr>
      </w:pPr>
    </w:p>
    <w:p w14:paraId="10006EF2">
      <w:pPr>
        <w:rPr>
          <w:color w:val="auto"/>
          <w:szCs w:val="21"/>
          <w:highlight w:val="none"/>
        </w:rPr>
      </w:pPr>
      <w:r>
        <w:rPr>
          <w:color w:val="auto"/>
          <w:szCs w:val="21"/>
          <w:highlight w:val="none"/>
        </w:rPr>
        <w:br w:type="page"/>
      </w:r>
    </w:p>
    <w:p w14:paraId="4245C4AD">
      <w:pPr>
        <w:snapToGrid w:val="0"/>
        <w:spacing w:before="50" w:after="120" w:afterLines="50"/>
        <w:jc w:val="left"/>
        <w:rPr>
          <w:color w:val="auto"/>
          <w:szCs w:val="21"/>
          <w:highlight w:val="none"/>
        </w:rPr>
      </w:pPr>
      <w:r>
        <w:rPr>
          <w:color w:val="auto"/>
          <w:szCs w:val="21"/>
          <w:highlight w:val="none"/>
        </w:rPr>
        <w:t>9．供应商认为应当要提交的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2D39ABA9">
      <w:pPr>
        <w:spacing w:line="276" w:lineRule="auto"/>
        <w:rPr>
          <w:color w:val="auto"/>
          <w:szCs w:val="21"/>
          <w:highlight w:val="none"/>
        </w:rPr>
      </w:pPr>
    </w:p>
    <w:p w14:paraId="7951D841">
      <w:pPr>
        <w:widowControl/>
        <w:jc w:val="left"/>
        <w:rPr>
          <w:color w:val="auto"/>
          <w:szCs w:val="21"/>
          <w:highlight w:val="none"/>
        </w:rPr>
      </w:pPr>
      <w:r>
        <w:rPr>
          <w:color w:val="auto"/>
          <w:szCs w:val="21"/>
          <w:highlight w:val="none"/>
        </w:rPr>
        <w:br w:type="page"/>
      </w:r>
      <w:bookmarkEnd w:id="145"/>
    </w:p>
    <w:bookmarkEnd w:id="137"/>
    <w:p w14:paraId="27200C53">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68F06209">
      <w:pPr>
        <w:snapToGrid w:val="0"/>
        <w:spacing w:before="50" w:after="120" w:afterLines="50" w:line="400" w:lineRule="exact"/>
        <w:jc w:val="left"/>
        <w:rPr>
          <w:bCs/>
          <w:color w:val="auto"/>
          <w:sz w:val="24"/>
          <w:highlight w:val="none"/>
        </w:rPr>
      </w:pPr>
    </w:p>
    <w:p w14:paraId="5A0C956B">
      <w:pPr>
        <w:snapToGrid w:val="0"/>
        <w:spacing w:before="120" w:beforeLines="50" w:after="50" w:line="360" w:lineRule="exact"/>
        <w:rPr>
          <w:color w:val="auto"/>
          <w:sz w:val="24"/>
          <w:highlight w:val="none"/>
        </w:rPr>
      </w:pPr>
    </w:p>
    <w:p w14:paraId="12E378C8">
      <w:pPr>
        <w:snapToGrid w:val="0"/>
        <w:spacing w:before="120" w:beforeLines="50" w:after="50" w:line="360" w:lineRule="exact"/>
        <w:jc w:val="center"/>
        <w:rPr>
          <w:bCs/>
          <w:color w:val="auto"/>
          <w:sz w:val="24"/>
          <w:highlight w:val="none"/>
        </w:rPr>
      </w:pPr>
    </w:p>
    <w:p w14:paraId="276186D6">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79CC297B">
      <w:pPr>
        <w:snapToGrid w:val="0"/>
        <w:spacing w:before="120" w:beforeLines="50" w:after="50" w:line="360" w:lineRule="exact"/>
        <w:jc w:val="center"/>
        <w:rPr>
          <w:b/>
          <w:bCs/>
          <w:color w:val="auto"/>
          <w:sz w:val="44"/>
          <w:szCs w:val="44"/>
          <w:highlight w:val="none"/>
        </w:rPr>
      </w:pPr>
    </w:p>
    <w:p w14:paraId="21754360">
      <w:pPr>
        <w:snapToGrid w:val="0"/>
        <w:spacing w:before="120" w:beforeLines="50" w:after="50" w:line="360" w:lineRule="exact"/>
        <w:jc w:val="center"/>
        <w:rPr>
          <w:b/>
          <w:bCs/>
          <w:color w:val="auto"/>
          <w:sz w:val="44"/>
          <w:szCs w:val="44"/>
          <w:highlight w:val="none"/>
        </w:rPr>
      </w:pPr>
    </w:p>
    <w:p w14:paraId="30CC544A">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7432CAA6">
      <w:pPr>
        <w:snapToGrid w:val="0"/>
        <w:spacing w:before="120" w:beforeLines="50" w:after="50" w:line="360" w:lineRule="exact"/>
        <w:rPr>
          <w:bCs/>
          <w:color w:val="auto"/>
          <w:sz w:val="24"/>
          <w:highlight w:val="none"/>
        </w:rPr>
      </w:pPr>
    </w:p>
    <w:p w14:paraId="57403473">
      <w:pPr>
        <w:snapToGrid w:val="0"/>
        <w:spacing w:before="120" w:beforeLines="50" w:after="50" w:line="360" w:lineRule="exact"/>
        <w:rPr>
          <w:bCs/>
          <w:color w:val="auto"/>
          <w:sz w:val="24"/>
          <w:highlight w:val="none"/>
        </w:rPr>
      </w:pPr>
    </w:p>
    <w:p w14:paraId="7183643E">
      <w:pPr>
        <w:snapToGrid w:val="0"/>
        <w:spacing w:before="120" w:beforeLines="50" w:after="50" w:line="360" w:lineRule="exact"/>
        <w:rPr>
          <w:bCs/>
          <w:color w:val="auto"/>
          <w:sz w:val="24"/>
          <w:highlight w:val="none"/>
        </w:rPr>
      </w:pPr>
    </w:p>
    <w:p w14:paraId="4F4AAD1D">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61AA1AEB">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553339C5">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6EAE9F7">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8B70B3F">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B2943F6">
      <w:pPr>
        <w:snapToGrid w:val="0"/>
        <w:spacing w:before="120" w:beforeLines="50" w:after="50" w:line="360" w:lineRule="exact"/>
        <w:ind w:firstLine="720" w:firstLineChars="300"/>
        <w:rPr>
          <w:bCs/>
          <w:color w:val="auto"/>
          <w:sz w:val="24"/>
          <w:highlight w:val="none"/>
        </w:rPr>
      </w:pPr>
    </w:p>
    <w:p w14:paraId="0ED1FCF5">
      <w:pPr>
        <w:pStyle w:val="9"/>
        <w:snapToGrid w:val="0"/>
        <w:spacing w:before="50" w:after="50" w:line="360" w:lineRule="exact"/>
        <w:ind w:firstLine="960" w:firstLineChars="400"/>
        <w:rPr>
          <w:bCs/>
          <w:color w:val="auto"/>
          <w:sz w:val="24"/>
          <w:szCs w:val="24"/>
          <w:highlight w:val="none"/>
        </w:rPr>
      </w:pPr>
    </w:p>
    <w:p w14:paraId="3D7EFB5C">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73B0DBA0">
      <w:pPr>
        <w:rPr>
          <w:color w:val="auto"/>
          <w:highlight w:val="none"/>
        </w:rPr>
      </w:pPr>
      <w:r>
        <w:rPr>
          <w:color w:val="auto"/>
          <w:highlight w:val="none"/>
        </w:rPr>
        <w:br w:type="page"/>
      </w:r>
    </w:p>
    <w:p w14:paraId="38E97E45">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675736A8">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63D42211">
      <w:pPr>
        <w:rPr>
          <w:b/>
          <w:color w:val="auto"/>
          <w:szCs w:val="21"/>
          <w:highlight w:val="none"/>
        </w:rPr>
      </w:pPr>
      <w:r>
        <w:rPr>
          <w:color w:val="auto"/>
          <w:highlight w:val="none"/>
        </w:rPr>
        <w:br w:type="page"/>
      </w:r>
      <w:bookmarkStart w:id="146" w:name="_Toc462223472"/>
      <w:bookmarkStart w:id="147" w:name="_Toc462320613"/>
      <w:bookmarkStart w:id="148" w:name="_Toc455309222"/>
      <w:bookmarkStart w:id="149"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64B1D67">
      <w:pPr>
        <w:snapToGrid w:val="0"/>
        <w:spacing w:before="120" w:beforeLines="50" w:after="50" w:line="440" w:lineRule="exact"/>
        <w:jc w:val="center"/>
        <w:rPr>
          <w:color w:val="auto"/>
          <w:szCs w:val="21"/>
          <w:highlight w:val="none"/>
        </w:rPr>
      </w:pPr>
    </w:p>
    <w:p w14:paraId="56E281A0">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46"/>
      <w:bookmarkEnd w:id="147"/>
      <w:bookmarkEnd w:id="148"/>
    </w:p>
    <w:p w14:paraId="0290152D">
      <w:pPr>
        <w:spacing w:line="360" w:lineRule="auto"/>
        <w:rPr>
          <w:color w:val="auto"/>
          <w:highlight w:val="none"/>
        </w:rPr>
      </w:pPr>
    </w:p>
    <w:p w14:paraId="48F68C7C">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4FCB6641">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690DCB2A">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7B35494C">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6E913C85">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6633E15C">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2ABCF09E">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2F1E857A">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1EC7D45D">
      <w:pPr>
        <w:spacing w:line="540" w:lineRule="exact"/>
        <w:rPr>
          <w:color w:val="auto"/>
          <w:szCs w:val="21"/>
          <w:highlight w:val="none"/>
        </w:rPr>
      </w:pPr>
    </w:p>
    <w:p w14:paraId="695B5399">
      <w:pPr>
        <w:spacing w:line="540" w:lineRule="exact"/>
        <w:ind w:firstLine="420" w:firstLineChars="200"/>
        <w:rPr>
          <w:color w:val="auto"/>
          <w:szCs w:val="21"/>
          <w:highlight w:val="none"/>
        </w:rPr>
      </w:pPr>
      <w:r>
        <w:rPr>
          <w:color w:val="auto"/>
          <w:szCs w:val="21"/>
          <w:highlight w:val="none"/>
        </w:rPr>
        <w:t>特此证明。</w:t>
      </w:r>
    </w:p>
    <w:p w14:paraId="73653814">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E84ECA9">
      <w:pPr>
        <w:spacing w:line="360" w:lineRule="auto"/>
        <w:rPr>
          <w:color w:val="auto"/>
          <w:szCs w:val="21"/>
          <w:highlight w:val="none"/>
        </w:rPr>
      </w:pPr>
      <w:r>
        <w:rPr>
          <w:color w:val="auto"/>
          <w:szCs w:val="21"/>
          <w:highlight w:val="none"/>
        </w:rPr>
        <w:t xml:space="preserve">                                                                                               年       月       日 </w:t>
      </w:r>
    </w:p>
    <w:p w14:paraId="4D1DDE85">
      <w:pPr>
        <w:spacing w:line="360" w:lineRule="auto"/>
        <w:ind w:firstLine="420" w:firstLineChars="200"/>
        <w:rPr>
          <w:color w:val="auto"/>
          <w:szCs w:val="21"/>
          <w:highlight w:val="none"/>
        </w:rPr>
      </w:pPr>
    </w:p>
    <w:p w14:paraId="108F6A5F">
      <w:pPr>
        <w:spacing w:line="360" w:lineRule="auto"/>
        <w:rPr>
          <w:color w:val="auto"/>
          <w:szCs w:val="21"/>
          <w:highlight w:val="none"/>
        </w:rPr>
      </w:pPr>
      <w:r>
        <w:rPr>
          <w:color w:val="auto"/>
          <w:szCs w:val="21"/>
          <w:highlight w:val="none"/>
        </w:rPr>
        <w:t>附件：法定代表人身份证复印件</w:t>
      </w:r>
    </w:p>
    <w:p w14:paraId="111C260B">
      <w:pPr>
        <w:spacing w:line="360" w:lineRule="auto"/>
        <w:rPr>
          <w:color w:val="auto"/>
          <w:szCs w:val="21"/>
          <w:highlight w:val="none"/>
        </w:rPr>
      </w:pPr>
    </w:p>
    <w:bookmarkEnd w:id="149"/>
    <w:p w14:paraId="258C83CE">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94ACF2C">
      <w:pPr>
        <w:snapToGrid w:val="0"/>
        <w:spacing w:before="120" w:beforeLines="50" w:after="50" w:line="440" w:lineRule="exact"/>
        <w:jc w:val="center"/>
        <w:rPr>
          <w:b/>
          <w:color w:val="auto"/>
          <w:szCs w:val="21"/>
          <w:highlight w:val="none"/>
        </w:rPr>
      </w:pPr>
    </w:p>
    <w:p w14:paraId="6873ABAA">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0B8526AC">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20ECB4C2">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5260C5DA">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7C46F056">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3173E515">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AC83F7C">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6E76E9EE">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22290056">
      <w:pPr>
        <w:snapToGrid w:val="0"/>
        <w:spacing w:before="120" w:beforeLines="50" w:after="50" w:line="440" w:lineRule="exact"/>
        <w:rPr>
          <w:color w:val="auto"/>
          <w:szCs w:val="21"/>
          <w:highlight w:val="none"/>
          <w:u w:val="single"/>
        </w:rPr>
      </w:pPr>
      <w:bookmarkStart w:id="150"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50"/>
      <w:r>
        <w:rPr>
          <w:color w:val="auto"/>
          <w:szCs w:val="21"/>
          <w:highlight w:val="none"/>
        </w:rPr>
        <w:t xml:space="preserve">          授权人身份证号码：</w:t>
      </w:r>
      <w:r>
        <w:rPr>
          <w:color w:val="auto"/>
          <w:szCs w:val="21"/>
          <w:highlight w:val="none"/>
          <w:u w:val="single"/>
        </w:rPr>
        <w:t xml:space="preserve">                 </w:t>
      </w:r>
    </w:p>
    <w:p w14:paraId="65056E22">
      <w:pPr>
        <w:snapToGrid w:val="0"/>
        <w:spacing w:before="120" w:beforeLines="50" w:after="50" w:line="440" w:lineRule="exact"/>
        <w:rPr>
          <w:color w:val="auto"/>
          <w:szCs w:val="21"/>
          <w:highlight w:val="none"/>
        </w:rPr>
      </w:pPr>
      <w:r>
        <w:rPr>
          <w:rFonts w:hint="eastAsia"/>
          <w:color w:val="auto"/>
          <w:szCs w:val="21"/>
          <w:highlight w:val="none"/>
        </w:rPr>
        <w:t>被授权人</w:t>
      </w:r>
      <w:bookmarkStart w:id="151" w:name="_Hlk132793041"/>
      <w:r>
        <w:rPr>
          <w:rFonts w:hint="eastAsia"/>
          <w:color w:val="auto"/>
          <w:szCs w:val="21"/>
          <w:highlight w:val="none"/>
        </w:rPr>
        <w:t>手机号码及邮箱：</w:t>
      </w:r>
      <w:bookmarkEnd w:id="151"/>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63EF523C">
      <w:pPr>
        <w:snapToGrid w:val="0"/>
        <w:spacing w:before="120" w:beforeLines="50" w:after="50" w:line="440" w:lineRule="exact"/>
        <w:rPr>
          <w:color w:val="auto"/>
          <w:szCs w:val="21"/>
          <w:highlight w:val="none"/>
        </w:rPr>
      </w:pPr>
      <w:r>
        <w:rPr>
          <w:color w:val="auto"/>
          <w:szCs w:val="21"/>
          <w:highlight w:val="none"/>
        </w:rPr>
        <w:t xml:space="preserve">                                  </w:t>
      </w:r>
    </w:p>
    <w:p w14:paraId="3B670899">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95F6949">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1B0A492E">
      <w:pPr>
        <w:spacing w:line="360" w:lineRule="auto"/>
        <w:rPr>
          <w:color w:val="auto"/>
          <w:szCs w:val="21"/>
          <w:highlight w:val="none"/>
        </w:rPr>
      </w:pPr>
    </w:p>
    <w:p w14:paraId="55E5EB9F">
      <w:pPr>
        <w:spacing w:line="360" w:lineRule="auto"/>
        <w:rPr>
          <w:color w:val="auto"/>
          <w:szCs w:val="21"/>
          <w:highlight w:val="none"/>
        </w:rPr>
      </w:pPr>
    </w:p>
    <w:p w14:paraId="420AB75B">
      <w:pPr>
        <w:spacing w:line="360" w:lineRule="auto"/>
        <w:rPr>
          <w:color w:val="auto"/>
          <w:szCs w:val="21"/>
          <w:highlight w:val="none"/>
        </w:rPr>
      </w:pPr>
      <w:r>
        <w:rPr>
          <w:color w:val="auto"/>
          <w:szCs w:val="21"/>
          <w:highlight w:val="none"/>
        </w:rPr>
        <w:t>附件：法定代表人身份证复印件及授权代表身份证复印件</w:t>
      </w:r>
    </w:p>
    <w:p w14:paraId="3E52D3D8">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03C3463D">
      <w:pPr>
        <w:jc w:val="center"/>
        <w:rPr>
          <w:bCs/>
          <w:color w:val="auto"/>
          <w:sz w:val="24"/>
          <w:highlight w:val="none"/>
        </w:rPr>
      </w:pPr>
      <w:r>
        <w:rPr>
          <w:color w:val="auto"/>
          <w:highlight w:val="none"/>
        </w:rPr>
        <w:t>（本商务文件供应商可自行编写，也可参照下述提纲编写）</w:t>
      </w:r>
    </w:p>
    <w:p w14:paraId="4298E11E">
      <w:pPr>
        <w:snapToGrid w:val="0"/>
        <w:spacing w:before="50" w:after="120" w:afterLines="50" w:line="440" w:lineRule="exact"/>
        <w:jc w:val="left"/>
        <w:rPr>
          <w:color w:val="auto"/>
          <w:szCs w:val="21"/>
          <w:highlight w:val="none"/>
        </w:rPr>
      </w:pPr>
    </w:p>
    <w:p w14:paraId="48C6B1C1">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2287"/>
        <w:gridCol w:w="4429"/>
        <w:gridCol w:w="2045"/>
      </w:tblGrid>
      <w:tr w14:paraId="50B76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63F37659">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序号</w:t>
            </w:r>
          </w:p>
        </w:tc>
        <w:tc>
          <w:tcPr>
            <w:tcW w:w="1195" w:type="pct"/>
            <w:tcBorders>
              <w:top w:val="single" w:color="auto" w:sz="4" w:space="0"/>
              <w:left w:val="single" w:color="auto" w:sz="4" w:space="0"/>
              <w:bottom w:val="single" w:color="auto" w:sz="4" w:space="0"/>
              <w:right w:val="single" w:color="auto" w:sz="4" w:space="0"/>
            </w:tcBorders>
            <w:vAlign w:val="center"/>
          </w:tcPr>
          <w:p w14:paraId="24368AA9">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招标文件的商务要求</w:t>
            </w:r>
          </w:p>
        </w:tc>
        <w:tc>
          <w:tcPr>
            <w:tcW w:w="2314" w:type="pct"/>
            <w:tcBorders>
              <w:top w:val="single" w:color="auto" w:sz="4" w:space="0"/>
              <w:left w:val="single" w:color="auto" w:sz="4" w:space="0"/>
              <w:bottom w:val="single" w:color="auto" w:sz="4" w:space="0"/>
              <w:right w:val="single" w:color="auto" w:sz="4" w:space="0"/>
            </w:tcBorders>
            <w:vAlign w:val="center"/>
          </w:tcPr>
          <w:p w14:paraId="5DA9264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投标文件响应内容</w:t>
            </w:r>
          </w:p>
        </w:tc>
        <w:tc>
          <w:tcPr>
            <w:tcW w:w="1069" w:type="pct"/>
            <w:tcBorders>
              <w:top w:val="single" w:color="auto" w:sz="4" w:space="0"/>
              <w:left w:val="single" w:color="auto" w:sz="4" w:space="0"/>
              <w:bottom w:val="single" w:color="auto" w:sz="4" w:space="0"/>
              <w:right w:val="single" w:color="auto" w:sz="4" w:space="0"/>
            </w:tcBorders>
            <w:vAlign w:val="center"/>
          </w:tcPr>
          <w:p w14:paraId="2D483DD5">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highlight w:val="none"/>
              </w:rPr>
              <w:t>偏离</w:t>
            </w:r>
            <w:r>
              <w:rPr>
                <w:rFonts w:hint="default"/>
                <w:color w:val="auto"/>
                <w:szCs w:val="21"/>
                <w:highlight w:val="none"/>
              </w:rPr>
              <w:t>说明</w:t>
            </w:r>
          </w:p>
        </w:tc>
      </w:tr>
      <w:tr w14:paraId="7E88D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14:paraId="0E7E6E13">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14:paraId="27E4AFD1">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2314" w:type="pct"/>
            <w:tcBorders>
              <w:top w:val="single" w:color="auto" w:sz="4" w:space="0"/>
              <w:left w:val="single" w:color="auto" w:sz="4" w:space="0"/>
              <w:bottom w:val="single" w:color="auto" w:sz="4" w:space="0"/>
              <w:right w:val="single" w:color="auto" w:sz="4" w:space="0"/>
            </w:tcBorders>
            <w:vAlign w:val="center"/>
          </w:tcPr>
          <w:p w14:paraId="21AEC48C">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14:paraId="79C51CD9">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r w14:paraId="72F79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14:paraId="45033CD5">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14:paraId="4760D47B">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2314" w:type="pct"/>
            <w:tcBorders>
              <w:top w:val="single" w:color="auto" w:sz="4" w:space="0"/>
              <w:left w:val="single" w:color="auto" w:sz="4" w:space="0"/>
              <w:bottom w:val="single" w:color="auto" w:sz="4" w:space="0"/>
              <w:right w:val="single" w:color="auto" w:sz="4" w:space="0"/>
            </w:tcBorders>
            <w:vAlign w:val="center"/>
          </w:tcPr>
          <w:p w14:paraId="0403E778">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14:paraId="34FB25A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r w14:paraId="5B8DC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14:paraId="5A27BC58">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14:paraId="21FCCE9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2314" w:type="pct"/>
            <w:tcBorders>
              <w:top w:val="single" w:color="auto" w:sz="4" w:space="0"/>
              <w:left w:val="single" w:color="auto" w:sz="4" w:space="0"/>
              <w:bottom w:val="single" w:color="auto" w:sz="4" w:space="0"/>
              <w:right w:val="single" w:color="auto" w:sz="4" w:space="0"/>
            </w:tcBorders>
            <w:vAlign w:val="center"/>
          </w:tcPr>
          <w:p w14:paraId="7B703FF0">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69" w:type="pct"/>
            <w:tcBorders>
              <w:top w:val="single" w:color="auto" w:sz="4" w:space="0"/>
              <w:left w:val="single" w:color="auto" w:sz="4" w:space="0"/>
              <w:bottom w:val="single" w:color="auto" w:sz="4" w:space="0"/>
              <w:right w:val="single" w:color="auto" w:sz="4" w:space="0"/>
            </w:tcBorders>
            <w:vAlign w:val="center"/>
          </w:tcPr>
          <w:p w14:paraId="4E8F6C5F">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bl>
    <w:p w14:paraId="03E3CC89">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52" w:name="_Hlk48144603"/>
      <w:bookmarkStart w:id="153" w:name="_Hlk88990584"/>
      <w:r>
        <w:rPr>
          <w:rFonts w:ascii="Times New Roman" w:hAnsi="Times New Roman" w:cs="Times New Roman"/>
          <w:color w:val="auto"/>
          <w:highlight w:val="none"/>
        </w:rPr>
        <w:t>注：</w:t>
      </w:r>
      <w:bookmarkStart w:id="154"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32BCC197">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0D86189C">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54"/>
    <w:p w14:paraId="27B772B7">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52"/>
    <w:p w14:paraId="44CD4F1B">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53"/>
    <w:p w14:paraId="03CBB2D6">
      <w:pPr>
        <w:snapToGrid w:val="0"/>
        <w:spacing w:before="50" w:after="120" w:afterLines="50" w:line="440" w:lineRule="exact"/>
        <w:jc w:val="left"/>
        <w:rPr>
          <w:strike/>
          <w:color w:val="auto"/>
          <w:szCs w:val="21"/>
          <w:highlight w:val="none"/>
        </w:rPr>
      </w:pPr>
    </w:p>
    <w:p w14:paraId="28775A5E">
      <w:pPr>
        <w:snapToGrid w:val="0"/>
        <w:spacing w:before="50" w:after="120" w:afterLines="50" w:line="440" w:lineRule="exact"/>
        <w:jc w:val="left"/>
        <w:rPr>
          <w:strike/>
          <w:color w:val="auto"/>
          <w:szCs w:val="21"/>
          <w:highlight w:val="none"/>
        </w:rPr>
      </w:pPr>
      <w:r>
        <w:rPr>
          <w:color w:val="auto"/>
          <w:szCs w:val="21"/>
          <w:highlight w:val="none"/>
        </w:rPr>
        <w:t>2．售后服务机构概况</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6"/>
        <w:gridCol w:w="1863"/>
        <w:gridCol w:w="251"/>
        <w:gridCol w:w="1885"/>
        <w:gridCol w:w="1164"/>
        <w:gridCol w:w="1882"/>
      </w:tblGrid>
      <w:tr w14:paraId="1090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2C810F77">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售后服务机构名称</w:t>
            </w:r>
          </w:p>
        </w:tc>
        <w:tc>
          <w:tcPr>
            <w:tcW w:w="3680" w:type="pct"/>
            <w:gridSpan w:val="5"/>
            <w:tcBorders>
              <w:top w:val="single" w:color="auto" w:sz="4" w:space="0"/>
              <w:left w:val="single" w:color="auto" w:sz="4" w:space="0"/>
              <w:bottom w:val="single" w:color="auto" w:sz="4" w:space="0"/>
              <w:right w:val="single" w:color="auto" w:sz="4" w:space="0"/>
            </w:tcBorders>
          </w:tcPr>
          <w:p w14:paraId="29222166">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77D69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63F23D13">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地址</w:t>
            </w:r>
          </w:p>
        </w:tc>
        <w:tc>
          <w:tcPr>
            <w:tcW w:w="3680" w:type="pct"/>
            <w:gridSpan w:val="5"/>
            <w:tcBorders>
              <w:top w:val="single" w:color="auto" w:sz="4" w:space="0"/>
              <w:left w:val="single" w:color="auto" w:sz="4" w:space="0"/>
              <w:bottom w:val="single" w:color="auto" w:sz="4" w:space="0"/>
              <w:right w:val="single" w:color="auto" w:sz="4" w:space="0"/>
            </w:tcBorders>
          </w:tcPr>
          <w:p w14:paraId="493A93BE">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495B3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7AD33FED">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注册资本金</w:t>
            </w:r>
          </w:p>
        </w:tc>
        <w:tc>
          <w:tcPr>
            <w:tcW w:w="973" w:type="pct"/>
            <w:tcBorders>
              <w:top w:val="single" w:color="auto" w:sz="4" w:space="0"/>
              <w:left w:val="single" w:color="auto" w:sz="4" w:space="0"/>
              <w:bottom w:val="single" w:color="auto" w:sz="4" w:space="0"/>
              <w:right w:val="single" w:color="auto" w:sz="4" w:space="0"/>
            </w:tcBorders>
          </w:tcPr>
          <w:p w14:paraId="4560248D">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724" w:type="pct"/>
            <w:gridSpan w:val="3"/>
            <w:tcBorders>
              <w:top w:val="single" w:color="auto" w:sz="4" w:space="0"/>
              <w:left w:val="single" w:color="auto" w:sz="4" w:space="0"/>
              <w:bottom w:val="single" w:color="auto" w:sz="4" w:space="0"/>
              <w:right w:val="single" w:color="auto" w:sz="4" w:space="0"/>
            </w:tcBorders>
          </w:tcPr>
          <w:p w14:paraId="29400C52">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其中：供应商出资比例</w:t>
            </w:r>
          </w:p>
        </w:tc>
        <w:tc>
          <w:tcPr>
            <w:tcW w:w="982" w:type="pct"/>
            <w:tcBorders>
              <w:top w:val="single" w:color="auto" w:sz="4" w:space="0"/>
              <w:left w:val="single" w:color="auto" w:sz="4" w:space="0"/>
              <w:bottom w:val="single" w:color="auto" w:sz="4" w:space="0"/>
              <w:right w:val="single" w:color="auto" w:sz="4" w:space="0"/>
            </w:tcBorders>
          </w:tcPr>
          <w:p w14:paraId="506E255E">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4BAD3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2C1DA170">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员工总人数</w:t>
            </w:r>
          </w:p>
        </w:tc>
        <w:tc>
          <w:tcPr>
            <w:tcW w:w="973" w:type="pct"/>
            <w:tcBorders>
              <w:top w:val="single" w:color="auto" w:sz="4" w:space="0"/>
              <w:left w:val="single" w:color="auto" w:sz="4" w:space="0"/>
              <w:bottom w:val="single" w:color="auto" w:sz="4" w:space="0"/>
              <w:right w:val="single" w:color="auto" w:sz="4" w:space="0"/>
            </w:tcBorders>
          </w:tcPr>
          <w:p w14:paraId="2D30CB95">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724" w:type="pct"/>
            <w:gridSpan w:val="3"/>
            <w:tcBorders>
              <w:top w:val="single" w:color="auto" w:sz="4" w:space="0"/>
              <w:left w:val="single" w:color="auto" w:sz="4" w:space="0"/>
              <w:bottom w:val="single" w:color="auto" w:sz="4" w:space="0"/>
              <w:right w:val="single" w:color="auto" w:sz="4" w:space="0"/>
            </w:tcBorders>
          </w:tcPr>
          <w:p w14:paraId="2F2F1416">
            <w:pPr>
              <w:keepNext w:val="0"/>
              <w:keepLines w:val="0"/>
              <w:suppressLineNumbers w:val="0"/>
              <w:snapToGrid w:val="0"/>
              <w:spacing w:before="50" w:beforeAutospacing="0" w:after="120" w:afterLines="50" w:afterAutospacing="0" w:line="400" w:lineRule="exact"/>
              <w:ind w:left="60" w:right="0"/>
              <w:jc w:val="left"/>
              <w:rPr>
                <w:rFonts w:hint="default"/>
                <w:color w:val="auto"/>
                <w:szCs w:val="21"/>
                <w:highlight w:val="none"/>
              </w:rPr>
            </w:pPr>
            <w:r>
              <w:rPr>
                <w:rFonts w:hint="default"/>
                <w:color w:val="auto"/>
                <w:szCs w:val="21"/>
                <w:highlight w:val="none"/>
              </w:rPr>
              <w:t>其中：技术人员数</w:t>
            </w:r>
          </w:p>
        </w:tc>
        <w:tc>
          <w:tcPr>
            <w:tcW w:w="982" w:type="pct"/>
            <w:tcBorders>
              <w:top w:val="single" w:color="auto" w:sz="4" w:space="0"/>
              <w:left w:val="single" w:color="auto" w:sz="4" w:space="0"/>
              <w:bottom w:val="single" w:color="auto" w:sz="4" w:space="0"/>
              <w:right w:val="single" w:color="auto" w:sz="4" w:space="0"/>
            </w:tcBorders>
          </w:tcPr>
          <w:p w14:paraId="43BBE6C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61080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2DDF96EE">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经营期限</w:t>
            </w:r>
          </w:p>
        </w:tc>
        <w:tc>
          <w:tcPr>
            <w:tcW w:w="3680" w:type="pct"/>
            <w:gridSpan w:val="5"/>
            <w:tcBorders>
              <w:top w:val="single" w:color="auto" w:sz="4" w:space="0"/>
              <w:left w:val="single" w:color="auto" w:sz="4" w:space="0"/>
              <w:bottom w:val="single" w:color="auto" w:sz="4" w:space="0"/>
              <w:right w:val="single" w:color="auto" w:sz="4" w:space="0"/>
            </w:tcBorders>
          </w:tcPr>
          <w:p w14:paraId="08D434D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57A44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1DD193E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售后服务协议</w:t>
            </w:r>
          </w:p>
        </w:tc>
        <w:tc>
          <w:tcPr>
            <w:tcW w:w="3680" w:type="pct"/>
            <w:gridSpan w:val="5"/>
            <w:tcBorders>
              <w:top w:val="single" w:color="auto" w:sz="4" w:space="0"/>
              <w:left w:val="single" w:color="auto" w:sz="4" w:space="0"/>
              <w:bottom w:val="single" w:color="auto" w:sz="4" w:space="0"/>
              <w:right w:val="single" w:color="auto" w:sz="4" w:space="0"/>
            </w:tcBorders>
          </w:tcPr>
          <w:p w14:paraId="4D6210B2">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3EAE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71D0E8AA">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售后服务内容</w:t>
            </w:r>
          </w:p>
        </w:tc>
        <w:tc>
          <w:tcPr>
            <w:tcW w:w="3680" w:type="pct"/>
            <w:gridSpan w:val="5"/>
            <w:tcBorders>
              <w:top w:val="single" w:color="auto" w:sz="4" w:space="0"/>
              <w:left w:val="single" w:color="auto" w:sz="4" w:space="0"/>
              <w:bottom w:val="single" w:color="auto" w:sz="4" w:space="0"/>
              <w:right w:val="single" w:color="auto" w:sz="4" w:space="0"/>
            </w:tcBorders>
          </w:tcPr>
          <w:p w14:paraId="4691C2A5">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145A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7D46FD9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工作业绩</w:t>
            </w:r>
          </w:p>
        </w:tc>
        <w:tc>
          <w:tcPr>
            <w:tcW w:w="3680" w:type="pct"/>
            <w:gridSpan w:val="5"/>
            <w:tcBorders>
              <w:top w:val="single" w:color="auto" w:sz="4" w:space="0"/>
              <w:left w:val="single" w:color="auto" w:sz="4" w:space="0"/>
              <w:bottom w:val="single" w:color="auto" w:sz="4" w:space="0"/>
              <w:right w:val="single" w:color="auto" w:sz="4" w:space="0"/>
            </w:tcBorders>
          </w:tcPr>
          <w:p w14:paraId="258CE89F">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3C13B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3CEF00A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服务承诺</w:t>
            </w:r>
          </w:p>
        </w:tc>
        <w:tc>
          <w:tcPr>
            <w:tcW w:w="3680" w:type="pct"/>
            <w:gridSpan w:val="5"/>
            <w:tcBorders>
              <w:top w:val="single" w:color="auto" w:sz="4" w:space="0"/>
              <w:left w:val="single" w:color="auto" w:sz="4" w:space="0"/>
              <w:bottom w:val="single" w:color="auto" w:sz="4" w:space="0"/>
              <w:right w:val="single" w:color="auto" w:sz="4" w:space="0"/>
            </w:tcBorders>
          </w:tcPr>
          <w:p w14:paraId="0C8F8D30">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2272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1D6BF241">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业务咨询电话</w:t>
            </w:r>
          </w:p>
        </w:tc>
        <w:tc>
          <w:tcPr>
            <w:tcW w:w="1104" w:type="pct"/>
            <w:gridSpan w:val="2"/>
            <w:tcBorders>
              <w:top w:val="single" w:color="auto" w:sz="4" w:space="0"/>
              <w:left w:val="single" w:color="auto" w:sz="4" w:space="0"/>
              <w:bottom w:val="single" w:color="auto" w:sz="4" w:space="0"/>
              <w:right w:val="single" w:color="auto" w:sz="2" w:space="0"/>
            </w:tcBorders>
          </w:tcPr>
          <w:p w14:paraId="7500DB9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85" w:type="pct"/>
            <w:tcBorders>
              <w:top w:val="single" w:color="auto" w:sz="4" w:space="0"/>
              <w:left w:val="single" w:color="auto" w:sz="2" w:space="0"/>
              <w:bottom w:val="single" w:color="auto" w:sz="4" w:space="0"/>
              <w:right w:val="single" w:color="auto" w:sz="2" w:space="0"/>
            </w:tcBorders>
          </w:tcPr>
          <w:p w14:paraId="70A730C9">
            <w:pPr>
              <w:keepNext w:val="0"/>
              <w:keepLines w:val="0"/>
              <w:suppressLineNumbers w:val="0"/>
              <w:snapToGrid w:val="0"/>
              <w:spacing w:before="50" w:beforeAutospacing="0" w:after="120" w:afterLines="50" w:afterAutospacing="0" w:line="400" w:lineRule="exact"/>
              <w:ind w:left="0" w:right="0" w:firstLine="210" w:firstLineChars="100"/>
              <w:jc w:val="left"/>
              <w:rPr>
                <w:rFonts w:hint="default"/>
                <w:color w:val="auto"/>
                <w:szCs w:val="21"/>
                <w:highlight w:val="none"/>
              </w:rPr>
            </w:pPr>
            <w:r>
              <w:rPr>
                <w:rFonts w:hint="default"/>
                <w:color w:val="auto"/>
                <w:szCs w:val="21"/>
                <w:highlight w:val="none"/>
              </w:rPr>
              <w:t>传 真</w:t>
            </w:r>
          </w:p>
        </w:tc>
        <w:tc>
          <w:tcPr>
            <w:tcW w:w="1591" w:type="pct"/>
            <w:gridSpan w:val="2"/>
            <w:tcBorders>
              <w:top w:val="single" w:color="auto" w:sz="4" w:space="0"/>
              <w:left w:val="single" w:color="auto" w:sz="2" w:space="0"/>
              <w:bottom w:val="single" w:color="auto" w:sz="4" w:space="0"/>
              <w:right w:val="single" w:color="auto" w:sz="2" w:space="0"/>
            </w:tcBorders>
          </w:tcPr>
          <w:p w14:paraId="182098D7">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1AD5B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0" w:type="pct"/>
            <w:tcBorders>
              <w:top w:val="single" w:color="auto" w:sz="4" w:space="0"/>
              <w:left w:val="single" w:color="auto" w:sz="4" w:space="0"/>
              <w:bottom w:val="single" w:color="auto" w:sz="4" w:space="0"/>
              <w:right w:val="single" w:color="auto" w:sz="4" w:space="0"/>
            </w:tcBorders>
          </w:tcPr>
          <w:p w14:paraId="237B826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负责人</w:t>
            </w:r>
          </w:p>
        </w:tc>
        <w:tc>
          <w:tcPr>
            <w:tcW w:w="1104" w:type="pct"/>
            <w:gridSpan w:val="2"/>
            <w:tcBorders>
              <w:top w:val="single" w:color="auto" w:sz="4" w:space="0"/>
              <w:left w:val="single" w:color="auto" w:sz="4" w:space="0"/>
              <w:bottom w:val="single" w:color="auto" w:sz="4" w:space="0"/>
              <w:right w:val="single" w:color="auto" w:sz="2" w:space="0"/>
            </w:tcBorders>
          </w:tcPr>
          <w:p w14:paraId="399C6C1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85" w:type="pct"/>
            <w:tcBorders>
              <w:top w:val="single" w:color="auto" w:sz="4" w:space="0"/>
              <w:left w:val="single" w:color="auto" w:sz="2" w:space="0"/>
              <w:bottom w:val="single" w:color="auto" w:sz="4" w:space="0"/>
              <w:right w:val="single" w:color="auto" w:sz="2" w:space="0"/>
            </w:tcBorders>
          </w:tcPr>
          <w:p w14:paraId="72577AB1">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r>
              <w:rPr>
                <w:rFonts w:hint="default"/>
                <w:color w:val="auto"/>
                <w:szCs w:val="21"/>
                <w:highlight w:val="none"/>
              </w:rPr>
              <w:t>联系电话</w:t>
            </w:r>
          </w:p>
        </w:tc>
        <w:tc>
          <w:tcPr>
            <w:tcW w:w="1591" w:type="pct"/>
            <w:gridSpan w:val="2"/>
            <w:tcBorders>
              <w:top w:val="single" w:color="auto" w:sz="4" w:space="0"/>
              <w:left w:val="single" w:color="auto" w:sz="2" w:space="0"/>
              <w:bottom w:val="single" w:color="auto" w:sz="4" w:space="0"/>
              <w:right w:val="single" w:color="auto" w:sz="4" w:space="0"/>
            </w:tcBorders>
          </w:tcPr>
          <w:p w14:paraId="6A19EAB2">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bl>
    <w:p w14:paraId="467A3245">
      <w:pPr>
        <w:pStyle w:val="3"/>
        <w:snapToGrid w:val="0"/>
        <w:rPr>
          <w:color w:val="auto"/>
          <w:sz w:val="22"/>
          <w:szCs w:val="20"/>
          <w:highlight w:val="none"/>
        </w:rPr>
      </w:pPr>
    </w:p>
    <w:p w14:paraId="04C00F79">
      <w:pPr>
        <w:pStyle w:val="3"/>
        <w:snapToGrid w:val="0"/>
        <w:rPr>
          <w:color w:val="auto"/>
          <w:sz w:val="21"/>
          <w:szCs w:val="21"/>
          <w:highlight w:val="none"/>
        </w:rPr>
      </w:pPr>
      <w:r>
        <w:rPr>
          <w:color w:val="auto"/>
          <w:sz w:val="22"/>
          <w:szCs w:val="20"/>
          <w:highlight w:val="none"/>
        </w:rPr>
        <w:t>供应商</w:t>
      </w:r>
      <w:r>
        <w:rPr>
          <w:rFonts w:hint="eastAsia"/>
          <w:color w:val="auto"/>
          <w:sz w:val="22"/>
          <w:szCs w:val="20"/>
          <w:highlight w:val="none"/>
        </w:rPr>
        <w:t>名称(电子签章</w:t>
      </w:r>
      <w:r>
        <w:rPr>
          <w:color w:val="auto"/>
          <w:sz w:val="22"/>
          <w:szCs w:val="20"/>
          <w:highlight w:val="none"/>
        </w:rPr>
        <w:t>)</w:t>
      </w:r>
      <w:r>
        <w:rPr>
          <w:color w:val="auto"/>
          <w:sz w:val="20"/>
          <w:szCs w:val="20"/>
          <w:highlight w:val="none"/>
        </w:rPr>
        <w:t>：</w:t>
      </w:r>
      <w:r>
        <w:rPr>
          <w:color w:val="auto"/>
          <w:sz w:val="20"/>
          <w:szCs w:val="20"/>
          <w:highlight w:val="none"/>
          <w:u w:val="single"/>
        </w:rPr>
        <w:t xml:space="preserve">               </w:t>
      </w:r>
      <w:r>
        <w:rPr>
          <w:color w:val="auto"/>
          <w:sz w:val="21"/>
          <w:szCs w:val="21"/>
          <w:highlight w:val="none"/>
        </w:rPr>
        <w:t xml:space="preserve">                　 年    月　 日</w:t>
      </w:r>
    </w:p>
    <w:p w14:paraId="55620326">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注：（1）应提供供应商或其分支机构或其售后服务机构的营业执照复印件；</w:t>
      </w:r>
    </w:p>
    <w:p w14:paraId="760D98DF">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（2）供应商授权本地服务机构的，须提供授权书或服务协议复印件。</w:t>
      </w:r>
    </w:p>
    <w:p w14:paraId="3020B169">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（3）售后服务机构人员应提供名单及学历、职称、社保等证明；装备应提供发票等证明。</w:t>
      </w:r>
    </w:p>
    <w:p w14:paraId="65168DD2">
      <w:pPr>
        <w:snapToGrid w:val="0"/>
        <w:spacing w:before="50" w:after="120" w:afterLines="50" w:line="440" w:lineRule="exact"/>
        <w:jc w:val="left"/>
        <w:rPr>
          <w:color w:val="auto"/>
          <w:szCs w:val="21"/>
          <w:highlight w:val="none"/>
        </w:rPr>
      </w:pPr>
    </w:p>
    <w:p w14:paraId="20F99B75">
      <w:pPr>
        <w:snapToGrid w:val="0"/>
        <w:spacing w:before="50" w:after="120" w:afterLines="50" w:line="440" w:lineRule="exact"/>
        <w:jc w:val="left"/>
        <w:rPr>
          <w:color w:val="auto"/>
          <w:szCs w:val="21"/>
          <w:highlight w:val="none"/>
        </w:rPr>
      </w:pPr>
      <w:r>
        <w:rPr>
          <w:color w:val="auto"/>
          <w:szCs w:val="21"/>
          <w:highlight w:val="none"/>
        </w:rPr>
        <w:t>3．售后服务方案（如有</w:t>
      </w:r>
      <w:r>
        <w:rPr>
          <w:rFonts w:hint="eastAsia"/>
          <w:color w:val="auto"/>
          <w:szCs w:val="21"/>
          <w:highlight w:val="none"/>
        </w:rPr>
        <w:t>，</w:t>
      </w:r>
      <w:r>
        <w:rPr>
          <w:color w:val="auto"/>
          <w:szCs w:val="21"/>
          <w:highlight w:val="none"/>
        </w:rPr>
        <w:t>供应商自行编写）</w:t>
      </w:r>
    </w:p>
    <w:p w14:paraId="05D79FF0">
      <w:pPr>
        <w:snapToGrid w:val="0"/>
        <w:spacing w:before="50" w:after="120" w:afterLines="50" w:line="440" w:lineRule="exact"/>
        <w:jc w:val="left"/>
        <w:rPr>
          <w:color w:val="auto"/>
          <w:szCs w:val="21"/>
          <w:highlight w:val="none"/>
        </w:rPr>
      </w:pPr>
    </w:p>
    <w:p w14:paraId="6072C116">
      <w:pPr>
        <w:snapToGrid w:val="0"/>
        <w:spacing w:before="50" w:after="120" w:afterLines="50" w:line="440" w:lineRule="exact"/>
        <w:jc w:val="left"/>
        <w:rPr>
          <w:color w:val="auto"/>
          <w:spacing w:val="20"/>
          <w:szCs w:val="21"/>
          <w:highlight w:val="none"/>
          <w:u w:val="single"/>
        </w:rPr>
      </w:pPr>
    </w:p>
    <w:p w14:paraId="7DD2D5A0">
      <w:pPr>
        <w:snapToGrid w:val="0"/>
        <w:spacing w:before="50" w:after="120" w:afterLines="50" w:line="440" w:lineRule="exact"/>
        <w:jc w:val="left"/>
        <w:rPr>
          <w:color w:val="auto"/>
          <w:spacing w:val="20"/>
          <w:szCs w:val="21"/>
          <w:highlight w:val="none"/>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7F7BBA7F">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36338D98">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3CD7C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3E554FFF">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p>
          <w:p w14:paraId="6994143A">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p>
          <w:p w14:paraId="03A5E698">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3675E21">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75AE5D25">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4A39A91B">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采购</w:t>
            </w:r>
          </w:p>
          <w:p w14:paraId="4797EB48">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6231FE3B">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6ADFDC29">
            <w:pPr>
              <w:keepNext w:val="0"/>
              <w:keepLines w:val="0"/>
              <w:suppressLineNumbers w:val="0"/>
              <w:snapToGrid w:val="0"/>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3D7D7043">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采购单位联系人及联系电话</w:t>
            </w:r>
          </w:p>
        </w:tc>
      </w:tr>
      <w:tr w14:paraId="3E9B7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16A1FF40">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1DFCC77">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16F6DED8">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C47DFBA">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84E346D">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2725983">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0EA20EAE">
            <w:pPr>
              <w:keepNext w:val="0"/>
              <w:keepLines w:val="0"/>
              <w:suppressLineNumbers w:val="0"/>
              <w:snapToGrid w:val="0"/>
              <w:spacing w:before="0" w:beforeAutospacing="0" w:after="0" w:afterAutospacing="0" w:line="240" w:lineRule="exact"/>
              <w:ind w:left="0" w:right="0"/>
              <w:jc w:val="left"/>
              <w:rPr>
                <w:rFonts w:hint="default"/>
                <w:color w:val="auto"/>
                <w:szCs w:val="21"/>
                <w:highlight w:val="none"/>
              </w:rPr>
            </w:pPr>
          </w:p>
        </w:tc>
      </w:tr>
      <w:tr w14:paraId="1024E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6A95E68">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1C18353">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54353BE0">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780C90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06BBFD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A991F63">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3249534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3D125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3D7336EB">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4E6AB990">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5AA02927">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95AF39D">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64493A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32D2363A">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6918C16D">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5095F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52B2FB8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66633578">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4BF9FA96">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AF5F996">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2A8921C">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25AB9872">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03271431">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r w14:paraId="078F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730D291A">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6E668D74">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5AB3D2CD">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8DF9D03">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9F1FAF2">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42CFD92F">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996BE21">
            <w:pPr>
              <w:keepNext w:val="0"/>
              <w:keepLines w:val="0"/>
              <w:suppressLineNumbers w:val="0"/>
              <w:snapToGrid w:val="0"/>
              <w:spacing w:before="50" w:beforeAutospacing="0" w:after="120" w:afterLines="50" w:afterAutospacing="0" w:line="400" w:lineRule="exact"/>
              <w:ind w:left="0" w:right="0"/>
              <w:jc w:val="left"/>
              <w:rPr>
                <w:rFonts w:hint="default"/>
                <w:color w:val="auto"/>
                <w:szCs w:val="21"/>
                <w:highlight w:val="none"/>
              </w:rPr>
            </w:pPr>
          </w:p>
        </w:tc>
      </w:tr>
    </w:tbl>
    <w:p w14:paraId="0FADD138">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5E27B716">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13F557EE">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120DFB3D">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55" w:name="_Hlk19049505"/>
      <w:r>
        <w:rPr>
          <w:color w:val="auto"/>
          <w:highlight w:val="none"/>
        </w:rPr>
        <w:t>本表可拓展。</w:t>
      </w:r>
      <w:bookmarkEnd w:id="155"/>
    </w:p>
    <w:p w14:paraId="4FC04891">
      <w:pPr>
        <w:snapToGrid w:val="0"/>
        <w:spacing w:before="50"/>
        <w:jc w:val="left"/>
        <w:rPr>
          <w:color w:val="auto"/>
          <w:szCs w:val="21"/>
          <w:highlight w:val="none"/>
        </w:rPr>
      </w:pPr>
    </w:p>
    <w:p w14:paraId="5A55ACFF">
      <w:pPr>
        <w:snapToGrid w:val="0"/>
        <w:spacing w:before="50"/>
        <w:jc w:val="left"/>
        <w:rPr>
          <w:color w:val="auto"/>
          <w:szCs w:val="21"/>
          <w:highlight w:val="none"/>
        </w:rPr>
      </w:pPr>
      <w:bookmarkStart w:id="156"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56"/>
      <w:r>
        <w:rPr>
          <w:color w:val="auto"/>
          <w:szCs w:val="21"/>
          <w:highlight w:val="none"/>
          <w:u w:val="single"/>
        </w:rPr>
        <w:t xml:space="preserve">                 </w:t>
      </w:r>
      <w:r>
        <w:rPr>
          <w:color w:val="auto"/>
          <w:szCs w:val="21"/>
          <w:highlight w:val="none"/>
        </w:rPr>
        <w:t xml:space="preserve">                                           年    月   日</w:t>
      </w:r>
    </w:p>
    <w:p w14:paraId="0092F86C">
      <w:pPr>
        <w:snapToGrid w:val="0"/>
        <w:spacing w:before="50"/>
        <w:jc w:val="left"/>
        <w:rPr>
          <w:color w:val="auto"/>
          <w:szCs w:val="21"/>
          <w:highlight w:val="none"/>
        </w:rPr>
      </w:pPr>
    </w:p>
    <w:p w14:paraId="6D2B1BD9">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4BE32C94">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5B6E4234">
      <w:pPr>
        <w:widowControl/>
        <w:jc w:val="left"/>
        <w:rPr>
          <w:color w:val="auto"/>
          <w:szCs w:val="21"/>
          <w:highlight w:val="none"/>
        </w:rPr>
      </w:pPr>
    </w:p>
    <w:p w14:paraId="20F337D6">
      <w:pPr>
        <w:widowControl/>
        <w:jc w:val="left"/>
        <w:rPr>
          <w:color w:val="auto"/>
          <w:szCs w:val="21"/>
          <w:highlight w:val="none"/>
        </w:rPr>
      </w:pPr>
    </w:p>
    <w:p w14:paraId="1AA35B21">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746B2BED">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6088EA34">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30A6F430">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6F22C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3BDC4035">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2617273F">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0F5DCF00">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3ECC8108">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2F96F126">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34B1A60">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DF7D383">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6E704823">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备注</w:t>
            </w:r>
          </w:p>
        </w:tc>
      </w:tr>
      <w:tr w14:paraId="1FC618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3144028">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98537F8">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0745F5D8">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2D31A669">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63B9508A">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4E82904">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956DC1D">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8F08930">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r>
      <w:tr w14:paraId="79B4A7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9B336AB">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B5FA6FF">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73A5928A">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12F121D">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B62C1F6">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8DC1469">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1AF880B">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6F7B811">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r>
      <w:tr w14:paraId="1E7192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63032BBC">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r>
              <w:rPr>
                <w:rFonts w:hint="default"/>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C292943">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F266F99">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3C23EB0">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2723DB11">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7278E1A">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5A9FE81">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5AF5810">
            <w:pPr>
              <w:keepNext w:val="0"/>
              <w:keepLines w:val="0"/>
              <w:widowControl/>
              <w:suppressLineNumbers w:val="0"/>
              <w:spacing w:before="100" w:beforeAutospacing="1" w:after="100" w:afterAutospacing="1" w:line="376" w:lineRule="atLeast"/>
              <w:ind w:left="0" w:right="0"/>
              <w:jc w:val="center"/>
              <w:rPr>
                <w:rFonts w:hint="default"/>
                <w:color w:val="auto"/>
                <w:kern w:val="0"/>
                <w:szCs w:val="21"/>
                <w:highlight w:val="none"/>
              </w:rPr>
            </w:pPr>
          </w:p>
        </w:tc>
      </w:tr>
    </w:tbl>
    <w:p w14:paraId="0018E59D">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32C1EC55">
      <w:pPr>
        <w:snapToGrid w:val="0"/>
        <w:spacing w:before="50" w:after="120" w:afterLines="50"/>
        <w:jc w:val="left"/>
        <w:rPr>
          <w:color w:val="auto"/>
          <w:szCs w:val="21"/>
          <w:highlight w:val="none"/>
        </w:rPr>
      </w:pPr>
    </w:p>
    <w:p w14:paraId="55AC5EC8">
      <w:pPr>
        <w:widowControl/>
        <w:jc w:val="left"/>
        <w:rPr>
          <w:color w:val="auto"/>
          <w:szCs w:val="21"/>
          <w:highlight w:val="none"/>
        </w:rPr>
      </w:pPr>
      <w:bookmarkStart w:id="157" w:name="_Hlk19050322"/>
      <w:r>
        <w:rPr>
          <w:color w:val="auto"/>
          <w:szCs w:val="21"/>
          <w:highlight w:val="none"/>
        </w:rPr>
        <w:br w:type="page"/>
      </w:r>
    </w:p>
    <w:p w14:paraId="695A3B79">
      <w:pPr>
        <w:snapToGrid w:val="0"/>
        <w:spacing w:before="120" w:beforeLines="50" w:after="50" w:line="440" w:lineRule="exact"/>
        <w:jc w:val="left"/>
        <w:rPr>
          <w:color w:val="auto"/>
          <w:szCs w:val="21"/>
          <w:highlight w:val="none"/>
        </w:rPr>
      </w:pPr>
      <w:r>
        <w:rPr>
          <w:color w:val="auto"/>
          <w:szCs w:val="21"/>
          <w:highlight w:val="none"/>
        </w:rPr>
        <w:t>7.2</w:t>
      </w:r>
      <w:r>
        <w:rPr>
          <w:rFonts w:hint="eastAsia"/>
          <w:bCs/>
          <w:color w:val="auto"/>
          <w:szCs w:val="21"/>
          <w:highlight w:val="none"/>
        </w:rPr>
        <w:t>中小企业声明函</w:t>
      </w:r>
      <w:r>
        <w:rPr>
          <w:color w:val="auto"/>
          <w:szCs w:val="21"/>
          <w:highlight w:val="none"/>
        </w:rPr>
        <w:t>。</w:t>
      </w:r>
    </w:p>
    <w:p w14:paraId="25E55792">
      <w:pPr>
        <w:rPr>
          <w:color w:val="auto"/>
          <w:szCs w:val="21"/>
          <w:highlight w:val="none"/>
        </w:rPr>
      </w:pPr>
    </w:p>
    <w:p w14:paraId="7809A65D">
      <w:pPr>
        <w:spacing w:line="360" w:lineRule="auto"/>
        <w:ind w:firstLine="3584" w:firstLineChars="1700"/>
        <w:rPr>
          <w:b/>
          <w:color w:val="auto"/>
          <w:szCs w:val="21"/>
          <w:highlight w:val="none"/>
        </w:rPr>
      </w:pPr>
    </w:p>
    <w:p w14:paraId="5A7EE877">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6AD14694">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00317CB4">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3A4CCD5">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15938D9">
      <w:pPr>
        <w:spacing w:line="360" w:lineRule="auto"/>
        <w:ind w:firstLine="420"/>
        <w:rPr>
          <w:bCs/>
          <w:color w:val="auto"/>
          <w:szCs w:val="21"/>
          <w:highlight w:val="none"/>
        </w:rPr>
      </w:pPr>
      <w:r>
        <w:rPr>
          <w:rFonts w:hint="eastAsia"/>
          <w:bCs/>
          <w:color w:val="auto"/>
          <w:szCs w:val="21"/>
          <w:highlight w:val="none"/>
        </w:rPr>
        <w:t>……</w:t>
      </w:r>
    </w:p>
    <w:p w14:paraId="4EA9B448">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4DDF7E7">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EED709F">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26DF4E25">
      <w:pPr>
        <w:spacing w:line="360" w:lineRule="auto"/>
        <w:jc w:val="left"/>
        <w:rPr>
          <w:bCs/>
          <w:color w:val="auto"/>
          <w:szCs w:val="21"/>
          <w:highlight w:val="none"/>
        </w:rPr>
      </w:pPr>
      <w:r>
        <w:rPr>
          <w:rFonts w:hint="eastAsia"/>
          <w:bCs/>
          <w:color w:val="auto"/>
          <w:szCs w:val="21"/>
          <w:highlight w:val="none"/>
        </w:rPr>
        <w:t>注：</w:t>
      </w:r>
    </w:p>
    <w:p w14:paraId="3DCC7C18">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7A9C4A1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16362E5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586E877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w:t>
      </w:r>
      <w:r>
        <w:rPr>
          <w:rFonts w:hint="eastAsia"/>
          <w:bCs/>
          <w:color w:val="auto"/>
          <w:szCs w:val="21"/>
          <w:highlight w:val="none"/>
          <w:lang w:eastAsia="zh-CN"/>
        </w:rPr>
        <w:t>软件和信息技术服务业</w:t>
      </w:r>
      <w:r>
        <w:rPr>
          <w:rFonts w:hint="eastAsia"/>
          <w:bCs/>
          <w:color w:val="auto"/>
          <w:szCs w:val="21"/>
          <w:highlight w:val="none"/>
        </w:rPr>
        <w:t>和信息化部对“从业人员”定义的答复，《民法典》、《公司法》等法律规定，分公司不具有法人资格，其民事责任由总公司承担。企业划型时，应将分公司的从业人员、营业收入、资产总额等指标数据纳入合并计算。</w:t>
      </w:r>
    </w:p>
    <w:p w14:paraId="15CA06AE">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w:t>
      </w:r>
      <w:r>
        <w:rPr>
          <w:rFonts w:hint="eastAsia"/>
          <w:bCs/>
          <w:color w:val="auto"/>
          <w:szCs w:val="21"/>
          <w:highlight w:val="none"/>
          <w:lang w:eastAsia="zh-CN"/>
        </w:rPr>
        <w:t>或</w:t>
      </w:r>
      <w:r>
        <w:rPr>
          <w:rFonts w:hint="eastAsia"/>
          <w:bCs/>
          <w:color w:val="auto"/>
          <w:szCs w:val="21"/>
          <w:highlight w:val="none"/>
        </w:rPr>
        <w:t>其他形式劳动报酬的人员数，是在岗职工、劳务派遣人员及其他从业人员之和。</w:t>
      </w:r>
    </w:p>
    <w:p w14:paraId="020B157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3CF53A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2B57F48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1E53C72">
      <w:pPr>
        <w:spacing w:line="360" w:lineRule="auto"/>
        <w:jc w:val="left"/>
        <w:rPr>
          <w:bCs/>
          <w:color w:val="auto"/>
          <w:szCs w:val="21"/>
          <w:highlight w:val="none"/>
        </w:rPr>
      </w:pPr>
    </w:p>
    <w:p w14:paraId="61FE295D">
      <w:pPr>
        <w:snapToGrid w:val="0"/>
        <w:spacing w:before="50" w:after="120" w:afterLines="50"/>
        <w:jc w:val="left"/>
        <w:rPr>
          <w:color w:val="auto"/>
          <w:szCs w:val="21"/>
          <w:highlight w:val="none"/>
        </w:rPr>
      </w:pPr>
      <w:r>
        <w:rPr>
          <w:color w:val="auto"/>
          <w:szCs w:val="21"/>
          <w:highlight w:val="none"/>
        </w:rPr>
        <w:t>7.3监狱企业须提供最新一期《XX省监狱企业产品目录》或其他监狱企业证明材料。（非监狱企业无需提供）</w:t>
      </w:r>
    </w:p>
    <w:p w14:paraId="0C895E2D">
      <w:pPr>
        <w:snapToGrid w:val="0"/>
        <w:spacing w:before="50" w:after="120" w:afterLines="50"/>
        <w:jc w:val="left"/>
        <w:rPr>
          <w:color w:val="auto"/>
          <w:szCs w:val="21"/>
          <w:highlight w:val="none"/>
        </w:rPr>
      </w:pPr>
    </w:p>
    <w:p w14:paraId="5B66489D">
      <w:pPr>
        <w:widowControl/>
        <w:jc w:val="left"/>
        <w:rPr>
          <w:color w:val="auto"/>
          <w:szCs w:val="21"/>
          <w:highlight w:val="none"/>
        </w:rPr>
      </w:pPr>
      <w:r>
        <w:rPr>
          <w:color w:val="auto"/>
          <w:szCs w:val="21"/>
          <w:highlight w:val="none"/>
        </w:rPr>
        <w:t>7.4</w:t>
      </w:r>
      <w:r>
        <w:rPr>
          <w:color w:val="auto"/>
          <w:highlight w:val="none"/>
        </w:rPr>
        <w:t>残疾人福利性单位须提供《残疾人福利性单位声明函》，格式如下。</w:t>
      </w:r>
      <w:r>
        <w:rPr>
          <w:color w:val="auto"/>
          <w:szCs w:val="21"/>
          <w:highlight w:val="none"/>
        </w:rPr>
        <w:t>（非残疾人福利性单位无需提供）</w:t>
      </w:r>
    </w:p>
    <w:p w14:paraId="5C61D270">
      <w:pPr>
        <w:spacing w:line="360" w:lineRule="auto"/>
        <w:jc w:val="center"/>
        <w:rPr>
          <w:b/>
          <w:color w:val="auto"/>
          <w:szCs w:val="21"/>
          <w:highlight w:val="none"/>
        </w:rPr>
      </w:pPr>
      <w:r>
        <w:rPr>
          <w:b/>
          <w:color w:val="auto"/>
          <w:szCs w:val="21"/>
          <w:highlight w:val="none"/>
        </w:rPr>
        <w:t>残疾人福利性单位声明函</w:t>
      </w:r>
    </w:p>
    <w:p w14:paraId="659C99DD">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3940039">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4D0B8305">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59F6B6A1">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485C2DE7">
      <w:pPr>
        <w:spacing w:line="360" w:lineRule="auto"/>
        <w:rPr>
          <w:color w:val="auto"/>
          <w:szCs w:val="21"/>
          <w:highlight w:val="none"/>
        </w:rPr>
      </w:pPr>
    </w:p>
    <w:p w14:paraId="5AAF9255">
      <w:pPr>
        <w:widowControl/>
        <w:jc w:val="left"/>
        <w:rPr>
          <w:color w:val="auto"/>
          <w:szCs w:val="21"/>
          <w:highlight w:val="none"/>
        </w:rPr>
      </w:pPr>
      <w:r>
        <w:rPr>
          <w:color w:val="auto"/>
          <w:szCs w:val="21"/>
          <w:highlight w:val="none"/>
        </w:rPr>
        <w:br w:type="page"/>
      </w:r>
    </w:p>
    <w:p w14:paraId="15F5F7B6">
      <w:pPr>
        <w:snapToGrid w:val="0"/>
        <w:spacing w:before="50" w:after="120" w:afterLines="50"/>
        <w:jc w:val="left"/>
        <w:rPr>
          <w:color w:val="auto"/>
          <w:szCs w:val="21"/>
          <w:highlight w:val="none"/>
        </w:rPr>
      </w:pPr>
      <w:bookmarkStart w:id="158"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41D15562">
      <w:pPr>
        <w:snapToGrid w:val="0"/>
        <w:spacing w:before="50" w:after="120" w:afterLines="50"/>
        <w:jc w:val="center"/>
        <w:rPr>
          <w:color w:val="auto"/>
          <w:szCs w:val="21"/>
          <w:highlight w:val="none"/>
        </w:rPr>
      </w:pPr>
    </w:p>
    <w:p w14:paraId="5607A028">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1AAF01FF">
      <w:pPr>
        <w:snapToGrid w:val="0"/>
        <w:spacing w:before="50" w:after="120" w:afterLines="50"/>
        <w:jc w:val="left"/>
        <w:rPr>
          <w:color w:val="auto"/>
          <w:szCs w:val="21"/>
          <w:highlight w:val="none"/>
        </w:rPr>
      </w:pPr>
    </w:p>
    <w:p w14:paraId="7C162E4B">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1FE1DDB5">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3B2E6289">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7B065789">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138E4B4A">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5917B01E">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4B0C41D9">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05BB0FA3">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72058FF">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08B96131">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3FC1A27A">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4E3B7536">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53830C1A">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DAC02D2">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2E5F6F63">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69508758">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15025A47">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3E5D8E44">
      <w:pPr>
        <w:snapToGrid w:val="0"/>
        <w:spacing w:before="50" w:after="120" w:afterLines="50"/>
        <w:jc w:val="center"/>
        <w:rPr>
          <w:color w:val="auto"/>
          <w:szCs w:val="21"/>
          <w:highlight w:val="none"/>
        </w:rPr>
      </w:pPr>
    </w:p>
    <w:p w14:paraId="3D078674">
      <w:pPr>
        <w:snapToGrid w:val="0"/>
        <w:spacing w:before="50" w:after="120" w:afterLines="50"/>
        <w:jc w:val="center"/>
        <w:rPr>
          <w:color w:val="auto"/>
          <w:szCs w:val="21"/>
          <w:highlight w:val="none"/>
        </w:rPr>
      </w:pPr>
    </w:p>
    <w:p w14:paraId="21DCB432">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3B81F85C">
      <w:pPr>
        <w:snapToGrid w:val="0"/>
        <w:spacing w:before="50" w:after="120" w:afterLines="50"/>
        <w:jc w:val="center"/>
        <w:rPr>
          <w:color w:val="auto"/>
          <w:szCs w:val="21"/>
          <w:highlight w:val="none"/>
        </w:rPr>
      </w:pPr>
      <w:r>
        <w:rPr>
          <w:rFonts w:hint="eastAsia"/>
          <w:color w:val="auto"/>
          <w:szCs w:val="21"/>
          <w:highlight w:val="none"/>
        </w:rPr>
        <w:t>日期：  年  月   日</w:t>
      </w:r>
    </w:p>
    <w:bookmarkEnd w:id="157"/>
    <w:p w14:paraId="45D9BD87">
      <w:pPr>
        <w:snapToGrid w:val="0"/>
        <w:spacing w:before="50" w:after="120" w:afterLines="50"/>
        <w:jc w:val="left"/>
        <w:rPr>
          <w:color w:val="auto"/>
          <w:szCs w:val="21"/>
          <w:highlight w:val="none"/>
        </w:rPr>
      </w:pPr>
      <w:r>
        <w:rPr>
          <w:color w:val="auto"/>
          <w:szCs w:val="21"/>
          <w:highlight w:val="none"/>
        </w:rPr>
        <w:br w:type="page"/>
      </w:r>
      <w:bookmarkEnd w:id="158"/>
      <w:r>
        <w:rPr>
          <w:color w:val="auto"/>
          <w:szCs w:val="21"/>
          <w:highlight w:val="none"/>
        </w:rPr>
        <w:t>9.代理服务费承诺书</w:t>
      </w:r>
    </w:p>
    <w:p w14:paraId="15025A88">
      <w:pPr>
        <w:spacing w:line="360" w:lineRule="exact"/>
        <w:rPr>
          <w:color w:val="auto"/>
          <w:szCs w:val="21"/>
          <w:highlight w:val="none"/>
        </w:rPr>
      </w:pPr>
      <w:r>
        <w:rPr>
          <w:color w:val="auto"/>
          <w:szCs w:val="21"/>
          <w:highlight w:val="none"/>
        </w:rPr>
        <w:t>致：广西机电设备招标有限公司</w:t>
      </w:r>
    </w:p>
    <w:p w14:paraId="2EA72DE4">
      <w:pPr>
        <w:spacing w:line="360" w:lineRule="exact"/>
        <w:ind w:firstLine="420" w:firstLineChars="200"/>
        <w:rPr>
          <w:color w:val="auto"/>
          <w:szCs w:val="21"/>
          <w:highlight w:val="none"/>
        </w:rPr>
      </w:pPr>
      <w:r>
        <w:rPr>
          <w:color w:val="auto"/>
          <w:szCs w:val="21"/>
          <w:highlight w:val="none"/>
        </w:rPr>
        <w:t>我单位参加了贵方组织的招标项目编号为</w:t>
      </w:r>
      <w:r>
        <w:rPr>
          <w:b/>
          <w:color w:val="auto"/>
          <w:szCs w:val="21"/>
          <w:highlight w:val="none"/>
        </w:rPr>
        <w:t>（</w:t>
      </w:r>
      <w:r>
        <w:rPr>
          <w:color w:val="auto"/>
          <w:szCs w:val="21"/>
          <w:highlight w:val="none"/>
          <w:u w:val="single"/>
        </w:rPr>
        <w:t xml:space="preserve">                    )</w:t>
      </w:r>
      <w:r>
        <w:rPr>
          <w:color w:val="auto"/>
          <w:szCs w:val="21"/>
          <w:highlight w:val="none"/>
        </w:rPr>
        <w:t>的投标，并递交了投标保证金</w:t>
      </w:r>
      <w:bookmarkStart w:id="159" w:name="_Hlk19050352"/>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w:t>
      </w:r>
      <w:bookmarkEnd w:id="159"/>
      <w:r>
        <w:rPr>
          <w:color w:val="auto"/>
          <w:szCs w:val="21"/>
          <w:highlight w:val="none"/>
        </w:rPr>
        <w:t>，在此我方说明如下：</w:t>
      </w:r>
    </w:p>
    <w:p w14:paraId="0E684037">
      <w:pPr>
        <w:spacing w:line="360" w:lineRule="exact"/>
        <w:ind w:firstLine="420" w:firstLineChars="200"/>
        <w:rPr>
          <w:color w:val="auto"/>
          <w:szCs w:val="21"/>
          <w:highlight w:val="none"/>
        </w:rPr>
      </w:pPr>
      <w:bookmarkStart w:id="160" w:name="_Hlk19050395"/>
      <w:r>
        <w:rPr>
          <w:color w:val="auto"/>
          <w:szCs w:val="21"/>
          <w:highlight w:val="none"/>
        </w:rPr>
        <w:t>1．我方承诺，若我单位中标，保证在领取中标通知书之前，按本项目招标文件的规定标准向贵单位支付代理服务费。如我单位未按规定缴纳代理服务费，贵方可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bookmarkEnd w:id="160"/>
    <w:p w14:paraId="7C6AE93F">
      <w:pPr>
        <w:spacing w:line="360" w:lineRule="exact"/>
        <w:ind w:firstLine="420" w:firstLineChars="200"/>
        <w:rPr>
          <w:color w:val="auto"/>
          <w:szCs w:val="21"/>
          <w:highlight w:val="none"/>
        </w:rPr>
      </w:pPr>
      <w:bookmarkStart w:id="161" w:name="_Hlk19050518"/>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5770E539">
      <w:pPr>
        <w:spacing w:line="360" w:lineRule="exact"/>
        <w:ind w:firstLine="420" w:firstLineChars="200"/>
        <w:rPr>
          <w:color w:val="auto"/>
          <w:szCs w:val="21"/>
          <w:highlight w:val="none"/>
        </w:rPr>
      </w:pPr>
      <w:r>
        <w:rPr>
          <w:color w:val="auto"/>
          <w:szCs w:val="21"/>
          <w:highlight w:val="none"/>
        </w:rPr>
        <w:t>第一种方式：一次性足额缴纳代理服务费。</w:t>
      </w:r>
    </w:p>
    <w:p w14:paraId="2838DDA0">
      <w:pPr>
        <w:spacing w:line="360" w:lineRule="exact"/>
        <w:ind w:firstLine="420" w:firstLineChars="200"/>
        <w:rPr>
          <w:color w:val="auto"/>
          <w:szCs w:val="21"/>
          <w:highlight w:val="none"/>
        </w:rPr>
      </w:pPr>
      <w:r>
        <w:rPr>
          <w:color w:val="auto"/>
          <w:szCs w:val="21"/>
          <w:highlight w:val="none"/>
        </w:rPr>
        <w:t>第二种方式：从投标保证金中抵扣代理服务费，不足部分补交。</w:t>
      </w:r>
    </w:p>
    <w:bookmarkEnd w:id="161"/>
    <w:p w14:paraId="3B4A8C8E">
      <w:pPr>
        <w:spacing w:line="360" w:lineRule="exact"/>
        <w:ind w:firstLine="420" w:firstLineChars="200"/>
        <w:rPr>
          <w:color w:val="auto"/>
          <w:szCs w:val="21"/>
          <w:highlight w:val="none"/>
        </w:rPr>
      </w:pPr>
      <w:r>
        <w:rPr>
          <w:color w:val="auto"/>
          <w:szCs w:val="21"/>
          <w:highlight w:val="none"/>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6C5F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5C97C95">
            <w:pPr>
              <w:keepNext w:val="0"/>
              <w:keepLines w:val="0"/>
              <w:suppressLineNumbers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rPr>
              <w:t>收款户名</w:t>
            </w:r>
          </w:p>
        </w:tc>
        <w:tc>
          <w:tcPr>
            <w:tcW w:w="5431" w:type="dxa"/>
            <w:vAlign w:val="center"/>
          </w:tcPr>
          <w:p w14:paraId="5DF65382">
            <w:pPr>
              <w:keepNext w:val="0"/>
              <w:keepLines w:val="0"/>
              <w:suppressLineNumbers w:val="0"/>
              <w:spacing w:before="0" w:beforeAutospacing="0" w:after="0" w:afterAutospacing="0" w:line="360" w:lineRule="exact"/>
              <w:ind w:left="0" w:right="0"/>
              <w:jc w:val="center"/>
              <w:rPr>
                <w:rFonts w:hint="default"/>
                <w:color w:val="auto"/>
                <w:szCs w:val="21"/>
                <w:highlight w:val="none"/>
              </w:rPr>
            </w:pPr>
          </w:p>
        </w:tc>
      </w:tr>
      <w:tr w14:paraId="7305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23419317">
            <w:pPr>
              <w:keepNext w:val="0"/>
              <w:keepLines w:val="0"/>
              <w:suppressLineNumbers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rPr>
              <w:t>账    号</w:t>
            </w:r>
          </w:p>
        </w:tc>
        <w:tc>
          <w:tcPr>
            <w:tcW w:w="5431" w:type="dxa"/>
            <w:vAlign w:val="center"/>
          </w:tcPr>
          <w:p w14:paraId="07C7DAD5">
            <w:pPr>
              <w:keepNext w:val="0"/>
              <w:keepLines w:val="0"/>
              <w:suppressLineNumbers w:val="0"/>
              <w:spacing w:before="0" w:beforeAutospacing="0" w:after="0" w:afterAutospacing="0" w:line="360" w:lineRule="exact"/>
              <w:ind w:left="0" w:right="0"/>
              <w:jc w:val="center"/>
              <w:rPr>
                <w:rFonts w:hint="default"/>
                <w:color w:val="auto"/>
                <w:szCs w:val="21"/>
                <w:highlight w:val="none"/>
              </w:rPr>
            </w:pPr>
          </w:p>
        </w:tc>
      </w:tr>
      <w:tr w14:paraId="4463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293141D">
            <w:pPr>
              <w:keepNext w:val="0"/>
              <w:keepLines w:val="0"/>
              <w:suppressLineNumbers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rPr>
              <w:t>开户银行</w:t>
            </w:r>
          </w:p>
        </w:tc>
        <w:tc>
          <w:tcPr>
            <w:tcW w:w="5431" w:type="dxa"/>
            <w:vAlign w:val="center"/>
          </w:tcPr>
          <w:p w14:paraId="36B3DDE2">
            <w:pPr>
              <w:keepNext w:val="0"/>
              <w:keepLines w:val="0"/>
              <w:suppressLineNumbers w:val="0"/>
              <w:spacing w:before="0" w:beforeAutospacing="0" w:after="0" w:afterAutospacing="0" w:line="360" w:lineRule="exact"/>
              <w:ind w:left="0" w:right="0"/>
              <w:jc w:val="center"/>
              <w:rPr>
                <w:rFonts w:hint="default"/>
                <w:color w:val="auto"/>
                <w:szCs w:val="21"/>
                <w:highlight w:val="none"/>
              </w:rPr>
            </w:pPr>
          </w:p>
        </w:tc>
      </w:tr>
      <w:tr w14:paraId="4FD5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13BAD87">
            <w:pPr>
              <w:keepNext w:val="0"/>
              <w:keepLines w:val="0"/>
              <w:suppressLineNumbers w:val="0"/>
              <w:spacing w:before="0" w:beforeAutospacing="0" w:after="0" w:afterAutospacing="0" w:line="360" w:lineRule="exact"/>
              <w:ind w:left="0" w:right="0"/>
              <w:jc w:val="center"/>
              <w:rPr>
                <w:rFonts w:hint="default"/>
                <w:color w:val="auto"/>
                <w:szCs w:val="21"/>
                <w:highlight w:val="none"/>
              </w:rPr>
            </w:pPr>
            <w:r>
              <w:rPr>
                <w:rFonts w:hint="default"/>
                <w:color w:val="auto"/>
                <w:szCs w:val="21"/>
                <w:highlight w:val="none"/>
              </w:rPr>
              <w:t>银行行号</w:t>
            </w:r>
          </w:p>
        </w:tc>
        <w:tc>
          <w:tcPr>
            <w:tcW w:w="5431" w:type="dxa"/>
            <w:vAlign w:val="center"/>
          </w:tcPr>
          <w:p w14:paraId="0C6998F6">
            <w:pPr>
              <w:keepNext w:val="0"/>
              <w:keepLines w:val="0"/>
              <w:suppressLineNumbers w:val="0"/>
              <w:spacing w:before="0" w:beforeAutospacing="0" w:after="0" w:afterAutospacing="0" w:line="360" w:lineRule="exact"/>
              <w:ind w:left="0" w:right="0"/>
              <w:jc w:val="center"/>
              <w:rPr>
                <w:rFonts w:hint="default"/>
                <w:color w:val="auto"/>
                <w:szCs w:val="21"/>
                <w:highlight w:val="none"/>
              </w:rPr>
            </w:pPr>
          </w:p>
        </w:tc>
      </w:tr>
    </w:tbl>
    <w:p w14:paraId="1434EF97">
      <w:pPr>
        <w:spacing w:line="360" w:lineRule="exact"/>
        <w:ind w:firstLine="420" w:firstLineChars="200"/>
        <w:rPr>
          <w:color w:val="auto"/>
          <w:szCs w:val="21"/>
          <w:highlight w:val="none"/>
        </w:rPr>
      </w:pPr>
      <w:r>
        <w:rPr>
          <w:color w:val="auto"/>
          <w:szCs w:val="21"/>
          <w:highlight w:val="none"/>
        </w:rPr>
        <w:t>3．如果我单位未遵守有关招标文件关于投标保证金的规定，贵方可以没收我单位投标保证金。</w:t>
      </w:r>
    </w:p>
    <w:p w14:paraId="3A36BAB2">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11F5601C">
      <w:pPr>
        <w:spacing w:line="360" w:lineRule="exact"/>
        <w:ind w:firstLine="420" w:firstLineChars="200"/>
        <w:rPr>
          <w:color w:val="auto"/>
          <w:szCs w:val="21"/>
          <w:highlight w:val="none"/>
        </w:rPr>
      </w:pPr>
      <w:r>
        <w:rPr>
          <w:color w:val="auto"/>
          <w:szCs w:val="21"/>
          <w:highlight w:val="none"/>
        </w:rPr>
        <w:t>第一种方式：开具收据。</w:t>
      </w:r>
    </w:p>
    <w:p w14:paraId="419B8A8E">
      <w:pPr>
        <w:spacing w:line="360" w:lineRule="exact"/>
        <w:ind w:firstLine="420" w:firstLineChars="200"/>
        <w:rPr>
          <w:color w:val="auto"/>
          <w:szCs w:val="21"/>
          <w:highlight w:val="none"/>
        </w:rPr>
      </w:pPr>
      <w:r>
        <w:rPr>
          <w:color w:val="auto"/>
          <w:szCs w:val="21"/>
          <w:highlight w:val="none"/>
        </w:rPr>
        <w:t>第二种方式：开具增值税普通发票。开票信息如下：1.公司名称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4EF884A6">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2C9484DE">
      <w:pPr>
        <w:spacing w:before="120" w:beforeLines="50" w:line="360" w:lineRule="auto"/>
        <w:jc w:val="left"/>
        <w:rPr>
          <w:color w:val="auto"/>
          <w:szCs w:val="21"/>
          <w:highlight w:val="none"/>
        </w:rPr>
      </w:pPr>
    </w:p>
    <w:p w14:paraId="1656FC33">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A41F14D">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2FB91295">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FCF731B">
      <w:pPr>
        <w:spacing w:before="120" w:beforeLines="50" w:line="360" w:lineRule="auto"/>
        <w:jc w:val="left"/>
        <w:rPr>
          <w:color w:val="auto"/>
          <w:szCs w:val="21"/>
          <w:highlight w:val="none"/>
        </w:rPr>
      </w:pPr>
      <w:r>
        <w:rPr>
          <w:color w:val="auto"/>
          <w:szCs w:val="21"/>
          <w:highlight w:val="none"/>
        </w:rPr>
        <w:t>说明：</w:t>
      </w:r>
    </w:p>
    <w:p w14:paraId="3F533853">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6B21A81A">
      <w:pPr>
        <w:spacing w:line="340" w:lineRule="exact"/>
        <w:ind w:firstLine="420" w:firstLineChars="200"/>
        <w:rPr>
          <w:color w:val="auto"/>
          <w:szCs w:val="21"/>
          <w:highlight w:val="none"/>
        </w:rPr>
      </w:pPr>
      <w:r>
        <w:rPr>
          <w:color w:val="auto"/>
          <w:szCs w:val="21"/>
          <w:highlight w:val="none"/>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E411124">
      <w:pPr>
        <w:jc w:val="center"/>
        <w:rPr>
          <w:color w:val="auto"/>
          <w:highlight w:val="none"/>
        </w:rPr>
      </w:pPr>
      <w:r>
        <w:rPr>
          <w:color w:val="auto"/>
          <w:highlight w:val="none"/>
        </w:rPr>
        <w:t>（3）如供应商未及时收到退回款项，请与广西机电设备招标有限公司财务部联系。广西机电设备招标有限公司财务部联系方式：联系人：吴茜；电话：0771-2821398；传真：0771-2843545。</w:t>
      </w:r>
    </w:p>
    <w:p w14:paraId="3D9C9529">
      <w:pPr>
        <w:widowControl/>
        <w:jc w:val="left"/>
        <w:rPr>
          <w:color w:val="auto"/>
          <w:highlight w:val="none"/>
        </w:rPr>
      </w:pPr>
      <w:r>
        <w:rPr>
          <w:color w:val="auto"/>
          <w:highlight w:val="none"/>
        </w:rPr>
        <w:br w:type="page"/>
      </w:r>
    </w:p>
    <w:p w14:paraId="3AEB3364">
      <w:pPr>
        <w:snapToGrid w:val="0"/>
        <w:spacing w:before="50" w:after="120" w:afterLines="50"/>
        <w:jc w:val="left"/>
        <w:rPr>
          <w:color w:val="auto"/>
          <w:szCs w:val="21"/>
          <w:highlight w:val="none"/>
        </w:rPr>
      </w:pPr>
      <w:r>
        <w:rPr>
          <w:color w:val="auto"/>
          <w:szCs w:val="21"/>
          <w:highlight w:val="none"/>
        </w:rPr>
        <w:t>10．供应商认为需提供的其他材料（根据招标文件编写）</w:t>
      </w:r>
    </w:p>
    <w:p w14:paraId="0BCF8BAD">
      <w:pPr>
        <w:rPr>
          <w:color w:val="auto"/>
          <w:highlight w:val="none"/>
        </w:rPr>
      </w:pPr>
    </w:p>
    <w:p w14:paraId="4460B1C9">
      <w:pPr>
        <w:widowControl/>
        <w:jc w:val="left"/>
        <w:rPr>
          <w:color w:val="auto"/>
          <w:sz w:val="28"/>
          <w:szCs w:val="28"/>
          <w:highlight w:val="none"/>
        </w:rPr>
      </w:pPr>
      <w:r>
        <w:rPr>
          <w:color w:val="auto"/>
          <w:sz w:val="28"/>
          <w:szCs w:val="28"/>
          <w:highlight w:val="none"/>
        </w:rPr>
        <w:br w:type="page"/>
      </w:r>
    </w:p>
    <w:p w14:paraId="70BF6C05">
      <w:pPr>
        <w:jc w:val="center"/>
        <w:rPr>
          <w:color w:val="auto"/>
          <w:sz w:val="28"/>
          <w:szCs w:val="28"/>
          <w:highlight w:val="none"/>
        </w:rPr>
      </w:pPr>
      <w:r>
        <w:rPr>
          <w:color w:val="auto"/>
          <w:sz w:val="28"/>
          <w:szCs w:val="28"/>
          <w:highlight w:val="none"/>
        </w:rPr>
        <w:t>第二部分 技术文件</w:t>
      </w:r>
    </w:p>
    <w:p w14:paraId="5BB96957">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10BF208A">
      <w:pPr>
        <w:snapToGrid w:val="0"/>
        <w:spacing w:before="50" w:after="120" w:afterLines="50"/>
        <w:jc w:val="left"/>
        <w:rPr>
          <w:color w:val="auto"/>
          <w:szCs w:val="21"/>
          <w:highlight w:val="none"/>
        </w:rPr>
      </w:pPr>
    </w:p>
    <w:p w14:paraId="7D4F0D10">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69D42E70">
      <w:pPr>
        <w:rPr>
          <w:color w:val="auto"/>
          <w:szCs w:val="21"/>
          <w:highlight w:val="none"/>
        </w:rPr>
      </w:pPr>
    </w:p>
    <w:p w14:paraId="783BA99C">
      <w:pPr>
        <w:ind w:firstLine="420" w:firstLineChars="200"/>
        <w:rPr>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5D36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F7428F3">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91D35CB">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招标文件要求</w:t>
            </w:r>
          </w:p>
          <w:p w14:paraId="7993FBCC">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47867CA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208226D9">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highlight w:val="none"/>
              </w:rPr>
              <w:t>偏离</w:t>
            </w:r>
            <w:r>
              <w:rPr>
                <w:rFonts w:hint="default"/>
                <w:color w:val="auto"/>
                <w:szCs w:val="21"/>
                <w:highlight w:val="none"/>
              </w:rPr>
              <w:t>说明</w:t>
            </w:r>
          </w:p>
        </w:tc>
      </w:tr>
      <w:tr w14:paraId="4EE0D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5959AC">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2C75035">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92916EC">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5E11453">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r w14:paraId="63AF4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9048BF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61F72C1">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C7839F1">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D6E0DBE">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r w14:paraId="16DBE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264AF59">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C2B3ACA">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984F17B">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94D0FF4">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p>
        </w:tc>
      </w:tr>
      <w:tr w14:paraId="411CB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FC58681">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7FE8ACCD">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2A50F2DB">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50D458DF">
            <w:pPr>
              <w:keepNext w:val="0"/>
              <w:keepLines w:val="0"/>
              <w:suppressLineNumbers w:val="0"/>
              <w:snapToGrid w:val="0"/>
              <w:spacing w:before="120" w:beforeLines="50" w:beforeAutospacing="0" w:after="0" w:afterAutospacing="0"/>
              <w:ind w:left="0" w:right="0"/>
              <w:jc w:val="center"/>
              <w:rPr>
                <w:rFonts w:hint="default"/>
                <w:color w:val="auto"/>
                <w:szCs w:val="21"/>
                <w:highlight w:val="none"/>
              </w:rPr>
            </w:pPr>
            <w:r>
              <w:rPr>
                <w:rFonts w:hint="default"/>
                <w:color w:val="auto"/>
                <w:szCs w:val="21"/>
                <w:highlight w:val="none"/>
              </w:rPr>
              <w:t>……</w:t>
            </w:r>
          </w:p>
        </w:tc>
      </w:tr>
    </w:tbl>
    <w:p w14:paraId="2ED64991">
      <w:pPr>
        <w:rPr>
          <w:color w:val="auto"/>
          <w:szCs w:val="21"/>
          <w:highlight w:val="none"/>
        </w:rPr>
      </w:pPr>
    </w:p>
    <w:p w14:paraId="43745FEC">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62"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40FCA5C4">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6A0AF680">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44237260">
      <w:pPr>
        <w:rPr>
          <w:color w:val="auto"/>
          <w:highlight w:val="none"/>
        </w:rPr>
      </w:pPr>
      <w:r>
        <w:rPr>
          <w:color w:val="auto"/>
          <w:highlight w:val="none"/>
        </w:rPr>
        <w:t>（4）本表可扩展。</w:t>
      </w:r>
    </w:p>
    <w:bookmarkEnd w:id="162"/>
    <w:p w14:paraId="59926E90">
      <w:pPr>
        <w:rPr>
          <w:color w:val="auto"/>
          <w:szCs w:val="21"/>
          <w:highlight w:val="none"/>
        </w:rPr>
      </w:pPr>
    </w:p>
    <w:p w14:paraId="5329783B">
      <w:pPr>
        <w:rPr>
          <w:color w:val="auto"/>
          <w:spacing w:val="20"/>
          <w:szCs w:val="21"/>
          <w:highlight w:val="none"/>
          <w:u w:val="single"/>
        </w:rPr>
      </w:pPr>
      <w:bookmarkStart w:id="163" w:name="_Hlk88990507"/>
    </w:p>
    <w:p w14:paraId="145B9731">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63"/>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6F1CB43">
      <w:pPr>
        <w:rPr>
          <w:color w:val="auto"/>
          <w:szCs w:val="21"/>
          <w:highlight w:val="none"/>
        </w:rPr>
      </w:pPr>
    </w:p>
    <w:p w14:paraId="334266EB">
      <w:pPr>
        <w:snapToGrid w:val="0"/>
        <w:spacing w:before="50" w:after="120" w:afterLines="50"/>
        <w:jc w:val="left"/>
        <w:rPr>
          <w:color w:val="auto"/>
          <w:szCs w:val="21"/>
          <w:highlight w:val="none"/>
        </w:rPr>
      </w:pPr>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3"/>
        <w:gridCol w:w="1799"/>
        <w:gridCol w:w="1256"/>
        <w:gridCol w:w="1244"/>
        <w:gridCol w:w="1707"/>
        <w:gridCol w:w="1815"/>
        <w:gridCol w:w="1157"/>
      </w:tblGrid>
      <w:tr w14:paraId="0CA68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7D41FAD3">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序号</w:t>
            </w:r>
          </w:p>
        </w:tc>
        <w:tc>
          <w:tcPr>
            <w:tcW w:w="940" w:type="pct"/>
            <w:tcBorders>
              <w:top w:val="single" w:color="auto" w:sz="4" w:space="0"/>
              <w:left w:val="single" w:color="auto" w:sz="4" w:space="0"/>
              <w:bottom w:val="single" w:color="auto" w:sz="4" w:space="0"/>
              <w:right w:val="single" w:color="auto" w:sz="4" w:space="0"/>
            </w:tcBorders>
            <w:vAlign w:val="center"/>
          </w:tcPr>
          <w:p w14:paraId="424213E9">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eastAsia"/>
                <w:color w:val="auto"/>
                <w:szCs w:val="21"/>
                <w:highlight w:val="none"/>
              </w:rPr>
              <w:t>货物或产品</w:t>
            </w:r>
          </w:p>
          <w:p w14:paraId="5C53035F">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名称</w:t>
            </w:r>
          </w:p>
        </w:tc>
        <w:tc>
          <w:tcPr>
            <w:tcW w:w="656" w:type="pct"/>
            <w:tcBorders>
              <w:top w:val="single" w:color="auto" w:sz="4" w:space="0"/>
              <w:left w:val="single" w:color="auto" w:sz="4" w:space="0"/>
              <w:bottom w:val="single" w:color="auto" w:sz="4" w:space="0"/>
              <w:right w:val="single" w:color="auto" w:sz="4" w:space="0"/>
            </w:tcBorders>
            <w:vAlign w:val="center"/>
          </w:tcPr>
          <w:p w14:paraId="47467E83">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品牌或制造商</w:t>
            </w:r>
          </w:p>
        </w:tc>
        <w:tc>
          <w:tcPr>
            <w:tcW w:w="650" w:type="pct"/>
            <w:tcBorders>
              <w:top w:val="single" w:color="auto" w:sz="4" w:space="0"/>
              <w:left w:val="single" w:color="auto" w:sz="4" w:space="0"/>
              <w:bottom w:val="single" w:color="auto" w:sz="4" w:space="0"/>
              <w:right w:val="single" w:color="auto" w:sz="4" w:space="0"/>
            </w:tcBorders>
            <w:vAlign w:val="center"/>
          </w:tcPr>
          <w:p w14:paraId="2DCB9ED7">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规格型号</w:t>
            </w:r>
          </w:p>
        </w:tc>
        <w:tc>
          <w:tcPr>
            <w:tcW w:w="892" w:type="pct"/>
            <w:tcBorders>
              <w:top w:val="single" w:color="auto" w:sz="4" w:space="0"/>
              <w:left w:val="single" w:color="auto" w:sz="4" w:space="0"/>
              <w:bottom w:val="single" w:color="auto" w:sz="4" w:space="0"/>
              <w:right w:val="single" w:color="auto" w:sz="4" w:space="0"/>
            </w:tcBorders>
            <w:vAlign w:val="center"/>
          </w:tcPr>
          <w:p w14:paraId="4C061F47">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单位及数量</w:t>
            </w:r>
          </w:p>
        </w:tc>
        <w:tc>
          <w:tcPr>
            <w:tcW w:w="948" w:type="pct"/>
            <w:tcBorders>
              <w:top w:val="single" w:color="auto" w:sz="4" w:space="0"/>
              <w:left w:val="single" w:color="auto" w:sz="4" w:space="0"/>
              <w:bottom w:val="single" w:color="auto" w:sz="4" w:space="0"/>
              <w:right w:val="single" w:color="auto" w:sz="4" w:space="0"/>
            </w:tcBorders>
            <w:vAlign w:val="center"/>
          </w:tcPr>
          <w:p w14:paraId="22D5E9B9">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性能及指标</w:t>
            </w:r>
          </w:p>
        </w:tc>
        <w:tc>
          <w:tcPr>
            <w:tcW w:w="604" w:type="pct"/>
            <w:tcBorders>
              <w:top w:val="single" w:color="auto" w:sz="4" w:space="0"/>
              <w:left w:val="single" w:color="auto" w:sz="4" w:space="0"/>
              <w:bottom w:val="single" w:color="auto" w:sz="4" w:space="0"/>
              <w:right w:val="single" w:color="auto" w:sz="4" w:space="0"/>
            </w:tcBorders>
            <w:vAlign w:val="center"/>
          </w:tcPr>
          <w:p w14:paraId="395E1055">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产地</w:t>
            </w:r>
          </w:p>
        </w:tc>
      </w:tr>
      <w:tr w14:paraId="7D2C3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4ADA16A4">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73D3EBAD">
            <w:pPr>
              <w:keepNext w:val="0"/>
              <w:keepLines w:val="0"/>
              <w:suppressLineNumbers w:val="0"/>
              <w:snapToGrid w:val="0"/>
              <w:spacing w:before="50" w:beforeAutospacing="0" w:after="50" w:afterAutospacing="0" w:line="440" w:lineRule="exact"/>
              <w:ind w:left="0" w:right="0"/>
              <w:rPr>
                <w:rFonts w:hint="default"/>
                <w:color w:val="auto"/>
                <w:szCs w:val="21"/>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14:paraId="57C152DC">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50" w:type="pct"/>
            <w:tcBorders>
              <w:top w:val="single" w:color="auto" w:sz="4" w:space="0"/>
              <w:left w:val="single" w:color="auto" w:sz="4" w:space="0"/>
              <w:bottom w:val="single" w:color="auto" w:sz="4" w:space="0"/>
              <w:right w:val="single" w:color="auto" w:sz="4" w:space="0"/>
            </w:tcBorders>
            <w:vAlign w:val="center"/>
          </w:tcPr>
          <w:p w14:paraId="53289BDB">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vAlign w:val="center"/>
          </w:tcPr>
          <w:p w14:paraId="2C222F90">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8" w:type="pct"/>
            <w:tcBorders>
              <w:top w:val="single" w:color="auto" w:sz="4" w:space="0"/>
              <w:left w:val="single" w:color="auto" w:sz="4" w:space="0"/>
              <w:bottom w:val="single" w:color="auto" w:sz="4" w:space="0"/>
              <w:right w:val="single" w:color="auto" w:sz="4" w:space="0"/>
            </w:tcBorders>
            <w:vAlign w:val="center"/>
          </w:tcPr>
          <w:p w14:paraId="07D7372A">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04" w:type="pct"/>
            <w:tcBorders>
              <w:top w:val="single" w:color="auto" w:sz="4" w:space="0"/>
              <w:left w:val="single" w:color="auto" w:sz="4" w:space="0"/>
              <w:bottom w:val="single" w:color="auto" w:sz="4" w:space="0"/>
              <w:right w:val="single" w:color="auto" w:sz="4" w:space="0"/>
            </w:tcBorders>
            <w:vAlign w:val="center"/>
          </w:tcPr>
          <w:p w14:paraId="5291E1D1">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r>
      <w:tr w14:paraId="11DC8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18D7D076">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4FABE06E">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14:paraId="2F25397B">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50" w:type="pct"/>
            <w:tcBorders>
              <w:top w:val="single" w:color="auto" w:sz="4" w:space="0"/>
              <w:left w:val="single" w:color="auto" w:sz="4" w:space="0"/>
              <w:bottom w:val="single" w:color="auto" w:sz="4" w:space="0"/>
              <w:right w:val="single" w:color="auto" w:sz="4" w:space="0"/>
            </w:tcBorders>
            <w:vAlign w:val="center"/>
          </w:tcPr>
          <w:p w14:paraId="12552F78">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vAlign w:val="center"/>
          </w:tcPr>
          <w:p w14:paraId="0D884322">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8" w:type="pct"/>
            <w:tcBorders>
              <w:top w:val="single" w:color="auto" w:sz="4" w:space="0"/>
              <w:left w:val="single" w:color="auto" w:sz="4" w:space="0"/>
              <w:bottom w:val="single" w:color="auto" w:sz="4" w:space="0"/>
              <w:right w:val="single" w:color="auto" w:sz="4" w:space="0"/>
            </w:tcBorders>
            <w:vAlign w:val="center"/>
          </w:tcPr>
          <w:p w14:paraId="793CB987">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04" w:type="pct"/>
            <w:tcBorders>
              <w:top w:val="single" w:color="auto" w:sz="4" w:space="0"/>
              <w:left w:val="single" w:color="auto" w:sz="4" w:space="0"/>
              <w:bottom w:val="single" w:color="auto" w:sz="4" w:space="0"/>
              <w:right w:val="single" w:color="auto" w:sz="4" w:space="0"/>
            </w:tcBorders>
            <w:vAlign w:val="center"/>
          </w:tcPr>
          <w:p w14:paraId="2B42D6C7">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r>
      <w:tr w14:paraId="07121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5B6FD097">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0715E72F">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14:paraId="02AA1E9D">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50" w:type="pct"/>
            <w:tcBorders>
              <w:top w:val="single" w:color="auto" w:sz="4" w:space="0"/>
              <w:left w:val="single" w:color="auto" w:sz="4" w:space="0"/>
              <w:bottom w:val="single" w:color="auto" w:sz="4" w:space="0"/>
              <w:right w:val="single" w:color="auto" w:sz="4" w:space="0"/>
            </w:tcBorders>
            <w:vAlign w:val="center"/>
          </w:tcPr>
          <w:p w14:paraId="02BE6ADE">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892" w:type="pct"/>
            <w:tcBorders>
              <w:top w:val="single" w:color="auto" w:sz="4" w:space="0"/>
              <w:left w:val="single" w:color="auto" w:sz="4" w:space="0"/>
              <w:bottom w:val="single" w:color="auto" w:sz="4" w:space="0"/>
              <w:right w:val="single" w:color="auto" w:sz="4" w:space="0"/>
            </w:tcBorders>
            <w:vAlign w:val="center"/>
          </w:tcPr>
          <w:p w14:paraId="0C0B31B4">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948" w:type="pct"/>
            <w:tcBorders>
              <w:top w:val="single" w:color="auto" w:sz="4" w:space="0"/>
              <w:left w:val="single" w:color="auto" w:sz="4" w:space="0"/>
              <w:bottom w:val="single" w:color="auto" w:sz="4" w:space="0"/>
              <w:right w:val="single" w:color="auto" w:sz="4" w:space="0"/>
            </w:tcBorders>
            <w:vAlign w:val="center"/>
          </w:tcPr>
          <w:p w14:paraId="61CDAA95">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c>
          <w:tcPr>
            <w:tcW w:w="604" w:type="pct"/>
            <w:tcBorders>
              <w:top w:val="single" w:color="auto" w:sz="4" w:space="0"/>
              <w:left w:val="single" w:color="auto" w:sz="4" w:space="0"/>
              <w:bottom w:val="single" w:color="auto" w:sz="4" w:space="0"/>
              <w:right w:val="single" w:color="auto" w:sz="4" w:space="0"/>
            </w:tcBorders>
            <w:vAlign w:val="center"/>
          </w:tcPr>
          <w:p w14:paraId="1B3348CB">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p>
        </w:tc>
      </w:tr>
    </w:tbl>
    <w:p w14:paraId="070B2C3F">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59C4473">
      <w:pPr>
        <w:rPr>
          <w:color w:val="auto"/>
          <w:szCs w:val="21"/>
          <w:highlight w:val="none"/>
        </w:rPr>
      </w:pPr>
    </w:p>
    <w:p w14:paraId="78FC9396">
      <w:pPr>
        <w:rPr>
          <w:color w:val="auto"/>
          <w:szCs w:val="21"/>
          <w:highlight w:val="none"/>
        </w:rPr>
      </w:pPr>
      <w:bookmarkStart w:id="164" w:name="_Hlk19115689"/>
      <w:r>
        <w:rPr>
          <w:color w:val="auto"/>
          <w:szCs w:val="21"/>
          <w:highlight w:val="none"/>
        </w:rPr>
        <w:t>3．</w:t>
      </w:r>
      <w:r>
        <w:rPr>
          <w:rFonts w:hint="eastAsia"/>
          <w:color w:val="auto"/>
          <w:szCs w:val="21"/>
          <w:highlight w:val="none"/>
        </w:rPr>
        <w:t>投标货物或产品的质量保证说明</w:t>
      </w:r>
    </w:p>
    <w:p w14:paraId="26EDD022">
      <w:pPr>
        <w:rPr>
          <w:color w:val="auto"/>
          <w:szCs w:val="21"/>
          <w:highlight w:val="none"/>
        </w:rPr>
      </w:pPr>
    </w:p>
    <w:p w14:paraId="19A49F1F">
      <w:pPr>
        <w:rPr>
          <w:color w:val="auto"/>
          <w:szCs w:val="21"/>
          <w:highlight w:val="none"/>
        </w:rPr>
      </w:pPr>
    </w:p>
    <w:p w14:paraId="23CC280A">
      <w:pPr>
        <w:rPr>
          <w:color w:val="auto"/>
          <w:szCs w:val="21"/>
          <w:highlight w:val="none"/>
        </w:rPr>
      </w:pPr>
    </w:p>
    <w:p w14:paraId="3FADE7D0">
      <w:pPr>
        <w:rPr>
          <w:color w:val="auto"/>
          <w:szCs w:val="21"/>
          <w:highlight w:val="none"/>
        </w:rPr>
      </w:pPr>
    </w:p>
    <w:p w14:paraId="6285DFA5">
      <w:pPr>
        <w:rPr>
          <w:color w:val="auto"/>
          <w:szCs w:val="21"/>
          <w:highlight w:val="none"/>
        </w:rPr>
      </w:pPr>
    </w:p>
    <w:p w14:paraId="6B386CD8">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642B68AA">
      <w:pPr>
        <w:jc w:val="center"/>
        <w:rPr>
          <w:color w:val="auto"/>
          <w:szCs w:val="21"/>
          <w:highlight w:val="none"/>
        </w:rPr>
      </w:pPr>
    </w:p>
    <w:p w14:paraId="4F70F1AD">
      <w:pPr>
        <w:jc w:val="center"/>
        <w:rPr>
          <w:color w:val="auto"/>
          <w:szCs w:val="21"/>
          <w:highlight w:val="none"/>
        </w:rPr>
      </w:pPr>
    </w:p>
    <w:p w14:paraId="448D4CEB">
      <w:pPr>
        <w:jc w:val="center"/>
        <w:rPr>
          <w:color w:val="auto"/>
          <w:szCs w:val="21"/>
          <w:highlight w:val="none"/>
        </w:rPr>
      </w:pPr>
    </w:p>
    <w:p w14:paraId="5044039A">
      <w:pPr>
        <w:jc w:val="center"/>
        <w:rPr>
          <w:color w:val="auto"/>
          <w:szCs w:val="21"/>
          <w:highlight w:val="none"/>
        </w:rPr>
      </w:pPr>
    </w:p>
    <w:p w14:paraId="19F9D945">
      <w:pPr>
        <w:jc w:val="center"/>
        <w:rPr>
          <w:color w:val="auto"/>
          <w:szCs w:val="21"/>
          <w:highlight w:val="none"/>
        </w:rPr>
      </w:pPr>
    </w:p>
    <w:p w14:paraId="290621F4">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47803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C45E60">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5BE0EAEF">
            <w:pPr>
              <w:keepNext w:val="0"/>
              <w:keepLines w:val="0"/>
              <w:suppressLineNumbers w:val="0"/>
              <w:snapToGrid w:val="0"/>
              <w:spacing w:before="50" w:beforeAutospacing="0" w:after="50" w:afterAutospacing="0" w:line="440" w:lineRule="exact"/>
              <w:ind w:left="0" w:right="0"/>
              <w:jc w:val="center"/>
              <w:rPr>
                <w:rFonts w:hint="default"/>
                <w:color w:val="auto"/>
                <w:szCs w:val="21"/>
                <w:highlight w:val="none"/>
              </w:rPr>
            </w:pPr>
            <w:r>
              <w:rPr>
                <w:rFonts w:hint="default"/>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38AD52AE">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09C5C793">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195ED12">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优惠单价</w:t>
            </w:r>
          </w:p>
        </w:tc>
      </w:tr>
      <w:tr w14:paraId="6FCDD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F084F24">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1837DD47">
            <w:pPr>
              <w:keepNext w:val="0"/>
              <w:keepLines w:val="0"/>
              <w:suppressLineNumbers w:val="0"/>
              <w:spacing w:before="0" w:beforeAutospacing="0" w:after="0" w:afterAutospacing="0"/>
              <w:ind w:left="0" w:right="0"/>
              <w:rPr>
                <w:rFonts w:hint="default"/>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16D16136">
            <w:pPr>
              <w:keepNext w:val="0"/>
              <w:keepLines w:val="0"/>
              <w:suppressLineNumbers w:val="0"/>
              <w:spacing w:before="0" w:beforeAutospacing="0" w:after="0" w:afterAutospacing="0"/>
              <w:ind w:left="0" w:right="0"/>
              <w:rPr>
                <w:rFonts w:hint="default"/>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6B16CAD1">
            <w:pPr>
              <w:keepNext w:val="0"/>
              <w:keepLines w:val="0"/>
              <w:suppressLineNumbers w:val="0"/>
              <w:spacing w:before="0" w:beforeAutospacing="0" w:after="0" w:afterAutospacing="0"/>
              <w:ind w:left="0" w:right="0"/>
              <w:rPr>
                <w:rFonts w:hint="default"/>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AF7CBB5">
            <w:pPr>
              <w:keepNext w:val="0"/>
              <w:keepLines w:val="0"/>
              <w:suppressLineNumbers w:val="0"/>
              <w:spacing w:before="0" w:beforeAutospacing="0" w:after="0" w:afterAutospacing="0"/>
              <w:ind w:left="0" w:right="0"/>
              <w:rPr>
                <w:rFonts w:hint="default"/>
                <w:color w:val="auto"/>
                <w:szCs w:val="21"/>
                <w:highlight w:val="none"/>
              </w:rPr>
            </w:pPr>
          </w:p>
        </w:tc>
      </w:tr>
      <w:tr w14:paraId="3364C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5010CD6">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0CB26569">
            <w:pPr>
              <w:keepNext w:val="0"/>
              <w:keepLines w:val="0"/>
              <w:suppressLineNumbers w:val="0"/>
              <w:spacing w:before="0" w:beforeAutospacing="0" w:after="0" w:afterAutospacing="0"/>
              <w:ind w:left="0" w:right="0"/>
              <w:rPr>
                <w:rFonts w:hint="default"/>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00807436">
            <w:pPr>
              <w:keepNext w:val="0"/>
              <w:keepLines w:val="0"/>
              <w:suppressLineNumbers w:val="0"/>
              <w:spacing w:before="0" w:beforeAutospacing="0" w:after="0" w:afterAutospacing="0"/>
              <w:ind w:left="0" w:right="0"/>
              <w:rPr>
                <w:rFonts w:hint="default"/>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2AC76D58">
            <w:pPr>
              <w:keepNext w:val="0"/>
              <w:keepLines w:val="0"/>
              <w:suppressLineNumbers w:val="0"/>
              <w:spacing w:before="0" w:beforeAutospacing="0" w:after="0" w:afterAutospacing="0"/>
              <w:ind w:left="0" w:right="0"/>
              <w:rPr>
                <w:rFonts w:hint="default"/>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5F0E990">
            <w:pPr>
              <w:keepNext w:val="0"/>
              <w:keepLines w:val="0"/>
              <w:suppressLineNumbers w:val="0"/>
              <w:spacing w:before="0" w:beforeAutospacing="0" w:after="0" w:afterAutospacing="0"/>
              <w:ind w:left="0" w:right="0"/>
              <w:rPr>
                <w:rFonts w:hint="default"/>
                <w:color w:val="auto"/>
                <w:szCs w:val="21"/>
                <w:highlight w:val="none"/>
              </w:rPr>
            </w:pPr>
          </w:p>
        </w:tc>
      </w:tr>
      <w:tr w14:paraId="5EA79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B966469">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2490F3B3">
            <w:pPr>
              <w:keepNext w:val="0"/>
              <w:keepLines w:val="0"/>
              <w:suppressLineNumbers w:val="0"/>
              <w:spacing w:before="0" w:beforeAutospacing="0" w:after="0" w:afterAutospacing="0"/>
              <w:ind w:left="0" w:right="0"/>
              <w:rPr>
                <w:rFonts w:hint="default"/>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0028D731">
            <w:pPr>
              <w:keepNext w:val="0"/>
              <w:keepLines w:val="0"/>
              <w:suppressLineNumbers w:val="0"/>
              <w:spacing w:before="0" w:beforeAutospacing="0" w:after="0" w:afterAutospacing="0"/>
              <w:ind w:left="0" w:right="0"/>
              <w:rPr>
                <w:rFonts w:hint="default"/>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19E8D0F0">
            <w:pPr>
              <w:keepNext w:val="0"/>
              <w:keepLines w:val="0"/>
              <w:suppressLineNumbers w:val="0"/>
              <w:spacing w:before="0" w:beforeAutospacing="0" w:after="0" w:afterAutospacing="0"/>
              <w:ind w:left="0" w:right="0"/>
              <w:rPr>
                <w:rFonts w:hint="default"/>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29EB502">
            <w:pPr>
              <w:keepNext w:val="0"/>
              <w:keepLines w:val="0"/>
              <w:suppressLineNumbers w:val="0"/>
              <w:spacing w:before="0" w:beforeAutospacing="0" w:after="0" w:afterAutospacing="0"/>
              <w:ind w:left="0" w:right="0"/>
              <w:rPr>
                <w:rFonts w:hint="default"/>
                <w:color w:val="auto"/>
                <w:szCs w:val="21"/>
                <w:highlight w:val="none"/>
              </w:rPr>
            </w:pPr>
          </w:p>
        </w:tc>
      </w:tr>
    </w:tbl>
    <w:p w14:paraId="6EC81C0F">
      <w:pPr>
        <w:rPr>
          <w:color w:val="auto"/>
          <w:szCs w:val="21"/>
          <w:highlight w:val="none"/>
        </w:rPr>
      </w:pPr>
    </w:p>
    <w:p w14:paraId="100C29A2">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64"/>
    <w:p w14:paraId="62707AFE">
      <w:pPr>
        <w:rPr>
          <w:color w:val="auto"/>
          <w:szCs w:val="21"/>
          <w:highlight w:val="none"/>
        </w:rPr>
      </w:pPr>
    </w:p>
    <w:p w14:paraId="5395CF86">
      <w:pPr>
        <w:rPr>
          <w:color w:val="auto"/>
          <w:szCs w:val="21"/>
          <w:highlight w:val="none"/>
        </w:rPr>
      </w:pPr>
    </w:p>
    <w:p w14:paraId="2888B5BF">
      <w:pPr>
        <w:rPr>
          <w:color w:val="auto"/>
          <w:szCs w:val="21"/>
          <w:highlight w:val="none"/>
        </w:rPr>
      </w:pPr>
    </w:p>
    <w:p w14:paraId="1CF559EE">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5C90350D">
      <w:pPr>
        <w:rPr>
          <w:color w:val="auto"/>
          <w:szCs w:val="21"/>
          <w:highlight w:val="none"/>
        </w:rPr>
      </w:pPr>
    </w:p>
    <w:p w14:paraId="69C3D743">
      <w:pPr>
        <w:rPr>
          <w:color w:val="auto"/>
          <w:szCs w:val="21"/>
          <w:highlight w:val="none"/>
        </w:rPr>
      </w:pPr>
    </w:p>
    <w:p w14:paraId="5B331A03">
      <w:pPr>
        <w:rPr>
          <w:color w:val="auto"/>
          <w:szCs w:val="21"/>
          <w:highlight w:val="none"/>
        </w:rPr>
      </w:pPr>
    </w:p>
    <w:p w14:paraId="2A4EE48A">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451A0A2E">
      <w:pPr>
        <w:rPr>
          <w:color w:val="auto"/>
          <w:szCs w:val="21"/>
          <w:highlight w:val="none"/>
        </w:rPr>
      </w:pPr>
    </w:p>
    <w:p w14:paraId="074F38C1">
      <w:pPr>
        <w:rPr>
          <w:color w:val="auto"/>
          <w:szCs w:val="21"/>
          <w:highlight w:val="none"/>
        </w:rPr>
      </w:pPr>
    </w:p>
    <w:p w14:paraId="6747A82D">
      <w:pPr>
        <w:rPr>
          <w:color w:val="auto"/>
          <w:szCs w:val="21"/>
          <w:highlight w:val="none"/>
        </w:rPr>
      </w:pPr>
    </w:p>
    <w:p w14:paraId="783953D1">
      <w:pPr>
        <w:rPr>
          <w:color w:val="auto"/>
          <w:szCs w:val="21"/>
          <w:highlight w:val="none"/>
        </w:rPr>
      </w:pPr>
      <w:r>
        <w:rPr>
          <w:rFonts w:hint="eastAsia"/>
          <w:color w:val="auto"/>
          <w:szCs w:val="21"/>
          <w:highlight w:val="none"/>
        </w:rPr>
        <w:t>7</w:t>
      </w:r>
      <w:r>
        <w:rPr>
          <w:color w:val="auto"/>
          <w:szCs w:val="21"/>
          <w:highlight w:val="none"/>
        </w:rPr>
        <w:t>．供应商建议的安装、调试、验收方法或方案。</w:t>
      </w:r>
    </w:p>
    <w:p w14:paraId="316089CA">
      <w:pPr>
        <w:rPr>
          <w:color w:val="auto"/>
          <w:szCs w:val="21"/>
          <w:highlight w:val="none"/>
        </w:rPr>
      </w:pPr>
    </w:p>
    <w:p w14:paraId="779C612E">
      <w:pPr>
        <w:rPr>
          <w:color w:val="auto"/>
          <w:szCs w:val="21"/>
          <w:highlight w:val="none"/>
        </w:rPr>
      </w:pPr>
    </w:p>
    <w:p w14:paraId="3609F52C">
      <w:pPr>
        <w:rPr>
          <w:color w:val="auto"/>
          <w:szCs w:val="21"/>
          <w:highlight w:val="none"/>
        </w:rPr>
      </w:pPr>
    </w:p>
    <w:p w14:paraId="7754B24A">
      <w:pPr>
        <w:rPr>
          <w:color w:val="auto"/>
          <w:szCs w:val="21"/>
          <w:highlight w:val="none"/>
        </w:rPr>
      </w:pPr>
      <w:r>
        <w:rPr>
          <w:rFonts w:hint="eastAsia"/>
          <w:color w:val="auto"/>
          <w:szCs w:val="21"/>
          <w:highlight w:val="none"/>
        </w:rPr>
        <w:t>8</w:t>
      </w:r>
      <w:r>
        <w:rPr>
          <w:color w:val="auto"/>
          <w:szCs w:val="21"/>
          <w:highlight w:val="none"/>
        </w:rPr>
        <w:t>．项目实施人员一览表。</w:t>
      </w:r>
    </w:p>
    <w:p w14:paraId="678DED03">
      <w:pPr>
        <w:rPr>
          <w:color w:val="auto"/>
          <w:szCs w:val="21"/>
          <w:highlight w:val="none"/>
        </w:rPr>
      </w:pPr>
    </w:p>
    <w:p w14:paraId="5C61EDB3">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3100EE3B">
      <w:pPr>
        <w:snapToGrid w:val="0"/>
        <w:spacing w:before="120" w:beforeLines="50" w:after="50" w:line="400" w:lineRule="exact"/>
        <w:rPr>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6EE91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4A63B232">
            <w:pPr>
              <w:keepNext w:val="0"/>
              <w:keepLines w:val="0"/>
              <w:suppressLineNumbers w:val="0"/>
              <w:snapToGrid w:val="0"/>
              <w:spacing w:before="120" w:beforeLines="50" w:beforeAutospacing="0" w:after="50" w:afterAutospacing="0"/>
              <w:ind w:left="0" w:right="0"/>
              <w:jc w:val="center"/>
              <w:rPr>
                <w:rFonts w:hint="default"/>
                <w:color w:val="auto"/>
                <w:szCs w:val="21"/>
                <w:highlight w:val="none"/>
              </w:rPr>
            </w:pPr>
            <w:r>
              <w:rPr>
                <w:rFonts w:hint="default"/>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5026A95F">
            <w:pPr>
              <w:keepNext w:val="0"/>
              <w:keepLines w:val="0"/>
              <w:suppressLineNumbers w:val="0"/>
              <w:snapToGrid w:val="0"/>
              <w:spacing w:before="120" w:beforeLines="50" w:beforeAutospacing="0" w:after="50" w:afterAutospacing="0"/>
              <w:ind w:left="0" w:right="0"/>
              <w:jc w:val="center"/>
              <w:rPr>
                <w:rFonts w:hint="default"/>
                <w:color w:val="auto"/>
                <w:szCs w:val="21"/>
                <w:highlight w:val="none"/>
              </w:rPr>
            </w:pPr>
            <w:r>
              <w:rPr>
                <w:rFonts w:hint="default"/>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F63148F">
            <w:pPr>
              <w:keepNext w:val="0"/>
              <w:keepLines w:val="0"/>
              <w:suppressLineNumbers w:val="0"/>
              <w:snapToGrid w:val="0"/>
              <w:spacing w:before="120" w:beforeLines="50" w:beforeAutospacing="0" w:after="50" w:afterAutospacing="0"/>
              <w:ind w:left="0" w:right="0"/>
              <w:jc w:val="center"/>
              <w:rPr>
                <w:rFonts w:hint="default"/>
                <w:color w:val="auto"/>
                <w:szCs w:val="21"/>
                <w:highlight w:val="none"/>
              </w:rPr>
            </w:pPr>
            <w:r>
              <w:rPr>
                <w:rFonts w:hint="default"/>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C51EBDB">
            <w:pPr>
              <w:keepNext w:val="0"/>
              <w:keepLines w:val="0"/>
              <w:suppressLineNumbers w:val="0"/>
              <w:snapToGrid w:val="0"/>
              <w:spacing w:before="120" w:beforeLines="50" w:beforeAutospacing="0" w:after="50" w:afterAutospacing="0"/>
              <w:ind w:left="0" w:right="0"/>
              <w:jc w:val="center"/>
              <w:rPr>
                <w:rFonts w:hint="default"/>
                <w:color w:val="auto"/>
                <w:szCs w:val="21"/>
                <w:highlight w:val="none"/>
              </w:rPr>
            </w:pPr>
            <w:r>
              <w:rPr>
                <w:rFonts w:hint="default"/>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7B0C470C">
            <w:pPr>
              <w:keepNext w:val="0"/>
              <w:keepLines w:val="0"/>
              <w:suppressLineNumbers w:val="0"/>
              <w:snapToGrid w:val="0"/>
              <w:spacing w:before="120" w:beforeLines="50" w:beforeAutospacing="0" w:after="50" w:afterAutospacing="0"/>
              <w:ind w:left="0" w:right="0"/>
              <w:jc w:val="center"/>
              <w:rPr>
                <w:rFonts w:hint="default"/>
                <w:bCs/>
                <w:color w:val="auto"/>
                <w:szCs w:val="21"/>
                <w:highlight w:val="none"/>
              </w:rPr>
            </w:pPr>
            <w:r>
              <w:rPr>
                <w:rFonts w:hint="default"/>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46466561">
            <w:pPr>
              <w:keepNext w:val="0"/>
              <w:keepLines w:val="0"/>
              <w:suppressLineNumbers w:val="0"/>
              <w:snapToGrid w:val="0"/>
              <w:spacing w:before="120" w:beforeLines="50" w:beforeAutospacing="0" w:after="50" w:afterAutospacing="0"/>
              <w:ind w:left="0" w:right="0"/>
              <w:jc w:val="center"/>
              <w:rPr>
                <w:rFonts w:hint="default"/>
                <w:bCs/>
                <w:color w:val="auto"/>
                <w:szCs w:val="21"/>
                <w:highlight w:val="none"/>
              </w:rPr>
            </w:pPr>
            <w:r>
              <w:rPr>
                <w:rFonts w:hint="default"/>
                <w:bCs/>
                <w:color w:val="auto"/>
                <w:szCs w:val="21"/>
                <w:highlight w:val="none"/>
              </w:rPr>
              <w:t>劳动合同编号</w:t>
            </w:r>
          </w:p>
        </w:tc>
      </w:tr>
      <w:tr w14:paraId="76A12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B7D8CB6">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799FAD1B">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26C8D9">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C27F3E4">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11E24C2">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BB5E50C">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r>
      <w:tr w14:paraId="55C8C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7324AB22">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4EE6E32">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063058">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5CCF49F6">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00348AC">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07734BE1">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r>
      <w:tr w14:paraId="1771C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C324C77">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40DD8D9">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09A81F5">
            <w:pPr>
              <w:pStyle w:val="29"/>
              <w:keepNext w:val="0"/>
              <w:keepLines w:val="0"/>
              <w:suppressLineNumbers w:val="0"/>
              <w:snapToGrid w:val="0"/>
              <w:spacing w:before="120" w:beforeLines="50" w:beforeAutospacing="0" w:after="50" w:afterAutospacing="0"/>
              <w:ind w:left="5670" w:right="0" w:hanging="420"/>
              <w:rPr>
                <w:rFonts w:hint="default"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1429C87B">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BBF4167">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DD0748F">
            <w:pPr>
              <w:keepNext w:val="0"/>
              <w:keepLines w:val="0"/>
              <w:suppressLineNumbers w:val="0"/>
              <w:snapToGrid w:val="0"/>
              <w:spacing w:before="120" w:beforeLines="50" w:beforeAutospacing="0" w:after="50" w:afterAutospacing="0"/>
              <w:ind w:left="0" w:right="0"/>
              <w:rPr>
                <w:rFonts w:hint="default"/>
                <w:color w:val="auto"/>
                <w:szCs w:val="21"/>
                <w:highlight w:val="none"/>
              </w:rPr>
            </w:pPr>
          </w:p>
        </w:tc>
      </w:tr>
    </w:tbl>
    <w:p w14:paraId="0F8A20C1">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47737483">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116C2E8">
      <w:pPr>
        <w:rPr>
          <w:color w:val="auto"/>
          <w:szCs w:val="21"/>
          <w:highlight w:val="none"/>
        </w:rPr>
      </w:pPr>
    </w:p>
    <w:p w14:paraId="1803B1A4">
      <w:pPr>
        <w:rPr>
          <w:color w:val="auto"/>
          <w:szCs w:val="21"/>
          <w:highlight w:val="none"/>
        </w:rPr>
      </w:pPr>
    </w:p>
    <w:p w14:paraId="36EBFB81">
      <w:pPr>
        <w:rPr>
          <w:color w:val="auto"/>
          <w:szCs w:val="21"/>
          <w:highlight w:val="none"/>
        </w:rPr>
      </w:pPr>
      <w:r>
        <w:rPr>
          <w:color w:val="auto"/>
          <w:szCs w:val="21"/>
          <w:highlight w:val="none"/>
        </w:rPr>
        <w:t>9．技术服务、技术培训、售后服务的内容和措施。</w:t>
      </w:r>
    </w:p>
    <w:p w14:paraId="6D2E6D2F">
      <w:pPr>
        <w:rPr>
          <w:color w:val="auto"/>
          <w:szCs w:val="21"/>
          <w:highlight w:val="none"/>
        </w:rPr>
      </w:pPr>
    </w:p>
    <w:p w14:paraId="6D8EFE0B">
      <w:pPr>
        <w:rPr>
          <w:color w:val="auto"/>
          <w:szCs w:val="21"/>
          <w:highlight w:val="none"/>
        </w:rPr>
      </w:pPr>
    </w:p>
    <w:p w14:paraId="471E8724">
      <w:pPr>
        <w:rPr>
          <w:color w:val="auto"/>
          <w:szCs w:val="21"/>
          <w:highlight w:val="none"/>
        </w:rPr>
      </w:pPr>
      <w:r>
        <w:rPr>
          <w:color w:val="auto"/>
          <w:szCs w:val="21"/>
          <w:highlight w:val="none"/>
        </w:rPr>
        <w:t>10．供应商对本项目的合理化建议和改进措施。</w:t>
      </w:r>
    </w:p>
    <w:p w14:paraId="3C49CF09">
      <w:pPr>
        <w:rPr>
          <w:color w:val="auto"/>
          <w:szCs w:val="21"/>
          <w:highlight w:val="none"/>
        </w:rPr>
      </w:pPr>
    </w:p>
    <w:p w14:paraId="02AF2AA4">
      <w:pPr>
        <w:rPr>
          <w:color w:val="auto"/>
          <w:szCs w:val="21"/>
          <w:highlight w:val="none"/>
        </w:rPr>
      </w:pPr>
    </w:p>
    <w:p w14:paraId="6B8329F8">
      <w:pPr>
        <w:rPr>
          <w:color w:val="auto"/>
          <w:szCs w:val="21"/>
          <w:highlight w:val="none"/>
        </w:rPr>
      </w:pPr>
      <w:r>
        <w:rPr>
          <w:color w:val="auto"/>
          <w:szCs w:val="21"/>
          <w:highlight w:val="none"/>
        </w:rPr>
        <w:t>11．供应商需要说明的其他文件和说明。</w:t>
      </w:r>
    </w:p>
    <w:p w14:paraId="1BBB9247">
      <w:pPr>
        <w:rPr>
          <w:b/>
          <w:bCs/>
          <w:color w:val="auto"/>
          <w:szCs w:val="21"/>
          <w:highlight w:val="none"/>
        </w:rPr>
      </w:pPr>
    </w:p>
    <w:p w14:paraId="031E60B9">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6C374991">
      <w:pPr>
        <w:snapToGrid w:val="0"/>
        <w:spacing w:before="50" w:after="120" w:afterLines="50" w:line="400" w:lineRule="exact"/>
        <w:jc w:val="left"/>
        <w:rPr>
          <w:bCs/>
          <w:color w:val="auto"/>
          <w:sz w:val="24"/>
          <w:highlight w:val="none"/>
        </w:rPr>
      </w:pPr>
    </w:p>
    <w:p w14:paraId="0D560F5A">
      <w:pPr>
        <w:snapToGrid w:val="0"/>
        <w:spacing w:before="120" w:beforeLines="50" w:after="50" w:line="360" w:lineRule="exact"/>
        <w:rPr>
          <w:color w:val="auto"/>
          <w:sz w:val="24"/>
          <w:highlight w:val="none"/>
        </w:rPr>
      </w:pPr>
    </w:p>
    <w:p w14:paraId="28846803">
      <w:pPr>
        <w:snapToGrid w:val="0"/>
        <w:spacing w:before="120" w:beforeLines="50" w:after="50" w:line="360" w:lineRule="exact"/>
        <w:jc w:val="center"/>
        <w:rPr>
          <w:bCs/>
          <w:color w:val="auto"/>
          <w:sz w:val="24"/>
          <w:highlight w:val="none"/>
        </w:rPr>
      </w:pPr>
    </w:p>
    <w:p w14:paraId="0509057E">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6EA82CD8">
      <w:pPr>
        <w:snapToGrid w:val="0"/>
        <w:spacing w:before="120" w:beforeLines="50" w:after="50" w:line="360" w:lineRule="exact"/>
        <w:jc w:val="center"/>
        <w:rPr>
          <w:b/>
          <w:bCs/>
          <w:color w:val="auto"/>
          <w:sz w:val="44"/>
          <w:szCs w:val="44"/>
          <w:highlight w:val="none"/>
        </w:rPr>
      </w:pPr>
    </w:p>
    <w:p w14:paraId="3FECF015">
      <w:pPr>
        <w:snapToGrid w:val="0"/>
        <w:spacing w:before="120" w:beforeLines="50" w:after="50" w:line="360" w:lineRule="exact"/>
        <w:jc w:val="center"/>
        <w:rPr>
          <w:b/>
          <w:bCs/>
          <w:color w:val="auto"/>
          <w:sz w:val="44"/>
          <w:szCs w:val="44"/>
          <w:highlight w:val="none"/>
        </w:rPr>
      </w:pPr>
    </w:p>
    <w:p w14:paraId="51A9893B">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3D122D59">
      <w:pPr>
        <w:snapToGrid w:val="0"/>
        <w:spacing w:before="120" w:beforeLines="50" w:after="50" w:line="360" w:lineRule="exact"/>
        <w:rPr>
          <w:bCs/>
          <w:color w:val="auto"/>
          <w:sz w:val="24"/>
          <w:highlight w:val="none"/>
        </w:rPr>
      </w:pPr>
    </w:p>
    <w:p w14:paraId="28C519A8">
      <w:pPr>
        <w:snapToGrid w:val="0"/>
        <w:spacing w:before="120" w:beforeLines="50" w:after="50" w:line="360" w:lineRule="exact"/>
        <w:rPr>
          <w:bCs/>
          <w:color w:val="auto"/>
          <w:sz w:val="24"/>
          <w:highlight w:val="none"/>
        </w:rPr>
      </w:pPr>
    </w:p>
    <w:p w14:paraId="509DF9A0">
      <w:pPr>
        <w:snapToGrid w:val="0"/>
        <w:spacing w:before="120" w:beforeLines="50" w:after="50" w:line="360" w:lineRule="exact"/>
        <w:rPr>
          <w:bCs/>
          <w:color w:val="auto"/>
          <w:sz w:val="24"/>
          <w:highlight w:val="none"/>
        </w:rPr>
      </w:pPr>
    </w:p>
    <w:p w14:paraId="272EE6C6">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9C28846">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7E2B702A">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7EA93D89">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1D698EB1">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E6813CD">
      <w:pPr>
        <w:snapToGrid w:val="0"/>
        <w:spacing w:before="120" w:beforeLines="50" w:after="50" w:line="360" w:lineRule="exact"/>
        <w:ind w:firstLine="720" w:firstLineChars="300"/>
        <w:rPr>
          <w:bCs/>
          <w:color w:val="auto"/>
          <w:sz w:val="24"/>
          <w:highlight w:val="none"/>
        </w:rPr>
      </w:pPr>
    </w:p>
    <w:p w14:paraId="0DE829F5">
      <w:pPr>
        <w:pStyle w:val="9"/>
        <w:snapToGrid w:val="0"/>
        <w:spacing w:before="50" w:after="50" w:line="360" w:lineRule="exact"/>
        <w:ind w:firstLine="960" w:firstLineChars="400"/>
        <w:rPr>
          <w:bCs/>
          <w:color w:val="auto"/>
          <w:sz w:val="24"/>
          <w:szCs w:val="24"/>
          <w:highlight w:val="none"/>
        </w:rPr>
      </w:pPr>
    </w:p>
    <w:p w14:paraId="69484F73">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01824306">
      <w:pPr>
        <w:rPr>
          <w:color w:val="auto"/>
          <w:highlight w:val="none"/>
        </w:rPr>
      </w:pPr>
      <w:r>
        <w:rPr>
          <w:color w:val="auto"/>
          <w:highlight w:val="none"/>
        </w:rPr>
        <w:br w:type="page"/>
      </w:r>
    </w:p>
    <w:p w14:paraId="776CB902">
      <w:pPr>
        <w:widowControl/>
        <w:jc w:val="left"/>
        <w:rPr>
          <w:b/>
          <w:bCs/>
          <w:color w:val="auto"/>
          <w:szCs w:val="21"/>
          <w:highlight w:val="none"/>
        </w:rPr>
      </w:pPr>
    </w:p>
    <w:p w14:paraId="47590A02">
      <w:pPr>
        <w:jc w:val="center"/>
        <w:rPr>
          <w:b/>
          <w:bCs/>
          <w:color w:val="auto"/>
          <w:szCs w:val="21"/>
          <w:highlight w:val="none"/>
        </w:rPr>
      </w:pPr>
    </w:p>
    <w:p w14:paraId="59AAB0A0">
      <w:pPr>
        <w:jc w:val="center"/>
        <w:rPr>
          <w:color w:val="auto"/>
          <w:sz w:val="28"/>
          <w:szCs w:val="28"/>
          <w:highlight w:val="none"/>
        </w:rPr>
      </w:pPr>
      <w:r>
        <w:rPr>
          <w:color w:val="auto"/>
          <w:sz w:val="28"/>
          <w:szCs w:val="28"/>
          <w:highlight w:val="none"/>
        </w:rPr>
        <w:t>第三部分 报价文件</w:t>
      </w:r>
    </w:p>
    <w:p w14:paraId="42C49831">
      <w:pPr>
        <w:jc w:val="center"/>
        <w:rPr>
          <w:b/>
          <w:bCs/>
          <w:color w:val="auto"/>
          <w:szCs w:val="21"/>
          <w:highlight w:val="none"/>
        </w:rPr>
      </w:pPr>
    </w:p>
    <w:p w14:paraId="07D5A39C">
      <w:pPr>
        <w:rPr>
          <w:color w:val="auto"/>
          <w:highlight w:val="none"/>
        </w:rPr>
      </w:pPr>
      <w:bookmarkStart w:id="165" w:name="_Hlk19115777"/>
      <w:r>
        <w:rPr>
          <w:color w:val="auto"/>
          <w:highlight w:val="none"/>
        </w:rPr>
        <w:t>1．投标函格式：</w:t>
      </w:r>
    </w:p>
    <w:p w14:paraId="43A2641A">
      <w:pPr>
        <w:jc w:val="center"/>
        <w:rPr>
          <w:b/>
          <w:color w:val="auto"/>
          <w:szCs w:val="21"/>
          <w:highlight w:val="none"/>
        </w:rPr>
      </w:pPr>
    </w:p>
    <w:p w14:paraId="5193820F">
      <w:pPr>
        <w:jc w:val="center"/>
        <w:rPr>
          <w:b/>
          <w:color w:val="auto"/>
          <w:szCs w:val="21"/>
          <w:highlight w:val="none"/>
        </w:rPr>
      </w:pPr>
      <w:r>
        <w:rPr>
          <w:b/>
          <w:color w:val="auto"/>
          <w:szCs w:val="21"/>
          <w:highlight w:val="none"/>
        </w:rPr>
        <w:t>投 标 函</w:t>
      </w:r>
    </w:p>
    <w:p w14:paraId="0F4A4B2F">
      <w:pPr>
        <w:rPr>
          <w:b/>
          <w:color w:val="auto"/>
          <w:szCs w:val="21"/>
          <w:highlight w:val="none"/>
        </w:rPr>
      </w:pPr>
    </w:p>
    <w:p w14:paraId="0CFECDD7">
      <w:pPr>
        <w:spacing w:line="360" w:lineRule="auto"/>
        <w:rPr>
          <w:color w:val="auto"/>
          <w:szCs w:val="21"/>
          <w:highlight w:val="none"/>
        </w:rPr>
      </w:pPr>
      <w:r>
        <w:rPr>
          <w:color w:val="auto"/>
          <w:szCs w:val="21"/>
          <w:highlight w:val="none"/>
        </w:rPr>
        <w:t>致：</w:t>
      </w:r>
      <w:bookmarkStart w:id="166"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66"/>
      <w:r>
        <w:rPr>
          <w:color w:val="auto"/>
          <w:szCs w:val="21"/>
          <w:highlight w:val="none"/>
        </w:rPr>
        <w:t>：</w:t>
      </w:r>
    </w:p>
    <w:p w14:paraId="52494964">
      <w:pPr>
        <w:spacing w:line="360" w:lineRule="auto"/>
        <w:ind w:firstLine="420" w:firstLineChars="200"/>
        <w:rPr>
          <w:color w:val="auto"/>
          <w:szCs w:val="21"/>
          <w:highlight w:val="none"/>
        </w:rPr>
      </w:pPr>
      <w:r>
        <w:rPr>
          <w:color w:val="auto"/>
          <w:szCs w:val="21"/>
          <w:highlight w:val="none"/>
        </w:rPr>
        <w:t>我方已仔细研究了</w:t>
      </w:r>
      <w:bookmarkStart w:id="167" w:name="_Hlk19051388"/>
      <w:r>
        <w:rPr>
          <w:rFonts w:hint="eastAsia"/>
          <w:i/>
          <w:iCs/>
          <w:color w:val="auto"/>
          <w:szCs w:val="21"/>
          <w:highlight w:val="none"/>
          <w:u w:val="single"/>
        </w:rPr>
        <w:t>（项目名称）</w:t>
      </w:r>
      <w:bookmarkEnd w:id="167"/>
      <w:r>
        <w:rPr>
          <w:color w:val="auto"/>
          <w:szCs w:val="21"/>
          <w:highlight w:val="none"/>
        </w:rPr>
        <w:t>的招标文件的全部内容。签字代表</w:t>
      </w:r>
      <w:bookmarkStart w:id="168" w:name="_Hlk19051393"/>
      <w:r>
        <w:rPr>
          <w:rFonts w:hint="eastAsia"/>
          <w:i/>
          <w:iCs/>
          <w:color w:val="auto"/>
          <w:szCs w:val="21"/>
          <w:highlight w:val="none"/>
          <w:u w:val="single"/>
        </w:rPr>
        <w:t>（授权代表姓名）</w:t>
      </w:r>
      <w:bookmarkEnd w:id="168"/>
      <w:r>
        <w:rPr>
          <w:color w:val="auto"/>
          <w:szCs w:val="21"/>
          <w:highlight w:val="none"/>
        </w:rPr>
        <w:t>经正式授权并代表供应商_</w:t>
      </w:r>
      <w:bookmarkStart w:id="169" w:name="_Hlk19051402"/>
      <w:r>
        <w:rPr>
          <w:i/>
          <w:iCs/>
          <w:color w:val="auto"/>
          <w:szCs w:val="21"/>
          <w:highlight w:val="none"/>
          <w:u w:val="single"/>
        </w:rPr>
        <w:t>（供应商名称）</w:t>
      </w:r>
      <w:bookmarkEnd w:id="169"/>
      <w:r>
        <w:rPr>
          <w:color w:val="auto"/>
          <w:szCs w:val="21"/>
          <w:highlight w:val="none"/>
        </w:rPr>
        <w:t>提交投标文件</w:t>
      </w:r>
      <w:r>
        <w:rPr>
          <w:rFonts w:hint="eastAsia"/>
          <w:color w:val="auto"/>
          <w:szCs w:val="21"/>
          <w:highlight w:val="none"/>
        </w:rPr>
        <w:t>。</w:t>
      </w:r>
    </w:p>
    <w:p w14:paraId="2CD34F8F">
      <w:pPr>
        <w:spacing w:line="360" w:lineRule="auto"/>
        <w:ind w:firstLine="420" w:firstLineChars="200"/>
        <w:rPr>
          <w:color w:val="auto"/>
          <w:szCs w:val="21"/>
          <w:highlight w:val="none"/>
        </w:rPr>
      </w:pPr>
      <w:r>
        <w:rPr>
          <w:color w:val="auto"/>
          <w:szCs w:val="21"/>
          <w:highlight w:val="none"/>
        </w:rPr>
        <w:t>据此函，签字代表宣布同意如下：</w:t>
      </w:r>
    </w:p>
    <w:p w14:paraId="5582FDD3">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49596377">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0B7821AB">
      <w:pPr>
        <w:spacing w:line="360" w:lineRule="auto"/>
        <w:rPr>
          <w:color w:val="auto"/>
          <w:szCs w:val="21"/>
          <w:highlight w:val="none"/>
        </w:rPr>
      </w:pPr>
      <w:r>
        <w:rPr>
          <w:color w:val="auto"/>
          <w:szCs w:val="21"/>
          <w:highlight w:val="none"/>
        </w:rPr>
        <w:t>（3）本投标有效期自投标截止之日起</w:t>
      </w:r>
      <w:r>
        <w:rPr>
          <w:color w:val="auto"/>
          <w:szCs w:val="21"/>
          <w:highlight w:val="none"/>
          <w:u w:val="single"/>
        </w:rPr>
        <w:t xml:space="preserve">     </w:t>
      </w:r>
      <w:r>
        <w:rPr>
          <w:color w:val="auto"/>
          <w:szCs w:val="21"/>
          <w:highlight w:val="none"/>
        </w:rPr>
        <w:t>天。</w:t>
      </w:r>
    </w:p>
    <w:p w14:paraId="45EDAEF9">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3CFCD8C9">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0FBA2460">
      <w:pPr>
        <w:spacing w:line="360" w:lineRule="auto"/>
        <w:rPr>
          <w:color w:val="auto"/>
          <w:szCs w:val="21"/>
          <w:highlight w:val="none"/>
        </w:rPr>
      </w:pPr>
      <w:r>
        <w:rPr>
          <w:color w:val="auto"/>
          <w:szCs w:val="21"/>
          <w:highlight w:val="none"/>
        </w:rPr>
        <w:t>（6）与本项目有关的一切正式往来信函请寄：</w:t>
      </w:r>
    </w:p>
    <w:p w14:paraId="2839483D">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B12B4CE">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614B458">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65"/>
    <w:p w14:paraId="365A4A82">
      <w:pPr>
        <w:spacing w:line="360" w:lineRule="auto"/>
        <w:rPr>
          <w:color w:val="auto"/>
          <w:szCs w:val="21"/>
          <w:highlight w:val="none"/>
        </w:rPr>
      </w:pPr>
    </w:p>
    <w:p w14:paraId="393BCF67">
      <w:pPr>
        <w:spacing w:line="360" w:lineRule="auto"/>
        <w:rPr>
          <w:color w:val="auto"/>
          <w:szCs w:val="21"/>
          <w:highlight w:val="none"/>
        </w:rPr>
      </w:pPr>
    </w:p>
    <w:p w14:paraId="59E3C1DA">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2F1F4114">
      <w:pPr>
        <w:spacing w:line="360" w:lineRule="auto"/>
        <w:rPr>
          <w:color w:val="auto"/>
          <w:szCs w:val="21"/>
          <w:highlight w:val="none"/>
        </w:rPr>
      </w:pPr>
    </w:p>
    <w:p w14:paraId="04CDADCA">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E9466A9">
      <w:pPr>
        <w:rPr>
          <w:color w:val="auto"/>
          <w:highlight w:val="none"/>
        </w:rPr>
      </w:pPr>
      <w:r>
        <w:rPr>
          <w:b/>
          <w:color w:val="auto"/>
          <w:szCs w:val="21"/>
          <w:highlight w:val="none"/>
        </w:rPr>
        <w:br w:type="page"/>
      </w:r>
      <w:r>
        <w:rPr>
          <w:color w:val="auto"/>
          <w:highlight w:val="none"/>
        </w:rPr>
        <w:t>2．投标报价明细表格式：</w:t>
      </w:r>
    </w:p>
    <w:p w14:paraId="77117355">
      <w:pPr>
        <w:jc w:val="center"/>
        <w:rPr>
          <w:b/>
          <w:color w:val="auto"/>
          <w:szCs w:val="21"/>
          <w:highlight w:val="none"/>
        </w:rPr>
      </w:pPr>
    </w:p>
    <w:p w14:paraId="2E5AFE05">
      <w:pPr>
        <w:jc w:val="center"/>
        <w:rPr>
          <w:color w:val="auto"/>
          <w:szCs w:val="21"/>
          <w:highlight w:val="none"/>
        </w:rPr>
      </w:pPr>
      <w:r>
        <w:rPr>
          <w:b/>
          <w:color w:val="auto"/>
          <w:szCs w:val="21"/>
          <w:highlight w:val="none"/>
        </w:rPr>
        <w:t>投标报价明细表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420"/>
        <w:gridCol w:w="1740"/>
        <w:gridCol w:w="1390"/>
        <w:gridCol w:w="1811"/>
      </w:tblGrid>
      <w:tr w14:paraId="30BE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C2FBACE">
            <w:pPr>
              <w:keepNext w:val="0"/>
              <w:keepLines w:val="0"/>
              <w:suppressLineNumbers w:val="0"/>
              <w:spacing w:before="0" w:beforeAutospacing="0" w:after="0" w:afterAutospacing="0"/>
              <w:ind w:left="0" w:right="0"/>
              <w:jc w:val="center"/>
              <w:rPr>
                <w:rFonts w:hint="default"/>
                <w:color w:val="auto"/>
                <w:spacing w:val="20"/>
                <w:szCs w:val="21"/>
                <w:highlight w:val="none"/>
              </w:rPr>
            </w:pPr>
            <w:r>
              <w:rPr>
                <w:rFonts w:hint="default"/>
                <w:color w:val="auto"/>
                <w:szCs w:val="21"/>
                <w:highlight w:val="none"/>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2EDEFD62">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货物</w:t>
            </w:r>
            <w:r>
              <w:rPr>
                <w:rFonts w:hint="default"/>
                <w:color w:val="auto"/>
                <w:szCs w:val="21"/>
                <w:highlight w:val="none"/>
              </w:rPr>
              <w:t>名称</w:t>
            </w:r>
          </w:p>
        </w:tc>
        <w:tc>
          <w:tcPr>
            <w:tcW w:w="1740" w:type="dxa"/>
            <w:tcBorders>
              <w:top w:val="single" w:color="auto" w:sz="4" w:space="0"/>
              <w:left w:val="single" w:color="auto" w:sz="4" w:space="0"/>
              <w:bottom w:val="single" w:color="auto" w:sz="4" w:space="0"/>
              <w:right w:val="single" w:color="auto" w:sz="4" w:space="0"/>
            </w:tcBorders>
            <w:vAlign w:val="center"/>
          </w:tcPr>
          <w:p w14:paraId="6C73D63D">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数量及单位</w:t>
            </w:r>
          </w:p>
        </w:tc>
        <w:tc>
          <w:tcPr>
            <w:tcW w:w="1390" w:type="dxa"/>
            <w:tcBorders>
              <w:top w:val="single" w:color="auto" w:sz="4" w:space="0"/>
              <w:left w:val="single" w:color="auto" w:sz="4" w:space="0"/>
              <w:bottom w:val="single" w:color="auto" w:sz="4" w:space="0"/>
              <w:right w:val="single" w:color="auto" w:sz="4" w:space="0"/>
            </w:tcBorders>
            <w:vAlign w:val="center"/>
          </w:tcPr>
          <w:p w14:paraId="61F57290">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单</w:t>
            </w:r>
            <w:r>
              <w:rPr>
                <w:rFonts w:hint="default"/>
                <w:color w:val="auto"/>
                <w:szCs w:val="21"/>
                <w:highlight w:val="none"/>
              </w:rPr>
              <w:t>价</w:t>
            </w:r>
            <w:r>
              <w:rPr>
                <w:rFonts w:hint="eastAsia"/>
                <w:color w:val="auto"/>
                <w:szCs w:val="21"/>
                <w:highlight w:val="none"/>
              </w:rPr>
              <w:t>（元）</w:t>
            </w:r>
          </w:p>
        </w:tc>
        <w:tc>
          <w:tcPr>
            <w:tcW w:w="1811" w:type="dxa"/>
            <w:tcBorders>
              <w:top w:val="single" w:color="auto" w:sz="4" w:space="0"/>
              <w:left w:val="single" w:color="auto" w:sz="4" w:space="0"/>
              <w:bottom w:val="single" w:color="auto" w:sz="4" w:space="0"/>
              <w:right w:val="single" w:color="auto" w:sz="4" w:space="0"/>
            </w:tcBorders>
            <w:vAlign w:val="center"/>
          </w:tcPr>
          <w:p w14:paraId="3016534A">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合计（元）</w:t>
            </w:r>
          </w:p>
        </w:tc>
      </w:tr>
      <w:tr w14:paraId="29E23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EF34AF5">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56488F04">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740" w:type="dxa"/>
            <w:tcBorders>
              <w:top w:val="single" w:color="auto" w:sz="4" w:space="0"/>
              <w:left w:val="single" w:color="auto" w:sz="4" w:space="0"/>
              <w:bottom w:val="single" w:color="auto" w:sz="4" w:space="0"/>
              <w:right w:val="single" w:color="auto" w:sz="4" w:space="0"/>
            </w:tcBorders>
          </w:tcPr>
          <w:p w14:paraId="35004559">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6B74040B">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009FDFE">
            <w:pPr>
              <w:keepNext w:val="0"/>
              <w:keepLines w:val="0"/>
              <w:suppressLineNumbers w:val="0"/>
              <w:spacing w:before="0" w:beforeAutospacing="0" w:after="0" w:afterAutospacing="0"/>
              <w:ind w:left="0" w:right="0"/>
              <w:jc w:val="center"/>
              <w:rPr>
                <w:rFonts w:hint="default"/>
                <w:color w:val="auto"/>
                <w:spacing w:val="20"/>
                <w:szCs w:val="21"/>
                <w:highlight w:val="none"/>
              </w:rPr>
            </w:pPr>
          </w:p>
        </w:tc>
      </w:tr>
      <w:tr w14:paraId="5F29A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05A3B76">
            <w:pPr>
              <w:pStyle w:val="3"/>
              <w:keepNext w:val="0"/>
              <w:keepLines w:val="0"/>
              <w:suppressLineNumbers w:val="0"/>
              <w:spacing w:before="0" w:beforeAutospacing="0" w:after="0" w:afterAutospacing="0"/>
              <w:ind w:left="0" w:right="0"/>
              <w:rPr>
                <w:rFonts w:hint="default"/>
                <w:color w:val="auto"/>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337AC36D">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740" w:type="dxa"/>
            <w:tcBorders>
              <w:top w:val="single" w:color="auto" w:sz="4" w:space="0"/>
              <w:left w:val="single" w:color="auto" w:sz="4" w:space="0"/>
              <w:bottom w:val="single" w:color="auto" w:sz="4" w:space="0"/>
              <w:right w:val="single" w:color="auto" w:sz="4" w:space="0"/>
            </w:tcBorders>
          </w:tcPr>
          <w:p w14:paraId="3E6AA1E4">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6895E360">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C30D233">
            <w:pPr>
              <w:keepNext w:val="0"/>
              <w:keepLines w:val="0"/>
              <w:suppressLineNumbers w:val="0"/>
              <w:spacing w:before="0" w:beforeAutospacing="0" w:after="0" w:afterAutospacing="0"/>
              <w:ind w:left="0" w:right="0"/>
              <w:jc w:val="center"/>
              <w:rPr>
                <w:rFonts w:hint="default"/>
                <w:color w:val="auto"/>
                <w:spacing w:val="20"/>
                <w:szCs w:val="21"/>
                <w:highlight w:val="none"/>
              </w:rPr>
            </w:pPr>
          </w:p>
        </w:tc>
      </w:tr>
      <w:tr w14:paraId="17AC3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CED8BC0">
            <w:pPr>
              <w:pStyle w:val="3"/>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p>
        </w:tc>
        <w:tc>
          <w:tcPr>
            <w:tcW w:w="3420" w:type="dxa"/>
            <w:tcBorders>
              <w:top w:val="single" w:color="auto" w:sz="4" w:space="0"/>
              <w:left w:val="single" w:color="auto" w:sz="4" w:space="0"/>
              <w:bottom w:val="single" w:color="auto" w:sz="4" w:space="0"/>
              <w:right w:val="single" w:color="auto" w:sz="4" w:space="0"/>
            </w:tcBorders>
            <w:vAlign w:val="center"/>
          </w:tcPr>
          <w:p w14:paraId="1F89A4BA">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740" w:type="dxa"/>
            <w:tcBorders>
              <w:top w:val="single" w:color="auto" w:sz="4" w:space="0"/>
              <w:left w:val="single" w:color="auto" w:sz="4" w:space="0"/>
              <w:bottom w:val="single" w:color="auto" w:sz="4" w:space="0"/>
              <w:right w:val="single" w:color="auto" w:sz="4" w:space="0"/>
            </w:tcBorders>
          </w:tcPr>
          <w:p w14:paraId="224B7B1E">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68803E9B">
            <w:pPr>
              <w:keepNext w:val="0"/>
              <w:keepLines w:val="0"/>
              <w:suppressLineNumbers w:val="0"/>
              <w:spacing w:before="0" w:beforeAutospacing="0" w:after="0" w:afterAutospacing="0"/>
              <w:ind w:left="0" w:right="0"/>
              <w:jc w:val="center"/>
              <w:rPr>
                <w:rFonts w:hint="default"/>
                <w:color w:val="auto"/>
                <w:spacing w:val="20"/>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EED1F69">
            <w:pPr>
              <w:keepNext w:val="0"/>
              <w:keepLines w:val="0"/>
              <w:suppressLineNumbers w:val="0"/>
              <w:spacing w:before="0" w:beforeAutospacing="0" w:after="0" w:afterAutospacing="0"/>
              <w:ind w:left="0" w:right="0"/>
              <w:jc w:val="center"/>
              <w:rPr>
                <w:rFonts w:hint="default"/>
                <w:color w:val="auto"/>
                <w:spacing w:val="20"/>
                <w:szCs w:val="21"/>
                <w:highlight w:val="none"/>
              </w:rPr>
            </w:pPr>
          </w:p>
        </w:tc>
      </w:tr>
      <w:tr w14:paraId="40259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exact"/>
          <w:jc w:val="center"/>
        </w:trPr>
        <w:tc>
          <w:tcPr>
            <w:tcW w:w="9365" w:type="dxa"/>
            <w:gridSpan w:val="5"/>
            <w:tcBorders>
              <w:top w:val="single" w:color="auto" w:sz="4" w:space="0"/>
              <w:left w:val="single" w:color="auto" w:sz="4" w:space="0"/>
              <w:bottom w:val="single" w:color="auto" w:sz="4" w:space="0"/>
              <w:right w:val="single" w:color="auto" w:sz="4" w:space="0"/>
            </w:tcBorders>
            <w:vAlign w:val="center"/>
          </w:tcPr>
          <w:p w14:paraId="4BEC1797">
            <w:pPr>
              <w:keepNext w:val="0"/>
              <w:keepLines w:val="0"/>
              <w:suppressLineNumbers w:val="0"/>
              <w:spacing w:before="0" w:beforeAutospacing="0" w:after="0" w:afterAutospacing="0"/>
              <w:ind w:left="0" w:right="0"/>
              <w:jc w:val="left"/>
              <w:rPr>
                <w:rFonts w:hint="default"/>
                <w:color w:val="auto"/>
                <w:spacing w:val="20"/>
                <w:szCs w:val="21"/>
                <w:highlight w:val="none"/>
              </w:rPr>
            </w:pPr>
            <w:r>
              <w:rPr>
                <w:rFonts w:hint="eastAsia"/>
                <w:color w:val="auto"/>
                <w:spacing w:val="20"/>
                <w:szCs w:val="21"/>
                <w:highlight w:val="none"/>
              </w:rPr>
              <w:t>投标总</w:t>
            </w:r>
            <w:r>
              <w:rPr>
                <w:rFonts w:hint="default"/>
                <w:color w:val="auto"/>
                <w:spacing w:val="20"/>
                <w:szCs w:val="21"/>
                <w:highlight w:val="none"/>
              </w:rPr>
              <w:t>价：大写                       小写</w:t>
            </w:r>
          </w:p>
        </w:tc>
      </w:tr>
    </w:tbl>
    <w:p w14:paraId="4E92FD3C">
      <w:pPr>
        <w:rPr>
          <w:color w:val="auto"/>
          <w:spacing w:val="20"/>
          <w:szCs w:val="21"/>
          <w:highlight w:val="none"/>
          <w:u w:val="single"/>
        </w:rPr>
      </w:pPr>
    </w:p>
    <w:p w14:paraId="4679F426">
      <w:pPr>
        <w:spacing w:line="360" w:lineRule="auto"/>
        <w:rPr>
          <w:color w:val="auto"/>
          <w:spacing w:val="20"/>
          <w:szCs w:val="21"/>
          <w:highlight w:val="none"/>
        </w:rPr>
      </w:pPr>
    </w:p>
    <w:p w14:paraId="4339C541">
      <w:pPr>
        <w:pStyle w:val="19"/>
        <w:rPr>
          <w:color w:val="auto"/>
          <w:highlight w:val="none"/>
        </w:rPr>
      </w:pPr>
      <w:bookmarkStart w:id="170" w:name="_Hlk88990717"/>
      <w:r>
        <w:rPr>
          <w:color w:val="auto"/>
          <w:szCs w:val="21"/>
          <w:highlight w:val="none"/>
        </w:rPr>
        <w:t>注：</w:t>
      </w:r>
      <w:r>
        <w:rPr>
          <w:rFonts w:hint="eastAsia"/>
          <w:color w:val="auto"/>
          <w:szCs w:val="21"/>
          <w:highlight w:val="none"/>
        </w:rPr>
        <w:t>本表如</w:t>
      </w:r>
      <w:r>
        <w:rPr>
          <w:rFonts w:hint="eastAsia"/>
          <w:color w:val="auto"/>
          <w:highlight w:val="none"/>
        </w:rPr>
        <w:t>与</w:t>
      </w:r>
      <w:r>
        <w:rPr>
          <w:rFonts w:hint="eastAsia"/>
          <w:color w:val="auto"/>
          <w:szCs w:val="21"/>
          <w:highlight w:val="none"/>
        </w:rPr>
        <w:t>广西政府采购云平台</w:t>
      </w:r>
      <w:r>
        <w:rPr>
          <w:rFonts w:hint="eastAsia"/>
          <w:color w:val="auto"/>
          <w:highlight w:val="none"/>
        </w:rPr>
        <w:t>不一致的，以</w:t>
      </w:r>
      <w:r>
        <w:rPr>
          <w:rFonts w:hint="eastAsia"/>
          <w:color w:val="auto"/>
          <w:szCs w:val="21"/>
          <w:highlight w:val="none"/>
        </w:rPr>
        <w:t>广西政府采购云平台</w:t>
      </w:r>
      <w:r>
        <w:rPr>
          <w:rFonts w:hint="eastAsia"/>
          <w:color w:val="auto"/>
          <w:highlight w:val="none"/>
        </w:rPr>
        <w:t>为准。</w:t>
      </w:r>
    </w:p>
    <w:p w14:paraId="71BDF95F">
      <w:pPr>
        <w:jc w:val="left"/>
        <w:rPr>
          <w:color w:val="auto"/>
          <w:szCs w:val="21"/>
          <w:highlight w:val="none"/>
        </w:rPr>
      </w:pPr>
    </w:p>
    <w:p w14:paraId="6BD3E313">
      <w:pPr>
        <w:spacing w:line="360" w:lineRule="auto"/>
        <w:rPr>
          <w:color w:val="auto"/>
          <w:spacing w:val="20"/>
          <w:szCs w:val="21"/>
          <w:highlight w:val="none"/>
        </w:rPr>
      </w:pPr>
    </w:p>
    <w:p w14:paraId="38F379DB">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36B257C6">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70"/>
    <w:p w14:paraId="5975309E">
      <w:pPr>
        <w:snapToGrid w:val="0"/>
        <w:spacing w:before="50" w:after="120" w:afterLines="50"/>
        <w:jc w:val="left"/>
        <w:rPr>
          <w:color w:val="auto"/>
          <w:szCs w:val="21"/>
          <w:highlight w:val="none"/>
        </w:rPr>
      </w:pPr>
      <w:r>
        <w:rPr>
          <w:color w:val="auto"/>
          <w:szCs w:val="21"/>
          <w:highlight w:val="none"/>
        </w:rPr>
        <w:br w:type="page"/>
      </w:r>
      <w:bookmarkStart w:id="171" w:name="_Hlk19115862"/>
      <w:r>
        <w:rPr>
          <w:color w:val="auto"/>
          <w:szCs w:val="21"/>
          <w:highlight w:val="none"/>
        </w:rPr>
        <w:t>3．过低报价合理性的说明。（如有）</w:t>
      </w:r>
    </w:p>
    <w:p w14:paraId="4D0B4100">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71"/>
    <w:p w14:paraId="75BC8DFA">
      <w:pPr>
        <w:widowControl/>
        <w:jc w:val="left"/>
        <w:rPr>
          <w:color w:val="auto"/>
          <w:szCs w:val="21"/>
          <w:highlight w:val="none"/>
        </w:rPr>
      </w:pPr>
      <w:r>
        <w:rPr>
          <w:color w:val="auto"/>
          <w:szCs w:val="21"/>
          <w:highlight w:val="none"/>
        </w:rPr>
        <w:br w:type="page"/>
      </w:r>
    </w:p>
    <w:p w14:paraId="56CB9BB0">
      <w:pPr>
        <w:widowControl/>
        <w:jc w:val="left"/>
        <w:outlineLvl w:val="1"/>
        <w:rPr>
          <w:color w:val="auto"/>
          <w:szCs w:val="21"/>
          <w:highlight w:val="none"/>
        </w:rPr>
      </w:pPr>
      <w:bookmarkStart w:id="172" w:name="_Hlk88990880"/>
      <w:r>
        <w:rPr>
          <w:rFonts w:hint="eastAsia"/>
          <w:color w:val="auto"/>
          <w:szCs w:val="21"/>
          <w:highlight w:val="none"/>
        </w:rPr>
        <w:t>4．开标一览表</w:t>
      </w:r>
    </w:p>
    <w:p w14:paraId="38112C74">
      <w:pPr>
        <w:widowControl/>
        <w:jc w:val="left"/>
        <w:rPr>
          <w:color w:val="auto"/>
          <w:szCs w:val="21"/>
          <w:highlight w:val="none"/>
        </w:rPr>
      </w:pPr>
    </w:p>
    <w:p w14:paraId="3AED6E76">
      <w:pPr>
        <w:widowControl/>
        <w:jc w:val="left"/>
        <w:rPr>
          <w:color w:val="auto"/>
          <w:szCs w:val="21"/>
          <w:highlight w:val="none"/>
        </w:rPr>
      </w:pPr>
    </w:p>
    <w:p w14:paraId="745CDC53">
      <w:pPr>
        <w:widowControl/>
        <w:jc w:val="left"/>
        <w:rPr>
          <w:color w:val="auto"/>
          <w:szCs w:val="21"/>
          <w:highlight w:val="none"/>
        </w:rPr>
      </w:pPr>
    </w:p>
    <w:p w14:paraId="03FFEEF6">
      <w:pPr>
        <w:rPr>
          <w:b/>
          <w:color w:val="auto"/>
          <w:szCs w:val="21"/>
          <w:highlight w:val="none"/>
        </w:rPr>
      </w:pPr>
    </w:p>
    <w:p w14:paraId="2B5B64E0">
      <w:pPr>
        <w:rPr>
          <w:b/>
          <w:color w:val="auto"/>
          <w:szCs w:val="21"/>
          <w:highlight w:val="none"/>
        </w:rPr>
      </w:pPr>
    </w:p>
    <w:p w14:paraId="485EDBFA">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72"/>
    <w:p w14:paraId="773D7EC7">
      <w:pPr>
        <w:widowControl/>
        <w:jc w:val="left"/>
        <w:rPr>
          <w:color w:val="auto"/>
          <w:szCs w:val="21"/>
          <w:highlight w:val="none"/>
        </w:rPr>
      </w:pPr>
    </w:p>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2EAEA8DF">
        <w:pPr>
          <w:pStyle w:val="32"/>
          <w:jc w:val="center"/>
        </w:pPr>
        <w:r>
          <w:fldChar w:fldCharType="begin"/>
        </w:r>
        <w:r>
          <w:instrText xml:space="preserve">PAGE   \* MERGEFORMAT</w:instrText>
        </w:r>
        <w:r>
          <w:fldChar w:fldCharType="separate"/>
        </w:r>
        <w:r>
          <w:rPr>
            <w:lang w:val="zh-CN"/>
          </w:rPr>
          <w:t>131</w:t>
        </w:r>
        <w:r>
          <w:fldChar w:fldCharType="end"/>
        </w:r>
      </w:p>
    </w:sdtContent>
  </w:sdt>
  <w:p w14:paraId="538D3C0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FC12">
    <w:pPr>
      <w:pStyle w:val="32"/>
      <w:framePr w:wrap="around" w:vAnchor="text" w:hAnchor="margin" w:xAlign="center" w:y="1"/>
      <w:rPr>
        <w:rStyle w:val="55"/>
      </w:rPr>
    </w:pPr>
    <w:r>
      <w:fldChar w:fldCharType="begin"/>
    </w:r>
    <w:r>
      <w:rPr>
        <w:rStyle w:val="55"/>
      </w:rPr>
      <w:instrText xml:space="preserve">PAGE  </w:instrText>
    </w:r>
    <w:r>
      <w:fldChar w:fldCharType="end"/>
    </w:r>
  </w:p>
  <w:p w14:paraId="776BCD63">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0E94">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D818">
    <w:pPr>
      <w:pStyle w:val="3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C87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4F9">
    <w:pPr>
      <w:pStyle w:val="33"/>
      <w:jc w:val="left"/>
    </w:pPr>
    <w:r>
      <w:rPr>
        <w:rFonts w:hint="eastAsia"/>
      </w:rPr>
      <w:t xml:space="preserve">广西机电设备招标有限公司招标文件                                                               </w:t>
    </w:r>
  </w:p>
  <w:p w14:paraId="20CEEF74">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988B">
    <w:pPr>
      <w:pStyle w:val="33"/>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83EC">
    <w:pPr>
      <w:pStyle w:val="33"/>
      <w:jc w:val="left"/>
    </w:pPr>
    <w:r>
      <w:rPr>
        <w:rFonts w:hint="eastAsia"/>
      </w:rPr>
      <w:t xml:space="preserve">广西机电设备招标有限公司招标文件                                                           </w:t>
    </w:r>
  </w:p>
  <w:p w14:paraId="43C0DB85">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3DC4">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625F">
    <w:pPr>
      <w:pStyle w:val="33"/>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76759">
    <w:pPr>
      <w:pStyle w:val="33"/>
      <w:jc w:val="left"/>
    </w:pPr>
    <w:r>
      <w:rPr>
        <w:rFonts w:hint="eastAsia"/>
      </w:rPr>
      <w:t>广西机电设备招标有限公司招标文件                                                     评标方法及评标标准</w:t>
    </w:r>
  </w:p>
  <w:p w14:paraId="64B1F7D3">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3A2D">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9D664"/>
    <w:multiLevelType w:val="singleLevel"/>
    <w:tmpl w:val="4DF9D664"/>
    <w:lvl w:ilvl="0" w:tentative="0">
      <w:start w:val="4"/>
      <w:numFmt w:val="decimal"/>
      <w:lvlText w:val="%1."/>
      <w:lvlJc w:val="left"/>
      <w:pPr>
        <w:tabs>
          <w:tab w:val="left" w:pos="312"/>
        </w:tabs>
      </w:pPr>
    </w:lvl>
  </w:abstractNum>
  <w:abstractNum w:abstractNumId="1">
    <w:nsid w:val="681D2659"/>
    <w:multiLevelType w:val="multilevel"/>
    <w:tmpl w:val="681D2659"/>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3B9386A"/>
    <w:multiLevelType w:val="singleLevel"/>
    <w:tmpl w:val="73B9386A"/>
    <w:lvl w:ilvl="0" w:tentative="0">
      <w:start w:val="1"/>
      <w:numFmt w:val="decimal"/>
      <w:lvlText w:val="%1."/>
      <w:lvlJc w:val="left"/>
      <w:pPr>
        <w:tabs>
          <w:tab w:val="left" w:pos="312"/>
        </w:tabs>
      </w:pPr>
    </w:lvl>
  </w:abstractNum>
  <w:abstractNum w:abstractNumId="3">
    <w:nsid w:val="76D12031"/>
    <w:multiLevelType w:val="singleLevel"/>
    <w:tmpl w:val="76D1203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wYTExYmIyZGMyMWM0ZjRkOWNmYmExYjAxZWNlYzg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943"/>
    <w:rsid w:val="00003C81"/>
    <w:rsid w:val="00003D02"/>
    <w:rsid w:val="00003DAE"/>
    <w:rsid w:val="00003DDF"/>
    <w:rsid w:val="0000436E"/>
    <w:rsid w:val="000046C2"/>
    <w:rsid w:val="000055C3"/>
    <w:rsid w:val="000056BC"/>
    <w:rsid w:val="000058D7"/>
    <w:rsid w:val="00005E55"/>
    <w:rsid w:val="0000644D"/>
    <w:rsid w:val="00006AE3"/>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402"/>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2D2"/>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0859"/>
    <w:rsid w:val="000513E2"/>
    <w:rsid w:val="00051C80"/>
    <w:rsid w:val="00051D87"/>
    <w:rsid w:val="00051F04"/>
    <w:rsid w:val="00052326"/>
    <w:rsid w:val="000529E7"/>
    <w:rsid w:val="00052DBE"/>
    <w:rsid w:val="00053175"/>
    <w:rsid w:val="000534EE"/>
    <w:rsid w:val="0005359C"/>
    <w:rsid w:val="00053628"/>
    <w:rsid w:val="000537D4"/>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6AC"/>
    <w:rsid w:val="00055945"/>
    <w:rsid w:val="00055A8A"/>
    <w:rsid w:val="00055AF4"/>
    <w:rsid w:val="00055DA1"/>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6625"/>
    <w:rsid w:val="000770BC"/>
    <w:rsid w:val="00077359"/>
    <w:rsid w:val="000774F1"/>
    <w:rsid w:val="00077698"/>
    <w:rsid w:val="000777B1"/>
    <w:rsid w:val="00077891"/>
    <w:rsid w:val="0007797E"/>
    <w:rsid w:val="00077C1B"/>
    <w:rsid w:val="0008006B"/>
    <w:rsid w:val="0008017C"/>
    <w:rsid w:val="00080321"/>
    <w:rsid w:val="0008066F"/>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1F90"/>
    <w:rsid w:val="00092F17"/>
    <w:rsid w:val="00093869"/>
    <w:rsid w:val="00093BC0"/>
    <w:rsid w:val="00093D1A"/>
    <w:rsid w:val="00093D92"/>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44C"/>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B62"/>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980"/>
    <w:rsid w:val="000F5CAA"/>
    <w:rsid w:val="000F60C1"/>
    <w:rsid w:val="000F6242"/>
    <w:rsid w:val="000F6331"/>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8BE"/>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14"/>
    <w:rsid w:val="00126655"/>
    <w:rsid w:val="00126707"/>
    <w:rsid w:val="0012679D"/>
    <w:rsid w:val="001269E0"/>
    <w:rsid w:val="00126A92"/>
    <w:rsid w:val="00126F2B"/>
    <w:rsid w:val="00126FC8"/>
    <w:rsid w:val="001270F4"/>
    <w:rsid w:val="001274D7"/>
    <w:rsid w:val="00127514"/>
    <w:rsid w:val="001279A3"/>
    <w:rsid w:val="00127B28"/>
    <w:rsid w:val="00127BB4"/>
    <w:rsid w:val="001305AF"/>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3E78"/>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6F3"/>
    <w:rsid w:val="001638DF"/>
    <w:rsid w:val="001639B6"/>
    <w:rsid w:val="00163BB0"/>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474"/>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29A"/>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C0E"/>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5B96"/>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BD7"/>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1DC3"/>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B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0E"/>
    <w:rsid w:val="00392FAF"/>
    <w:rsid w:val="00393F56"/>
    <w:rsid w:val="00393FE9"/>
    <w:rsid w:val="0039447D"/>
    <w:rsid w:val="0039476B"/>
    <w:rsid w:val="003949BE"/>
    <w:rsid w:val="00394B29"/>
    <w:rsid w:val="00394E45"/>
    <w:rsid w:val="00395146"/>
    <w:rsid w:val="00395205"/>
    <w:rsid w:val="00395B38"/>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711"/>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338"/>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55"/>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648"/>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0B6"/>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116"/>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4E92"/>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E7F7E"/>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465"/>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DD"/>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582"/>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DF1"/>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5D4"/>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37D"/>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883"/>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C1"/>
    <w:rsid w:val="006D2699"/>
    <w:rsid w:val="006D2BDA"/>
    <w:rsid w:val="006D2DBC"/>
    <w:rsid w:val="006D2FED"/>
    <w:rsid w:val="006D30BE"/>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72F"/>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C16"/>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2FB8"/>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1E7"/>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689D"/>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668"/>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B7F04"/>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D81"/>
    <w:rsid w:val="007E7E0F"/>
    <w:rsid w:val="007E7EC0"/>
    <w:rsid w:val="007E7ED8"/>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7FB"/>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ACA"/>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1FC"/>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4F"/>
    <w:rsid w:val="008731F2"/>
    <w:rsid w:val="00873754"/>
    <w:rsid w:val="00873CF3"/>
    <w:rsid w:val="008746D7"/>
    <w:rsid w:val="00874D5D"/>
    <w:rsid w:val="00874E4D"/>
    <w:rsid w:val="0087502F"/>
    <w:rsid w:val="008752FC"/>
    <w:rsid w:val="008755BD"/>
    <w:rsid w:val="00875FA4"/>
    <w:rsid w:val="00876313"/>
    <w:rsid w:val="008763C8"/>
    <w:rsid w:val="0087656D"/>
    <w:rsid w:val="0087672D"/>
    <w:rsid w:val="008767E2"/>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8BB"/>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94E"/>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642"/>
    <w:rsid w:val="008D0E8E"/>
    <w:rsid w:val="008D1047"/>
    <w:rsid w:val="008D155D"/>
    <w:rsid w:val="008D1566"/>
    <w:rsid w:val="008D15E6"/>
    <w:rsid w:val="008D1F54"/>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53D"/>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0C71"/>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050"/>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A99"/>
    <w:rsid w:val="00947F6B"/>
    <w:rsid w:val="009505EB"/>
    <w:rsid w:val="00950CAE"/>
    <w:rsid w:val="00951164"/>
    <w:rsid w:val="009512EC"/>
    <w:rsid w:val="009517B8"/>
    <w:rsid w:val="00951807"/>
    <w:rsid w:val="009522A9"/>
    <w:rsid w:val="00952767"/>
    <w:rsid w:val="00952D5A"/>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4FE"/>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E3A"/>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0C"/>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2F4C"/>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CAB"/>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49"/>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DD4"/>
    <w:rsid w:val="009F1EB0"/>
    <w:rsid w:val="009F1EEE"/>
    <w:rsid w:val="009F1F3F"/>
    <w:rsid w:val="009F2131"/>
    <w:rsid w:val="009F239C"/>
    <w:rsid w:val="009F274F"/>
    <w:rsid w:val="009F2E88"/>
    <w:rsid w:val="009F2F51"/>
    <w:rsid w:val="009F39A1"/>
    <w:rsid w:val="009F3EDA"/>
    <w:rsid w:val="009F3FE4"/>
    <w:rsid w:val="009F4061"/>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160"/>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E95"/>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CAE"/>
    <w:rsid w:val="00A30DFC"/>
    <w:rsid w:val="00A31193"/>
    <w:rsid w:val="00A312FC"/>
    <w:rsid w:val="00A31361"/>
    <w:rsid w:val="00A3170B"/>
    <w:rsid w:val="00A31782"/>
    <w:rsid w:val="00A3194F"/>
    <w:rsid w:val="00A31F9A"/>
    <w:rsid w:val="00A31FF4"/>
    <w:rsid w:val="00A32429"/>
    <w:rsid w:val="00A3288D"/>
    <w:rsid w:val="00A32E88"/>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4EF8"/>
    <w:rsid w:val="00A752A2"/>
    <w:rsid w:val="00A75301"/>
    <w:rsid w:val="00A753BD"/>
    <w:rsid w:val="00A758BE"/>
    <w:rsid w:val="00A758EA"/>
    <w:rsid w:val="00A7598F"/>
    <w:rsid w:val="00A75C0D"/>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B80"/>
    <w:rsid w:val="00A97F12"/>
    <w:rsid w:val="00AA0125"/>
    <w:rsid w:val="00AA0297"/>
    <w:rsid w:val="00AA0C9E"/>
    <w:rsid w:val="00AA0D18"/>
    <w:rsid w:val="00AA0F9E"/>
    <w:rsid w:val="00AA139E"/>
    <w:rsid w:val="00AA170D"/>
    <w:rsid w:val="00AA19A0"/>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8"/>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286"/>
    <w:rsid w:val="00AD0558"/>
    <w:rsid w:val="00AD0FB6"/>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52B"/>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448"/>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28"/>
    <w:rsid w:val="00B475E1"/>
    <w:rsid w:val="00B4762E"/>
    <w:rsid w:val="00B47D1C"/>
    <w:rsid w:val="00B47D23"/>
    <w:rsid w:val="00B507E3"/>
    <w:rsid w:val="00B509ED"/>
    <w:rsid w:val="00B50CEA"/>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0BC"/>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08B"/>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B4C"/>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595"/>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8D3"/>
    <w:rsid w:val="00C21910"/>
    <w:rsid w:val="00C21C7C"/>
    <w:rsid w:val="00C21DB6"/>
    <w:rsid w:val="00C21FED"/>
    <w:rsid w:val="00C2200C"/>
    <w:rsid w:val="00C221A6"/>
    <w:rsid w:val="00C2228B"/>
    <w:rsid w:val="00C224BA"/>
    <w:rsid w:val="00C224D0"/>
    <w:rsid w:val="00C22655"/>
    <w:rsid w:val="00C226DB"/>
    <w:rsid w:val="00C2285B"/>
    <w:rsid w:val="00C228F0"/>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0C3"/>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4C4B"/>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47F04"/>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08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7F2"/>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32FC"/>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263"/>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291"/>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8CD"/>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641"/>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2C9"/>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8A3"/>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8C7"/>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9D3"/>
    <w:rsid w:val="00DC0D2B"/>
    <w:rsid w:val="00DC0EA9"/>
    <w:rsid w:val="00DC1061"/>
    <w:rsid w:val="00DC10C3"/>
    <w:rsid w:val="00DC10F2"/>
    <w:rsid w:val="00DC1326"/>
    <w:rsid w:val="00DC143B"/>
    <w:rsid w:val="00DC1926"/>
    <w:rsid w:val="00DC1C01"/>
    <w:rsid w:val="00DC1E36"/>
    <w:rsid w:val="00DC2244"/>
    <w:rsid w:val="00DC22A2"/>
    <w:rsid w:val="00DC23A4"/>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0D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2B8"/>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392"/>
    <w:rsid w:val="00DF56A1"/>
    <w:rsid w:val="00DF5789"/>
    <w:rsid w:val="00DF5984"/>
    <w:rsid w:val="00DF5A45"/>
    <w:rsid w:val="00DF6037"/>
    <w:rsid w:val="00DF630F"/>
    <w:rsid w:val="00DF663B"/>
    <w:rsid w:val="00DF6AC9"/>
    <w:rsid w:val="00DF6BBE"/>
    <w:rsid w:val="00DF6E21"/>
    <w:rsid w:val="00DF70FF"/>
    <w:rsid w:val="00DF71D8"/>
    <w:rsid w:val="00DF7366"/>
    <w:rsid w:val="00DF7A7E"/>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07E79"/>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A4C"/>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5D5B"/>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4FD"/>
    <w:rsid w:val="00E34583"/>
    <w:rsid w:val="00E3460C"/>
    <w:rsid w:val="00E3489A"/>
    <w:rsid w:val="00E3495E"/>
    <w:rsid w:val="00E349E8"/>
    <w:rsid w:val="00E34C62"/>
    <w:rsid w:val="00E34E32"/>
    <w:rsid w:val="00E359B8"/>
    <w:rsid w:val="00E35AC2"/>
    <w:rsid w:val="00E35C41"/>
    <w:rsid w:val="00E35CB7"/>
    <w:rsid w:val="00E35F92"/>
    <w:rsid w:val="00E3617F"/>
    <w:rsid w:val="00E3638F"/>
    <w:rsid w:val="00E368F9"/>
    <w:rsid w:val="00E36B72"/>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536"/>
    <w:rsid w:val="00E52AE1"/>
    <w:rsid w:val="00E52D7D"/>
    <w:rsid w:val="00E52E0B"/>
    <w:rsid w:val="00E535AA"/>
    <w:rsid w:val="00E53651"/>
    <w:rsid w:val="00E5382B"/>
    <w:rsid w:val="00E538A2"/>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77BEF"/>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64B"/>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93A"/>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BC2"/>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529F"/>
    <w:rsid w:val="00FB5A06"/>
    <w:rsid w:val="00FB667F"/>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9CA"/>
    <w:rsid w:val="00FC5A8E"/>
    <w:rsid w:val="00FC625A"/>
    <w:rsid w:val="00FC62C3"/>
    <w:rsid w:val="00FC6949"/>
    <w:rsid w:val="00FC6D9B"/>
    <w:rsid w:val="00FC72FD"/>
    <w:rsid w:val="00FC7517"/>
    <w:rsid w:val="00FC799F"/>
    <w:rsid w:val="00FC7B01"/>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49B"/>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739"/>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2F3D"/>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720839"/>
    <w:rsid w:val="02E536DD"/>
    <w:rsid w:val="035E737B"/>
    <w:rsid w:val="037D3DF5"/>
    <w:rsid w:val="03F06C42"/>
    <w:rsid w:val="04170F58"/>
    <w:rsid w:val="041B3357"/>
    <w:rsid w:val="048E5BA6"/>
    <w:rsid w:val="04C34346"/>
    <w:rsid w:val="04E30437"/>
    <w:rsid w:val="05465FD3"/>
    <w:rsid w:val="057A2562"/>
    <w:rsid w:val="05D640FE"/>
    <w:rsid w:val="05F41FAA"/>
    <w:rsid w:val="05F45E3B"/>
    <w:rsid w:val="06007B10"/>
    <w:rsid w:val="061D6625"/>
    <w:rsid w:val="063B78DC"/>
    <w:rsid w:val="06971FEE"/>
    <w:rsid w:val="06C123D8"/>
    <w:rsid w:val="06F85F55"/>
    <w:rsid w:val="076E0F6D"/>
    <w:rsid w:val="07AC00A3"/>
    <w:rsid w:val="07E84F31"/>
    <w:rsid w:val="08322102"/>
    <w:rsid w:val="083772CA"/>
    <w:rsid w:val="0839529D"/>
    <w:rsid w:val="08CA13FE"/>
    <w:rsid w:val="08D31906"/>
    <w:rsid w:val="08DC4D76"/>
    <w:rsid w:val="09974C33"/>
    <w:rsid w:val="09B82947"/>
    <w:rsid w:val="09BA5DA1"/>
    <w:rsid w:val="09DC0820"/>
    <w:rsid w:val="09E25264"/>
    <w:rsid w:val="0A216F63"/>
    <w:rsid w:val="0A3F3F5F"/>
    <w:rsid w:val="0A6D18E6"/>
    <w:rsid w:val="0A8C5FC6"/>
    <w:rsid w:val="0BF958C7"/>
    <w:rsid w:val="0C2561A2"/>
    <w:rsid w:val="0C2860F2"/>
    <w:rsid w:val="0C3F3332"/>
    <w:rsid w:val="0C5A09A9"/>
    <w:rsid w:val="0CDB719E"/>
    <w:rsid w:val="0D352D82"/>
    <w:rsid w:val="0D56019D"/>
    <w:rsid w:val="0DC74357"/>
    <w:rsid w:val="0E0812B7"/>
    <w:rsid w:val="0E407559"/>
    <w:rsid w:val="0EAB6A73"/>
    <w:rsid w:val="0EF96404"/>
    <w:rsid w:val="0F005F76"/>
    <w:rsid w:val="0F4D0707"/>
    <w:rsid w:val="0FBA2A45"/>
    <w:rsid w:val="0FC41654"/>
    <w:rsid w:val="0FC65D20"/>
    <w:rsid w:val="0FDE7285"/>
    <w:rsid w:val="0FE443F8"/>
    <w:rsid w:val="0FED4DB0"/>
    <w:rsid w:val="102060C8"/>
    <w:rsid w:val="1042721E"/>
    <w:rsid w:val="104C05B8"/>
    <w:rsid w:val="1147532F"/>
    <w:rsid w:val="118C2ED5"/>
    <w:rsid w:val="11B83D31"/>
    <w:rsid w:val="11BA2DA2"/>
    <w:rsid w:val="11DB182B"/>
    <w:rsid w:val="11F20EE0"/>
    <w:rsid w:val="11FD7D62"/>
    <w:rsid w:val="126F5DEF"/>
    <w:rsid w:val="12795B29"/>
    <w:rsid w:val="12F62B63"/>
    <w:rsid w:val="1340403C"/>
    <w:rsid w:val="13696837"/>
    <w:rsid w:val="13763F01"/>
    <w:rsid w:val="13AA30FE"/>
    <w:rsid w:val="13B31AEC"/>
    <w:rsid w:val="13FE3FBA"/>
    <w:rsid w:val="140E1568"/>
    <w:rsid w:val="14404369"/>
    <w:rsid w:val="1452744B"/>
    <w:rsid w:val="162370F2"/>
    <w:rsid w:val="16446E8C"/>
    <w:rsid w:val="16960B60"/>
    <w:rsid w:val="175D674F"/>
    <w:rsid w:val="179055A0"/>
    <w:rsid w:val="17AE3C6A"/>
    <w:rsid w:val="17B53534"/>
    <w:rsid w:val="17CC40B1"/>
    <w:rsid w:val="17CD2550"/>
    <w:rsid w:val="18114189"/>
    <w:rsid w:val="18A62A00"/>
    <w:rsid w:val="18DA1B34"/>
    <w:rsid w:val="18F06F2D"/>
    <w:rsid w:val="19117739"/>
    <w:rsid w:val="191727B6"/>
    <w:rsid w:val="19403824"/>
    <w:rsid w:val="1954439D"/>
    <w:rsid w:val="19AD7F51"/>
    <w:rsid w:val="19CF6119"/>
    <w:rsid w:val="1A8C5587"/>
    <w:rsid w:val="1A9E3747"/>
    <w:rsid w:val="1BA50D14"/>
    <w:rsid w:val="1BA677E7"/>
    <w:rsid w:val="1C157D87"/>
    <w:rsid w:val="1C352CA3"/>
    <w:rsid w:val="1C625D30"/>
    <w:rsid w:val="1C7671E3"/>
    <w:rsid w:val="1C777601"/>
    <w:rsid w:val="1C7B6556"/>
    <w:rsid w:val="1C8A493E"/>
    <w:rsid w:val="1CCB6998"/>
    <w:rsid w:val="1CD6623F"/>
    <w:rsid w:val="1CE257D7"/>
    <w:rsid w:val="1CF90898"/>
    <w:rsid w:val="1CFA0FE7"/>
    <w:rsid w:val="1D397338"/>
    <w:rsid w:val="1D4824C2"/>
    <w:rsid w:val="1D8C69C4"/>
    <w:rsid w:val="1D9A121F"/>
    <w:rsid w:val="1DB63459"/>
    <w:rsid w:val="1E1C7C6C"/>
    <w:rsid w:val="1E396257"/>
    <w:rsid w:val="1E761E86"/>
    <w:rsid w:val="1E786F00"/>
    <w:rsid w:val="1E7C1E81"/>
    <w:rsid w:val="1EE26B01"/>
    <w:rsid w:val="1F147CCD"/>
    <w:rsid w:val="1F1F65F5"/>
    <w:rsid w:val="1F227F17"/>
    <w:rsid w:val="1F343C02"/>
    <w:rsid w:val="1F774496"/>
    <w:rsid w:val="1FAC7E53"/>
    <w:rsid w:val="200008B3"/>
    <w:rsid w:val="20517FE3"/>
    <w:rsid w:val="20597707"/>
    <w:rsid w:val="20CE2C18"/>
    <w:rsid w:val="21577705"/>
    <w:rsid w:val="217C1DAF"/>
    <w:rsid w:val="218220DE"/>
    <w:rsid w:val="21894E00"/>
    <w:rsid w:val="21FE096D"/>
    <w:rsid w:val="220426D8"/>
    <w:rsid w:val="222C76C6"/>
    <w:rsid w:val="22456F79"/>
    <w:rsid w:val="22466CF3"/>
    <w:rsid w:val="2253067F"/>
    <w:rsid w:val="22A344E7"/>
    <w:rsid w:val="22C9107A"/>
    <w:rsid w:val="22DE3197"/>
    <w:rsid w:val="230E0741"/>
    <w:rsid w:val="232D0D8E"/>
    <w:rsid w:val="23485F72"/>
    <w:rsid w:val="23621A60"/>
    <w:rsid w:val="236D07F2"/>
    <w:rsid w:val="23B459CF"/>
    <w:rsid w:val="23F63E16"/>
    <w:rsid w:val="242552B4"/>
    <w:rsid w:val="243A32C2"/>
    <w:rsid w:val="243F71F1"/>
    <w:rsid w:val="25093A3B"/>
    <w:rsid w:val="25236D0D"/>
    <w:rsid w:val="252F645D"/>
    <w:rsid w:val="254F19AA"/>
    <w:rsid w:val="255E2F6B"/>
    <w:rsid w:val="258858A9"/>
    <w:rsid w:val="25C41830"/>
    <w:rsid w:val="25E21C3F"/>
    <w:rsid w:val="25F64D5E"/>
    <w:rsid w:val="26757E2C"/>
    <w:rsid w:val="26790701"/>
    <w:rsid w:val="273477E1"/>
    <w:rsid w:val="273508EE"/>
    <w:rsid w:val="27483692"/>
    <w:rsid w:val="27511310"/>
    <w:rsid w:val="276F6E45"/>
    <w:rsid w:val="278066D7"/>
    <w:rsid w:val="27827B0F"/>
    <w:rsid w:val="27886287"/>
    <w:rsid w:val="27BF33FE"/>
    <w:rsid w:val="27F53526"/>
    <w:rsid w:val="27FA5E76"/>
    <w:rsid w:val="28510862"/>
    <w:rsid w:val="28690FE5"/>
    <w:rsid w:val="288E2BD2"/>
    <w:rsid w:val="28DC50AB"/>
    <w:rsid w:val="28E55271"/>
    <w:rsid w:val="28E7739E"/>
    <w:rsid w:val="2923374B"/>
    <w:rsid w:val="29BD796F"/>
    <w:rsid w:val="29C65C0D"/>
    <w:rsid w:val="29E22C8A"/>
    <w:rsid w:val="2AAC3644"/>
    <w:rsid w:val="2B4104F9"/>
    <w:rsid w:val="2B8946FF"/>
    <w:rsid w:val="2BFB4B4C"/>
    <w:rsid w:val="2C0A4741"/>
    <w:rsid w:val="2C292B8E"/>
    <w:rsid w:val="2C6562D8"/>
    <w:rsid w:val="2CF86E08"/>
    <w:rsid w:val="2D9B15EF"/>
    <w:rsid w:val="2DA73EF2"/>
    <w:rsid w:val="2DFD104F"/>
    <w:rsid w:val="2E304308"/>
    <w:rsid w:val="2E336D9D"/>
    <w:rsid w:val="2EB26D79"/>
    <w:rsid w:val="2F16026E"/>
    <w:rsid w:val="2F7145F4"/>
    <w:rsid w:val="301C1F55"/>
    <w:rsid w:val="30580298"/>
    <w:rsid w:val="30646F90"/>
    <w:rsid w:val="30BF083E"/>
    <w:rsid w:val="30CB0402"/>
    <w:rsid w:val="310955F2"/>
    <w:rsid w:val="31197E88"/>
    <w:rsid w:val="321E42BD"/>
    <w:rsid w:val="321E5339"/>
    <w:rsid w:val="324D2681"/>
    <w:rsid w:val="32A95302"/>
    <w:rsid w:val="32C71C2C"/>
    <w:rsid w:val="33A81F62"/>
    <w:rsid w:val="33CD5020"/>
    <w:rsid w:val="33DB773D"/>
    <w:rsid w:val="33EA138F"/>
    <w:rsid w:val="34367069"/>
    <w:rsid w:val="34457450"/>
    <w:rsid w:val="34BC749F"/>
    <w:rsid w:val="34F61A62"/>
    <w:rsid w:val="350E185E"/>
    <w:rsid w:val="35373F98"/>
    <w:rsid w:val="35871ED9"/>
    <w:rsid w:val="358C1CB9"/>
    <w:rsid w:val="35DC6EC9"/>
    <w:rsid w:val="36246068"/>
    <w:rsid w:val="362624DD"/>
    <w:rsid w:val="363B7932"/>
    <w:rsid w:val="36CE2797"/>
    <w:rsid w:val="36D15C2A"/>
    <w:rsid w:val="36FA4BBC"/>
    <w:rsid w:val="371D61FE"/>
    <w:rsid w:val="374B5AC3"/>
    <w:rsid w:val="38187E4F"/>
    <w:rsid w:val="3820445B"/>
    <w:rsid w:val="38210467"/>
    <w:rsid w:val="38401B73"/>
    <w:rsid w:val="384B1D2A"/>
    <w:rsid w:val="38F24247"/>
    <w:rsid w:val="39780BBB"/>
    <w:rsid w:val="39793059"/>
    <w:rsid w:val="397B7365"/>
    <w:rsid w:val="399267A7"/>
    <w:rsid w:val="399F4E59"/>
    <w:rsid w:val="39D617F2"/>
    <w:rsid w:val="3A0909B7"/>
    <w:rsid w:val="3A7C4406"/>
    <w:rsid w:val="3A9974DB"/>
    <w:rsid w:val="3B4E6F37"/>
    <w:rsid w:val="3B731AB5"/>
    <w:rsid w:val="3B833738"/>
    <w:rsid w:val="3B874762"/>
    <w:rsid w:val="3BBB1019"/>
    <w:rsid w:val="3BCC25A9"/>
    <w:rsid w:val="3BE01C77"/>
    <w:rsid w:val="3C2527C5"/>
    <w:rsid w:val="3C357C06"/>
    <w:rsid w:val="3C4138AB"/>
    <w:rsid w:val="3C8116A6"/>
    <w:rsid w:val="3C840B5F"/>
    <w:rsid w:val="3C84642E"/>
    <w:rsid w:val="3CFC4E99"/>
    <w:rsid w:val="3D6F75C9"/>
    <w:rsid w:val="3DE90F01"/>
    <w:rsid w:val="3E266E35"/>
    <w:rsid w:val="3F43088C"/>
    <w:rsid w:val="3F4829A1"/>
    <w:rsid w:val="3F5253BF"/>
    <w:rsid w:val="3F7F04D5"/>
    <w:rsid w:val="402A5D84"/>
    <w:rsid w:val="40A005F0"/>
    <w:rsid w:val="40D41F96"/>
    <w:rsid w:val="417D76A0"/>
    <w:rsid w:val="417E1386"/>
    <w:rsid w:val="422B6BF4"/>
    <w:rsid w:val="42347713"/>
    <w:rsid w:val="42534A61"/>
    <w:rsid w:val="430613B6"/>
    <w:rsid w:val="434526B6"/>
    <w:rsid w:val="435636B8"/>
    <w:rsid w:val="439E7B55"/>
    <w:rsid w:val="43B00A8F"/>
    <w:rsid w:val="44091C6F"/>
    <w:rsid w:val="440F20DA"/>
    <w:rsid w:val="44842778"/>
    <w:rsid w:val="44F71EFD"/>
    <w:rsid w:val="452545FE"/>
    <w:rsid w:val="452B0654"/>
    <w:rsid w:val="454B391C"/>
    <w:rsid w:val="45511B47"/>
    <w:rsid w:val="459557D9"/>
    <w:rsid w:val="45A15DDB"/>
    <w:rsid w:val="45A3513D"/>
    <w:rsid w:val="45B22926"/>
    <w:rsid w:val="45CB3C8A"/>
    <w:rsid w:val="46794186"/>
    <w:rsid w:val="4681712C"/>
    <w:rsid w:val="468B6718"/>
    <w:rsid w:val="46A27E61"/>
    <w:rsid w:val="46F53476"/>
    <w:rsid w:val="473B23EB"/>
    <w:rsid w:val="476250CF"/>
    <w:rsid w:val="47935153"/>
    <w:rsid w:val="47B32EAB"/>
    <w:rsid w:val="47BA3333"/>
    <w:rsid w:val="47C40E8C"/>
    <w:rsid w:val="480D1A37"/>
    <w:rsid w:val="48B1218F"/>
    <w:rsid w:val="48B14AB0"/>
    <w:rsid w:val="48BB286C"/>
    <w:rsid w:val="48D6123C"/>
    <w:rsid w:val="48E72288"/>
    <w:rsid w:val="49150F51"/>
    <w:rsid w:val="49480BD4"/>
    <w:rsid w:val="496E11C3"/>
    <w:rsid w:val="499F04DF"/>
    <w:rsid w:val="49CB3BFF"/>
    <w:rsid w:val="4A477482"/>
    <w:rsid w:val="4AA4619B"/>
    <w:rsid w:val="4AAE7A16"/>
    <w:rsid w:val="4AC62161"/>
    <w:rsid w:val="4B1863D0"/>
    <w:rsid w:val="4B284D77"/>
    <w:rsid w:val="4B672157"/>
    <w:rsid w:val="4BD5286C"/>
    <w:rsid w:val="4BEC1507"/>
    <w:rsid w:val="4CD363C9"/>
    <w:rsid w:val="4D7F6702"/>
    <w:rsid w:val="4DAB18D6"/>
    <w:rsid w:val="4DD27ACF"/>
    <w:rsid w:val="4E1A7ECD"/>
    <w:rsid w:val="4F123950"/>
    <w:rsid w:val="4F134C73"/>
    <w:rsid w:val="4FAF0065"/>
    <w:rsid w:val="4FE03B5D"/>
    <w:rsid w:val="50681C7B"/>
    <w:rsid w:val="507519D9"/>
    <w:rsid w:val="50EC442B"/>
    <w:rsid w:val="511C1F13"/>
    <w:rsid w:val="517C422B"/>
    <w:rsid w:val="51824CF6"/>
    <w:rsid w:val="51CD559C"/>
    <w:rsid w:val="51F577C4"/>
    <w:rsid w:val="52127D7D"/>
    <w:rsid w:val="521F10B2"/>
    <w:rsid w:val="52412A63"/>
    <w:rsid w:val="525672F6"/>
    <w:rsid w:val="52646900"/>
    <w:rsid w:val="5277467D"/>
    <w:rsid w:val="534179D1"/>
    <w:rsid w:val="53763D4D"/>
    <w:rsid w:val="537F7C8D"/>
    <w:rsid w:val="54135280"/>
    <w:rsid w:val="5526139C"/>
    <w:rsid w:val="552B2D26"/>
    <w:rsid w:val="554E1470"/>
    <w:rsid w:val="55702598"/>
    <w:rsid w:val="557522F4"/>
    <w:rsid w:val="55986D51"/>
    <w:rsid w:val="55B300C2"/>
    <w:rsid w:val="55D42624"/>
    <w:rsid w:val="56133CA0"/>
    <w:rsid w:val="56660154"/>
    <w:rsid w:val="56957978"/>
    <w:rsid w:val="56DD4ABD"/>
    <w:rsid w:val="5703231E"/>
    <w:rsid w:val="57116442"/>
    <w:rsid w:val="578D3493"/>
    <w:rsid w:val="5813364E"/>
    <w:rsid w:val="582A416D"/>
    <w:rsid w:val="58585144"/>
    <w:rsid w:val="586A7A45"/>
    <w:rsid w:val="58914C8B"/>
    <w:rsid w:val="58E3423E"/>
    <w:rsid w:val="58F23ED5"/>
    <w:rsid w:val="5956205C"/>
    <w:rsid w:val="599E6CB8"/>
    <w:rsid w:val="59E031E2"/>
    <w:rsid w:val="5A090892"/>
    <w:rsid w:val="5A5B5FB9"/>
    <w:rsid w:val="5A774ED4"/>
    <w:rsid w:val="5AA974E8"/>
    <w:rsid w:val="5AD0387F"/>
    <w:rsid w:val="5B8340E7"/>
    <w:rsid w:val="5B85170F"/>
    <w:rsid w:val="5B8D0599"/>
    <w:rsid w:val="5B937814"/>
    <w:rsid w:val="5BA627EA"/>
    <w:rsid w:val="5BAA125C"/>
    <w:rsid w:val="5BE30C7A"/>
    <w:rsid w:val="5C254E10"/>
    <w:rsid w:val="5C6E79F1"/>
    <w:rsid w:val="5C8657B1"/>
    <w:rsid w:val="5CA73484"/>
    <w:rsid w:val="5CAB22F3"/>
    <w:rsid w:val="5CB66DDB"/>
    <w:rsid w:val="5CE5499C"/>
    <w:rsid w:val="5D140C6B"/>
    <w:rsid w:val="5D77243C"/>
    <w:rsid w:val="5DC664B8"/>
    <w:rsid w:val="5DD60CDA"/>
    <w:rsid w:val="5DD60DF1"/>
    <w:rsid w:val="5E2F13E4"/>
    <w:rsid w:val="5EA70098"/>
    <w:rsid w:val="5EC546B7"/>
    <w:rsid w:val="5EE01513"/>
    <w:rsid w:val="5F432D63"/>
    <w:rsid w:val="5F515511"/>
    <w:rsid w:val="5F7A57AC"/>
    <w:rsid w:val="5FA116AA"/>
    <w:rsid w:val="5FA9036D"/>
    <w:rsid w:val="5FB20CF3"/>
    <w:rsid w:val="5FC86933"/>
    <w:rsid w:val="5FE20A6A"/>
    <w:rsid w:val="5FE80DF1"/>
    <w:rsid w:val="5FED079B"/>
    <w:rsid w:val="5FF31944"/>
    <w:rsid w:val="60394F33"/>
    <w:rsid w:val="607A028C"/>
    <w:rsid w:val="61904268"/>
    <w:rsid w:val="61922827"/>
    <w:rsid w:val="61985AAE"/>
    <w:rsid w:val="619B21A0"/>
    <w:rsid w:val="61A24375"/>
    <w:rsid w:val="61C95215"/>
    <w:rsid w:val="61CF4043"/>
    <w:rsid w:val="620863D2"/>
    <w:rsid w:val="62197E84"/>
    <w:rsid w:val="626058BD"/>
    <w:rsid w:val="626C592B"/>
    <w:rsid w:val="62D70238"/>
    <w:rsid w:val="62EC0759"/>
    <w:rsid w:val="62ED73E6"/>
    <w:rsid w:val="630014F2"/>
    <w:rsid w:val="63094AC8"/>
    <w:rsid w:val="634E5810"/>
    <w:rsid w:val="636310DD"/>
    <w:rsid w:val="63A81226"/>
    <w:rsid w:val="63EE492A"/>
    <w:rsid w:val="64194A68"/>
    <w:rsid w:val="641B590E"/>
    <w:rsid w:val="64CC5293"/>
    <w:rsid w:val="650A079C"/>
    <w:rsid w:val="65406093"/>
    <w:rsid w:val="65E5355A"/>
    <w:rsid w:val="660C4727"/>
    <w:rsid w:val="66285F62"/>
    <w:rsid w:val="6664411A"/>
    <w:rsid w:val="66705C3E"/>
    <w:rsid w:val="66F31171"/>
    <w:rsid w:val="671A417C"/>
    <w:rsid w:val="673C65F0"/>
    <w:rsid w:val="674A3D4F"/>
    <w:rsid w:val="67643769"/>
    <w:rsid w:val="6786536A"/>
    <w:rsid w:val="679006E0"/>
    <w:rsid w:val="67A52721"/>
    <w:rsid w:val="684D1CB0"/>
    <w:rsid w:val="6864772D"/>
    <w:rsid w:val="68737CD6"/>
    <w:rsid w:val="68BC6A3B"/>
    <w:rsid w:val="69290CE5"/>
    <w:rsid w:val="694C640B"/>
    <w:rsid w:val="6966679B"/>
    <w:rsid w:val="696C085C"/>
    <w:rsid w:val="69A55B1C"/>
    <w:rsid w:val="69F52BC4"/>
    <w:rsid w:val="6A121AD7"/>
    <w:rsid w:val="6A3C248C"/>
    <w:rsid w:val="6ABA024E"/>
    <w:rsid w:val="6AD23B35"/>
    <w:rsid w:val="6B093212"/>
    <w:rsid w:val="6C3226C6"/>
    <w:rsid w:val="6C3D1F52"/>
    <w:rsid w:val="6C545FF5"/>
    <w:rsid w:val="6C591BE2"/>
    <w:rsid w:val="6C8B0FF9"/>
    <w:rsid w:val="6C97063E"/>
    <w:rsid w:val="6D554232"/>
    <w:rsid w:val="6E0A4A26"/>
    <w:rsid w:val="6E5A4385"/>
    <w:rsid w:val="6E5E1B6C"/>
    <w:rsid w:val="6E62667D"/>
    <w:rsid w:val="6EBF13E8"/>
    <w:rsid w:val="6ED924EF"/>
    <w:rsid w:val="6EEF71D1"/>
    <w:rsid w:val="6EF04F82"/>
    <w:rsid w:val="6F021A16"/>
    <w:rsid w:val="6F1D40CE"/>
    <w:rsid w:val="6FA13035"/>
    <w:rsid w:val="6FEC0A59"/>
    <w:rsid w:val="7051517A"/>
    <w:rsid w:val="709D710F"/>
    <w:rsid w:val="70A647A4"/>
    <w:rsid w:val="70D04D21"/>
    <w:rsid w:val="70D85BD1"/>
    <w:rsid w:val="7152292B"/>
    <w:rsid w:val="715B338A"/>
    <w:rsid w:val="71695F18"/>
    <w:rsid w:val="716A7ADC"/>
    <w:rsid w:val="71DE2E53"/>
    <w:rsid w:val="71F633B8"/>
    <w:rsid w:val="721F39FF"/>
    <w:rsid w:val="729C07EB"/>
    <w:rsid w:val="729E121E"/>
    <w:rsid w:val="72E23A7A"/>
    <w:rsid w:val="72F6179B"/>
    <w:rsid w:val="733252F0"/>
    <w:rsid w:val="735B2E64"/>
    <w:rsid w:val="736E51D0"/>
    <w:rsid w:val="738003CA"/>
    <w:rsid w:val="73927DA8"/>
    <w:rsid w:val="73994FBD"/>
    <w:rsid w:val="73AD6C72"/>
    <w:rsid w:val="73C56EED"/>
    <w:rsid w:val="74180D50"/>
    <w:rsid w:val="741E3A74"/>
    <w:rsid w:val="74705A92"/>
    <w:rsid w:val="748051BB"/>
    <w:rsid w:val="74A035AF"/>
    <w:rsid w:val="74CC56DC"/>
    <w:rsid w:val="74DD43BC"/>
    <w:rsid w:val="754F62C4"/>
    <w:rsid w:val="758D4AB4"/>
    <w:rsid w:val="759727BC"/>
    <w:rsid w:val="75AA1917"/>
    <w:rsid w:val="75D12961"/>
    <w:rsid w:val="76165164"/>
    <w:rsid w:val="763A0087"/>
    <w:rsid w:val="765941C5"/>
    <w:rsid w:val="76B13E2F"/>
    <w:rsid w:val="771A36A5"/>
    <w:rsid w:val="773B6CD4"/>
    <w:rsid w:val="774D16DD"/>
    <w:rsid w:val="77523F14"/>
    <w:rsid w:val="77872AEC"/>
    <w:rsid w:val="77BB1B1C"/>
    <w:rsid w:val="77BD768A"/>
    <w:rsid w:val="77E30949"/>
    <w:rsid w:val="77F16A53"/>
    <w:rsid w:val="783525A0"/>
    <w:rsid w:val="78496619"/>
    <w:rsid w:val="786653A1"/>
    <w:rsid w:val="786F12BD"/>
    <w:rsid w:val="786F1AA9"/>
    <w:rsid w:val="7872551D"/>
    <w:rsid w:val="787A06B6"/>
    <w:rsid w:val="78B86EE8"/>
    <w:rsid w:val="78F32400"/>
    <w:rsid w:val="7920071D"/>
    <w:rsid w:val="79B56BC5"/>
    <w:rsid w:val="79C52BC7"/>
    <w:rsid w:val="79C747F6"/>
    <w:rsid w:val="79FE105C"/>
    <w:rsid w:val="7A2861E8"/>
    <w:rsid w:val="7A36659D"/>
    <w:rsid w:val="7A6027C1"/>
    <w:rsid w:val="7A854A12"/>
    <w:rsid w:val="7B237820"/>
    <w:rsid w:val="7B974622"/>
    <w:rsid w:val="7C3C1587"/>
    <w:rsid w:val="7C6B3F7A"/>
    <w:rsid w:val="7CA52AE4"/>
    <w:rsid w:val="7CE17DEA"/>
    <w:rsid w:val="7D3E207F"/>
    <w:rsid w:val="7D4E72F0"/>
    <w:rsid w:val="7D860B69"/>
    <w:rsid w:val="7DD15417"/>
    <w:rsid w:val="7DED1691"/>
    <w:rsid w:val="7E662EAD"/>
    <w:rsid w:val="7E9219F9"/>
    <w:rsid w:val="7EC14C30"/>
    <w:rsid w:val="7EF87B3E"/>
    <w:rsid w:val="7F474277"/>
    <w:rsid w:val="7F52348C"/>
    <w:rsid w:val="7F6A652F"/>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4"/>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11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62"/>
    <w:qFormat/>
    <w:uiPriority w:val="0"/>
    <w:pPr>
      <w:keepNext/>
      <w:keepLines/>
      <w:spacing w:before="260" w:after="260" w:line="413" w:lineRule="auto"/>
      <w:outlineLvl w:val="2"/>
    </w:pPr>
    <w:rPr>
      <w:b/>
      <w:bCs/>
      <w:sz w:val="32"/>
      <w:szCs w:val="32"/>
    </w:rPr>
  </w:style>
  <w:style w:type="paragraph" w:styleId="7">
    <w:name w:val="heading 4"/>
    <w:basedOn w:val="1"/>
    <w:next w:val="1"/>
    <w:link w:val="7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114"/>
    <w:qFormat/>
    <w:uiPriority w:val="0"/>
    <w:pPr>
      <w:keepNext/>
      <w:keepLines/>
      <w:spacing w:before="280" w:after="290" w:line="372" w:lineRule="auto"/>
      <w:outlineLvl w:val="4"/>
    </w:pPr>
    <w:rPr>
      <w:b/>
      <w:sz w:val="28"/>
    </w:rPr>
  </w:style>
  <w:style w:type="paragraph" w:styleId="10">
    <w:name w:val="heading 6"/>
    <w:basedOn w:val="1"/>
    <w:next w:val="9"/>
    <w:link w:val="118"/>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74"/>
    <w:qFormat/>
    <w:uiPriority w:val="0"/>
    <w:pPr>
      <w:keepNext/>
      <w:keepLines/>
      <w:spacing w:before="240" w:after="64" w:line="317" w:lineRule="auto"/>
      <w:outlineLvl w:val="6"/>
    </w:pPr>
    <w:rPr>
      <w:b/>
      <w:sz w:val="24"/>
    </w:rPr>
  </w:style>
  <w:style w:type="paragraph" w:styleId="12">
    <w:name w:val="heading 8"/>
    <w:basedOn w:val="1"/>
    <w:next w:val="9"/>
    <w:link w:val="69"/>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137"/>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129"/>
    <w:qFormat/>
    <w:uiPriority w:val="0"/>
    <w:pPr>
      <w:spacing w:after="120" w:line="240" w:lineRule="auto"/>
      <w:ind w:firstLine="420" w:firstLineChars="100"/>
    </w:pPr>
    <w:rPr>
      <w:sz w:val="21"/>
    </w:rPr>
  </w:style>
  <w:style w:type="paragraph" w:styleId="3">
    <w:name w:val="Body Text"/>
    <w:basedOn w:val="1"/>
    <w:link w:val="133"/>
    <w:qFormat/>
    <w:uiPriority w:val="99"/>
    <w:pPr>
      <w:spacing w:line="380" w:lineRule="exact"/>
    </w:pPr>
    <w:rPr>
      <w:sz w:val="24"/>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28"/>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131"/>
    <w:qFormat/>
    <w:uiPriority w:val="0"/>
    <w:pPr>
      <w:jc w:val="left"/>
    </w:pPr>
  </w:style>
  <w:style w:type="paragraph" w:styleId="20">
    <w:name w:val="Body Text 3"/>
    <w:basedOn w:val="1"/>
    <w:link w:val="63"/>
    <w:qFormat/>
    <w:uiPriority w:val="0"/>
    <w:pPr>
      <w:spacing w:line="500" w:lineRule="exact"/>
    </w:pPr>
    <w:rPr>
      <w:b/>
      <w:bCs/>
      <w:sz w:val="24"/>
    </w:rPr>
  </w:style>
  <w:style w:type="paragraph" w:styleId="21">
    <w:name w:val="Body Text Indent"/>
    <w:basedOn w:val="1"/>
    <w:link w:val="6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213"/>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68"/>
    <w:qFormat/>
    <w:uiPriority w:val="0"/>
    <w:pPr>
      <w:ind w:left="100" w:leftChars="2500"/>
    </w:pPr>
    <w:rPr>
      <w:rFonts w:ascii="宋体" w:hAnsi="Courier New"/>
      <w:szCs w:val="21"/>
    </w:rPr>
  </w:style>
  <w:style w:type="paragraph" w:styleId="30">
    <w:name w:val="Body Text Indent 2"/>
    <w:basedOn w:val="1"/>
    <w:link w:val="136"/>
    <w:qFormat/>
    <w:uiPriority w:val="0"/>
    <w:pPr>
      <w:ind w:firstLine="630"/>
    </w:pPr>
    <w:rPr>
      <w:sz w:val="32"/>
      <w:szCs w:val="20"/>
    </w:rPr>
  </w:style>
  <w:style w:type="paragraph" w:styleId="31">
    <w:name w:val="Balloon Text"/>
    <w:basedOn w:val="1"/>
    <w:link w:val="95"/>
    <w:qFormat/>
    <w:uiPriority w:val="0"/>
    <w:rPr>
      <w:sz w:val="18"/>
      <w:szCs w:val="18"/>
    </w:rPr>
  </w:style>
  <w:style w:type="paragraph" w:styleId="32">
    <w:name w:val="footer"/>
    <w:basedOn w:val="1"/>
    <w:link w:val="96"/>
    <w:qFormat/>
    <w:uiPriority w:val="99"/>
    <w:pPr>
      <w:tabs>
        <w:tab w:val="center" w:pos="4153"/>
        <w:tab w:val="right" w:pos="8306"/>
      </w:tabs>
      <w:snapToGrid w:val="0"/>
      <w:jc w:val="left"/>
    </w:pPr>
    <w:rPr>
      <w:sz w:val="18"/>
      <w:szCs w:val="18"/>
    </w:rPr>
  </w:style>
  <w:style w:type="paragraph" w:styleId="33">
    <w:name w:val="header"/>
    <w:basedOn w:val="1"/>
    <w:link w:val="139"/>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10"/>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22"/>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03"/>
    <w:qFormat/>
    <w:uiPriority w:val="0"/>
    <w:pPr>
      <w:jc w:val="center"/>
    </w:pPr>
    <w:rPr>
      <w:sz w:val="30"/>
    </w:rPr>
  </w:style>
  <w:style w:type="paragraph" w:styleId="49">
    <w:name w:val="annotation subject"/>
    <w:basedOn w:val="19"/>
    <w:next w:val="19"/>
    <w:link w:val="85"/>
    <w:qFormat/>
    <w:uiPriority w:val="0"/>
    <w:rPr>
      <w:b/>
      <w:bCs/>
    </w:rPr>
  </w:style>
  <w:style w:type="paragraph" w:styleId="50">
    <w:name w:val="Body Text First Indent 2"/>
    <w:basedOn w:val="21"/>
    <w:link w:val="80"/>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表格文字"/>
    <w:basedOn w:val="1"/>
    <w:next w:val="3"/>
    <w:qFormat/>
    <w:uiPriority w:val="0"/>
    <w:pPr>
      <w:spacing w:before="25" w:after="25"/>
      <w:jc w:val="left"/>
    </w:pPr>
    <w:rPr>
      <w:bCs/>
      <w:spacing w:val="10"/>
      <w:kern w:val="0"/>
      <w:sz w:val="24"/>
    </w:rPr>
  </w:style>
  <w:style w:type="paragraph" w:customStyle="1" w:styleId="60">
    <w:name w:val="Default"/>
    <w:next w:val="6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62">
    <w:name w:val="标题 3 字符1"/>
    <w:link w:val="6"/>
    <w:qFormat/>
    <w:uiPriority w:val="0"/>
    <w:rPr>
      <w:b/>
      <w:bCs/>
      <w:kern w:val="2"/>
      <w:sz w:val="32"/>
      <w:szCs w:val="32"/>
    </w:rPr>
  </w:style>
  <w:style w:type="character" w:customStyle="1" w:styleId="63">
    <w:name w:val="正文文本 3 字符1"/>
    <w:link w:val="20"/>
    <w:autoRedefine/>
    <w:qFormat/>
    <w:uiPriority w:val="0"/>
    <w:rPr>
      <w:b/>
      <w:bCs/>
      <w:kern w:val="2"/>
      <w:sz w:val="24"/>
      <w:szCs w:val="24"/>
    </w:rPr>
  </w:style>
  <w:style w:type="character" w:customStyle="1" w:styleId="64">
    <w:name w:val="正文文本缩进 字符1"/>
    <w:link w:val="21"/>
    <w:autoRedefine/>
    <w:qFormat/>
    <w:uiPriority w:val="99"/>
    <w:rPr>
      <w:rFonts w:ascii="仿宋_GB2312" w:eastAsia="仿宋_GB2312"/>
      <w:kern w:val="2"/>
      <w:sz w:val="32"/>
    </w:rPr>
  </w:style>
  <w:style w:type="character" w:customStyle="1" w:styleId="65">
    <w:name w:val="标题 4 字符"/>
    <w:autoRedefine/>
    <w:semiHidden/>
    <w:qFormat/>
    <w:uiPriority w:val="9"/>
    <w:rPr>
      <w:rFonts w:ascii="等线 Light" w:hAnsi="等线 Light" w:eastAsia="等线 Light" w:cs="Times New Roman"/>
      <w:b/>
      <w:bCs/>
      <w:kern w:val="2"/>
      <w:sz w:val="28"/>
      <w:szCs w:val="28"/>
    </w:rPr>
  </w:style>
  <w:style w:type="character" w:customStyle="1" w:styleId="66">
    <w:name w:val="HTML 预设格式 字符"/>
    <w:autoRedefine/>
    <w:semiHidden/>
    <w:qFormat/>
    <w:uiPriority w:val="99"/>
    <w:rPr>
      <w:rFonts w:ascii="Courier New" w:hAnsi="Courier New" w:cs="Courier New"/>
      <w:kern w:val="2"/>
    </w:rPr>
  </w:style>
  <w:style w:type="character" w:customStyle="1" w:styleId="67">
    <w:name w:val="graytext1"/>
    <w:autoRedefine/>
    <w:qFormat/>
    <w:uiPriority w:val="0"/>
    <w:rPr>
      <w:color w:val="666666"/>
    </w:rPr>
  </w:style>
  <w:style w:type="character" w:customStyle="1" w:styleId="68">
    <w:name w:val="日期 字符1"/>
    <w:link w:val="29"/>
    <w:autoRedefine/>
    <w:qFormat/>
    <w:uiPriority w:val="0"/>
    <w:rPr>
      <w:rFonts w:ascii="宋体" w:hAnsi="Courier New" w:cs="Courier New"/>
      <w:kern w:val="2"/>
      <w:sz w:val="21"/>
      <w:szCs w:val="21"/>
    </w:rPr>
  </w:style>
  <w:style w:type="character" w:customStyle="1" w:styleId="69">
    <w:name w:val="标题 8 字符1"/>
    <w:link w:val="12"/>
    <w:autoRedefine/>
    <w:qFormat/>
    <w:uiPriority w:val="0"/>
    <w:rPr>
      <w:rFonts w:ascii="Arial" w:hAnsi="Arial" w:eastAsia="黑体"/>
      <w:kern w:val="2"/>
      <w:sz w:val="24"/>
      <w:szCs w:val="24"/>
    </w:rPr>
  </w:style>
  <w:style w:type="character" w:customStyle="1" w:styleId="70">
    <w:name w:val="标题 6 字符"/>
    <w:autoRedefine/>
    <w:semiHidden/>
    <w:qFormat/>
    <w:uiPriority w:val="9"/>
    <w:rPr>
      <w:rFonts w:ascii="等线 Light" w:hAnsi="等线 Light" w:eastAsia="等线 Light" w:cs="Times New Roman"/>
      <w:b/>
      <w:bCs/>
      <w:kern w:val="2"/>
      <w:sz w:val="24"/>
      <w:szCs w:val="24"/>
    </w:rPr>
  </w:style>
  <w:style w:type="character" w:customStyle="1" w:styleId="71">
    <w:name w:val="white"/>
    <w:basedOn w:val="53"/>
    <w:autoRedefine/>
    <w:qFormat/>
    <w:uiPriority w:val="0"/>
  </w:style>
  <w:style w:type="character" w:customStyle="1" w:styleId="72">
    <w:name w:val="text11"/>
    <w:autoRedefine/>
    <w:qFormat/>
    <w:uiPriority w:val="0"/>
    <w:rPr>
      <w:rFonts w:hint="default" w:ascii="Verdana" w:hAnsi="Verdana"/>
      <w:color w:val="4E4E4E"/>
      <w:sz w:val="18"/>
      <w:szCs w:val="18"/>
    </w:rPr>
  </w:style>
  <w:style w:type="character" w:customStyle="1" w:styleId="73">
    <w:name w:val="gray12"/>
    <w:basedOn w:val="53"/>
    <w:autoRedefine/>
    <w:qFormat/>
    <w:uiPriority w:val="0"/>
  </w:style>
  <w:style w:type="character" w:customStyle="1" w:styleId="74">
    <w:name w:val="标题 7 字符1"/>
    <w:link w:val="11"/>
    <w:autoRedefine/>
    <w:qFormat/>
    <w:uiPriority w:val="0"/>
    <w:rPr>
      <w:b/>
      <w:kern w:val="2"/>
      <w:sz w:val="24"/>
      <w:szCs w:val="24"/>
    </w:rPr>
  </w:style>
  <w:style w:type="character" w:customStyle="1" w:styleId="75">
    <w:name w:val="font01"/>
    <w:autoRedefine/>
    <w:qFormat/>
    <w:uiPriority w:val="0"/>
    <w:rPr>
      <w:rFonts w:hint="eastAsia" w:ascii="宋体" w:hAnsi="宋体" w:eastAsia="宋体"/>
      <w:color w:val="000000"/>
      <w:sz w:val="22"/>
      <w:szCs w:val="22"/>
      <w:u w:val="none"/>
    </w:rPr>
  </w:style>
  <w:style w:type="character" w:customStyle="1" w:styleId="76">
    <w:name w:val="mark8"/>
    <w:autoRedefine/>
    <w:qFormat/>
    <w:uiPriority w:val="0"/>
    <w:rPr>
      <w:b/>
      <w:bCs/>
      <w:sz w:val="21"/>
      <w:szCs w:val="21"/>
    </w:rPr>
  </w:style>
  <w:style w:type="character" w:customStyle="1" w:styleId="77">
    <w:name w:val="纯文本 Char1"/>
    <w:autoRedefine/>
    <w:qFormat/>
    <w:uiPriority w:val="0"/>
    <w:rPr>
      <w:rFonts w:ascii="宋体" w:hAnsi="Courier New" w:eastAsia="宋体" w:cs="Courier New"/>
      <w:kern w:val="2"/>
      <w:sz w:val="21"/>
      <w:szCs w:val="21"/>
      <w:lang w:val="en-US" w:eastAsia="zh-CN" w:bidi="ar-SA"/>
    </w:rPr>
  </w:style>
  <w:style w:type="character" w:customStyle="1" w:styleId="78">
    <w:name w:val="标题 4 字符1"/>
    <w:link w:val="7"/>
    <w:qFormat/>
    <w:uiPriority w:val="0"/>
    <w:rPr>
      <w:rFonts w:ascii="Arial" w:hAnsi="Arial" w:eastAsia="黑体"/>
      <w:sz w:val="28"/>
    </w:rPr>
  </w:style>
  <w:style w:type="character" w:customStyle="1" w:styleId="79">
    <w:name w:val="short_text1"/>
    <w:autoRedefine/>
    <w:qFormat/>
    <w:uiPriority w:val="0"/>
    <w:rPr>
      <w:sz w:val="26"/>
    </w:rPr>
  </w:style>
  <w:style w:type="character" w:customStyle="1" w:styleId="80">
    <w:name w:val="正文首行缩进 2 字符"/>
    <w:link w:val="50"/>
    <w:autoRedefine/>
    <w:qFormat/>
    <w:uiPriority w:val="0"/>
    <w:rPr>
      <w:kern w:val="2"/>
      <w:sz w:val="21"/>
      <w:szCs w:val="24"/>
    </w:rPr>
  </w:style>
  <w:style w:type="character" w:customStyle="1" w:styleId="81">
    <w:name w:val="1ji Char"/>
    <w:link w:val="82"/>
    <w:autoRedefine/>
    <w:qFormat/>
    <w:uiPriority w:val="0"/>
    <w:rPr>
      <w:rFonts w:ascii="宋体" w:hAnsi="宋体" w:eastAsia="宋体"/>
      <w:b/>
      <w:bCs/>
      <w:kern w:val="44"/>
      <w:sz w:val="36"/>
      <w:szCs w:val="44"/>
      <w:lang w:val="en-US" w:eastAsia="zh-CN" w:bidi="ar-SA"/>
    </w:rPr>
  </w:style>
  <w:style w:type="paragraph" w:customStyle="1" w:styleId="82">
    <w:name w:val="1ji"/>
    <w:basedOn w:val="4"/>
    <w:link w:val="81"/>
    <w:autoRedefine/>
    <w:qFormat/>
    <w:uiPriority w:val="0"/>
    <w:pPr>
      <w:keepLines w:val="0"/>
      <w:widowControl/>
      <w:spacing w:before="0" w:after="0" w:line="240" w:lineRule="auto"/>
      <w:jc w:val="center"/>
    </w:pPr>
    <w:rPr>
      <w:rFonts w:ascii="宋体" w:hAnsi="宋体"/>
      <w:sz w:val="36"/>
    </w:rPr>
  </w:style>
  <w:style w:type="character" w:customStyle="1" w:styleId="83">
    <w:name w:val="标题 7 字符"/>
    <w:autoRedefine/>
    <w:semiHidden/>
    <w:qFormat/>
    <w:uiPriority w:val="9"/>
    <w:rPr>
      <w:b/>
      <w:bCs/>
      <w:kern w:val="2"/>
      <w:sz w:val="24"/>
      <w:szCs w:val="24"/>
    </w:rPr>
  </w:style>
  <w:style w:type="character" w:customStyle="1" w:styleId="84">
    <w:name w:val="批注主题 字符"/>
    <w:autoRedefine/>
    <w:semiHidden/>
    <w:qFormat/>
    <w:uiPriority w:val="99"/>
    <w:rPr>
      <w:b/>
      <w:bCs/>
      <w:kern w:val="2"/>
      <w:sz w:val="21"/>
      <w:szCs w:val="24"/>
    </w:rPr>
  </w:style>
  <w:style w:type="character" w:customStyle="1" w:styleId="85">
    <w:name w:val="批注主题 字符1"/>
    <w:link w:val="49"/>
    <w:autoRedefine/>
    <w:qFormat/>
    <w:uiPriority w:val="0"/>
    <w:rPr>
      <w:b/>
      <w:bCs/>
      <w:kern w:val="2"/>
      <w:sz w:val="21"/>
      <w:szCs w:val="24"/>
    </w:rPr>
  </w:style>
  <w:style w:type="character" w:customStyle="1" w:styleId="86">
    <w:name w:val="正文文本首行缩进 字符"/>
    <w:autoRedefine/>
    <w:semiHidden/>
    <w:qFormat/>
    <w:uiPriority w:val="99"/>
  </w:style>
  <w:style w:type="character" w:customStyle="1" w:styleId="87">
    <w:name w:val="f151"/>
    <w:autoRedefine/>
    <w:qFormat/>
    <w:uiPriority w:val="0"/>
    <w:rPr>
      <w:sz w:val="23"/>
      <w:szCs w:val="23"/>
    </w:rPr>
  </w:style>
  <w:style w:type="character" w:customStyle="1" w:styleId="88">
    <w:name w:val="标题 5 字符"/>
    <w:autoRedefine/>
    <w:semiHidden/>
    <w:qFormat/>
    <w:uiPriority w:val="9"/>
    <w:rPr>
      <w:b/>
      <w:bCs/>
      <w:kern w:val="2"/>
      <w:sz w:val="28"/>
      <w:szCs w:val="28"/>
    </w:rPr>
  </w:style>
  <w:style w:type="character" w:customStyle="1" w:styleId="89">
    <w:name w:val="content2"/>
    <w:basedOn w:val="53"/>
    <w:autoRedefine/>
    <w:qFormat/>
    <w:uiPriority w:val="0"/>
  </w:style>
  <w:style w:type="character" w:customStyle="1" w:styleId="90">
    <w:name w:val="062"/>
    <w:autoRedefine/>
    <w:qFormat/>
    <w:uiPriority w:val="0"/>
    <w:rPr>
      <w:rFonts w:ascii="宋体" w:hAnsi="宋体"/>
      <w:b/>
      <w:bCs/>
      <w:sz w:val="32"/>
    </w:rPr>
  </w:style>
  <w:style w:type="character" w:customStyle="1" w:styleId="91">
    <w:name w:val="正文文本缩进 字符"/>
    <w:autoRedefine/>
    <w:semiHidden/>
    <w:qFormat/>
    <w:uiPriority w:val="99"/>
    <w:rPr>
      <w:kern w:val="2"/>
      <w:sz w:val="21"/>
      <w:szCs w:val="24"/>
    </w:rPr>
  </w:style>
  <w:style w:type="character" w:customStyle="1" w:styleId="92">
    <w:name w:val="small"/>
    <w:basedOn w:val="53"/>
    <w:autoRedefine/>
    <w:qFormat/>
    <w:uiPriority w:val="0"/>
  </w:style>
  <w:style w:type="character" w:customStyle="1" w:styleId="93">
    <w:name w:val="页眉 字符"/>
    <w:autoRedefine/>
    <w:semiHidden/>
    <w:qFormat/>
    <w:uiPriority w:val="99"/>
    <w:rPr>
      <w:kern w:val="2"/>
      <w:sz w:val="18"/>
      <w:szCs w:val="18"/>
    </w:rPr>
  </w:style>
  <w:style w:type="character" w:customStyle="1" w:styleId="94">
    <w:name w:val="标题 字符"/>
    <w:autoRedefine/>
    <w:qFormat/>
    <w:uiPriority w:val="10"/>
    <w:rPr>
      <w:rFonts w:ascii="等线 Light" w:hAnsi="等线 Light" w:eastAsia="等线 Light" w:cs="Times New Roman"/>
      <w:b/>
      <w:bCs/>
      <w:kern w:val="2"/>
      <w:sz w:val="32"/>
      <w:szCs w:val="32"/>
    </w:rPr>
  </w:style>
  <w:style w:type="character" w:customStyle="1" w:styleId="95">
    <w:name w:val="批注框文本 字符1"/>
    <w:link w:val="31"/>
    <w:autoRedefine/>
    <w:qFormat/>
    <w:uiPriority w:val="0"/>
    <w:rPr>
      <w:kern w:val="2"/>
      <w:sz w:val="18"/>
      <w:szCs w:val="18"/>
    </w:rPr>
  </w:style>
  <w:style w:type="character" w:customStyle="1" w:styleId="96">
    <w:name w:val="页脚 字符1"/>
    <w:link w:val="32"/>
    <w:autoRedefine/>
    <w:qFormat/>
    <w:uiPriority w:val="0"/>
    <w:rPr>
      <w:kern w:val="2"/>
      <w:sz w:val="18"/>
      <w:szCs w:val="18"/>
    </w:rPr>
  </w:style>
  <w:style w:type="character" w:customStyle="1" w:styleId="97">
    <w:name w:val="批注文字 字符"/>
    <w:autoRedefine/>
    <w:qFormat/>
    <w:uiPriority w:val="0"/>
    <w:rPr>
      <w:kern w:val="2"/>
      <w:sz w:val="21"/>
      <w:szCs w:val="24"/>
    </w:rPr>
  </w:style>
  <w:style w:type="character" w:customStyle="1" w:styleId="98">
    <w:name w:val="标题 2 字符"/>
    <w:autoRedefine/>
    <w:semiHidden/>
    <w:qFormat/>
    <w:uiPriority w:val="9"/>
    <w:rPr>
      <w:rFonts w:ascii="等线 Light" w:hAnsi="等线 Light" w:eastAsia="等线 Light" w:cs="Times New Roman"/>
      <w:b/>
      <w:bCs/>
      <w:kern w:val="2"/>
      <w:sz w:val="32"/>
      <w:szCs w:val="32"/>
    </w:rPr>
  </w:style>
  <w:style w:type="character" w:customStyle="1" w:styleId="99">
    <w:name w:val="文档结构图 字符"/>
    <w:autoRedefine/>
    <w:semiHidden/>
    <w:qFormat/>
    <w:uiPriority w:val="99"/>
    <w:rPr>
      <w:rFonts w:ascii="Microsoft YaHei UI" w:eastAsia="Microsoft YaHei UI"/>
      <w:kern w:val="2"/>
      <w:sz w:val="18"/>
      <w:szCs w:val="18"/>
    </w:rPr>
  </w:style>
  <w:style w:type="character" w:customStyle="1" w:styleId="100">
    <w:name w:val="z-窗体顶端 字符1"/>
    <w:link w:val="101"/>
    <w:autoRedefine/>
    <w:qFormat/>
    <w:uiPriority w:val="0"/>
    <w:rPr>
      <w:rFonts w:ascii="Arial"/>
      <w:vanish/>
      <w:kern w:val="2"/>
      <w:sz w:val="16"/>
      <w:szCs w:val="24"/>
    </w:rPr>
  </w:style>
  <w:style w:type="paragraph" w:customStyle="1" w:styleId="101">
    <w:name w:val="z-窗体顶端1"/>
    <w:basedOn w:val="1"/>
    <w:next w:val="1"/>
    <w:link w:val="100"/>
    <w:autoRedefine/>
    <w:qFormat/>
    <w:uiPriority w:val="0"/>
    <w:pPr>
      <w:pBdr>
        <w:bottom w:val="single" w:color="auto" w:sz="6" w:space="1"/>
      </w:pBdr>
      <w:jc w:val="center"/>
    </w:pPr>
    <w:rPr>
      <w:rFonts w:ascii="Arial"/>
      <w:vanish/>
      <w:sz w:val="16"/>
    </w:rPr>
  </w:style>
  <w:style w:type="character" w:customStyle="1" w:styleId="102">
    <w:name w:val="highlight"/>
    <w:autoRedefine/>
    <w:qFormat/>
    <w:uiPriority w:val="0"/>
  </w:style>
  <w:style w:type="character" w:customStyle="1" w:styleId="103">
    <w:name w:val="标题 字符1"/>
    <w:link w:val="48"/>
    <w:autoRedefine/>
    <w:qFormat/>
    <w:uiPriority w:val="0"/>
    <w:rPr>
      <w:kern w:val="2"/>
      <w:sz w:val="30"/>
      <w:szCs w:val="24"/>
    </w:rPr>
  </w:style>
  <w:style w:type="character" w:customStyle="1" w:styleId="104">
    <w:name w:val="标题 1 字符1"/>
    <w:link w:val="4"/>
    <w:autoRedefine/>
    <w:qFormat/>
    <w:uiPriority w:val="9"/>
    <w:rPr>
      <w:rFonts w:eastAsia="宋体"/>
      <w:b/>
      <w:bCs/>
      <w:kern w:val="44"/>
      <w:sz w:val="44"/>
      <w:szCs w:val="44"/>
      <w:lang w:val="en-US" w:eastAsia="zh-CN" w:bidi="ar-SA"/>
    </w:rPr>
  </w:style>
  <w:style w:type="character" w:customStyle="1" w:styleId="105">
    <w:name w:val="1051"/>
    <w:autoRedefine/>
    <w:qFormat/>
    <w:uiPriority w:val="0"/>
    <w:rPr>
      <w:sz w:val="21"/>
      <w:szCs w:val="21"/>
    </w:rPr>
  </w:style>
  <w:style w:type="character" w:customStyle="1" w:styleId="106">
    <w:name w:val="HTML 预设格式 字符1"/>
    <w:link w:val="45"/>
    <w:autoRedefine/>
    <w:qFormat/>
    <w:uiPriority w:val="0"/>
    <w:rPr>
      <w:rFonts w:ascii="黑体" w:hAnsi="Courier New" w:eastAsia="黑体" w:cs="Courier New"/>
    </w:rPr>
  </w:style>
  <w:style w:type="character" w:customStyle="1" w:styleId="107">
    <w:name w:val="批注框文本 字符"/>
    <w:autoRedefine/>
    <w:semiHidden/>
    <w:qFormat/>
    <w:uiPriority w:val="99"/>
    <w:rPr>
      <w:kern w:val="2"/>
      <w:sz w:val="18"/>
      <w:szCs w:val="18"/>
    </w:rPr>
  </w:style>
  <w:style w:type="character" w:customStyle="1" w:styleId="108">
    <w:name w:val="style21"/>
    <w:autoRedefine/>
    <w:qFormat/>
    <w:uiPriority w:val="0"/>
    <w:rPr>
      <w:sz w:val="17"/>
      <w:szCs w:val="17"/>
    </w:rPr>
  </w:style>
  <w:style w:type="character" w:customStyle="1" w:styleId="109">
    <w:name w:val="正文文本 3 字符"/>
    <w:autoRedefine/>
    <w:semiHidden/>
    <w:qFormat/>
    <w:uiPriority w:val="99"/>
    <w:rPr>
      <w:kern w:val="2"/>
      <w:sz w:val="16"/>
      <w:szCs w:val="16"/>
    </w:rPr>
  </w:style>
  <w:style w:type="character" w:customStyle="1" w:styleId="110">
    <w:name w:val="正文文本缩进 3 字符1"/>
    <w:link w:val="39"/>
    <w:autoRedefine/>
    <w:qFormat/>
    <w:uiPriority w:val="0"/>
    <w:rPr>
      <w:kern w:val="2"/>
      <w:sz w:val="16"/>
      <w:szCs w:val="16"/>
    </w:rPr>
  </w:style>
  <w:style w:type="character" w:customStyle="1" w:styleId="111">
    <w:name w:val="unnamed3"/>
    <w:basedOn w:val="53"/>
    <w:autoRedefine/>
    <w:qFormat/>
    <w:uiPriority w:val="0"/>
  </w:style>
  <w:style w:type="character" w:customStyle="1" w:styleId="112">
    <w:name w:val="fd"/>
    <w:autoRedefine/>
    <w:qFormat/>
    <w:uiPriority w:val="0"/>
  </w:style>
  <w:style w:type="character" w:customStyle="1" w:styleId="113">
    <w:name w:val="标题 9 字符"/>
    <w:autoRedefine/>
    <w:semiHidden/>
    <w:qFormat/>
    <w:uiPriority w:val="9"/>
    <w:rPr>
      <w:rFonts w:ascii="等线 Light" w:hAnsi="等线 Light" w:eastAsia="等线 Light" w:cs="Times New Roman"/>
      <w:kern w:val="2"/>
      <w:sz w:val="21"/>
      <w:szCs w:val="21"/>
    </w:rPr>
  </w:style>
  <w:style w:type="character" w:customStyle="1" w:styleId="114">
    <w:name w:val="标题 5 字符1"/>
    <w:link w:val="8"/>
    <w:autoRedefine/>
    <w:qFormat/>
    <w:uiPriority w:val="0"/>
    <w:rPr>
      <w:b/>
      <w:kern w:val="2"/>
      <w:sz w:val="28"/>
      <w:szCs w:val="24"/>
    </w:rPr>
  </w:style>
  <w:style w:type="character" w:customStyle="1" w:styleId="115">
    <w:name w:val="标题 2 字符1"/>
    <w:link w:val="5"/>
    <w:autoRedefine/>
    <w:qFormat/>
    <w:uiPriority w:val="0"/>
    <w:rPr>
      <w:rFonts w:ascii="Arial" w:hAnsi="Arial" w:eastAsia="黑体"/>
      <w:b/>
      <w:bCs/>
      <w:kern w:val="2"/>
      <w:sz w:val="32"/>
      <w:szCs w:val="32"/>
    </w:rPr>
  </w:style>
  <w:style w:type="character" w:customStyle="1" w:styleId="116">
    <w:name w:val="正文文本缩进 2 字符"/>
    <w:autoRedefine/>
    <w:semiHidden/>
    <w:qFormat/>
    <w:uiPriority w:val="99"/>
    <w:rPr>
      <w:kern w:val="2"/>
      <w:sz w:val="21"/>
      <w:szCs w:val="24"/>
    </w:rPr>
  </w:style>
  <w:style w:type="character" w:customStyle="1" w:styleId="117">
    <w:name w:val="z-窗体顶端 字符"/>
    <w:autoRedefine/>
    <w:semiHidden/>
    <w:qFormat/>
    <w:uiPriority w:val="99"/>
    <w:rPr>
      <w:rFonts w:ascii="Arial" w:hAnsi="Arial" w:cs="Arial"/>
      <w:vanish/>
      <w:kern w:val="2"/>
      <w:sz w:val="16"/>
      <w:szCs w:val="16"/>
    </w:rPr>
  </w:style>
  <w:style w:type="character" w:customStyle="1" w:styleId="118">
    <w:name w:val="标题 6 字符1"/>
    <w:link w:val="10"/>
    <w:autoRedefine/>
    <w:qFormat/>
    <w:uiPriority w:val="0"/>
    <w:rPr>
      <w:rFonts w:ascii="Arial" w:hAnsi="Arial" w:eastAsia="黑体"/>
      <w:b/>
      <w:kern w:val="2"/>
      <w:sz w:val="24"/>
      <w:szCs w:val="24"/>
    </w:rPr>
  </w:style>
  <w:style w:type="character" w:customStyle="1" w:styleId="119">
    <w:name w:val="case31"/>
    <w:autoRedefine/>
    <w:qFormat/>
    <w:uiPriority w:val="0"/>
    <w:rPr>
      <w:rFonts w:hint="default"/>
      <w:sz w:val="21"/>
      <w:szCs w:val="21"/>
    </w:rPr>
  </w:style>
  <w:style w:type="character" w:customStyle="1" w:styleId="120">
    <w:name w:val="标题3 Char"/>
    <w:link w:val="121"/>
    <w:autoRedefine/>
    <w:qFormat/>
    <w:uiPriority w:val="0"/>
    <w:rPr>
      <w:rFonts w:ascii="宋体" w:hAnsi="宋体"/>
      <w:b/>
      <w:bCs/>
      <w:kern w:val="44"/>
      <w:sz w:val="24"/>
      <w:szCs w:val="24"/>
    </w:rPr>
  </w:style>
  <w:style w:type="paragraph" w:customStyle="1" w:styleId="121">
    <w:name w:val="标题3"/>
    <w:basedOn w:val="4"/>
    <w:link w:val="120"/>
    <w:autoRedefine/>
    <w:qFormat/>
    <w:uiPriority w:val="0"/>
    <w:pPr>
      <w:spacing w:before="0" w:beforeLines="50" w:after="0" w:afterLines="50" w:line="400" w:lineRule="exact"/>
    </w:pPr>
    <w:rPr>
      <w:rFonts w:ascii="宋体" w:hAnsi="宋体"/>
      <w:sz w:val="24"/>
      <w:szCs w:val="24"/>
    </w:rPr>
  </w:style>
  <w:style w:type="character" w:customStyle="1" w:styleId="122">
    <w:name w:val="正文文本 2 字符1"/>
    <w:link w:val="42"/>
    <w:autoRedefine/>
    <w:qFormat/>
    <w:uiPriority w:val="0"/>
    <w:rPr>
      <w:kern w:val="2"/>
      <w:sz w:val="21"/>
      <w:szCs w:val="24"/>
    </w:rPr>
  </w:style>
  <w:style w:type="character" w:customStyle="1" w:styleId="123">
    <w:name w:val="标题 3 字符"/>
    <w:autoRedefine/>
    <w:semiHidden/>
    <w:qFormat/>
    <w:uiPriority w:val="9"/>
    <w:rPr>
      <w:b/>
      <w:bCs/>
      <w:kern w:val="2"/>
      <w:sz w:val="32"/>
      <w:szCs w:val="32"/>
    </w:rPr>
  </w:style>
  <w:style w:type="character" w:customStyle="1" w:styleId="124">
    <w:name w:val="正文文本 2 字符"/>
    <w:autoRedefine/>
    <w:semiHidden/>
    <w:qFormat/>
    <w:uiPriority w:val="99"/>
    <w:rPr>
      <w:kern w:val="2"/>
      <w:sz w:val="21"/>
      <w:szCs w:val="24"/>
    </w:rPr>
  </w:style>
  <w:style w:type="character" w:customStyle="1" w:styleId="125">
    <w:name w:val="标题 1 字符"/>
    <w:autoRedefine/>
    <w:qFormat/>
    <w:uiPriority w:val="9"/>
    <w:rPr>
      <w:b/>
      <w:bCs/>
      <w:kern w:val="44"/>
      <w:sz w:val="44"/>
      <w:szCs w:val="44"/>
    </w:rPr>
  </w:style>
  <w:style w:type="character" w:customStyle="1" w:styleId="126">
    <w:name w:val="页脚 字符"/>
    <w:autoRedefine/>
    <w:qFormat/>
    <w:uiPriority w:val="99"/>
    <w:rPr>
      <w:kern w:val="2"/>
      <w:sz w:val="18"/>
      <w:szCs w:val="18"/>
    </w:rPr>
  </w:style>
  <w:style w:type="character" w:customStyle="1" w:styleId="127">
    <w:name w:val="正文文本首行缩进 2 字符"/>
    <w:autoRedefine/>
    <w:semiHidden/>
    <w:qFormat/>
    <w:uiPriority w:val="99"/>
  </w:style>
  <w:style w:type="character" w:customStyle="1" w:styleId="128">
    <w:name w:val="文档结构图 字符1"/>
    <w:link w:val="18"/>
    <w:autoRedefine/>
    <w:qFormat/>
    <w:uiPriority w:val="0"/>
    <w:rPr>
      <w:sz w:val="21"/>
      <w:shd w:val="clear" w:color="auto" w:fill="000080"/>
    </w:rPr>
  </w:style>
  <w:style w:type="character" w:customStyle="1" w:styleId="129">
    <w:name w:val="正文首行缩进 字符"/>
    <w:link w:val="2"/>
    <w:autoRedefine/>
    <w:qFormat/>
    <w:uiPriority w:val="0"/>
    <w:rPr>
      <w:kern w:val="2"/>
      <w:sz w:val="21"/>
      <w:szCs w:val="24"/>
    </w:rPr>
  </w:style>
  <w:style w:type="character" w:customStyle="1" w:styleId="130">
    <w:name w:val="apple-converted-space"/>
    <w:autoRedefine/>
    <w:qFormat/>
    <w:uiPriority w:val="0"/>
  </w:style>
  <w:style w:type="character" w:customStyle="1" w:styleId="131">
    <w:name w:val="批注文字 字符1"/>
    <w:link w:val="19"/>
    <w:autoRedefine/>
    <w:qFormat/>
    <w:uiPriority w:val="0"/>
    <w:rPr>
      <w:kern w:val="2"/>
      <w:sz w:val="21"/>
      <w:szCs w:val="24"/>
    </w:rPr>
  </w:style>
  <w:style w:type="character" w:customStyle="1" w:styleId="132">
    <w:name w:val="纯文本 字符1"/>
    <w:autoRedefine/>
    <w:qFormat/>
    <w:uiPriority w:val="99"/>
    <w:rPr>
      <w:rFonts w:ascii="宋体" w:hAnsi="Courier New" w:eastAsia="宋体" w:cs="Courier New"/>
      <w:kern w:val="2"/>
      <w:sz w:val="21"/>
      <w:szCs w:val="21"/>
      <w:lang w:val="en-US" w:eastAsia="zh-CN" w:bidi="ar-SA"/>
    </w:rPr>
  </w:style>
  <w:style w:type="character" w:customStyle="1" w:styleId="133">
    <w:name w:val="正文文本 字符1"/>
    <w:link w:val="3"/>
    <w:autoRedefine/>
    <w:qFormat/>
    <w:uiPriority w:val="99"/>
    <w:rPr>
      <w:kern w:val="2"/>
      <w:sz w:val="24"/>
      <w:szCs w:val="24"/>
    </w:rPr>
  </w:style>
  <w:style w:type="character" w:customStyle="1" w:styleId="134">
    <w:name w:val="日期 字符"/>
    <w:autoRedefine/>
    <w:semiHidden/>
    <w:qFormat/>
    <w:uiPriority w:val="99"/>
    <w:rPr>
      <w:kern w:val="2"/>
      <w:sz w:val="21"/>
      <w:szCs w:val="24"/>
    </w:rPr>
  </w:style>
  <w:style w:type="character" w:customStyle="1" w:styleId="135">
    <w:name w:val="纯文本 字符"/>
    <w:autoRedefine/>
    <w:qFormat/>
    <w:uiPriority w:val="0"/>
    <w:rPr>
      <w:rFonts w:ascii="等线" w:hAnsi="Courier New" w:eastAsia="等线" w:cs="Courier New"/>
      <w:kern w:val="2"/>
      <w:sz w:val="21"/>
      <w:szCs w:val="24"/>
    </w:rPr>
  </w:style>
  <w:style w:type="character" w:customStyle="1" w:styleId="136">
    <w:name w:val="正文文本缩进 2 字符1"/>
    <w:link w:val="30"/>
    <w:autoRedefine/>
    <w:qFormat/>
    <w:uiPriority w:val="0"/>
    <w:rPr>
      <w:kern w:val="2"/>
      <w:sz w:val="32"/>
    </w:rPr>
  </w:style>
  <w:style w:type="character" w:customStyle="1" w:styleId="137">
    <w:name w:val="标题 9 字符1"/>
    <w:link w:val="13"/>
    <w:autoRedefine/>
    <w:qFormat/>
    <w:uiPriority w:val="0"/>
    <w:rPr>
      <w:rFonts w:ascii="Arial" w:hAnsi="Arial" w:eastAsia="黑体"/>
      <w:kern w:val="2"/>
      <w:sz w:val="21"/>
      <w:szCs w:val="24"/>
    </w:rPr>
  </w:style>
  <w:style w:type="character" w:customStyle="1" w:styleId="138">
    <w:name w:val="style11"/>
    <w:autoRedefine/>
    <w:qFormat/>
    <w:uiPriority w:val="0"/>
    <w:rPr>
      <w:rFonts w:hint="default" w:ascii="Arial" w:hAnsi="Arial" w:cs="Arial"/>
    </w:rPr>
  </w:style>
  <w:style w:type="character" w:customStyle="1" w:styleId="139">
    <w:name w:val="页眉 字符1"/>
    <w:link w:val="33"/>
    <w:autoRedefine/>
    <w:qFormat/>
    <w:uiPriority w:val="99"/>
    <w:rPr>
      <w:kern w:val="2"/>
      <w:sz w:val="18"/>
      <w:szCs w:val="18"/>
    </w:rPr>
  </w:style>
  <w:style w:type="character" w:customStyle="1" w:styleId="140">
    <w:name w:val="标题 8 字符"/>
    <w:autoRedefine/>
    <w:semiHidden/>
    <w:qFormat/>
    <w:uiPriority w:val="9"/>
    <w:rPr>
      <w:rFonts w:ascii="等线 Light" w:hAnsi="等线 Light" w:eastAsia="等线 Light" w:cs="Times New Roman"/>
      <w:kern w:val="2"/>
      <w:sz w:val="24"/>
      <w:szCs w:val="24"/>
    </w:rPr>
  </w:style>
  <w:style w:type="character" w:customStyle="1" w:styleId="141">
    <w:name w:val="正文文本缩进 3 字符"/>
    <w:autoRedefine/>
    <w:semiHidden/>
    <w:qFormat/>
    <w:uiPriority w:val="99"/>
    <w:rPr>
      <w:kern w:val="2"/>
      <w:sz w:val="16"/>
      <w:szCs w:val="16"/>
    </w:rPr>
  </w:style>
  <w:style w:type="character" w:customStyle="1" w:styleId="142">
    <w:name w:val="正文文本 字符"/>
    <w:autoRedefine/>
    <w:semiHidden/>
    <w:qFormat/>
    <w:uiPriority w:val="99"/>
    <w:rPr>
      <w:kern w:val="2"/>
      <w:sz w:val="21"/>
      <w:szCs w:val="24"/>
    </w:rPr>
  </w:style>
  <w:style w:type="paragraph" w:customStyle="1" w:styleId="143">
    <w:name w:val="Char Char Char Char Char Char Char"/>
    <w:basedOn w:val="1"/>
    <w:autoRedefine/>
    <w:qFormat/>
    <w:uiPriority w:val="0"/>
  </w:style>
  <w:style w:type="paragraph" w:customStyle="1" w:styleId="144">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45">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6">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7">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8">
    <w:name w:val="Char Char Char"/>
    <w:basedOn w:val="18"/>
    <w:autoRedefine/>
    <w:qFormat/>
    <w:uiPriority w:val="0"/>
    <w:pPr>
      <w:adjustRightInd/>
      <w:spacing w:line="240" w:lineRule="auto"/>
      <w:textAlignment w:val="auto"/>
    </w:pPr>
    <w:rPr>
      <w:rFonts w:ascii="Tahoma" w:hAnsi="Tahoma"/>
      <w:kern w:val="2"/>
      <w:sz w:val="24"/>
      <w:szCs w:val="24"/>
    </w:rPr>
  </w:style>
  <w:style w:type="paragraph" w:customStyle="1" w:styleId="14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50">
    <w:name w:val="_Style 109"/>
    <w:basedOn w:val="1"/>
    <w:next w:val="151"/>
    <w:autoRedefine/>
    <w:qFormat/>
    <w:uiPriority w:val="34"/>
    <w:pPr>
      <w:ind w:firstLine="420" w:firstLineChars="200"/>
    </w:pPr>
    <w:rPr>
      <w:rFonts w:ascii="Calibri" w:hAnsi="Calibri"/>
      <w:szCs w:val="22"/>
    </w:rPr>
  </w:style>
  <w:style w:type="paragraph" w:styleId="151">
    <w:name w:val="List Paragraph"/>
    <w:basedOn w:val="1"/>
    <w:autoRedefine/>
    <w:qFormat/>
    <w:uiPriority w:val="34"/>
    <w:pPr>
      <w:ind w:firstLine="420" w:firstLineChars="200"/>
    </w:pPr>
    <w:rPr>
      <w:rFonts w:ascii="Calibri" w:hAnsi="Calibri"/>
      <w:szCs w:val="22"/>
    </w:rPr>
  </w:style>
  <w:style w:type="paragraph" w:customStyle="1" w:styleId="152">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3">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54">
    <w:name w:val="2-2ji"/>
    <w:basedOn w:val="5"/>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5">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6">
    <w:name w:val="Char Char Char Char Char Char Char1"/>
    <w:basedOn w:val="1"/>
    <w:autoRedefine/>
    <w:qFormat/>
    <w:uiPriority w:val="0"/>
  </w:style>
  <w:style w:type="paragraph" w:customStyle="1" w:styleId="15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58">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9">
    <w:name w:val="tgt1"/>
    <w:basedOn w:val="1"/>
    <w:autoRedefine/>
    <w:qFormat/>
    <w:uiPriority w:val="0"/>
    <w:pPr>
      <w:widowControl/>
      <w:spacing w:after="150"/>
      <w:jc w:val="left"/>
    </w:pPr>
    <w:rPr>
      <w:rFonts w:ascii="宋体" w:hAnsi="宋体" w:cs="宋体"/>
      <w:kern w:val="0"/>
      <w:sz w:val="24"/>
    </w:rPr>
  </w:style>
  <w:style w:type="paragraph" w:customStyle="1" w:styleId="160">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61">
    <w:name w:val="表格"/>
    <w:basedOn w:val="1"/>
    <w:autoRedefine/>
    <w:qFormat/>
    <w:uiPriority w:val="0"/>
    <w:pPr>
      <w:spacing w:line="400" w:lineRule="exact"/>
    </w:pPr>
    <w:rPr>
      <w:sz w:val="24"/>
    </w:rPr>
  </w:style>
  <w:style w:type="paragraph" w:customStyle="1" w:styleId="162">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63">
    <w:name w:val="2ji"/>
    <w:basedOn w:val="5"/>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4">
    <w:name w:val="Char Char Char1"/>
    <w:basedOn w:val="18"/>
    <w:autoRedefine/>
    <w:qFormat/>
    <w:uiPriority w:val="0"/>
    <w:pPr>
      <w:adjustRightInd/>
      <w:spacing w:line="240" w:lineRule="auto"/>
      <w:textAlignment w:val="auto"/>
    </w:pPr>
    <w:rPr>
      <w:rFonts w:ascii="Tahoma" w:hAnsi="Tahoma"/>
      <w:kern w:val="2"/>
      <w:sz w:val="24"/>
      <w:szCs w:val="24"/>
    </w:rPr>
  </w:style>
  <w:style w:type="paragraph" w:customStyle="1" w:styleId="165">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66">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67">
    <w:name w:val="次小点说明 Char"/>
    <w:basedOn w:val="9"/>
    <w:autoRedefine/>
    <w:qFormat/>
    <w:uiPriority w:val="0"/>
    <w:pPr>
      <w:ind w:firstLine="0"/>
    </w:pPr>
    <w:rPr>
      <w:sz w:val="24"/>
      <w:szCs w:val="24"/>
    </w:rPr>
  </w:style>
  <w:style w:type="paragraph" w:customStyle="1" w:styleId="168">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0">
    <w:name w:val="Char Char Char Char Char Char Char Char Char Char Char Char Char"/>
    <w:basedOn w:val="18"/>
    <w:autoRedefine/>
    <w:qFormat/>
    <w:uiPriority w:val="0"/>
    <w:pPr>
      <w:adjustRightInd/>
      <w:spacing w:line="240" w:lineRule="auto"/>
      <w:textAlignment w:val="auto"/>
    </w:pPr>
    <w:rPr>
      <w:rFonts w:ascii="Tahoma" w:hAnsi="Tahoma"/>
      <w:kern w:val="2"/>
      <w:sz w:val="24"/>
      <w:szCs w:val="24"/>
    </w:rPr>
  </w:style>
  <w:style w:type="paragraph" w:customStyle="1" w:styleId="171">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72">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3">
    <w:name w:val="样式1"/>
    <w:basedOn w:val="1"/>
    <w:autoRedefine/>
    <w:qFormat/>
    <w:uiPriority w:val="0"/>
    <w:pPr>
      <w:spacing w:before="120" w:after="120" w:line="300" w:lineRule="auto"/>
    </w:pPr>
    <w:rPr>
      <w:rFonts w:ascii="宋体" w:hAnsi="宋体"/>
      <w:b/>
      <w:sz w:val="24"/>
      <w:szCs w:val="20"/>
    </w:rPr>
  </w:style>
  <w:style w:type="paragraph" w:customStyle="1" w:styleId="174">
    <w:name w:val="Char Char Char Char Char Char Char Char Char Char Char Char Char1"/>
    <w:basedOn w:val="18"/>
    <w:autoRedefine/>
    <w:qFormat/>
    <w:uiPriority w:val="0"/>
    <w:pPr>
      <w:adjustRightInd/>
      <w:spacing w:line="240" w:lineRule="auto"/>
      <w:textAlignment w:val="auto"/>
    </w:pPr>
    <w:rPr>
      <w:rFonts w:ascii="Tahoma" w:hAnsi="Tahoma"/>
      <w:kern w:val="2"/>
      <w:sz w:val="24"/>
      <w:szCs w:val="24"/>
    </w:rPr>
  </w:style>
  <w:style w:type="paragraph" w:customStyle="1" w:styleId="175">
    <w:name w:val="默认段落字体 Para Char"/>
    <w:basedOn w:val="1"/>
    <w:autoRedefine/>
    <w:qFormat/>
    <w:uiPriority w:val="0"/>
    <w:pPr>
      <w:adjustRightInd w:val="0"/>
      <w:spacing w:line="360" w:lineRule="auto"/>
    </w:pPr>
    <w:rPr>
      <w:kern w:val="0"/>
      <w:sz w:val="24"/>
      <w:szCs w:val="20"/>
    </w:rPr>
  </w:style>
  <w:style w:type="paragraph" w:customStyle="1" w:styleId="176">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8">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79">
    <w:name w:val="Char4"/>
    <w:basedOn w:val="1"/>
    <w:autoRedefine/>
    <w:qFormat/>
    <w:uiPriority w:val="0"/>
    <w:pPr>
      <w:tabs>
        <w:tab w:val="left" w:pos="360"/>
      </w:tabs>
      <w:ind w:left="252" w:hanging="252" w:hangingChars="140"/>
    </w:pPr>
    <w:rPr>
      <w:rFonts w:ascii="宋体"/>
      <w:sz w:val="18"/>
      <w:szCs w:val="18"/>
    </w:rPr>
  </w:style>
  <w:style w:type="paragraph" w:customStyle="1" w:styleId="180">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正文首行缩进两字符"/>
    <w:basedOn w:val="1"/>
    <w:autoRedefine/>
    <w:qFormat/>
    <w:uiPriority w:val="0"/>
    <w:pPr>
      <w:spacing w:line="360" w:lineRule="auto"/>
      <w:ind w:firstLine="200" w:firstLineChars="200"/>
    </w:pPr>
  </w:style>
  <w:style w:type="paragraph" w:customStyle="1" w:styleId="18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5">
    <w:name w:val="默认段落字体 Para Char Char Char Char Char Char Char Char Char1 Char Char Char Char"/>
    <w:basedOn w:val="1"/>
    <w:autoRedefine/>
    <w:qFormat/>
    <w:uiPriority w:val="0"/>
    <w:rPr>
      <w:rFonts w:ascii="Tahoma" w:hAnsi="Tahoma"/>
      <w:sz w:val="24"/>
      <w:szCs w:val="20"/>
    </w:rPr>
  </w:style>
  <w:style w:type="paragraph" w:customStyle="1" w:styleId="18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87">
    <w:name w:val="1"/>
    <w:basedOn w:val="1"/>
    <w:next w:val="27"/>
    <w:autoRedefine/>
    <w:qFormat/>
    <w:uiPriority w:val="0"/>
    <w:rPr>
      <w:rFonts w:ascii="宋体" w:hAnsi="Courier New"/>
      <w:szCs w:val="20"/>
    </w:rPr>
  </w:style>
  <w:style w:type="paragraph" w:customStyle="1" w:styleId="188">
    <w:name w:val="Char1"/>
    <w:basedOn w:val="1"/>
    <w:autoRedefine/>
    <w:qFormat/>
    <w:uiPriority w:val="0"/>
    <w:rPr>
      <w:szCs w:val="21"/>
    </w:rPr>
  </w:style>
  <w:style w:type="paragraph" w:customStyle="1" w:styleId="189">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9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1">
    <w:name w:val="Char Char Char2"/>
    <w:basedOn w:val="1"/>
    <w:autoRedefine/>
    <w:qFormat/>
    <w:uiPriority w:val="0"/>
    <w:rPr>
      <w:rFonts w:ascii="Tahoma" w:hAnsi="Tahoma"/>
      <w:sz w:val="24"/>
      <w:szCs w:val="20"/>
    </w:rPr>
  </w:style>
  <w:style w:type="paragraph" w:customStyle="1" w:styleId="192">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3">
    <w:name w:val="List Paragraph1"/>
    <w:basedOn w:val="1"/>
    <w:autoRedefine/>
    <w:qFormat/>
    <w:uiPriority w:val="0"/>
    <w:pPr>
      <w:ind w:firstLine="420" w:firstLineChars="200"/>
    </w:pPr>
    <w:rPr>
      <w:rFonts w:ascii="Calibri" w:hAnsi="Calibri"/>
      <w:szCs w:val="22"/>
    </w:rPr>
  </w:style>
  <w:style w:type="paragraph" w:customStyle="1" w:styleId="194">
    <w:name w:val="样式 首行缩进:  2 字符"/>
    <w:basedOn w:val="1"/>
    <w:autoRedefine/>
    <w:qFormat/>
    <w:uiPriority w:val="0"/>
    <w:pPr>
      <w:spacing w:line="400" w:lineRule="exact"/>
      <w:ind w:firstLine="200" w:firstLineChars="200"/>
    </w:pPr>
    <w:rPr>
      <w:rFonts w:cs="宋体"/>
      <w:sz w:val="24"/>
    </w:rPr>
  </w:style>
  <w:style w:type="paragraph" w:customStyle="1" w:styleId="195">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9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8">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99">
    <w:name w:val="未处理的提及1"/>
    <w:semiHidden/>
    <w:unhideWhenUsed/>
    <w:qFormat/>
    <w:uiPriority w:val="99"/>
    <w:rPr>
      <w:color w:val="605E5C"/>
      <w:shd w:val="clear" w:color="auto" w:fill="E1DFDD"/>
    </w:rPr>
  </w:style>
  <w:style w:type="character" w:customStyle="1" w:styleId="200">
    <w:name w:val="批注文字 Char"/>
    <w:qFormat/>
    <w:uiPriority w:val="0"/>
    <w:rPr>
      <w:kern w:val="2"/>
      <w:sz w:val="21"/>
      <w:szCs w:val="24"/>
    </w:rPr>
  </w:style>
  <w:style w:type="character" w:styleId="201">
    <w:name w:val="Placeholder Text"/>
    <w:basedOn w:val="53"/>
    <w:autoRedefine/>
    <w:unhideWhenUsed/>
    <w:qFormat/>
    <w:uiPriority w:val="99"/>
    <w:rPr>
      <w:color w:val="808080"/>
    </w:rPr>
  </w:style>
  <w:style w:type="paragraph" w:customStyle="1" w:styleId="202">
    <w:name w:val="正文-2字符首行缩进"/>
    <w:basedOn w:val="1"/>
    <w:link w:val="203"/>
    <w:autoRedefine/>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3">
    <w:name w:val="正文-2字符首行缩进 Char"/>
    <w:link w:val="202"/>
    <w:qFormat/>
    <w:uiPriority w:val="0"/>
    <w:rPr>
      <w:rFonts w:ascii="仿宋_GB2312" w:hAnsi="Calibri" w:eastAsia="仿宋_GB2312"/>
      <w:sz w:val="28"/>
      <w:szCs w:val="22"/>
    </w:rPr>
  </w:style>
  <w:style w:type="paragraph" w:customStyle="1" w:styleId="204">
    <w:name w:val="列出段落1"/>
    <w:basedOn w:val="1"/>
    <w:qFormat/>
    <w:uiPriority w:val="99"/>
    <w:pPr>
      <w:ind w:firstLine="420" w:firstLineChars="200"/>
    </w:pPr>
    <w:rPr>
      <w:rFonts w:asciiTheme="minorHAnsi" w:hAnsiTheme="minorHAnsi" w:eastAsiaTheme="minorEastAsia" w:cstheme="minorBidi"/>
    </w:rPr>
  </w:style>
  <w:style w:type="character" w:customStyle="1" w:styleId="205">
    <w:name w:val="未处理的提及2"/>
    <w:basedOn w:val="53"/>
    <w:autoRedefine/>
    <w:semiHidden/>
    <w:unhideWhenUsed/>
    <w:qFormat/>
    <w:uiPriority w:val="99"/>
    <w:rPr>
      <w:color w:val="605E5C"/>
      <w:shd w:val="clear" w:color="auto" w:fill="E1DFDD"/>
    </w:rPr>
  </w:style>
  <w:style w:type="character" w:customStyle="1" w:styleId="206">
    <w:name w:val="标题 2 Char"/>
    <w:autoRedefine/>
    <w:qFormat/>
    <w:uiPriority w:val="0"/>
    <w:rPr>
      <w:rFonts w:ascii="Arial" w:hAnsi="Arial" w:eastAsia="黑体"/>
      <w:b/>
      <w:bCs/>
      <w:kern w:val="2"/>
      <w:sz w:val="32"/>
      <w:szCs w:val="32"/>
    </w:rPr>
  </w:style>
  <w:style w:type="character" w:customStyle="1" w:styleId="207">
    <w:name w:val="15"/>
    <w:basedOn w:val="53"/>
    <w:qFormat/>
    <w:uiPriority w:val="0"/>
    <w:rPr>
      <w:rFonts w:hint="eastAsia" w:ascii="宋体" w:hAnsi="宋体" w:eastAsia="宋体"/>
      <w:color w:val="000000"/>
      <w:spacing w:val="0"/>
      <w:sz w:val="22"/>
      <w:szCs w:val="22"/>
    </w:rPr>
  </w:style>
  <w:style w:type="character" w:customStyle="1" w:styleId="208">
    <w:name w:val="批注文字 字符2"/>
    <w:autoRedefine/>
    <w:qFormat/>
    <w:uiPriority w:val="0"/>
    <w:rPr>
      <w:kern w:val="2"/>
      <w:sz w:val="21"/>
      <w:szCs w:val="24"/>
    </w:rPr>
  </w:style>
  <w:style w:type="paragraph" w:customStyle="1" w:styleId="20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10">
    <w:name w:val="未处理的提及3"/>
    <w:basedOn w:val="53"/>
    <w:autoRedefine/>
    <w:semiHidden/>
    <w:unhideWhenUsed/>
    <w:qFormat/>
    <w:uiPriority w:val="99"/>
    <w:rPr>
      <w:color w:val="605E5C"/>
      <w:shd w:val="clear" w:color="auto" w:fill="E1DFDD"/>
    </w:rPr>
  </w:style>
  <w:style w:type="paragraph" w:customStyle="1" w:styleId="211">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12">
    <w:name w:val="Unresolved Mention"/>
    <w:basedOn w:val="53"/>
    <w:autoRedefine/>
    <w:semiHidden/>
    <w:unhideWhenUsed/>
    <w:qFormat/>
    <w:uiPriority w:val="99"/>
    <w:rPr>
      <w:color w:val="605E5C"/>
      <w:shd w:val="clear" w:color="auto" w:fill="E1DFDD"/>
    </w:rPr>
  </w:style>
  <w:style w:type="character" w:customStyle="1" w:styleId="213">
    <w:name w:val="纯文本 字符2"/>
    <w:basedOn w:val="53"/>
    <w:link w:val="27"/>
    <w:autoRedefine/>
    <w:qFormat/>
    <w:uiPriority w:val="0"/>
    <w:rPr>
      <w:rFonts w:hint="eastAsia" w:ascii="宋体" w:hAnsi="Courier New" w:eastAsia="宋体" w:cs="Courier New"/>
      <w:kern w:val="2"/>
      <w:sz w:val="21"/>
      <w:szCs w:val="21"/>
    </w:rPr>
  </w:style>
  <w:style w:type="paragraph" w:customStyle="1" w:styleId="214">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977C-E588-4C61-8572-F1ACD8C49DC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166</Pages>
  <Words>138232</Words>
  <Characters>144306</Characters>
  <Lines>1283</Lines>
  <Paragraphs>361</Paragraphs>
  <TotalTime>108</TotalTime>
  <ScaleCrop>false</ScaleCrop>
  <LinksUpToDate>false</LinksUpToDate>
  <CharactersWithSpaces>148061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2024-07-08T09:49:00Z</dcterms:created>
  <dc:creator>微软用户</dc:creator>
  <cp:lastModifiedBy>心亦77</cp:lastModifiedBy>
  <cp:lastPrinted>2024-10-17T02:57:00Z</cp:lastPrinted>
  <dcterms:modified xsi:type="dcterms:W3CDTF">2024-10-18T01:25:26Z</dcterms:modified>
  <dc:title>桂财采〔2009〕 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F18CDDA4EA1E4B52A58978CD6EDF8D03_13</vt:lpwstr>
  </property>
</Properties>
</file>