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C9B6A">
      <w:pPr>
        <w:pStyle w:val="9"/>
        <w:pageBreakBefore w:val="0"/>
        <w:widowControl w:val="0"/>
        <w:kinsoku/>
        <w:wordWrap w:val="0"/>
        <w:overflowPunct/>
        <w:topLinePunct w:val="0"/>
        <w:bidi w:val="0"/>
        <w:spacing w:line="323" w:lineRule="auto"/>
      </w:pPr>
    </w:p>
    <w:p w14:paraId="1819B251">
      <w:pPr>
        <w:pageBreakBefore w:val="0"/>
        <w:widowControl w:val="0"/>
        <w:kinsoku/>
        <w:wordWrap w:val="0"/>
        <w:overflowPunct/>
        <w:topLinePunct w:val="0"/>
        <w:bidi w:val="0"/>
        <w:spacing w:line="360" w:lineRule="auto"/>
        <w:jc w:val="center"/>
        <w:outlineLvl w:val="9"/>
        <w:rPr>
          <w:rFonts w:ascii="宋体" w:hAnsi="宋体" w:cs="宋体"/>
          <w:b/>
          <w:bCs/>
          <w:color w:val="auto"/>
          <w:sz w:val="52"/>
          <w:szCs w:val="52"/>
          <w:highlight w:val="none"/>
        </w:rPr>
      </w:pPr>
      <w:bookmarkStart w:id="0" w:name="_Toc17053"/>
      <w:r>
        <w:rPr>
          <w:rFonts w:hint="eastAsia" w:ascii="宋体" w:hAnsi="宋体" w:cs="宋体"/>
          <w:b/>
          <w:bCs/>
          <w:color w:val="auto"/>
          <w:sz w:val="52"/>
          <w:szCs w:val="52"/>
          <w:highlight w:val="none"/>
        </w:rPr>
        <w:t>广西国盛招标有限公司</w:t>
      </w:r>
      <w:bookmarkEnd w:id="0"/>
    </w:p>
    <w:p w14:paraId="3BFBC621">
      <w:pPr>
        <w:pageBreakBefore w:val="0"/>
        <w:widowControl w:val="0"/>
        <w:kinsoku/>
        <w:wordWrap w:val="0"/>
        <w:overflowPunct/>
        <w:topLinePunct w:val="0"/>
        <w:bidi w:val="0"/>
        <w:spacing w:line="360" w:lineRule="auto"/>
        <w:outlineLvl w:val="9"/>
        <w:rPr>
          <w:rFonts w:ascii="宋体" w:hAnsi="宋体" w:cs="宋体"/>
          <w:b/>
          <w:color w:val="auto"/>
          <w:sz w:val="44"/>
          <w:szCs w:val="44"/>
          <w:highlight w:val="none"/>
        </w:rPr>
      </w:pPr>
    </w:p>
    <w:p w14:paraId="74A4399C">
      <w:pPr>
        <w:pageBreakBefore w:val="0"/>
        <w:widowControl w:val="0"/>
        <w:kinsoku/>
        <w:wordWrap w:val="0"/>
        <w:overflowPunct/>
        <w:topLinePunct w:val="0"/>
        <w:bidi w:val="0"/>
        <w:snapToGrid w:val="0"/>
        <w:spacing w:before="312" w:beforeLines="100" w:after="312" w:afterLines="100"/>
        <w:jc w:val="center"/>
        <w:outlineLvl w:val="9"/>
        <w:rPr>
          <w:rFonts w:ascii="宋体" w:hAnsi="宋体" w:cs="宋体"/>
          <w:b/>
          <w:bCs/>
          <w:color w:val="auto"/>
          <w:spacing w:val="57"/>
          <w:sz w:val="84"/>
          <w:szCs w:val="84"/>
          <w:highlight w:val="none"/>
        </w:rPr>
      </w:pPr>
      <w:r>
        <w:rPr>
          <w:rFonts w:hint="eastAsia" w:hAnsi="宋体" w:eastAsia="宋体" w:cs="宋体"/>
          <w:b/>
          <w:bCs/>
          <w:color w:val="auto"/>
          <w:sz w:val="30"/>
          <w:szCs w:val="30"/>
          <w:highlight w:val="none"/>
          <w:lang w:eastAsia="zh-CN"/>
        </w:rPr>
        <w:drawing>
          <wp:anchor distT="0" distB="0" distL="114300" distR="114300" simplePos="0" relativeHeight="251659264" behindDoc="1" locked="0" layoutInCell="1" allowOverlap="1">
            <wp:simplePos x="0" y="0"/>
            <wp:positionH relativeFrom="column">
              <wp:posOffset>710565</wp:posOffset>
            </wp:positionH>
            <wp:positionV relativeFrom="paragraph">
              <wp:posOffset>299085</wp:posOffset>
            </wp:positionV>
            <wp:extent cx="4233545" cy="4756150"/>
            <wp:effectExtent l="0" t="0" r="0" b="0"/>
            <wp:wrapNone/>
            <wp:docPr id="3" name="图片 2" descr="国盛浅背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国盛浅背景logo"/>
                    <pic:cNvPicPr>
                      <a:picLocks noChangeAspect="1"/>
                    </pic:cNvPicPr>
                  </pic:nvPicPr>
                  <pic:blipFill>
                    <a:blip r:embed="rId11"/>
                    <a:stretch>
                      <a:fillRect/>
                    </a:stretch>
                  </pic:blipFill>
                  <pic:spPr>
                    <a:xfrm>
                      <a:off x="0" y="0"/>
                      <a:ext cx="4233545" cy="4756150"/>
                    </a:xfrm>
                    <a:prstGeom prst="rect">
                      <a:avLst/>
                    </a:prstGeom>
                    <a:noFill/>
                    <a:ln>
                      <a:noFill/>
                    </a:ln>
                  </pic:spPr>
                </pic:pic>
              </a:graphicData>
            </a:graphic>
          </wp:anchor>
        </w:drawing>
      </w:r>
      <w:r>
        <w:rPr>
          <w:rFonts w:hint="eastAsia" w:ascii="宋体" w:hAnsi="宋体" w:cs="宋体"/>
          <w:b/>
          <w:bCs/>
          <w:color w:val="auto"/>
          <w:spacing w:val="57"/>
          <w:sz w:val="84"/>
          <w:szCs w:val="84"/>
          <w:highlight w:val="none"/>
        </w:rPr>
        <w:t>竞争性谈判文件</w:t>
      </w:r>
    </w:p>
    <w:p w14:paraId="0BE9EDCB">
      <w:pPr>
        <w:pageBreakBefore w:val="0"/>
        <w:widowControl w:val="0"/>
        <w:kinsoku/>
        <w:wordWrap w:val="0"/>
        <w:overflowPunct/>
        <w:topLinePunct w:val="0"/>
        <w:bidi w:val="0"/>
        <w:snapToGrid w:val="0"/>
        <w:spacing w:before="156" w:beforeLines="50" w:line="360" w:lineRule="auto"/>
        <w:jc w:val="center"/>
        <w:outlineLvl w:val="9"/>
        <w:rPr>
          <w:rFonts w:ascii="宋体" w:hAnsi="宋体" w:cs="宋体"/>
          <w:b/>
          <w:color w:val="auto"/>
          <w:sz w:val="30"/>
          <w:szCs w:val="72"/>
          <w:highlight w:val="none"/>
        </w:rPr>
      </w:pPr>
      <w:bookmarkStart w:id="1" w:name="_Toc21595"/>
      <w:r>
        <w:rPr>
          <w:rFonts w:hint="eastAsia" w:ascii="宋体" w:hAnsi="宋体" w:cs="宋体"/>
          <w:b/>
          <w:color w:val="auto"/>
          <w:sz w:val="48"/>
          <w:szCs w:val="48"/>
          <w:highlight w:val="none"/>
        </w:rPr>
        <w:t>（全流程电子化采购）</w:t>
      </w:r>
      <w:bookmarkEnd w:id="1"/>
    </w:p>
    <w:p w14:paraId="75EE3699">
      <w:pPr>
        <w:pageBreakBefore w:val="0"/>
        <w:widowControl w:val="0"/>
        <w:kinsoku/>
        <w:wordWrap w:val="0"/>
        <w:overflowPunct/>
        <w:topLinePunct w:val="0"/>
        <w:bidi w:val="0"/>
        <w:snapToGrid w:val="0"/>
        <w:spacing w:line="360" w:lineRule="auto"/>
        <w:outlineLvl w:val="9"/>
        <w:rPr>
          <w:rFonts w:ascii="宋体" w:hAnsi="宋体" w:cs="宋体"/>
          <w:color w:val="auto"/>
          <w:sz w:val="30"/>
          <w:szCs w:val="72"/>
          <w:highlight w:val="none"/>
        </w:rPr>
      </w:pPr>
    </w:p>
    <w:p w14:paraId="37997D1D">
      <w:pPr>
        <w:pageBreakBefore w:val="0"/>
        <w:widowControl w:val="0"/>
        <w:kinsoku/>
        <w:wordWrap w:val="0"/>
        <w:overflowPunct/>
        <w:topLinePunct w:val="0"/>
        <w:bidi w:val="0"/>
        <w:outlineLvl w:val="9"/>
        <w:rPr>
          <w:rFonts w:ascii="宋体" w:hAnsi="宋体" w:cs="宋体"/>
          <w:color w:val="auto"/>
          <w:highlight w:val="none"/>
        </w:rPr>
      </w:pPr>
    </w:p>
    <w:p w14:paraId="30B0D4EB">
      <w:pPr>
        <w:pageBreakBefore w:val="0"/>
        <w:widowControl w:val="0"/>
        <w:kinsoku/>
        <w:wordWrap w:val="0"/>
        <w:overflowPunct/>
        <w:topLinePunct w:val="0"/>
        <w:bidi w:val="0"/>
        <w:outlineLvl w:val="9"/>
        <w:rPr>
          <w:rFonts w:ascii="宋体" w:hAnsi="宋体" w:cs="宋体"/>
          <w:color w:val="auto"/>
          <w:highlight w:val="none"/>
        </w:rPr>
      </w:pPr>
    </w:p>
    <w:p w14:paraId="28801A95">
      <w:pPr>
        <w:pStyle w:val="26"/>
        <w:pageBreakBefore w:val="0"/>
        <w:widowControl w:val="0"/>
        <w:kinsoku/>
        <w:wordWrap w:val="0"/>
        <w:overflowPunct/>
        <w:topLinePunct w:val="0"/>
        <w:bidi w:val="0"/>
        <w:outlineLvl w:val="9"/>
        <w:rPr>
          <w:rFonts w:ascii="宋体" w:hAnsi="宋体" w:cs="宋体"/>
          <w:color w:val="auto"/>
          <w:highlight w:val="none"/>
        </w:rPr>
      </w:pPr>
    </w:p>
    <w:p w14:paraId="3FD63BC4">
      <w:pPr>
        <w:pStyle w:val="14"/>
        <w:pageBreakBefore w:val="0"/>
        <w:widowControl w:val="0"/>
        <w:kinsoku/>
        <w:wordWrap w:val="0"/>
        <w:overflowPunct/>
        <w:topLinePunct w:val="0"/>
        <w:bidi w:val="0"/>
        <w:snapToGrid w:val="0"/>
        <w:spacing w:line="360" w:lineRule="auto"/>
        <w:ind w:firstLine="1801" w:firstLineChars="600"/>
        <w:outlineLvl w:val="9"/>
        <w:rPr>
          <w:rFonts w:hint="eastAsia" w:hAnsi="宋体" w:eastAsia="宋体" w:cs="宋体"/>
          <w:b/>
          <w:bCs/>
          <w:color w:val="auto"/>
          <w:sz w:val="30"/>
          <w:szCs w:val="30"/>
          <w:highlight w:val="none"/>
          <w:lang w:eastAsia="zh-CN"/>
        </w:rPr>
      </w:pPr>
      <w:bookmarkStart w:id="2" w:name="_Toc21438"/>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bookmarkEnd w:id="2"/>
      <w:r>
        <w:rPr>
          <w:rFonts w:hint="eastAsia" w:hAnsi="宋体" w:cs="宋体"/>
          <w:b/>
          <w:bCs/>
          <w:color w:val="auto"/>
          <w:sz w:val="30"/>
          <w:szCs w:val="30"/>
          <w:highlight w:val="none"/>
          <w:lang w:eastAsia="zh-CN"/>
        </w:rPr>
        <w:t>超声波妇科治疗仪等设备采购（重）</w:t>
      </w:r>
    </w:p>
    <w:p w14:paraId="6E6EDFB8">
      <w:pPr>
        <w:pStyle w:val="14"/>
        <w:pageBreakBefore w:val="0"/>
        <w:widowControl w:val="0"/>
        <w:kinsoku/>
        <w:wordWrap w:val="0"/>
        <w:overflowPunct/>
        <w:topLinePunct w:val="0"/>
        <w:bidi w:val="0"/>
        <w:snapToGrid w:val="0"/>
        <w:spacing w:line="360" w:lineRule="auto"/>
        <w:ind w:firstLine="1801" w:firstLineChars="600"/>
        <w:outlineLvl w:val="9"/>
        <w:rPr>
          <w:rFonts w:hint="eastAsia" w:ascii="宋体" w:hAnsi="宋体" w:eastAsia="宋体" w:cs="宋体"/>
          <w:b/>
          <w:bCs/>
          <w:color w:val="auto"/>
          <w:sz w:val="30"/>
          <w:szCs w:val="30"/>
          <w:highlight w:val="yellow"/>
          <w:lang w:eastAsia="zh-CN"/>
        </w:rPr>
      </w:pPr>
      <w:bookmarkStart w:id="3" w:name="_Toc6860"/>
      <w:bookmarkStart w:id="4" w:name="_Toc2159"/>
      <w:r>
        <w:rPr>
          <w:rFonts w:hint="eastAsia" w:hAnsi="宋体" w:cs="宋体"/>
          <w:b/>
          <w:bCs/>
          <w:color w:val="auto"/>
          <w:sz w:val="30"/>
          <w:szCs w:val="30"/>
          <w:highlight w:val="none"/>
        </w:rPr>
        <w:t>项目编号：</w:t>
      </w:r>
      <w:bookmarkEnd w:id="3"/>
      <w:bookmarkEnd w:id="4"/>
      <w:r>
        <w:rPr>
          <w:rFonts w:hint="eastAsia" w:hAnsi="宋体" w:eastAsia="宋体" w:cs="宋体"/>
          <w:b/>
          <w:bCs/>
          <w:color w:val="auto"/>
          <w:sz w:val="30"/>
          <w:szCs w:val="30"/>
          <w:highlight w:val="none"/>
          <w:lang w:eastAsia="zh-CN"/>
        </w:rPr>
        <w:t>GXZC2025-J1-000063-GSZB</w:t>
      </w:r>
    </w:p>
    <w:p w14:paraId="4D11624D">
      <w:pPr>
        <w:pStyle w:val="14"/>
        <w:pageBreakBefore w:val="0"/>
        <w:widowControl w:val="0"/>
        <w:kinsoku/>
        <w:wordWrap w:val="0"/>
        <w:overflowPunct/>
        <w:topLinePunct w:val="0"/>
        <w:bidi w:val="0"/>
        <w:snapToGrid w:val="0"/>
        <w:spacing w:line="360" w:lineRule="auto"/>
        <w:ind w:firstLine="1801" w:firstLineChars="600"/>
        <w:outlineLvl w:val="9"/>
        <w:rPr>
          <w:rFonts w:hint="eastAsia" w:hAnsi="宋体" w:cs="宋体"/>
          <w:b/>
          <w:bCs/>
          <w:color w:val="auto"/>
          <w:sz w:val="30"/>
          <w:szCs w:val="30"/>
          <w:highlight w:val="none"/>
        </w:rPr>
      </w:pPr>
    </w:p>
    <w:p w14:paraId="63395885">
      <w:pPr>
        <w:pStyle w:val="14"/>
        <w:pageBreakBefore w:val="0"/>
        <w:widowControl w:val="0"/>
        <w:kinsoku/>
        <w:wordWrap w:val="0"/>
        <w:overflowPunct/>
        <w:topLinePunct w:val="0"/>
        <w:bidi w:val="0"/>
        <w:snapToGrid w:val="0"/>
        <w:spacing w:line="360" w:lineRule="auto"/>
        <w:ind w:firstLine="1801" w:firstLineChars="600"/>
        <w:outlineLvl w:val="9"/>
        <w:rPr>
          <w:rFonts w:hint="eastAsia" w:hAnsi="宋体" w:cs="宋体"/>
          <w:b/>
          <w:bCs/>
          <w:color w:val="auto"/>
          <w:sz w:val="30"/>
          <w:szCs w:val="30"/>
          <w:highlight w:val="none"/>
        </w:rPr>
      </w:pPr>
    </w:p>
    <w:p w14:paraId="4BA17E41">
      <w:pPr>
        <w:pStyle w:val="14"/>
        <w:pageBreakBefore w:val="0"/>
        <w:widowControl w:val="0"/>
        <w:kinsoku/>
        <w:wordWrap w:val="0"/>
        <w:overflowPunct/>
        <w:topLinePunct w:val="0"/>
        <w:bidi w:val="0"/>
        <w:snapToGrid w:val="0"/>
        <w:spacing w:line="360" w:lineRule="auto"/>
        <w:ind w:firstLine="1801" w:firstLineChars="600"/>
        <w:outlineLvl w:val="9"/>
        <w:rPr>
          <w:rFonts w:hint="eastAsia" w:hAnsi="宋体" w:cs="宋体"/>
          <w:b/>
          <w:bCs/>
          <w:color w:val="auto"/>
          <w:sz w:val="30"/>
          <w:szCs w:val="30"/>
          <w:highlight w:val="none"/>
        </w:rPr>
      </w:pPr>
    </w:p>
    <w:p w14:paraId="192BA978">
      <w:pPr>
        <w:pStyle w:val="14"/>
        <w:pageBreakBefore w:val="0"/>
        <w:widowControl w:val="0"/>
        <w:tabs>
          <w:tab w:val="left" w:pos="9103"/>
        </w:tabs>
        <w:kinsoku/>
        <w:wordWrap w:val="0"/>
        <w:overflowPunct/>
        <w:topLinePunct w:val="0"/>
        <w:bidi w:val="0"/>
        <w:snapToGrid w:val="0"/>
        <w:spacing w:line="360" w:lineRule="auto"/>
        <w:ind w:firstLine="1807" w:firstLineChars="600"/>
        <w:outlineLvl w:val="9"/>
        <w:rPr>
          <w:rFonts w:hint="eastAsia" w:hAnsi="宋体" w:eastAsia="宋体" w:cs="宋体"/>
          <w:b/>
          <w:bCs/>
          <w:color w:val="auto"/>
          <w:sz w:val="30"/>
          <w:szCs w:val="30"/>
          <w:highlight w:val="none"/>
          <w:lang w:eastAsia="zh-CN"/>
        </w:rPr>
      </w:pPr>
      <w:r>
        <w:rPr>
          <w:rFonts w:hint="eastAsia" w:hAnsi="宋体" w:eastAsia="宋体" w:cs="宋体"/>
          <w:b/>
          <w:bCs/>
          <w:color w:val="auto"/>
          <w:sz w:val="30"/>
          <w:szCs w:val="30"/>
          <w:highlight w:val="none"/>
          <w:lang w:eastAsia="zh-CN"/>
        </w:rPr>
        <w:tab/>
      </w:r>
    </w:p>
    <w:p w14:paraId="1C98237C">
      <w:pPr>
        <w:pStyle w:val="14"/>
        <w:pageBreakBefore w:val="0"/>
        <w:widowControl w:val="0"/>
        <w:kinsoku/>
        <w:wordWrap w:val="0"/>
        <w:overflowPunct/>
        <w:topLinePunct w:val="0"/>
        <w:bidi w:val="0"/>
        <w:snapToGrid w:val="0"/>
        <w:spacing w:line="360" w:lineRule="auto"/>
        <w:ind w:firstLine="1801" w:firstLineChars="600"/>
        <w:outlineLvl w:val="9"/>
        <w:rPr>
          <w:rFonts w:hAnsi="宋体" w:cs="宋体"/>
          <w:b/>
          <w:bCs/>
          <w:color w:val="auto"/>
          <w:sz w:val="30"/>
          <w:szCs w:val="30"/>
          <w:highlight w:val="none"/>
        </w:rPr>
      </w:pPr>
      <w:bookmarkStart w:id="5" w:name="_Toc8123"/>
      <w:bookmarkStart w:id="6" w:name="_Toc21081"/>
      <w:r>
        <w:rPr>
          <w:rFonts w:hint="eastAsia" w:hAnsi="宋体" w:cs="宋体"/>
          <w:b/>
          <w:bCs/>
          <w:color w:val="auto"/>
          <w:sz w:val="30"/>
          <w:szCs w:val="30"/>
          <w:highlight w:val="none"/>
        </w:rPr>
        <w:t>采 购 人：</w:t>
      </w:r>
      <w:bookmarkStart w:id="7" w:name="OLE_LINK1"/>
      <w:r>
        <w:rPr>
          <w:rFonts w:hint="eastAsia" w:hAnsi="宋体" w:cs="宋体"/>
          <w:b/>
          <w:bCs/>
          <w:color w:val="auto"/>
          <w:sz w:val="32"/>
          <w:szCs w:val="20"/>
          <w:highlight w:val="none"/>
        </w:rPr>
        <w:t>广西科技大学第一附属医院</w:t>
      </w:r>
      <w:bookmarkEnd w:id="5"/>
      <w:bookmarkEnd w:id="6"/>
      <w:bookmarkEnd w:id="7"/>
    </w:p>
    <w:p w14:paraId="3B3319A2">
      <w:pPr>
        <w:pStyle w:val="14"/>
        <w:pageBreakBefore w:val="0"/>
        <w:widowControl w:val="0"/>
        <w:kinsoku/>
        <w:wordWrap w:val="0"/>
        <w:overflowPunct/>
        <w:topLinePunct w:val="0"/>
        <w:bidi w:val="0"/>
        <w:snapToGrid w:val="0"/>
        <w:spacing w:line="360" w:lineRule="auto"/>
        <w:ind w:firstLine="1801" w:firstLineChars="600"/>
        <w:outlineLvl w:val="9"/>
        <w:rPr>
          <w:rFonts w:hAnsi="宋体" w:cs="宋体"/>
          <w:b/>
          <w:bCs/>
          <w:color w:val="auto"/>
          <w:sz w:val="30"/>
          <w:szCs w:val="30"/>
          <w:highlight w:val="none"/>
        </w:rPr>
      </w:pPr>
      <w:bookmarkStart w:id="8" w:name="_Toc14138"/>
      <w:bookmarkStart w:id="9" w:name="_Toc4073"/>
      <w:r>
        <w:rPr>
          <w:rFonts w:hint="eastAsia" w:hAnsi="宋体" w:cs="宋体"/>
          <w:b/>
          <w:bCs/>
          <w:color w:val="auto"/>
          <w:sz w:val="30"/>
          <w:szCs w:val="30"/>
          <w:highlight w:val="none"/>
        </w:rPr>
        <w:t>采购代理机构：广西国盛招标有限公司</w:t>
      </w:r>
      <w:bookmarkEnd w:id="8"/>
      <w:bookmarkEnd w:id="9"/>
    </w:p>
    <w:p w14:paraId="6DF7E9E8">
      <w:pPr>
        <w:pStyle w:val="14"/>
        <w:pageBreakBefore w:val="0"/>
        <w:widowControl w:val="0"/>
        <w:kinsoku/>
        <w:wordWrap w:val="0"/>
        <w:overflowPunct/>
        <w:topLinePunct w:val="0"/>
        <w:bidi w:val="0"/>
        <w:snapToGrid w:val="0"/>
        <w:spacing w:line="360" w:lineRule="auto"/>
        <w:outlineLvl w:val="9"/>
        <w:rPr>
          <w:rFonts w:hAnsi="宋体" w:cs="宋体"/>
          <w:b/>
          <w:bCs/>
          <w:color w:val="auto"/>
          <w:w w:val="95"/>
          <w:sz w:val="30"/>
          <w:szCs w:val="30"/>
          <w:highlight w:val="none"/>
        </w:rPr>
      </w:pPr>
    </w:p>
    <w:p w14:paraId="2EB05E5E">
      <w:pPr>
        <w:pStyle w:val="14"/>
        <w:pageBreakBefore w:val="0"/>
        <w:widowControl w:val="0"/>
        <w:kinsoku/>
        <w:wordWrap w:val="0"/>
        <w:overflowPunct/>
        <w:topLinePunct w:val="0"/>
        <w:bidi w:val="0"/>
        <w:snapToGrid w:val="0"/>
        <w:spacing w:line="360" w:lineRule="auto"/>
        <w:ind w:firstLine="1121" w:firstLineChars="393"/>
        <w:outlineLvl w:val="9"/>
        <w:rPr>
          <w:rFonts w:hAnsi="宋体" w:cs="宋体"/>
          <w:b/>
          <w:bCs/>
          <w:color w:val="auto"/>
          <w:w w:val="95"/>
          <w:sz w:val="30"/>
          <w:szCs w:val="30"/>
          <w:highlight w:val="none"/>
        </w:rPr>
      </w:pPr>
    </w:p>
    <w:p w14:paraId="7D09B092">
      <w:pPr>
        <w:pStyle w:val="14"/>
        <w:pageBreakBefore w:val="0"/>
        <w:widowControl w:val="0"/>
        <w:kinsoku/>
        <w:wordWrap w:val="0"/>
        <w:overflowPunct/>
        <w:topLinePunct w:val="0"/>
        <w:bidi w:val="0"/>
        <w:snapToGrid w:val="0"/>
        <w:spacing w:line="360" w:lineRule="auto"/>
        <w:jc w:val="center"/>
        <w:outlineLvl w:val="9"/>
        <w:rPr>
          <w:rFonts w:hint="eastAsia" w:hAnsi="宋体" w:cs="宋体"/>
          <w:b/>
          <w:bCs/>
          <w:color w:val="auto"/>
          <w:w w:val="95"/>
          <w:sz w:val="30"/>
          <w:szCs w:val="30"/>
          <w:highlight w:val="none"/>
        </w:rPr>
        <w:sectPr>
          <w:pgSz w:w="11906" w:h="16839"/>
          <w:pgMar w:top="1440" w:right="1080" w:bottom="1440" w:left="1080" w:header="0" w:footer="1200" w:gutter="0"/>
          <w:cols w:space="720" w:num="1"/>
        </w:sect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1</w:t>
      </w:r>
      <w:r>
        <w:rPr>
          <w:rFonts w:hint="eastAsia" w:hAnsi="宋体" w:cs="宋体"/>
          <w:b/>
          <w:bCs/>
          <w:color w:val="auto"/>
          <w:w w:val="95"/>
          <w:sz w:val="30"/>
          <w:szCs w:val="30"/>
          <w:highlight w:val="none"/>
        </w:rPr>
        <w:t>月</w:t>
      </w:r>
    </w:p>
    <w:p w14:paraId="019E212C">
      <w:pPr>
        <w:pageBreakBefore w:val="0"/>
        <w:widowControl w:val="0"/>
        <w:kinsoku/>
        <w:wordWrap w:val="0"/>
        <w:overflowPunct/>
        <w:topLinePunct w:val="0"/>
        <w:bidi w:val="0"/>
        <w:outlineLvl w:val="9"/>
        <w:rPr>
          <w:b/>
          <w:bCs/>
          <w:sz w:val="44"/>
          <w:szCs w:val="44"/>
        </w:rPr>
      </w:pPr>
    </w:p>
    <w:sdt>
      <w:sdtPr>
        <w:rPr>
          <w:rFonts w:ascii="宋体" w:hAnsi="宋体" w:eastAsia="宋体" w:cs="Arial"/>
          <w:b/>
          <w:bCs/>
          <w:snapToGrid w:val="0"/>
          <w:color w:val="000000"/>
          <w:kern w:val="0"/>
          <w:sz w:val="21"/>
          <w:szCs w:val="21"/>
          <w:lang w:val="en-US" w:eastAsia="en-US" w:bidi="ar-SA"/>
        </w:rPr>
        <w:id w:val="147481863"/>
        <w15:color w:val="DBDBDB"/>
        <w:docPartObj>
          <w:docPartGallery w:val="Table of Contents"/>
          <w:docPartUnique/>
        </w:docPartObj>
      </w:sdtPr>
      <w:sdtEndPr>
        <w:rPr>
          <w:rFonts w:hint="eastAsia" w:ascii="宋体" w:hAnsi="宋体" w:eastAsia="宋体" w:cs="宋体"/>
          <w:b/>
          <w:bCs/>
          <w:snapToGrid w:val="0"/>
          <w:color w:val="000000"/>
          <w:kern w:val="44"/>
          <w:sz w:val="28"/>
          <w:szCs w:val="28"/>
          <w:lang w:val="en-US" w:eastAsia="en-US" w:bidi="ar-SA"/>
        </w:rPr>
      </w:sdtEndPr>
      <w:sdtContent>
        <w:p w14:paraId="7DD727D9">
          <w:pPr>
            <w:pageBreakBefore w:val="0"/>
            <w:widowControl w:val="0"/>
            <w:kinsoku/>
            <w:wordWrap w:val="0"/>
            <w:overflowPunct/>
            <w:topLinePunct w:val="0"/>
            <w:bidi w:val="0"/>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14:paraId="0AFF517E">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p>
        <w:p w14:paraId="1ED98A33">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_Toc23198 </w:instrText>
          </w:r>
          <w:r>
            <w:rPr>
              <w:rFonts w:hint="eastAsia" w:ascii="宋体" w:hAnsi="宋体" w:eastAsia="宋体" w:cs="宋体"/>
              <w:b/>
              <w:bCs/>
              <w:sz w:val="28"/>
              <w:szCs w:val="28"/>
            </w:rPr>
            <w:fldChar w:fldCharType="separate"/>
          </w:r>
          <w:r>
            <w:rPr>
              <w:rFonts w:hint="eastAsia" w:ascii="宋体" w:hAnsi="宋体" w:eastAsia="宋体" w:cs="宋体"/>
              <w:b/>
              <w:bCs/>
              <w:spacing w:val="5"/>
              <w:sz w:val="28"/>
              <w:szCs w:val="28"/>
            </w:rPr>
            <w:t>第一章 竞争性谈判公告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_Toc23198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8CBFB53">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_Toc24638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第二章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_Toc24638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8B402FF">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_Toc9124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第三章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_Toc9124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744470F">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_Toc23384 </w:instrText>
          </w:r>
          <w:r>
            <w:rPr>
              <w:rFonts w:hint="eastAsia" w:ascii="宋体" w:hAnsi="宋体" w:eastAsia="宋体" w:cs="宋体"/>
              <w:b/>
              <w:bCs/>
              <w:sz w:val="28"/>
              <w:szCs w:val="28"/>
            </w:rPr>
            <w:fldChar w:fldCharType="separate"/>
          </w:r>
          <w:r>
            <w:rPr>
              <w:rFonts w:hint="eastAsia" w:ascii="宋体" w:hAnsi="宋体" w:eastAsia="宋体" w:cs="宋体"/>
              <w:b/>
              <w:bCs/>
              <w:kern w:val="44"/>
              <w:sz w:val="28"/>
              <w:szCs w:val="28"/>
              <w:highlight w:val="none"/>
            </w:rPr>
            <w:t>第四章 评审程序、评审方法和成交标准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_Toc23384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46C2F671">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_Toc18175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第五章 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_Toc18175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EB8655E">
          <w:pPr>
            <w:pStyle w:val="27"/>
            <w:pageBreakBefore w:val="0"/>
            <w:widowControl w:val="0"/>
            <w:tabs>
              <w:tab w:val="right" w:leader="dot" w:pos="9746"/>
            </w:tabs>
            <w:kinsoku/>
            <w:wordWrap w:val="0"/>
            <w:overflowPunct/>
            <w:topLinePunct w:val="0"/>
            <w:bidi w:val="0"/>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_Toc18530 </w:instrText>
          </w:r>
          <w:r>
            <w:rPr>
              <w:rFonts w:hint="eastAsia" w:ascii="宋体" w:hAnsi="宋体" w:eastAsia="宋体" w:cs="宋体"/>
              <w:b/>
              <w:bCs/>
              <w:sz w:val="28"/>
              <w:szCs w:val="28"/>
            </w:rPr>
            <w:fldChar w:fldCharType="separate"/>
          </w:r>
          <w:r>
            <w:rPr>
              <w:rFonts w:hint="eastAsia" w:ascii="宋体" w:hAnsi="宋体" w:eastAsia="宋体" w:cs="宋体"/>
              <w:b/>
              <w:bCs/>
              <w:kern w:val="44"/>
              <w:sz w:val="28"/>
              <w:szCs w:val="28"/>
              <w:highlight w:val="none"/>
            </w:rPr>
            <w:t>第六章 合同文本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_Toc18530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64</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B0AE379">
          <w:pPr>
            <w:pStyle w:val="2"/>
            <w:pageBreakBefore w:val="0"/>
            <w:widowControl w:val="0"/>
            <w:kinsoku/>
            <w:wordWrap w:val="0"/>
            <w:overflowPunct/>
            <w:topLinePunct w:val="0"/>
            <w:bidi w:val="0"/>
            <w:spacing w:line="480" w:lineRule="auto"/>
            <w:outlineLvl w:val="9"/>
            <w:rPr>
              <w:rFonts w:hint="eastAsia" w:ascii="宋体" w:hAnsi="宋体" w:eastAsia="宋体" w:cs="宋体"/>
              <w:b/>
              <w:bCs/>
              <w:snapToGrid w:val="0"/>
              <w:color w:val="000000"/>
              <w:kern w:val="44"/>
              <w:sz w:val="28"/>
              <w:szCs w:val="28"/>
              <w:lang w:val="en-US" w:eastAsia="en-US" w:bidi="ar-SA"/>
            </w:rPr>
          </w:pPr>
          <w:r>
            <w:rPr>
              <w:rFonts w:hint="eastAsia" w:ascii="宋体" w:hAnsi="宋体" w:eastAsia="宋体" w:cs="宋体"/>
              <w:sz w:val="28"/>
              <w:szCs w:val="28"/>
            </w:rPr>
            <w:fldChar w:fldCharType="end"/>
          </w:r>
        </w:p>
      </w:sdtContent>
    </w:sdt>
    <w:p w14:paraId="571997A5">
      <w:pPr>
        <w:pageBreakBefore w:val="0"/>
        <w:widowControl w:val="0"/>
        <w:kinsoku/>
        <w:wordWrap w:val="0"/>
        <w:overflowPunct/>
        <w:topLinePunct w:val="0"/>
        <w:bidi w:val="0"/>
        <w:spacing w:line="480" w:lineRule="auto"/>
        <w:rPr>
          <w:rFonts w:hint="eastAsia" w:ascii="宋体" w:hAnsi="宋体" w:eastAsia="宋体" w:cs="宋体"/>
          <w:sz w:val="28"/>
          <w:szCs w:val="28"/>
        </w:rPr>
        <w:sectPr>
          <w:pgSz w:w="11906" w:h="16839"/>
          <w:pgMar w:top="1440" w:right="1080" w:bottom="1440" w:left="1080" w:header="0" w:footer="1200" w:gutter="0"/>
          <w:cols w:space="720" w:num="1"/>
        </w:sectPr>
      </w:pPr>
    </w:p>
    <w:p w14:paraId="1BF83D96">
      <w:pPr>
        <w:pageBreakBefore w:val="0"/>
        <w:widowControl w:val="0"/>
        <w:kinsoku/>
        <w:wordWrap w:val="0"/>
        <w:overflowPunct/>
        <w:topLinePunct w:val="0"/>
        <w:bidi w:val="0"/>
        <w:spacing w:before="106" w:line="223" w:lineRule="auto"/>
        <w:ind w:left="2608"/>
        <w:outlineLvl w:val="0"/>
        <w:rPr>
          <w:rFonts w:ascii="宋体" w:hAnsi="宋体" w:eastAsia="宋体" w:cs="宋体"/>
          <w:sz w:val="43"/>
          <w:szCs w:val="43"/>
        </w:rPr>
      </w:pPr>
      <w:bookmarkStart w:id="10" w:name="bookmark1"/>
      <w:bookmarkEnd w:id="10"/>
      <w:bookmarkStart w:id="11" w:name="_Toc23198"/>
      <w:bookmarkStart w:id="12" w:name="_Toc12910"/>
      <w:r>
        <w:rPr>
          <w:rFonts w:ascii="宋体" w:hAnsi="宋体" w:eastAsia="宋体" w:cs="宋体"/>
          <w:b/>
          <w:bCs/>
          <w:spacing w:val="5"/>
          <w:sz w:val="43"/>
          <w:szCs w:val="43"/>
        </w:rPr>
        <w:t>第一章</w:t>
      </w:r>
      <w:r>
        <w:rPr>
          <w:rFonts w:ascii="宋体" w:hAnsi="宋体" w:eastAsia="宋体" w:cs="宋体"/>
          <w:spacing w:val="5"/>
          <w:sz w:val="43"/>
          <w:szCs w:val="43"/>
        </w:rPr>
        <w:t xml:space="preserve"> </w:t>
      </w:r>
      <w:r>
        <w:rPr>
          <w:rFonts w:ascii="宋体" w:hAnsi="宋体" w:eastAsia="宋体" w:cs="宋体"/>
          <w:b/>
          <w:bCs/>
          <w:spacing w:val="5"/>
          <w:sz w:val="43"/>
          <w:szCs w:val="43"/>
        </w:rPr>
        <w:t>竞争性谈判公告</w:t>
      </w:r>
      <w:bookmarkEnd w:id="11"/>
      <w:bookmarkEnd w:id="12"/>
    </w:p>
    <w:p w14:paraId="65CDD244">
      <w:pPr>
        <w:pageBreakBefore w:val="0"/>
        <w:widowControl w:val="0"/>
        <w:kinsoku/>
        <w:wordWrap w:val="0"/>
        <w:overflowPunct/>
        <w:topLinePunct w:val="0"/>
        <w:bidi w:val="0"/>
        <w:spacing w:before="343" w:line="223" w:lineRule="auto"/>
        <w:ind w:right="216"/>
        <w:jc w:val="center"/>
        <w:outlineLvl w:val="9"/>
        <w:rPr>
          <w:rFonts w:ascii="宋体" w:hAnsi="宋体" w:eastAsia="宋体" w:cs="宋体"/>
          <w:sz w:val="35"/>
          <w:szCs w:val="35"/>
        </w:rPr>
      </w:pPr>
      <w:bookmarkStart w:id="13" w:name="_Toc12403"/>
      <w:r>
        <w:rPr>
          <w:rFonts w:hint="eastAsia" w:ascii="宋体" w:hAnsi="宋体" w:eastAsia="宋体" w:cs="宋体"/>
          <w:b/>
          <w:bCs/>
          <w:spacing w:val="7"/>
          <w:sz w:val="35"/>
          <w:szCs w:val="35"/>
          <w:lang w:eastAsia="zh-CN"/>
        </w:rPr>
        <w:t>广西国盛招标有限公司</w:t>
      </w:r>
      <w:r>
        <w:rPr>
          <w:rFonts w:ascii="宋体" w:hAnsi="宋体" w:eastAsia="宋体" w:cs="宋体"/>
          <w:b/>
          <w:bCs/>
          <w:spacing w:val="7"/>
          <w:sz w:val="35"/>
          <w:szCs w:val="35"/>
        </w:rPr>
        <w:t>关于</w:t>
      </w:r>
      <w:r>
        <w:rPr>
          <w:rFonts w:hint="eastAsia" w:ascii="宋体" w:hAnsi="宋体" w:eastAsia="宋体" w:cs="宋体"/>
          <w:b/>
          <w:bCs/>
          <w:spacing w:val="7"/>
          <w:sz w:val="35"/>
          <w:szCs w:val="35"/>
          <w:lang w:eastAsia="zh-CN"/>
        </w:rPr>
        <w:t>超声波妇科治疗仪等设备采购（重）</w:t>
      </w:r>
      <w:r>
        <w:rPr>
          <w:rFonts w:ascii="宋体" w:hAnsi="宋体" w:eastAsia="宋体" w:cs="宋体"/>
          <w:b/>
          <w:bCs/>
          <w:color w:val="auto"/>
          <w:spacing w:val="5"/>
          <w:sz w:val="35"/>
          <w:szCs w:val="35"/>
        </w:rPr>
        <w:t>（</w:t>
      </w:r>
      <w:r>
        <w:rPr>
          <w:rFonts w:hint="eastAsia" w:ascii="宋体" w:hAnsi="宋体" w:eastAsia="宋体" w:cs="宋体"/>
          <w:b/>
          <w:bCs/>
          <w:color w:val="auto"/>
          <w:spacing w:val="5"/>
          <w:sz w:val="35"/>
          <w:szCs w:val="35"/>
          <w:lang w:eastAsia="zh-CN"/>
        </w:rPr>
        <w:t>GXZC2025-J1-000063-GSZB</w:t>
      </w:r>
      <w:r>
        <w:rPr>
          <w:rFonts w:ascii="宋体" w:hAnsi="宋体" w:eastAsia="宋体" w:cs="宋体"/>
          <w:b/>
          <w:bCs/>
          <w:color w:val="auto"/>
          <w:spacing w:val="5"/>
          <w:sz w:val="35"/>
          <w:szCs w:val="35"/>
        </w:rPr>
        <w:t>）</w:t>
      </w:r>
      <w:r>
        <w:rPr>
          <w:rFonts w:ascii="宋体" w:hAnsi="宋体" w:eastAsia="宋体" w:cs="宋体"/>
          <w:b/>
          <w:bCs/>
          <w:spacing w:val="5"/>
          <w:sz w:val="35"/>
          <w:szCs w:val="35"/>
        </w:rPr>
        <w:t>的竞争性谈判公告</w:t>
      </w:r>
      <w:bookmarkEnd w:id="13"/>
    </w:p>
    <w:p w14:paraId="4BE7C434">
      <w:pPr>
        <w:pageBreakBefore w:val="0"/>
        <w:widowControl w:val="0"/>
        <w:kinsoku/>
        <w:wordWrap w:val="0"/>
        <w:overflowPunct/>
        <w:topLinePunct w:val="0"/>
        <w:bidi w:val="0"/>
        <w:spacing w:before="146"/>
        <w:outlineLvl w:val="9"/>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1"/>
      </w:tblGrid>
      <w:tr w14:paraId="276A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9461" w:type="dxa"/>
          </w:tcPr>
          <w:p w14:paraId="116987A1">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460" w:lineRule="exact"/>
              <w:ind w:left="0" w:right="0"/>
              <w:textAlignment w:val="auto"/>
              <w:outlineLvl w:val="9"/>
              <w:rPr>
                <w:rFonts w:hint="eastAsia" w:ascii="宋体" w:hAnsi="宋体" w:eastAsia="宋体" w:cs="宋体"/>
                <w:i w:val="0"/>
                <w:iCs w:val="0"/>
                <w:caps w:val="0"/>
                <w:color w:val="auto"/>
                <w:spacing w:val="0"/>
                <w:sz w:val="21"/>
                <w:szCs w:val="21"/>
                <w:highlight w:val="none"/>
                <w:lang w:val="en-US" w:eastAsia="zh-CN"/>
              </w:rPr>
            </w:pPr>
            <w:bookmarkStart w:id="14" w:name="_Toc7676"/>
            <w:r>
              <w:rPr>
                <w:rFonts w:hint="eastAsia" w:ascii="宋体" w:hAnsi="宋体" w:eastAsia="宋体" w:cs="宋体"/>
                <w:i w:val="0"/>
                <w:iCs w:val="0"/>
                <w:caps w:val="0"/>
                <w:color w:val="auto"/>
                <w:spacing w:val="0"/>
                <w:sz w:val="21"/>
                <w:szCs w:val="21"/>
                <w:highlight w:val="none"/>
                <w:lang w:val="en-US" w:eastAsia="zh-CN"/>
              </w:rPr>
              <w:t>项目概况：</w:t>
            </w:r>
          </w:p>
          <w:p w14:paraId="515AB71D">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460" w:lineRule="exact"/>
              <w:ind w:left="0" w:right="0" w:firstLine="420" w:firstLineChars="200"/>
              <w:textAlignment w:val="auto"/>
              <w:outlineLvl w:val="9"/>
              <w:rPr>
                <w:rFonts w:hint="eastAsia" w:ascii="宋体" w:hAnsi="宋体" w:eastAsia="宋体" w:cs="宋体"/>
                <w:color w:val="auto"/>
                <w:sz w:val="21"/>
                <w:szCs w:val="21"/>
                <w:highlight w:val="none"/>
                <w:vertAlign w:val="baseline"/>
              </w:rPr>
            </w:pPr>
            <w:r>
              <w:rPr>
                <w:rFonts w:hint="eastAsia" w:ascii="宋体" w:hAnsi="宋体" w:cs="宋体"/>
                <w:color w:val="auto"/>
                <w:szCs w:val="21"/>
                <w:highlight w:val="none"/>
                <w:u w:val="none"/>
                <w:lang w:val="en-US" w:eastAsia="zh-CN"/>
              </w:rPr>
              <w:t>超声波妇科治疗仪等设备采购（重）项目的潜在供应商应在广西政府采购云平台（https://www.gcy.zfcg.gxzf.gov.cn/）。获取采购文件，并于2025年1月24日9:30（北京时间）前提交响应文件。</w:t>
            </w:r>
          </w:p>
        </w:tc>
      </w:tr>
      <w:bookmarkEnd w:id="14"/>
    </w:tbl>
    <w:p w14:paraId="0685F850">
      <w:pPr>
        <w:keepNext w:val="0"/>
        <w:keepLines w:val="0"/>
        <w:pageBreakBefore w:val="0"/>
        <w:widowControl w:val="0"/>
        <w:kinsoku/>
        <w:wordWrap w:val="0"/>
        <w:overflowPunct/>
        <w:topLinePunct w:val="0"/>
        <w:autoSpaceDE/>
        <w:autoSpaceDN/>
        <w:bidi w:val="0"/>
        <w:adjustRightInd/>
        <w:snapToGrid w:val="0"/>
        <w:spacing w:line="500" w:lineRule="exact"/>
        <w:textAlignment w:val="auto"/>
        <w:outlineLvl w:val="9"/>
        <w:rPr>
          <w:rFonts w:hint="eastAsia" w:ascii="宋体" w:hAnsi="宋体" w:eastAsia="宋体" w:cs="宋体"/>
          <w:b/>
          <w:bCs w:val="0"/>
          <w:highlight w:val="none"/>
        </w:rPr>
      </w:pPr>
      <w:bookmarkStart w:id="15" w:name="bookmark3"/>
      <w:bookmarkEnd w:id="15"/>
      <w:bookmarkStart w:id="16" w:name="_Toc13829"/>
      <w:bookmarkStart w:id="17" w:name="_Toc20356"/>
      <w:r>
        <w:rPr>
          <w:rFonts w:hint="eastAsia" w:ascii="宋体" w:hAnsi="宋体" w:eastAsia="宋体" w:cs="宋体"/>
          <w:b/>
          <w:bCs w:val="0"/>
          <w:sz w:val="24"/>
          <w:highlight w:val="none"/>
        </w:rPr>
        <w:t>一、项目基本情况</w:t>
      </w:r>
      <w:bookmarkEnd w:id="16"/>
    </w:p>
    <w:p w14:paraId="2BAA488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GXZC2025-J1-000063-GSZB</w:t>
      </w:r>
    </w:p>
    <w:p w14:paraId="2ACAAB2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u w:val="none"/>
          <w:lang w:eastAsia="zh-CN"/>
        </w:rPr>
      </w:pPr>
      <w:r>
        <w:rPr>
          <w:rFonts w:hint="eastAsia" w:ascii="宋体" w:hAnsi="宋体" w:eastAsia="宋体" w:cs="宋体"/>
          <w:szCs w:val="21"/>
          <w:highlight w:val="none"/>
          <w:u w:val="none"/>
        </w:rPr>
        <w:t>项目名称：</w:t>
      </w:r>
      <w:r>
        <w:rPr>
          <w:rFonts w:hint="eastAsia" w:ascii="宋体" w:hAnsi="宋体" w:eastAsia="宋体" w:cs="宋体"/>
          <w:szCs w:val="21"/>
          <w:highlight w:val="none"/>
          <w:u w:val="none"/>
          <w:lang w:eastAsia="zh-CN"/>
        </w:rPr>
        <w:t>超声波妇科治疗仪等设备采购（重）</w:t>
      </w:r>
    </w:p>
    <w:p w14:paraId="3783B45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default" w:ascii="宋体" w:hAnsi="宋体" w:eastAsia="宋体" w:cs="宋体"/>
          <w:szCs w:val="21"/>
          <w:highlight w:val="none"/>
          <w:u w:val="none"/>
          <w:lang w:val="en-US" w:eastAsia="zh-CN"/>
        </w:rPr>
      </w:pPr>
      <w:r>
        <w:rPr>
          <w:rFonts w:hint="eastAsia" w:ascii="宋体" w:hAnsi="宋体" w:eastAsia="宋体" w:cs="宋体"/>
          <w:szCs w:val="21"/>
          <w:highlight w:val="none"/>
          <w:u w:val="none"/>
        </w:rPr>
        <w:t>预算总金额（元）：</w:t>
      </w:r>
      <w:r>
        <w:rPr>
          <w:rFonts w:hint="eastAsia" w:ascii="宋体" w:hAnsi="宋体" w:eastAsia="宋体" w:cs="宋体"/>
          <w:szCs w:val="21"/>
          <w:highlight w:val="none"/>
          <w:u w:val="none"/>
          <w:lang w:val="en-US" w:eastAsia="zh-CN"/>
        </w:rPr>
        <w:t>1051200.00</w:t>
      </w:r>
    </w:p>
    <w:p w14:paraId="5F3949D8">
      <w:pPr>
        <w:keepNext w:val="0"/>
        <w:keepLines w:val="0"/>
        <w:pageBreakBefore w:val="0"/>
        <w:widowControl w:val="0"/>
        <w:kinsoku/>
        <w:wordWrap w:val="0"/>
        <w:overflowPunct/>
        <w:topLinePunct w:val="0"/>
        <w:autoSpaceDE/>
        <w:autoSpaceDN/>
        <w:bidi w:val="0"/>
        <w:adjustRightInd/>
        <w:snapToGrid w:val="0"/>
        <w:spacing w:after="0" w:line="500" w:lineRule="exact"/>
        <w:ind w:left="0" w:leftChars="0" w:firstLine="420" w:firstLineChars="200"/>
        <w:textAlignment w:val="auto"/>
        <w:outlineLvl w:val="9"/>
        <w:rPr>
          <w:rFonts w:hint="eastAsia" w:ascii="宋体" w:hAnsi="宋体" w:eastAsia="宋体" w:cs="宋体"/>
          <w:szCs w:val="21"/>
          <w:highlight w:val="none"/>
          <w:u w:val="none"/>
        </w:rPr>
      </w:pPr>
      <w:r>
        <w:rPr>
          <w:rFonts w:hint="eastAsia" w:ascii="宋体" w:hAnsi="宋体" w:eastAsia="宋体" w:cs="宋体"/>
          <w:szCs w:val="21"/>
          <w:highlight w:val="none"/>
          <w:u w:val="none"/>
        </w:rPr>
        <w:t>采购需求：</w:t>
      </w:r>
    </w:p>
    <w:p w14:paraId="5E0D6E2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color w:val="000000"/>
          <w:szCs w:val="21"/>
          <w:highlight w:val="none"/>
          <w:u w:val="none"/>
          <w:lang w:eastAsia="zh-CN"/>
        </w:rPr>
      </w:pPr>
      <w:r>
        <w:rPr>
          <w:rFonts w:hint="eastAsia" w:ascii="宋体" w:hAnsi="宋体" w:eastAsia="宋体" w:cs="宋体"/>
          <w:szCs w:val="21"/>
          <w:highlight w:val="none"/>
          <w:u w:val="none"/>
          <w:lang w:val="en-US" w:eastAsia="zh-CN"/>
        </w:rPr>
        <w:t>标项名称：</w:t>
      </w:r>
      <w:r>
        <w:rPr>
          <w:rFonts w:hint="eastAsia" w:ascii="宋体" w:hAnsi="宋体" w:eastAsia="宋体" w:cs="宋体"/>
          <w:color w:val="000000"/>
          <w:szCs w:val="21"/>
          <w:highlight w:val="none"/>
          <w:u w:val="none"/>
          <w:lang w:eastAsia="zh-CN"/>
        </w:rPr>
        <w:t>超声波妇科治疗仪等设备采购（重）</w:t>
      </w:r>
    </w:p>
    <w:p w14:paraId="0ACE67FB">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数量：1</w:t>
      </w:r>
    </w:p>
    <w:p w14:paraId="30D583CB">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u w:val="none"/>
          <w:lang w:val="en-US" w:eastAsia="zh-CN"/>
        </w:rPr>
      </w:pPr>
      <w:r>
        <w:rPr>
          <w:rFonts w:hint="eastAsia" w:ascii="宋体" w:hAnsi="宋体" w:eastAsia="宋体" w:cs="宋体"/>
          <w:szCs w:val="21"/>
          <w:highlight w:val="none"/>
          <w:lang w:val="en-US" w:eastAsia="zh-CN"/>
        </w:rPr>
        <w:t>预算金额（元）：</w:t>
      </w:r>
      <w:r>
        <w:rPr>
          <w:rFonts w:hint="eastAsia" w:ascii="宋体" w:hAnsi="宋体" w:eastAsia="宋体" w:cs="宋体"/>
          <w:szCs w:val="21"/>
          <w:highlight w:val="none"/>
          <w:u w:val="none"/>
          <w:lang w:val="en-US" w:eastAsia="zh-CN"/>
        </w:rPr>
        <w:t>1051200.00</w:t>
      </w:r>
    </w:p>
    <w:p w14:paraId="27354967">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简要规格描述或项目基本概况介绍、用途：详见本项目采购文件。</w:t>
      </w:r>
    </w:p>
    <w:p w14:paraId="6F13C9F4">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最高限价（如有）：</w:t>
      </w:r>
      <w:r>
        <w:rPr>
          <w:rFonts w:hint="eastAsia" w:ascii="宋体" w:hAnsi="宋体" w:eastAsia="宋体" w:cs="宋体"/>
          <w:szCs w:val="21"/>
          <w:highlight w:val="none"/>
          <w:u w:val="none"/>
          <w:lang w:val="en-US" w:eastAsia="zh-CN"/>
        </w:rPr>
        <w:t>1051200.00</w:t>
      </w:r>
    </w:p>
    <w:p w14:paraId="2959D524">
      <w:pPr>
        <w:keepNext w:val="0"/>
        <w:keepLines w:val="0"/>
        <w:pageBreakBefore w:val="0"/>
        <w:widowControl w:val="0"/>
        <w:kinsoku/>
        <w:wordWrap w:val="0"/>
        <w:overflowPunct/>
        <w:topLinePunct w:val="0"/>
        <w:autoSpaceDE/>
        <w:autoSpaceDN/>
        <w:bidi w:val="0"/>
        <w:adjustRightInd/>
        <w:snapToGrid w:val="0"/>
        <w:spacing w:line="50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合同履约期限：自合同签订之日起30日内安装调试完毕并验收合格。</w:t>
      </w:r>
    </w:p>
    <w:p w14:paraId="769D6844">
      <w:pPr>
        <w:keepNext w:val="0"/>
        <w:keepLines w:val="0"/>
        <w:pageBreakBefore w:val="0"/>
        <w:widowControl w:val="0"/>
        <w:kinsoku/>
        <w:wordWrap w:val="0"/>
        <w:overflowPunct/>
        <w:topLinePunct w:val="0"/>
        <w:autoSpaceDE/>
        <w:autoSpaceDN/>
        <w:bidi w:val="0"/>
        <w:adjustRightInd/>
        <w:snapToGrid w:val="0"/>
        <w:spacing w:before="0" w:after="0" w:line="500" w:lineRule="exact"/>
        <w:ind w:firstLine="420" w:firstLineChars="200"/>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lang w:val="en-US" w:eastAsia="zh-CN"/>
        </w:rPr>
        <w:t>本项目（否）接受联合体响应。</w:t>
      </w:r>
    </w:p>
    <w:p w14:paraId="51ECC168">
      <w:pPr>
        <w:keepNext w:val="0"/>
        <w:keepLines w:val="0"/>
        <w:pageBreakBefore w:val="0"/>
        <w:widowControl w:val="0"/>
        <w:kinsoku/>
        <w:wordWrap w:val="0"/>
        <w:overflowPunct/>
        <w:topLinePunct w:val="0"/>
        <w:autoSpaceDE/>
        <w:autoSpaceDN/>
        <w:bidi w:val="0"/>
        <w:adjustRightInd/>
        <w:snapToGrid w:val="0"/>
        <w:spacing w:before="0" w:after="0" w:line="500" w:lineRule="exact"/>
        <w:ind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备注：本项目为线上电子招标项目，采用远程异地评标，有意向参与本项目的供应商应当做好参与全流程电子招投标交易的充分准备。</w:t>
      </w:r>
    </w:p>
    <w:p w14:paraId="7D9F55C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0" w:firstLineChars="0"/>
        <w:textAlignment w:val="auto"/>
        <w:outlineLvl w:val="9"/>
        <w:rPr>
          <w:rFonts w:hint="eastAsia" w:ascii="宋体" w:hAnsi="宋体" w:eastAsia="宋体" w:cs="宋体"/>
          <w:bCs/>
          <w:sz w:val="24"/>
          <w:highlight w:val="none"/>
        </w:rPr>
      </w:pPr>
      <w:bookmarkStart w:id="18" w:name="_Toc44229879"/>
      <w:bookmarkStart w:id="19" w:name="_Toc35393630"/>
      <w:bookmarkStart w:id="20" w:name="_Toc35393799"/>
      <w:bookmarkStart w:id="21" w:name="_Toc21840"/>
      <w:bookmarkStart w:id="22" w:name="_Toc28359013"/>
      <w:bookmarkStart w:id="23" w:name="_Toc28359090"/>
      <w:r>
        <w:rPr>
          <w:rFonts w:hint="eastAsia" w:ascii="宋体" w:hAnsi="宋体" w:eastAsia="宋体" w:cs="宋体"/>
          <w:b/>
          <w:kern w:val="44"/>
          <w:sz w:val="24"/>
          <w:highlight w:val="none"/>
        </w:rPr>
        <w:t>二、供应商的资格条件</w:t>
      </w:r>
      <w:bookmarkEnd w:id="18"/>
      <w:bookmarkEnd w:id="19"/>
      <w:bookmarkEnd w:id="20"/>
      <w:bookmarkEnd w:id="21"/>
      <w:bookmarkEnd w:id="22"/>
      <w:bookmarkEnd w:id="23"/>
      <w:bookmarkStart w:id="164" w:name="_GoBack"/>
      <w:bookmarkEnd w:id="164"/>
    </w:p>
    <w:p w14:paraId="77E55800">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0A240BC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2.落实政府采购政策需满足的资格要求：</w:t>
      </w:r>
      <w:r>
        <w:rPr>
          <w:rFonts w:hint="eastAsia" w:ascii="宋体" w:hAnsi="宋体" w:eastAsia="宋体" w:cs="宋体"/>
          <w:szCs w:val="21"/>
          <w:highlight w:val="none"/>
          <w:lang w:eastAsia="zh-CN"/>
        </w:rPr>
        <w:t>无。</w:t>
      </w:r>
    </w:p>
    <w:p w14:paraId="7793D617">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color w:val="000000"/>
          <w:szCs w:val="21"/>
          <w:highlight w:val="none"/>
          <w:lang w:val="en-US" w:eastAsia="zh-CN"/>
        </w:rPr>
      </w:pPr>
      <w:r>
        <w:rPr>
          <w:rFonts w:hint="eastAsia" w:ascii="宋体" w:hAnsi="宋体" w:eastAsia="宋体" w:cs="宋体"/>
          <w:szCs w:val="21"/>
          <w:highlight w:val="none"/>
        </w:rPr>
        <w:t>3.</w:t>
      </w:r>
      <w:r>
        <w:rPr>
          <w:rFonts w:hint="eastAsia" w:ascii="宋体" w:hAnsi="宋体" w:eastAsia="宋体" w:cs="宋体"/>
          <w:color w:val="auto"/>
          <w:szCs w:val="21"/>
          <w:highlight w:val="none"/>
        </w:rPr>
        <w:t>本项目的特定资格要求：</w:t>
      </w:r>
      <w:r>
        <w:rPr>
          <w:rFonts w:hint="eastAsia" w:ascii="宋体" w:hAnsi="宋体" w:eastAsia="宋体" w:cs="宋体"/>
          <w:szCs w:val="21"/>
          <w:highlight w:val="none"/>
          <w:lang w:val="en-US" w:eastAsia="zh-CN"/>
        </w:rPr>
        <w:t>供应商须具备国家主管部门颁发的二类或三类有效的医疗器械生产许可证或经营许可证（供应商为生产厂家的：提供本项目相应医疗器械的《医疗器械生产许可证》；供应商非生产厂家的：提供本项目相应医疗器械的《医疗器械经营许可证》）。</w:t>
      </w:r>
    </w:p>
    <w:p w14:paraId="0841BB03">
      <w:pPr>
        <w:keepNext w:val="0"/>
        <w:keepLines w:val="0"/>
        <w:pageBreakBefore w:val="0"/>
        <w:widowControl w:val="0"/>
        <w:kinsoku/>
        <w:wordWrap w:val="0"/>
        <w:overflowPunct/>
        <w:topLinePunct w:val="0"/>
        <w:autoSpaceDE/>
        <w:autoSpaceDN/>
        <w:bidi w:val="0"/>
        <w:adjustRightInd/>
        <w:snapToGrid w:val="0"/>
        <w:spacing w:line="500" w:lineRule="exact"/>
        <w:ind w:left="0" w:leftChars="0"/>
        <w:textAlignment w:val="auto"/>
        <w:outlineLvl w:val="9"/>
        <w:rPr>
          <w:rFonts w:hint="eastAsia" w:ascii="宋体" w:hAnsi="宋体" w:eastAsia="宋体" w:cs="宋体"/>
          <w:b/>
          <w:bCs/>
          <w:sz w:val="24"/>
          <w:highlight w:val="none"/>
        </w:rPr>
      </w:pPr>
      <w:bookmarkStart w:id="24" w:name="_Toc22490"/>
      <w:r>
        <w:rPr>
          <w:rFonts w:hint="eastAsia" w:ascii="宋体" w:hAnsi="宋体" w:eastAsia="宋体" w:cs="宋体"/>
          <w:b/>
          <w:bCs/>
          <w:sz w:val="24"/>
          <w:highlight w:val="none"/>
        </w:rPr>
        <w:t>三、获取竞争性谈判文件</w:t>
      </w:r>
      <w:bookmarkEnd w:id="24"/>
    </w:p>
    <w:p w14:paraId="16AADF1A">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rPr>
      </w:pPr>
      <w:bookmarkStart w:id="25" w:name="_Toc35393793"/>
      <w:bookmarkStart w:id="26" w:name="_Toc28359082"/>
      <w:bookmarkStart w:id="27" w:name="_Toc35393624"/>
      <w:bookmarkStart w:id="28" w:name="_Toc28359005"/>
      <w:r>
        <w:rPr>
          <w:rFonts w:hint="eastAsia" w:ascii="宋体" w:hAnsi="宋体" w:eastAsia="宋体" w:cs="宋体"/>
          <w:color w:val="000000"/>
          <w:szCs w:val="21"/>
          <w:highlight w:val="none"/>
        </w:rPr>
        <w:t>时间</w:t>
      </w:r>
      <w:r>
        <w:rPr>
          <w:rFonts w:hint="eastAsia" w:ascii="宋体" w:hAnsi="宋体" w:eastAsia="宋体" w:cs="宋体"/>
          <w:color w:val="000000"/>
          <w:szCs w:val="21"/>
          <w:highlight w:val="none"/>
          <w:u w:val="none"/>
        </w:rPr>
        <w:t>：</w:t>
      </w:r>
      <w:r>
        <w:rPr>
          <w:rFonts w:hint="eastAsia" w:ascii="宋体" w:hAnsi="宋体" w:eastAsia="宋体" w:cs="宋体"/>
          <w:color w:val="000000"/>
          <w:szCs w:val="21"/>
          <w:highlight w:val="none"/>
          <w:u w:val="none"/>
          <w:lang w:val="en-US" w:eastAsia="zh-CN"/>
        </w:rPr>
        <w:t>2025</w:t>
      </w:r>
      <w:r>
        <w:rPr>
          <w:rFonts w:hint="eastAsia" w:ascii="宋体" w:hAnsi="宋体" w:eastAsia="宋体" w:cs="宋体"/>
          <w:color w:val="000000"/>
          <w:szCs w:val="21"/>
          <w:highlight w:val="none"/>
          <w:u w:val="none"/>
          <w:lang w:eastAsia="zh-CN"/>
        </w:rPr>
        <w:t>年</w:t>
      </w:r>
      <w:r>
        <w:rPr>
          <w:rFonts w:hint="eastAsia" w:ascii="宋体" w:hAnsi="宋体" w:eastAsia="宋体" w:cs="宋体"/>
          <w:color w:val="000000"/>
          <w:szCs w:val="21"/>
          <w:highlight w:val="none"/>
          <w:u w:val="none"/>
          <w:lang w:val="en-US" w:eastAsia="zh-CN"/>
        </w:rPr>
        <w:t>1</w:t>
      </w:r>
      <w:r>
        <w:rPr>
          <w:rFonts w:hint="eastAsia" w:ascii="宋体" w:hAnsi="宋体" w:eastAsia="宋体" w:cs="宋体"/>
          <w:color w:val="000000"/>
          <w:szCs w:val="21"/>
          <w:highlight w:val="none"/>
          <w:u w:val="none"/>
          <w:lang w:eastAsia="zh-CN"/>
        </w:rPr>
        <w:t>月</w:t>
      </w:r>
      <w:r>
        <w:rPr>
          <w:rFonts w:hint="eastAsia" w:ascii="宋体" w:hAnsi="宋体" w:eastAsia="宋体" w:cs="宋体"/>
          <w:color w:val="000000"/>
          <w:szCs w:val="21"/>
          <w:highlight w:val="none"/>
          <w:u w:val="none"/>
          <w:lang w:val="en-US" w:eastAsia="zh-CN"/>
        </w:rPr>
        <w:t>20</w:t>
      </w:r>
      <w:r>
        <w:rPr>
          <w:rFonts w:hint="eastAsia" w:ascii="宋体" w:hAnsi="宋体" w:eastAsia="宋体" w:cs="宋体"/>
          <w:color w:val="000000"/>
          <w:szCs w:val="21"/>
          <w:highlight w:val="none"/>
          <w:u w:val="none"/>
        </w:rPr>
        <w:t>日至</w:t>
      </w:r>
      <w:r>
        <w:rPr>
          <w:rFonts w:hint="eastAsia" w:ascii="宋体" w:hAnsi="宋体" w:eastAsia="宋体" w:cs="宋体"/>
          <w:color w:val="000000"/>
          <w:szCs w:val="21"/>
          <w:highlight w:val="none"/>
          <w:u w:val="none"/>
          <w:lang w:val="en-US" w:eastAsia="zh-CN"/>
        </w:rPr>
        <w:t>2025</w:t>
      </w:r>
      <w:r>
        <w:rPr>
          <w:rFonts w:hint="eastAsia" w:ascii="宋体" w:hAnsi="宋体" w:eastAsia="宋体" w:cs="宋体"/>
          <w:color w:val="000000"/>
          <w:szCs w:val="21"/>
          <w:highlight w:val="none"/>
          <w:u w:val="none"/>
          <w:lang w:eastAsia="zh-CN"/>
        </w:rPr>
        <w:t>年</w:t>
      </w:r>
      <w:r>
        <w:rPr>
          <w:rFonts w:hint="eastAsia" w:ascii="宋体" w:hAnsi="宋体" w:eastAsia="宋体" w:cs="宋体"/>
          <w:color w:val="000000"/>
          <w:szCs w:val="21"/>
          <w:highlight w:val="none"/>
          <w:u w:val="none"/>
          <w:lang w:val="en-US" w:eastAsia="zh-CN"/>
        </w:rPr>
        <w:t>1</w:t>
      </w:r>
      <w:r>
        <w:rPr>
          <w:rFonts w:hint="eastAsia" w:ascii="宋体" w:hAnsi="宋体" w:eastAsia="宋体" w:cs="宋体"/>
          <w:color w:val="000000"/>
          <w:szCs w:val="21"/>
          <w:highlight w:val="none"/>
          <w:u w:val="none"/>
          <w:lang w:eastAsia="zh-CN"/>
        </w:rPr>
        <w:t>月</w:t>
      </w:r>
      <w:r>
        <w:rPr>
          <w:rFonts w:hint="eastAsia" w:ascii="宋体" w:hAnsi="宋体" w:eastAsia="宋体" w:cs="宋体"/>
          <w:color w:val="000000"/>
          <w:szCs w:val="21"/>
          <w:highlight w:val="none"/>
          <w:u w:val="none"/>
          <w:lang w:val="en-US" w:eastAsia="zh-CN"/>
        </w:rPr>
        <w:t>23</w:t>
      </w:r>
      <w:r>
        <w:rPr>
          <w:rFonts w:hint="eastAsia" w:ascii="宋体" w:hAnsi="宋体" w:eastAsia="宋体" w:cs="宋体"/>
          <w:color w:val="000000"/>
          <w:szCs w:val="21"/>
          <w:highlight w:val="none"/>
          <w:u w:val="none"/>
        </w:rPr>
        <w:t>日</w:t>
      </w:r>
      <w:r>
        <w:rPr>
          <w:rFonts w:hint="eastAsia" w:ascii="宋体" w:hAnsi="宋体" w:eastAsia="宋体" w:cs="宋体"/>
          <w:color w:val="000000"/>
          <w:szCs w:val="21"/>
          <w:highlight w:val="none"/>
        </w:rPr>
        <w:t>，每天上午</w:t>
      </w:r>
      <w:r>
        <w:rPr>
          <w:rFonts w:hint="eastAsia" w:ascii="宋体" w:hAnsi="宋体" w:eastAsia="宋体" w:cs="宋体"/>
          <w:color w:val="000000"/>
          <w:szCs w:val="21"/>
          <w:highlight w:val="none"/>
          <w:lang w:val="en-US" w:eastAsia="zh-CN"/>
        </w:rPr>
        <w:t>08</w:t>
      </w:r>
      <w:r>
        <w:rPr>
          <w:rFonts w:hint="eastAsia" w:ascii="宋体" w:hAnsi="宋体" w:eastAsia="宋体" w:cs="宋体"/>
          <w:color w:val="000000"/>
          <w:szCs w:val="21"/>
          <w:highlight w:val="none"/>
        </w:rPr>
        <w:t>:00至12:00，下午</w:t>
      </w:r>
      <w:r>
        <w:rPr>
          <w:rFonts w:hint="eastAsia" w:ascii="宋体" w:hAnsi="宋体" w:eastAsia="宋体" w:cs="宋体"/>
          <w:color w:val="000000"/>
          <w:szCs w:val="21"/>
          <w:highlight w:val="none"/>
          <w:lang w:val="en-US" w:eastAsia="zh-CN"/>
        </w:rPr>
        <w:t>15</w:t>
      </w:r>
      <w:r>
        <w:rPr>
          <w:rFonts w:hint="eastAsia" w:ascii="宋体" w:hAnsi="宋体" w:eastAsia="宋体" w:cs="宋体"/>
          <w:color w:val="000000"/>
          <w:szCs w:val="21"/>
          <w:highlight w:val="none"/>
        </w:rPr>
        <w:t>:00至</w:t>
      </w:r>
      <w:r>
        <w:rPr>
          <w:rFonts w:hint="eastAsia" w:ascii="宋体" w:hAnsi="宋体" w:eastAsia="宋体" w:cs="宋体"/>
          <w:color w:val="000000"/>
          <w:szCs w:val="21"/>
          <w:highlight w:val="none"/>
          <w:lang w:val="en-US" w:eastAsia="zh-CN"/>
        </w:rPr>
        <w:t>18</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00</w:t>
      </w:r>
      <w:r>
        <w:rPr>
          <w:rFonts w:hint="eastAsia" w:ascii="宋体" w:hAnsi="宋体" w:eastAsia="宋体" w:cs="宋体"/>
          <w:color w:val="000000"/>
          <w:szCs w:val="21"/>
          <w:highlight w:val="none"/>
        </w:rPr>
        <w:t>（北京时间，法定节假日除外）。</w:t>
      </w:r>
    </w:p>
    <w:p w14:paraId="094A2AB4">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地点（网址）：广西政府采购云平台（https://www.gcy.zfcg.gxzf.gov.cn/）。</w:t>
      </w:r>
    </w:p>
    <w:p w14:paraId="18B5B491">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lang w:eastAsia="zh-CN"/>
        </w:rPr>
      </w:pPr>
      <w:r>
        <w:rPr>
          <w:rFonts w:hint="eastAsia" w:ascii="宋体" w:hAnsi="宋体" w:eastAsia="宋体" w:cs="宋体"/>
          <w:szCs w:val="21"/>
          <w:highlight w:val="none"/>
        </w:rPr>
        <w:t>获取方式</w:t>
      </w:r>
      <w:r>
        <w:rPr>
          <w:rFonts w:hint="eastAsia" w:ascii="宋体" w:hAnsi="宋体" w:eastAsia="宋体" w:cs="宋体"/>
          <w:szCs w:val="21"/>
          <w:highlight w:val="none"/>
          <w:lang w:eastAsia="zh-CN"/>
        </w:rPr>
        <w:t>：网上下载。本项目不发放纸质文件，供应商应自行在广西政府采购云平台（https://www.gcy.zfcg.gxzf.gov.cn/）下载竞争性谈判文件（操作路径：登录广西政府采购云平台-项目采购-获取采购文件-找到本项目-点击“申请获取采购文件”），电子响应文件制作需要基于广西政府采购云平台获取的竞争性谈判文件编制。</w:t>
      </w:r>
    </w:p>
    <w:p w14:paraId="718529E7">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售价：0元</w:t>
      </w:r>
    </w:p>
    <w:p w14:paraId="72C0BF62">
      <w:pPr>
        <w:keepNext w:val="0"/>
        <w:keepLines w:val="0"/>
        <w:pageBreakBefore w:val="0"/>
        <w:widowControl w:val="0"/>
        <w:kinsoku/>
        <w:wordWrap w:val="0"/>
        <w:overflowPunct/>
        <w:topLinePunct w:val="0"/>
        <w:autoSpaceDE/>
        <w:autoSpaceDN/>
        <w:bidi w:val="0"/>
        <w:adjustRightInd/>
        <w:snapToGrid w:val="0"/>
        <w:spacing w:line="500" w:lineRule="exact"/>
        <w:ind w:left="0" w:leftChars="0"/>
        <w:textAlignment w:val="auto"/>
        <w:outlineLvl w:val="9"/>
        <w:rPr>
          <w:rFonts w:hint="eastAsia" w:ascii="宋体" w:hAnsi="宋体" w:eastAsia="宋体" w:cs="宋体"/>
          <w:b/>
          <w:bCs/>
          <w:sz w:val="24"/>
          <w:highlight w:val="none"/>
        </w:rPr>
      </w:pPr>
      <w:bookmarkStart w:id="29" w:name="_Toc7593"/>
      <w:r>
        <w:rPr>
          <w:rFonts w:hint="eastAsia" w:ascii="宋体" w:hAnsi="宋体" w:eastAsia="宋体" w:cs="宋体"/>
          <w:b/>
          <w:bCs/>
          <w:sz w:val="24"/>
          <w:highlight w:val="none"/>
        </w:rPr>
        <w:t>四、</w:t>
      </w:r>
      <w:bookmarkEnd w:id="25"/>
      <w:bookmarkEnd w:id="26"/>
      <w:bookmarkEnd w:id="27"/>
      <w:bookmarkEnd w:id="28"/>
      <w:r>
        <w:rPr>
          <w:rFonts w:hint="eastAsia" w:ascii="宋体" w:hAnsi="宋体" w:eastAsia="宋体" w:cs="宋体"/>
          <w:b/>
          <w:bCs/>
          <w:sz w:val="24"/>
          <w:highlight w:val="none"/>
        </w:rPr>
        <w:t>响应文件提交</w:t>
      </w:r>
      <w:bookmarkEnd w:id="29"/>
    </w:p>
    <w:p w14:paraId="0E71A3C7">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u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首次响应文件提交截止时间</w:t>
      </w:r>
      <w:r>
        <w:rPr>
          <w:rFonts w:hint="eastAsia" w:ascii="宋体" w:hAnsi="宋体" w:eastAsia="宋体" w:cs="宋体"/>
          <w:bCs/>
          <w:szCs w:val="21"/>
          <w:highlight w:val="none"/>
        </w:rPr>
        <w:t>（北京时间）：</w:t>
      </w:r>
      <w:r>
        <w:rPr>
          <w:rFonts w:hint="eastAsia" w:ascii="宋体" w:hAnsi="宋体" w:eastAsia="宋体" w:cs="宋体"/>
          <w:bCs/>
          <w:szCs w:val="21"/>
          <w:highlight w:val="none"/>
          <w:lang w:val="en-US" w:eastAsia="zh-CN"/>
        </w:rPr>
        <w:t>2025</w:t>
      </w:r>
      <w:r>
        <w:rPr>
          <w:rFonts w:hint="eastAsia" w:ascii="宋体" w:hAnsi="宋体" w:eastAsia="宋体" w:cs="宋体"/>
          <w:bCs/>
          <w:color w:val="000000"/>
          <w:szCs w:val="21"/>
          <w:highlight w:val="none"/>
          <w:u w:val="none"/>
          <w:lang w:eastAsia="zh-CN"/>
        </w:rPr>
        <w:t>年</w:t>
      </w:r>
      <w:r>
        <w:rPr>
          <w:rFonts w:hint="eastAsia" w:ascii="宋体" w:hAnsi="宋体" w:eastAsia="宋体" w:cs="宋体"/>
          <w:bCs/>
          <w:color w:val="000000"/>
          <w:szCs w:val="21"/>
          <w:highlight w:val="none"/>
          <w:u w:val="none"/>
          <w:lang w:val="en-US" w:eastAsia="zh-CN"/>
        </w:rPr>
        <w:t>1</w:t>
      </w:r>
      <w:r>
        <w:rPr>
          <w:rFonts w:hint="eastAsia" w:ascii="宋体" w:hAnsi="宋体" w:eastAsia="宋体" w:cs="宋体"/>
          <w:bCs/>
          <w:color w:val="000000"/>
          <w:szCs w:val="21"/>
          <w:highlight w:val="none"/>
          <w:u w:val="none"/>
          <w:lang w:eastAsia="zh-CN"/>
        </w:rPr>
        <w:t>月</w:t>
      </w:r>
      <w:r>
        <w:rPr>
          <w:rFonts w:hint="eastAsia" w:ascii="宋体" w:hAnsi="宋体" w:eastAsia="宋体" w:cs="宋体"/>
          <w:bCs/>
          <w:color w:val="000000"/>
          <w:szCs w:val="21"/>
          <w:highlight w:val="none"/>
          <w:u w:val="none"/>
          <w:lang w:val="en-US" w:eastAsia="zh-CN"/>
        </w:rPr>
        <w:t>24</w:t>
      </w:r>
      <w:r>
        <w:rPr>
          <w:rFonts w:hint="eastAsia" w:ascii="宋体" w:hAnsi="宋体" w:eastAsia="宋体" w:cs="宋体"/>
          <w:bCs/>
          <w:color w:val="000000"/>
          <w:szCs w:val="21"/>
          <w:highlight w:val="none"/>
          <w:u w:val="none"/>
        </w:rPr>
        <w:t>日</w:t>
      </w:r>
      <w:r>
        <w:rPr>
          <w:rFonts w:hint="eastAsia" w:ascii="宋体" w:hAnsi="宋体" w:eastAsia="宋体" w:cs="宋体"/>
          <w:bCs/>
          <w:color w:val="000000"/>
          <w:szCs w:val="21"/>
          <w:highlight w:val="none"/>
          <w:u w:val="none"/>
          <w:lang w:val="en-US" w:eastAsia="zh-CN"/>
        </w:rPr>
        <w:t>9</w:t>
      </w:r>
      <w:r>
        <w:rPr>
          <w:rFonts w:hint="eastAsia" w:ascii="宋体" w:hAnsi="宋体" w:eastAsia="宋体" w:cs="宋体"/>
          <w:bCs/>
          <w:color w:val="000000"/>
          <w:szCs w:val="21"/>
          <w:highlight w:val="none"/>
          <w:u w:val="none"/>
        </w:rPr>
        <w:t>时</w:t>
      </w:r>
      <w:r>
        <w:rPr>
          <w:rFonts w:hint="eastAsia" w:ascii="宋体" w:hAnsi="宋体" w:eastAsia="宋体" w:cs="宋体"/>
          <w:bCs/>
          <w:color w:val="000000"/>
          <w:szCs w:val="21"/>
          <w:highlight w:val="none"/>
          <w:u w:val="none"/>
          <w:lang w:val="en-US" w:eastAsia="zh-CN"/>
        </w:rPr>
        <w:t>30</w:t>
      </w:r>
      <w:r>
        <w:rPr>
          <w:rFonts w:hint="eastAsia" w:ascii="宋体" w:hAnsi="宋体" w:eastAsia="宋体" w:cs="宋体"/>
          <w:bCs/>
          <w:color w:val="000000"/>
          <w:szCs w:val="21"/>
          <w:highlight w:val="none"/>
          <w:u w:val="none"/>
        </w:rPr>
        <w:t>分</w:t>
      </w:r>
    </w:p>
    <w:p w14:paraId="660FCAA4">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rPr>
      </w:pPr>
      <w:bookmarkStart w:id="30" w:name="_Toc22502"/>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首次响应文件提交地点：请登录广西政府采购云投标客户端投标</w:t>
      </w:r>
      <w:bookmarkEnd w:id="30"/>
    </w:p>
    <w:p w14:paraId="73D15CC0">
      <w:pPr>
        <w:keepNext w:val="0"/>
        <w:keepLines w:val="0"/>
        <w:pageBreakBefore w:val="0"/>
        <w:widowControl w:val="0"/>
        <w:kinsoku/>
        <w:wordWrap w:val="0"/>
        <w:overflowPunct/>
        <w:topLinePunct w:val="0"/>
        <w:autoSpaceDE/>
        <w:autoSpaceDN/>
        <w:bidi w:val="0"/>
        <w:adjustRightInd/>
        <w:snapToGrid w:val="0"/>
        <w:spacing w:line="500" w:lineRule="exact"/>
        <w:ind w:left="0" w:leftChars="0"/>
        <w:textAlignment w:val="auto"/>
        <w:outlineLvl w:val="9"/>
        <w:rPr>
          <w:rFonts w:hint="eastAsia" w:ascii="宋体" w:hAnsi="宋体" w:eastAsia="宋体" w:cs="宋体"/>
          <w:b/>
          <w:bCs/>
          <w:sz w:val="24"/>
          <w:highlight w:val="none"/>
        </w:rPr>
      </w:pPr>
      <w:bookmarkStart w:id="31" w:name="_Toc27230"/>
      <w:r>
        <w:rPr>
          <w:rFonts w:hint="eastAsia" w:ascii="宋体" w:hAnsi="宋体" w:eastAsia="宋体" w:cs="宋体"/>
          <w:b/>
          <w:bCs/>
          <w:sz w:val="24"/>
          <w:highlight w:val="none"/>
        </w:rPr>
        <w:t>五、开启（首次响应文件开启时间）</w:t>
      </w:r>
      <w:bookmarkEnd w:id="31"/>
    </w:p>
    <w:p w14:paraId="5758FAD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bCs/>
          <w:szCs w:val="21"/>
          <w:highlight w:val="none"/>
          <w:u w:val="single"/>
        </w:rPr>
      </w:pPr>
      <w:bookmarkStart w:id="32" w:name="_Toc733"/>
      <w:r>
        <w:rPr>
          <w:rFonts w:hint="eastAsia" w:ascii="宋体" w:hAnsi="宋体" w:eastAsia="宋体" w:cs="宋体"/>
          <w:szCs w:val="21"/>
          <w:highlight w:val="none"/>
        </w:rPr>
        <w:t>1.时间</w:t>
      </w:r>
      <w:r>
        <w:rPr>
          <w:rFonts w:hint="eastAsia" w:ascii="宋体" w:hAnsi="宋体" w:eastAsia="宋体" w:cs="宋体"/>
          <w:bCs/>
          <w:szCs w:val="21"/>
          <w:highlight w:val="none"/>
        </w:rPr>
        <w:t>（北京时间）</w:t>
      </w:r>
      <w:r>
        <w:rPr>
          <w:rFonts w:hint="eastAsia" w:ascii="宋体" w:hAnsi="宋体" w:eastAsia="宋体" w:cs="宋体"/>
          <w:szCs w:val="21"/>
          <w:highlight w:val="none"/>
        </w:rPr>
        <w:t>：</w:t>
      </w:r>
      <w:r>
        <w:rPr>
          <w:rFonts w:hint="eastAsia" w:ascii="宋体" w:hAnsi="宋体" w:eastAsia="宋体" w:cs="宋体"/>
          <w:szCs w:val="21"/>
          <w:highlight w:val="none"/>
          <w:u w:val="none"/>
          <w:lang w:val="en-US" w:eastAsia="zh-CN"/>
        </w:rPr>
        <w:t>2025</w:t>
      </w:r>
      <w:r>
        <w:rPr>
          <w:rFonts w:hint="eastAsia" w:ascii="宋体" w:hAnsi="宋体" w:eastAsia="宋体" w:cs="宋体"/>
          <w:bCs/>
          <w:color w:val="000000"/>
          <w:szCs w:val="21"/>
          <w:highlight w:val="none"/>
          <w:u w:val="none"/>
          <w:lang w:eastAsia="zh-CN"/>
        </w:rPr>
        <w:t>年</w:t>
      </w:r>
      <w:r>
        <w:rPr>
          <w:rFonts w:hint="eastAsia" w:ascii="宋体" w:hAnsi="宋体" w:eastAsia="宋体" w:cs="宋体"/>
          <w:bCs/>
          <w:color w:val="000000"/>
          <w:szCs w:val="21"/>
          <w:highlight w:val="none"/>
          <w:u w:val="none"/>
          <w:lang w:val="en-US" w:eastAsia="zh-CN"/>
        </w:rPr>
        <w:t>1</w:t>
      </w:r>
      <w:r>
        <w:rPr>
          <w:rFonts w:hint="eastAsia" w:ascii="宋体" w:hAnsi="宋体" w:eastAsia="宋体" w:cs="宋体"/>
          <w:bCs/>
          <w:color w:val="000000"/>
          <w:szCs w:val="21"/>
          <w:highlight w:val="none"/>
          <w:u w:val="none"/>
          <w:lang w:eastAsia="zh-CN"/>
        </w:rPr>
        <w:t>月</w:t>
      </w:r>
      <w:r>
        <w:rPr>
          <w:rFonts w:hint="eastAsia" w:ascii="宋体" w:hAnsi="宋体" w:eastAsia="宋体" w:cs="宋体"/>
          <w:bCs/>
          <w:color w:val="000000"/>
          <w:szCs w:val="21"/>
          <w:highlight w:val="none"/>
          <w:u w:val="none"/>
          <w:lang w:val="en-US" w:eastAsia="zh-CN"/>
        </w:rPr>
        <w:t>24</w:t>
      </w:r>
      <w:r>
        <w:rPr>
          <w:rFonts w:hint="eastAsia" w:ascii="宋体" w:hAnsi="宋体" w:eastAsia="宋体" w:cs="宋体"/>
          <w:bCs/>
          <w:color w:val="000000"/>
          <w:szCs w:val="21"/>
          <w:highlight w:val="none"/>
          <w:u w:val="none"/>
          <w:lang w:eastAsia="zh-CN"/>
        </w:rPr>
        <w:t>日</w:t>
      </w:r>
      <w:r>
        <w:rPr>
          <w:rFonts w:hint="eastAsia" w:ascii="宋体" w:hAnsi="宋体" w:eastAsia="宋体" w:cs="宋体"/>
          <w:bCs/>
          <w:color w:val="000000"/>
          <w:szCs w:val="21"/>
          <w:highlight w:val="none"/>
          <w:u w:val="none"/>
          <w:lang w:val="en-US" w:eastAsia="zh-CN"/>
        </w:rPr>
        <w:t>9</w:t>
      </w:r>
      <w:r>
        <w:rPr>
          <w:rFonts w:hint="eastAsia" w:ascii="宋体" w:hAnsi="宋体" w:eastAsia="宋体" w:cs="宋体"/>
          <w:bCs/>
          <w:color w:val="000000"/>
          <w:szCs w:val="21"/>
          <w:highlight w:val="none"/>
          <w:u w:val="none"/>
          <w:lang w:eastAsia="zh-CN"/>
        </w:rPr>
        <w:t>时</w:t>
      </w:r>
      <w:r>
        <w:rPr>
          <w:rFonts w:hint="eastAsia" w:ascii="宋体" w:hAnsi="宋体" w:eastAsia="宋体" w:cs="宋体"/>
          <w:bCs/>
          <w:color w:val="000000"/>
          <w:szCs w:val="21"/>
          <w:highlight w:val="none"/>
          <w:u w:val="none"/>
          <w:lang w:val="en-US" w:eastAsia="zh-CN"/>
        </w:rPr>
        <w:t>30</w:t>
      </w:r>
      <w:r>
        <w:rPr>
          <w:rFonts w:hint="eastAsia" w:ascii="宋体" w:hAnsi="宋体" w:eastAsia="宋体" w:cs="宋体"/>
          <w:bCs/>
          <w:color w:val="000000"/>
          <w:szCs w:val="21"/>
          <w:highlight w:val="none"/>
          <w:u w:val="none"/>
          <w:lang w:eastAsia="zh-CN"/>
        </w:rPr>
        <w:t>分</w:t>
      </w:r>
      <w:bookmarkEnd w:id="32"/>
    </w:p>
    <w:p w14:paraId="0AEE625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szCs w:val="21"/>
          <w:highlight w:val="none"/>
          <w:u w:val="none"/>
          <w:lang w:eastAsia="zh-CN"/>
        </w:rPr>
      </w:pPr>
      <w:r>
        <w:rPr>
          <w:rFonts w:hint="eastAsia" w:ascii="宋体" w:hAnsi="宋体" w:eastAsia="宋体" w:cs="宋体"/>
          <w:szCs w:val="21"/>
          <w:highlight w:val="none"/>
          <w:u w:val="none"/>
        </w:rPr>
        <w:t>2.地点：通过广西政府采购云平台（https://www.gcy.zfcg.gxzf.gov.cn/）在线提交</w:t>
      </w:r>
      <w:r>
        <w:rPr>
          <w:rFonts w:hint="eastAsia" w:ascii="宋体" w:hAnsi="宋体" w:eastAsia="宋体" w:cs="宋体"/>
          <w:szCs w:val="21"/>
          <w:highlight w:val="none"/>
          <w:u w:val="none"/>
          <w:lang w:eastAsia="zh-CN"/>
        </w:rPr>
        <w:t>。</w:t>
      </w:r>
    </w:p>
    <w:p w14:paraId="4DA157A7">
      <w:pPr>
        <w:keepNext w:val="0"/>
        <w:keepLines w:val="0"/>
        <w:pageBreakBefore w:val="0"/>
        <w:widowControl w:val="0"/>
        <w:kinsoku/>
        <w:wordWrap w:val="0"/>
        <w:overflowPunct/>
        <w:topLinePunct w:val="0"/>
        <w:autoSpaceDE/>
        <w:autoSpaceDN/>
        <w:bidi w:val="0"/>
        <w:adjustRightInd/>
        <w:snapToGrid w:val="0"/>
        <w:spacing w:line="500" w:lineRule="exact"/>
        <w:ind w:left="0" w:leftChars="0"/>
        <w:textAlignment w:val="auto"/>
        <w:outlineLvl w:val="9"/>
        <w:rPr>
          <w:rFonts w:hint="eastAsia" w:ascii="宋体" w:hAnsi="宋体" w:eastAsia="宋体" w:cs="宋体"/>
          <w:b/>
          <w:bCs/>
          <w:sz w:val="24"/>
          <w:highlight w:val="none"/>
        </w:rPr>
      </w:pPr>
      <w:bookmarkStart w:id="33" w:name="_Toc20319"/>
      <w:bookmarkStart w:id="34" w:name="_Toc35393794"/>
      <w:bookmarkStart w:id="35" w:name="_Toc28359084"/>
      <w:bookmarkStart w:id="36" w:name="_Toc35393625"/>
      <w:bookmarkStart w:id="37" w:name="_Toc28359007"/>
      <w:r>
        <w:rPr>
          <w:rFonts w:hint="eastAsia" w:ascii="宋体" w:hAnsi="宋体" w:eastAsia="宋体" w:cs="宋体"/>
          <w:b/>
          <w:bCs/>
          <w:sz w:val="24"/>
          <w:highlight w:val="none"/>
        </w:rPr>
        <w:t>六、公告期限</w:t>
      </w:r>
      <w:bookmarkEnd w:id="33"/>
      <w:bookmarkEnd w:id="34"/>
      <w:bookmarkEnd w:id="35"/>
      <w:bookmarkEnd w:id="36"/>
      <w:bookmarkEnd w:id="37"/>
    </w:p>
    <w:p w14:paraId="1666FF26">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自本公告发布之日起3个工作日。</w:t>
      </w:r>
    </w:p>
    <w:p w14:paraId="7EE2916F">
      <w:pPr>
        <w:keepNext w:val="0"/>
        <w:keepLines w:val="0"/>
        <w:pageBreakBefore w:val="0"/>
        <w:widowControl w:val="0"/>
        <w:kinsoku/>
        <w:wordWrap w:val="0"/>
        <w:overflowPunct/>
        <w:topLinePunct w:val="0"/>
        <w:autoSpaceDE/>
        <w:autoSpaceDN/>
        <w:bidi w:val="0"/>
        <w:adjustRightInd/>
        <w:snapToGrid w:val="0"/>
        <w:spacing w:line="500" w:lineRule="exact"/>
        <w:ind w:left="0" w:leftChars="0"/>
        <w:textAlignment w:val="auto"/>
        <w:outlineLvl w:val="9"/>
        <w:rPr>
          <w:rFonts w:hint="eastAsia" w:ascii="宋体" w:hAnsi="宋体" w:eastAsia="宋体" w:cs="宋体"/>
          <w:b/>
          <w:bCs/>
          <w:sz w:val="24"/>
          <w:highlight w:val="none"/>
        </w:rPr>
      </w:pPr>
      <w:bookmarkStart w:id="38" w:name="_Toc35393626"/>
      <w:bookmarkStart w:id="39" w:name="_Toc22221"/>
      <w:bookmarkStart w:id="40" w:name="_Toc35393795"/>
      <w:r>
        <w:rPr>
          <w:rFonts w:hint="eastAsia" w:ascii="宋体" w:hAnsi="宋体" w:eastAsia="宋体" w:cs="宋体"/>
          <w:b/>
          <w:bCs/>
          <w:sz w:val="24"/>
          <w:highlight w:val="none"/>
        </w:rPr>
        <w:t>七、其他补充事宜</w:t>
      </w:r>
      <w:bookmarkEnd w:id="38"/>
      <w:bookmarkEnd w:id="39"/>
      <w:bookmarkEnd w:id="40"/>
    </w:p>
    <w:p w14:paraId="24E292E7">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1、竞标保证金（人民币）：人民币</w:t>
      </w:r>
      <w:r>
        <w:rPr>
          <w:rFonts w:hint="eastAsia" w:ascii="宋体" w:hAnsi="宋体" w:eastAsia="宋体" w:cs="宋体"/>
          <w:kern w:val="0"/>
          <w:szCs w:val="21"/>
          <w:highlight w:val="none"/>
          <w:lang w:eastAsia="zh-CN"/>
        </w:rPr>
        <w:t>壹万元</w:t>
      </w:r>
      <w:r>
        <w:rPr>
          <w:rFonts w:hint="eastAsia" w:ascii="宋体" w:hAnsi="宋体" w:eastAsia="宋体" w:cs="宋体"/>
          <w:kern w:val="0"/>
          <w:szCs w:val="21"/>
          <w:highlight w:val="none"/>
        </w:rPr>
        <w:t>整（¥</w:t>
      </w:r>
      <w:r>
        <w:rPr>
          <w:rFonts w:hint="eastAsia" w:ascii="宋体" w:hAnsi="宋体" w:eastAsia="宋体" w:cs="宋体"/>
          <w:kern w:val="0"/>
          <w:szCs w:val="21"/>
          <w:highlight w:val="none"/>
          <w:lang w:val="en-US" w:eastAsia="zh-CN"/>
        </w:rPr>
        <w:t>10000.00</w:t>
      </w:r>
      <w:r>
        <w:rPr>
          <w:rFonts w:hint="eastAsia" w:ascii="宋体" w:hAnsi="宋体" w:eastAsia="宋体" w:cs="宋体"/>
          <w:kern w:val="0"/>
          <w:szCs w:val="21"/>
          <w:highlight w:val="none"/>
        </w:rPr>
        <w:t>元）；</w:t>
      </w:r>
    </w:p>
    <w:p w14:paraId="53DF779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bookmarkStart w:id="41" w:name="_Toc11481"/>
      <w:r>
        <w:rPr>
          <w:rFonts w:hint="eastAsia" w:ascii="宋体" w:hAnsi="宋体" w:eastAsia="宋体" w:cs="宋体"/>
          <w:kern w:val="0"/>
          <w:szCs w:val="21"/>
          <w:highlight w:val="none"/>
        </w:rPr>
        <w:t>2、网上查询地址</w:t>
      </w:r>
      <w:bookmarkEnd w:id="41"/>
    </w:p>
    <w:p w14:paraId="02E006E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中国政府采购网（www.ccgp.gov.cn）、广西政府采购网（https://www.gcy.zfcg.gxzf.gov.cn/）。</w:t>
      </w:r>
    </w:p>
    <w:p w14:paraId="4EDFECC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033C0BF">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7989B11">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bookmarkStart w:id="42" w:name="_Toc3103"/>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、本项目需要落实的政府采购政策：</w:t>
      </w:r>
      <w:bookmarkEnd w:id="42"/>
    </w:p>
    <w:p w14:paraId="65A2BB2A">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14:paraId="19A52260">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14:paraId="7423DCE4">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（3）强制采购节能产品；优先采购节能产品、环境标志产品。</w:t>
      </w:r>
    </w:p>
    <w:p w14:paraId="6F43C8BA">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（4）政府采购促进残疾人就业政策。</w:t>
      </w:r>
    </w:p>
    <w:p w14:paraId="7F474A04">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（5）政府采购支持监狱企业发展。</w:t>
      </w:r>
    </w:p>
    <w:p w14:paraId="1C002AA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bookmarkStart w:id="43" w:name="_Toc5820"/>
      <w:r>
        <w:rPr>
          <w:rFonts w:hint="eastAsia" w:ascii="宋体" w:hAnsi="宋体" w:eastAsia="宋体" w:cs="宋体"/>
          <w:kern w:val="0"/>
          <w:szCs w:val="21"/>
          <w:highlight w:val="none"/>
        </w:rPr>
        <w:t>6、谈判注意事项：</w:t>
      </w:r>
      <w:bookmarkEnd w:id="43"/>
    </w:p>
    <w:p w14:paraId="77FF5AD5">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bookmarkStart w:id="44" w:name="_Toc22410"/>
      <w:r>
        <w:rPr>
          <w:rFonts w:hint="eastAsia" w:ascii="宋体" w:hAnsi="宋体" w:eastAsia="宋体" w:cs="宋体"/>
          <w:kern w:val="0"/>
          <w:szCs w:val="21"/>
          <w:highlight w:val="none"/>
        </w:rPr>
        <w:t>（1）本项目通过广西政府采购云平台实行电子投标，供应商应按照本项目竞争性</w:t>
      </w:r>
      <w:r>
        <w:rPr>
          <w:rFonts w:hint="eastAsia" w:ascii="宋体" w:hAnsi="宋体" w:eastAsia="宋体" w:cs="宋体"/>
          <w:kern w:val="0"/>
          <w:szCs w:val="21"/>
          <w:highlight w:val="none"/>
          <w:lang w:eastAsia="zh-CN"/>
        </w:rPr>
        <w:t>谈判</w:t>
      </w:r>
      <w:r>
        <w:rPr>
          <w:rFonts w:hint="eastAsia" w:ascii="宋体" w:hAnsi="宋体" w:eastAsia="宋体" w:cs="宋体"/>
          <w:kern w:val="0"/>
          <w:szCs w:val="21"/>
          <w:highlight w:val="none"/>
        </w:rPr>
        <w:t>文件和广西政府采购云平台的要求，通过“广西政府采购云平台电子标系统”编制、加密并提交电子响应文件。</w:t>
      </w:r>
    </w:p>
    <w:p w14:paraId="25B31C54">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2）参与电子标的供应商必须为广西政府采购云平台的正式供应商且申领CA证书，各供应商应在开标前及时完成平台注册、CA证书申领、CA证书绑定、下载投标客户端，熟悉并掌握广西政府采购云平台电子标系统操作。原在政采云平台注册的临时供应商，以及政采云平台暂停线上业务办理期间（2024年1月1日-2月17日），通过线下办理注册登记的潜在供应商，仍需在广西政府采购云平台重新注册登记。</w:t>
      </w:r>
    </w:p>
    <w:p w14:paraId="76682188">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①供应商应及时熟悉掌握电子标系统操作指南（见广西政府采购云平台电子卖场首页—服务中心—帮助中心—项目采购）</w:t>
      </w:r>
    </w:p>
    <w:p w14:paraId="23D5215D">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②供应商应及时完成CA申领和绑定（见广西壮族自治区政府采购网—办事服务—下载专区-政采云CA证书办理操作指南）：http://www.ccgpguangxi.gov.cn/luban/detail?parentId=66479&amp;articleId=giG2hxujOLVnOuVjZr6wgQ</w:t>
      </w:r>
    </w:p>
    <w:p w14:paraId="69A4129F">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rPr>
        <w:t>③各供应商通过新平台参与政府采购项目投标需下载使用新版客户端，广西政府采购云平台客户端软件请供应商自行前往下载并安装：http://www.ccgp-guangxi.gov.cn/site/detail?parentId=66479&amp;articleId=+06E5n62B1RzrGh0ew1OFg==&amp;utm=site.site-PC-38919.1024-pc-wsg-secondLevelPage-front.1.5057b2c0cef811ee9fd599f289f082d5</w:t>
      </w:r>
    </w:p>
    <w:p w14:paraId="53E1B94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3ECF654F">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8、</w:t>
      </w:r>
      <w:r>
        <w:rPr>
          <w:rFonts w:hint="eastAsia" w:ascii="宋体" w:hAnsi="宋体" w:eastAsia="宋体" w:cs="宋体"/>
          <w:kern w:val="0"/>
          <w:szCs w:val="21"/>
          <w:highlight w:val="none"/>
        </w:rPr>
        <w:t>因未注册广西政府采购云平台、未办理CA证书、CA证书故障、操作不当等原因造成无法投标或投标失败等后果由供应商自行承担；</w:t>
      </w:r>
    </w:p>
    <w:p w14:paraId="3C87227B">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9、</w:t>
      </w:r>
      <w:r>
        <w:rPr>
          <w:rFonts w:hint="eastAsia" w:ascii="宋体" w:hAnsi="宋体" w:eastAsia="宋体" w:cs="宋体"/>
          <w:kern w:val="0"/>
          <w:szCs w:val="21"/>
          <w:highlight w:val="none"/>
        </w:rPr>
        <w:t>供应商在使用广西政府采购云平台参与投标过程中遇到涉及平台使用的任何问题，可致电广西政府采购云平台技术支持热线咨询，联系方式：95763。</w:t>
      </w:r>
    </w:p>
    <w:p w14:paraId="2B5F4720">
      <w:pPr>
        <w:keepNext w:val="0"/>
        <w:keepLines w:val="0"/>
        <w:pageBreakBefore w:val="0"/>
        <w:widowControl w:val="0"/>
        <w:kinsoku/>
        <w:wordWrap w:val="0"/>
        <w:overflowPunct/>
        <w:topLinePunct w:val="0"/>
        <w:autoSpaceDE/>
        <w:autoSpaceDN/>
        <w:bidi w:val="0"/>
        <w:adjustRightInd/>
        <w:snapToGrid w:val="0"/>
        <w:spacing w:line="500" w:lineRule="exact"/>
        <w:ind w:left="0" w:leftChars="0"/>
        <w:textAlignment w:val="auto"/>
        <w:outlineLvl w:val="9"/>
        <w:rPr>
          <w:rFonts w:hint="eastAsia" w:ascii="宋体" w:hAnsi="宋体" w:eastAsia="宋体" w:cs="宋体"/>
          <w:bCs/>
          <w:sz w:val="24"/>
          <w:highlight w:val="none"/>
        </w:rPr>
      </w:pPr>
      <w:r>
        <w:rPr>
          <w:rFonts w:hint="eastAsia" w:ascii="宋体" w:hAnsi="宋体" w:eastAsia="宋体" w:cs="宋体"/>
          <w:b/>
          <w:kern w:val="44"/>
          <w:sz w:val="24"/>
          <w:highlight w:val="none"/>
        </w:rPr>
        <w:t>八、凡对本次采购提出询问，请按以下方式联系</w:t>
      </w:r>
      <w:bookmarkEnd w:id="44"/>
    </w:p>
    <w:p w14:paraId="0A886362">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eastAsia" w:ascii="宋体" w:hAnsi="宋体" w:eastAsia="宋体" w:cs="宋体"/>
          <w:color w:val="000000"/>
          <w:szCs w:val="21"/>
          <w:highlight w:val="none"/>
        </w:rPr>
      </w:pPr>
      <w:bookmarkStart w:id="45" w:name="_Toc9563"/>
      <w:r>
        <w:rPr>
          <w:rFonts w:hint="eastAsia" w:ascii="宋体" w:hAnsi="宋体" w:eastAsia="宋体" w:cs="宋体"/>
          <w:color w:val="000000"/>
          <w:szCs w:val="21"/>
          <w:highlight w:val="none"/>
        </w:rPr>
        <w:t>1.采购人信息</w:t>
      </w:r>
      <w:bookmarkEnd w:id="45"/>
    </w:p>
    <w:p w14:paraId="51887B40">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eastAsia" w:ascii="宋体" w:hAnsi="宋体" w:eastAsia="宋体" w:cs="宋体"/>
          <w:color w:val="000000"/>
          <w:szCs w:val="21"/>
          <w:highlight w:val="none"/>
          <w:u w:val="single"/>
          <w:lang w:eastAsia="zh-CN"/>
        </w:rPr>
      </w:pPr>
      <w:r>
        <w:rPr>
          <w:rFonts w:hint="eastAsia" w:ascii="宋体" w:hAnsi="宋体" w:eastAsia="宋体" w:cs="宋体"/>
          <w:color w:val="000000"/>
          <w:szCs w:val="21"/>
          <w:highlight w:val="none"/>
        </w:rPr>
        <w:t>名称：</w:t>
      </w:r>
      <w:r>
        <w:rPr>
          <w:rFonts w:hint="eastAsia" w:ascii="宋体" w:hAnsi="宋体" w:eastAsia="宋体" w:cs="宋体"/>
          <w:color w:val="000000"/>
          <w:szCs w:val="21"/>
          <w:highlight w:val="none"/>
          <w:u w:val="none"/>
          <w:lang w:eastAsia="zh-CN"/>
        </w:rPr>
        <w:t>广西科技大学第一附属医院</w:t>
      </w:r>
    </w:p>
    <w:p w14:paraId="7645694D">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eastAsia" w:ascii="宋体" w:hAnsi="宋体" w:eastAsia="宋体" w:cs="宋体"/>
          <w:color w:val="000000"/>
          <w:szCs w:val="21"/>
          <w:highlight w:val="none"/>
          <w:u w:val="single"/>
          <w:lang w:eastAsia="zh-CN"/>
        </w:rPr>
      </w:pPr>
      <w:r>
        <w:rPr>
          <w:rFonts w:hint="eastAsia" w:ascii="宋体" w:hAnsi="宋体" w:eastAsia="宋体" w:cs="宋体"/>
          <w:color w:val="000000"/>
          <w:szCs w:val="21"/>
          <w:highlight w:val="none"/>
        </w:rPr>
        <w:t>地址：柳州市跃进路124号</w:t>
      </w:r>
    </w:p>
    <w:p w14:paraId="7686E2AA">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2"/>
          <w:highlight w:val="none"/>
        </w:rPr>
        <w:t>项目联系人：</w:t>
      </w:r>
      <w:r>
        <w:rPr>
          <w:rFonts w:hint="eastAsia" w:ascii="宋体" w:hAnsi="宋体" w:eastAsia="宋体" w:cs="宋体"/>
          <w:color w:val="000000"/>
          <w:szCs w:val="22"/>
          <w:highlight w:val="none"/>
          <w:lang w:val="en-US" w:eastAsia="zh-CN"/>
        </w:rPr>
        <w:t>唐老师、蓝老师</w:t>
      </w:r>
    </w:p>
    <w:p w14:paraId="55520BD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default"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rPr>
        <w:t>项目联系方式：</w:t>
      </w:r>
      <w:r>
        <w:rPr>
          <w:rFonts w:hint="eastAsia" w:ascii="宋体" w:hAnsi="宋体" w:eastAsia="宋体" w:cs="宋体"/>
          <w:color w:val="000000"/>
          <w:szCs w:val="21"/>
          <w:highlight w:val="none"/>
          <w:lang w:val="en-US" w:eastAsia="zh-CN"/>
        </w:rPr>
        <w:t>0772-2699225</w:t>
      </w:r>
    </w:p>
    <w:p w14:paraId="5DF0D65A">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eastAsia" w:ascii="宋体" w:hAnsi="宋体" w:eastAsia="宋体" w:cs="宋体"/>
          <w:color w:val="000000"/>
          <w:szCs w:val="21"/>
          <w:highlight w:val="none"/>
        </w:rPr>
      </w:pPr>
      <w:bookmarkStart w:id="46" w:name="_Toc13478"/>
      <w:r>
        <w:rPr>
          <w:rFonts w:hint="eastAsia" w:ascii="宋体" w:hAnsi="宋体" w:eastAsia="宋体" w:cs="宋体"/>
          <w:color w:val="000000"/>
          <w:szCs w:val="21"/>
          <w:highlight w:val="none"/>
        </w:rPr>
        <w:t>2.采购代理机构信息</w:t>
      </w:r>
      <w:bookmarkEnd w:id="46"/>
    </w:p>
    <w:p w14:paraId="0F490FD7">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color w:val="000000"/>
          <w:szCs w:val="21"/>
          <w:highlight w:val="none"/>
          <w:u w:val="single"/>
          <w:lang w:eastAsia="zh-CN"/>
        </w:rPr>
      </w:pPr>
      <w:r>
        <w:rPr>
          <w:rFonts w:hint="eastAsia" w:ascii="宋体" w:hAnsi="宋体" w:eastAsia="宋体" w:cs="宋体"/>
          <w:color w:val="000000"/>
          <w:szCs w:val="21"/>
          <w:highlight w:val="none"/>
        </w:rPr>
        <w:t>名称：</w:t>
      </w:r>
      <w:r>
        <w:rPr>
          <w:rFonts w:hint="eastAsia" w:ascii="宋体" w:hAnsi="宋体" w:eastAsia="宋体" w:cs="宋体"/>
          <w:color w:val="000000"/>
          <w:szCs w:val="21"/>
          <w:highlight w:val="none"/>
          <w:u w:val="none"/>
          <w:lang w:eastAsia="zh-CN"/>
        </w:rPr>
        <w:t>广西国盛招标有限公司</w:t>
      </w:r>
    </w:p>
    <w:p w14:paraId="632DC4D1">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default" w:ascii="宋体" w:hAnsi="宋体" w:eastAsia="宋体" w:cs="宋体"/>
          <w:highlight w:val="none"/>
          <w:u w:val="single"/>
          <w:lang w:val="en-US" w:eastAsia="zh-CN"/>
        </w:rPr>
      </w:pPr>
      <w:r>
        <w:rPr>
          <w:rFonts w:hint="eastAsia" w:ascii="宋体" w:hAnsi="宋体" w:eastAsia="宋体" w:cs="宋体"/>
          <w:color w:val="000000"/>
          <w:szCs w:val="21"/>
          <w:highlight w:val="none"/>
        </w:rPr>
        <w:t>地址：</w:t>
      </w:r>
      <w:r>
        <w:rPr>
          <w:rFonts w:hint="eastAsia" w:ascii="宋体" w:hAnsi="宋体" w:eastAsia="宋体" w:cs="宋体"/>
          <w:color w:val="000000"/>
          <w:szCs w:val="21"/>
          <w:highlight w:val="none"/>
          <w:lang w:eastAsia="zh-CN"/>
        </w:rPr>
        <w:t>柳州市城中区</w:t>
      </w:r>
      <w:r>
        <w:rPr>
          <w:rFonts w:hint="eastAsia" w:ascii="宋体" w:hAnsi="宋体" w:eastAsia="宋体" w:cs="宋体"/>
          <w:color w:val="000000"/>
          <w:szCs w:val="21"/>
          <w:highlight w:val="none"/>
          <w:lang w:val="en-US" w:eastAsia="zh-CN"/>
        </w:rPr>
        <w:t>学院路50号鑫中联大厦1栋1单元510室</w:t>
      </w:r>
    </w:p>
    <w:p w14:paraId="0546C6F3">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textAlignment w:val="auto"/>
        <w:outlineLvl w:val="9"/>
        <w:rPr>
          <w:rFonts w:hint="eastAsia" w:ascii="宋体" w:hAnsi="宋体" w:eastAsia="宋体" w:cs="宋体"/>
          <w:highlight w:val="none"/>
          <w:u w:val="none"/>
          <w:lang w:val="en-US" w:eastAsia="zh-CN"/>
        </w:rPr>
      </w:pPr>
      <w:r>
        <w:rPr>
          <w:rFonts w:hint="eastAsia" w:ascii="宋体" w:hAnsi="宋体" w:eastAsia="宋体" w:cs="宋体"/>
          <w:color w:val="000000"/>
          <w:szCs w:val="21"/>
          <w:highlight w:val="none"/>
          <w:u w:val="none"/>
        </w:rPr>
        <w:t>项目联系人：</w:t>
      </w:r>
      <w:r>
        <w:rPr>
          <w:rFonts w:hint="eastAsia" w:ascii="宋体" w:hAnsi="宋体" w:eastAsia="宋体" w:cs="宋体"/>
          <w:color w:val="000000"/>
          <w:szCs w:val="21"/>
          <w:highlight w:val="none"/>
          <w:u w:val="none"/>
          <w:lang w:val="en-US" w:eastAsia="zh-CN"/>
        </w:rPr>
        <w:t>张工</w:t>
      </w:r>
    </w:p>
    <w:p w14:paraId="6920D3C0">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left"/>
        <w:textAlignment w:val="auto"/>
        <w:outlineLvl w:val="9"/>
        <w:rPr>
          <w:rFonts w:hint="eastAsia" w:ascii="宋体" w:hAnsi="宋体" w:eastAsia="宋体" w:cs="宋体"/>
          <w:color w:val="000000"/>
          <w:szCs w:val="21"/>
          <w:highlight w:val="none"/>
          <w:u w:val="none"/>
          <w:lang w:eastAsia="zh-CN"/>
        </w:rPr>
      </w:pPr>
      <w:r>
        <w:rPr>
          <w:rFonts w:hint="eastAsia" w:ascii="宋体" w:hAnsi="宋体" w:eastAsia="宋体" w:cs="宋体"/>
          <w:color w:val="000000"/>
          <w:szCs w:val="21"/>
          <w:highlight w:val="none"/>
          <w:u w:val="none"/>
        </w:rPr>
        <w:t>项目联系方式：</w:t>
      </w:r>
      <w:r>
        <w:rPr>
          <w:rFonts w:hint="eastAsia" w:ascii="宋体" w:hAnsi="宋体" w:eastAsia="宋体" w:cs="宋体"/>
          <w:color w:val="000000"/>
          <w:szCs w:val="21"/>
          <w:highlight w:val="none"/>
          <w:u w:val="none"/>
          <w:lang w:eastAsia="zh-CN"/>
        </w:rPr>
        <w:t>0772-3720799</w:t>
      </w:r>
    </w:p>
    <w:p w14:paraId="3671FE81">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right"/>
        <w:textAlignment w:val="auto"/>
        <w:outlineLvl w:val="9"/>
        <w:rPr>
          <w:rFonts w:hint="eastAsia" w:ascii="宋体" w:hAnsi="宋体" w:eastAsia="宋体" w:cs="宋体"/>
          <w:color w:val="000000"/>
          <w:szCs w:val="21"/>
          <w:highlight w:val="none"/>
          <w:u w:val="none"/>
          <w:lang w:eastAsia="zh-CN"/>
        </w:rPr>
      </w:pPr>
    </w:p>
    <w:p w14:paraId="67BB0A54">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right"/>
        <w:textAlignment w:val="auto"/>
        <w:outlineLvl w:val="9"/>
        <w:rPr>
          <w:rFonts w:hint="eastAsia" w:ascii="宋体" w:hAnsi="宋体" w:eastAsia="宋体" w:cs="宋体"/>
          <w:color w:val="000000"/>
          <w:szCs w:val="21"/>
          <w:highlight w:val="none"/>
          <w:u w:val="none"/>
          <w:lang w:eastAsia="zh-CN"/>
        </w:rPr>
      </w:pPr>
    </w:p>
    <w:p w14:paraId="2292723E">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right"/>
        <w:textAlignment w:val="auto"/>
        <w:outlineLvl w:val="9"/>
        <w:rPr>
          <w:rFonts w:hint="default" w:ascii="宋体" w:hAnsi="宋体" w:eastAsia="宋体" w:cs="宋体"/>
          <w:color w:val="000000"/>
          <w:szCs w:val="21"/>
          <w:highlight w:val="none"/>
          <w:u w:val="none"/>
          <w:lang w:val="en-US" w:eastAsia="zh-CN"/>
        </w:rPr>
      </w:pPr>
      <w:r>
        <w:rPr>
          <w:rFonts w:hint="eastAsia" w:ascii="宋体" w:hAnsi="宋体" w:eastAsia="宋体" w:cs="宋体"/>
          <w:color w:val="000000"/>
          <w:szCs w:val="21"/>
          <w:highlight w:val="none"/>
          <w:u w:val="none"/>
          <w:lang w:eastAsia="zh-CN"/>
        </w:rPr>
        <w:t>广西国盛招标有限公司</w:t>
      </w:r>
      <w:r>
        <w:rPr>
          <w:rFonts w:hint="eastAsia" w:ascii="宋体" w:hAnsi="宋体" w:eastAsia="宋体" w:cs="宋体"/>
          <w:color w:val="000000"/>
          <w:szCs w:val="21"/>
          <w:highlight w:val="none"/>
          <w:u w:val="none"/>
          <w:lang w:val="en-US" w:eastAsia="zh-CN"/>
        </w:rPr>
        <w:t xml:space="preserve">         </w:t>
      </w:r>
    </w:p>
    <w:p w14:paraId="7CAFD741">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420" w:firstLineChars="200"/>
        <w:jc w:val="right"/>
        <w:textAlignment w:val="auto"/>
        <w:outlineLvl w:val="9"/>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Cs w:val="21"/>
          <w:highlight w:val="none"/>
          <w:u w:val="none"/>
          <w:lang w:val="en-US" w:eastAsia="zh-CN"/>
        </w:rPr>
        <w:t>2025</w:t>
      </w:r>
      <w:r>
        <w:rPr>
          <w:rFonts w:hint="eastAsia" w:ascii="宋体" w:hAnsi="宋体" w:eastAsia="宋体" w:cs="宋体"/>
          <w:color w:val="000000"/>
          <w:szCs w:val="21"/>
          <w:highlight w:val="none"/>
          <w:u w:val="none"/>
          <w:lang w:eastAsia="zh-CN"/>
        </w:rPr>
        <w:t>年</w:t>
      </w:r>
      <w:r>
        <w:rPr>
          <w:rFonts w:hint="eastAsia" w:ascii="宋体" w:hAnsi="宋体" w:eastAsia="宋体" w:cs="宋体"/>
          <w:color w:val="000000"/>
          <w:szCs w:val="21"/>
          <w:highlight w:val="none"/>
          <w:u w:val="none"/>
          <w:lang w:val="en-US" w:eastAsia="zh-CN"/>
        </w:rPr>
        <w:t>1</w:t>
      </w:r>
      <w:r>
        <w:rPr>
          <w:rFonts w:hint="eastAsia" w:ascii="宋体" w:hAnsi="宋体" w:eastAsia="宋体" w:cs="宋体"/>
          <w:color w:val="000000"/>
          <w:szCs w:val="21"/>
          <w:highlight w:val="none"/>
          <w:u w:val="none"/>
          <w:lang w:eastAsia="zh-CN"/>
        </w:rPr>
        <w:t>月</w:t>
      </w:r>
      <w:r>
        <w:rPr>
          <w:rFonts w:hint="eastAsia" w:ascii="宋体" w:hAnsi="宋体" w:eastAsia="宋体" w:cs="宋体"/>
          <w:color w:val="000000"/>
          <w:szCs w:val="21"/>
          <w:highlight w:val="none"/>
          <w:u w:val="none"/>
          <w:lang w:val="en-US" w:eastAsia="zh-CN"/>
        </w:rPr>
        <w:t>20</w:t>
      </w:r>
      <w:r>
        <w:rPr>
          <w:rFonts w:hint="eastAsia" w:ascii="宋体" w:hAnsi="宋体" w:eastAsia="宋体" w:cs="宋体"/>
          <w:color w:val="000000"/>
          <w:szCs w:val="21"/>
          <w:highlight w:val="none"/>
          <w:u w:val="none"/>
          <w:lang w:eastAsia="zh-CN"/>
        </w:rPr>
        <w:t>日</w:t>
      </w:r>
      <w:bookmarkEnd w:id="17"/>
      <w:r>
        <w:rPr>
          <w:rFonts w:hint="eastAsia" w:ascii="宋体" w:hAnsi="宋体" w:eastAsia="宋体" w:cs="宋体"/>
          <w:color w:val="000000"/>
          <w:szCs w:val="21"/>
          <w:highlight w:val="none"/>
          <w:u w:val="none"/>
          <w:lang w:val="en-US" w:eastAsia="zh-CN"/>
        </w:rPr>
        <w:t xml:space="preserve">           </w:t>
      </w:r>
    </w:p>
    <w:p w14:paraId="526CAED6">
      <w:pPr>
        <w:pageBreakBefore w:val="0"/>
        <w:widowControl w:val="0"/>
        <w:kinsoku/>
        <w:wordWrap w:val="0"/>
        <w:overflowPunct/>
        <w:topLinePunct w:val="0"/>
        <w:bidi w:val="0"/>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Cs w:val="21"/>
          <w:highlight w:val="none"/>
          <w:u w:val="none"/>
          <w:lang w:val="en-US" w:eastAsia="zh-CN"/>
        </w:rPr>
        <w:br w:type="page"/>
      </w:r>
    </w:p>
    <w:p w14:paraId="106D9966">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420" w:firstLineChars="200"/>
        <w:jc w:val="right"/>
        <w:textAlignment w:val="auto"/>
        <w:outlineLvl w:val="9"/>
        <w:rPr>
          <w:rFonts w:hint="default" w:ascii="宋体" w:hAnsi="宋体" w:eastAsia="宋体" w:cs="宋体"/>
          <w:color w:val="000000"/>
          <w:szCs w:val="21"/>
          <w:highlight w:val="none"/>
          <w:u w:val="none"/>
          <w:lang w:val="en-US" w:eastAsia="zh-CN"/>
        </w:rPr>
        <w:sectPr>
          <w:footerReference r:id="rId5" w:type="default"/>
          <w:pgSz w:w="11910" w:h="16840"/>
          <w:pgMar w:top="1440" w:right="1080" w:bottom="1440" w:left="1080" w:header="0" w:footer="1134" w:gutter="0"/>
          <w:pgNumType w:fmt="decimal" w:start="1"/>
          <w:cols w:space="720" w:num="1"/>
        </w:sectPr>
      </w:pPr>
    </w:p>
    <w:p w14:paraId="01FA4D66">
      <w:pPr>
        <w:pStyle w:val="2"/>
        <w:pageBreakBefore w:val="0"/>
        <w:widowControl w:val="0"/>
        <w:kinsoku/>
        <w:wordWrap w:val="0"/>
        <w:overflowPunct/>
        <w:topLinePunct w:val="0"/>
        <w:bidi w:val="0"/>
        <w:spacing w:after="100" w:line="480" w:lineRule="auto"/>
        <w:jc w:val="center"/>
        <w:rPr>
          <w:color w:val="auto"/>
          <w:highlight w:val="none"/>
        </w:rPr>
      </w:pPr>
      <w:bookmarkStart w:id="47" w:name="_Toc24638"/>
      <w:r>
        <w:rPr>
          <w:rFonts w:hint="eastAsia"/>
          <w:color w:val="auto"/>
          <w:highlight w:val="none"/>
        </w:rPr>
        <w:t>第二章 供应商须知</w:t>
      </w:r>
      <w:bookmarkEnd w:id="47"/>
    </w:p>
    <w:p w14:paraId="62AF550B">
      <w:pPr>
        <w:pageBreakBefore w:val="0"/>
        <w:widowControl w:val="0"/>
        <w:kinsoku/>
        <w:wordWrap w:val="0"/>
        <w:overflowPunct/>
        <w:topLinePunct w:val="0"/>
        <w:bidi w:val="0"/>
        <w:spacing w:after="120" w:afterLines="50" w:line="400" w:lineRule="exact"/>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第一节 供应商须知前附表</w:t>
      </w:r>
    </w:p>
    <w:tbl>
      <w:tblPr>
        <w:tblStyle w:val="20"/>
        <w:tblW w:w="9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539"/>
      </w:tblGrid>
      <w:tr w14:paraId="5A1D3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2F58B4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b/>
                <w:color w:val="auto"/>
                <w:szCs w:val="21"/>
                <w:highlight w:val="none"/>
              </w:rPr>
            </w:pPr>
            <w:r>
              <w:rPr>
                <w:rFonts w:hint="eastAsia" w:ascii="宋体" w:hAnsi="宋体" w:cs="宋体"/>
                <w:b/>
                <w:color w:val="auto"/>
                <w:szCs w:val="21"/>
                <w:highlight w:val="none"/>
              </w:rPr>
              <w:t>条款号</w:t>
            </w:r>
          </w:p>
        </w:tc>
        <w:tc>
          <w:tcPr>
            <w:tcW w:w="8539" w:type="dxa"/>
          </w:tcPr>
          <w:p w14:paraId="2544E78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b/>
                <w:color w:val="auto"/>
                <w:szCs w:val="21"/>
                <w:highlight w:val="none"/>
              </w:rPr>
            </w:pPr>
            <w:r>
              <w:rPr>
                <w:rFonts w:hint="eastAsia" w:ascii="宋体" w:hAnsi="宋体" w:cs="宋体"/>
                <w:b/>
                <w:color w:val="auto"/>
                <w:szCs w:val="21"/>
                <w:highlight w:val="none"/>
              </w:rPr>
              <w:t>内    容</w:t>
            </w:r>
          </w:p>
        </w:tc>
      </w:tr>
      <w:tr w14:paraId="2F363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58ADFA">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3</w:t>
            </w:r>
          </w:p>
        </w:tc>
        <w:tc>
          <w:tcPr>
            <w:tcW w:w="8539" w:type="dxa"/>
            <w:vAlign w:val="center"/>
          </w:tcPr>
          <w:p w14:paraId="0694BBF3">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供应商的资格条件：详见竞争性谈判公告</w:t>
            </w:r>
            <w:r>
              <w:rPr>
                <w:rFonts w:hint="eastAsia" w:ascii="宋体" w:hAnsi="宋体" w:eastAsia="宋体" w:cs="宋体"/>
                <w:color w:val="auto"/>
                <w:szCs w:val="21"/>
                <w:highlight w:val="none"/>
                <w:lang w:eastAsia="zh-CN"/>
              </w:rPr>
              <w:t>。</w:t>
            </w:r>
          </w:p>
          <w:p w14:paraId="624AB14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2.供应商出现下列情形之一的，不得参加政府采购活动：</w:t>
            </w:r>
          </w:p>
          <w:p w14:paraId="4E847B0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C2DE90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outlineLvl w:val="9"/>
              <w:rPr>
                <w:rFonts w:hint="default" w:ascii="宋体" w:hAnsi="宋体" w:cs="宋体"/>
                <w:color w:val="auto"/>
                <w:szCs w:val="21"/>
                <w:highlight w:val="none"/>
              </w:rPr>
            </w:pPr>
            <w:r>
              <w:rPr>
                <w:rFonts w:hint="eastAsia" w:ascii="宋体" w:hAnsi="宋体" w:eastAsia="宋体" w:cs="宋体"/>
                <w:color w:val="auto"/>
                <w:szCs w:val="21"/>
                <w:highlight w:val="none"/>
              </w:rPr>
              <w:t>2.2对在“信用中国”网站（www.creditchina.gov.cn）、中国政府采购网（www.ccgp.gov.cn）被列入失信被执行人、重大税收违法案件当事人名单、政府采购严重违法失信行为记录名单</w:t>
            </w:r>
            <w:r>
              <w:rPr>
                <w:rFonts w:hint="eastAsia" w:ascii="宋体" w:hAnsi="宋体" w:cs="宋体"/>
                <w:color w:val="auto"/>
                <w:szCs w:val="21"/>
                <w:highlight w:val="none"/>
              </w:rPr>
              <w:t>及其他不符合《中华人民共和国政府采购法》第二十二条规定条件的供应商，不得参与政府采购活动</w:t>
            </w:r>
            <w:r>
              <w:rPr>
                <w:rFonts w:hint="eastAsia" w:ascii="宋体" w:hAnsi="宋体" w:cs="宋体"/>
                <w:color w:val="auto"/>
                <w:szCs w:val="21"/>
                <w:highlight w:val="none"/>
                <w:lang w:eastAsia="zh-CN"/>
              </w:rPr>
              <w:t>。</w:t>
            </w:r>
          </w:p>
        </w:tc>
      </w:tr>
      <w:tr w14:paraId="59C49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1AF41A">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5.1</w:t>
            </w:r>
          </w:p>
        </w:tc>
        <w:tc>
          <w:tcPr>
            <w:tcW w:w="8539" w:type="dxa"/>
            <w:vAlign w:val="center"/>
          </w:tcPr>
          <w:p w14:paraId="1A072AF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是否接受联合体竞标：详见竞争性谈判公告。</w:t>
            </w:r>
          </w:p>
        </w:tc>
      </w:tr>
      <w:tr w14:paraId="4759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FF1A5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6.2</w:t>
            </w:r>
          </w:p>
        </w:tc>
        <w:tc>
          <w:tcPr>
            <w:tcW w:w="8539" w:type="dxa"/>
            <w:vAlign w:val="center"/>
          </w:tcPr>
          <w:p w14:paraId="13050EAD">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highlight w:val="none"/>
              </w:rPr>
            </w:pPr>
            <w:r>
              <w:rPr>
                <w:rFonts w:hint="eastAsia" w:ascii="宋体" w:hAnsi="宋体" w:cs="宋体"/>
                <w:color w:val="auto"/>
                <w:highlight w:val="none"/>
              </w:rPr>
              <w:t>☑不允许分包</w:t>
            </w:r>
          </w:p>
          <w:p w14:paraId="1F1049C6">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highlight w:val="none"/>
              </w:rPr>
            </w:pPr>
            <w:r>
              <w:rPr>
                <w:rFonts w:hint="eastAsia" w:ascii="宋体" w:hAnsi="宋体" w:cs="宋体"/>
                <w:color w:val="auto"/>
                <w:highlight w:val="none"/>
              </w:rPr>
              <w:t>□允许分包</w:t>
            </w:r>
          </w:p>
          <w:p w14:paraId="7DCFCACD">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highlight w:val="none"/>
                <w:u w:val="single"/>
              </w:rPr>
            </w:pPr>
            <w:r>
              <w:rPr>
                <w:rFonts w:hint="eastAsia" w:ascii="宋体" w:hAnsi="宋体" w:cs="宋体"/>
                <w:color w:val="auto"/>
                <w:highlight w:val="none"/>
              </w:rPr>
              <w:t>分包内容：</w:t>
            </w:r>
            <w:r>
              <w:rPr>
                <w:rFonts w:hint="eastAsia" w:ascii="宋体" w:hAnsi="宋体" w:cs="宋体"/>
                <w:color w:val="auto"/>
                <w:highlight w:val="none"/>
                <w:u w:val="single"/>
              </w:rPr>
              <w:t>。</w:t>
            </w:r>
          </w:p>
          <w:p w14:paraId="656444E5">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highlight w:val="none"/>
                <w:u w:val="single"/>
              </w:rPr>
            </w:pPr>
            <w:r>
              <w:rPr>
                <w:rFonts w:hint="eastAsia" w:ascii="宋体" w:hAnsi="宋体" w:cs="宋体"/>
                <w:color w:val="auto"/>
                <w:highlight w:val="none"/>
              </w:rPr>
              <w:t>分包金额或者比例：</w:t>
            </w:r>
            <w:r>
              <w:rPr>
                <w:rFonts w:hint="eastAsia" w:ascii="宋体" w:hAnsi="宋体" w:cs="宋体"/>
                <w:color w:val="auto"/>
                <w:highlight w:val="none"/>
                <w:u w:val="single"/>
              </w:rPr>
              <w:t>。</w:t>
            </w:r>
          </w:p>
          <w:p w14:paraId="36F91221">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highlight w:val="none"/>
                <w:u w:val="single"/>
              </w:rPr>
            </w:pPr>
            <w:r>
              <w:rPr>
                <w:rFonts w:hint="eastAsia" w:ascii="宋体" w:hAnsi="宋体" w:cs="宋体"/>
                <w:color w:val="auto"/>
                <w:szCs w:val="21"/>
                <w:highlight w:val="none"/>
              </w:rPr>
              <w:t>分包供应商必须具备的资质：</w:t>
            </w:r>
            <w:r>
              <w:rPr>
                <w:rFonts w:hint="eastAsia" w:ascii="宋体" w:hAnsi="宋体" w:cs="宋体"/>
                <w:color w:val="auto"/>
                <w:szCs w:val="21"/>
                <w:highlight w:val="none"/>
                <w:u w:val="single"/>
              </w:rPr>
              <w:t>。</w:t>
            </w:r>
          </w:p>
        </w:tc>
      </w:tr>
      <w:tr w14:paraId="61829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52D490">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7.1</w:t>
            </w:r>
          </w:p>
        </w:tc>
        <w:tc>
          <w:tcPr>
            <w:tcW w:w="8539" w:type="dxa"/>
            <w:vAlign w:val="center"/>
          </w:tcPr>
          <w:p w14:paraId="6F1B88D8">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提供相同品牌产品（非单一产品采购项目的，指核心产品）的不同供应商最后报价相同时，按照下列方式确定一个供应商获得成交人推荐资格：</w:t>
            </w:r>
          </w:p>
          <w:p w14:paraId="2BBE9439">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olor w:val="auto"/>
                <w:szCs w:val="21"/>
                <w:highlight w:val="none"/>
              </w:rPr>
            </w:pPr>
            <w:r>
              <w:rPr>
                <w:rFonts w:hint="eastAsia"/>
                <w:color w:val="auto"/>
                <w:highlight w:val="none"/>
              </w:rPr>
              <w:t>□</w:t>
            </w:r>
            <w:r>
              <w:rPr>
                <w:rFonts w:hint="eastAsia" w:ascii="宋体" w:hAnsi="宋体"/>
                <w:color w:val="auto"/>
                <w:szCs w:val="21"/>
                <w:highlight w:val="none"/>
              </w:rPr>
              <w:t>随机抽取；</w:t>
            </w:r>
          </w:p>
          <w:p w14:paraId="7782D0BC">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olor w:val="auto"/>
                <w:szCs w:val="21"/>
                <w:highlight w:val="none"/>
              </w:rPr>
            </w:pPr>
            <w:r>
              <w:rPr>
                <w:rFonts w:hint="eastAsia"/>
                <w:color w:val="auto"/>
                <w:highlight w:val="none"/>
              </w:rPr>
              <w:t>□</w:t>
            </w:r>
            <w:r>
              <w:rPr>
                <w:rFonts w:hint="eastAsia" w:ascii="宋体" w:hAnsi="宋体"/>
                <w:color w:val="auto"/>
                <w:szCs w:val="21"/>
                <w:highlight w:val="none"/>
              </w:rPr>
              <w:t>由采购人自主选择确定一家供应商参加评审，其他竞标无效；</w:t>
            </w:r>
          </w:p>
          <w:p w14:paraId="7F3ED76F">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default" w:ascii="Wingdings 2" w:hAnsi="Wingdings 2"/>
                <w:color w:val="auto"/>
                <w:highlight w:val="none"/>
              </w:rPr>
              <w:sym w:font="Wingdings" w:char="00FE"/>
            </w:r>
            <w:r>
              <w:rPr>
                <w:rFonts w:hint="default"/>
                <w:color w:val="auto"/>
                <w:highlight w:val="none"/>
              </w:rPr>
              <w:t>依次按</w:t>
            </w:r>
            <w:r>
              <w:rPr>
                <w:rFonts w:hint="eastAsia"/>
                <w:color w:val="auto"/>
                <w:highlight w:val="none"/>
              </w:rPr>
              <w:t>评审</w:t>
            </w:r>
            <w:r>
              <w:rPr>
                <w:rFonts w:hint="default"/>
                <w:color w:val="auto"/>
                <w:highlight w:val="none"/>
              </w:rPr>
              <w:t>报价低的优先、节能、环保产品累计金额高的优先、正偏离项数多的优先、</w:t>
            </w:r>
            <w:r>
              <w:rPr>
                <w:rFonts w:hint="eastAsia"/>
                <w:color w:val="auto"/>
                <w:highlight w:val="none"/>
              </w:rPr>
              <w:t>免费保修期</w:t>
            </w:r>
            <w:r>
              <w:rPr>
                <w:rFonts w:hint="default"/>
                <w:color w:val="auto"/>
                <w:highlight w:val="none"/>
              </w:rPr>
              <w:t>长优先、</w:t>
            </w:r>
            <w:r>
              <w:rPr>
                <w:rFonts w:hint="eastAsia" w:ascii="宋体" w:hAnsi="宋体"/>
                <w:color w:val="auto"/>
                <w:szCs w:val="21"/>
                <w:highlight w:val="none"/>
              </w:rPr>
              <w:t>交付时间</w:t>
            </w:r>
            <w:r>
              <w:rPr>
                <w:rFonts w:hint="default"/>
                <w:color w:val="auto"/>
                <w:highlight w:val="none"/>
              </w:rPr>
              <w:t>短优先、故障响应时间短优先的顺序推荐。</w:t>
            </w:r>
          </w:p>
        </w:tc>
      </w:tr>
      <w:tr w14:paraId="6FB7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8C1649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12.1.1</w:t>
            </w:r>
          </w:p>
        </w:tc>
        <w:tc>
          <w:tcPr>
            <w:tcW w:w="8539" w:type="dxa"/>
            <w:vAlign w:val="center"/>
          </w:tcPr>
          <w:p w14:paraId="31E19914">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资格证明文件</w:t>
            </w:r>
          </w:p>
          <w:p w14:paraId="017045C4">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1656AC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contextualSpacing/>
              <w:jc w:val="left"/>
              <w:outlineLvl w:val="9"/>
              <w:rPr>
                <w:rFonts w:hint="eastAsia" w:ascii="宋体" w:hAnsi="宋体" w:cs="宋体"/>
                <w:b/>
                <w:bCs/>
                <w:color w:val="auto"/>
                <w:szCs w:val="21"/>
                <w:highlight w:val="none"/>
              </w:rPr>
            </w:pPr>
            <w:r>
              <w:rPr>
                <w:rFonts w:hint="eastAsia" w:ascii="宋体" w:hAnsi="宋体" w:cs="宋体"/>
                <w:color w:val="auto"/>
                <w:szCs w:val="21"/>
                <w:highlight w:val="none"/>
              </w:rPr>
              <w:t>2.政府采购供应商资格信用承诺函（格式后附）；</w:t>
            </w:r>
            <w:r>
              <w:rPr>
                <w:rFonts w:hint="eastAsia" w:ascii="宋体" w:hAnsi="宋体" w:cs="宋体"/>
                <w:b/>
                <w:bCs/>
                <w:color w:val="auto"/>
                <w:szCs w:val="21"/>
                <w:highlight w:val="none"/>
              </w:rPr>
              <w:t>（必须提供，否则响应文件按无效响应处理）</w:t>
            </w:r>
          </w:p>
          <w:p w14:paraId="289394E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contextualSpacing/>
              <w:jc w:val="left"/>
              <w:outlineLvl w:val="9"/>
              <w:rPr>
                <w:rFonts w:hint="default" w:ascii="宋体" w:hAnsi="宋体" w:cs="宋体"/>
                <w:color w:val="auto"/>
                <w:szCs w:val="21"/>
                <w:highlight w:val="none"/>
              </w:rPr>
            </w:pPr>
            <w:r>
              <w:rPr>
                <w:rFonts w:hint="eastAsia" w:ascii="宋体" w:hAnsi="宋体" w:cs="宋体"/>
                <w:color w:val="auto"/>
                <w:szCs w:val="21"/>
                <w:highlight w:val="none"/>
              </w:rPr>
              <w:t>3.供应商直接控股、管理关系信息表（格式后附）；（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85EA417">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9E40E15">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eastAsia" w:ascii="宋体" w:hAnsi="宋体" w:cs="宋体"/>
                <w:b/>
                <w:bCs/>
                <w:color w:val="auto"/>
                <w:szCs w:val="21"/>
                <w:highlight w:val="none"/>
              </w:rPr>
            </w:pPr>
            <w:r>
              <w:rPr>
                <w:rFonts w:hint="eastAsia" w:ascii="宋体" w:hAnsi="宋体" w:cs="宋体"/>
                <w:color w:val="auto"/>
                <w:szCs w:val="21"/>
                <w:highlight w:val="none"/>
              </w:rPr>
              <w:t>5.供应商须具备国家主管部门颁发的二类或三类有效的医疗器械生产许可证或经营许可证（供应商为生产厂家的：提供本项目相应医疗器械的《医疗器械生产许可证》；供应商非生产厂家的：提供本项目相应医疗器械的《医疗器械经营许可证》），须在竞标文件中提供扫描件。</w:t>
            </w:r>
            <w:r>
              <w:rPr>
                <w:rFonts w:hint="eastAsia" w:ascii="宋体" w:hAnsi="宋体" w:cs="宋体"/>
                <w:b/>
                <w:bCs/>
                <w:color w:val="auto"/>
                <w:szCs w:val="21"/>
                <w:highlight w:val="none"/>
              </w:rPr>
              <w:t>（必须提供，否则响应文件按无效响应处理）</w:t>
            </w:r>
          </w:p>
          <w:p w14:paraId="7AE183D6">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p>
          <w:p w14:paraId="3CD82B55">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i/>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.除谈判文件规定必须提供以外，供应商认为需要提供的其他证明材料。</w:t>
            </w:r>
          </w:p>
          <w:p w14:paraId="64029F63">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注：</w:t>
            </w:r>
          </w:p>
          <w:p w14:paraId="7C643324">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1.以上标明“必须提供”的材料属于复印件的，必须加盖供应商公章或者</w:t>
            </w:r>
            <w:r>
              <w:rPr>
                <w:rFonts w:hint="eastAsia" w:ascii="宋体" w:hAnsi="宋体" w:cs="宋体"/>
                <w:b/>
                <w:color w:val="auto"/>
                <w:highlight w:val="none"/>
              </w:rPr>
              <w:t>电子签章</w:t>
            </w:r>
            <w:r>
              <w:rPr>
                <w:rFonts w:hint="eastAsia" w:ascii="宋体" w:hAnsi="宋体" w:cs="宋体"/>
                <w:b/>
                <w:color w:val="auto"/>
                <w:szCs w:val="21"/>
                <w:highlight w:val="none"/>
              </w:rPr>
              <w:t>，否则响应文件按无效处理。</w:t>
            </w:r>
          </w:p>
          <w:p w14:paraId="6BE42960">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2.供应商直接控股、管理关系信息表必须由法定代表人或者委托代理人在规定签字处签字或者电子签名并加盖供应商公章或者电子签章，否则响应文件按无效响应处理。</w:t>
            </w:r>
          </w:p>
          <w:p w14:paraId="6B5615C0">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b/>
                <w:bCs/>
                <w:color w:val="auto"/>
                <w:szCs w:val="21"/>
                <w:highlight w:val="none"/>
              </w:rPr>
            </w:pPr>
            <w:r>
              <w:rPr>
                <w:rFonts w:hint="eastAsia" w:ascii="宋体" w:hAnsi="宋体" w:cs="宋体"/>
                <w:b/>
                <w:color w:val="auto"/>
                <w:szCs w:val="21"/>
                <w:highlight w:val="none"/>
              </w:rPr>
              <w:t>3.</w:t>
            </w:r>
            <w:r>
              <w:rPr>
                <w:rFonts w:hint="eastAsia" w:ascii="宋体" w:hAnsi="宋体"/>
                <w:b/>
                <w:bCs/>
                <w:color w:val="auto"/>
                <w:szCs w:val="21"/>
                <w:highlight w:val="none"/>
              </w:rPr>
              <w:t>竞标声明必须由法定代表人在规定签字处签字或者盖章或电子签名</w:t>
            </w:r>
            <w:r>
              <w:rPr>
                <w:rFonts w:hint="eastAsia" w:ascii="宋体" w:hAnsi="宋体" w:cs="宋体"/>
                <w:b/>
                <w:color w:val="auto"/>
                <w:szCs w:val="21"/>
                <w:highlight w:val="none"/>
              </w:rPr>
              <w:t>并加盖供应商公章或者电子签章，否则响应文件按无效响应处理。</w:t>
            </w:r>
          </w:p>
          <w:p w14:paraId="77F0D6EF">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b/>
                <w:bCs/>
                <w:color w:val="auto"/>
                <w:szCs w:val="21"/>
                <w:highlight w:val="none"/>
              </w:rPr>
              <w:t>4.</w:t>
            </w:r>
            <w:r>
              <w:rPr>
                <w:rFonts w:hint="eastAsia" w:ascii="宋体" w:hAnsi="宋体" w:cs="宋体"/>
                <w:b/>
                <w:bCs/>
                <w:color w:val="auto"/>
                <w:szCs w:val="21"/>
                <w:highlight w:val="none"/>
              </w:rPr>
              <w:t>分公司参加竞标的，应当取得总公司授权，</w:t>
            </w:r>
            <w:r>
              <w:rPr>
                <w:rFonts w:hint="eastAsia" w:ascii="宋体" w:hAnsi="宋体" w:cs="宋体"/>
                <w:b/>
                <w:color w:val="auto"/>
                <w:szCs w:val="21"/>
                <w:highlight w:val="none"/>
              </w:rPr>
              <w:t>否则响应文件按无效处理</w:t>
            </w:r>
            <w:r>
              <w:rPr>
                <w:rFonts w:hint="eastAsia" w:ascii="宋体" w:hAnsi="宋体" w:cs="宋体"/>
                <w:b/>
                <w:bCs/>
                <w:color w:val="auto"/>
                <w:szCs w:val="21"/>
                <w:highlight w:val="none"/>
              </w:rPr>
              <w:t>。</w:t>
            </w:r>
          </w:p>
        </w:tc>
      </w:tr>
      <w:tr w14:paraId="164E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7C9598">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12.1.2</w:t>
            </w:r>
          </w:p>
        </w:tc>
        <w:tc>
          <w:tcPr>
            <w:tcW w:w="8539" w:type="dxa"/>
            <w:vAlign w:val="center"/>
          </w:tcPr>
          <w:p w14:paraId="674DF32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b/>
                <w:bCs/>
                <w:color w:val="auto"/>
                <w:szCs w:val="21"/>
                <w:highlight w:val="none"/>
              </w:rPr>
            </w:pPr>
            <w:r>
              <w:rPr>
                <w:rFonts w:hint="eastAsia" w:ascii="宋体" w:hAnsi="宋体" w:cs="宋体"/>
                <w:b/>
                <w:bCs/>
                <w:color w:val="auto"/>
                <w:szCs w:val="21"/>
                <w:highlight w:val="none"/>
              </w:rPr>
              <w:t>报价文件</w:t>
            </w:r>
          </w:p>
          <w:p w14:paraId="4D4D343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03708D0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2.供应商认为需要提供的其他有关资料。</w:t>
            </w:r>
          </w:p>
          <w:p w14:paraId="40C6A65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注：</w:t>
            </w:r>
          </w:p>
          <w:p w14:paraId="187DC2F4">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1.以上标明“必须提供”的材料属于复印件的，必须加盖供应商公章或</w:t>
            </w:r>
            <w:r>
              <w:rPr>
                <w:rFonts w:hint="eastAsia" w:ascii="宋体" w:hAnsi="宋体" w:cs="宋体"/>
                <w:b/>
                <w:color w:val="auto"/>
                <w:highlight w:val="none"/>
              </w:rPr>
              <w:t>电子签章</w:t>
            </w:r>
            <w:r>
              <w:rPr>
                <w:rFonts w:hint="eastAsia" w:ascii="宋体" w:hAnsi="宋体" w:cs="宋体"/>
                <w:b/>
                <w:color w:val="auto"/>
                <w:szCs w:val="21"/>
                <w:highlight w:val="none"/>
              </w:rPr>
              <w:t>，否则响应文件按无效处理。</w:t>
            </w:r>
          </w:p>
          <w:p w14:paraId="5B39C1A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b/>
                <w:color w:val="auto"/>
                <w:szCs w:val="21"/>
                <w:highlight w:val="none"/>
              </w:rPr>
              <w:t>2.以上标明“必须提供”</w:t>
            </w:r>
            <w:r>
              <w:rPr>
                <w:rFonts w:hint="eastAsia" w:ascii="宋体" w:hAnsi="宋体" w:cs="Courier New"/>
                <w:b/>
                <w:color w:val="auto"/>
                <w:szCs w:val="21"/>
                <w:highlight w:val="none"/>
              </w:rPr>
              <w:t>的材料在“第五章 响应文件格式”中有要求法定代表人或委托代理人签字的，必须在规定签字处签字</w:t>
            </w:r>
            <w:r>
              <w:rPr>
                <w:rFonts w:hint="eastAsia" w:ascii="宋体" w:hAnsi="宋体"/>
                <w:b/>
                <w:bCs/>
                <w:color w:val="auto"/>
                <w:szCs w:val="21"/>
                <w:highlight w:val="none"/>
              </w:rPr>
              <w:t>或者电子签名，有要求供应商盖章的，必须规定盖章处加盖公章或者电子签章，</w:t>
            </w:r>
            <w:r>
              <w:rPr>
                <w:rFonts w:hint="eastAsia" w:ascii="宋体" w:hAnsi="宋体" w:cs="宋体"/>
                <w:b/>
                <w:color w:val="auto"/>
                <w:szCs w:val="21"/>
                <w:highlight w:val="none"/>
              </w:rPr>
              <w:t>否则响应文件按无效处理</w:t>
            </w:r>
            <w:r>
              <w:rPr>
                <w:rFonts w:hint="eastAsia" w:ascii="宋体" w:hAnsi="宋体"/>
                <w:b/>
                <w:bCs/>
                <w:color w:val="auto"/>
                <w:szCs w:val="21"/>
                <w:highlight w:val="none"/>
              </w:rPr>
              <w:t>。</w:t>
            </w:r>
          </w:p>
        </w:tc>
      </w:tr>
      <w:tr w14:paraId="317F9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6809A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12.1.3</w:t>
            </w:r>
          </w:p>
        </w:tc>
        <w:tc>
          <w:tcPr>
            <w:tcW w:w="8539" w:type="dxa"/>
            <w:vAlign w:val="center"/>
          </w:tcPr>
          <w:p w14:paraId="1B33E11A">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b/>
                <w:bCs/>
                <w:color w:val="auto"/>
                <w:szCs w:val="21"/>
                <w:highlight w:val="none"/>
              </w:rPr>
            </w:pPr>
            <w:r>
              <w:rPr>
                <w:rFonts w:hint="eastAsia" w:ascii="宋体" w:hAnsi="宋体" w:cs="宋体"/>
                <w:b/>
                <w:bCs/>
                <w:color w:val="auto"/>
                <w:szCs w:val="21"/>
                <w:highlight w:val="none"/>
              </w:rPr>
              <w:t>商务技术文件</w:t>
            </w:r>
          </w:p>
          <w:p w14:paraId="645DC08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3AFE66FA">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除自然人竞标外必须提供，否则响应文件按无效处理</w:t>
            </w:r>
            <w:r>
              <w:rPr>
                <w:rFonts w:hint="eastAsia" w:ascii="宋体" w:hAnsi="宋体" w:cs="宋体"/>
                <w:color w:val="auto"/>
                <w:szCs w:val="21"/>
                <w:highlight w:val="none"/>
              </w:rPr>
              <w:t>）</w:t>
            </w:r>
          </w:p>
          <w:p w14:paraId="4CB98430">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14:paraId="59ECB39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01462AC8">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4AA3BD68">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8108B9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7.技术要求偏离表（格式后附）；（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58F4B3F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8.对应采购需求的技术要求、商务要求提供的其他文件资料（格式自拟）。</w:t>
            </w:r>
          </w:p>
          <w:p w14:paraId="45CDB691">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注：</w:t>
            </w:r>
          </w:p>
          <w:p w14:paraId="0143391C">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1.以上标明“必须提供”材料复印件的，必须加盖供应商公章或者电子签章，否则响应文件按无效处理。</w:t>
            </w:r>
          </w:p>
          <w:p w14:paraId="38F87998">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2.授权委托书必须由法定代表人签字或者盖章或者电子签名及委托代理人签字或者电子签章，并加盖供应商公章或者电子签章，否则响应文件按无效响应处理。</w:t>
            </w:r>
          </w:p>
          <w:p w14:paraId="143F0C7D">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b/>
                <w:color w:val="auto"/>
                <w:szCs w:val="21"/>
                <w:highlight w:val="none"/>
              </w:rPr>
            </w:pPr>
            <w:r>
              <w:rPr>
                <w:rFonts w:hint="eastAsia" w:ascii="宋体" w:hAnsi="宋体" w:cs="宋体"/>
                <w:b/>
                <w:color w:val="auto"/>
                <w:szCs w:val="21"/>
                <w:highlight w:val="none"/>
              </w:rPr>
              <w:t>3.以上标明“必须提供”</w:t>
            </w:r>
            <w:r>
              <w:rPr>
                <w:rFonts w:hint="eastAsia" w:ascii="宋体" w:hAnsi="宋体" w:cs="Courier New"/>
                <w:b/>
                <w:color w:val="auto"/>
                <w:szCs w:val="21"/>
                <w:highlight w:val="none"/>
              </w:rPr>
              <w:t>的材料在“第五章 响应文件格式”中有要求法定代表人或委托代理人签字的，必须在规定签字处签字</w:t>
            </w:r>
            <w:r>
              <w:rPr>
                <w:rFonts w:hint="eastAsia" w:ascii="宋体" w:hAnsi="宋体"/>
                <w:b/>
                <w:bCs/>
                <w:color w:val="auto"/>
                <w:szCs w:val="21"/>
                <w:highlight w:val="none"/>
              </w:rPr>
              <w:t>或者电子签名，有要求供应商盖章的，必须规定盖章处加盖公章或者电子签章，</w:t>
            </w:r>
            <w:r>
              <w:rPr>
                <w:rFonts w:hint="eastAsia" w:ascii="宋体" w:hAnsi="宋体" w:cs="宋体"/>
                <w:b/>
                <w:color w:val="auto"/>
                <w:szCs w:val="21"/>
                <w:highlight w:val="none"/>
              </w:rPr>
              <w:t>否则响应文件按无效处理</w:t>
            </w:r>
            <w:r>
              <w:rPr>
                <w:rFonts w:hint="eastAsia" w:ascii="宋体" w:hAnsi="宋体"/>
                <w:b/>
                <w:bCs/>
                <w:color w:val="auto"/>
                <w:szCs w:val="21"/>
                <w:highlight w:val="none"/>
              </w:rPr>
              <w:t>。</w:t>
            </w:r>
          </w:p>
        </w:tc>
      </w:tr>
      <w:tr w14:paraId="42CD5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7504E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15.2</w:t>
            </w:r>
          </w:p>
        </w:tc>
        <w:tc>
          <w:tcPr>
            <w:tcW w:w="8539" w:type="dxa"/>
            <w:vAlign w:val="center"/>
          </w:tcPr>
          <w:p w14:paraId="1508CD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eastAsia="宋体" w:cs="宋体"/>
                <w:color w:val="auto"/>
                <w:szCs w:val="21"/>
                <w:highlight w:val="none"/>
                <w:lang w:val="en-US" w:eastAsia="zh-CN"/>
              </w:rPr>
              <w:t>竞标</w:t>
            </w:r>
            <w:r>
              <w:rPr>
                <w:rFonts w:hint="eastAsia" w:ascii="宋体" w:hAnsi="宋体" w:eastAsia="宋体" w:cs="宋体"/>
                <w:color w:val="auto"/>
                <w:szCs w:val="21"/>
                <w:highlight w:val="none"/>
              </w:rPr>
              <w:t>报价必须包括</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的所有费用，包括</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随货附件、备品备件、辅助材料、工具、</w:t>
            </w:r>
            <w:r>
              <w:rPr>
                <w:rFonts w:hint="eastAsia" w:ascii="宋体" w:hAnsi="宋体" w:eastAsia="宋体" w:cs="宋体"/>
                <w:color w:val="auto"/>
                <w:szCs w:val="21"/>
                <w:highlight w:val="none"/>
              </w:rPr>
              <w:t>运输、</w:t>
            </w:r>
            <w:r>
              <w:rPr>
                <w:rFonts w:hint="eastAsia" w:ascii="宋体" w:hAnsi="宋体" w:eastAsia="宋体" w:cs="宋体"/>
                <w:color w:val="auto"/>
                <w:szCs w:val="21"/>
                <w:highlight w:val="none"/>
                <w:lang w:eastAsia="zh-CN"/>
              </w:rPr>
              <w:t>培训、</w:t>
            </w:r>
            <w:r>
              <w:rPr>
                <w:rFonts w:hint="eastAsia" w:ascii="宋体" w:hAnsi="宋体" w:eastAsia="宋体" w:cs="宋体"/>
                <w:color w:val="auto"/>
                <w:szCs w:val="21"/>
                <w:highlight w:val="none"/>
              </w:rPr>
              <w:t>劳务、管理、利润、税金、保险、售后</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产品质保期内维护等以及所有的不定因素的风险等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合同履行过程中，采购人不再支付其他任何费用。</w:t>
            </w:r>
          </w:p>
        </w:tc>
      </w:tr>
      <w:tr w14:paraId="0FA8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21DE223">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16.2</w:t>
            </w:r>
          </w:p>
        </w:tc>
        <w:tc>
          <w:tcPr>
            <w:tcW w:w="8539" w:type="dxa"/>
            <w:vAlign w:val="center"/>
          </w:tcPr>
          <w:p w14:paraId="4D4307D5">
            <w:pPr>
              <w:pStyle w:val="5"/>
              <w:keepNext w:val="0"/>
              <w:keepLines w:val="0"/>
              <w:pageBreakBefore w:val="0"/>
              <w:widowControl w:val="0"/>
              <w:numPr>
                <w:ilvl w:val="0"/>
                <w:numId w:val="0"/>
              </w:numPr>
              <w:suppressLineNumbers w:val="0"/>
              <w:tabs>
                <w:tab w:val="left" w:pos="720"/>
                <w:tab w:val="left" w:pos="840"/>
                <w:tab w:val="clear" w:pos="360"/>
              </w:tabs>
              <w:kinsoku/>
              <w:wordWrap w:val="0"/>
              <w:overflowPunct/>
              <w:topLinePunct w:val="0"/>
              <w:bidi w:val="0"/>
              <w:snapToGrid w:val="0"/>
              <w:spacing w:before="0" w:beforeAutospacing="0" w:after="0" w:afterLines="0" w:afterAutospacing="0" w:line="400" w:lineRule="exact"/>
              <w:ind w:leftChars="200" w:right="0" w:rightChars="0"/>
              <w:outlineLvl w:val="9"/>
              <w:rPr>
                <w:rFonts w:hint="default"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lang w:val="en-US" w:eastAsia="zh-CN"/>
              </w:rPr>
              <w:t>60</w:t>
            </w:r>
            <w:r>
              <w:rPr>
                <w:rFonts w:hint="eastAsia" w:ascii="宋体" w:hAnsi="宋体" w:cs="宋体"/>
                <w:color w:val="auto"/>
                <w:kern w:val="2"/>
                <w:sz w:val="21"/>
                <w:szCs w:val="21"/>
                <w:highlight w:val="none"/>
              </w:rPr>
              <w:t>日。</w:t>
            </w:r>
          </w:p>
        </w:tc>
      </w:tr>
      <w:tr w14:paraId="7141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E76B50">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17.1</w:t>
            </w:r>
          </w:p>
        </w:tc>
        <w:tc>
          <w:tcPr>
            <w:tcW w:w="8539" w:type="dxa"/>
            <w:vAlign w:val="center"/>
          </w:tcPr>
          <w:p w14:paraId="5CAE4609">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本项目不收取竞标保证金。</w:t>
            </w:r>
          </w:p>
          <w:p w14:paraId="18901D4E">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rPr>
              <w:t>本项目收取竞标保证金，具体规定如下：</w:t>
            </w:r>
          </w:p>
          <w:p w14:paraId="449BC43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竞标保证金</w:t>
            </w:r>
            <w:r>
              <w:rPr>
                <w:rFonts w:hint="eastAsia" w:ascii="宋体" w:hAnsi="宋体" w:cs="宋体"/>
                <w:color w:val="auto"/>
                <w:szCs w:val="21"/>
                <w:highlight w:val="none"/>
                <w:lang w:eastAsia="zh-CN"/>
              </w:rPr>
              <w:t>金额：</w:t>
            </w:r>
            <w:r>
              <w:rPr>
                <w:rFonts w:hint="eastAsia" w:ascii="宋体" w:hAnsi="宋体" w:cs="宋体"/>
                <w:color w:val="auto"/>
                <w:szCs w:val="21"/>
                <w:highlight w:val="none"/>
              </w:rPr>
              <w:t>详见竞争性谈判公告。</w:t>
            </w:r>
          </w:p>
          <w:p w14:paraId="366F044C">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w:t>
            </w:r>
            <w:r>
              <w:rPr>
                <w:rFonts w:hint="eastAsia" w:ascii="宋体" w:hAnsi="宋体" w:cs="宋体"/>
                <w:color w:val="auto"/>
                <w:kern w:val="0"/>
                <w:szCs w:val="21"/>
                <w:highlight w:val="none"/>
                <w:lang w:eastAsia="zh-CN"/>
              </w:rPr>
              <w:t>金融</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担保</w:t>
            </w:r>
            <w:r>
              <w:rPr>
                <w:rFonts w:hint="eastAsia" w:ascii="宋体" w:hAnsi="宋体" w:cs="宋体"/>
                <w:color w:val="auto"/>
                <w:kern w:val="0"/>
                <w:szCs w:val="21"/>
                <w:highlight w:val="none"/>
              </w:rPr>
              <w:t>机构出具的保函，禁止采用现钞方式。采用银行转账方式的，在响应文件提交截止时间前交至指定账户并且到账</w:t>
            </w:r>
            <w:r>
              <w:rPr>
                <w:rFonts w:hint="eastAsia" w:ascii="宋体" w:hAnsi="宋体" w:cs="宋体"/>
                <w:color w:val="auto"/>
                <w:szCs w:val="21"/>
                <w:highlight w:val="none"/>
              </w:rPr>
              <w:t>【</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广西国盛招标有限公司</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63010154700016896</w:t>
            </w: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上海浦东发展银行南宁分行营业部</w:t>
            </w:r>
            <w:r>
              <w:rPr>
                <w:rFonts w:hint="eastAsia" w:ascii="宋体" w:hAnsi="宋体" w:cs="宋体"/>
                <w:color w:val="auto"/>
                <w:szCs w:val="21"/>
                <w:highlight w:val="non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；采用支票、汇票、本票或者保函等方式的，在响应文件提交截止时间前，供应商必须提交单独密封的支票、汇票、本票或者保函原件。否则视为无效竞标保证金。</w:t>
            </w:r>
          </w:p>
          <w:p w14:paraId="4DE9FEC5">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相关要求：</w:t>
            </w:r>
          </w:p>
          <w:p w14:paraId="6FAC0DEE">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17BD64FE">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2.竞标保证金采用支票、汇票、本票或者</w:t>
            </w:r>
            <w:r>
              <w:rPr>
                <w:rFonts w:hint="eastAsia" w:ascii="宋体" w:hAnsi="宋体" w:cs="宋体"/>
                <w:color w:val="auto"/>
                <w:szCs w:val="21"/>
                <w:highlight w:val="none"/>
                <w:lang w:eastAsia="zh-CN"/>
              </w:rPr>
              <w:t>金融</w:t>
            </w:r>
            <w:r>
              <w:rPr>
                <w:rFonts w:hint="eastAsia" w:ascii="宋体" w:hAnsi="宋体" w:cs="宋体"/>
                <w:color w:val="auto"/>
                <w:szCs w:val="21"/>
                <w:highlight w:val="none"/>
              </w:rPr>
              <w:t>、</w:t>
            </w:r>
            <w:r>
              <w:rPr>
                <w:rFonts w:hint="eastAsia" w:ascii="宋体" w:hAnsi="宋体" w:cs="宋体"/>
                <w:color w:val="auto"/>
                <w:szCs w:val="21"/>
                <w:highlight w:val="none"/>
                <w:lang w:eastAsia="zh-CN"/>
              </w:rPr>
              <w:t>担保</w:t>
            </w:r>
            <w:r>
              <w:rPr>
                <w:rFonts w:hint="eastAsia" w:ascii="宋体" w:hAnsi="宋体" w:cs="宋体"/>
                <w:color w:val="auto"/>
                <w:szCs w:val="21"/>
                <w:highlight w:val="none"/>
              </w:rPr>
              <w:t>机构出具的保函交纳方式的，供应商应将支票、汇票、本票或者</w:t>
            </w:r>
            <w:r>
              <w:rPr>
                <w:rFonts w:hint="eastAsia" w:ascii="宋体" w:hAnsi="宋体" w:cs="宋体"/>
                <w:color w:val="auto"/>
                <w:szCs w:val="21"/>
                <w:highlight w:val="none"/>
                <w:lang w:eastAsia="zh-CN"/>
              </w:rPr>
              <w:t>金融</w:t>
            </w:r>
            <w:r>
              <w:rPr>
                <w:rFonts w:hint="eastAsia" w:ascii="宋体" w:hAnsi="宋体" w:cs="宋体"/>
                <w:color w:val="auto"/>
                <w:szCs w:val="21"/>
                <w:highlight w:val="none"/>
              </w:rPr>
              <w:t>、</w:t>
            </w:r>
            <w:r>
              <w:rPr>
                <w:rFonts w:hint="eastAsia" w:ascii="宋体" w:hAnsi="宋体" w:cs="宋体"/>
                <w:color w:val="auto"/>
                <w:szCs w:val="21"/>
                <w:highlight w:val="none"/>
                <w:lang w:eastAsia="zh-CN"/>
              </w:rPr>
              <w:t>担保</w:t>
            </w:r>
            <w:r>
              <w:rPr>
                <w:rFonts w:hint="eastAsia" w:ascii="宋体" w:hAnsi="宋体" w:cs="宋体"/>
                <w:color w:val="auto"/>
                <w:szCs w:val="21"/>
                <w:highlight w:val="none"/>
              </w:rPr>
              <w:t>机构出具的保函的复印件作为竞标保证金提交凭证，放置于商务技术文件中，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。供应商必须</w:t>
            </w:r>
            <w:r>
              <w:rPr>
                <w:rFonts w:hint="eastAsia" w:ascii="宋体" w:hAnsi="宋体" w:cs="宋体"/>
                <w:color w:val="auto"/>
                <w:highlight w:val="none"/>
              </w:rPr>
              <w:t>在响应文件提交截止时间前采用现场或邮寄方式</w:t>
            </w:r>
            <w:r>
              <w:rPr>
                <w:rFonts w:hint="eastAsia" w:ascii="宋体" w:hAnsi="宋体" w:cs="宋体"/>
                <w:color w:val="auto"/>
                <w:szCs w:val="21"/>
                <w:highlight w:val="none"/>
              </w:rPr>
              <w:t>【</w:t>
            </w:r>
            <w:r>
              <w:rPr>
                <w:rFonts w:hint="eastAsia" w:ascii="宋体" w:hAnsi="宋体" w:cs="宋体"/>
                <w:color w:val="auto"/>
                <w:highlight w:val="none"/>
              </w:rPr>
              <w:t>现场提交地址：</w:t>
            </w:r>
            <w:r>
              <w:rPr>
                <w:rFonts w:hint="eastAsia" w:ascii="宋体" w:hAnsi="宋体" w:cs="宋体"/>
                <w:color w:val="auto"/>
                <w:highlight w:val="none"/>
                <w:u w:val="single"/>
              </w:rPr>
              <w:t>柳州市城中区学院路50号鑫中联大厦1栋1单元510室</w:t>
            </w:r>
            <w:r>
              <w:rPr>
                <w:rFonts w:hint="eastAsia" w:ascii="宋体" w:hAnsi="宋体" w:cs="宋体"/>
                <w:color w:val="auto"/>
                <w:highlight w:val="none"/>
              </w:rPr>
              <w:t>；邮寄地址：</w:t>
            </w:r>
            <w:r>
              <w:rPr>
                <w:rFonts w:hint="eastAsia" w:ascii="宋体" w:hAnsi="宋体" w:cs="宋体"/>
                <w:color w:val="auto"/>
                <w:highlight w:val="none"/>
                <w:u w:val="single"/>
              </w:rPr>
              <w:t>柳州市城中区学院路50号鑫中联大厦1栋1单元510室</w:t>
            </w:r>
            <w:r>
              <w:rPr>
                <w:rFonts w:hint="eastAsia" w:ascii="宋体" w:hAnsi="宋体" w:cs="宋体"/>
                <w:color w:val="auto"/>
                <w:highlight w:val="none"/>
              </w:rPr>
              <w:t>，收件人：</w:t>
            </w:r>
            <w:r>
              <w:rPr>
                <w:rFonts w:hint="eastAsia" w:ascii="宋体" w:hAnsi="宋体" w:cs="宋体"/>
                <w:color w:val="auto"/>
                <w:highlight w:val="none"/>
                <w:u w:val="single"/>
              </w:rPr>
              <w:t>张工</w:t>
            </w:r>
            <w:r>
              <w:rPr>
                <w:rFonts w:hint="eastAsia" w:ascii="宋体" w:hAnsi="宋体" w:cs="宋体"/>
                <w:color w:val="auto"/>
                <w:highlight w:val="none"/>
              </w:rPr>
              <w:t>，联系方式：</w:t>
            </w:r>
            <w:r>
              <w:rPr>
                <w:rFonts w:hint="eastAsia" w:ascii="宋体" w:hAnsi="宋体" w:cs="宋体"/>
                <w:color w:val="auto"/>
                <w:highlight w:val="none"/>
                <w:u w:val="single"/>
              </w:rPr>
              <w:t>0772-3720799</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w:t>
            </w:r>
            <w:r>
              <w:rPr>
                <w:rFonts w:hint="eastAsia" w:ascii="宋体" w:hAnsi="宋体" w:cs="宋体"/>
                <w:color w:val="auto"/>
                <w:szCs w:val="21"/>
                <w:highlight w:val="none"/>
                <w:lang w:eastAsia="zh-CN"/>
              </w:rPr>
              <w:t>金融、担保</w:t>
            </w:r>
            <w:r>
              <w:rPr>
                <w:rFonts w:hint="eastAsia" w:ascii="宋体" w:hAnsi="宋体" w:cs="宋体"/>
                <w:color w:val="auto"/>
                <w:szCs w:val="21"/>
                <w:highlight w:val="none"/>
              </w:rPr>
              <w:t>机构出具的保函原件提交给采购人或者采购代理机构，由采购人或者采购代理机构向供应商出具回执（邮寄方式的除外），并妥善保管。</w:t>
            </w:r>
          </w:p>
          <w:p w14:paraId="5A416585">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52F634EF">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备注：</w:t>
            </w:r>
          </w:p>
          <w:p w14:paraId="7BAB77E2">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6D8DF319">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05F9911C">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50792C9E">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75DE6AE6">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b/>
                <w:color w:val="auto"/>
                <w:szCs w:val="21"/>
                <w:highlight w:val="none"/>
              </w:rPr>
            </w:pPr>
            <w:r>
              <w:rPr>
                <w:rFonts w:hint="eastAsia" w:ascii="宋体" w:hAnsi="宋体" w:cs="宋体"/>
                <w:b/>
                <w:color w:val="auto"/>
                <w:szCs w:val="21"/>
                <w:highlight w:val="none"/>
              </w:rPr>
              <w:t>5.采用</w:t>
            </w:r>
            <w:r>
              <w:rPr>
                <w:rFonts w:hint="eastAsia" w:ascii="宋体" w:hAnsi="宋体" w:cs="宋体"/>
                <w:b/>
                <w:color w:val="auto"/>
                <w:szCs w:val="21"/>
                <w:highlight w:val="none"/>
                <w:lang w:eastAsia="zh-CN"/>
              </w:rPr>
              <w:t>金融</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担保</w:t>
            </w:r>
            <w:r>
              <w:rPr>
                <w:rFonts w:hint="eastAsia" w:ascii="宋体" w:hAnsi="宋体" w:cs="宋体"/>
                <w:b/>
                <w:color w:val="auto"/>
                <w:szCs w:val="21"/>
                <w:highlight w:val="none"/>
              </w:rPr>
              <w:t>机构出具保函的，必须为无条件保函，否则视为无效竞标保证金。</w:t>
            </w:r>
          </w:p>
          <w:p w14:paraId="03D3F5EF">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b/>
                <w:color w:val="auto"/>
                <w:szCs w:val="21"/>
                <w:highlight w:val="none"/>
              </w:rPr>
              <w:t>6.政采云平台暂未支持电子保函功能，故本项目暂不接受电子保函形式的保证金。</w:t>
            </w:r>
          </w:p>
        </w:tc>
      </w:tr>
      <w:tr w14:paraId="083C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F79CE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19</w:t>
            </w:r>
          </w:p>
        </w:tc>
        <w:tc>
          <w:tcPr>
            <w:tcW w:w="8539" w:type="dxa"/>
            <w:vAlign w:val="center"/>
          </w:tcPr>
          <w:p w14:paraId="07134487">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s="宋体"/>
                <w:color w:val="auto"/>
                <w:szCs w:val="21"/>
                <w:highlight w:val="none"/>
              </w:rPr>
            </w:pPr>
            <w:r>
              <w:rPr>
                <w:rFonts w:hint="eastAsia" w:ascii="宋体" w:hAnsi="宋体" w:cs="宋体"/>
                <w:color w:val="auto"/>
                <w:szCs w:val="21"/>
                <w:highlight w:val="none"/>
              </w:rPr>
              <w:t>本项目不接受</w:t>
            </w:r>
            <w:r>
              <w:rPr>
                <w:rFonts w:hint="eastAsia" w:ascii="宋体" w:hAnsi="宋体" w:cs="宋体"/>
                <w:color w:val="auto"/>
                <w:highlight w:val="none"/>
              </w:rPr>
              <w:t>电子</w:t>
            </w:r>
            <w:r>
              <w:rPr>
                <w:rFonts w:hint="eastAsia" w:ascii="宋体" w:hAnsi="宋体" w:cs="宋体"/>
                <w:color w:val="auto"/>
                <w:szCs w:val="21"/>
                <w:highlight w:val="none"/>
              </w:rPr>
              <w:t>备份响应文件。</w:t>
            </w:r>
          </w:p>
        </w:tc>
      </w:tr>
      <w:tr w14:paraId="4DA73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B32DB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20.1</w:t>
            </w:r>
          </w:p>
        </w:tc>
        <w:tc>
          <w:tcPr>
            <w:tcW w:w="8539" w:type="dxa"/>
            <w:vAlign w:val="center"/>
          </w:tcPr>
          <w:p w14:paraId="262629F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contextualSpacing/>
              <w:jc w:val="left"/>
              <w:outlineLvl w:val="9"/>
              <w:rPr>
                <w:rFonts w:hint="default"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3DEFBD3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contextualSpacing/>
              <w:jc w:val="left"/>
              <w:outlineLvl w:val="9"/>
              <w:rPr>
                <w:rFonts w:hint="default"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5CBE2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97211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24.1</w:t>
            </w:r>
          </w:p>
        </w:tc>
        <w:tc>
          <w:tcPr>
            <w:tcW w:w="8539" w:type="dxa"/>
            <w:vAlign w:val="center"/>
          </w:tcPr>
          <w:p w14:paraId="1934A3BD">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0AB1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43AB07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25</w:t>
            </w:r>
          </w:p>
        </w:tc>
        <w:tc>
          <w:tcPr>
            <w:tcW w:w="8539" w:type="dxa"/>
            <w:vAlign w:val="center"/>
          </w:tcPr>
          <w:p w14:paraId="07CA9D42">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color w:val="auto"/>
                <w:szCs w:val="21"/>
                <w:highlight w:val="none"/>
              </w:rPr>
            </w:pPr>
            <w:r>
              <w:rPr>
                <w:rFonts w:hint="eastAsia" w:ascii="宋体" w:hAnsi="宋体" w:cs="宋体"/>
                <w:color w:val="auto"/>
                <w:szCs w:val="21"/>
                <w:highlight w:val="none"/>
              </w:rPr>
              <w:t>首次响应文件开启时间详见“详见竞争性谈判公告”。</w:t>
            </w:r>
          </w:p>
          <w:p w14:paraId="47AAADE5">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jc w:val="left"/>
              <w:outlineLvl w:val="9"/>
              <w:rPr>
                <w:rFonts w:hint="default"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cs="宋体"/>
                <w:color w:val="auto"/>
                <w:highlight w:val="none"/>
                <w:u w:val="single"/>
              </w:rPr>
              <w:t>30</w:t>
            </w:r>
            <w:r>
              <w:rPr>
                <w:rFonts w:hint="eastAsia" w:ascii="宋体" w:hAnsi="宋体" w:cs="宋体"/>
                <w:color w:val="auto"/>
                <w:highlight w:val="none"/>
              </w:rPr>
              <w:t>分钟</w:t>
            </w:r>
          </w:p>
        </w:tc>
      </w:tr>
      <w:tr w14:paraId="30EB9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6AC2A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26.1</w:t>
            </w:r>
          </w:p>
        </w:tc>
        <w:tc>
          <w:tcPr>
            <w:tcW w:w="8539" w:type="dxa"/>
            <w:vAlign w:val="center"/>
          </w:tcPr>
          <w:p w14:paraId="41906A7C">
            <w:pPr>
              <w:keepNext w:val="0"/>
              <w:keepLines w:val="0"/>
              <w:pageBreakBefore w:val="0"/>
              <w:widowControl w:val="0"/>
              <w:suppressLineNumbers w:val="0"/>
              <w:kinsoku/>
              <w:wordWrap w:val="0"/>
              <w:overflowPunct/>
              <w:topLinePunct w:val="0"/>
              <w:bidi w:val="0"/>
              <w:spacing w:before="0" w:beforeAutospacing="0" w:after="0" w:afterAutospacing="0" w:line="380" w:lineRule="exact"/>
              <w:ind w:left="0" w:right="0" w:firstLine="420" w:firstLineChars="200"/>
              <w:contextualSpacing/>
              <w:outlineLvl w:val="9"/>
              <w:rPr>
                <w:rFonts w:hint="default" w:ascii="宋体" w:hAnsi="宋体" w:cs="宋体"/>
                <w:color w:val="auto"/>
                <w:szCs w:val="21"/>
                <w:highlight w:val="none"/>
              </w:rPr>
            </w:pPr>
            <w:r>
              <w:rPr>
                <w:rFonts w:hint="eastAsia" w:ascii="宋体" w:hAnsi="宋体" w:cs="宋体"/>
                <w:color w:val="auto"/>
                <w:szCs w:val="21"/>
                <w:highlight w:val="none"/>
              </w:rPr>
              <w:t>评审价相同时，</w:t>
            </w:r>
            <w:r>
              <w:rPr>
                <w:rFonts w:hint="eastAsia" w:ascii="宋体" w:hAnsi="宋体" w:eastAsia="宋体" w:cs="宋体"/>
                <w:color w:val="auto"/>
                <w:highlight w:val="none"/>
              </w:rPr>
              <w:t>按照最后报价由</w:t>
            </w:r>
            <w:r>
              <w:rPr>
                <w:rFonts w:hint="eastAsia" w:ascii="宋体" w:hAnsi="宋体" w:cs="宋体"/>
                <w:color w:val="auto"/>
                <w:highlight w:val="none"/>
                <w:lang w:eastAsia="zh-CN"/>
              </w:rPr>
              <w:t>低</w:t>
            </w:r>
            <w:r>
              <w:rPr>
                <w:rFonts w:hint="eastAsia" w:ascii="宋体" w:hAnsi="宋体" w:eastAsia="宋体" w:cs="宋体"/>
                <w:color w:val="auto"/>
                <w:highlight w:val="none"/>
              </w:rPr>
              <w:t>到</w:t>
            </w:r>
            <w:r>
              <w:rPr>
                <w:rFonts w:hint="eastAsia" w:ascii="宋体" w:hAnsi="宋体" w:cs="宋体"/>
                <w:color w:val="auto"/>
                <w:highlight w:val="none"/>
                <w:lang w:eastAsia="zh-CN"/>
              </w:rPr>
              <w:t>高</w:t>
            </w:r>
            <w:r>
              <w:rPr>
                <w:rFonts w:hint="eastAsia" w:ascii="宋体" w:hAnsi="宋体" w:eastAsia="宋体" w:cs="宋体"/>
                <w:color w:val="auto"/>
                <w:szCs w:val="21"/>
                <w:highlight w:val="none"/>
              </w:rPr>
              <w:t>的顺序依次推荐；最后报价相同时，按节能、环保产品累计金额由高到低</w:t>
            </w:r>
            <w:r>
              <w:rPr>
                <w:rFonts w:hint="eastAsia" w:ascii="宋体" w:hAnsi="宋体" w:cs="宋体"/>
                <w:color w:val="auto"/>
                <w:szCs w:val="21"/>
                <w:highlight w:val="none"/>
              </w:rPr>
              <w:t>顺序依次推荐；节能、环保产品累计金额也相同时，按以下原则确定成交候选人的顺序：</w:t>
            </w:r>
          </w:p>
          <w:p w14:paraId="676E3E3F">
            <w:pPr>
              <w:keepNext w:val="0"/>
              <w:keepLines w:val="0"/>
              <w:pageBreakBefore w:val="0"/>
              <w:widowControl w:val="0"/>
              <w:suppressLineNumbers w:val="0"/>
              <w:kinsoku/>
              <w:wordWrap w:val="0"/>
              <w:overflowPunct/>
              <w:topLinePunct w:val="0"/>
              <w:bidi w:val="0"/>
              <w:spacing w:before="0" w:beforeAutospacing="0" w:after="0" w:afterAutospacing="0" w:line="380" w:lineRule="exact"/>
              <w:ind w:left="0" w:right="0" w:firstLine="420" w:firstLineChars="200"/>
              <w:contextualSpacing/>
              <w:outlineLvl w:val="9"/>
              <w:rPr>
                <w:rFonts w:hint="default" w:ascii="宋体" w:hAnsi="宋体" w:cs="宋体"/>
                <w:color w:val="auto"/>
                <w:szCs w:val="21"/>
                <w:highlight w:val="none"/>
              </w:rPr>
            </w:pPr>
            <w:r>
              <w:rPr>
                <w:rFonts w:hint="eastAsia" w:ascii="宋体" w:hAnsi="宋体" w:cs="宋体"/>
                <w:color w:val="auto"/>
                <w:szCs w:val="21"/>
                <w:highlight w:val="none"/>
              </w:rPr>
              <w:t>☑实质性要求正偏离项数多的优</w:t>
            </w:r>
            <w:r>
              <w:rPr>
                <w:rFonts w:hint="eastAsia" w:ascii="宋体" w:hAnsi="宋体" w:eastAsia="宋体" w:cs="宋体"/>
                <w:color w:val="auto"/>
                <w:szCs w:val="21"/>
                <w:highlight w:val="none"/>
              </w:rPr>
              <w:t>先、均无正偏离或正偏离项数一致时负偏离项数少的优先、免费保</w:t>
            </w:r>
            <w:r>
              <w:rPr>
                <w:rFonts w:hint="eastAsia" w:ascii="宋体" w:hAnsi="宋体" w:cs="宋体"/>
                <w:color w:val="auto"/>
                <w:szCs w:val="21"/>
                <w:highlight w:val="none"/>
              </w:rPr>
              <w:t>修期长优先、交货时间短优先、故障响应时间短优先的顺序推荐。</w:t>
            </w:r>
          </w:p>
          <w:p w14:paraId="33F3C7EF">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□由谈判小组推荐代表随机抽取。</w:t>
            </w:r>
          </w:p>
        </w:tc>
      </w:tr>
      <w:tr w14:paraId="3B37B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17714A">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26.2</w:t>
            </w:r>
          </w:p>
        </w:tc>
        <w:tc>
          <w:tcPr>
            <w:tcW w:w="8539" w:type="dxa"/>
            <w:vAlign w:val="center"/>
          </w:tcPr>
          <w:p w14:paraId="21B2801C">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rPr>
              <w:t>0</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rPr>
              <w:t>项。</w:t>
            </w:r>
          </w:p>
          <w:p w14:paraId="2EEE3522">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eastAsia="宋体" w:cs="宋体"/>
                <w:color w:val="auto"/>
                <w:szCs w:val="21"/>
                <w:highlight w:val="none"/>
                <w:u w:val="single"/>
                <w:lang w:val="en-US" w:eastAsia="zh-CN"/>
              </w:rPr>
              <w:t xml:space="preserve"> 2 </w:t>
            </w:r>
            <w:r>
              <w:rPr>
                <w:rFonts w:hint="eastAsia" w:ascii="宋体" w:hAnsi="宋体" w:cs="宋体"/>
                <w:color w:val="auto"/>
                <w:szCs w:val="21"/>
                <w:highlight w:val="none"/>
              </w:rPr>
              <w:t>项。</w:t>
            </w:r>
          </w:p>
        </w:tc>
      </w:tr>
      <w:tr w14:paraId="7101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86C561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28.1</w:t>
            </w:r>
          </w:p>
        </w:tc>
        <w:tc>
          <w:tcPr>
            <w:tcW w:w="8539" w:type="dxa"/>
            <w:vAlign w:val="center"/>
          </w:tcPr>
          <w:p w14:paraId="6C29C7C6">
            <w:pPr>
              <w:keepNext w:val="0"/>
              <w:keepLines w:val="0"/>
              <w:pageBreakBefore w:val="0"/>
              <w:widowControl w:val="0"/>
              <w:kinsoku/>
              <w:wordWrap w:val="0"/>
              <w:overflowPunct/>
              <w:topLinePunct w:val="0"/>
              <w:autoSpaceDE/>
              <w:autoSpaceDN/>
              <w:bidi w:val="0"/>
              <w:adjustRightInd/>
              <w:snapToGrid/>
              <w:spacing w:line="39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本项目不收取履约保证金。</w:t>
            </w:r>
          </w:p>
          <w:p w14:paraId="4A2D8B72">
            <w:pPr>
              <w:keepNext w:val="0"/>
              <w:keepLines w:val="0"/>
              <w:pageBreakBefore w:val="0"/>
              <w:widowControl w:val="0"/>
              <w:kinsoku/>
              <w:wordWrap w:val="0"/>
              <w:overflowPunct/>
              <w:topLinePunct w:val="0"/>
              <w:autoSpaceDE/>
              <w:autoSpaceDN/>
              <w:bidi w:val="0"/>
              <w:adjustRightInd/>
              <w:snapToGrid/>
              <w:spacing w:line="39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本项目收取履约保证金，具体规定如下：</w:t>
            </w:r>
          </w:p>
          <w:p w14:paraId="2B020BCA">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1.本项目履约保证金为合同价款的5%，若成交供应商是中小企业，则履约保证金按合同价款的2%收取。履约保证金须在合同签订前交到采购人财务管理部门。</w:t>
            </w:r>
          </w:p>
          <w:p w14:paraId="0B539AB9">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2.履约保证金提交方式：银行转账、支票、汇票、本票或者银行、保险机构出具的保函等非现金方式。</w:t>
            </w:r>
          </w:p>
          <w:p w14:paraId="7BAC05CC">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3.履约保证金退付条件及时间：自项目验收合格之日起至质保期满无质量问题，采购人收到退付履约保证金申请后15个工作日内退还（无息）。</w:t>
            </w:r>
          </w:p>
          <w:p w14:paraId="3F00673F">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4.下列情况因履约保证金不能退还或另行处理，所产生的后果由成交供应商负责：</w:t>
            </w:r>
          </w:p>
          <w:p w14:paraId="5FC94B6F">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行合同约定权利义务期间，成交供应商不按合同履行质量保证义务的，采购人有权对采购标的进行更换、维修维保，所需费用从成交供应商提交的履约保证金中扣除，履约保证金不足以抵扣更换、维修维保费用的，不足部分由成交供应商承担。同时，采购人保留起诉成交供应商的权利。</w:t>
            </w:r>
          </w:p>
          <w:p w14:paraId="6E5F41F2">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未履行完合同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41D8FFBF">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（3）其他因成交供应商原因导致履约保证金无法按时退回的情形。</w:t>
            </w:r>
          </w:p>
          <w:p w14:paraId="2545B8F9">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履约保证金账户：</w:t>
            </w:r>
          </w:p>
          <w:p w14:paraId="5784EE16">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全    称：</w:t>
            </w:r>
            <w:r>
              <w:rPr>
                <w:rFonts w:hint="eastAsia" w:ascii="宋体" w:hAnsi="宋体" w:eastAsia="宋体" w:cs="宋体"/>
                <w:color w:val="auto"/>
                <w:szCs w:val="21"/>
                <w:highlight w:val="none"/>
                <w:lang w:val="en-US" w:eastAsia="zh-CN"/>
              </w:rPr>
              <w:t>广西科技大学第一附属医院</w:t>
            </w:r>
          </w:p>
          <w:p w14:paraId="5155781E">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lang w:val="en-US" w:eastAsia="zh-CN"/>
              </w:rPr>
              <w:t>45050162515300000722</w:t>
            </w:r>
          </w:p>
          <w:p w14:paraId="118BD6C0">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开户银行：建行柳州市柳北支行</w:t>
            </w:r>
            <w:r>
              <w:rPr>
                <w:rFonts w:hint="eastAsia" w:ascii="宋体" w:hAnsi="宋体" w:eastAsia="宋体" w:cs="宋体"/>
                <w:color w:val="auto"/>
                <w:szCs w:val="21"/>
                <w:highlight w:val="none"/>
                <w:lang w:val="en-US" w:eastAsia="zh-CN"/>
              </w:rPr>
              <w:t xml:space="preserve"> </w:t>
            </w:r>
          </w:p>
          <w:p w14:paraId="71BB8287">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转帐时注明：履约保证金+项目编号</w:t>
            </w:r>
          </w:p>
          <w:p w14:paraId="68520B0E">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B8D45B9">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供应商必须在签订合同前，按照规定提交方式，足额缴纳履约保证金；保函有效期必须达到合同履行期限（即合同中规定的当事人履行自己的义务，如交货标的物、价款或者报酬，履行劳务、完成工作的时间界限）。</w:t>
            </w:r>
          </w:p>
          <w:p w14:paraId="5430D63C">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2.采用银行、保险机构出具保函的，必须为无条件保函。</w:t>
            </w:r>
          </w:p>
          <w:p w14:paraId="3DF78380">
            <w:pPr>
              <w:pStyle w:val="7"/>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eastAsia="宋体" w:cs="宋体"/>
                <w:color w:val="auto"/>
                <w:szCs w:val="21"/>
                <w:highlight w:val="none"/>
              </w:rPr>
              <w:t>3.成交供应商未按规定缴纳履约保证金的，暂缓签订合同，责任由成交供应商承担。</w:t>
            </w:r>
          </w:p>
        </w:tc>
      </w:tr>
      <w:tr w14:paraId="7E46E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0567A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29.1</w:t>
            </w:r>
          </w:p>
        </w:tc>
        <w:tc>
          <w:tcPr>
            <w:tcW w:w="8539" w:type="dxa"/>
            <w:vAlign w:val="center"/>
          </w:tcPr>
          <w:p w14:paraId="42B61E0D">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s="宋体"/>
                <w:color w:val="auto"/>
                <w:szCs w:val="21"/>
                <w:highlight w:val="none"/>
              </w:rPr>
            </w:pPr>
            <w:r>
              <w:rPr>
                <w:rFonts w:hint="eastAsia" w:ascii="宋体" w:hAnsi="宋体" w:cs="宋体"/>
                <w:color w:val="auto"/>
                <w:szCs w:val="21"/>
                <w:highlight w:val="none"/>
              </w:rPr>
              <w:t>签订合同携带的证明材料：</w:t>
            </w:r>
          </w:p>
          <w:p w14:paraId="2164D263">
            <w:pPr>
              <w:keepNext w:val="0"/>
              <w:keepLines w:val="0"/>
              <w:pageBreakBefore w:val="0"/>
              <w:widowControl w:val="0"/>
              <w:suppressLineNumbers w:val="0"/>
              <w:kinsoku/>
              <w:wordWrap w:val="0"/>
              <w:overflowPunct/>
              <w:topLinePunct w:val="0"/>
              <w:autoSpaceDE w:val="0"/>
              <w:autoSpaceDN w:val="0"/>
              <w:bidi w:val="0"/>
              <w:snapToGrid w:val="0"/>
              <w:spacing w:before="0" w:beforeAutospacing="0" w:after="0" w:afterAutospacing="0" w:line="400" w:lineRule="exact"/>
              <w:ind w:left="0" w:right="0" w:firstLine="420" w:firstLineChars="200"/>
              <w:textAlignment w:val="bottom"/>
              <w:outlineLvl w:val="9"/>
              <w:rPr>
                <w:rFonts w:hint="default"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22E84529">
            <w:pPr>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6821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897CA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31.2</w:t>
            </w:r>
          </w:p>
        </w:tc>
        <w:tc>
          <w:tcPr>
            <w:tcW w:w="8539" w:type="dxa"/>
            <w:vAlign w:val="center"/>
          </w:tcPr>
          <w:p w14:paraId="3BE3501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ascii="宋体" w:hAnsi="宋体" w:cs="宋体"/>
                <w:color w:val="auto"/>
                <w:szCs w:val="21"/>
                <w:highlight w:val="none"/>
              </w:rPr>
            </w:pPr>
            <w:r>
              <w:rPr>
                <w:rFonts w:hint="eastAsia" w:ascii="宋体" w:hAnsi="宋体" w:cs="宋体"/>
                <w:color w:val="auto"/>
                <w:szCs w:val="21"/>
                <w:highlight w:val="none"/>
              </w:rPr>
              <w:t>接收质疑函方式：以书面形式。</w:t>
            </w:r>
          </w:p>
          <w:p w14:paraId="440F945C">
            <w:pPr>
              <w:pStyle w:val="14"/>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outlineLvl w:val="9"/>
              <w:rPr>
                <w:rFonts w:hint="default"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广西国盛招标有限公司</w:t>
            </w:r>
            <w:r>
              <w:rPr>
                <w:rFonts w:hint="eastAsia" w:hAnsi="宋体" w:cs="宋体"/>
                <w:color w:val="auto"/>
                <w:kern w:val="2"/>
                <w:sz w:val="21"/>
                <w:highlight w:val="none"/>
              </w:rPr>
              <w:t>，联系电话：</w:t>
            </w:r>
            <w:r>
              <w:rPr>
                <w:rFonts w:hint="eastAsia" w:hAnsi="宋体" w:cs="宋体"/>
                <w:color w:val="auto"/>
                <w:sz w:val="21"/>
                <w:highlight w:val="none"/>
                <w:u w:val="single"/>
              </w:rPr>
              <w:t>0772-3720799</w:t>
            </w:r>
            <w:r>
              <w:rPr>
                <w:rFonts w:hint="eastAsia" w:hAnsi="宋体" w:cs="宋体"/>
                <w:color w:val="auto"/>
                <w:kern w:val="2"/>
                <w:sz w:val="21"/>
                <w:highlight w:val="none"/>
              </w:rPr>
              <w:t>，通讯地址：</w:t>
            </w:r>
            <w:r>
              <w:rPr>
                <w:rFonts w:hint="eastAsia" w:hAnsi="宋体" w:cs="宋体"/>
                <w:color w:val="auto"/>
                <w:sz w:val="21"/>
                <w:highlight w:val="none"/>
                <w:u w:val="single"/>
              </w:rPr>
              <w:t>柳州市城中区学院路50号鑫中联大厦1栋1单元510室</w:t>
            </w:r>
            <w:r>
              <w:rPr>
                <w:rFonts w:hint="eastAsia" w:hAnsi="宋体" w:cs="宋体"/>
                <w:color w:val="auto"/>
                <w:sz w:val="21"/>
                <w:highlight w:val="none"/>
              </w:rPr>
              <w:t>。</w:t>
            </w:r>
          </w:p>
          <w:p w14:paraId="54E824D7">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color w:val="auto"/>
                <w:kern w:val="2"/>
                <w:sz w:val="21"/>
                <w:highlight w:val="none"/>
              </w:rPr>
            </w:pPr>
            <w:r>
              <w:rPr>
                <w:rFonts w:hint="eastAsia" w:hAnsi="宋体" w:cs="宋体"/>
                <w:color w:val="auto"/>
                <w:sz w:val="21"/>
                <w:highlight w:val="none"/>
              </w:rPr>
              <w:t>业务时间：工作日每天上午8：30到12：00，下午14：30到17：30。</w:t>
            </w:r>
          </w:p>
        </w:tc>
      </w:tr>
      <w:tr w14:paraId="0DB1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3248F4">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32.1</w:t>
            </w:r>
          </w:p>
        </w:tc>
        <w:tc>
          <w:tcPr>
            <w:tcW w:w="8539" w:type="dxa"/>
            <w:vAlign w:val="center"/>
          </w:tcPr>
          <w:p w14:paraId="399E0214">
            <w:pPr>
              <w:pStyle w:val="14"/>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1.采购代理费支付方式：</w:t>
            </w:r>
          </w:p>
          <w:p w14:paraId="5DA41975">
            <w:pPr>
              <w:pStyle w:val="14"/>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☑本项目代理服务费按如下规定由</w:t>
            </w:r>
            <w:r>
              <w:rPr>
                <w:rFonts w:hint="eastAsia" w:ascii="宋体" w:hAnsi="宋体" w:eastAsia="宋体" w:cs="宋体"/>
                <w:color w:val="auto"/>
                <w:sz w:val="21"/>
                <w:highlight w:val="none"/>
                <w:u w:val="single"/>
              </w:rPr>
              <w:t>成交供应商</w:t>
            </w:r>
            <w:r>
              <w:rPr>
                <w:rFonts w:hint="eastAsia" w:ascii="宋体" w:hAnsi="宋体" w:eastAsia="宋体" w:cs="宋体"/>
                <w:color w:val="auto"/>
                <w:sz w:val="21"/>
                <w:highlight w:val="none"/>
              </w:rPr>
              <w:t>在领取成交通知书前，一次性向采购代理机构支付。</w:t>
            </w:r>
          </w:p>
          <w:p w14:paraId="0F78813A">
            <w:pPr>
              <w:pStyle w:val="14"/>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□采购人支付。</w:t>
            </w:r>
          </w:p>
          <w:p w14:paraId="765F235B">
            <w:pPr>
              <w:pStyle w:val="14"/>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highlight w:val="none"/>
              </w:rPr>
            </w:pPr>
            <w:r>
              <w:rPr>
                <w:rFonts w:hint="eastAsia" w:ascii="宋体" w:hAnsi="宋体" w:eastAsia="宋体" w:cs="宋体"/>
                <w:color w:val="auto"/>
                <w:sz w:val="21"/>
                <w:highlight w:val="none"/>
              </w:rPr>
              <w:t>2.采购代理费收取标准：</w:t>
            </w:r>
          </w:p>
          <w:p w14:paraId="1A0D987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以项目（</w:t>
            </w:r>
            <w:r>
              <w:rPr>
                <w:rFonts w:hint="eastAsia" w:ascii="宋体" w:hAnsi="宋体" w:cs="宋体"/>
                <w:color w:val="auto"/>
                <w:szCs w:val="21"/>
                <w:highlight w:val="none"/>
                <w:lang w:eastAsia="zh-CN"/>
              </w:rPr>
              <w:t>☑</w:t>
            </w:r>
            <w:r>
              <w:rPr>
                <w:rFonts w:hint="eastAsia" w:ascii="宋体" w:hAnsi="宋体" w:cs="宋体"/>
                <w:color w:val="auto"/>
                <w:szCs w:val="21"/>
                <w:highlight w:val="none"/>
              </w:rPr>
              <w:t>成交金额/□采购预算/□暂定成交金额/□其他）为计费额，按本须知正文第</w:t>
            </w:r>
            <w:r>
              <w:rPr>
                <w:rFonts w:hint="eastAsia" w:ascii="宋体" w:hAnsi="宋体" w:cs="宋体"/>
                <w:color w:val="auto"/>
                <w:highlight w:val="none"/>
                <w:lang w:val="en-US" w:eastAsia="zh-CN"/>
              </w:rPr>
              <w:t>31.1</w:t>
            </w:r>
            <w:r>
              <w:rPr>
                <w:rFonts w:hint="eastAsia" w:ascii="宋体" w:hAnsi="宋体" w:cs="宋体"/>
                <w:color w:val="auto"/>
                <w:szCs w:val="21"/>
                <w:highlight w:val="none"/>
              </w:rPr>
              <w:t>条规定的（</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货物类/</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rPr>
              <w:t>服务类/□工程类）标准采用差额定率累进法计算出收费基准价格下浮30%向成交供应商收取。</w:t>
            </w:r>
          </w:p>
          <w:p w14:paraId="2EAAC7A2">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color w:val="auto"/>
                <w:sz w:val="21"/>
                <w:highlight w:val="none"/>
                <w:u w:val="single"/>
              </w:rPr>
            </w:pPr>
            <w:r>
              <w:rPr>
                <w:rFonts w:hint="eastAsia" w:ascii="宋体" w:hAnsi="宋体" w:eastAsia="宋体" w:cs="宋体"/>
                <w:color w:val="auto"/>
                <w:sz w:val="21"/>
                <w:highlight w:val="none"/>
              </w:rPr>
              <w:t>□固定采购代理收费</w:t>
            </w:r>
            <w:r>
              <w:rPr>
                <w:rFonts w:hint="eastAsia" w:ascii="宋体" w:hAnsi="宋体" w:eastAsia="宋体" w:cs="宋体"/>
                <w:color w:val="auto"/>
                <w:sz w:val="21"/>
                <w:highlight w:val="none"/>
                <w:u w:val="single"/>
              </w:rPr>
              <w:t>。</w:t>
            </w:r>
          </w:p>
        </w:tc>
      </w:tr>
      <w:tr w14:paraId="7A76F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A2A3B7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33.1</w:t>
            </w:r>
          </w:p>
        </w:tc>
        <w:tc>
          <w:tcPr>
            <w:tcW w:w="8539" w:type="dxa"/>
            <w:vAlign w:val="center"/>
          </w:tcPr>
          <w:p w14:paraId="08C27FEF">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color w:val="auto"/>
                <w:sz w:val="21"/>
                <w:highlight w:val="none"/>
              </w:rPr>
            </w:pPr>
            <w:r>
              <w:rPr>
                <w:rFonts w:hint="eastAsia" w:hAnsi="宋体" w:cs="宋体"/>
                <w:color w:val="auto"/>
                <w:sz w:val="21"/>
                <w:highlight w:val="none"/>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4F6B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169B0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33.2</w:t>
            </w:r>
          </w:p>
        </w:tc>
        <w:tc>
          <w:tcPr>
            <w:tcW w:w="8539" w:type="dxa"/>
            <w:vAlign w:val="center"/>
          </w:tcPr>
          <w:p w14:paraId="59E4FDB0">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1FBE9D5">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bCs/>
                <w:color w:val="auto"/>
                <w:sz w:val="21"/>
                <w:highlight w:val="none"/>
              </w:rPr>
            </w:pPr>
            <w:r>
              <w:rPr>
                <w:rFonts w:hint="eastAsia" w:hAnsi="宋体" w:cs="宋体"/>
                <w:bCs/>
                <w:color w:val="auto"/>
                <w:sz w:val="21"/>
                <w:highlight w:val="none"/>
              </w:rPr>
              <w:t>2.本谈判文件所称的“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w:t>
            </w:r>
            <w:r>
              <w:rPr>
                <w:rFonts w:hint="eastAsia" w:hAnsi="宋体" w:eastAsia="宋体" w:cs="宋体"/>
                <w:color w:val="auto"/>
                <w:sz w:val="21"/>
                <w:highlight w:val="none"/>
                <w:lang w:eastAsia="zh-CN"/>
              </w:rPr>
              <w:t>广西</w:t>
            </w:r>
            <w:r>
              <w:rPr>
                <w:rFonts w:hint="eastAsia" w:hAnsi="宋体" w:cs="宋体"/>
                <w:color w:val="auto"/>
                <w:sz w:val="21"/>
                <w:highlight w:val="none"/>
              </w:rPr>
              <w:t>政采云”平台认可的CA认证的电子签名数据为表现形式的印章，可用于签署电子响应文件，电子印章与实物印章具有同等法律效力，不因其采用电子化表现形式而否定其法律效力。</w:t>
            </w:r>
          </w:p>
          <w:p w14:paraId="2843EC35">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606BCDD4">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70DC5B4B">
            <w:pPr>
              <w:pStyle w:val="14"/>
              <w:keepNext w:val="0"/>
              <w:keepLines w:val="0"/>
              <w:pageBreakBefore w:val="0"/>
              <w:widowControl w:val="0"/>
              <w:suppressLineNumbers w:val="0"/>
              <w:kinsoku/>
              <w:wordWrap w:val="0"/>
              <w:overflowPunct/>
              <w:topLinePunct w:val="0"/>
              <w:bidi w:val="0"/>
              <w:snapToGrid w:val="0"/>
              <w:spacing w:before="0" w:beforeAutospacing="0" w:after="0" w:afterAutospacing="0" w:line="400" w:lineRule="exact"/>
              <w:ind w:left="0" w:right="0" w:firstLine="420" w:firstLineChars="200"/>
              <w:outlineLvl w:val="9"/>
              <w:rPr>
                <w:rFonts w:hint="default" w:hAnsi="宋体" w:cs="宋体"/>
                <w:color w:val="auto"/>
                <w:sz w:val="21"/>
                <w:highlight w:val="none"/>
              </w:rPr>
            </w:pPr>
            <w:r>
              <w:rPr>
                <w:rFonts w:hint="eastAsia" w:hAnsi="宋体" w:cs="宋体"/>
                <w:color w:val="auto"/>
                <w:sz w:val="21"/>
                <w:highlight w:val="none"/>
              </w:rPr>
              <w:t>5.本谈判文件所称的“以上”“以下”“以内”“届满”，包括本数；所称的“不满”“超过”“以外”，不包括本数。</w:t>
            </w:r>
          </w:p>
        </w:tc>
      </w:tr>
    </w:tbl>
    <w:p w14:paraId="04199CEB">
      <w:pPr>
        <w:pageBreakBefore w:val="0"/>
        <w:widowControl w:val="0"/>
        <w:kinsoku/>
        <w:wordWrap w:val="0"/>
        <w:overflowPunct/>
        <w:topLinePunct w:val="0"/>
        <w:bidi w:val="0"/>
        <w:spacing w:line="400" w:lineRule="exact"/>
        <w:jc w:val="center"/>
        <w:outlineLvl w:val="1"/>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cs="宋体"/>
          <w:b/>
          <w:color w:val="auto"/>
          <w:sz w:val="32"/>
          <w:szCs w:val="32"/>
          <w:highlight w:val="none"/>
        </w:rPr>
        <w:t>第二节 供应商须知正文</w:t>
      </w:r>
    </w:p>
    <w:p w14:paraId="35440B99">
      <w:pPr>
        <w:pageBreakBefore w:val="0"/>
        <w:widowControl w:val="0"/>
        <w:kinsoku/>
        <w:wordWrap w:val="0"/>
        <w:overflowPunct/>
        <w:topLinePunct w:val="0"/>
        <w:bidi w:val="0"/>
        <w:spacing w:line="400" w:lineRule="exact"/>
        <w:jc w:val="center"/>
        <w:rPr>
          <w:rFonts w:ascii="宋体" w:hAnsi="宋体"/>
          <w:b/>
          <w:color w:val="auto"/>
          <w:sz w:val="32"/>
          <w:szCs w:val="32"/>
          <w:highlight w:val="none"/>
        </w:rPr>
      </w:pPr>
    </w:p>
    <w:p w14:paraId="575256E9">
      <w:pPr>
        <w:pageBreakBefore w:val="0"/>
        <w:widowControl w:val="0"/>
        <w:kinsoku/>
        <w:wordWrap w:val="0"/>
        <w:overflowPunct/>
        <w:topLinePunct w:val="0"/>
        <w:bidi w:val="0"/>
        <w:spacing w:line="400" w:lineRule="exact"/>
        <w:jc w:val="center"/>
        <w:outlineLvl w:val="2"/>
        <w:rPr>
          <w:rFonts w:ascii="宋体" w:hAnsi="宋体"/>
          <w:b/>
          <w:color w:val="auto"/>
          <w:sz w:val="32"/>
          <w:szCs w:val="32"/>
          <w:highlight w:val="none"/>
        </w:rPr>
      </w:pPr>
      <w:bookmarkStart w:id="48" w:name="_Toc17916"/>
      <w:r>
        <w:rPr>
          <w:rFonts w:hint="eastAsia" w:ascii="宋体" w:hAnsi="宋体"/>
          <w:b/>
          <w:color w:val="auto"/>
          <w:sz w:val="32"/>
          <w:szCs w:val="32"/>
          <w:highlight w:val="none"/>
        </w:rPr>
        <w:t>一、总则</w:t>
      </w:r>
      <w:bookmarkEnd w:id="48"/>
    </w:p>
    <w:p w14:paraId="7AD30E04">
      <w:pPr>
        <w:pageBreakBefore w:val="0"/>
        <w:widowControl w:val="0"/>
        <w:kinsoku/>
        <w:wordWrap w:val="0"/>
        <w:overflowPunct/>
        <w:topLinePunct w:val="0"/>
        <w:bidi w:val="0"/>
        <w:spacing w:line="400" w:lineRule="exact"/>
        <w:ind w:firstLine="420" w:firstLineChars="200"/>
        <w:outlineLvl w:val="9"/>
        <w:rPr>
          <w:rFonts w:ascii="宋体" w:hAnsi="宋体"/>
          <w:color w:val="auto"/>
          <w:szCs w:val="21"/>
          <w:highlight w:val="none"/>
        </w:rPr>
      </w:pPr>
    </w:p>
    <w:p w14:paraId="6EBF5059">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49" w:name="_Toc15456"/>
      <w:r>
        <w:rPr>
          <w:rFonts w:hint="eastAsia" w:ascii="宋体" w:hAnsi="宋体" w:cs="宋体"/>
          <w:b/>
          <w:bCs/>
          <w:color w:val="auto"/>
          <w:sz w:val="24"/>
          <w:highlight w:val="none"/>
        </w:rPr>
        <w:t>1.适用范围</w:t>
      </w:r>
      <w:bookmarkEnd w:id="49"/>
    </w:p>
    <w:p w14:paraId="32A4959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50E28EF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0D57B02D">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50" w:name="_Toc32461"/>
      <w:r>
        <w:rPr>
          <w:rFonts w:hint="eastAsia" w:ascii="宋体" w:hAnsi="宋体" w:cs="宋体"/>
          <w:b/>
          <w:bCs/>
          <w:color w:val="auto"/>
          <w:sz w:val="24"/>
          <w:highlight w:val="none"/>
        </w:rPr>
        <w:t>2.定义</w:t>
      </w:r>
      <w:bookmarkEnd w:id="50"/>
    </w:p>
    <w:p w14:paraId="082D2519">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2CD13DE9">
      <w:pPr>
        <w:pageBreakBefore w:val="0"/>
        <w:widowControl w:val="0"/>
        <w:kinsoku/>
        <w:wordWrap w:val="0"/>
        <w:overflowPunct/>
        <w:topLinePunct w:val="0"/>
        <w:bidi w:val="0"/>
        <w:spacing w:line="400" w:lineRule="exact"/>
        <w:ind w:firstLine="420" w:firstLineChars="200"/>
        <w:outlineLvl w:val="9"/>
        <w:rPr>
          <w:rFonts w:ascii="宋体" w:hAnsi="宋体" w:cs="宋体"/>
          <w:b/>
          <w:color w:val="auto"/>
          <w:szCs w:val="21"/>
          <w:highlight w:val="none"/>
        </w:rPr>
      </w:pPr>
      <w:r>
        <w:rPr>
          <w:rFonts w:hint="eastAsia" w:ascii="宋体" w:hAnsi="宋体" w:cs="宋体"/>
          <w:color w:val="auto"/>
          <w:szCs w:val="21"/>
          <w:highlight w:val="none"/>
        </w:rPr>
        <w:t>2.2“采购代理机构”</w:t>
      </w:r>
      <w:r>
        <w:rPr>
          <w:rFonts w:hint="eastAsia" w:ascii="宋体" w:hAnsi="宋体" w:cs="宋体"/>
          <w:b/>
          <w:color w:val="auto"/>
          <w:szCs w:val="21"/>
          <w:highlight w:val="none"/>
        </w:rPr>
        <w:t>是指政府采购集中采购机构和集中采购机构以外的采购代理机构。</w:t>
      </w:r>
    </w:p>
    <w:p w14:paraId="70FF3112">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r>
        <w:rPr>
          <w:rFonts w:ascii="Arial" w:hAnsi="Arial" w:cs="Arial"/>
          <w:color w:val="auto"/>
          <w:szCs w:val="21"/>
          <w:highlight w:val="none"/>
        </w:rPr>
        <w:t>如果供应商在本次谈判中成交，即成为“成交供应商”。</w:t>
      </w:r>
    </w:p>
    <w:p w14:paraId="6E2A512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086B4B21">
      <w:pPr>
        <w:pageBreakBefore w:val="0"/>
        <w:widowControl w:val="0"/>
        <w:kinsoku/>
        <w:wordWrap w:val="0"/>
        <w:overflowPunct/>
        <w:topLinePunct w:val="0"/>
        <w:bidi w:val="0"/>
        <w:snapToGrid w:val="0"/>
        <w:spacing w:line="400" w:lineRule="exact"/>
        <w:ind w:firstLine="420" w:firstLineChars="200"/>
        <w:textAlignment w:val="baseline"/>
        <w:outlineLvl w:val="9"/>
        <w:rPr>
          <w:rFonts w:ascii="宋体" w:hAnsi="宋体" w:cs="宋体"/>
          <w:color w:val="auto"/>
          <w:szCs w:val="21"/>
          <w:highlight w:val="none"/>
        </w:rPr>
      </w:pPr>
      <w:r>
        <w:rPr>
          <w:rFonts w:hint="eastAsia" w:ascii="宋体" w:hAnsi="宋体" w:cs="宋体"/>
          <w:color w:val="auto"/>
          <w:szCs w:val="21"/>
          <w:highlight w:val="none"/>
        </w:rPr>
        <w:t>2.5“服务”是指采购文件规定供应商须承担的设计开发、集成、安装、调试、技术协助、校准、培训、技术指导以及其他类似的义务。</w:t>
      </w:r>
    </w:p>
    <w:p w14:paraId="3008ABFE">
      <w:pPr>
        <w:pageBreakBefore w:val="0"/>
        <w:widowControl w:val="0"/>
        <w:kinsoku/>
        <w:wordWrap w:val="0"/>
        <w:overflowPunct/>
        <w:topLinePunct w:val="0"/>
        <w:bidi w:val="0"/>
        <w:snapToGrid w:val="0"/>
        <w:spacing w:line="400" w:lineRule="exact"/>
        <w:ind w:firstLine="420" w:firstLineChars="200"/>
        <w:textAlignment w:val="baseline"/>
        <w:outlineLvl w:val="9"/>
        <w:rPr>
          <w:rFonts w:ascii="宋体" w:hAnsi="宋体" w:cs="宋体"/>
          <w:color w:val="auto"/>
          <w:szCs w:val="21"/>
          <w:highlight w:val="none"/>
        </w:rPr>
      </w:pPr>
      <w:r>
        <w:rPr>
          <w:rFonts w:hint="eastAsia" w:ascii="宋体" w:hAnsi="宋体" w:cs="宋体"/>
          <w:color w:val="auto"/>
          <w:szCs w:val="21"/>
          <w:highlight w:val="none"/>
        </w:rPr>
        <w:t>2.6“项目”是指供应商按采购文件规定向采购人提供的货物和服务。</w:t>
      </w:r>
    </w:p>
    <w:p w14:paraId="27688F4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2.7“竞标”是指按照本项目竞争性谈判公告规定的方式供应商获取谈判文件、提交响应文件并希望获得标的的行为。</w:t>
      </w:r>
    </w:p>
    <w:p w14:paraId="1A87A8DF">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2.8“售后服务”是指包含但不限于供应商须承担的备品备件、包装、运输、装卸、保险、货到就位以及安装、调试、培训、保修和其他类似的义务。</w:t>
      </w:r>
    </w:p>
    <w:p w14:paraId="283C611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2.9“书面形式”是指合同书、信件和数据电文（包括电报、电传、传真、电子数据交换和电子邮件）等可以有形地表现所载内容的形式。</w:t>
      </w:r>
    </w:p>
    <w:p w14:paraId="0B67A5E8">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2.10“响应文件”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7C5AE06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2.11“实质性要求”是指采购需求中带“▲”的条款或者不能负偏离的条款或者已经指明不满足按响应文件按无效处理的条款。</w:t>
      </w:r>
    </w:p>
    <w:p w14:paraId="14BD392F">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2.12“正偏离”，是指响应文件对谈判文件“采购需求”中有关条款作出优于条款要求并有利于采购人的响应情形。</w:t>
      </w:r>
    </w:p>
    <w:p w14:paraId="25A6751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2.13“负偏离”，是指响应文件对谈判文件“采购需求”中有关条款作出的响应不满足条款要求，导致采购人要求不能得到满足的情形。</w:t>
      </w:r>
    </w:p>
    <w:p w14:paraId="07A9E26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2.14“允许负偏离的条款”是指采购需求中的不属于“实质性要求”的条款。</w:t>
      </w:r>
    </w:p>
    <w:p w14:paraId="6C02FC60">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2.15“首次报价”是指供应商提交的首次响应文件中的竞标报价。</w:t>
      </w:r>
    </w:p>
    <w:p w14:paraId="0D880CBA">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szCs w:val="21"/>
          <w:highlight w:val="none"/>
        </w:rPr>
      </w:pPr>
      <w:r>
        <w:rPr>
          <w:rFonts w:hint="eastAsia" w:ascii="宋体" w:hAnsi="宋体" w:cs="宋体"/>
          <w:color w:val="auto"/>
          <w:szCs w:val="21"/>
          <w:highlight w:val="none"/>
        </w:rPr>
        <w:t>2.16“原件备查”指当响应文件中所提供的材料出现字体过小、模糊不清等评委无法清晰可见情况或评委对供应商所提供材料的真实性提出疑问、异议时，谈判小组有权要求供应商提供相应原件进行核查，如供应商无法提供，由此引起的响应文件无效、不予给分等责任后果，由供应商自行承担。</w:t>
      </w:r>
    </w:p>
    <w:p w14:paraId="54B78533">
      <w:pPr>
        <w:pageBreakBefore w:val="0"/>
        <w:widowControl w:val="0"/>
        <w:kinsoku/>
        <w:wordWrap w:val="0"/>
        <w:overflowPunct/>
        <w:topLinePunct w:val="0"/>
        <w:bidi w:val="0"/>
        <w:spacing w:line="400" w:lineRule="exact"/>
        <w:ind w:firstLine="480" w:firstLineChars="200"/>
        <w:contextualSpacing/>
        <w:outlineLvl w:val="9"/>
        <w:rPr>
          <w:rFonts w:ascii="宋体" w:hAnsi="宋体" w:cs="宋体"/>
          <w:b/>
          <w:bCs/>
          <w:color w:val="auto"/>
          <w:sz w:val="24"/>
          <w:highlight w:val="none"/>
        </w:rPr>
      </w:pPr>
      <w:bookmarkStart w:id="51" w:name="_Toc12648"/>
      <w:r>
        <w:rPr>
          <w:rFonts w:hint="eastAsia" w:ascii="宋体" w:hAnsi="宋体" w:cs="宋体"/>
          <w:b/>
          <w:bCs/>
          <w:color w:val="auto"/>
          <w:sz w:val="24"/>
          <w:highlight w:val="none"/>
        </w:rPr>
        <w:t>3.供应商的资格条件</w:t>
      </w:r>
      <w:bookmarkEnd w:id="51"/>
    </w:p>
    <w:p w14:paraId="457A5FA1">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202A6E0C">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52" w:name="_Toc11241"/>
      <w:r>
        <w:rPr>
          <w:rFonts w:hint="eastAsia" w:ascii="宋体" w:hAnsi="宋体" w:cs="宋体"/>
          <w:b/>
          <w:bCs/>
          <w:color w:val="auto"/>
          <w:sz w:val="24"/>
          <w:highlight w:val="none"/>
        </w:rPr>
        <w:t>4.竞标费用</w:t>
      </w:r>
      <w:bookmarkEnd w:id="52"/>
    </w:p>
    <w:p w14:paraId="0E321459">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3EF9F77D">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53" w:name="_Toc17822"/>
      <w:r>
        <w:rPr>
          <w:rFonts w:hint="eastAsia" w:ascii="宋体" w:hAnsi="宋体" w:cs="宋体"/>
          <w:b/>
          <w:bCs/>
          <w:color w:val="auto"/>
          <w:sz w:val="24"/>
          <w:highlight w:val="none"/>
        </w:rPr>
        <w:t>5.联合体竞标</w:t>
      </w:r>
      <w:bookmarkEnd w:id="53"/>
    </w:p>
    <w:p w14:paraId="63F3753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868D19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0BC99E6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5.3</w:t>
      </w:r>
      <w:r>
        <w:rPr>
          <w:rFonts w:hint="eastAsia" w:ascii="宋体" w:hAnsi="宋体" w:cs="宋体"/>
          <w:color w:val="auto"/>
          <w:kern w:val="0"/>
          <w:szCs w:val="21"/>
          <w:highlight w:val="none"/>
        </w:rPr>
        <w:t>根据《关于印发&lt;政府采购促进中小企业发展管理办法&gt;的通知》（财库[2020]46号）、《广西壮族自治区财政厅关于贯彻落实政府采购支持中小企业发展政策的通知》（桂财采〔2022〕31号），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94FF616">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54" w:name="_Toc23620"/>
      <w:r>
        <w:rPr>
          <w:rFonts w:hint="eastAsia" w:ascii="宋体" w:hAnsi="宋体" w:cs="宋体"/>
          <w:b/>
          <w:bCs/>
          <w:color w:val="auto"/>
          <w:sz w:val="24"/>
          <w:highlight w:val="none"/>
        </w:rPr>
        <w:t>6.转包与分包</w:t>
      </w:r>
      <w:bookmarkEnd w:id="54"/>
    </w:p>
    <w:p w14:paraId="34DEFA1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bookmarkStart w:id="55" w:name="_Toc254970532"/>
      <w:bookmarkStart w:id="56" w:name="_Toc254970673"/>
      <w:r>
        <w:rPr>
          <w:rFonts w:hint="eastAsia" w:ascii="宋体" w:hAnsi="宋体" w:cs="宋体"/>
          <w:color w:val="auto"/>
          <w:szCs w:val="21"/>
          <w:highlight w:val="none"/>
        </w:rPr>
        <w:t>6.1本项目不允许转包。</w:t>
      </w:r>
    </w:p>
    <w:p w14:paraId="4D4235D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5DDAAD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634545B6">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57" w:name="_Toc11956"/>
      <w:r>
        <w:rPr>
          <w:rFonts w:hint="eastAsia" w:ascii="宋体" w:hAnsi="宋体" w:cs="宋体"/>
          <w:b/>
          <w:bCs/>
          <w:color w:val="auto"/>
          <w:sz w:val="24"/>
          <w:highlight w:val="none"/>
        </w:rPr>
        <w:t>7.特别说明</w:t>
      </w:r>
      <w:bookmarkEnd w:id="55"/>
      <w:bookmarkEnd w:id="56"/>
      <w:bookmarkEnd w:id="57"/>
    </w:p>
    <w:p w14:paraId="480651A5">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bookmarkStart w:id="58" w:name="_8.1提供相同品牌产品且通过资格审查、符合性审查的不同投标人参加同一合"/>
      <w:bookmarkEnd w:id="58"/>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且最后报价最低的参加报价评审；最后报价相同的，由采购人或者采购人委托谈判小组按照“供应商须知前附表”规定的方式确定一个供应商获得成交人推荐资格，其他响应文件按无效处理。</w:t>
      </w:r>
    </w:p>
    <w:p w14:paraId="2B45A3E7">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r>
        <w:rPr>
          <w:rFonts w:hint="eastAsia" w:ascii="宋体" w:hAnsi="宋体" w:cs="宋体"/>
          <w:color w:val="0000FF"/>
          <w:szCs w:val="21"/>
          <w:highlight w:val="none"/>
        </w:rPr>
        <w:t>。</w:t>
      </w:r>
    </w:p>
    <w:p w14:paraId="56A2AF4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7.2如果本谈判文件要求提供供应商或制造商的资格、信誉、荣誉、业绩与企业认证等材料的，资格、信誉、荣誉、业绩与企业认证等必须为供应商或者制造商所拥有或自身获得。</w:t>
      </w:r>
    </w:p>
    <w:p w14:paraId="71E188BD">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79279627">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2DAF3D15">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488C598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51A6B1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8FAB9C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BEA6D6A">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629A0C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3B3DEC5">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10C1595">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2D47ADB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23F1293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C580FC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A92752D">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EF43DBD">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DE4810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73C7F710">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59" w:name="_Hlk54682620"/>
      <w:r>
        <w:rPr>
          <w:rFonts w:hint="eastAsia" w:ascii="宋体" w:hAnsi="宋体" w:cs="宋体"/>
          <w:color w:val="auto"/>
          <w:szCs w:val="21"/>
          <w:highlight w:val="none"/>
        </w:rPr>
        <w:t>，将报同级监督管理部门</w:t>
      </w:r>
      <w:bookmarkEnd w:id="59"/>
      <w:r>
        <w:rPr>
          <w:rFonts w:hint="eastAsia" w:ascii="宋体" w:hAnsi="宋体" w:cs="宋体"/>
          <w:color w:val="auto"/>
          <w:szCs w:val="21"/>
          <w:highlight w:val="none"/>
        </w:rPr>
        <w:t>：</w:t>
      </w:r>
    </w:p>
    <w:p w14:paraId="74E8181F">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0992C30">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D6A1EB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CA85089">
      <w:pPr>
        <w:keepNext w:val="0"/>
        <w:keepLines w:val="0"/>
        <w:pageBreakBefore w:val="0"/>
        <w:widowControl w:val="0"/>
        <w:kinsoku/>
        <w:wordWrap w:val="0"/>
        <w:overflowPunct/>
        <w:topLinePunct w:val="0"/>
        <w:autoSpaceDE w:val="0"/>
        <w:autoSpaceDN w:val="0"/>
        <w:bidi w:val="0"/>
        <w:adjustRightInd w:val="0"/>
        <w:snapToGrid w:val="0"/>
        <w:spacing w:line="400" w:lineRule="exact"/>
        <w:ind w:firstLine="420" w:firstLineChars="200"/>
        <w:textAlignment w:val="baseline"/>
        <w:outlineLvl w:val="9"/>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13BBA3D">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29AD6DD">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5893B9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60739429">
      <w:pPr>
        <w:pageBreakBefore w:val="0"/>
        <w:widowControl w:val="0"/>
        <w:kinsoku/>
        <w:wordWrap w:val="0"/>
        <w:overflowPunct/>
        <w:topLinePunct w:val="0"/>
        <w:bidi w:val="0"/>
        <w:spacing w:line="400" w:lineRule="exact"/>
        <w:ind w:firstLine="420" w:firstLineChars="200"/>
        <w:jc w:val="center"/>
        <w:rPr>
          <w:rFonts w:ascii="宋体" w:hAnsi="宋体" w:cs="宋体"/>
          <w:color w:val="auto"/>
          <w:highlight w:val="none"/>
        </w:rPr>
      </w:pPr>
      <w:bookmarkStart w:id="60" w:name="_Toc254970675"/>
      <w:bookmarkStart w:id="61" w:name="_Toc254970534"/>
    </w:p>
    <w:p w14:paraId="6567DEBD">
      <w:pPr>
        <w:pageBreakBefore w:val="0"/>
        <w:widowControl w:val="0"/>
        <w:kinsoku/>
        <w:wordWrap w:val="0"/>
        <w:overflowPunct/>
        <w:topLinePunct w:val="0"/>
        <w:bidi w:val="0"/>
        <w:spacing w:line="400" w:lineRule="exact"/>
        <w:jc w:val="center"/>
        <w:outlineLvl w:val="2"/>
        <w:rPr>
          <w:rFonts w:ascii="宋体" w:hAnsi="宋体" w:cs="宋体"/>
          <w:b/>
          <w:color w:val="auto"/>
          <w:sz w:val="32"/>
          <w:szCs w:val="32"/>
          <w:highlight w:val="none"/>
        </w:rPr>
      </w:pPr>
      <w:bookmarkStart w:id="62" w:name="_Toc28461"/>
      <w:r>
        <w:rPr>
          <w:rFonts w:hint="eastAsia" w:ascii="宋体" w:hAnsi="宋体" w:cs="宋体"/>
          <w:b/>
          <w:color w:val="auto"/>
          <w:sz w:val="32"/>
          <w:szCs w:val="32"/>
          <w:highlight w:val="none"/>
        </w:rPr>
        <w:t>二、谈判文件</w:t>
      </w:r>
      <w:bookmarkEnd w:id="60"/>
      <w:bookmarkEnd w:id="61"/>
      <w:bookmarkEnd w:id="62"/>
    </w:p>
    <w:p w14:paraId="0ABDE686">
      <w:pPr>
        <w:pageBreakBefore w:val="0"/>
        <w:widowControl w:val="0"/>
        <w:kinsoku/>
        <w:wordWrap w:val="0"/>
        <w:overflowPunct/>
        <w:topLinePunct w:val="0"/>
        <w:bidi w:val="0"/>
        <w:spacing w:line="400" w:lineRule="exact"/>
        <w:ind w:firstLine="420" w:firstLineChars="200"/>
        <w:jc w:val="center"/>
        <w:outlineLvl w:val="9"/>
        <w:rPr>
          <w:rFonts w:ascii="宋体" w:hAnsi="宋体" w:cs="宋体"/>
          <w:color w:val="auto"/>
          <w:szCs w:val="21"/>
          <w:highlight w:val="none"/>
        </w:rPr>
      </w:pPr>
    </w:p>
    <w:p w14:paraId="0BAD69F4">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63" w:name="_Toc21909"/>
      <w:r>
        <w:rPr>
          <w:rFonts w:hint="eastAsia" w:ascii="宋体" w:hAnsi="宋体" w:cs="宋体"/>
          <w:b/>
          <w:bCs/>
          <w:color w:val="auto"/>
          <w:sz w:val="24"/>
          <w:highlight w:val="none"/>
        </w:rPr>
        <w:t>8.谈判文件的构成</w:t>
      </w:r>
      <w:bookmarkEnd w:id="63"/>
    </w:p>
    <w:p w14:paraId="56BFDB8B">
      <w:pPr>
        <w:pageBreakBefore w:val="0"/>
        <w:widowControl w:val="0"/>
        <w:kinsoku/>
        <w:wordWrap w:val="0"/>
        <w:overflowPunct/>
        <w:topLinePunct w:val="0"/>
        <w:bidi w:val="0"/>
        <w:spacing w:line="400" w:lineRule="exact"/>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（1）竞争性谈判公告；</w:t>
      </w:r>
    </w:p>
    <w:p w14:paraId="09A89250">
      <w:pPr>
        <w:pageBreakBefore w:val="0"/>
        <w:widowControl w:val="0"/>
        <w:kinsoku/>
        <w:wordWrap w:val="0"/>
        <w:overflowPunct/>
        <w:topLinePunct w:val="0"/>
        <w:bidi w:val="0"/>
        <w:spacing w:line="400" w:lineRule="exact"/>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（2）供应商须知；</w:t>
      </w:r>
    </w:p>
    <w:p w14:paraId="403753AB">
      <w:pPr>
        <w:pageBreakBefore w:val="0"/>
        <w:widowControl w:val="0"/>
        <w:kinsoku/>
        <w:wordWrap w:val="0"/>
        <w:overflowPunct/>
        <w:topLinePunct w:val="0"/>
        <w:bidi w:val="0"/>
        <w:spacing w:line="400" w:lineRule="exact"/>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（3）采购需求；</w:t>
      </w:r>
    </w:p>
    <w:p w14:paraId="3DE6190F">
      <w:pPr>
        <w:pageBreakBefore w:val="0"/>
        <w:widowControl w:val="0"/>
        <w:kinsoku/>
        <w:wordWrap w:val="0"/>
        <w:overflowPunct/>
        <w:topLinePunct w:val="0"/>
        <w:bidi w:val="0"/>
        <w:spacing w:line="400" w:lineRule="exact"/>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评审程序和评定成交的标准</w:t>
      </w:r>
      <w:r>
        <w:rPr>
          <w:rFonts w:hint="eastAsia" w:ascii="宋体" w:hAnsi="宋体" w:cs="宋体"/>
          <w:color w:val="auto"/>
          <w:szCs w:val="21"/>
          <w:highlight w:val="none"/>
        </w:rPr>
        <w:t>；</w:t>
      </w:r>
    </w:p>
    <w:p w14:paraId="09397140">
      <w:pPr>
        <w:pageBreakBefore w:val="0"/>
        <w:widowControl w:val="0"/>
        <w:kinsoku/>
        <w:wordWrap w:val="0"/>
        <w:overflowPunct/>
        <w:topLinePunct w:val="0"/>
        <w:bidi w:val="0"/>
        <w:spacing w:line="400" w:lineRule="exact"/>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（5）响应文件格式；</w:t>
      </w:r>
    </w:p>
    <w:p w14:paraId="53E3E8F2">
      <w:pPr>
        <w:pageBreakBefore w:val="0"/>
        <w:widowControl w:val="0"/>
        <w:kinsoku/>
        <w:wordWrap w:val="0"/>
        <w:overflowPunct/>
        <w:topLinePunct w:val="0"/>
        <w:bidi w:val="0"/>
        <w:spacing w:line="400" w:lineRule="exact"/>
        <w:ind w:firstLine="420" w:firstLineChars="200"/>
        <w:jc w:val="left"/>
        <w:outlineLvl w:val="9"/>
        <w:rPr>
          <w:rFonts w:ascii="宋体" w:hAnsi="宋体" w:cs="宋体"/>
          <w:color w:val="auto"/>
          <w:szCs w:val="21"/>
          <w:highlight w:val="none"/>
        </w:rPr>
      </w:pPr>
      <w:r>
        <w:rPr>
          <w:rFonts w:hint="eastAsia" w:ascii="宋体" w:hAnsi="宋体" w:cs="宋体"/>
          <w:color w:val="auto"/>
          <w:szCs w:val="21"/>
          <w:highlight w:val="none"/>
        </w:rPr>
        <w:t>（6）合同文本。</w:t>
      </w:r>
    </w:p>
    <w:p w14:paraId="01174E0F">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64" w:name="_Toc32088"/>
      <w:r>
        <w:rPr>
          <w:rFonts w:hint="eastAsia" w:ascii="宋体" w:hAnsi="宋体" w:cs="宋体"/>
          <w:b/>
          <w:bCs/>
          <w:color w:val="auto"/>
          <w:sz w:val="24"/>
          <w:highlight w:val="none"/>
        </w:rPr>
        <w:t>9.供应商的询问</w:t>
      </w:r>
      <w:bookmarkEnd w:id="64"/>
    </w:p>
    <w:p w14:paraId="64D65DA2">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供应商应认真阅读谈判文件的采购需求，如供应商对谈判文件有疑问的，如要求采购人作出澄清或者修改的，供应商尽可能在提交首次响应文件截止之日前，以书面形式向采购人、采购代理机构提出。</w:t>
      </w:r>
    </w:p>
    <w:p w14:paraId="5E79CAAE">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65" w:name="_Toc15823"/>
      <w:r>
        <w:rPr>
          <w:rFonts w:hint="eastAsia" w:ascii="宋体" w:hAnsi="宋体" w:cs="宋体"/>
          <w:b/>
          <w:bCs/>
          <w:color w:val="auto"/>
          <w:sz w:val="24"/>
          <w:highlight w:val="none"/>
        </w:rPr>
        <w:t>10.谈判文件的澄清和修改</w:t>
      </w:r>
      <w:bookmarkEnd w:id="65"/>
    </w:p>
    <w:p w14:paraId="74F6EBA8">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10.1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2827A43">
      <w:pPr>
        <w:pageBreakBefore w:val="0"/>
        <w:widowControl w:val="0"/>
        <w:kinsoku/>
        <w:wordWrap w:val="0"/>
        <w:overflowPunct/>
        <w:topLinePunct w:val="0"/>
        <w:bidi w:val="0"/>
        <w:spacing w:line="400" w:lineRule="exact"/>
        <w:ind w:firstLine="420" w:firstLineChars="200"/>
        <w:rPr>
          <w:rFonts w:ascii="宋体" w:hAnsi="宋体" w:cs="宋体"/>
          <w:b/>
          <w:color w:val="auto"/>
          <w:szCs w:val="21"/>
          <w:highlight w:val="none"/>
        </w:rPr>
      </w:pPr>
    </w:p>
    <w:p w14:paraId="4E20E80D">
      <w:pPr>
        <w:pageBreakBefore w:val="0"/>
        <w:widowControl w:val="0"/>
        <w:kinsoku/>
        <w:wordWrap w:val="0"/>
        <w:overflowPunct/>
        <w:topLinePunct w:val="0"/>
        <w:bidi w:val="0"/>
        <w:spacing w:line="400" w:lineRule="exact"/>
        <w:jc w:val="center"/>
        <w:outlineLvl w:val="2"/>
        <w:rPr>
          <w:rFonts w:ascii="宋体" w:hAnsi="宋体" w:cs="宋体"/>
          <w:b/>
          <w:color w:val="auto"/>
          <w:szCs w:val="21"/>
          <w:highlight w:val="none"/>
        </w:rPr>
      </w:pPr>
      <w:bookmarkStart w:id="66" w:name="_Toc15127"/>
      <w:r>
        <w:rPr>
          <w:rFonts w:hint="eastAsia" w:ascii="宋体" w:hAnsi="宋体" w:cs="宋体"/>
          <w:b/>
          <w:color w:val="auto"/>
          <w:sz w:val="32"/>
          <w:szCs w:val="32"/>
          <w:highlight w:val="none"/>
        </w:rPr>
        <w:t>三、响应文件的编制</w:t>
      </w:r>
      <w:bookmarkEnd w:id="66"/>
    </w:p>
    <w:p w14:paraId="122F14A2">
      <w:pPr>
        <w:pageBreakBefore w:val="0"/>
        <w:widowControl w:val="0"/>
        <w:kinsoku/>
        <w:wordWrap w:val="0"/>
        <w:overflowPunct/>
        <w:topLinePunct w:val="0"/>
        <w:bidi w:val="0"/>
        <w:spacing w:line="400" w:lineRule="exact"/>
        <w:ind w:firstLine="420" w:firstLineChars="200"/>
        <w:rPr>
          <w:rFonts w:ascii="宋体" w:hAnsi="宋体" w:cs="宋体"/>
          <w:color w:val="auto"/>
          <w:szCs w:val="21"/>
          <w:highlight w:val="none"/>
        </w:rPr>
      </w:pPr>
    </w:p>
    <w:p w14:paraId="1CDA8955">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67" w:name="_Toc5478"/>
      <w:r>
        <w:rPr>
          <w:rFonts w:hint="eastAsia" w:ascii="宋体" w:hAnsi="宋体" w:cs="宋体"/>
          <w:b/>
          <w:bCs/>
          <w:color w:val="auto"/>
          <w:sz w:val="24"/>
          <w:highlight w:val="none"/>
        </w:rPr>
        <w:t>11.响应文件的编制原则</w:t>
      </w:r>
      <w:bookmarkEnd w:id="67"/>
    </w:p>
    <w:p w14:paraId="547B192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24EC1A69">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68" w:name="_Toc9588"/>
      <w:r>
        <w:rPr>
          <w:rFonts w:hint="eastAsia" w:ascii="宋体" w:hAnsi="宋体" w:cs="宋体"/>
          <w:b/>
          <w:bCs/>
          <w:color w:val="auto"/>
          <w:sz w:val="24"/>
          <w:highlight w:val="none"/>
        </w:rPr>
        <w:t>12.响应文件的组成</w:t>
      </w:r>
      <w:bookmarkEnd w:id="68"/>
    </w:p>
    <w:p w14:paraId="7E50BCF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58E77DF0">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6CF27257">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4E4CC48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5467804">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69" w:name="_Toc6149"/>
      <w:r>
        <w:rPr>
          <w:rFonts w:hint="eastAsia" w:ascii="宋体" w:hAnsi="宋体" w:cs="宋体"/>
          <w:b/>
          <w:bCs/>
          <w:color w:val="auto"/>
          <w:sz w:val="24"/>
          <w:highlight w:val="none"/>
        </w:rPr>
        <w:t>13.计量单位</w:t>
      </w:r>
      <w:bookmarkEnd w:id="69"/>
    </w:p>
    <w:p w14:paraId="31E0134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1F129315">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0" w:name="_Toc6416"/>
      <w:r>
        <w:rPr>
          <w:rFonts w:hint="eastAsia" w:ascii="宋体" w:hAnsi="宋体" w:cs="宋体"/>
          <w:b/>
          <w:bCs/>
          <w:color w:val="auto"/>
          <w:sz w:val="24"/>
          <w:highlight w:val="none"/>
        </w:rPr>
        <w:t>14.竞标的风险</w:t>
      </w:r>
      <w:bookmarkEnd w:id="70"/>
    </w:p>
    <w:p w14:paraId="29F0358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5E8C66F4">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1" w:name="_Toc2280"/>
      <w:r>
        <w:rPr>
          <w:rFonts w:hint="eastAsia" w:ascii="宋体" w:hAnsi="宋体" w:cs="宋体"/>
          <w:b/>
          <w:bCs/>
          <w:color w:val="auto"/>
          <w:sz w:val="24"/>
          <w:highlight w:val="none"/>
        </w:rPr>
        <w:t>15.竞标报价</w:t>
      </w:r>
      <w:bookmarkEnd w:id="71"/>
    </w:p>
    <w:p w14:paraId="06BDE9E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5ED8AB47">
      <w:pPr>
        <w:pageBreakBefore w:val="0"/>
        <w:widowControl w:val="0"/>
        <w:tabs>
          <w:tab w:val="left" w:pos="2492"/>
        </w:tabs>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269C5C1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15.3竞标报价要求</w:t>
      </w:r>
    </w:p>
    <w:p w14:paraId="426F5CD7">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23779A4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4EC37452">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7720A15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15.3.2竞标报价（包含首次报价、最后报价）超过所竞标分标规定的采购预算金额或者最高限价的，其响应文件将按无效处理。</w:t>
      </w:r>
    </w:p>
    <w:p w14:paraId="39B7E77A">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15.3.3竞标报价（包含首次报价、最后报价）超过分项采购预算金额或者最高限价的，其响应文件将按无效处理。</w:t>
      </w:r>
    </w:p>
    <w:p w14:paraId="3B5100A1">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2" w:name="_Toc10472"/>
      <w:r>
        <w:rPr>
          <w:rFonts w:hint="eastAsia" w:ascii="宋体" w:hAnsi="宋体" w:cs="宋体"/>
          <w:b/>
          <w:bCs/>
          <w:color w:val="auto"/>
          <w:sz w:val="24"/>
          <w:highlight w:val="none"/>
        </w:rPr>
        <w:t>16.竞标有效期</w:t>
      </w:r>
      <w:bookmarkEnd w:id="72"/>
    </w:p>
    <w:p w14:paraId="6E9CB4F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A2D3BB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16.2竞标有效期应由供应商按“供应商须知前附表”规定的期限作出响应。</w:t>
      </w:r>
    </w:p>
    <w:p w14:paraId="4DD55267">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6572EC1">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3" w:name="_Toc24826"/>
      <w:r>
        <w:rPr>
          <w:rFonts w:hint="eastAsia" w:ascii="宋体" w:hAnsi="宋体" w:cs="宋体"/>
          <w:b/>
          <w:bCs/>
          <w:color w:val="auto"/>
          <w:sz w:val="24"/>
          <w:highlight w:val="none"/>
        </w:rPr>
        <w:t>17.竞标保证金</w:t>
      </w:r>
      <w:bookmarkEnd w:id="73"/>
    </w:p>
    <w:p w14:paraId="43CF288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75E3A150">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17.2竞标保证金的退还</w:t>
      </w:r>
    </w:p>
    <w:p w14:paraId="25577C1F">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 xml:space="preserve">；成交供应商的竞标保证金自签订合同之日起4个工作日内退还。 </w:t>
      </w:r>
    </w:p>
    <w:p w14:paraId="3377399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17.3竞标保证金不计息。</w:t>
      </w:r>
    </w:p>
    <w:p w14:paraId="7A058EF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329081CA">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79F91DAF">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09994420">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6B5CF0D5">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58DEAE8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250598A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743A0A59">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4" w:name="_Toc31869"/>
      <w:r>
        <w:rPr>
          <w:rFonts w:hint="eastAsia" w:ascii="宋体" w:hAnsi="宋体" w:cs="宋体"/>
          <w:b/>
          <w:bCs/>
          <w:color w:val="auto"/>
          <w:sz w:val="24"/>
          <w:highlight w:val="none"/>
        </w:rPr>
        <w:t>18.响应文件编制的要求</w:t>
      </w:r>
      <w:bookmarkEnd w:id="74"/>
    </w:p>
    <w:p w14:paraId="4E0BEAF8">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eastAsia="宋体" w:cs="宋体"/>
          <w:color w:val="auto"/>
          <w:szCs w:val="21"/>
          <w:highlight w:val="none"/>
          <w:lang w:eastAsia="zh-CN"/>
        </w:rPr>
        <w:t>广西</w:t>
      </w:r>
      <w:r>
        <w:rPr>
          <w:rFonts w:hint="eastAsia" w:ascii="宋体" w:hAnsi="宋体" w:cs="宋体"/>
          <w:color w:val="auto"/>
          <w:szCs w:val="21"/>
          <w:highlight w:val="none"/>
        </w:rPr>
        <w:t>政采云电子交易客户端”（请自行前往“</w:t>
      </w:r>
      <w:r>
        <w:rPr>
          <w:rFonts w:hint="eastAsia" w:ascii="宋体" w:hAnsi="宋体" w:eastAsia="宋体" w:cs="宋体"/>
          <w:color w:val="auto"/>
          <w:szCs w:val="21"/>
          <w:highlight w:val="none"/>
          <w:lang w:eastAsia="zh-CN"/>
        </w:rPr>
        <w:t>广西</w:t>
      </w:r>
      <w:r>
        <w:rPr>
          <w:rFonts w:hint="eastAsia" w:ascii="宋体" w:hAnsi="宋体" w:cs="宋体"/>
          <w:color w:val="auto"/>
          <w:szCs w:val="21"/>
          <w:highlight w:val="none"/>
        </w:rPr>
        <w:t>政采云”平台进行下载），并按照本项目谈判文件规定的格式和顺序和“</w:t>
      </w:r>
      <w:r>
        <w:rPr>
          <w:rFonts w:hint="eastAsia" w:ascii="宋体" w:hAnsi="宋体" w:eastAsia="宋体" w:cs="宋体"/>
          <w:color w:val="auto"/>
          <w:szCs w:val="21"/>
          <w:highlight w:val="none"/>
          <w:lang w:eastAsia="zh-CN"/>
        </w:rPr>
        <w:t>广西</w:t>
      </w:r>
      <w:r>
        <w:rPr>
          <w:rFonts w:hint="eastAsia" w:ascii="宋体" w:hAnsi="宋体" w:cs="宋体"/>
          <w:color w:val="auto"/>
          <w:szCs w:val="21"/>
          <w:highlight w:val="none"/>
        </w:rPr>
        <w:t>政采云”平台的要求编制并加密。响应文件内容不完整、编排混乱导致响应文件被误读、漏读或者查找不到相关内容的，由此引发的后果由供应商承担。</w:t>
      </w:r>
    </w:p>
    <w:p w14:paraId="777C64D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w:t>
      </w:r>
      <w:r>
        <w:rPr>
          <w:rFonts w:hint="eastAsia" w:ascii="宋体" w:hAnsi="宋体" w:eastAsia="宋体" w:cs="宋体"/>
          <w:color w:val="auto"/>
          <w:szCs w:val="21"/>
          <w:highlight w:val="none"/>
          <w:lang w:eastAsia="zh-CN"/>
        </w:rPr>
        <w:t>广西</w:t>
      </w:r>
      <w:r>
        <w:rPr>
          <w:rFonts w:hint="eastAsia" w:ascii="宋体" w:hAnsi="宋体" w:cs="宋体"/>
          <w:color w:val="auto"/>
          <w:szCs w:val="21"/>
          <w:highlight w:val="none"/>
        </w:rPr>
        <w:t>政采云”平台的身份认证，确保在电子竞标过程中能够对相关数据电文进行加密和使用电子签章。</w:t>
      </w:r>
    </w:p>
    <w:p w14:paraId="52340FE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67E204AD">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499EF57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CB394A2">
      <w:pPr>
        <w:pageBreakBefore w:val="0"/>
        <w:widowControl w:val="0"/>
        <w:kinsoku/>
        <w:wordWrap w:val="0"/>
        <w:overflowPunct/>
        <w:topLinePunct w:val="0"/>
        <w:bidi w:val="0"/>
        <w:spacing w:line="400" w:lineRule="exact"/>
        <w:ind w:firstLine="480" w:firstLineChars="200"/>
        <w:outlineLvl w:val="9"/>
        <w:rPr>
          <w:rFonts w:ascii="宋体" w:hAnsi="宋体" w:cs="宋体"/>
          <w:color w:val="auto"/>
          <w:sz w:val="24"/>
          <w:highlight w:val="none"/>
        </w:rPr>
      </w:pPr>
      <w:bookmarkStart w:id="75" w:name="_Toc31481"/>
      <w:r>
        <w:rPr>
          <w:rFonts w:hint="eastAsia" w:ascii="宋体" w:hAnsi="宋体" w:cs="宋体"/>
          <w:b/>
          <w:bCs/>
          <w:color w:val="auto"/>
          <w:sz w:val="24"/>
          <w:highlight w:val="none"/>
        </w:rPr>
        <w:t>19.电子</w:t>
      </w:r>
      <w:r>
        <w:rPr>
          <w:rFonts w:hint="eastAsia" w:ascii="宋体" w:hAnsi="宋体" w:cs="宋体"/>
          <w:b/>
          <w:color w:val="auto"/>
          <w:sz w:val="24"/>
          <w:highlight w:val="none"/>
        </w:rPr>
        <w:t>备份响应文件</w:t>
      </w:r>
      <w:bookmarkEnd w:id="75"/>
    </w:p>
    <w:p w14:paraId="7EC3020B">
      <w:pPr>
        <w:pageBreakBefore w:val="0"/>
        <w:widowControl w:val="0"/>
        <w:kinsoku/>
        <w:wordWrap w:val="0"/>
        <w:overflowPunct/>
        <w:topLinePunct w:val="0"/>
        <w:bidi w:val="0"/>
        <w:spacing w:line="400" w:lineRule="exact"/>
        <w:ind w:firstLine="420" w:firstLineChars="200"/>
        <w:outlineLvl w:val="9"/>
        <w:rPr>
          <w:rFonts w:ascii="宋体" w:hAnsi="宋体" w:cs="宋体"/>
          <w:color w:val="auto"/>
          <w:sz w:val="24"/>
          <w:highlight w:val="none"/>
        </w:rPr>
      </w:pPr>
      <w:r>
        <w:rPr>
          <w:rFonts w:hint="eastAsia" w:ascii="宋体" w:hAnsi="宋体" w:cs="宋体"/>
          <w:color w:val="auto"/>
          <w:highlight w:val="none"/>
        </w:rPr>
        <w:t>电子备份响应文件是指通过“</w:t>
      </w:r>
      <w:r>
        <w:rPr>
          <w:rFonts w:hint="eastAsia" w:ascii="宋体" w:hAnsi="宋体" w:eastAsia="宋体" w:cs="宋体"/>
          <w:color w:val="auto"/>
          <w:szCs w:val="21"/>
          <w:highlight w:val="none"/>
          <w:lang w:eastAsia="zh-CN"/>
        </w:rPr>
        <w:t>广西</w:t>
      </w:r>
      <w:r>
        <w:rPr>
          <w:rFonts w:hint="eastAsia" w:ascii="宋体" w:hAnsi="宋体" w:cs="宋体"/>
          <w:color w:val="auto"/>
          <w:highlight w:val="none"/>
        </w:rPr>
        <w:t>政采云电子投标客户端”在线编制生成且后缀名为“bfbs”的文件，是否接受电子备份响应文件</w:t>
      </w:r>
      <w:r>
        <w:rPr>
          <w:rFonts w:hint="eastAsia" w:ascii="宋体" w:hAnsi="宋体" w:cs="宋体"/>
          <w:bCs/>
          <w:color w:val="auto"/>
          <w:szCs w:val="21"/>
          <w:highlight w:val="none"/>
        </w:rPr>
        <w:t>详见在“供应商须知前附表”。</w:t>
      </w:r>
    </w:p>
    <w:p w14:paraId="355FBB2C">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6" w:name="_Toc30698"/>
      <w:r>
        <w:rPr>
          <w:rFonts w:hint="eastAsia" w:ascii="宋体" w:hAnsi="宋体" w:cs="宋体"/>
          <w:b/>
          <w:bCs/>
          <w:color w:val="auto"/>
          <w:sz w:val="24"/>
          <w:highlight w:val="none"/>
        </w:rPr>
        <w:t>20.响应文件的提交</w:t>
      </w:r>
      <w:bookmarkEnd w:id="76"/>
    </w:p>
    <w:p w14:paraId="0B86A1BF">
      <w:pPr>
        <w:pageBreakBefore w:val="0"/>
        <w:widowControl w:val="0"/>
        <w:kinsoku/>
        <w:wordWrap w:val="0"/>
        <w:overflowPunct/>
        <w:topLinePunct w:val="0"/>
        <w:bidi w:val="0"/>
        <w:spacing w:line="400" w:lineRule="exact"/>
        <w:ind w:firstLine="420" w:firstLineChars="200"/>
        <w:outlineLvl w:val="9"/>
        <w:rPr>
          <w:rFonts w:ascii="宋体" w:hAnsi="宋体" w:cs="宋体"/>
          <w:b/>
          <w:color w:val="auto"/>
          <w:highlight w:val="none"/>
        </w:rPr>
      </w:pPr>
      <w:r>
        <w:rPr>
          <w:rFonts w:hint="eastAsia" w:ascii="宋体" w:hAnsi="宋体" w:cs="宋体"/>
          <w:bCs/>
          <w:color w:val="auto"/>
          <w:szCs w:val="21"/>
          <w:highlight w:val="none"/>
        </w:rPr>
        <w:t>20.1供应商必须按“供应商须知前附表”规定的</w:t>
      </w:r>
      <w:r>
        <w:rPr>
          <w:rFonts w:hint="eastAsia" w:ascii="宋体" w:hAnsi="宋体" w:cs="宋体"/>
          <w:color w:val="auto"/>
          <w:szCs w:val="21"/>
          <w:highlight w:val="none"/>
        </w:rPr>
        <w:t>时间及</w:t>
      </w:r>
      <w:r>
        <w:rPr>
          <w:rFonts w:hint="eastAsia" w:ascii="宋体" w:hAnsi="宋体" w:cs="宋体"/>
          <w:bCs/>
          <w:color w:val="auto"/>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highlight w:val="none"/>
        </w:rPr>
        <w:t>“</w:t>
      </w:r>
      <w:r>
        <w:rPr>
          <w:rFonts w:hint="eastAsia" w:ascii="宋体" w:hAnsi="宋体" w:eastAsia="宋体" w:cs="宋体"/>
          <w:color w:val="auto"/>
          <w:szCs w:val="21"/>
          <w:highlight w:val="none"/>
          <w:lang w:eastAsia="zh-CN"/>
        </w:rPr>
        <w:t>广西</w:t>
      </w:r>
      <w:r>
        <w:rPr>
          <w:rFonts w:hint="eastAsia" w:ascii="宋体" w:hAnsi="宋体" w:cs="宋体"/>
          <w:color w:val="auto"/>
          <w:szCs w:val="21"/>
          <w:highlight w:val="none"/>
        </w:rPr>
        <w:t>政采云”平台</w:t>
      </w:r>
      <w:r>
        <w:rPr>
          <w:rFonts w:hint="eastAsia" w:ascii="宋体" w:hAnsi="宋体" w:cs="宋体"/>
          <w:bCs/>
          <w:color w:val="auto"/>
          <w:szCs w:val="21"/>
          <w:highlight w:val="none"/>
        </w:rPr>
        <w:t>。</w:t>
      </w:r>
    </w:p>
    <w:p w14:paraId="4B6A289F">
      <w:pPr>
        <w:pageBreakBefore w:val="0"/>
        <w:widowControl w:val="0"/>
        <w:kinsoku/>
        <w:wordWrap w:val="0"/>
        <w:overflowPunct/>
        <w:topLinePunct w:val="0"/>
        <w:bidi w:val="0"/>
        <w:spacing w:line="400" w:lineRule="exact"/>
        <w:ind w:firstLine="420" w:firstLineChars="200"/>
        <w:outlineLvl w:val="9"/>
        <w:rPr>
          <w:rFonts w:ascii="宋体" w:hAnsi="宋体" w:cs="宋体"/>
          <w:b/>
          <w:color w:val="auto"/>
          <w:szCs w:val="20"/>
          <w:highlight w:val="none"/>
        </w:rPr>
      </w:pPr>
      <w:r>
        <w:rPr>
          <w:rFonts w:hint="eastAsia" w:ascii="宋体" w:hAnsi="宋体" w:cs="宋体"/>
          <w:b/>
          <w:color w:val="auto"/>
          <w:szCs w:val="21"/>
          <w:highlight w:val="none"/>
        </w:rPr>
        <w:t>20.2未在规定时间内提交或者未按照谈判文件要求加密的电子响应文件，“</w:t>
      </w:r>
      <w:r>
        <w:rPr>
          <w:rFonts w:hint="eastAsia" w:ascii="宋体" w:hAnsi="宋体" w:eastAsia="宋体" w:cs="宋体"/>
          <w:b/>
          <w:bCs/>
          <w:color w:val="auto"/>
          <w:szCs w:val="21"/>
          <w:highlight w:val="none"/>
          <w:lang w:eastAsia="zh-CN"/>
        </w:rPr>
        <w:t>广西</w:t>
      </w:r>
      <w:r>
        <w:rPr>
          <w:rFonts w:hint="eastAsia" w:ascii="宋体" w:hAnsi="宋体" w:cs="宋体"/>
          <w:b/>
          <w:color w:val="auto"/>
          <w:szCs w:val="21"/>
          <w:highlight w:val="none"/>
        </w:rPr>
        <w:t>政采云”平台将拒收。</w:t>
      </w:r>
    </w:p>
    <w:p w14:paraId="02667D4F">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77" w:name="_Toc5532"/>
      <w:r>
        <w:rPr>
          <w:rFonts w:hint="eastAsia" w:ascii="宋体" w:hAnsi="宋体" w:cs="宋体"/>
          <w:b/>
          <w:bCs/>
          <w:color w:val="auto"/>
          <w:sz w:val="24"/>
          <w:highlight w:val="none"/>
        </w:rPr>
        <w:t>21.首次响应文件的补充、修改与撤回</w:t>
      </w:r>
      <w:bookmarkEnd w:id="77"/>
    </w:p>
    <w:p w14:paraId="4194BFD7">
      <w:pPr>
        <w:pageBreakBefore w:val="0"/>
        <w:widowControl w:val="0"/>
        <w:kinsoku/>
        <w:wordWrap w:val="0"/>
        <w:overflowPunct/>
        <w:topLinePunct w:val="0"/>
        <w:bidi w:val="0"/>
        <w:snapToGrid w:val="0"/>
        <w:spacing w:line="400" w:lineRule="exact"/>
        <w:ind w:firstLine="420" w:firstLineChars="200"/>
        <w:jc w:val="left"/>
        <w:outlineLvl w:val="9"/>
        <w:rPr>
          <w:rFonts w:ascii="宋体" w:hAnsi="宋体" w:cs="宋体"/>
          <w:color w:val="auto"/>
          <w:szCs w:val="21"/>
          <w:highlight w:val="none"/>
        </w:rPr>
      </w:pPr>
      <w:bookmarkStart w:id="78" w:name="_Toc254970543"/>
      <w:bookmarkStart w:id="79" w:name="_Toc254970684"/>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eastAsia="宋体" w:cs="宋体"/>
          <w:color w:val="auto"/>
          <w:szCs w:val="21"/>
          <w:highlight w:val="none"/>
          <w:lang w:eastAsia="zh-CN"/>
        </w:rPr>
        <w:t>广西</w:t>
      </w:r>
      <w:r>
        <w:rPr>
          <w:rFonts w:hint="eastAsia" w:ascii="宋体" w:hAnsi="宋体" w:cs="宋体"/>
          <w:bCs/>
          <w:color w:val="auto"/>
          <w:szCs w:val="21"/>
          <w:highlight w:val="none"/>
        </w:rPr>
        <w:t>政采云”平台将予以拒收。</w:t>
      </w:r>
      <w:r>
        <w:rPr>
          <w:rFonts w:hint="eastAsia" w:ascii="宋体" w:hAnsi="宋体" w:cs="宋体"/>
          <w:color w:val="auto"/>
          <w:szCs w:val="21"/>
          <w:highlight w:val="none"/>
        </w:rPr>
        <w:t>（补充、修改或者撤回方式可登陆</w:t>
      </w:r>
      <w:r>
        <w:rPr>
          <w:rFonts w:hint="eastAsia" w:ascii="宋体" w:hAnsi="宋体" w:cs="宋体"/>
          <w:color w:val="auto"/>
          <w:kern w:val="0"/>
          <w:szCs w:val="21"/>
          <w:highlight w:val="none"/>
        </w:rPr>
        <w:t>“</w:t>
      </w:r>
      <w:r>
        <w:rPr>
          <w:rFonts w:hint="eastAsia" w:ascii="宋体" w:hAnsi="宋体" w:eastAsia="宋体" w:cs="宋体"/>
          <w:color w:val="auto"/>
          <w:szCs w:val="21"/>
          <w:highlight w:val="none"/>
          <w:lang w:eastAsia="zh-CN"/>
        </w:rPr>
        <w:t>广西</w:t>
      </w:r>
      <w:r>
        <w:rPr>
          <w:rFonts w:hint="eastAsia" w:ascii="宋体" w:hAnsi="宋体" w:cs="宋体"/>
          <w:color w:val="auto"/>
          <w:kern w:val="0"/>
          <w:szCs w:val="21"/>
          <w:highlight w:val="none"/>
        </w:rPr>
        <w:t>政采云”平台，</w:t>
      </w:r>
      <w:r>
        <w:rPr>
          <w:rFonts w:hint="eastAsia" w:ascii="宋体" w:hAnsi="宋体" w:cs="宋体"/>
          <w:color w:val="auto"/>
          <w:szCs w:val="21"/>
          <w:highlight w:val="none"/>
        </w:rPr>
        <w:t>进入“服务中心”中查看“电子投标文件制作与投送教程”）。</w:t>
      </w:r>
    </w:p>
    <w:bookmarkEnd w:id="78"/>
    <w:bookmarkEnd w:id="79"/>
    <w:p w14:paraId="1E7D428B">
      <w:pPr>
        <w:pStyle w:val="30"/>
        <w:pageBreakBefore w:val="0"/>
        <w:widowControl w:val="0"/>
        <w:kinsoku/>
        <w:wordWrap w:val="0"/>
        <w:overflowPunct/>
        <w:topLinePunct w:val="0"/>
        <w:bidi w:val="0"/>
        <w:spacing w:before="0" w:line="400" w:lineRule="exact"/>
        <w:ind w:firstLine="420"/>
        <w:outlineLvl w:val="9"/>
        <w:rPr>
          <w:rFonts w:ascii="宋体" w:hAnsi="宋体" w:cs="宋体"/>
          <w:color w:val="auto"/>
          <w:sz w:val="21"/>
          <w:szCs w:val="21"/>
          <w:highlight w:val="none"/>
        </w:rPr>
      </w:pPr>
      <w:r>
        <w:rPr>
          <w:rFonts w:hint="eastAsia" w:ascii="宋体" w:hAnsi="宋体" w:cs="宋体"/>
          <w:color w:val="auto"/>
          <w:sz w:val="21"/>
          <w:szCs w:val="21"/>
          <w:highlight w:val="none"/>
        </w:rPr>
        <w:t>21.2在提交响应文件截止时间前，除供应商补充、修改或者撤回响应文件外，任何单位和个人不得解密或提取响应文件。</w:t>
      </w:r>
    </w:p>
    <w:p w14:paraId="53D1D6D4">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0" w:name="_Toc17895"/>
      <w:r>
        <w:rPr>
          <w:rFonts w:hint="eastAsia" w:ascii="宋体" w:hAnsi="宋体" w:cs="宋体"/>
          <w:b/>
          <w:bCs/>
          <w:color w:val="auto"/>
          <w:sz w:val="24"/>
          <w:highlight w:val="none"/>
        </w:rPr>
        <w:t>22.响应文件的退回</w:t>
      </w:r>
      <w:bookmarkEnd w:id="80"/>
    </w:p>
    <w:p w14:paraId="758D2E5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277015B">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1" w:name="_Toc1042"/>
      <w:r>
        <w:rPr>
          <w:rFonts w:hint="eastAsia" w:ascii="宋体" w:hAnsi="宋体" w:cs="宋体"/>
          <w:b/>
          <w:bCs/>
          <w:color w:val="auto"/>
          <w:sz w:val="24"/>
          <w:highlight w:val="none"/>
        </w:rPr>
        <w:t>23.截止时间后的撤回</w:t>
      </w:r>
      <w:bookmarkEnd w:id="81"/>
    </w:p>
    <w:p w14:paraId="1D4B36EA">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65D79273">
      <w:pPr>
        <w:pageBreakBefore w:val="0"/>
        <w:widowControl w:val="0"/>
        <w:kinsoku/>
        <w:wordWrap w:val="0"/>
        <w:overflowPunct/>
        <w:topLinePunct w:val="0"/>
        <w:bidi w:val="0"/>
        <w:spacing w:line="400" w:lineRule="exact"/>
        <w:ind w:firstLine="640" w:firstLineChars="200"/>
        <w:jc w:val="center"/>
        <w:rPr>
          <w:rFonts w:ascii="宋体" w:hAnsi="宋体" w:cs="宋体"/>
          <w:b/>
          <w:color w:val="auto"/>
          <w:sz w:val="32"/>
          <w:szCs w:val="32"/>
          <w:highlight w:val="none"/>
        </w:rPr>
      </w:pPr>
    </w:p>
    <w:p w14:paraId="64907620">
      <w:pPr>
        <w:pageBreakBefore w:val="0"/>
        <w:widowControl w:val="0"/>
        <w:kinsoku/>
        <w:wordWrap w:val="0"/>
        <w:overflowPunct/>
        <w:topLinePunct w:val="0"/>
        <w:bidi w:val="0"/>
        <w:spacing w:line="400" w:lineRule="exact"/>
        <w:jc w:val="center"/>
        <w:outlineLvl w:val="2"/>
        <w:rPr>
          <w:rFonts w:ascii="宋体" w:hAnsi="宋体" w:cs="宋体"/>
          <w:b/>
          <w:color w:val="auto"/>
          <w:sz w:val="32"/>
          <w:szCs w:val="32"/>
          <w:highlight w:val="none"/>
        </w:rPr>
      </w:pPr>
      <w:bookmarkStart w:id="82" w:name="_Toc23258"/>
      <w:r>
        <w:rPr>
          <w:rFonts w:hint="eastAsia" w:ascii="宋体" w:hAnsi="宋体" w:cs="宋体"/>
          <w:b/>
          <w:color w:val="auto"/>
          <w:sz w:val="32"/>
          <w:szCs w:val="32"/>
          <w:highlight w:val="none"/>
        </w:rPr>
        <w:t>四、评审及谈判</w:t>
      </w:r>
      <w:bookmarkEnd w:id="82"/>
    </w:p>
    <w:p w14:paraId="329DDBD4">
      <w:pPr>
        <w:pageBreakBefore w:val="0"/>
        <w:widowControl w:val="0"/>
        <w:kinsoku/>
        <w:wordWrap w:val="0"/>
        <w:overflowPunct/>
        <w:topLinePunct w:val="0"/>
        <w:bidi w:val="0"/>
        <w:spacing w:line="400" w:lineRule="exact"/>
        <w:ind w:firstLine="420" w:firstLineChars="200"/>
        <w:rPr>
          <w:rFonts w:ascii="宋体" w:hAnsi="宋体" w:cs="宋体"/>
          <w:color w:val="auto"/>
          <w:szCs w:val="21"/>
          <w:highlight w:val="none"/>
        </w:rPr>
      </w:pPr>
    </w:p>
    <w:p w14:paraId="376E1A01">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3" w:name="_Toc26453"/>
      <w:r>
        <w:rPr>
          <w:rFonts w:hint="eastAsia" w:ascii="宋体" w:hAnsi="宋体" w:cs="宋体"/>
          <w:b/>
          <w:bCs/>
          <w:color w:val="auto"/>
          <w:sz w:val="24"/>
          <w:highlight w:val="none"/>
        </w:rPr>
        <w:t>24.谈判小组成立</w:t>
      </w:r>
      <w:bookmarkEnd w:id="83"/>
    </w:p>
    <w:p w14:paraId="3C0B437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0CD3A6F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29FD614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24.3采购代理机构应当基于“广西政采云”平台抽（选）取评审专家。</w:t>
      </w:r>
    </w:p>
    <w:p w14:paraId="11724A7B">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4" w:name="_Toc345"/>
      <w:r>
        <w:rPr>
          <w:rFonts w:hint="eastAsia" w:ascii="宋体" w:hAnsi="宋体" w:cs="宋体"/>
          <w:b/>
          <w:bCs/>
          <w:color w:val="auto"/>
          <w:sz w:val="24"/>
          <w:highlight w:val="none"/>
        </w:rPr>
        <w:t>25.首次响应文件的开启和解密</w:t>
      </w:r>
      <w:bookmarkEnd w:id="84"/>
    </w:p>
    <w:p w14:paraId="2F2B9F36">
      <w:pPr>
        <w:pageBreakBefore w:val="0"/>
        <w:widowControl w:val="0"/>
        <w:kinsoku/>
        <w:wordWrap w:val="0"/>
        <w:overflowPunct/>
        <w:topLinePunct w:val="0"/>
        <w:bidi w:val="0"/>
        <w:spacing w:line="400" w:lineRule="exact"/>
        <w:ind w:firstLine="420" w:firstLineChars="200"/>
        <w:outlineLvl w:val="9"/>
        <w:rPr>
          <w:rFonts w:ascii="宋体" w:hAnsi="宋体" w:cs="宋体"/>
          <w:b/>
          <w:bCs/>
          <w:color w:val="auto"/>
          <w:sz w:val="24"/>
          <w:highlight w:val="none"/>
        </w:rPr>
      </w:pPr>
      <w:r>
        <w:rPr>
          <w:rFonts w:hint="eastAsia" w:ascii="宋体" w:hAnsi="宋体" w:cs="宋体"/>
          <w:bCs/>
          <w:color w:val="auto"/>
          <w:highlight w:val="none"/>
        </w:rPr>
        <w:t>采购代理机构将在“供应商须知前附表”规定的时</w:t>
      </w:r>
      <w:r>
        <w:rPr>
          <w:rFonts w:hint="eastAsia" w:ascii="宋体" w:hAnsi="宋体" w:cs="宋体"/>
          <w:color w:val="auto"/>
          <w:highlight w:val="none"/>
        </w:rPr>
        <w:t>间通过电子交易平台组织响应文件开启，供应商的法定代表人或其委托代理人须携带加密时所用的CA锁，按平台提示和谈判文件的规定登录到“</w:t>
      </w:r>
      <w:r>
        <w:rPr>
          <w:rFonts w:hint="eastAsia" w:ascii="宋体" w:hAnsi="宋体" w:eastAsia="宋体" w:cs="宋体"/>
          <w:color w:val="auto"/>
          <w:highlight w:val="none"/>
          <w:lang w:eastAsia="zh-CN"/>
        </w:rPr>
        <w:t>广西</w:t>
      </w:r>
      <w:r>
        <w:rPr>
          <w:rFonts w:hint="eastAsia" w:ascii="宋体" w:hAnsi="宋体" w:cs="宋体"/>
          <w:color w:val="auto"/>
          <w:highlight w:val="none"/>
        </w:rPr>
        <w:t>政采云”平台电子开标大厅签到，采购代理机构依托“</w:t>
      </w:r>
      <w:r>
        <w:rPr>
          <w:rFonts w:hint="eastAsia" w:ascii="宋体" w:hAnsi="宋体" w:eastAsia="宋体" w:cs="宋体"/>
          <w:color w:val="auto"/>
          <w:highlight w:val="none"/>
          <w:lang w:eastAsia="zh-CN"/>
        </w:rPr>
        <w:t>广西</w:t>
      </w:r>
      <w:r>
        <w:rPr>
          <w:rFonts w:hint="eastAsia" w:ascii="宋体" w:hAnsi="宋体" w:cs="宋体"/>
          <w:color w:val="auto"/>
          <w:highlight w:val="none"/>
        </w:rPr>
        <w:t>政采云”平台向各供应商发出电子加密响应文件【开始解密】通知，由供应商按</w:t>
      </w:r>
      <w:r>
        <w:rPr>
          <w:rFonts w:hint="eastAsia" w:ascii="宋体" w:hAnsi="宋体" w:cs="宋体"/>
          <w:bCs/>
          <w:color w:val="auto"/>
          <w:szCs w:val="21"/>
          <w:highlight w:val="none"/>
        </w:rPr>
        <w:t>“供应商须知前附表”</w:t>
      </w:r>
      <w:r>
        <w:rPr>
          <w:rFonts w:hint="eastAsia" w:ascii="宋体" w:hAnsi="宋体" w:cs="宋体"/>
          <w:color w:val="auto"/>
          <w:highlight w:val="none"/>
        </w:rPr>
        <w:t>规定的时间内自行进行响应文件解密。</w:t>
      </w:r>
      <w:r>
        <w:rPr>
          <w:rFonts w:hint="eastAsia" w:ascii="宋体" w:hAnsi="宋体" w:cs="宋体"/>
          <w:b/>
          <w:color w:val="auto"/>
          <w:highlight w:val="none"/>
        </w:rPr>
        <w:t>供应商未在规定的时间内解密响应文件或者解密失败的，供应商</w:t>
      </w:r>
      <w:r>
        <w:rPr>
          <w:rFonts w:hint="eastAsia" w:ascii="宋体" w:hAnsi="宋体" w:cs="宋体"/>
          <w:b/>
          <w:color w:val="auto"/>
          <w:szCs w:val="21"/>
          <w:highlight w:val="none"/>
        </w:rPr>
        <w:t>的响应文件作无效处理</w:t>
      </w:r>
      <w:r>
        <w:rPr>
          <w:rFonts w:hint="eastAsia" w:ascii="宋体" w:hAnsi="宋体" w:cs="宋体"/>
          <w:b/>
          <w:color w:val="auto"/>
          <w:highlight w:val="none"/>
        </w:rPr>
        <w:t>。</w:t>
      </w:r>
    </w:p>
    <w:p w14:paraId="72368906">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5" w:name="_Toc24351"/>
      <w:r>
        <w:rPr>
          <w:rFonts w:hint="eastAsia" w:ascii="宋体" w:hAnsi="宋体" w:cs="宋体"/>
          <w:b/>
          <w:bCs/>
          <w:color w:val="auto"/>
          <w:sz w:val="24"/>
          <w:highlight w:val="none"/>
        </w:rPr>
        <w:t>26.评审程序和评定成交的标准</w:t>
      </w:r>
      <w:bookmarkEnd w:id="85"/>
    </w:p>
    <w:p w14:paraId="3F810D92">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26.1谈判小组按照“第四章 评审程序和评定成交的标准”规定的评审程序对响应文件进行评审，并按照评定成交的标准推荐成交候选供应商。评审价相同时，成交候选供应商推荐顺序见“供应商须知前附表”。</w:t>
      </w:r>
    </w:p>
    <w:p w14:paraId="36361731">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26.2商务/技术要求允许负偏离的条款数详见“供应商须知前附表”。</w:t>
      </w:r>
    </w:p>
    <w:p w14:paraId="33ABD21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EF03A43">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26.4电子交易活动的中止。采购过程中出现以下情形，导致电子交易平台无法正常运行，或者无法保证电子交易的公平、公正和安全时，采购机构可中止电子交易活动：</w:t>
      </w:r>
    </w:p>
    <w:p w14:paraId="58417E7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7C002186">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5C8E831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4339467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55511F86">
      <w:pPr>
        <w:pageBreakBefore w:val="0"/>
        <w:widowControl w:val="0"/>
        <w:kinsoku/>
        <w:wordWrap w:val="0"/>
        <w:overflowPunct/>
        <w:topLinePunct w:val="0"/>
        <w:bidi w:val="0"/>
        <w:spacing w:line="400" w:lineRule="exact"/>
        <w:ind w:firstLine="420" w:firstLineChars="200"/>
        <w:outlineLvl w:val="9"/>
        <w:rPr>
          <w:rFonts w:hAnsi="宋体"/>
          <w:color w:val="auto"/>
          <w:highlight w:val="none"/>
        </w:rPr>
      </w:pPr>
      <w:r>
        <w:rPr>
          <w:rFonts w:hint="eastAsia" w:ascii="宋体" w:hAnsi="宋体" w:cs="宋体"/>
          <w:color w:val="auto"/>
          <w:szCs w:val="21"/>
          <w:highlight w:val="none"/>
        </w:rPr>
        <w:t>（5）其他无法保</w:t>
      </w:r>
      <w:r>
        <w:rPr>
          <w:rFonts w:hint="eastAsia" w:hAnsi="宋体"/>
          <w:color w:val="auto"/>
          <w:highlight w:val="none"/>
        </w:rPr>
        <w:t>证电子交易的公平、公正和安全的情况。</w:t>
      </w:r>
    </w:p>
    <w:p w14:paraId="78321A7F">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1366CB8">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6" w:name="_Toc17355"/>
      <w:r>
        <w:rPr>
          <w:rFonts w:hint="eastAsia" w:ascii="宋体" w:hAnsi="宋体" w:cs="宋体"/>
          <w:b/>
          <w:bCs/>
          <w:color w:val="auto"/>
          <w:sz w:val="24"/>
          <w:highlight w:val="none"/>
        </w:rPr>
        <w:t>27.确定成交供应商及结果公告</w:t>
      </w:r>
      <w:bookmarkEnd w:id="86"/>
    </w:p>
    <w:p w14:paraId="0162B66C">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B453047">
      <w:pPr>
        <w:pStyle w:val="7"/>
        <w:pageBreakBefore w:val="0"/>
        <w:widowControl w:val="0"/>
        <w:kinsoku/>
        <w:wordWrap w:val="0"/>
        <w:overflowPunct/>
        <w:topLinePunct w:val="0"/>
        <w:bidi w:val="0"/>
        <w:spacing w:line="400" w:lineRule="exact"/>
        <w:ind w:firstLine="420" w:firstLineChars="200"/>
        <w:outlineLvl w:val="9"/>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3401EB04">
      <w:pPr>
        <w:pStyle w:val="7"/>
        <w:pageBreakBefore w:val="0"/>
        <w:widowControl w:val="0"/>
        <w:kinsoku/>
        <w:wordWrap w:val="0"/>
        <w:overflowPunct/>
        <w:topLinePunct w:val="0"/>
        <w:bidi w:val="0"/>
        <w:spacing w:line="400" w:lineRule="exact"/>
        <w:ind w:firstLine="420" w:firstLineChars="200"/>
        <w:outlineLvl w:val="9"/>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749A4F53">
      <w:pPr>
        <w:pStyle w:val="7"/>
        <w:pageBreakBefore w:val="0"/>
        <w:widowControl w:val="0"/>
        <w:kinsoku/>
        <w:wordWrap w:val="0"/>
        <w:overflowPunct/>
        <w:topLinePunct w:val="0"/>
        <w:bidi w:val="0"/>
        <w:spacing w:line="400" w:lineRule="exact"/>
        <w:ind w:firstLine="420" w:firstLineChars="200"/>
        <w:outlineLvl w:val="9"/>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4B46DFBD">
      <w:pPr>
        <w:pStyle w:val="7"/>
        <w:pageBreakBefore w:val="0"/>
        <w:widowControl w:val="0"/>
        <w:kinsoku/>
        <w:wordWrap w:val="0"/>
        <w:overflowPunct/>
        <w:topLinePunct w:val="0"/>
        <w:bidi w:val="0"/>
        <w:spacing w:line="400" w:lineRule="exact"/>
        <w:ind w:firstLine="420" w:firstLineChars="200"/>
        <w:outlineLvl w:val="9"/>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14:paraId="5D1CF333">
      <w:pPr>
        <w:pStyle w:val="7"/>
        <w:pageBreakBefore w:val="0"/>
        <w:widowControl w:val="0"/>
        <w:kinsoku/>
        <w:wordWrap w:val="0"/>
        <w:overflowPunct/>
        <w:topLinePunct w:val="0"/>
        <w:bidi w:val="0"/>
        <w:spacing w:line="400" w:lineRule="exact"/>
        <w:ind w:firstLine="420" w:firstLineChars="200"/>
        <w:outlineLvl w:val="9"/>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566B0546">
      <w:pPr>
        <w:pStyle w:val="7"/>
        <w:pageBreakBefore w:val="0"/>
        <w:widowControl w:val="0"/>
        <w:kinsoku/>
        <w:wordWrap w:val="0"/>
        <w:overflowPunct/>
        <w:topLinePunct w:val="0"/>
        <w:bidi w:val="0"/>
        <w:spacing w:line="400" w:lineRule="exact"/>
        <w:ind w:firstLine="420" w:firstLineChars="200"/>
        <w:outlineLvl w:val="9"/>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77A9B2E8">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7" w:name="_Toc22405"/>
      <w:r>
        <w:rPr>
          <w:rFonts w:hint="eastAsia" w:ascii="宋体" w:hAnsi="宋体" w:cs="宋体"/>
          <w:b/>
          <w:bCs/>
          <w:color w:val="auto"/>
          <w:sz w:val="24"/>
          <w:highlight w:val="none"/>
        </w:rPr>
        <w:t>28.履约保证金</w:t>
      </w:r>
      <w:bookmarkEnd w:id="87"/>
    </w:p>
    <w:p w14:paraId="11564239">
      <w:pPr>
        <w:pStyle w:val="7"/>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5FD0EB37">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28.2在履约保证金退还日期前，若成交供应商的开户名称、开户银行、帐号有变动的，请以书面形式通知履约保证金收取单位，否则由此产生的后果由成交供应商自负。</w:t>
      </w:r>
    </w:p>
    <w:p w14:paraId="6596151A">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8" w:name="_Toc25610"/>
      <w:r>
        <w:rPr>
          <w:rFonts w:hint="eastAsia" w:ascii="宋体" w:hAnsi="宋体" w:cs="宋体"/>
          <w:b/>
          <w:bCs/>
          <w:color w:val="auto"/>
          <w:sz w:val="24"/>
          <w:highlight w:val="none"/>
        </w:rPr>
        <w:t>29.签订合同</w:t>
      </w:r>
      <w:bookmarkEnd w:id="88"/>
    </w:p>
    <w:p w14:paraId="6505FAB4">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57C10A3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A8225FA">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8D6794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0DA020F">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BF53CE8">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570DC03B">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6B59977E">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BA2350D">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89" w:name="_Toc141"/>
      <w:r>
        <w:rPr>
          <w:rFonts w:hint="eastAsia" w:ascii="宋体" w:hAnsi="宋体" w:cs="宋体"/>
          <w:b/>
          <w:bCs/>
          <w:color w:val="auto"/>
          <w:sz w:val="24"/>
          <w:highlight w:val="none"/>
        </w:rPr>
        <w:t>30.政府采购合同公告</w:t>
      </w:r>
      <w:bookmarkEnd w:id="89"/>
    </w:p>
    <w:p w14:paraId="34728C65">
      <w:pPr>
        <w:pageBreakBefore w:val="0"/>
        <w:widowControl w:val="0"/>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966601C">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90" w:name="_Toc22846"/>
      <w:r>
        <w:rPr>
          <w:rFonts w:hint="eastAsia" w:ascii="宋体" w:hAnsi="宋体" w:cs="宋体"/>
          <w:b/>
          <w:bCs/>
          <w:color w:val="auto"/>
          <w:sz w:val="24"/>
          <w:highlight w:val="none"/>
        </w:rPr>
        <w:t>31.询问、质疑和投诉</w:t>
      </w:r>
      <w:bookmarkEnd w:id="90"/>
    </w:p>
    <w:p w14:paraId="14EA1910">
      <w:pPr>
        <w:pStyle w:val="6"/>
        <w:pageBreakBefore w:val="0"/>
        <w:widowControl w:val="0"/>
        <w:kinsoku/>
        <w:wordWrap w:val="0"/>
        <w:overflowPunct/>
        <w:topLinePunct w:val="0"/>
        <w:bidi w:val="0"/>
        <w:spacing w:line="400" w:lineRule="exact"/>
        <w:ind w:firstLineChars="200"/>
        <w:outlineLvl w:val="9"/>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p>
    <w:p w14:paraId="28379FA3">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0649EFDE">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72089DB4">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B9ACE9F">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DE25CE8">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3C886DF">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72ABDBCE">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35AC3B06">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（2）质疑项目的名称、编号；</w:t>
      </w:r>
    </w:p>
    <w:p w14:paraId="7CCBCC4D">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DA9B260">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（4）事实依据；</w:t>
      </w:r>
    </w:p>
    <w:p w14:paraId="5F041A54">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（5）必要的法律依据；</w:t>
      </w:r>
    </w:p>
    <w:p w14:paraId="2F839516">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（6）提出质疑的日期。</w:t>
      </w:r>
    </w:p>
    <w:p w14:paraId="06DC6DCD">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DE71B34">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714C43DD">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5441B941">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15D55D65">
      <w:pPr>
        <w:pageBreakBefore w:val="0"/>
        <w:widowControl w:val="0"/>
        <w:kinsoku/>
        <w:wordWrap w:val="0"/>
        <w:overflowPunct/>
        <w:topLinePunct w:val="0"/>
        <w:bidi w:val="0"/>
        <w:spacing w:line="400" w:lineRule="exact"/>
        <w:ind w:firstLine="420" w:firstLineChars="200"/>
        <w:outlineLvl w:val="9"/>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865266C">
      <w:pPr>
        <w:pageBreakBefore w:val="0"/>
        <w:widowControl w:val="0"/>
        <w:kinsoku/>
        <w:wordWrap w:val="0"/>
        <w:overflowPunct/>
        <w:topLinePunct w:val="0"/>
        <w:bidi w:val="0"/>
        <w:spacing w:line="400" w:lineRule="exact"/>
        <w:ind w:firstLine="420" w:firstLineChars="200"/>
        <w:outlineLvl w:val="9"/>
        <w:rPr>
          <w:rFonts w:ascii="宋体" w:hAnsi="宋体" w:cs="宋体"/>
          <w:b/>
          <w:bCs/>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65E205F">
      <w:pPr>
        <w:pageBreakBefore w:val="0"/>
        <w:widowControl w:val="0"/>
        <w:kinsoku/>
        <w:wordWrap w:val="0"/>
        <w:overflowPunct/>
        <w:topLinePunct w:val="0"/>
        <w:bidi w:val="0"/>
        <w:spacing w:line="400" w:lineRule="exact"/>
        <w:ind w:firstLine="480" w:firstLineChars="200"/>
        <w:outlineLvl w:val="9"/>
        <w:rPr>
          <w:rFonts w:ascii="宋体" w:hAnsi="宋体" w:cs="宋体"/>
          <w:b/>
          <w:bCs/>
          <w:color w:val="auto"/>
          <w:sz w:val="24"/>
          <w:highlight w:val="none"/>
        </w:rPr>
      </w:pPr>
      <w:bookmarkStart w:id="91" w:name="_Toc10031"/>
      <w:r>
        <w:rPr>
          <w:rFonts w:hint="eastAsia" w:ascii="宋体" w:hAnsi="宋体" w:cs="宋体"/>
          <w:b/>
          <w:bCs/>
          <w:color w:val="auto"/>
          <w:sz w:val="24"/>
          <w:highlight w:val="none"/>
        </w:rPr>
        <w:t>32.其他内容</w:t>
      </w:r>
      <w:bookmarkEnd w:id="91"/>
    </w:p>
    <w:p w14:paraId="38A81521">
      <w:pPr>
        <w:pageBreakBefore w:val="0"/>
        <w:widowControl w:val="0"/>
        <w:tabs>
          <w:tab w:val="left" w:pos="2835"/>
        </w:tabs>
        <w:kinsoku/>
        <w:wordWrap w:val="0"/>
        <w:overflowPunct/>
        <w:topLinePunct w:val="0"/>
        <w:bidi w:val="0"/>
        <w:spacing w:line="400" w:lineRule="exact"/>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32.1代理服务收取标准详见“供应商须知前附表”，供应商为联合体的，可以由联合体中的一方或者多方共同交纳代理服务费。</w:t>
      </w:r>
    </w:p>
    <w:p w14:paraId="32DC0794">
      <w:pPr>
        <w:pStyle w:val="18"/>
        <w:pageBreakBefore w:val="0"/>
        <w:widowControl w:val="0"/>
        <w:kinsoku/>
        <w:wordWrap w:val="0"/>
        <w:overflowPunct/>
        <w:topLinePunct w:val="0"/>
        <w:bidi w:val="0"/>
        <w:spacing w:line="400" w:lineRule="exact"/>
        <w:ind w:firstLineChars="200"/>
        <w:outlineLvl w:val="9"/>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1"/>
        <w:gridCol w:w="1877"/>
        <w:gridCol w:w="1733"/>
        <w:gridCol w:w="1751"/>
      </w:tblGrid>
      <w:tr w14:paraId="6C1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tcBorders>
              <w:tl2br w:val="single" w:color="auto" w:sz="4" w:space="0"/>
            </w:tcBorders>
          </w:tcPr>
          <w:p w14:paraId="142B773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outlineLvl w:val="9"/>
              <w:rPr>
                <w:rFonts w:hint="default" w:ascii="宋体" w:hAnsi="宋体" w:cs="宋体"/>
                <w:color w:val="auto"/>
                <w:szCs w:val="21"/>
                <w:highlight w:val="none"/>
              </w:rPr>
            </w:pPr>
            <w:r>
              <w:rPr>
                <w:rFonts w:hint="eastAsia" w:ascii="宋体" w:hAnsi="宋体" w:cs="宋体"/>
                <w:color w:val="auto"/>
                <w:szCs w:val="21"/>
                <w:highlight w:val="none"/>
              </w:rPr>
              <w:t xml:space="preserve">                        费率</w:t>
            </w:r>
          </w:p>
          <w:p w14:paraId="58EFF07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630" w:firstLineChars="300"/>
              <w:outlineLvl w:val="9"/>
              <w:rPr>
                <w:rFonts w:hint="default" w:ascii="宋体" w:hAnsi="宋体" w:cs="宋体"/>
                <w:color w:val="auto"/>
                <w:szCs w:val="21"/>
                <w:highlight w:val="none"/>
              </w:rPr>
            </w:pPr>
            <w:r>
              <w:rPr>
                <w:rFonts w:hint="eastAsia" w:ascii="宋体" w:hAnsi="宋体" w:cs="宋体"/>
                <w:color w:val="auto"/>
                <w:szCs w:val="21"/>
                <w:highlight w:val="none"/>
              </w:rPr>
              <w:t>金额</w:t>
            </w:r>
          </w:p>
        </w:tc>
        <w:tc>
          <w:tcPr>
            <w:tcW w:w="1911" w:type="dxa"/>
            <w:vAlign w:val="center"/>
          </w:tcPr>
          <w:p w14:paraId="2BF834D8">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货物类</w:t>
            </w:r>
          </w:p>
        </w:tc>
        <w:tc>
          <w:tcPr>
            <w:tcW w:w="1765" w:type="dxa"/>
            <w:vAlign w:val="center"/>
          </w:tcPr>
          <w:p w14:paraId="7A179A9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服务类</w:t>
            </w:r>
          </w:p>
        </w:tc>
        <w:tc>
          <w:tcPr>
            <w:tcW w:w="1783" w:type="dxa"/>
            <w:vAlign w:val="center"/>
          </w:tcPr>
          <w:p w14:paraId="134D1486">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工程类</w:t>
            </w:r>
          </w:p>
        </w:tc>
      </w:tr>
      <w:tr w14:paraId="319E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256C9B26">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100万元以下</w:t>
            </w:r>
          </w:p>
        </w:tc>
        <w:tc>
          <w:tcPr>
            <w:tcW w:w="1911" w:type="dxa"/>
            <w:vAlign w:val="center"/>
          </w:tcPr>
          <w:p w14:paraId="052C72D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1.5%</w:t>
            </w:r>
          </w:p>
        </w:tc>
        <w:tc>
          <w:tcPr>
            <w:tcW w:w="1765" w:type="dxa"/>
            <w:vAlign w:val="center"/>
          </w:tcPr>
          <w:p w14:paraId="134D52C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1.5%</w:t>
            </w:r>
          </w:p>
        </w:tc>
        <w:tc>
          <w:tcPr>
            <w:tcW w:w="1783" w:type="dxa"/>
            <w:vAlign w:val="center"/>
          </w:tcPr>
          <w:p w14:paraId="365D0E0A">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1.0%</w:t>
            </w:r>
          </w:p>
        </w:tc>
      </w:tr>
      <w:tr w14:paraId="158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658EDE3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100～500万元</w:t>
            </w:r>
          </w:p>
        </w:tc>
        <w:tc>
          <w:tcPr>
            <w:tcW w:w="1911" w:type="dxa"/>
            <w:vAlign w:val="center"/>
          </w:tcPr>
          <w:p w14:paraId="17D4BCB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1.1%</w:t>
            </w:r>
          </w:p>
        </w:tc>
        <w:tc>
          <w:tcPr>
            <w:tcW w:w="1765" w:type="dxa"/>
            <w:vAlign w:val="center"/>
          </w:tcPr>
          <w:p w14:paraId="0E41E314">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0.8%</w:t>
            </w:r>
          </w:p>
        </w:tc>
        <w:tc>
          <w:tcPr>
            <w:tcW w:w="1783" w:type="dxa"/>
            <w:vAlign w:val="center"/>
          </w:tcPr>
          <w:p w14:paraId="7A59712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0.7%</w:t>
            </w:r>
          </w:p>
        </w:tc>
      </w:tr>
      <w:tr w14:paraId="5068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6FD2CAF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500～1000万元</w:t>
            </w:r>
          </w:p>
        </w:tc>
        <w:tc>
          <w:tcPr>
            <w:tcW w:w="1911" w:type="dxa"/>
            <w:vAlign w:val="center"/>
          </w:tcPr>
          <w:p w14:paraId="6C81E3CF">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0.8%</w:t>
            </w:r>
          </w:p>
        </w:tc>
        <w:tc>
          <w:tcPr>
            <w:tcW w:w="1765" w:type="dxa"/>
            <w:vAlign w:val="center"/>
          </w:tcPr>
          <w:p w14:paraId="31EF554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0.45%</w:t>
            </w:r>
          </w:p>
        </w:tc>
        <w:tc>
          <w:tcPr>
            <w:tcW w:w="1783" w:type="dxa"/>
            <w:vAlign w:val="center"/>
          </w:tcPr>
          <w:p w14:paraId="415E2FB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0.55%</w:t>
            </w:r>
          </w:p>
        </w:tc>
      </w:tr>
      <w:tr w14:paraId="7693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19036E7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1000～5000万元</w:t>
            </w:r>
          </w:p>
        </w:tc>
        <w:tc>
          <w:tcPr>
            <w:tcW w:w="1911" w:type="dxa"/>
            <w:vAlign w:val="center"/>
          </w:tcPr>
          <w:p w14:paraId="5E538CBF">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0.5%</w:t>
            </w:r>
          </w:p>
        </w:tc>
        <w:tc>
          <w:tcPr>
            <w:tcW w:w="1765" w:type="dxa"/>
            <w:vAlign w:val="center"/>
          </w:tcPr>
          <w:p w14:paraId="78DFF3A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0.25%</w:t>
            </w:r>
          </w:p>
        </w:tc>
        <w:tc>
          <w:tcPr>
            <w:tcW w:w="1783" w:type="dxa"/>
            <w:vAlign w:val="center"/>
          </w:tcPr>
          <w:p w14:paraId="33614B1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0.35%</w:t>
            </w:r>
          </w:p>
        </w:tc>
      </w:tr>
      <w:tr w14:paraId="591A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06D61950">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5000万元～1亿元</w:t>
            </w:r>
          </w:p>
        </w:tc>
        <w:tc>
          <w:tcPr>
            <w:tcW w:w="1911" w:type="dxa"/>
            <w:vAlign w:val="center"/>
          </w:tcPr>
          <w:p w14:paraId="4F325AA6">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0.25%</w:t>
            </w:r>
          </w:p>
        </w:tc>
        <w:tc>
          <w:tcPr>
            <w:tcW w:w="1765" w:type="dxa"/>
            <w:vAlign w:val="center"/>
          </w:tcPr>
          <w:p w14:paraId="68DDBF6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0.1%</w:t>
            </w:r>
          </w:p>
        </w:tc>
        <w:tc>
          <w:tcPr>
            <w:tcW w:w="1783" w:type="dxa"/>
            <w:vAlign w:val="center"/>
          </w:tcPr>
          <w:p w14:paraId="012C209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kern w:val="0"/>
                <w:szCs w:val="21"/>
                <w:highlight w:val="none"/>
              </w:rPr>
              <w:t>0.2%</w:t>
            </w:r>
          </w:p>
        </w:tc>
      </w:tr>
      <w:tr w14:paraId="21A2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7807C7D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1～5亿元</w:t>
            </w:r>
          </w:p>
        </w:tc>
        <w:tc>
          <w:tcPr>
            <w:tcW w:w="1911" w:type="dxa"/>
            <w:vAlign w:val="center"/>
          </w:tcPr>
          <w:p w14:paraId="5F620D6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0.05%</w:t>
            </w:r>
          </w:p>
        </w:tc>
        <w:tc>
          <w:tcPr>
            <w:tcW w:w="1765" w:type="dxa"/>
            <w:vAlign w:val="center"/>
          </w:tcPr>
          <w:p w14:paraId="26E7DFF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0.05%</w:t>
            </w:r>
          </w:p>
        </w:tc>
        <w:tc>
          <w:tcPr>
            <w:tcW w:w="1783" w:type="dxa"/>
            <w:vAlign w:val="center"/>
          </w:tcPr>
          <w:p w14:paraId="342EAC06">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0.05%</w:t>
            </w:r>
          </w:p>
        </w:tc>
      </w:tr>
      <w:tr w14:paraId="74B8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6333C00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5～10亿元</w:t>
            </w:r>
          </w:p>
        </w:tc>
        <w:tc>
          <w:tcPr>
            <w:tcW w:w="1911" w:type="dxa"/>
            <w:vAlign w:val="center"/>
          </w:tcPr>
          <w:p w14:paraId="08A2582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0.035%</w:t>
            </w:r>
          </w:p>
        </w:tc>
        <w:tc>
          <w:tcPr>
            <w:tcW w:w="1765" w:type="dxa"/>
            <w:vAlign w:val="center"/>
          </w:tcPr>
          <w:p w14:paraId="4D9BD52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0.035%</w:t>
            </w:r>
          </w:p>
        </w:tc>
        <w:tc>
          <w:tcPr>
            <w:tcW w:w="1783" w:type="dxa"/>
            <w:vAlign w:val="center"/>
          </w:tcPr>
          <w:p w14:paraId="3A3F6214">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0.035%</w:t>
            </w:r>
          </w:p>
        </w:tc>
      </w:tr>
      <w:tr w14:paraId="7167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7A0FCF67">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10～50亿元</w:t>
            </w:r>
          </w:p>
        </w:tc>
        <w:tc>
          <w:tcPr>
            <w:tcW w:w="1911" w:type="dxa"/>
            <w:vAlign w:val="center"/>
          </w:tcPr>
          <w:p w14:paraId="3F67344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0.008%</w:t>
            </w:r>
          </w:p>
        </w:tc>
        <w:tc>
          <w:tcPr>
            <w:tcW w:w="1765" w:type="dxa"/>
            <w:vAlign w:val="center"/>
          </w:tcPr>
          <w:p w14:paraId="6EC4B5BE">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0.008%</w:t>
            </w:r>
          </w:p>
        </w:tc>
        <w:tc>
          <w:tcPr>
            <w:tcW w:w="1783" w:type="dxa"/>
            <w:vAlign w:val="center"/>
          </w:tcPr>
          <w:p w14:paraId="217A3566">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0.008%</w:t>
            </w:r>
          </w:p>
        </w:tc>
      </w:tr>
      <w:tr w14:paraId="2EBF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17A69C73">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50～100亿元</w:t>
            </w:r>
          </w:p>
        </w:tc>
        <w:tc>
          <w:tcPr>
            <w:tcW w:w="1911" w:type="dxa"/>
            <w:vAlign w:val="center"/>
          </w:tcPr>
          <w:p w14:paraId="5D512333">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0.006%</w:t>
            </w:r>
          </w:p>
        </w:tc>
        <w:tc>
          <w:tcPr>
            <w:tcW w:w="1765" w:type="dxa"/>
            <w:vAlign w:val="center"/>
          </w:tcPr>
          <w:p w14:paraId="5030BE14">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0.006%</w:t>
            </w:r>
          </w:p>
        </w:tc>
        <w:tc>
          <w:tcPr>
            <w:tcW w:w="1783" w:type="dxa"/>
            <w:vAlign w:val="center"/>
          </w:tcPr>
          <w:p w14:paraId="38F5AE2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0.006%</w:t>
            </w:r>
          </w:p>
        </w:tc>
      </w:tr>
      <w:tr w14:paraId="2D4F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2" w:type="dxa"/>
            <w:vAlign w:val="center"/>
          </w:tcPr>
          <w:p w14:paraId="739BB32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100亿以上</w:t>
            </w:r>
          </w:p>
        </w:tc>
        <w:tc>
          <w:tcPr>
            <w:tcW w:w="1911" w:type="dxa"/>
            <w:vAlign w:val="center"/>
          </w:tcPr>
          <w:p w14:paraId="5ACC4892">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0.004%</w:t>
            </w:r>
          </w:p>
        </w:tc>
        <w:tc>
          <w:tcPr>
            <w:tcW w:w="1765" w:type="dxa"/>
            <w:vAlign w:val="center"/>
          </w:tcPr>
          <w:p w14:paraId="27C0CC5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0.004%</w:t>
            </w:r>
          </w:p>
        </w:tc>
        <w:tc>
          <w:tcPr>
            <w:tcW w:w="1783" w:type="dxa"/>
            <w:vAlign w:val="center"/>
          </w:tcPr>
          <w:p w14:paraId="0635DACD">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outlineLvl w:val="9"/>
              <w:rPr>
                <w:rFonts w:hint="default" w:ascii="宋体" w:hAnsi="宋体" w:cs="宋体"/>
                <w:color w:val="auto"/>
                <w:szCs w:val="21"/>
                <w:highlight w:val="none"/>
              </w:rPr>
            </w:pPr>
            <w:r>
              <w:rPr>
                <w:rFonts w:hint="eastAsia" w:ascii="宋体" w:hAnsi="宋体" w:cs="宋体"/>
                <w:color w:val="auto"/>
                <w:szCs w:val="21"/>
                <w:highlight w:val="none"/>
              </w:rPr>
              <w:t>0.004%</w:t>
            </w:r>
          </w:p>
        </w:tc>
      </w:tr>
    </w:tbl>
    <w:p w14:paraId="58DB148F">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highlight w:val="none"/>
        </w:rPr>
        <w:t>注：</w:t>
      </w:r>
    </w:p>
    <w:p w14:paraId="2701D48F">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41475324">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highlight w:val="none"/>
        </w:rPr>
        <w:t>（2）采购代理收费按差额定率累进法计算。</w:t>
      </w:r>
    </w:p>
    <w:p w14:paraId="1EC5D545">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highlight w:val="none"/>
        </w:rPr>
        <w:t>例如：某货物采购代理业务成交金额或者暂定价为150万元，计算采购代理收费额如下：</w:t>
      </w:r>
    </w:p>
    <w:p w14:paraId="7D9A2873">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kern w:val="0"/>
          <w:szCs w:val="21"/>
          <w:highlight w:val="none"/>
        </w:rPr>
      </w:pPr>
      <w:r>
        <w:rPr>
          <w:rFonts w:hint="eastAsia" w:ascii="宋体" w:hAnsi="宋体" w:cs="宋体"/>
          <w:color w:val="auto"/>
          <w:kern w:val="0"/>
          <w:szCs w:val="21"/>
          <w:highlight w:val="none"/>
        </w:rPr>
        <w:t>100 万元 ×l.5 %＝ 1.5 万元</w:t>
      </w:r>
    </w:p>
    <w:p w14:paraId="0916E019">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highlight w:val="none"/>
        </w:rPr>
        <w:t>（ 120 － 100 ）万元 × 1.1 %＝ 0.22 万元</w:t>
      </w:r>
    </w:p>
    <w:p w14:paraId="33975AC3">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highlight w:val="none"/>
        </w:rPr>
        <w:t>合计收费＝ 1.5 ＋ 0.22 ＝ 1.72 万元</w:t>
      </w:r>
    </w:p>
    <w:p w14:paraId="3DDF10BF">
      <w:pPr>
        <w:pageBreakBefore w:val="0"/>
        <w:widowControl w:val="0"/>
        <w:kinsoku/>
        <w:wordWrap w:val="0"/>
        <w:overflowPunct/>
        <w:topLinePunct w:val="0"/>
        <w:bidi w:val="0"/>
        <w:spacing w:line="400" w:lineRule="exact"/>
        <w:ind w:firstLine="480" w:firstLineChars="200"/>
        <w:contextualSpacing/>
        <w:outlineLvl w:val="9"/>
        <w:rPr>
          <w:rFonts w:ascii="宋体" w:hAnsi="宋体" w:cs="宋体"/>
          <w:b/>
          <w:bCs/>
          <w:color w:val="auto"/>
          <w:sz w:val="24"/>
          <w:highlight w:val="none"/>
        </w:rPr>
      </w:pPr>
      <w:bookmarkStart w:id="92" w:name="_Toc19772"/>
      <w:r>
        <w:rPr>
          <w:rFonts w:hint="eastAsia" w:ascii="宋体" w:hAnsi="宋体" w:cs="宋体"/>
          <w:b/>
          <w:bCs/>
          <w:color w:val="auto"/>
          <w:sz w:val="24"/>
          <w:highlight w:val="none"/>
        </w:rPr>
        <w:t>33.需要补充的其他内容</w:t>
      </w:r>
      <w:bookmarkEnd w:id="92"/>
    </w:p>
    <w:p w14:paraId="59BD06C4">
      <w:pPr>
        <w:pStyle w:val="14"/>
        <w:pageBreakBefore w:val="0"/>
        <w:widowControl w:val="0"/>
        <w:kinsoku/>
        <w:wordWrap w:val="0"/>
        <w:overflowPunct/>
        <w:topLinePunct w:val="0"/>
        <w:bidi w:val="0"/>
        <w:spacing w:line="400" w:lineRule="exact"/>
        <w:ind w:firstLine="420" w:firstLineChars="200"/>
        <w:contextualSpacing/>
        <w:outlineLvl w:val="9"/>
        <w:rPr>
          <w:rFonts w:hAnsi="宋体" w:cs="宋体"/>
          <w:color w:val="auto"/>
          <w:sz w:val="21"/>
          <w:highlight w:val="none"/>
        </w:rPr>
      </w:pPr>
      <w:r>
        <w:rPr>
          <w:rFonts w:hint="eastAsia" w:hAnsi="宋体" w:cs="宋体"/>
          <w:color w:val="auto"/>
          <w:sz w:val="21"/>
          <w:highlight w:val="none"/>
        </w:rPr>
        <w:t>33.1本谈判文件解释规则详见“供应商须知前附表”。</w:t>
      </w:r>
    </w:p>
    <w:p w14:paraId="2FD9284F">
      <w:pPr>
        <w:pageBreakBefore w:val="0"/>
        <w:widowControl w:val="0"/>
        <w:kinsoku/>
        <w:wordWrap w:val="0"/>
        <w:overflowPunct/>
        <w:topLinePunct w:val="0"/>
        <w:bidi w:val="0"/>
        <w:spacing w:line="400" w:lineRule="exact"/>
        <w:ind w:firstLine="420" w:firstLineChars="200"/>
        <w:contextualSpacing/>
        <w:outlineLvl w:val="9"/>
        <w:rPr>
          <w:rFonts w:ascii="宋体" w:hAnsi="宋体" w:cs="宋体"/>
          <w:color w:val="auto"/>
          <w:highlight w:val="none"/>
        </w:rPr>
      </w:pPr>
      <w:r>
        <w:rPr>
          <w:rFonts w:hint="eastAsia" w:ascii="宋体" w:hAnsi="宋体" w:cs="宋体"/>
          <w:color w:val="auto"/>
          <w:kern w:val="0"/>
          <w:szCs w:val="21"/>
          <w:highlight w:val="none"/>
        </w:rPr>
        <w:t>33.2其他事</w:t>
      </w:r>
      <w:r>
        <w:rPr>
          <w:rFonts w:hint="eastAsia" w:ascii="宋体" w:hAnsi="宋体" w:cs="宋体"/>
          <w:color w:val="auto"/>
          <w:highlight w:val="none"/>
        </w:rPr>
        <w:t>项详见“供应商须知前附表”。</w:t>
      </w:r>
    </w:p>
    <w:p w14:paraId="5C771EAC">
      <w:pPr>
        <w:pStyle w:val="14"/>
        <w:pageBreakBefore w:val="0"/>
        <w:widowControl w:val="0"/>
        <w:kinsoku/>
        <w:wordWrap w:val="0"/>
        <w:overflowPunct/>
        <w:topLinePunct w:val="0"/>
        <w:bidi w:val="0"/>
        <w:spacing w:line="400" w:lineRule="exact"/>
        <w:ind w:firstLine="400" w:firstLineChars="200"/>
        <w:contextualSpacing/>
        <w:outlineLvl w:val="9"/>
        <w:rPr>
          <w:rFonts w:hAnsi="宋体" w:cs="宋体"/>
          <w:color w:val="auto"/>
          <w:sz w:val="21"/>
          <w:highlight w:val="none"/>
        </w:rPr>
      </w:pPr>
      <w:r>
        <w:rPr>
          <w:rFonts w:hint="eastAsia" w:hAnsi="宋体" w:cs="宋体"/>
          <w:color w:val="auto"/>
          <w:highlight w:val="none"/>
        </w:rPr>
        <w:t>33.3</w:t>
      </w:r>
      <w:bookmarkStart w:id="93" w:name="_Hlk65857140"/>
      <w:r>
        <w:rPr>
          <w:rFonts w:hint="eastAsia" w:hAnsi="宋体" w:cs="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798C112B">
      <w:pPr>
        <w:pStyle w:val="14"/>
        <w:pageBreakBefore w:val="0"/>
        <w:widowControl w:val="0"/>
        <w:kinsoku/>
        <w:wordWrap w:val="0"/>
        <w:overflowPunct/>
        <w:topLinePunct w:val="0"/>
        <w:bidi w:val="0"/>
        <w:spacing w:line="400" w:lineRule="exact"/>
        <w:ind w:firstLine="420" w:firstLineChars="200"/>
        <w:contextualSpacing/>
        <w:outlineLvl w:val="9"/>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4143327A">
      <w:pPr>
        <w:pStyle w:val="14"/>
        <w:pageBreakBefore w:val="0"/>
        <w:widowControl w:val="0"/>
        <w:kinsoku/>
        <w:wordWrap w:val="0"/>
        <w:overflowPunct/>
        <w:topLinePunct w:val="0"/>
        <w:bidi w:val="0"/>
        <w:spacing w:line="400" w:lineRule="exact"/>
        <w:ind w:firstLine="420" w:firstLineChars="200"/>
        <w:contextualSpacing/>
        <w:outlineLvl w:val="9"/>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74AADB9D">
      <w:pPr>
        <w:pStyle w:val="14"/>
        <w:pageBreakBefore w:val="0"/>
        <w:widowControl w:val="0"/>
        <w:kinsoku/>
        <w:wordWrap w:val="0"/>
        <w:overflowPunct/>
        <w:topLinePunct w:val="0"/>
        <w:bidi w:val="0"/>
        <w:spacing w:line="400" w:lineRule="exact"/>
        <w:ind w:firstLine="420" w:firstLineChars="200"/>
        <w:contextualSpacing/>
        <w:outlineLvl w:val="9"/>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52E31C0">
      <w:pPr>
        <w:pStyle w:val="14"/>
        <w:pageBreakBefore w:val="0"/>
        <w:widowControl w:val="0"/>
        <w:kinsoku/>
        <w:wordWrap w:val="0"/>
        <w:overflowPunct/>
        <w:topLinePunct w:val="0"/>
        <w:bidi w:val="0"/>
        <w:spacing w:line="400" w:lineRule="exact"/>
        <w:ind w:firstLine="420" w:firstLineChars="200"/>
        <w:contextualSpacing/>
        <w:outlineLvl w:val="9"/>
        <w:rPr>
          <w:rFonts w:hAnsi="宋体" w:cs="宋体"/>
          <w:color w:val="auto"/>
          <w:sz w:val="21"/>
          <w:highlight w:val="none"/>
        </w:rPr>
      </w:pPr>
      <w:r>
        <w:rPr>
          <w:rFonts w:hint="eastAsia" w:hAnsi="宋体" w:cs="宋体"/>
          <w:b/>
          <w:bCs/>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40667BF1">
      <w:pPr>
        <w:pageBreakBefore w:val="0"/>
        <w:widowControl w:val="0"/>
        <w:kinsoku/>
        <w:wordWrap w:val="0"/>
        <w:overflowPunct/>
        <w:topLinePunct w:val="0"/>
        <w:bidi w:val="0"/>
        <w:spacing w:line="400" w:lineRule="exact"/>
        <w:ind w:firstLine="420" w:firstLineChars="200"/>
        <w:contextualSpacing/>
        <w:outlineLvl w:val="9"/>
        <w:rPr>
          <w:rFonts w:hint="eastAsia" w:ascii="宋体" w:hAnsi="宋体" w:cs="宋体"/>
          <w:color w:val="auto"/>
          <w:highlight w:val="none"/>
        </w:rPr>
        <w:sectPr>
          <w:footerReference r:id="rId6" w:type="default"/>
          <w:pgSz w:w="11910" w:h="16840"/>
          <w:pgMar w:top="1440" w:right="1417" w:bottom="1440" w:left="1417" w:header="0" w:footer="775" w:gutter="0"/>
          <w:pgNumType w:fmt="decimal"/>
          <w:cols w:space="720" w:num="1"/>
        </w:sectPr>
      </w:pPr>
      <w:r>
        <w:rPr>
          <w:rFonts w:hint="eastAsia" w:ascii="宋体" w:hAnsi="宋体" w:cs="宋体"/>
          <w:color w:val="auto"/>
          <w:highlight w:val="none"/>
        </w:rPr>
        <w:t>依据本谈判文件规定享受扶持政策获得政府采购合同的，小微企业不得将合同分包给大中型企业，中型企业不得将合同分包给大型企业。</w:t>
      </w:r>
      <w:bookmarkEnd w:id="93"/>
    </w:p>
    <w:p w14:paraId="6904701D">
      <w:pPr>
        <w:pStyle w:val="2"/>
        <w:pageBreakBefore w:val="0"/>
        <w:widowControl w:val="0"/>
        <w:tabs>
          <w:tab w:val="left" w:pos="8190"/>
        </w:tabs>
        <w:kinsoku/>
        <w:wordWrap w:val="0"/>
        <w:overflowPunct/>
        <w:topLinePunct w:val="0"/>
        <w:bidi w:val="0"/>
        <w:spacing w:after="100" w:line="480" w:lineRule="auto"/>
        <w:jc w:val="center"/>
        <w:rPr>
          <w:color w:val="auto"/>
          <w:highlight w:val="none"/>
        </w:rPr>
      </w:pPr>
      <w:bookmarkStart w:id="94" w:name="_Toc9124"/>
      <w:bookmarkStart w:id="95" w:name="_Toc15515"/>
      <w:r>
        <w:rPr>
          <w:rFonts w:hint="eastAsia"/>
          <w:color w:val="auto"/>
          <w:highlight w:val="none"/>
        </w:rPr>
        <w:t>第三章 采购需求</w:t>
      </w:r>
      <w:bookmarkEnd w:id="94"/>
      <w:bookmarkEnd w:id="95"/>
    </w:p>
    <w:p w14:paraId="73AC4333">
      <w:pPr>
        <w:pageBreakBefore w:val="0"/>
        <w:widowControl w:val="0"/>
        <w:kinsoku/>
        <w:wordWrap w:val="0"/>
        <w:overflowPunct/>
        <w:topLinePunct w:val="0"/>
        <w:bidi w:val="0"/>
        <w:spacing w:line="400" w:lineRule="exact"/>
        <w:jc w:val="center"/>
        <w:outlineLvl w:val="9"/>
        <w:rPr>
          <w:rFonts w:ascii="宋体" w:hAnsi="宋体"/>
          <w:b/>
          <w:color w:val="auto"/>
          <w:sz w:val="32"/>
          <w:szCs w:val="32"/>
          <w:highlight w:val="none"/>
        </w:rPr>
      </w:pPr>
      <w:bookmarkStart w:id="96" w:name="_Toc7728"/>
      <w:r>
        <w:rPr>
          <w:rFonts w:hint="eastAsia" w:ascii="宋体" w:hAnsi="宋体"/>
          <w:b/>
          <w:color w:val="auto"/>
          <w:sz w:val="32"/>
          <w:szCs w:val="32"/>
          <w:highlight w:val="none"/>
        </w:rPr>
        <w:t>采购项目技术规格、参数及要求</w:t>
      </w:r>
      <w:bookmarkEnd w:id="96"/>
    </w:p>
    <w:p w14:paraId="63DA897C">
      <w:pPr>
        <w:pageBreakBefore w:val="0"/>
        <w:widowControl w:val="0"/>
        <w:kinsoku/>
        <w:wordWrap w:val="0"/>
        <w:overflowPunct/>
        <w:topLinePunct w:val="0"/>
        <w:bidi w:val="0"/>
        <w:spacing w:line="400" w:lineRule="exact"/>
        <w:jc w:val="left"/>
        <w:outlineLvl w:val="1"/>
        <w:rPr>
          <w:rFonts w:hint="eastAsia" w:ascii="宋体" w:hAnsi="宋体" w:eastAsia="宋体" w:cs="宋体"/>
          <w:b/>
          <w:bCs/>
          <w:color w:val="auto"/>
          <w:highlight w:val="none"/>
        </w:rPr>
      </w:pPr>
      <w:bookmarkStart w:id="97" w:name="_Toc28403"/>
      <w:r>
        <w:rPr>
          <w:rFonts w:hint="eastAsia" w:ascii="宋体" w:hAnsi="宋体" w:eastAsia="宋体" w:cs="宋体"/>
          <w:b/>
          <w:bCs/>
          <w:color w:val="auto"/>
          <w:szCs w:val="21"/>
          <w:highlight w:val="none"/>
        </w:rPr>
        <w:t>一、说明</w:t>
      </w:r>
      <w:bookmarkEnd w:id="97"/>
    </w:p>
    <w:p w14:paraId="3C8CBBF6">
      <w:pPr>
        <w:pageBreakBefore w:val="0"/>
        <w:widowControl w:val="0"/>
        <w:kinsoku/>
        <w:wordWrap w:val="0"/>
        <w:overflowPunct/>
        <w:topLinePunct w:val="0"/>
        <w:bidi w:val="0"/>
        <w:spacing w:line="400" w:lineRule="exact"/>
        <w:ind w:firstLine="420" w:firstLineChars="200"/>
        <w:jc w:val="left"/>
        <w:outlineLvl w:val="9"/>
        <w:rPr>
          <w:rFonts w:hint="eastAsia" w:ascii="宋体" w:hAnsi="宋体" w:eastAsia="宋体" w:cs="宋体"/>
          <w:color w:val="auto"/>
          <w:highlight w:val="none"/>
        </w:rPr>
      </w:pPr>
      <w:bookmarkStart w:id="98" w:name="_Toc20068"/>
      <w:r>
        <w:rPr>
          <w:rFonts w:hint="eastAsia" w:ascii="宋体" w:hAnsi="宋体" w:eastAsia="宋体" w:cs="宋体"/>
          <w:color w:val="auto"/>
          <w:highlight w:val="none"/>
        </w:rPr>
        <w:t>1.落实政府采购政策需满足的要求：</w:t>
      </w:r>
      <w:bookmarkEnd w:id="98"/>
    </w:p>
    <w:p w14:paraId="13D3649E">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（1）本竞争性谈判文件所称中小企业必须符合《政府采购促进中小企业发展管理办法》（财库〔2020〕46号）的规定。</w:t>
      </w:r>
    </w:p>
    <w:p w14:paraId="4549E1F2">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（2）根据财政部、司法部关于政府采购支持监狱企业发展有关问题的通知（财库[2014]68号），监狱企业视同小型、微型企业，享受预留份额等促进中小企业发展的政府采购政策。</w:t>
      </w:r>
    </w:p>
    <w:p w14:paraId="556F486F">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（3）按照《关于促进残疾人就业政府采购政策的通知》（财库〔2017〕141号）的规定，残疾人福利性单位视同小型、微型企业，享受预留份额等促进中小企业发展的政府采购政策。</w:t>
      </w:r>
    </w:p>
    <w:p w14:paraId="459F5CC6">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有效的节能产品认证证书复印件（加盖供应商公章或电子签章），否则响应文件按无效处理。如本项目包含的货物属于品目清单内非标注“★”的产品时，应优先采购，具体详见“第四章 评审程序和评定成交的标准”。</w:t>
      </w:r>
    </w:p>
    <w:p w14:paraId="02CDFB3C">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2.“实质性要求”是指采购需求中带“▲”的条款或者不能负偏离的条款或者已经指明不满足按响应文件按无效处理的条款。</w:t>
      </w:r>
    </w:p>
    <w:p w14:paraId="78A2B05F">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3.采购需求中出现的品牌、型号或者生产供应商仅起参考作用，不属于指定品牌、型号或者生产供应商的情形。供应商可参照或者选用其他相当的品牌、型号或者生产供应商替代。</w:t>
      </w:r>
    </w:p>
    <w:p w14:paraId="6D9D5F33">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4.供应商应根据自身实际情况如实响应竞争性谈判文件，不得仅将谈判文件内容简单复制粘贴作为竞标响应，还应当提供相关证明材料，否则将按无效响应处理（定制采购不适用本条款）。</w:t>
      </w:r>
    </w:p>
    <w:p w14:paraId="1359907A">
      <w:pPr>
        <w:pageBreakBefore w:val="0"/>
        <w:widowControl w:val="0"/>
        <w:kinsoku/>
        <w:wordWrap w:val="0"/>
        <w:overflowPunct/>
        <w:topLinePunct w:val="0"/>
        <w:bidi w:val="0"/>
        <w:spacing w:line="400" w:lineRule="exact"/>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5.供应商必须自行为其竞标产品侵犯他人的知识产权或者专利成果的行为承担相应法律责任。</w:t>
      </w:r>
    </w:p>
    <w:p w14:paraId="00CDC9CF">
      <w:pPr>
        <w:pageBreakBefore w:val="0"/>
        <w:widowControl w:val="0"/>
        <w:kinsoku/>
        <w:wordWrap w:val="0"/>
        <w:overflowPunct/>
        <w:topLinePunct w:val="0"/>
        <w:bidi w:val="0"/>
        <w:spacing w:line="400" w:lineRule="exact"/>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、本项目所属行业：</w:t>
      </w:r>
      <w:r>
        <w:rPr>
          <w:rFonts w:hint="eastAsia" w:ascii="宋体" w:hAnsi="宋体" w:eastAsia="宋体" w:cs="宋体"/>
          <w:color w:val="auto"/>
          <w:highlight w:val="none"/>
          <w:u w:val="single"/>
        </w:rPr>
        <w:t>工业</w:t>
      </w:r>
      <w:r>
        <w:rPr>
          <w:rFonts w:hint="eastAsia" w:ascii="宋体" w:hAnsi="宋体" w:eastAsia="宋体" w:cs="宋体"/>
          <w:color w:val="auto"/>
          <w:highlight w:val="none"/>
        </w:rPr>
        <w:t>。</w:t>
      </w:r>
    </w:p>
    <w:p w14:paraId="098FEE5D">
      <w:pPr>
        <w:pageBreakBefore w:val="0"/>
        <w:widowControl w:val="0"/>
        <w:kinsoku/>
        <w:wordWrap w:val="0"/>
        <w:overflowPunct/>
        <w:topLinePunct w:val="0"/>
        <w:bidi w:val="0"/>
        <w:spacing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、采购预算：</w:t>
      </w:r>
      <w:r>
        <w:rPr>
          <w:rFonts w:hint="eastAsia" w:ascii="宋体" w:hAnsi="宋体" w:cs="宋体"/>
          <w:color w:val="auto"/>
          <w:highlight w:val="none"/>
          <w:u w:val="single"/>
          <w:lang w:val="en-US" w:eastAsia="zh-CN"/>
        </w:rPr>
        <w:t>105.12</w:t>
      </w:r>
      <w:r>
        <w:rPr>
          <w:rFonts w:hint="eastAsia" w:ascii="宋体" w:hAnsi="宋体" w:eastAsia="宋体" w:cs="宋体"/>
          <w:iCs/>
          <w:color w:val="auto"/>
          <w:szCs w:val="21"/>
          <w:highlight w:val="none"/>
        </w:rPr>
        <w:t>万元</w:t>
      </w:r>
    </w:p>
    <w:p w14:paraId="46678603">
      <w:pPr>
        <w:pageBreakBefore w:val="0"/>
        <w:widowControl w:val="0"/>
        <w:kinsoku/>
        <w:wordWrap w:val="0"/>
        <w:overflowPunct/>
        <w:topLinePunct w:val="0"/>
        <w:bidi w:val="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br w:type="page"/>
      </w:r>
    </w:p>
    <w:p w14:paraId="0218BA52">
      <w:pPr>
        <w:pageBreakBefore w:val="0"/>
        <w:widowControl w:val="0"/>
        <w:kinsoku/>
        <w:wordWrap w:val="0"/>
        <w:overflowPunct/>
        <w:topLinePunct w:val="0"/>
        <w:bidi w:val="0"/>
        <w:spacing w:line="400" w:lineRule="exact"/>
        <w:jc w:val="left"/>
        <w:outlineLvl w:val="1"/>
        <w:rPr>
          <w:rFonts w:hint="eastAsia" w:ascii="宋体" w:hAnsi="宋体" w:eastAsia="宋体" w:cs="宋体"/>
          <w:b/>
          <w:bCs/>
          <w:color w:val="auto"/>
          <w:sz w:val="28"/>
          <w:szCs w:val="28"/>
          <w:highlight w:val="none"/>
        </w:rPr>
      </w:pPr>
      <w:bookmarkStart w:id="99" w:name="_Toc16919"/>
      <w:r>
        <w:rPr>
          <w:rFonts w:hint="eastAsia" w:ascii="宋体" w:hAnsi="宋体" w:eastAsia="宋体" w:cs="宋体"/>
          <w:b/>
          <w:bCs/>
          <w:color w:val="auto"/>
          <w:szCs w:val="21"/>
          <w:highlight w:val="none"/>
        </w:rPr>
        <w:t>二、采购需求表</w:t>
      </w:r>
      <w:bookmarkEnd w:id="99"/>
    </w:p>
    <w:tbl>
      <w:tblPr>
        <w:tblStyle w:val="20"/>
        <w:tblW w:w="99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649"/>
        <w:gridCol w:w="151"/>
        <w:gridCol w:w="426"/>
        <w:gridCol w:w="428"/>
        <w:gridCol w:w="6793"/>
        <w:gridCol w:w="1099"/>
      </w:tblGrid>
      <w:tr w14:paraId="701F8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42BF7304">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00" w:type="dxa"/>
            <w:gridSpan w:val="2"/>
            <w:tcBorders>
              <w:top w:val="single" w:color="auto" w:sz="4" w:space="0"/>
              <w:left w:val="single" w:color="auto" w:sz="4" w:space="0"/>
              <w:bottom w:val="single" w:color="auto" w:sz="4" w:space="0"/>
              <w:right w:val="single" w:color="auto" w:sz="4" w:space="0"/>
            </w:tcBorders>
            <w:vAlign w:val="center"/>
          </w:tcPr>
          <w:p w14:paraId="5F368EAB">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426" w:type="dxa"/>
            <w:tcBorders>
              <w:top w:val="single" w:color="auto" w:sz="4" w:space="0"/>
              <w:left w:val="single" w:color="auto" w:sz="4" w:space="0"/>
              <w:bottom w:val="single" w:color="auto" w:sz="4" w:space="0"/>
              <w:right w:val="single" w:color="auto" w:sz="4" w:space="0"/>
            </w:tcBorders>
            <w:vAlign w:val="center"/>
          </w:tcPr>
          <w:p w14:paraId="66D97F72">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428" w:type="dxa"/>
            <w:tcBorders>
              <w:top w:val="single" w:color="auto" w:sz="4" w:space="0"/>
              <w:left w:val="single" w:color="auto" w:sz="4" w:space="0"/>
              <w:bottom w:val="single" w:color="auto" w:sz="4" w:space="0"/>
              <w:right w:val="single" w:color="auto" w:sz="4" w:space="0"/>
            </w:tcBorders>
            <w:vAlign w:val="center"/>
          </w:tcPr>
          <w:p w14:paraId="36E63E84">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793" w:type="dxa"/>
            <w:tcBorders>
              <w:top w:val="single" w:color="auto" w:sz="4" w:space="0"/>
              <w:left w:val="single" w:color="auto" w:sz="4" w:space="0"/>
              <w:bottom w:val="single" w:color="auto" w:sz="4" w:space="0"/>
              <w:right w:val="single" w:color="auto" w:sz="4" w:space="0"/>
            </w:tcBorders>
            <w:vAlign w:val="center"/>
          </w:tcPr>
          <w:p w14:paraId="16103119">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技术参数及性能（配置）要求</w:t>
            </w:r>
          </w:p>
        </w:tc>
        <w:tc>
          <w:tcPr>
            <w:tcW w:w="1099" w:type="dxa"/>
            <w:tcBorders>
              <w:top w:val="single" w:color="auto" w:sz="4" w:space="0"/>
              <w:left w:val="single" w:color="auto" w:sz="4" w:space="0"/>
              <w:bottom w:val="single" w:color="auto" w:sz="4" w:space="0"/>
              <w:right w:val="single" w:color="auto" w:sz="4" w:space="0"/>
            </w:tcBorders>
            <w:vAlign w:val="center"/>
          </w:tcPr>
          <w:p w14:paraId="0BC8C0BF">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上限控制单价</w:t>
            </w:r>
          </w:p>
          <w:p w14:paraId="366398B3">
            <w:pPr>
              <w:keepNext w:val="0"/>
              <w:keepLines w:val="0"/>
              <w:pageBreakBefore w:val="0"/>
              <w:widowControl w:val="0"/>
              <w:kinsoku/>
              <w:wordWrap w:val="0"/>
              <w:overflowPunct/>
              <w:topLinePunct w:val="0"/>
              <w:bidi w:val="0"/>
              <w:snapToGrid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（元）</w:t>
            </w:r>
          </w:p>
        </w:tc>
      </w:tr>
      <w:tr w14:paraId="22954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0" w:hRule="atLeast"/>
          <w:jc w:val="center"/>
        </w:trPr>
        <w:tc>
          <w:tcPr>
            <w:tcW w:w="426" w:type="dxa"/>
            <w:tcBorders>
              <w:top w:val="single" w:color="auto" w:sz="4" w:space="0"/>
              <w:left w:val="single" w:color="auto" w:sz="4" w:space="0"/>
              <w:right w:val="single" w:color="auto" w:sz="4" w:space="0"/>
            </w:tcBorders>
            <w:vAlign w:val="center"/>
          </w:tcPr>
          <w:p w14:paraId="005E3252">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00" w:type="dxa"/>
            <w:gridSpan w:val="2"/>
            <w:tcBorders>
              <w:top w:val="single" w:color="auto" w:sz="4" w:space="0"/>
              <w:left w:val="single" w:color="auto" w:sz="4" w:space="0"/>
              <w:right w:val="single" w:color="auto" w:sz="4" w:space="0"/>
            </w:tcBorders>
            <w:vAlign w:val="center"/>
          </w:tcPr>
          <w:p w14:paraId="59D7FA98">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超声波妇科治疗仪</w:t>
            </w:r>
          </w:p>
        </w:tc>
        <w:tc>
          <w:tcPr>
            <w:tcW w:w="426" w:type="dxa"/>
            <w:tcBorders>
              <w:top w:val="single" w:color="auto" w:sz="4" w:space="0"/>
              <w:left w:val="single" w:color="auto" w:sz="4" w:space="0"/>
              <w:bottom w:val="single" w:color="auto" w:sz="4" w:space="0"/>
              <w:right w:val="single" w:color="auto" w:sz="4" w:space="0"/>
            </w:tcBorders>
            <w:vAlign w:val="center"/>
          </w:tcPr>
          <w:p w14:paraId="6182D690">
            <w:pPr>
              <w:pStyle w:val="19"/>
              <w:keepNext w:val="0"/>
              <w:keepLines w:val="0"/>
              <w:pageBreakBefore w:val="0"/>
              <w:widowControl w:val="0"/>
              <w:kinsoku/>
              <w:wordWrap w:val="0"/>
              <w:overflowPunct/>
              <w:topLinePunct w:val="0"/>
              <w:bidi w:val="0"/>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28" w:type="dxa"/>
            <w:tcBorders>
              <w:top w:val="single" w:color="auto" w:sz="4" w:space="0"/>
              <w:left w:val="single" w:color="auto" w:sz="4" w:space="0"/>
              <w:bottom w:val="single" w:color="auto" w:sz="4" w:space="0"/>
              <w:right w:val="single" w:color="auto" w:sz="4" w:space="0"/>
            </w:tcBorders>
            <w:vAlign w:val="center"/>
          </w:tcPr>
          <w:p w14:paraId="08CCDCF1">
            <w:pPr>
              <w:pStyle w:val="15"/>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w:t>
            </w:r>
          </w:p>
        </w:tc>
        <w:tc>
          <w:tcPr>
            <w:tcW w:w="6793" w:type="dxa"/>
            <w:tcBorders>
              <w:top w:val="single" w:color="auto" w:sz="4" w:space="0"/>
              <w:left w:val="single" w:color="auto" w:sz="4" w:space="0"/>
              <w:bottom w:val="single" w:color="auto" w:sz="4" w:space="0"/>
              <w:right w:val="single" w:color="auto" w:sz="4" w:space="0"/>
            </w:tcBorders>
            <w:vAlign w:val="center"/>
          </w:tcPr>
          <w:p w14:paraId="220AF2E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一、基本需求：</w:t>
            </w:r>
          </w:p>
          <w:p w14:paraId="00580DE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1、设备采用聚焦超声无创治疗妇科外阴上皮内非瘤样病变（外阴白色病变）、宫颈炎、尖锐湿疣等适应症。</w:t>
            </w:r>
          </w:p>
          <w:p w14:paraId="06D4066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2、超声发射采用动态参数控制，主机自适应不同参数的治疗头（Ω阻抗自匹配、F频率自适应），能量输出稳定性、有效性。</w:t>
            </w:r>
          </w:p>
          <w:p w14:paraId="223643D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3、▲超声频率：8MHz～12MHz（控制精度0.01MHz）。</w:t>
            </w:r>
          </w:p>
          <w:p w14:paraId="348FB34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4、输出功率：可在6个档位范围内调节。</w:t>
            </w:r>
          </w:p>
          <w:p w14:paraId="2106F49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5、脉冲频率：约0.3KHz</w:t>
            </w:r>
          </w:p>
          <w:p w14:paraId="5CAE3FA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6、定时时间：0～300s （控制精度1s），连续可调，一键式调节，操作随心灵活。</w:t>
            </w:r>
          </w:p>
          <w:p w14:paraId="067190A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7、▲治疗深度（距表面距离）：5mm±3mm</w:t>
            </w:r>
          </w:p>
          <w:p w14:paraId="5DD9C9C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8、治疗头采用超短可变聚焦技术，具有精确的焦点，良好的焦域形态。</w:t>
            </w:r>
          </w:p>
          <w:p w14:paraId="495C9EC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9、治疗头辐射表面的温度：≤41℃；治疗头波束类型：会聚型。</w:t>
            </w:r>
          </w:p>
          <w:p w14:paraId="1DC5D73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10、治疗头侧壁不需要的超声辐射：治疗枪侧壁手持部位上，不需要的超声辐射的空间峰值时间平均声强&lt;100 mW/cm2。</w:t>
            </w:r>
          </w:p>
          <w:p w14:paraId="22D1EFC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11、噪声：≤65dB（A）</w:t>
            </w:r>
          </w:p>
          <w:p w14:paraId="382039C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12、整机功率：≤400W</w:t>
            </w:r>
          </w:p>
          <w:p w14:paraId="4058FF7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13、聚焦超声治疗枪：水电合一及电声转换一体设计，不同适应症不同聚焦超声治疗枪。</w:t>
            </w:r>
          </w:p>
          <w:p w14:paraId="040CD1F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14、介质水冷却系统：全自动控制，自动排除气阻，保证治疗头及整机使用寿命</w:t>
            </w:r>
            <w:r>
              <w:rPr>
                <w:rFonts w:hint="eastAsia" w:ascii="宋体" w:hAnsi="宋体" w:eastAsia="宋体" w:cs="宋体"/>
                <w:color w:val="auto"/>
                <w:sz w:val="21"/>
                <w:szCs w:val="21"/>
                <w:highlight w:val="none"/>
                <w:lang w:eastAsia="zh-CN"/>
              </w:rPr>
              <w:t>。</w:t>
            </w:r>
          </w:p>
          <w:p w14:paraId="46D726A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15、▲治疗头套参数信息和治疗头参数信息输入可通过手动和自动两种方式实现。通过读取头套和治疗头参数，系统可智能识别治疗部位，推荐治疗参数，为治疗提供规范的操作流程支持。</w:t>
            </w:r>
          </w:p>
          <w:p w14:paraId="4023280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参数设置：可视人机操作交互界面，治疗过程模拟图像显示技术：具有输出设置、剂量设置、时间设置功能，治疗过程中显示本次时间、累计时间、累计剂量、治疗部位、治疗剩余时间等治疗参数实时显示，治疗过程声音提示。</w:t>
            </w:r>
          </w:p>
          <w:p w14:paraId="185560E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17、病历管理：患者病历数据库与一次性耗材配套使用，在扫描一次性耗材后自动建立患者治疗档案，待治疗结束后自动将治疗数据导入患者病历档案存档，数据库可随时查询。并且可以用 USB 接口导入移动存储设备内。</w:t>
            </w:r>
          </w:p>
          <w:p w14:paraId="45EEEE7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二、配置要求</w:t>
            </w:r>
          </w:p>
          <w:p w14:paraId="3266288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1、主机（推车） 1台</w:t>
            </w:r>
          </w:p>
          <w:p w14:paraId="539D298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2、外阴治疗枪 1把</w:t>
            </w:r>
          </w:p>
          <w:p w14:paraId="417C01B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3、宫颈治疗枪 1把</w:t>
            </w:r>
          </w:p>
          <w:p w14:paraId="34674CE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4、一次性使用治疗头套（宫颈炎） 10个</w:t>
            </w:r>
          </w:p>
          <w:p w14:paraId="7DACB16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5、一次性使用治疗头套（外阴白色病变）10个 </w:t>
            </w:r>
          </w:p>
          <w:p w14:paraId="35752AE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6、耦合剂 2支</w:t>
            </w:r>
          </w:p>
          <w:p w14:paraId="6D2234C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三、超声波妇科治疗仪配套耗材：</w:t>
            </w:r>
          </w:p>
          <w:p w14:paraId="5F41AD37">
            <w:pPr>
              <w:keepNext w:val="0"/>
              <w:keepLines w:val="0"/>
              <w:pageBreakBefore w:val="0"/>
              <w:widowControl w:val="0"/>
              <w:kinsoku/>
              <w:wordWrap w:val="0"/>
              <w:overflowPunct/>
              <w:topLinePunct w:val="0"/>
              <w:bidi w:val="0"/>
              <w:adjustRightInd w:val="0"/>
              <w:snapToGrid w:val="0"/>
              <w:spacing w:line="400" w:lineRule="exact"/>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r>
              <w:rPr>
                <w:rFonts w:ascii="宋体" w:hAnsi="宋体" w:cs="宋体"/>
                <w:b/>
                <w:color w:val="auto"/>
                <w:sz w:val="21"/>
                <w:szCs w:val="21"/>
                <w:highlight w:val="none"/>
              </w:rPr>
              <w:t>：</w:t>
            </w:r>
          </w:p>
          <w:p w14:paraId="3E3AC1CA">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供应商在响应文件中必须对</w:t>
            </w:r>
            <w:r>
              <w:rPr>
                <w:rFonts w:hint="eastAsia" w:ascii="宋体" w:hAnsi="宋体" w:eastAsia="宋体" w:cs="宋体"/>
                <w:b/>
                <w:bCs/>
                <w:color w:val="auto"/>
                <w:sz w:val="21"/>
                <w:szCs w:val="21"/>
                <w:highlight w:val="none"/>
                <w:lang w:val="en-US" w:eastAsia="zh-CN"/>
              </w:rPr>
              <w:t>以下</w:t>
            </w:r>
            <w:r>
              <w:rPr>
                <w:rFonts w:hint="eastAsia" w:ascii="宋体" w:hAnsi="宋体" w:cs="宋体"/>
                <w:b/>
                <w:bCs/>
                <w:color w:val="auto"/>
                <w:sz w:val="21"/>
                <w:szCs w:val="21"/>
                <w:highlight w:val="none"/>
              </w:rPr>
              <w:t>“</w:t>
            </w:r>
            <w:r>
              <w:rPr>
                <w:rFonts w:hint="eastAsia" w:ascii="宋体" w:hAnsi="宋体" w:cs="宋体"/>
                <w:b/>
                <w:bCs/>
                <w:color w:val="auto"/>
                <w:kern w:val="0"/>
                <w:sz w:val="21"/>
                <w:szCs w:val="21"/>
                <w:highlight w:val="none"/>
              </w:rPr>
              <w:t>配套耗材一览</w:t>
            </w:r>
            <w:r>
              <w:rPr>
                <w:rFonts w:ascii="宋体" w:hAnsi="宋体" w:cs="宋体"/>
                <w:b/>
                <w:bCs/>
                <w:color w:val="auto"/>
                <w:kern w:val="0"/>
                <w:sz w:val="21"/>
                <w:szCs w:val="21"/>
                <w:highlight w:val="none"/>
              </w:rPr>
              <w:t>表</w:t>
            </w:r>
            <w:r>
              <w:rPr>
                <w:rFonts w:hint="eastAsia" w:ascii="宋体" w:hAnsi="宋体" w:cs="宋体"/>
                <w:b/>
                <w:bCs/>
                <w:color w:val="auto"/>
                <w:sz w:val="21"/>
                <w:szCs w:val="21"/>
                <w:highlight w:val="none"/>
              </w:rPr>
              <w:t>”的所</w:t>
            </w:r>
            <w:r>
              <w:rPr>
                <w:rFonts w:ascii="宋体" w:hAnsi="宋体" w:cs="宋体"/>
                <w:b/>
                <w:bCs/>
                <w:color w:val="auto"/>
                <w:sz w:val="21"/>
                <w:szCs w:val="21"/>
                <w:highlight w:val="none"/>
              </w:rPr>
              <w:t>有</w:t>
            </w:r>
            <w:r>
              <w:rPr>
                <w:rFonts w:hint="eastAsia" w:ascii="宋体" w:hAnsi="宋体" w:cs="宋体"/>
                <w:b/>
                <w:bCs/>
                <w:color w:val="auto"/>
                <w:sz w:val="21"/>
                <w:szCs w:val="21"/>
                <w:highlight w:val="none"/>
                <w:lang w:val="en-US" w:eastAsia="zh-CN"/>
              </w:rPr>
              <w:t>耗材</w:t>
            </w:r>
            <w:r>
              <w:rPr>
                <w:rFonts w:hint="eastAsia" w:ascii="宋体" w:hAnsi="宋体" w:cs="宋体"/>
                <w:b/>
                <w:bCs/>
                <w:color w:val="auto"/>
                <w:sz w:val="21"/>
                <w:szCs w:val="21"/>
                <w:highlight w:val="none"/>
              </w:rPr>
              <w:t>进行逐项报价。供应商</w:t>
            </w:r>
            <w:r>
              <w:rPr>
                <w:rFonts w:hint="eastAsia" w:ascii="宋体" w:hAnsi="宋体" w:eastAsia="宋体" w:cs="宋体"/>
                <w:b/>
                <w:bCs/>
                <w:color w:val="auto"/>
                <w:sz w:val="21"/>
                <w:szCs w:val="21"/>
                <w:highlight w:val="none"/>
              </w:rPr>
              <w:t>配套耗材的单价报价不得高于最高限价单价，不得漏项报价或有条件有选择的报价，否则其竞标无效。</w:t>
            </w:r>
          </w:p>
          <w:p w14:paraId="456B140E">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配套耗材的报价不计入本项目预算金额。实际采购配套耗材的数量根据采购人的业务需求确定并据实结算。</w:t>
            </w:r>
          </w:p>
          <w:p w14:paraId="2F31C92F">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400" w:lineRule="exact"/>
              <w:ind w:firstLine="422" w:firstLineChars="200"/>
              <w:jc w:val="left"/>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超声波妇科治疗仪</w:t>
            </w:r>
            <w:r>
              <w:rPr>
                <w:rFonts w:hint="eastAsia" w:ascii="宋体" w:hAnsi="宋体" w:eastAsia="宋体" w:cs="宋体"/>
                <w:b/>
                <w:bCs/>
                <w:color w:val="auto"/>
                <w:sz w:val="21"/>
                <w:szCs w:val="21"/>
                <w:highlight w:val="none"/>
                <w:lang w:eastAsia="zh-CN"/>
              </w:rPr>
              <w:t>价格上限控制单价不包括</w:t>
            </w:r>
            <w:r>
              <w:rPr>
                <w:rFonts w:hint="eastAsia" w:ascii="宋体" w:hAnsi="宋体" w:eastAsia="宋体" w:cs="宋体"/>
                <w:b/>
                <w:bCs/>
                <w:color w:val="auto"/>
                <w:sz w:val="21"/>
                <w:szCs w:val="21"/>
                <w:highlight w:val="none"/>
                <w:lang w:val="en-US" w:eastAsia="zh-CN"/>
              </w:rPr>
              <w:t>超声波妇科治疗仪配套耗材上限控制单价。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2884"/>
              <w:gridCol w:w="717"/>
              <w:gridCol w:w="1203"/>
              <w:gridCol w:w="1203"/>
            </w:tblGrid>
            <w:tr w14:paraId="6C1E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57" w:type="dxa"/>
                  <w:noWrap w:val="0"/>
                  <w:vAlign w:val="center"/>
                </w:tcPr>
                <w:p w14:paraId="5B757D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884" w:type="dxa"/>
                  <w:noWrap w:val="0"/>
                  <w:vAlign w:val="center"/>
                </w:tcPr>
                <w:p w14:paraId="123081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耗材名称</w:t>
                  </w:r>
                </w:p>
              </w:tc>
              <w:tc>
                <w:tcPr>
                  <w:tcW w:w="717" w:type="dxa"/>
                  <w:noWrap w:val="0"/>
                  <w:vAlign w:val="center"/>
                </w:tcPr>
                <w:p w14:paraId="23F45BF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203" w:type="dxa"/>
                  <w:shd w:val="clear" w:color="auto" w:fill="auto"/>
                  <w:noWrap w:val="0"/>
                  <w:vAlign w:val="center"/>
                </w:tcPr>
                <w:p w14:paraId="24351C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上限控制单价</w:t>
                  </w:r>
                </w:p>
              </w:tc>
              <w:tc>
                <w:tcPr>
                  <w:tcW w:w="1203" w:type="dxa"/>
                  <w:shd w:val="clear" w:color="auto" w:fill="auto"/>
                  <w:noWrap w:val="0"/>
                  <w:vAlign w:val="center"/>
                </w:tcPr>
                <w:p w14:paraId="25F4D974">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备注</w:t>
                  </w:r>
                </w:p>
              </w:tc>
            </w:tr>
            <w:tr w14:paraId="7DD5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57" w:type="dxa"/>
                  <w:noWrap w:val="0"/>
                  <w:vAlign w:val="center"/>
                </w:tcPr>
                <w:p w14:paraId="359F6C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884" w:type="dxa"/>
                  <w:noWrap w:val="0"/>
                  <w:vAlign w:val="center"/>
                </w:tcPr>
                <w:p w14:paraId="7428FF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一次性医用隔离透声膜（宫颈）</w:t>
                  </w:r>
                </w:p>
              </w:tc>
              <w:tc>
                <w:tcPr>
                  <w:tcW w:w="717" w:type="dxa"/>
                  <w:noWrap w:val="0"/>
                  <w:vAlign w:val="center"/>
                </w:tcPr>
                <w:p w14:paraId="285433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1203" w:type="dxa"/>
                  <w:shd w:val="clear" w:color="auto" w:fill="auto"/>
                  <w:noWrap w:val="0"/>
                  <w:vAlign w:val="center"/>
                </w:tcPr>
                <w:p w14:paraId="12D2C5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1203" w:type="dxa"/>
                  <w:vMerge w:val="restart"/>
                  <w:shd w:val="clear" w:color="auto" w:fill="auto"/>
                  <w:noWrap w:val="0"/>
                  <w:vAlign w:val="center"/>
                </w:tcPr>
                <w:p w14:paraId="0756FD3C">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按实际使用结算</w:t>
                  </w:r>
                </w:p>
              </w:tc>
            </w:tr>
            <w:tr w14:paraId="3CBC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557" w:type="dxa"/>
                  <w:noWrap w:val="0"/>
                  <w:vAlign w:val="center"/>
                </w:tcPr>
                <w:p w14:paraId="3B220A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884" w:type="dxa"/>
                  <w:noWrap w:val="0"/>
                  <w:vAlign w:val="center"/>
                </w:tcPr>
                <w:p w14:paraId="1ABB56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一次性医用隔离透声膜（外阴）</w:t>
                  </w:r>
                </w:p>
              </w:tc>
              <w:tc>
                <w:tcPr>
                  <w:tcW w:w="717" w:type="dxa"/>
                  <w:noWrap w:val="0"/>
                  <w:vAlign w:val="center"/>
                </w:tcPr>
                <w:p w14:paraId="416780C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1203" w:type="dxa"/>
                  <w:shd w:val="clear" w:color="auto" w:fill="auto"/>
                  <w:noWrap w:val="0"/>
                  <w:vAlign w:val="center"/>
                </w:tcPr>
                <w:p w14:paraId="13D919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w:t>
                  </w:r>
                </w:p>
              </w:tc>
              <w:tc>
                <w:tcPr>
                  <w:tcW w:w="1203" w:type="dxa"/>
                  <w:vMerge w:val="continue"/>
                  <w:shd w:val="clear" w:color="auto" w:fill="auto"/>
                  <w:noWrap w:val="0"/>
                  <w:vAlign w:val="center"/>
                </w:tcPr>
                <w:p w14:paraId="4C8EE311">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jc w:val="center"/>
                    <w:rPr>
                      <w:rFonts w:hint="eastAsia" w:ascii="宋体" w:hAnsi="宋体" w:eastAsia="宋体" w:cs="宋体"/>
                      <w:color w:val="000000"/>
                      <w:kern w:val="2"/>
                      <w:sz w:val="21"/>
                      <w:szCs w:val="21"/>
                      <w:highlight w:val="none"/>
                      <w:lang w:val="en-US" w:eastAsia="zh-CN" w:bidi="ar-SA"/>
                    </w:rPr>
                  </w:pPr>
                </w:p>
              </w:tc>
            </w:tr>
          </w:tbl>
          <w:p w14:paraId="1F954D5C">
            <w:pPr>
              <w:pStyle w:val="18"/>
              <w:keepNext w:val="0"/>
              <w:keepLines w:val="0"/>
              <w:pageBreakBefore w:val="0"/>
              <w:widowControl w:val="0"/>
              <w:kinsoku/>
              <w:wordWrap w:val="0"/>
              <w:overflowPunct/>
              <w:topLinePunct w:val="0"/>
              <w:bidi w:val="0"/>
              <w:spacing w:line="400" w:lineRule="exact"/>
              <w:ind w:left="0" w:leftChars="0" w:firstLine="0" w:firstLineChars="0"/>
              <w:rPr>
                <w:rFonts w:hint="eastAsia"/>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14:paraId="018E9C45">
            <w:pPr>
              <w:pStyle w:val="18"/>
              <w:keepNext w:val="0"/>
              <w:keepLines w:val="0"/>
              <w:pageBreakBefore w:val="0"/>
              <w:widowControl w:val="0"/>
              <w:kinsoku/>
              <w:wordWrap w:val="0"/>
              <w:overflowPunct/>
              <w:topLinePunct w:val="0"/>
              <w:bidi w:val="0"/>
              <w:spacing w:line="400" w:lineRule="exact"/>
              <w:ind w:left="0" w:leftChars="0" w:firstLine="0" w:firstLineChars="0"/>
              <w:jc w:val="center"/>
              <w:rPr>
                <w:rFonts w:hint="default"/>
                <w:color w:val="auto"/>
                <w:sz w:val="21"/>
                <w:szCs w:val="21"/>
                <w:highlight w:val="none"/>
                <w:lang w:val="en-US"/>
              </w:rPr>
            </w:pPr>
            <w:r>
              <w:rPr>
                <w:rFonts w:hint="eastAsia" w:ascii="宋体" w:hAnsi="宋体" w:eastAsia="宋体" w:cs="宋体"/>
                <w:color w:val="auto"/>
                <w:sz w:val="21"/>
                <w:szCs w:val="21"/>
                <w:highlight w:val="none"/>
                <w:lang w:val="en-US" w:eastAsia="zh-CN"/>
              </w:rPr>
              <w:t>480000</w:t>
            </w:r>
          </w:p>
        </w:tc>
      </w:tr>
      <w:tr w14:paraId="33F73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426" w:type="dxa"/>
            <w:tcBorders>
              <w:top w:val="single" w:color="auto" w:sz="4" w:space="0"/>
              <w:left w:val="single" w:color="auto" w:sz="4" w:space="0"/>
              <w:right w:val="single" w:color="auto" w:sz="4" w:space="0"/>
            </w:tcBorders>
            <w:vAlign w:val="center"/>
          </w:tcPr>
          <w:p w14:paraId="08953D3D">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00" w:type="dxa"/>
            <w:gridSpan w:val="2"/>
            <w:tcBorders>
              <w:top w:val="single" w:color="auto" w:sz="4" w:space="0"/>
              <w:left w:val="single" w:color="auto" w:sz="4" w:space="0"/>
              <w:right w:val="single" w:color="auto" w:sz="4" w:space="0"/>
            </w:tcBorders>
            <w:vAlign w:val="center"/>
          </w:tcPr>
          <w:p w14:paraId="1CB77275">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集中供液装置</w:t>
            </w:r>
          </w:p>
        </w:tc>
        <w:tc>
          <w:tcPr>
            <w:tcW w:w="426" w:type="dxa"/>
            <w:tcBorders>
              <w:top w:val="single" w:color="auto" w:sz="4" w:space="0"/>
              <w:left w:val="single" w:color="auto" w:sz="4" w:space="0"/>
              <w:bottom w:val="single" w:color="auto" w:sz="4" w:space="0"/>
              <w:right w:val="single" w:color="auto" w:sz="4" w:space="0"/>
            </w:tcBorders>
            <w:vAlign w:val="center"/>
          </w:tcPr>
          <w:p w14:paraId="40054FFE">
            <w:pPr>
              <w:pStyle w:val="19"/>
              <w:keepNext w:val="0"/>
              <w:keepLines w:val="0"/>
              <w:pageBreakBefore w:val="0"/>
              <w:widowControl w:val="0"/>
              <w:kinsoku/>
              <w:wordWrap w:val="0"/>
              <w:overflowPunct/>
              <w:topLinePunct w:val="0"/>
              <w:bidi w:val="0"/>
              <w:spacing w:line="4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428" w:type="dxa"/>
            <w:tcBorders>
              <w:top w:val="single" w:color="auto" w:sz="4" w:space="0"/>
              <w:left w:val="single" w:color="auto" w:sz="4" w:space="0"/>
              <w:bottom w:val="single" w:color="auto" w:sz="4" w:space="0"/>
              <w:right w:val="single" w:color="auto" w:sz="4" w:space="0"/>
            </w:tcBorders>
            <w:vAlign w:val="center"/>
          </w:tcPr>
          <w:p w14:paraId="3810DD6A">
            <w:pPr>
              <w:pStyle w:val="15"/>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w:t>
            </w:r>
          </w:p>
        </w:tc>
        <w:tc>
          <w:tcPr>
            <w:tcW w:w="6793" w:type="dxa"/>
            <w:tcBorders>
              <w:top w:val="single" w:color="auto" w:sz="4" w:space="0"/>
              <w:left w:val="single" w:color="auto" w:sz="4" w:space="0"/>
              <w:bottom w:val="single" w:color="auto" w:sz="4" w:space="0"/>
              <w:right w:val="single" w:color="auto" w:sz="4" w:space="0"/>
            </w:tcBorders>
            <w:vAlign w:val="center"/>
          </w:tcPr>
          <w:p w14:paraId="4808BAC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一、功能要求：</w:t>
            </w:r>
          </w:p>
          <w:p w14:paraId="71A45AE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1.满足30-120床的血透机吸液需求。</w:t>
            </w:r>
          </w:p>
          <w:p w14:paraId="4134789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2.可任意设定单次10-50人份配制及满足多品牌的透析机的配方要求，提供配制容量及参数设定证明资料。</w:t>
            </w:r>
          </w:p>
          <w:p w14:paraId="05459CB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3.供液压力≤45 KPa,保证血透机吸液安全，提供操作界面实时显示证明资料。</w:t>
            </w:r>
          </w:p>
          <w:p w14:paraId="4386E62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4.设备主机箱尺寸长*宽*高=1800*900*1700mm±100mm</w:t>
            </w:r>
          </w:p>
          <w:p w14:paraId="1444863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5.▲主机箱一体式设计，机箱内包含独立的≥100L预先投粉桶，≥320L的配液桶、储液桶各一个，干粉配制预先投入，联动配制浓缩透析液，提供主机箱3个桶连接结构图</w:t>
            </w:r>
            <w:r>
              <w:rPr>
                <w:rFonts w:hint="eastAsia" w:ascii="宋体" w:hAnsi="宋体" w:eastAsia="宋体" w:cs="宋体"/>
                <w:color w:val="auto"/>
                <w:sz w:val="21"/>
                <w:szCs w:val="21"/>
                <w:highlight w:val="none"/>
                <w:lang w:eastAsia="zh-CN"/>
              </w:rPr>
              <w:t>。</w:t>
            </w:r>
          </w:p>
          <w:p w14:paraId="69751E03">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6.▲配制透析浓缩液微生物标准应符合透析液浓缩物的要求：细菌总数应≤1CFU/mL；真菌总数应≤1CFU/mL；大肠杆菌不得检出；内毒素含量应≤0.03 EU/mL，提供国家承认的第三方机构检测报告证明资料。</w:t>
            </w:r>
          </w:p>
          <w:p w14:paraId="55E50F6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二、操作控制系统：</w:t>
            </w:r>
          </w:p>
          <w:p w14:paraId="3B097253">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7.集成式西门子PLC 控制系统、威纶通触摸屏人机交互界面，防误操作设计，确保安全可靠，提供控制系统、触摸屏证明资料。</w:t>
            </w:r>
          </w:p>
          <w:p w14:paraId="216B50F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8.具有操作权限设定功能，对设备的使用、参数修改与查看分级授权管理。</w:t>
            </w:r>
          </w:p>
          <w:p w14:paraId="40B0B3D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9.操作屏幕可显示系统工作状态与时间，工作流程图与各环节的运行状态和监测数据，提供操作界面运行证明资料。</w:t>
            </w:r>
          </w:p>
          <w:p w14:paraId="5C8E23E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10.系统具有声音、三色光灯、弹窗警示提示，报警声需洪亮。</w:t>
            </w:r>
          </w:p>
          <w:p w14:paraId="5611C2F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11.设备运行事件和报警事件显示和记录功能。</w:t>
            </w:r>
          </w:p>
          <w:p w14:paraId="64E78A93">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12.控制系统具有自动/手动应急配液模式，可手动应急配制溶液。</w:t>
            </w:r>
          </w:p>
          <w:p w14:paraId="6443FEE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13.系统可根据每周患者治疗情况进行二十四小时预约启停、巡管排气、冲洗配制等需求，减少能耗和人工操作失误带来的损耗，极大提升技术人员的操作体验，提供每周预约功能的证明资料。</w:t>
            </w:r>
          </w:p>
          <w:p w14:paraId="1F7C307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14.▲具有远程监控、操作的系统，可实现护士站有线端、手机无线端远程查看，操作的功能，提醒、报警信息微信推送功能，提供手机APP软件、微信信息推送证明资料。</w:t>
            </w:r>
          </w:p>
          <w:p w14:paraId="1C6D2555">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三、配液系统功能：</w:t>
            </w:r>
          </w:p>
          <w:p w14:paraId="55F330A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15.进水采用压力式计量系统，进水过程可自动校准，确保进水精准度≥99.9%。</w:t>
            </w:r>
          </w:p>
          <w:p w14:paraId="0A6A057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16.投粉口离地面高度≤120cm，无需借助梯子投粉，提供结构设计图证明资料。</w:t>
            </w:r>
          </w:p>
          <w:p w14:paraId="4CD263E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17.单次配液时间≤20min，采用水泵增压涡流方式快速溶解。</w:t>
            </w:r>
          </w:p>
          <w:p w14:paraId="763E2E8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18.在线电导度监测精度0.01ms/cm，首次结果偏离范围可进行第二次溶解，结果异常需有提醒警报。</w:t>
            </w:r>
          </w:p>
          <w:p w14:paraId="397BED9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19.设备自带照明功能，配液完成时方便人工复核查看。</w:t>
            </w:r>
          </w:p>
          <w:p w14:paraId="2E2677E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20.溶液配制完成后可根据储液桶使用情况自动补充，储液不足时声光提醒配制，配液桶自动配液二次供给。</w:t>
            </w:r>
          </w:p>
          <w:p w14:paraId="40C05F1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四、储液系统：</w:t>
            </w:r>
          </w:p>
          <w:p w14:paraId="04F758E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21.储液桶配高精度液位传感器和防溢液位开关，可自动完成传送过程和液位报警。</w:t>
            </w:r>
          </w:p>
          <w:p w14:paraId="113B13A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22.▲过滤采用双重在线过滤系统，配液完成经过双重过滤进入供液系统，可完成杂质和细菌的双重过滤。</w:t>
            </w:r>
          </w:p>
          <w:p w14:paraId="2A0F4FB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五、供液系统：</w:t>
            </w:r>
          </w:p>
          <w:p w14:paraId="1528DA1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23.供液管路使用一体成型的编织硅胶软管，直径≥12mm,全循环无死角管路设计，无T型支管形成盲端。</w:t>
            </w:r>
          </w:p>
          <w:p w14:paraId="7D8A77C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24.供液系统采用全循环设计，管道中的浓缩液不间断流动，防止液体长期停滞。</w:t>
            </w:r>
          </w:p>
          <w:p w14:paraId="6247BA3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25.与液体长期接触的桶、管路需采用耐酸耐碱、无毒性物质释放的材质，需提供相关资质报告。</w:t>
            </w:r>
          </w:p>
          <w:p w14:paraId="40034B1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26.与血透机连接方式采用无死腔的三通接头，不能使用普通球阀T型接头，减少管路死腔。</w:t>
            </w:r>
          </w:p>
          <w:p w14:paraId="6800BD5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27.采用正压供液方式，血透机的供液压力≤45KPa，供液泵为一用一备，紧急故障可一键切换</w:t>
            </w:r>
          </w:p>
          <w:p w14:paraId="6E9014E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六、清洗和消毒功能：</w:t>
            </w:r>
          </w:p>
          <w:p w14:paraId="19883A1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28.设备配液开始和结束后，能自动清洗配液系统各部件，有效防止腐蚀及细菌污染。</w:t>
            </w:r>
          </w:p>
          <w:p w14:paraId="0AA72FD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29.▲配液桶具有360°喷淋系统，可对桶内部全面清洗。</w:t>
            </w:r>
          </w:p>
          <w:p w14:paraId="3E0FFEC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30.系统可实现一键自动次氯酸水消毒，消毒过程无需人工操作。</w:t>
            </w:r>
          </w:p>
          <w:p w14:paraId="3E445E8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七、其他要求：</w:t>
            </w:r>
          </w:p>
          <w:p w14:paraId="12252E32">
            <w:pPr>
              <w:keepNext w:val="0"/>
              <w:keepLines w:val="0"/>
              <w:pageBreakBefore w:val="0"/>
              <w:widowControl w:val="0"/>
              <w:numPr>
                <w:ilvl w:val="0"/>
                <w:numId w:val="0"/>
              </w:numPr>
              <w:tabs>
                <w:tab w:val="left" w:pos="2100"/>
              </w:tabs>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31.设备应符合IEC60601—1—2要求的电磁兼容的相关标准，并取得国家药监部门承认的第三方检测机构出具的报告。</w:t>
            </w:r>
          </w:p>
          <w:p w14:paraId="484463A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32.设备应符合GB9706.1-2007要求电气安全的相关标准，并取得国家药监部门承认的第三方检测机构出具的报告。</w:t>
            </w:r>
          </w:p>
        </w:tc>
        <w:tc>
          <w:tcPr>
            <w:tcW w:w="1099" w:type="dxa"/>
            <w:tcBorders>
              <w:top w:val="single" w:color="auto" w:sz="4" w:space="0"/>
              <w:left w:val="single" w:color="auto" w:sz="4" w:space="0"/>
              <w:bottom w:val="single" w:color="auto" w:sz="4" w:space="0"/>
              <w:right w:val="single" w:color="auto" w:sz="4" w:space="0"/>
            </w:tcBorders>
            <w:vAlign w:val="center"/>
          </w:tcPr>
          <w:p w14:paraId="769E1FD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250000</w:t>
            </w:r>
          </w:p>
        </w:tc>
      </w:tr>
      <w:tr w14:paraId="05BF7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426" w:type="dxa"/>
            <w:tcBorders>
              <w:top w:val="single" w:color="auto" w:sz="4" w:space="0"/>
              <w:left w:val="single" w:color="auto" w:sz="4" w:space="0"/>
              <w:right w:val="single" w:color="auto" w:sz="4" w:space="0"/>
            </w:tcBorders>
            <w:vAlign w:val="center"/>
          </w:tcPr>
          <w:p w14:paraId="1D5DD9BC">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00" w:type="dxa"/>
            <w:gridSpan w:val="2"/>
            <w:tcBorders>
              <w:top w:val="single" w:color="auto" w:sz="4" w:space="0"/>
              <w:left w:val="single" w:color="auto" w:sz="4" w:space="0"/>
              <w:right w:val="single" w:color="auto" w:sz="4" w:space="0"/>
            </w:tcBorders>
            <w:vAlign w:val="center"/>
          </w:tcPr>
          <w:p w14:paraId="7569CEC2">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护理车</w:t>
            </w:r>
          </w:p>
        </w:tc>
        <w:tc>
          <w:tcPr>
            <w:tcW w:w="426" w:type="dxa"/>
            <w:tcBorders>
              <w:top w:val="single" w:color="auto" w:sz="4" w:space="0"/>
              <w:left w:val="single" w:color="auto" w:sz="4" w:space="0"/>
              <w:bottom w:val="single" w:color="auto" w:sz="4" w:space="0"/>
              <w:right w:val="single" w:color="auto" w:sz="4" w:space="0"/>
            </w:tcBorders>
            <w:vAlign w:val="center"/>
          </w:tcPr>
          <w:p w14:paraId="3C7B2CE8">
            <w:pPr>
              <w:pStyle w:val="19"/>
              <w:keepNext w:val="0"/>
              <w:keepLines w:val="0"/>
              <w:pageBreakBefore w:val="0"/>
              <w:widowControl w:val="0"/>
              <w:kinsoku/>
              <w:wordWrap w:val="0"/>
              <w:overflowPunct/>
              <w:topLinePunct w:val="0"/>
              <w:bidi w:val="0"/>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28" w:type="dxa"/>
            <w:tcBorders>
              <w:top w:val="single" w:color="auto" w:sz="4" w:space="0"/>
              <w:left w:val="single" w:color="auto" w:sz="4" w:space="0"/>
              <w:bottom w:val="single" w:color="auto" w:sz="4" w:space="0"/>
              <w:right w:val="single" w:color="auto" w:sz="4" w:space="0"/>
            </w:tcBorders>
            <w:vAlign w:val="center"/>
          </w:tcPr>
          <w:p w14:paraId="6625387F">
            <w:pPr>
              <w:pStyle w:val="15"/>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辆</w:t>
            </w:r>
          </w:p>
        </w:tc>
        <w:tc>
          <w:tcPr>
            <w:tcW w:w="6793" w:type="dxa"/>
            <w:tcBorders>
              <w:top w:val="single" w:color="auto" w:sz="4" w:space="0"/>
              <w:left w:val="single" w:color="auto" w:sz="4" w:space="0"/>
              <w:bottom w:val="single" w:color="auto" w:sz="4" w:space="0"/>
              <w:right w:val="single" w:color="auto" w:sz="4" w:space="0"/>
            </w:tcBorders>
            <w:vAlign w:val="center"/>
          </w:tcPr>
          <w:p w14:paraId="040B414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1、规格：980×480×900mm±50mm</w:t>
            </w:r>
          </w:p>
          <w:p w14:paraId="766019A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2、整车由优质201不锈钢管及不锈钢板经焊接组装而成，管厚为：1.5mm,板厚为1.0mm</w:t>
            </w:r>
            <w:r>
              <w:rPr>
                <w:rFonts w:hint="eastAsia" w:ascii="宋体" w:hAnsi="宋体" w:eastAsia="宋体" w:cs="宋体"/>
                <w:color w:val="auto"/>
                <w:sz w:val="21"/>
                <w:szCs w:val="21"/>
                <w:highlight w:val="none"/>
                <w:lang w:eastAsia="zh-CN"/>
              </w:rPr>
              <w:t>。</w:t>
            </w:r>
          </w:p>
          <w:p w14:paraId="6522EA7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3、左边设计有一污物收集桶托板，污物袋可拆洗、更换</w:t>
            </w:r>
            <w:r>
              <w:rPr>
                <w:rFonts w:hint="eastAsia" w:ascii="宋体" w:hAnsi="宋体" w:eastAsia="宋体" w:cs="宋体"/>
                <w:color w:val="auto"/>
                <w:sz w:val="21"/>
                <w:szCs w:val="21"/>
                <w:highlight w:val="none"/>
                <w:lang w:eastAsia="zh-CN"/>
              </w:rPr>
              <w:t>。</w:t>
            </w:r>
          </w:p>
          <w:p w14:paraId="7F34ACD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4、左边以不锈钢管、钢板焊接，分三层，每层焊有三面护栏，配置有不锈钢扶手</w:t>
            </w:r>
            <w:r>
              <w:rPr>
                <w:rFonts w:hint="eastAsia" w:ascii="宋体" w:hAnsi="宋体" w:eastAsia="宋体" w:cs="宋体"/>
                <w:color w:val="auto"/>
                <w:sz w:val="21"/>
                <w:szCs w:val="21"/>
                <w:highlight w:val="none"/>
                <w:lang w:eastAsia="zh-CN"/>
              </w:rPr>
              <w:t>。</w:t>
            </w:r>
          </w:p>
          <w:p w14:paraId="21890D8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5、配置4寸万向轮4只，高耐磨，无噪音，稳定性好</w:t>
            </w:r>
            <w:r>
              <w:rPr>
                <w:rFonts w:hint="eastAsia" w:ascii="宋体" w:hAnsi="宋体" w:eastAsia="宋体" w:cs="宋体"/>
                <w:color w:val="auto"/>
                <w:sz w:val="21"/>
                <w:szCs w:val="21"/>
                <w:highlight w:val="none"/>
                <w:lang w:eastAsia="zh-CN"/>
              </w:rPr>
              <w:t>。</w:t>
            </w:r>
          </w:p>
        </w:tc>
        <w:tc>
          <w:tcPr>
            <w:tcW w:w="1099" w:type="dxa"/>
            <w:tcBorders>
              <w:top w:val="single" w:color="auto" w:sz="4" w:space="0"/>
              <w:left w:val="single" w:color="auto" w:sz="4" w:space="0"/>
              <w:bottom w:val="single" w:color="auto" w:sz="4" w:space="0"/>
              <w:right w:val="single" w:color="auto" w:sz="4" w:space="0"/>
            </w:tcBorders>
            <w:vAlign w:val="center"/>
          </w:tcPr>
          <w:p w14:paraId="52CB4E1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1200</w:t>
            </w:r>
          </w:p>
        </w:tc>
      </w:tr>
      <w:tr w14:paraId="7B851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1" w:hRule="atLeast"/>
          <w:jc w:val="center"/>
        </w:trPr>
        <w:tc>
          <w:tcPr>
            <w:tcW w:w="426" w:type="dxa"/>
            <w:tcBorders>
              <w:top w:val="single" w:color="auto" w:sz="4" w:space="0"/>
              <w:left w:val="single" w:color="auto" w:sz="4" w:space="0"/>
              <w:right w:val="single" w:color="auto" w:sz="4" w:space="0"/>
            </w:tcBorders>
            <w:vAlign w:val="center"/>
          </w:tcPr>
          <w:p w14:paraId="73478E2E">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00" w:type="dxa"/>
            <w:gridSpan w:val="2"/>
            <w:tcBorders>
              <w:top w:val="single" w:color="auto" w:sz="4" w:space="0"/>
              <w:left w:val="single" w:color="auto" w:sz="4" w:space="0"/>
              <w:right w:val="single" w:color="auto" w:sz="4" w:space="0"/>
            </w:tcBorders>
            <w:vAlign w:val="center"/>
          </w:tcPr>
          <w:p w14:paraId="2B455622">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脉动真空压力蒸汽灭菌器</w:t>
            </w:r>
          </w:p>
        </w:tc>
        <w:tc>
          <w:tcPr>
            <w:tcW w:w="426" w:type="dxa"/>
            <w:tcBorders>
              <w:top w:val="single" w:color="auto" w:sz="4" w:space="0"/>
              <w:left w:val="single" w:color="auto" w:sz="4" w:space="0"/>
              <w:bottom w:val="single" w:color="auto" w:sz="4" w:space="0"/>
              <w:right w:val="single" w:color="auto" w:sz="4" w:space="0"/>
            </w:tcBorders>
            <w:vAlign w:val="center"/>
          </w:tcPr>
          <w:p w14:paraId="652D86E1">
            <w:pPr>
              <w:pStyle w:val="19"/>
              <w:keepNext w:val="0"/>
              <w:keepLines w:val="0"/>
              <w:pageBreakBefore w:val="0"/>
              <w:widowControl w:val="0"/>
              <w:kinsoku/>
              <w:wordWrap w:val="0"/>
              <w:overflowPunct/>
              <w:topLinePunct w:val="0"/>
              <w:bidi w:val="0"/>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28" w:type="dxa"/>
            <w:tcBorders>
              <w:top w:val="single" w:color="auto" w:sz="4" w:space="0"/>
              <w:left w:val="single" w:color="auto" w:sz="4" w:space="0"/>
              <w:bottom w:val="single" w:color="auto" w:sz="4" w:space="0"/>
              <w:right w:val="single" w:color="auto" w:sz="4" w:space="0"/>
            </w:tcBorders>
            <w:vAlign w:val="center"/>
          </w:tcPr>
          <w:p w14:paraId="5FF07E33">
            <w:pPr>
              <w:pStyle w:val="15"/>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w:t>
            </w:r>
          </w:p>
        </w:tc>
        <w:tc>
          <w:tcPr>
            <w:tcW w:w="6793" w:type="dxa"/>
            <w:tcBorders>
              <w:top w:val="single" w:color="auto" w:sz="4" w:space="0"/>
              <w:left w:val="single" w:color="auto" w:sz="4" w:space="0"/>
              <w:bottom w:val="single" w:color="auto" w:sz="4" w:space="0"/>
              <w:right w:val="single" w:color="auto" w:sz="4" w:space="0"/>
            </w:tcBorders>
            <w:vAlign w:val="center"/>
          </w:tcPr>
          <w:p w14:paraId="21F3366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一、主体</w:t>
            </w:r>
          </w:p>
          <w:p w14:paraId="40DA193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1、容积：≥1200L</w:t>
            </w:r>
          </w:p>
          <w:p w14:paraId="7397329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2、内室尺寸：680×1180×1500mm±50mm</w:t>
            </w:r>
          </w:p>
          <w:p w14:paraId="125D4D1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3、主体结构：环形加强筋结构，增强了主体的强度和刚度。</w:t>
            </w:r>
          </w:p>
          <w:p w14:paraId="247EA1F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4、焊接工艺：全自动焊接机器人焊接保证焊缝质量；消除了人为焊接因素导致的偏差，保证了主体焊接质量。</w:t>
            </w:r>
          </w:p>
          <w:p w14:paraId="616535B5">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5、材质：内壳304不锈钢，夹层304不锈钢。</w:t>
            </w:r>
          </w:p>
          <w:p w14:paraId="62A5301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6、设计压力：-0.1~0.3MPa</w:t>
            </w:r>
          </w:p>
          <w:p w14:paraId="3842ABF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7、设计温度：≥144℃</w:t>
            </w:r>
          </w:p>
          <w:p w14:paraId="1352292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8、使用寿命：10年（20000次灭菌循环）。</w:t>
            </w:r>
          </w:p>
          <w:p w14:paraId="6EF97BE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9、主体保温：保温棉厚度≥60mm。</w:t>
            </w:r>
          </w:p>
          <w:p w14:paraId="09E5F9C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10、需负责免费帮医院办理相关压力容器证件（包括涉及办证费用）</w:t>
            </w:r>
            <w:r>
              <w:rPr>
                <w:rFonts w:hint="eastAsia" w:ascii="宋体" w:hAnsi="宋体" w:eastAsia="宋体" w:cs="宋体"/>
                <w:color w:val="auto"/>
                <w:sz w:val="21"/>
                <w:szCs w:val="21"/>
                <w:highlight w:val="none"/>
                <w:lang w:eastAsia="zh-CN"/>
              </w:rPr>
              <w:t>。</w:t>
            </w:r>
          </w:p>
          <w:p w14:paraId="73B8D7B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二、密封门</w:t>
            </w:r>
          </w:p>
          <w:p w14:paraId="7D5EC83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1、门数量：2</w:t>
            </w:r>
          </w:p>
          <w:p w14:paraId="53CC033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2、材质：门板材质同内壳一致。</w:t>
            </w:r>
          </w:p>
          <w:p w14:paraId="5F70D00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3、门组件：门组件焊后采用震动时效去应力处理，消除焊接应力，有效提高了门组件的结构稳定性和使用性能。</w:t>
            </w:r>
          </w:p>
          <w:p w14:paraId="4CBA06D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4、动力方式：采用了电动升降和压缩气密封技术，大大减轻了操作者开关门的劳动强度，使该灭菌器的自动化程度达到新的水准。</w:t>
            </w:r>
          </w:p>
          <w:p w14:paraId="2958942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5、门电机：过载过流保护，操作方便，机构合理。</w:t>
            </w:r>
          </w:p>
          <w:p w14:paraId="64E9CB35">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6、密封圈：全新的优质高抗撕硅橡胶材料圆形中空门密封圈，表面派斯林处理，具有更好的密封效果以及更长的使用寿命。</w:t>
            </w:r>
          </w:p>
          <w:p w14:paraId="2EDD375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7、安全联锁</w:t>
            </w:r>
          </w:p>
          <w:p w14:paraId="5095839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压力安全联锁装置：门只有关闭到位，电源才能接通加热产生蒸汽；内室有正压或负压压力，门无法打开。</w:t>
            </w:r>
          </w:p>
          <w:p w14:paraId="066D7DF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8、双门互锁</w:t>
            </w:r>
          </w:p>
          <w:p w14:paraId="26AC294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双门互锁，一个门处在非关闭状态下，另一个门无法进行门动作。</w:t>
            </w:r>
          </w:p>
          <w:p w14:paraId="5E67602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三、管路系统</w:t>
            </w:r>
          </w:p>
          <w:p w14:paraId="487CBAB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1、管路材质：采用卫生级不锈钢材质，卡箍链接。</w:t>
            </w:r>
          </w:p>
          <w:p w14:paraId="2C1D4AB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2、真空泵：知名品牌直联真空泵。</w:t>
            </w:r>
          </w:p>
          <w:p w14:paraId="1B53222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3、阀：知名品牌气动阀和电磁阀。</w:t>
            </w:r>
          </w:p>
          <w:p w14:paraId="7703E91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4、蒸汽源：外接蒸汽</w:t>
            </w:r>
            <w:r>
              <w:rPr>
                <w:rFonts w:hint="eastAsia" w:ascii="宋体" w:hAnsi="宋体" w:eastAsia="宋体" w:cs="宋体"/>
                <w:color w:val="auto"/>
                <w:sz w:val="21"/>
                <w:szCs w:val="21"/>
                <w:highlight w:val="none"/>
                <w:lang w:eastAsia="zh-CN"/>
              </w:rPr>
              <w:t>。</w:t>
            </w:r>
          </w:p>
          <w:p w14:paraId="7FB4264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5、换热器：板式换热器，用于抽真空排汽冷却，提高抽真空速度，提高真空泵运行寿命，排水温度低。</w:t>
            </w:r>
          </w:p>
          <w:p w14:paraId="7B61488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6、管路设计：设备矩形环形夹套结构，具有多路进汽设计，总进汽口不低于5。</w:t>
            </w:r>
          </w:p>
          <w:p w14:paraId="4E8566A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四、控制系统</w:t>
            </w:r>
          </w:p>
          <w:p w14:paraId="2D49C87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1、PLC：知名品牌。</w:t>
            </w:r>
          </w:p>
          <w:p w14:paraId="38955D6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2、触摸屏屏幕尺寸：≥8.4英寸。</w:t>
            </w:r>
          </w:p>
          <w:p w14:paraId="392CADF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3、温度传感器：采用知名品牌，稳定性好，相应速度快，A级精度，测量误差小。</w:t>
            </w:r>
          </w:p>
          <w:p w14:paraId="1B4AB59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4、压力表：知名品牌，精度等级。</w:t>
            </w:r>
          </w:p>
          <w:p w14:paraId="3A97E73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5、压力变送器：知名品牌，精度等级。</w:t>
            </w:r>
          </w:p>
          <w:p w14:paraId="1395FA7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6、升压速率控制：程序具有升压速率调节控制功能。</w:t>
            </w:r>
          </w:p>
          <w:p w14:paraId="7DA99F4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7、程序种类及数量</w:t>
            </w:r>
          </w:p>
          <w:p w14:paraId="5D730F9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灭菌类程序：≥11套；BD、泄露测试及真空干燥、脉动干燥等辅助程序。</w:t>
            </w:r>
          </w:p>
          <w:p w14:paraId="14C1888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8、故障报警：故障报警系统可显示并声音报警。</w:t>
            </w:r>
          </w:p>
          <w:p w14:paraId="52BB9A5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9、智能维护保养提示系统：自动监测各运行部件运行状态，自动提示各种维护保养信息：门胶圈更换、空气过滤器的更换、过滤器清洗等；确保设备始终处于常工作状态。</w:t>
            </w:r>
          </w:p>
          <w:p w14:paraId="47E676A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10、脉动次数</w:t>
            </w:r>
          </w:p>
          <w:p w14:paraId="6DBFEFD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采用多次负压脉动＋跨压脉动＋正压脉动，脉动次数0～99次可调节。</w:t>
            </w:r>
          </w:p>
          <w:p w14:paraId="235AE59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11、记录方式</w:t>
            </w:r>
          </w:p>
          <w:p w14:paraId="49A75E1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内置热敏打印机，打印的数据要实时记录整个灭菌过程的数据</w:t>
            </w:r>
            <w:r>
              <w:rPr>
                <w:rFonts w:hint="eastAsia" w:ascii="宋体" w:hAnsi="宋体" w:eastAsia="宋体" w:cs="宋体"/>
                <w:color w:val="auto"/>
                <w:sz w:val="21"/>
                <w:szCs w:val="21"/>
                <w:highlight w:val="none"/>
                <w:lang w:eastAsia="zh-CN"/>
              </w:rPr>
              <w:t>。</w:t>
            </w:r>
          </w:p>
          <w:p w14:paraId="4F232B8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12、数据保存</w:t>
            </w:r>
          </w:p>
          <w:p w14:paraId="592E9D0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热敏纸：使用长效热敏纸，在适宜的环境下可保存5年</w:t>
            </w:r>
            <w:r>
              <w:rPr>
                <w:rFonts w:hint="eastAsia" w:ascii="宋体" w:hAnsi="宋体" w:eastAsia="宋体" w:cs="宋体"/>
                <w:color w:val="auto"/>
                <w:sz w:val="21"/>
                <w:szCs w:val="21"/>
                <w:highlight w:val="none"/>
                <w:lang w:eastAsia="zh-CN"/>
              </w:rPr>
              <w:t>。</w:t>
            </w:r>
          </w:p>
          <w:p w14:paraId="18DFBD53">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13、安全保护</w:t>
            </w:r>
          </w:p>
          <w:p w14:paraId="3DCB136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13.1、超压保护：内室压力超过程序运行允许压力，程序自动退出转入故障状态下处理</w:t>
            </w:r>
            <w:r>
              <w:rPr>
                <w:rFonts w:hint="eastAsia" w:ascii="宋体" w:hAnsi="宋体" w:eastAsia="宋体" w:cs="宋体"/>
                <w:color w:val="auto"/>
                <w:sz w:val="21"/>
                <w:szCs w:val="21"/>
                <w:highlight w:val="none"/>
                <w:lang w:eastAsia="zh-CN"/>
              </w:rPr>
              <w:t>。</w:t>
            </w:r>
          </w:p>
          <w:p w14:paraId="5C0670A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13.2、门关位检测保护：门开关在程序运行过程中检测异常，程序自动退出转入故障状态下处理。</w:t>
            </w:r>
          </w:p>
          <w:p w14:paraId="27D2C88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14、灭菌温度</w:t>
            </w:r>
          </w:p>
          <w:p w14:paraId="620A732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标准循环：121℃和134℃。灭菌温度设定范围：115～138℃可调节。</w:t>
            </w:r>
          </w:p>
          <w:p w14:paraId="2164CFC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15、灭菌时间</w:t>
            </w:r>
          </w:p>
          <w:p w14:paraId="27F094A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标准循环：121℃，20分钟；134℃，5分钟。灭菌时间设定范围：0～9999秒可调节。</w:t>
            </w:r>
          </w:p>
          <w:p w14:paraId="4689AA2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16、干燥时间：干燥时间设定范围：0～9999秒可调节。</w:t>
            </w:r>
          </w:p>
          <w:p w14:paraId="4D1CB617">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五、标准配置</w:t>
            </w:r>
          </w:p>
          <w:p w14:paraId="493311EE">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（一）设备主体：1台</w:t>
            </w:r>
          </w:p>
          <w:p w14:paraId="1B11F80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（二）消毒车：1辆（304 不锈钢）</w:t>
            </w:r>
          </w:p>
          <w:p w14:paraId="0D409D1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（三）搬运车：2辆（304 不锈钢）</w:t>
            </w:r>
          </w:p>
          <w:p w14:paraId="1193773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（四）扳手：1把</w:t>
            </w:r>
          </w:p>
          <w:p w14:paraId="134BB8B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（五）发货配备耗材，以供首次灭菌调试使用</w:t>
            </w:r>
            <w:r>
              <w:rPr>
                <w:rFonts w:hint="eastAsia" w:ascii="宋体" w:hAnsi="宋体" w:eastAsia="宋体" w:cs="宋体"/>
                <w:color w:val="auto"/>
                <w:sz w:val="21"/>
                <w:szCs w:val="21"/>
                <w:highlight w:val="none"/>
                <w:lang w:eastAsia="zh-CN"/>
              </w:rPr>
              <w:t>。</w:t>
            </w:r>
          </w:p>
        </w:tc>
        <w:tc>
          <w:tcPr>
            <w:tcW w:w="1099" w:type="dxa"/>
            <w:tcBorders>
              <w:top w:val="single" w:color="auto" w:sz="4" w:space="0"/>
              <w:left w:val="single" w:color="auto" w:sz="4" w:space="0"/>
              <w:bottom w:val="single" w:color="auto" w:sz="4" w:space="0"/>
              <w:right w:val="single" w:color="auto" w:sz="4" w:space="0"/>
            </w:tcBorders>
            <w:vAlign w:val="center"/>
          </w:tcPr>
          <w:p w14:paraId="5D5907B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250000</w:t>
            </w:r>
          </w:p>
        </w:tc>
      </w:tr>
      <w:tr w14:paraId="3C266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426" w:type="dxa"/>
            <w:tcBorders>
              <w:top w:val="single" w:color="auto" w:sz="4" w:space="0"/>
              <w:left w:val="single" w:color="auto" w:sz="4" w:space="0"/>
              <w:right w:val="single" w:color="auto" w:sz="4" w:space="0"/>
            </w:tcBorders>
            <w:vAlign w:val="center"/>
          </w:tcPr>
          <w:p w14:paraId="757583E6">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00" w:type="dxa"/>
            <w:gridSpan w:val="2"/>
            <w:tcBorders>
              <w:top w:val="single" w:color="auto" w:sz="4" w:space="0"/>
              <w:left w:val="single" w:color="auto" w:sz="4" w:space="0"/>
              <w:right w:val="single" w:color="auto" w:sz="4" w:space="0"/>
            </w:tcBorders>
            <w:vAlign w:val="center"/>
          </w:tcPr>
          <w:p w14:paraId="5329518B">
            <w:pPr>
              <w:keepNext w:val="0"/>
              <w:keepLines w:val="0"/>
              <w:pageBreakBefore w:val="0"/>
              <w:widowControl w:val="0"/>
              <w:kinsoku/>
              <w:wordWrap w:val="0"/>
              <w:overflowPunct/>
              <w:topLinePunct w:val="0"/>
              <w:bidi w:val="0"/>
              <w:spacing w:line="40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蒸汽发生器</w:t>
            </w:r>
          </w:p>
        </w:tc>
        <w:tc>
          <w:tcPr>
            <w:tcW w:w="426" w:type="dxa"/>
            <w:tcBorders>
              <w:top w:val="single" w:color="auto" w:sz="4" w:space="0"/>
              <w:left w:val="single" w:color="auto" w:sz="4" w:space="0"/>
              <w:bottom w:val="single" w:color="auto" w:sz="4" w:space="0"/>
              <w:right w:val="single" w:color="auto" w:sz="4" w:space="0"/>
            </w:tcBorders>
            <w:vAlign w:val="center"/>
          </w:tcPr>
          <w:p w14:paraId="166F6F07">
            <w:pPr>
              <w:pStyle w:val="19"/>
              <w:keepNext w:val="0"/>
              <w:keepLines w:val="0"/>
              <w:pageBreakBefore w:val="0"/>
              <w:widowControl w:val="0"/>
              <w:kinsoku/>
              <w:wordWrap w:val="0"/>
              <w:overflowPunct/>
              <w:topLinePunct w:val="0"/>
              <w:bidi w:val="0"/>
              <w:spacing w:line="40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28" w:type="dxa"/>
            <w:tcBorders>
              <w:top w:val="single" w:color="auto" w:sz="4" w:space="0"/>
              <w:left w:val="single" w:color="auto" w:sz="4" w:space="0"/>
              <w:bottom w:val="single" w:color="auto" w:sz="4" w:space="0"/>
              <w:right w:val="single" w:color="auto" w:sz="4" w:space="0"/>
            </w:tcBorders>
            <w:vAlign w:val="center"/>
          </w:tcPr>
          <w:p w14:paraId="75F0E07A">
            <w:pPr>
              <w:pStyle w:val="15"/>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w:t>
            </w:r>
          </w:p>
        </w:tc>
        <w:tc>
          <w:tcPr>
            <w:tcW w:w="6793" w:type="dxa"/>
            <w:tcBorders>
              <w:top w:val="single" w:color="auto" w:sz="4" w:space="0"/>
              <w:left w:val="single" w:color="auto" w:sz="4" w:space="0"/>
              <w:bottom w:val="single" w:color="auto" w:sz="4" w:space="0"/>
              <w:right w:val="single" w:color="auto" w:sz="4" w:space="0"/>
            </w:tcBorders>
            <w:vAlign w:val="center"/>
          </w:tcPr>
          <w:p w14:paraId="7B8F222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一、基本需求：</w:t>
            </w:r>
          </w:p>
          <w:p w14:paraId="263CFCBA">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1、规格功率：60KW~90KW</w:t>
            </w:r>
          </w:p>
          <w:p w14:paraId="4516397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2、电源：380V   50Hz  三相四线</w:t>
            </w:r>
          </w:p>
          <w:p w14:paraId="38A0325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3、设计压力：≥0.7 Mpa</w:t>
            </w:r>
          </w:p>
          <w:p w14:paraId="4B36590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4、设计温度：≥170℃ </w:t>
            </w:r>
          </w:p>
          <w:p w14:paraId="46F2546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5、最高工作压力：0.70 Mpa</w:t>
            </w:r>
          </w:p>
          <w:p w14:paraId="0CAF3DD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6、最高出口温度：169℃</w:t>
            </w:r>
          </w:p>
          <w:p w14:paraId="3C59C19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7、工作压力：0.10--0.70  MPa   (可根据需要调节)</w:t>
            </w:r>
          </w:p>
          <w:p w14:paraId="7C42350B">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8、安全压力：0.75  MPa</w:t>
            </w:r>
          </w:p>
          <w:p w14:paraId="6A163E0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9、安全阀设置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开启压力≤0.75MPa</w:t>
            </w:r>
          </w:p>
          <w:p w14:paraId="1A4A07B5">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10、设备出汽量：70~200公斤/小时</w:t>
            </w:r>
          </w:p>
          <w:p w14:paraId="751D3E44">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11、加热功率：54~120KW</w:t>
            </w:r>
          </w:p>
          <w:p w14:paraId="67C2DA5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二、筒体</w:t>
            </w:r>
            <w:r>
              <w:rPr>
                <w:rFonts w:hint="eastAsia" w:ascii="宋体" w:hAnsi="宋体" w:eastAsia="宋体" w:cs="宋体"/>
                <w:b/>
                <w:bCs/>
                <w:color w:val="auto"/>
                <w:sz w:val="21"/>
                <w:szCs w:val="21"/>
                <w:highlight w:val="none"/>
                <w:lang w:eastAsia="zh-CN"/>
              </w:rPr>
              <w:t>：</w:t>
            </w:r>
          </w:p>
          <w:p w14:paraId="0D520999">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1、材质：优质无缝钢管</w:t>
            </w:r>
          </w:p>
          <w:p w14:paraId="57E36ED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2、设计温度：≥170℃</w:t>
            </w:r>
          </w:p>
          <w:p w14:paraId="2F698253">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3、使用寿命：≥8年</w:t>
            </w:r>
          </w:p>
          <w:p w14:paraId="3270560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4、主体保温：防火布或玻璃丝</w:t>
            </w:r>
          </w:p>
          <w:p w14:paraId="6A53FE4C">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5、产汽主体材质均为304L或316L优质不锈钢材质，管路均为卡箍式快拆连接，拆装方便，卫生级不锈钢管路</w:t>
            </w:r>
            <w:r>
              <w:rPr>
                <w:rFonts w:hint="eastAsia" w:ascii="宋体" w:hAnsi="宋体" w:eastAsia="宋体" w:cs="宋体"/>
                <w:color w:val="auto"/>
                <w:sz w:val="21"/>
                <w:szCs w:val="21"/>
                <w:highlight w:val="none"/>
                <w:lang w:eastAsia="zh-CN"/>
              </w:rPr>
              <w:t>。</w:t>
            </w:r>
          </w:p>
          <w:p w14:paraId="7306C965">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6、安全可靠低水容积，更安全。列管式洁净蒸发器水容积小于30L,无需办理压力容器安装告知及使用登记。</w:t>
            </w:r>
          </w:p>
          <w:p w14:paraId="4054AA0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7、水位控制：独特的水位传感器和水位开关双重控制模式，确保控制可靠安全。</w:t>
            </w:r>
          </w:p>
          <w:p w14:paraId="0CF050B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8、压力控制：利用机械式压力控制器和压力传感器进行双重工作压力的控制及调整</w:t>
            </w:r>
            <w:r>
              <w:rPr>
                <w:rFonts w:hint="eastAsia" w:ascii="宋体" w:hAnsi="宋体" w:eastAsia="宋体" w:cs="宋体"/>
                <w:color w:val="auto"/>
                <w:sz w:val="21"/>
                <w:szCs w:val="21"/>
                <w:highlight w:val="none"/>
                <w:lang w:eastAsia="zh-CN"/>
              </w:rPr>
              <w:t>。</w:t>
            </w:r>
          </w:p>
          <w:p w14:paraId="692A5AFD">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9、加热保护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采用液位控制器和温度控制器及温度控制等多重自动保护措施。</w:t>
            </w:r>
          </w:p>
          <w:p w14:paraId="7CAC46E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10、双重超压自动保护：具有压力控制器和安全阀双重超压保护。</w:t>
            </w:r>
          </w:p>
          <w:p w14:paraId="65FFEC20">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11、自动控制系统具有以下功能：1.声光报警系统；2.温度控制系统；3.压力控制系统；4.电气控制系统；5.液位保护功能</w:t>
            </w:r>
            <w:r>
              <w:rPr>
                <w:rFonts w:hint="eastAsia" w:ascii="宋体" w:hAnsi="宋体" w:eastAsia="宋体" w:cs="宋体"/>
                <w:color w:val="auto"/>
                <w:sz w:val="21"/>
                <w:szCs w:val="21"/>
                <w:highlight w:val="none"/>
                <w:lang w:eastAsia="zh-CN"/>
              </w:rPr>
              <w:t>。</w:t>
            </w:r>
          </w:p>
          <w:p w14:paraId="7CA884A6">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12、压力、水位检测系统损坏时，可以应急操作。</w:t>
            </w:r>
          </w:p>
          <w:p w14:paraId="2716B1F1">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13、加热密度高，热效率可达98%，节能环保。</w:t>
            </w:r>
          </w:p>
          <w:p w14:paraId="7C96E292">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14、全不锈钢材质，具有自动排污功能，自动定时排除蒸发器内部沉淀的杂质，提高蒸汽的洁净度。</w:t>
            </w:r>
          </w:p>
          <w:p w14:paraId="5A262868">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15、一键启动，全自动控制自动补水，缺水自动切断加热。</w:t>
            </w:r>
          </w:p>
        </w:tc>
        <w:tc>
          <w:tcPr>
            <w:tcW w:w="1099" w:type="dxa"/>
            <w:tcBorders>
              <w:top w:val="single" w:color="auto" w:sz="4" w:space="0"/>
              <w:left w:val="single" w:color="auto" w:sz="4" w:space="0"/>
              <w:bottom w:val="single" w:color="auto" w:sz="4" w:space="0"/>
              <w:right w:val="single" w:color="auto" w:sz="4" w:space="0"/>
            </w:tcBorders>
            <w:vAlign w:val="center"/>
          </w:tcPr>
          <w:p w14:paraId="66CCB19F">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70000</w:t>
            </w:r>
          </w:p>
        </w:tc>
      </w:tr>
      <w:tr w14:paraId="7A128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72" w:type="dxa"/>
            <w:gridSpan w:val="7"/>
            <w:tcBorders>
              <w:top w:val="single" w:color="auto" w:sz="4" w:space="0"/>
              <w:left w:val="single" w:color="auto" w:sz="4" w:space="0"/>
              <w:bottom w:val="single" w:color="auto" w:sz="4" w:space="0"/>
              <w:right w:val="single" w:color="auto" w:sz="4" w:space="0"/>
            </w:tcBorders>
            <w:noWrap w:val="0"/>
            <w:vAlign w:val="top"/>
          </w:tcPr>
          <w:p w14:paraId="04DD2B92">
            <w:pPr>
              <w:keepNext w:val="0"/>
              <w:keepLines w:val="0"/>
              <w:pageBreakBefore w:val="0"/>
              <w:widowControl w:val="0"/>
              <w:kinsoku/>
              <w:wordWrap w:val="0"/>
              <w:overflowPunct/>
              <w:topLinePunct w:val="0"/>
              <w:bidi w:val="0"/>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商务要求</w:t>
            </w:r>
          </w:p>
        </w:tc>
      </w:tr>
      <w:tr w14:paraId="157A9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1A8AA1F9">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交付时间和地点</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1EE4BDB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交付时间：自合同签订之日起30日内安装调试完毕并验收合格。</w:t>
            </w:r>
          </w:p>
          <w:p w14:paraId="16387804">
            <w:pPr>
              <w:pStyle w:val="17"/>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地点：柳州市内采购人指定地点。</w:t>
            </w:r>
          </w:p>
        </w:tc>
      </w:tr>
      <w:tr w14:paraId="21BB7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02062443">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713EB6C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自成交通知书发出之日起20个日历天内签订合同。</w:t>
            </w:r>
          </w:p>
        </w:tc>
      </w:tr>
      <w:tr w14:paraId="7DBB3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6B280924">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2150EDB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合同中所有货物到齐经采购人签收后，成交供应商须开具合同价款全额发票给采购人，否则采购人不予支付货款；全部货物安装调试完毕验收合格交付采购人后60日内支付合同金额的50%；验收合格6个月后60日内支付合同金额的45%；验收合格一年后60日内支付合同金额的5%（不计利息）。</w:t>
            </w:r>
          </w:p>
        </w:tc>
      </w:tr>
      <w:tr w14:paraId="1A27A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487AFBD0">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3E69DFFF">
            <w:pPr>
              <w:pStyle w:val="7"/>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售后服务：（1）按国家有关规定实行产品“三包”；（2）免费送货上门；（3）接到故障通知后﹤2小时内响应，24小时内派技术人员到达现场，48小时内解决问题，以保证系统正常运行，并承担一切相关费用；（4）定期回访以及维修；（5）质保期内所有设备免费上门维修服务、免费更换零部件，免费提供应用软件升级；（6）其余按厂家承诺进行。</w:t>
            </w:r>
          </w:p>
          <w:p w14:paraId="5BA276EF">
            <w:pPr>
              <w:pStyle w:val="7"/>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2、免费培训：提供整套纸质、电子版技术文件资料，使用说明，操作卡，成交供应商负责免费培训使用人员和维护人员，内容包括设备及软件系统操作、日常维护，确保熟练掌握全部功能为止。</w:t>
            </w:r>
          </w:p>
          <w:p w14:paraId="7AB443B0">
            <w:pPr>
              <w:pStyle w:val="7"/>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3、免费安装调试：成交供应商负责本项目所有货物的安装、调试及项目整体测试、联调和开通，并在试运行结束后由成交供应商整理验收材料提交采购人验收。</w:t>
            </w:r>
          </w:p>
          <w:p w14:paraId="7C82753F">
            <w:pPr>
              <w:pStyle w:val="7"/>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技术支持与服务：提供每周7×24小时技术响应服务，有专职维修工程师负责上门安装、维护及维修，提供相关设备的维修工程师姓名及电话号码。质保期内设备发生故障，维修或更换配件所需的全部费用由成交供应商承担；维修完毕后工程师及时填写维修报告，维修报告包括故障原因、处理情况及用户意见，维修报告由双方各持一份备案。</w:t>
            </w:r>
          </w:p>
          <w:p w14:paraId="0E79554E">
            <w:pPr>
              <w:pStyle w:val="7"/>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5、供应商必须在设备验收合格交付使用前提供所有供应设备的电子版本说明书。</w:t>
            </w:r>
          </w:p>
        </w:tc>
      </w:tr>
      <w:tr w14:paraId="031AD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27563C5E">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656698B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自验收合格之日起计算质保期不少于一年，质保期内免费保修，提供终身维护和保养服务。</w:t>
            </w:r>
          </w:p>
        </w:tc>
      </w:tr>
      <w:tr w14:paraId="1B08A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4C97C001">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验收标准</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7DC71BA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1、在设备安装调试过程中，成交供应商应免费派专业技术人员到交货安装现场进行技术指导及相关技术服务，向采购人交相关试验数据、报告及采购人要求提供的相关技术文件，直至达到验收要求。</w:t>
            </w:r>
          </w:p>
          <w:p w14:paraId="01F3F77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2、本项目全部安装调试完毕后，采购人应当在项目完成且收到供应商验收申请后15个工作日内组织开展履约验收，采购人根据《广西壮族自治区政府采购项目履约验收管理办法》的规定，由采购人及成交供应商双方共同进行验收，采购人可委托采购代理机构、国家认可的质量检测机构开展采购项目履约验收工作，验收费用由成交供应商承担；对不符合要求的产品，采购人有权拒绝验收，由此产生的一切后果，均由成交供应商承担。由此造成的不能按时、按质、按量完成项目要求的，将按照政府采购相关法规、合同相关条款进行处理。</w:t>
            </w:r>
          </w:p>
        </w:tc>
      </w:tr>
      <w:tr w14:paraId="34AD5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5D89CE85">
            <w:pPr>
              <w:pStyle w:val="14"/>
              <w:keepNext w:val="0"/>
              <w:keepLines w:val="0"/>
              <w:pageBreakBefore w:val="0"/>
              <w:widowControl w:val="0"/>
              <w:kinsoku/>
              <w:wordWrap w:val="0"/>
              <w:overflowPunct/>
              <w:topLinePunct w:val="0"/>
              <w:bidi w:val="0"/>
              <w:spacing w:line="400" w:lineRule="exact"/>
              <w:jc w:val="center"/>
              <w:rPr>
                <w:rFonts w:hint="eastAsia" w:ascii="宋体" w:hAnsi="宋体" w:eastAsia="宋体" w:cs="宋体"/>
                <w:bCs/>
                <w:color w:val="auto"/>
                <w:highlight w:val="none"/>
                <w:lang w:val="en-US" w:eastAsia="zh-CN"/>
              </w:rPr>
            </w:pPr>
            <w:r>
              <w:rPr>
                <w:rFonts w:hint="eastAsia" w:ascii="宋体" w:hAnsi="宋体" w:eastAsia="宋体" w:cs="宋体"/>
                <w:bCs/>
                <w:color w:val="auto"/>
                <w:kern w:val="2"/>
                <w:sz w:val="21"/>
                <w:highlight w:val="none"/>
                <w:lang w:val="en-US" w:eastAsia="zh-CN"/>
              </w:rPr>
              <w:t>备品备件及耗材等要求</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7E9FA65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1、质保期内，发现产品存在制造上的缺陷，成交供应商应负责采取补救措施，包括维修或免费更换必要配件，若该缺陷导致设备存在安全隐患或不能使用，成交供应商应负责更换整件产品，成交供应商应具有足够数量的常用易损件备品备件作为采购人平时应急使用。</w:t>
            </w:r>
          </w:p>
          <w:p w14:paraId="582DE84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2、竞标产品如包括必备的易损易耗备品备件和专用工具，供应商应提供其清单。</w:t>
            </w:r>
          </w:p>
          <w:p w14:paraId="1DAA27F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3、常年备有设备配件，能及时处理、更换损坏的零部件。</w:t>
            </w:r>
          </w:p>
          <w:p w14:paraId="618C6DA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4、本项目只采购设备，如采购人需采购成交设备配套耗材时，配套耗材需由采购人有效期内管理的定点耗材供应商供货，供货单价不得高于本项目配套耗材的成交单价。</w:t>
            </w:r>
          </w:p>
          <w:p w14:paraId="33741F8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5、成交设备配套耗材应保障6年内正常供应。</w:t>
            </w:r>
          </w:p>
        </w:tc>
      </w:tr>
      <w:tr w14:paraId="02C8C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5328F444">
            <w:pPr>
              <w:keepNext w:val="0"/>
              <w:keepLines w:val="0"/>
              <w:pageBreakBefore w:val="0"/>
              <w:widowControl w:val="0"/>
              <w:kinsoku/>
              <w:wordWrap w:val="0"/>
              <w:overflowPunct/>
              <w:topLinePunct w:val="0"/>
              <w:bidi w:val="0"/>
              <w:spacing w:line="400" w:lineRule="exact"/>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其他要求</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0F2F330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1、供应商在响应文件中必须提供竞标产品彩页或其他有效技术支持文件，以供评标时核对；对同一参数指标如技术响应表参数与产品彩页或其他权威有效技术支持文件中相应参数有实质性偏离的，以产品彩页或其他权威有效技术支持文件中参数为准。</w:t>
            </w:r>
          </w:p>
          <w:p w14:paraId="19F1976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2、供应商在响应文件中必须提供具体的售后服务方案（明确质保期、故障响应时间、售后服务人员和联系方式、定期走访，提供质保期外的优惠服务方案等）。</w:t>
            </w:r>
          </w:p>
          <w:p w14:paraId="263B90D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3、竞标产品如有需要接入采购人现有医院信息系统的，成交供应商须免费完成对接，其相关费用均由成交供应商承担。</w:t>
            </w:r>
          </w:p>
          <w:p w14:paraId="048F223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kern w:val="2"/>
                <w:sz w:val="21"/>
                <w:highlight w:val="none"/>
                <w:lang w:val="en-US" w:eastAsia="zh-CN"/>
              </w:rPr>
            </w:pPr>
            <w:r>
              <w:rPr>
                <w:rFonts w:hint="eastAsia" w:ascii="宋体" w:hAnsi="宋体" w:eastAsia="宋体" w:cs="宋体"/>
                <w:bCs/>
                <w:color w:val="auto"/>
                <w:kern w:val="2"/>
                <w:sz w:val="21"/>
                <w:highlight w:val="none"/>
                <w:lang w:val="en-US" w:eastAsia="zh-CN"/>
              </w:rPr>
              <w:t>4、供应商提供的所有产品的生产日期不能早于合同签订日期六个月（含六个月）以上。</w:t>
            </w:r>
          </w:p>
          <w:p w14:paraId="316D7E3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rPr>
            </w:pPr>
            <w:r>
              <w:rPr>
                <w:rFonts w:hint="eastAsia" w:ascii="宋体" w:hAnsi="宋体" w:eastAsia="宋体" w:cs="宋体"/>
                <w:bCs/>
                <w:color w:val="auto"/>
                <w:kern w:val="2"/>
                <w:sz w:val="21"/>
                <w:highlight w:val="none"/>
                <w:lang w:val="en-US" w:eastAsia="zh-CN"/>
              </w:rPr>
              <w:t>5、履约验收时，采购人有权要求成交供应商提供原厂技术证明材料和第三方有效证明材料原件予以证明其竞标参数的有效性，如有虚假应</w:t>
            </w:r>
            <w:r>
              <w:rPr>
                <w:rFonts w:hint="eastAsia"/>
                <w:b w:val="0"/>
                <w:bCs w:val="0"/>
                <w:color w:val="auto"/>
                <w:highlight w:val="none"/>
              </w:rPr>
              <w:t>标将予以退货并纳入采购黑名单处理。</w:t>
            </w:r>
          </w:p>
        </w:tc>
      </w:tr>
      <w:tr w14:paraId="26982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72" w:type="dxa"/>
            <w:gridSpan w:val="7"/>
            <w:tcBorders>
              <w:top w:val="single" w:color="auto" w:sz="4" w:space="0"/>
              <w:left w:val="single" w:color="auto" w:sz="4" w:space="0"/>
              <w:bottom w:val="single" w:color="auto" w:sz="4" w:space="0"/>
              <w:right w:val="single" w:color="auto" w:sz="4" w:space="0"/>
            </w:tcBorders>
            <w:noWrap w:val="0"/>
            <w:vAlign w:val="center"/>
          </w:tcPr>
          <w:p w14:paraId="12F3C2B1">
            <w:pPr>
              <w:keepNext w:val="0"/>
              <w:keepLines w:val="0"/>
              <w:pageBreakBefore w:val="0"/>
              <w:widowControl w:val="0"/>
              <w:kinsoku/>
              <w:wordWrap w:val="0"/>
              <w:overflowPunct/>
              <w:topLinePunct w:val="0"/>
              <w:bidi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、核心产品</w:t>
            </w:r>
          </w:p>
        </w:tc>
      </w:tr>
      <w:tr w14:paraId="68C94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972" w:type="dxa"/>
            <w:gridSpan w:val="7"/>
            <w:tcBorders>
              <w:top w:val="single" w:color="auto" w:sz="4" w:space="0"/>
              <w:left w:val="single" w:color="auto" w:sz="4" w:space="0"/>
              <w:bottom w:val="single" w:color="auto" w:sz="4" w:space="0"/>
              <w:right w:val="single" w:color="auto" w:sz="4" w:space="0"/>
            </w:tcBorders>
            <w:noWrap w:val="0"/>
            <w:vAlign w:val="center"/>
          </w:tcPr>
          <w:p w14:paraId="4B21BE16">
            <w:pPr>
              <w:keepNext w:val="0"/>
              <w:keepLines w:val="0"/>
              <w:pageBreakBefore w:val="0"/>
              <w:widowControl w:val="0"/>
              <w:kinsoku/>
              <w:wordWrap w:val="0"/>
              <w:overflowPunct/>
              <w:topLinePunct w:val="0"/>
              <w:bidi w:val="0"/>
              <w:spacing w:line="400" w:lineRule="exact"/>
              <w:ind w:firstLine="420" w:firstLineChars="200"/>
              <w:rPr>
                <w:bCs/>
                <w:color w:val="auto"/>
                <w:szCs w:val="21"/>
                <w:highlight w:val="none"/>
              </w:rPr>
            </w:pPr>
            <w:r>
              <w:rPr>
                <w:bCs/>
                <w:color w:val="auto"/>
                <w:szCs w:val="21"/>
                <w:highlight w:val="none"/>
              </w:rPr>
              <w:t>本项目核</w:t>
            </w:r>
            <w:r>
              <w:rPr>
                <w:rFonts w:hint="eastAsia" w:ascii="宋体" w:hAnsi="宋体" w:cs="宋体"/>
                <w:bCs/>
                <w:color w:val="auto"/>
                <w:szCs w:val="21"/>
                <w:highlight w:val="none"/>
              </w:rPr>
              <w:t>心产品为第</w:t>
            </w:r>
            <w:r>
              <w:rPr>
                <w:rFonts w:hint="eastAsia" w:ascii="宋体" w:hAnsi="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1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项产品</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eastAsia="宋体" w:cs="宋体"/>
                <w:color w:val="auto"/>
                <w:sz w:val="21"/>
                <w:szCs w:val="21"/>
                <w:highlight w:val="none"/>
                <w:u w:val="single"/>
              </w:rPr>
              <w:t>超声波妇科治疗仪</w:t>
            </w:r>
            <w:r>
              <w:rPr>
                <w:rFonts w:hint="eastAsia" w:ascii="宋体" w:hAnsi="宋体" w:eastAsia="宋体" w:cs="宋体"/>
                <w:color w:val="auto"/>
                <w:kern w:val="0"/>
                <w:sz w:val="22"/>
                <w:szCs w:val="22"/>
                <w:highlight w:val="none"/>
                <w:u w:val="single"/>
                <w:lang w:val="en-US" w:eastAsia="zh-CN"/>
              </w:rPr>
              <w:t xml:space="preserve">  </w:t>
            </w:r>
            <w:r>
              <w:rPr>
                <w:rFonts w:hint="eastAsia" w:ascii="宋体" w:hAnsi="宋体" w:cs="宋体"/>
                <w:bCs/>
                <w:color w:val="auto"/>
                <w:szCs w:val="21"/>
                <w:highlight w:val="none"/>
              </w:rPr>
              <w:t>，</w:t>
            </w:r>
            <w:r>
              <w:rPr>
                <w:rFonts w:hint="eastAsia" w:ascii="宋体" w:hAnsi="宋体" w:cs="宋体"/>
                <w:color w:val="auto"/>
                <w:szCs w:val="21"/>
                <w:highlight w:val="none"/>
              </w:rPr>
              <w:t>核心产品品牌相同的，视为提供同品牌产品。提供相</w:t>
            </w:r>
            <w:r>
              <w:rPr>
                <w:color w:val="auto"/>
                <w:szCs w:val="21"/>
                <w:highlight w:val="none"/>
              </w:rPr>
              <w:t>同品牌产品且通过资格审查、符合性审查的不同供应商参加同一合同项下竞标的，按一家供应商计算。</w:t>
            </w:r>
          </w:p>
        </w:tc>
      </w:tr>
      <w:tr w14:paraId="63B5F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9972" w:type="dxa"/>
            <w:gridSpan w:val="7"/>
            <w:tcBorders>
              <w:top w:val="single" w:color="auto" w:sz="4" w:space="0"/>
              <w:left w:val="single" w:color="auto" w:sz="4" w:space="0"/>
              <w:bottom w:val="single" w:color="auto" w:sz="4" w:space="0"/>
              <w:right w:val="single" w:color="auto" w:sz="4" w:space="0"/>
            </w:tcBorders>
            <w:noWrap w:val="0"/>
            <w:vAlign w:val="center"/>
          </w:tcPr>
          <w:p w14:paraId="48820902">
            <w:pPr>
              <w:pStyle w:val="17"/>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b/>
                <w:bCs/>
                <w:color w:val="auto"/>
                <w:highlight w:val="none"/>
                <w:lang w:eastAsia="zh-CN"/>
              </w:rPr>
            </w:pPr>
            <w:r>
              <w:rPr>
                <w:rFonts w:hint="eastAsia"/>
                <w:b/>
                <w:bCs/>
                <w:color w:val="auto"/>
                <w:highlight w:val="none"/>
                <w:lang w:eastAsia="zh-CN"/>
              </w:rPr>
              <w:t>三、</w:t>
            </w:r>
            <w:r>
              <w:rPr>
                <w:rFonts w:hint="eastAsia" w:ascii="宋体" w:hAnsi="宋体" w:cs="宋体"/>
                <w:b/>
                <w:bCs/>
                <w:sz w:val="24"/>
                <w:szCs w:val="24"/>
              </w:rPr>
              <w:t>政策性要求及其他加分条件</w:t>
            </w:r>
          </w:p>
        </w:tc>
      </w:tr>
      <w:tr w14:paraId="31767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3F879EFB">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rPr>
              <w:t>中小型企业条件</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41D42A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1</w:t>
            </w:r>
            <w:r>
              <w:rPr>
                <w:rFonts w:hint="eastAsia"/>
                <w:lang w:eastAsia="zh-CN"/>
              </w:rPr>
              <w:t>、</w:t>
            </w:r>
            <w:r>
              <w:rPr>
                <w:rFonts w:hint="eastAsia"/>
              </w:rPr>
              <w:t>本采购文件所称中小企业必须符合《政府采购促进中小企业发展暂行办法》第二条规定。</w:t>
            </w:r>
          </w:p>
          <w:p w14:paraId="69F88D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2</w:t>
            </w:r>
            <w:r>
              <w:rPr>
                <w:rFonts w:hint="eastAsia"/>
                <w:lang w:eastAsia="zh-CN"/>
              </w:rPr>
              <w:t>、</w:t>
            </w:r>
            <w:r>
              <w:rPr>
                <w:rFonts w:hint="eastAsia"/>
              </w:rPr>
              <w:t>小型和微型企业产品的价格给予10%的扣除，用扣除后的价格参与评审，具体扣除比例请以第四章评审程序和评定成交的标准的规定为准。</w:t>
            </w:r>
          </w:p>
          <w:p w14:paraId="71AB80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rPr>
            </w:pPr>
            <w:r>
              <w:rPr>
                <w:rFonts w:hint="eastAsia"/>
              </w:rPr>
              <w:t>3</w:t>
            </w:r>
            <w:r>
              <w:rPr>
                <w:rFonts w:hint="eastAsia"/>
                <w:lang w:eastAsia="zh-CN"/>
              </w:rPr>
              <w:t>、</w:t>
            </w:r>
            <w:r>
              <w:rPr>
                <w:rFonts w:hint="eastAsia"/>
              </w:rPr>
              <w:t>小型、微型企业提供中型企业制造的货物的，视同为中型企业。</w:t>
            </w:r>
          </w:p>
          <w:p w14:paraId="4C44AF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rPr>
            </w:pPr>
            <w:r>
              <w:rPr>
                <w:rFonts w:hint="eastAsia"/>
              </w:rPr>
              <w:t>4</w:t>
            </w:r>
            <w:r>
              <w:rPr>
                <w:rFonts w:hint="eastAsia"/>
                <w:lang w:eastAsia="zh-CN"/>
              </w:rPr>
              <w:t>、</w:t>
            </w:r>
            <w:r>
              <w:rPr>
                <w:rFonts w:hint="eastAsia"/>
              </w:rPr>
              <w:t>小型、微型企业提供大型企业制造的货物的，视同为大型企业。</w:t>
            </w:r>
          </w:p>
        </w:tc>
      </w:tr>
      <w:tr w14:paraId="4CF9F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22AC1495">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rPr>
              <w:t>监狱企业条件</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7E4E3F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rPr>
            </w:pPr>
            <w:r>
              <w:rPr>
                <w:rFonts w:hint="eastAsia"/>
              </w:rPr>
              <w:t>符合《关于政府采购支持监狱企业发展有关问题的通知》（财库〔2014〕68号）规定的企业视同为小型、微型企业。</w:t>
            </w:r>
          </w:p>
        </w:tc>
      </w:tr>
      <w:tr w14:paraId="644A8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75" w:type="dxa"/>
            <w:gridSpan w:val="2"/>
            <w:tcBorders>
              <w:top w:val="single" w:color="auto" w:sz="4" w:space="0"/>
              <w:left w:val="single" w:color="auto" w:sz="4" w:space="0"/>
              <w:bottom w:val="single" w:color="auto" w:sz="4" w:space="0"/>
              <w:right w:val="single" w:color="auto" w:sz="4" w:space="0"/>
            </w:tcBorders>
            <w:noWrap w:val="0"/>
            <w:vAlign w:val="center"/>
          </w:tcPr>
          <w:p w14:paraId="7ACCC959">
            <w:pPr>
              <w:keepNext w:val="0"/>
              <w:keepLines w:val="0"/>
              <w:pageBreakBefore w:val="0"/>
              <w:widowControl w:val="0"/>
              <w:suppressLineNumbers w:val="0"/>
              <w:kinsoku/>
              <w:wordWrap w:val="0"/>
              <w:overflowPunct/>
              <w:topLinePunct w:val="0"/>
              <w:bidi w:val="0"/>
              <w:spacing w:before="0" w:beforeAutospacing="0" w:after="0" w:afterAutospacing="0" w:line="400" w:lineRule="exact"/>
              <w:ind w:left="0" w:leftChars="0" w:right="0" w:rightChars="0"/>
              <w:jc w:val="center"/>
              <w:rPr>
                <w:rFonts w:hint="eastAsia" w:ascii="宋体" w:hAnsi="宋体" w:eastAsia="宋体" w:cs="宋体"/>
                <w:color w:val="auto"/>
                <w:szCs w:val="21"/>
                <w:highlight w:val="none"/>
              </w:rPr>
            </w:pPr>
            <w:r>
              <w:rPr>
                <w:rFonts w:hint="eastAsia"/>
              </w:rPr>
              <w:t>残疾人福利性单位条件</w:t>
            </w:r>
          </w:p>
        </w:tc>
        <w:tc>
          <w:tcPr>
            <w:tcW w:w="8897" w:type="dxa"/>
            <w:gridSpan w:val="5"/>
            <w:tcBorders>
              <w:top w:val="single" w:color="auto" w:sz="4" w:space="0"/>
              <w:left w:val="single" w:color="auto" w:sz="4" w:space="0"/>
              <w:bottom w:val="single" w:color="auto" w:sz="4" w:space="0"/>
              <w:right w:val="single" w:color="auto" w:sz="4" w:space="0"/>
            </w:tcBorders>
            <w:noWrap w:val="0"/>
            <w:vAlign w:val="center"/>
          </w:tcPr>
          <w:p w14:paraId="43C8CA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eastAsia"/>
              </w:rPr>
            </w:pPr>
            <w:r>
              <w:rPr>
                <w:rFonts w:hint="eastAsia"/>
              </w:rPr>
              <w:t>符合《三部门联合发布关于促进残疾人就业政府采购政策的通知》（财库〔2017〕141号）规定的企业视同为小型、微型企业。</w:t>
            </w:r>
          </w:p>
        </w:tc>
      </w:tr>
      <w:tr w14:paraId="20D0A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72" w:type="dxa"/>
            <w:gridSpan w:val="7"/>
            <w:tcBorders>
              <w:top w:val="single" w:color="auto" w:sz="4" w:space="0"/>
              <w:left w:val="single" w:color="auto" w:sz="4" w:space="0"/>
              <w:bottom w:val="single" w:color="auto" w:sz="4" w:space="0"/>
              <w:right w:val="single" w:color="auto" w:sz="4" w:space="0"/>
            </w:tcBorders>
            <w:noWrap w:val="0"/>
            <w:vAlign w:val="center"/>
          </w:tcPr>
          <w:p w14:paraId="6C68C9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b/>
                <w:bCs/>
                <w:color w:val="auto"/>
                <w:highlight w:val="none"/>
                <w:lang w:eastAsia="zh-CN"/>
              </w:rPr>
            </w:pPr>
            <w:r>
              <w:rPr>
                <w:rFonts w:hint="eastAsia"/>
                <w:b/>
                <w:bCs/>
                <w:color w:val="auto"/>
                <w:highlight w:val="none"/>
                <w:lang w:eastAsia="zh-CN"/>
              </w:rPr>
              <w:t>三、</w:t>
            </w:r>
            <w:r>
              <w:rPr>
                <w:rFonts w:hint="eastAsia" w:ascii="宋体" w:hAnsi="宋体" w:cs="宋体"/>
                <w:b/>
                <w:bCs/>
                <w:sz w:val="24"/>
                <w:szCs w:val="24"/>
              </w:rPr>
              <w:t>进口产品说明</w:t>
            </w:r>
          </w:p>
        </w:tc>
      </w:tr>
      <w:tr w14:paraId="7FBAC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9972" w:type="dxa"/>
            <w:gridSpan w:val="7"/>
            <w:tcBorders>
              <w:top w:val="single" w:color="auto" w:sz="4" w:space="0"/>
              <w:left w:val="single" w:color="auto" w:sz="4" w:space="0"/>
              <w:bottom w:val="single" w:color="auto" w:sz="4" w:space="0"/>
              <w:right w:val="single" w:color="auto" w:sz="4" w:space="0"/>
            </w:tcBorders>
            <w:noWrap w:val="0"/>
            <w:vAlign w:val="center"/>
          </w:tcPr>
          <w:p w14:paraId="1DB358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420" w:firstLineChars="200"/>
              <w:jc w:val="both"/>
              <w:textAlignment w:val="auto"/>
              <w:rPr>
                <w:rFonts w:hint="eastAsia"/>
              </w:rPr>
            </w:pPr>
            <w:r>
              <w:rPr>
                <w:rFonts w:hint="eastAsia"/>
              </w:rPr>
              <w:t>本项目货物不接受进口产品竞标（即通过中国海关报关验放进入中国境内且产自关境外的产品），如有此类产品参与竞标的，响应文件按无效响应处理。</w:t>
            </w:r>
          </w:p>
        </w:tc>
      </w:tr>
    </w:tbl>
    <w:p w14:paraId="7144396E">
      <w:pPr>
        <w:pageBreakBefore w:val="0"/>
        <w:widowControl w:val="0"/>
        <w:kinsoku/>
        <w:wordWrap w:val="0"/>
        <w:overflowPunct/>
        <w:topLinePunct w:val="0"/>
        <w:bidi w:val="0"/>
        <w:outlineLvl w:val="9"/>
        <w:rPr>
          <w:rFonts w:hint="eastAsia"/>
        </w:rPr>
      </w:pPr>
    </w:p>
    <w:p w14:paraId="35819E9C">
      <w:pPr>
        <w:keepNext w:val="0"/>
        <w:keepLines w:val="0"/>
        <w:pageBreakBefore w:val="0"/>
        <w:widowControl w:val="0"/>
        <w:kinsoku/>
        <w:wordWrap w:val="0"/>
        <w:overflowPunct/>
        <w:topLinePunct w:val="0"/>
        <w:autoSpaceDE/>
        <w:autoSpaceDN/>
        <w:bidi w:val="0"/>
        <w:adjustRightInd/>
        <w:snapToGrid w:val="0"/>
        <w:spacing w:line="440" w:lineRule="exact"/>
        <w:ind w:left="0" w:leftChars="0" w:firstLine="420" w:firstLineChars="200"/>
        <w:jc w:val="right"/>
        <w:textAlignment w:val="auto"/>
        <w:rPr>
          <w:rFonts w:hint="eastAsia" w:ascii="宋体" w:hAnsi="宋体" w:eastAsia="宋体" w:cs="宋体"/>
          <w:color w:val="000000"/>
          <w:szCs w:val="21"/>
          <w:highlight w:val="yellow"/>
          <w:u w:val="none"/>
          <w:lang w:eastAsia="zh-CN"/>
        </w:rPr>
        <w:sectPr>
          <w:pgSz w:w="11910" w:h="16840"/>
          <w:pgMar w:top="1440" w:right="1080" w:bottom="1440" w:left="1080" w:header="0" w:footer="775" w:gutter="0"/>
          <w:pgNumType w:fmt="decimal"/>
          <w:cols w:space="720" w:num="1"/>
        </w:sectPr>
      </w:pPr>
    </w:p>
    <w:p w14:paraId="5E1BF3BA">
      <w:pPr>
        <w:pageBreakBefore w:val="0"/>
        <w:widowControl w:val="0"/>
        <w:kinsoku/>
        <w:wordWrap w:val="0"/>
        <w:overflowPunct/>
        <w:topLinePunct w:val="0"/>
        <w:autoSpaceDE/>
        <w:autoSpaceDN/>
        <w:bidi w:val="0"/>
        <w:snapToGrid w:val="0"/>
        <w:spacing w:line="300" w:lineRule="auto"/>
        <w:jc w:val="center"/>
        <w:outlineLvl w:val="0"/>
        <w:rPr>
          <w:rFonts w:hint="eastAsia" w:ascii="宋体" w:hAnsi="宋体" w:eastAsia="宋体" w:cs="宋体"/>
          <w:b/>
          <w:bCs/>
          <w:kern w:val="44"/>
          <w:sz w:val="44"/>
          <w:szCs w:val="44"/>
          <w:highlight w:val="none"/>
        </w:rPr>
      </w:pPr>
      <w:bookmarkStart w:id="100" w:name="_Toc30689"/>
      <w:bookmarkStart w:id="101" w:name="_Toc23384"/>
      <w:r>
        <w:rPr>
          <w:rFonts w:hint="eastAsia" w:ascii="宋体" w:hAnsi="宋体" w:eastAsia="宋体" w:cs="宋体"/>
          <w:b/>
          <w:bCs/>
          <w:kern w:val="44"/>
          <w:sz w:val="44"/>
          <w:szCs w:val="44"/>
          <w:highlight w:val="none"/>
        </w:rPr>
        <w:t>第四章 评审程序、评审方法和成交标准</w:t>
      </w:r>
      <w:bookmarkEnd w:id="100"/>
      <w:bookmarkEnd w:id="101"/>
    </w:p>
    <w:p w14:paraId="4F5F2F09">
      <w:pPr>
        <w:pStyle w:val="3"/>
        <w:pageBreakBefore w:val="0"/>
        <w:widowControl w:val="0"/>
        <w:kinsoku/>
        <w:wordWrap w:val="0"/>
        <w:overflowPunct/>
        <w:topLinePunct w:val="0"/>
        <w:bidi w:val="0"/>
        <w:spacing w:before="120" w:after="120"/>
        <w:jc w:val="center"/>
        <w:rPr>
          <w:rFonts w:hint="eastAsia" w:ascii="宋体" w:hAnsi="宋体" w:eastAsia="宋体" w:cs="宋体"/>
          <w:color w:val="auto"/>
          <w:highlight w:val="none"/>
        </w:rPr>
      </w:pPr>
      <w:bookmarkStart w:id="102" w:name="_Toc29500"/>
      <w:r>
        <w:rPr>
          <w:rFonts w:hint="eastAsia" w:ascii="宋体" w:hAnsi="宋体" w:eastAsia="宋体" w:cs="宋体"/>
          <w:color w:val="auto"/>
          <w:highlight w:val="none"/>
        </w:rPr>
        <w:t>一、评审程序</w:t>
      </w:r>
      <w:bookmarkEnd w:id="102"/>
    </w:p>
    <w:p w14:paraId="23C70695">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03" w:name="_Toc32395"/>
      <w:r>
        <w:rPr>
          <w:rFonts w:hint="eastAsia" w:ascii="宋体" w:hAnsi="宋体" w:eastAsia="宋体" w:cs="宋体"/>
          <w:b/>
          <w:bCs/>
          <w:color w:val="auto"/>
          <w:sz w:val="24"/>
          <w:highlight w:val="none"/>
        </w:rPr>
        <w:t>1.确认谈判文件</w:t>
      </w:r>
      <w:bookmarkEnd w:id="103"/>
    </w:p>
    <w:p w14:paraId="16754A17">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14:paraId="37880CFB">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04" w:name="_Toc10713"/>
      <w:r>
        <w:rPr>
          <w:rFonts w:hint="eastAsia" w:ascii="宋体" w:hAnsi="宋体" w:eastAsia="宋体" w:cs="宋体"/>
          <w:b/>
          <w:bCs/>
          <w:color w:val="auto"/>
          <w:sz w:val="24"/>
          <w:highlight w:val="none"/>
        </w:rPr>
        <w:t>2.资格审查</w:t>
      </w:r>
      <w:bookmarkEnd w:id="104"/>
    </w:p>
    <w:p w14:paraId="2194E1E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14:paraId="384FF4A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注：谈判小组在资格审查结束前，对供应商进行信用查询。</w:t>
      </w:r>
    </w:p>
    <w:p w14:paraId="645BE270">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7F3E4A21">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2A6E609">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（3）查询记录和证据留存方式：在查询网站中直接打印查询记录，打印材料作为评审资料保存。</w:t>
      </w:r>
    </w:p>
    <w:p w14:paraId="5921DD6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1F66DB80">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5C478A6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2.3供应商有下列情形之一的，资格审查不通过，其响应文件按无效处理：</w:t>
      </w:r>
    </w:p>
    <w:p w14:paraId="51CA8420">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14:paraId="337C8557">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（2）未按谈判文件规定的方式获取本谈判文件的供应商；</w:t>
      </w:r>
    </w:p>
    <w:p w14:paraId="3CB0E076">
      <w:pPr>
        <w:pageBreakBefore w:val="0"/>
        <w:widowControl w:val="0"/>
        <w:kinsoku/>
        <w:wordWrap w:val="0"/>
        <w:overflowPunct/>
        <w:topLinePunct w:val="0"/>
        <w:bidi w:val="0"/>
        <w:spacing w:line="400" w:lineRule="exact"/>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（3）响应文件中的资格证明文件缺少任一项“供应商须知前附表”资格证明文件规定的“必须提供”的文件资料的；</w:t>
      </w:r>
    </w:p>
    <w:p w14:paraId="6C388757">
      <w:pPr>
        <w:pageBreakBefore w:val="0"/>
        <w:widowControl w:val="0"/>
        <w:kinsoku/>
        <w:wordWrap w:val="0"/>
        <w:overflowPunct/>
        <w:topLinePunct w:val="0"/>
        <w:bidi w:val="0"/>
        <w:spacing w:line="400" w:lineRule="exact"/>
        <w:ind w:firstLine="420" w:firstLineChars="200"/>
        <w:contextualSpacing/>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（4）响应文件中的资格证明文件出现任一项不符合“供应商须知前附表”资格证明文件规定的“必须提供”的文件资料要求或者无效的；</w:t>
      </w:r>
    </w:p>
    <w:p w14:paraId="2F7F664A">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52CF8A6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2.4通过资格审查的合格供应商不足3家（本章3.7条规定除外）的，不得进入符合性审查环节，应当重新开展采购活动。</w:t>
      </w:r>
    </w:p>
    <w:p w14:paraId="2D1B6303">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05" w:name="_Toc11690"/>
      <w:r>
        <w:rPr>
          <w:rFonts w:hint="eastAsia" w:ascii="宋体" w:hAnsi="宋体" w:eastAsia="宋体" w:cs="宋体"/>
          <w:b/>
          <w:bCs/>
          <w:color w:val="auto"/>
          <w:sz w:val="24"/>
          <w:highlight w:val="none"/>
        </w:rPr>
        <w:t>3.符合性审查</w:t>
      </w:r>
      <w:bookmarkEnd w:id="105"/>
    </w:p>
    <w:p w14:paraId="16C7383A">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3.1谈判小组应当对符合资格的供应商的响应文件进行竞标报价、商务、技术等实质性要求符合性审查，以确定其是否满足谈判文件的实质性要求。</w:t>
      </w:r>
    </w:p>
    <w:p w14:paraId="6FF27B5A">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91C93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谈判小组要求供应商澄清、说明或者更正响应文件应当以书面形式作出。供应商的澄清、说明或者更正必须以书面形式按照谈判小组的要求作出明确的澄清、说明或者更正，未按谈判小组的要求作出明确澄清、说明或者更正的供应商的响应文件将按照</w:t>
      </w:r>
      <w:r>
        <w:rPr>
          <w:rFonts w:hint="eastAsia" w:ascii="宋体" w:hAnsi="宋体" w:eastAsia="宋体" w:cs="宋体"/>
          <w:color w:val="auto"/>
          <w:highlight w:val="none"/>
        </w:rPr>
        <w:t>有利于采购人</w:t>
      </w:r>
      <w:r>
        <w:rPr>
          <w:rFonts w:hint="eastAsia" w:ascii="宋体" w:hAnsi="宋体" w:eastAsia="宋体" w:cs="宋体"/>
          <w:color w:val="auto"/>
          <w:szCs w:val="21"/>
          <w:highlight w:val="none"/>
        </w:rPr>
        <w:t>的原则由谈判小组进行判定。供应商的澄清、说明或者更正必须由法定代表人或者其委托代理人签字或者加盖公章。由委托代理人签字的，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pacing w:val="-6"/>
          <w:szCs w:val="21"/>
          <w:highlight w:val="none"/>
        </w:rPr>
        <w:t>。供应商为自然人的，必须由本人签字并附身份证明。</w:t>
      </w:r>
    </w:p>
    <w:p w14:paraId="2CD25FB0">
      <w:pPr>
        <w:pageBreakBefore w:val="0"/>
        <w:widowControl w:val="0"/>
        <w:kinsoku/>
        <w:wordWrap w:val="0"/>
        <w:overflowPunct/>
        <w:topLinePunct w:val="0"/>
        <w:bidi w:val="0"/>
        <w:spacing w:line="400" w:lineRule="exact"/>
        <w:ind w:firstLine="396" w:firstLineChars="200"/>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6AE863C">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3D7531E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662A82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C8C63D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0A1D58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0CBFF9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678886E0">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5537939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735D2E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1）提供响应文件正、副本数量不足；</w:t>
      </w:r>
    </w:p>
    <w:p w14:paraId="2007DEA7">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2）响应文件未按谈判文件要求签署、盖章的；</w:t>
      </w:r>
    </w:p>
    <w:p w14:paraId="260C052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3）委托代理人未能出具有效身份证或者出具的身份证与授权委托书中的信息不符的； </w:t>
      </w:r>
    </w:p>
    <w:p w14:paraId="446DA66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4）提交的竞标保证金无效的或者未按照谈判文件的规定提交竞标保证金；</w:t>
      </w:r>
    </w:p>
    <w:p w14:paraId="544B1F2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47DC9D31">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6）商务要求允许负偏离的条款数超过“供应商须知前附表”规定项数的；</w:t>
      </w:r>
    </w:p>
    <w:p w14:paraId="28EF0EC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7）未对竞标有效期作出响应或者响应文件承诺的竞标有效期不满足谈判文件要求；</w:t>
      </w:r>
    </w:p>
    <w:p w14:paraId="3AAFCFC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8）响应文件的实质性内容未使用中文表述、使用计量单位不符合谈判文件要求的；</w:t>
      </w:r>
    </w:p>
    <w:p w14:paraId="0EF7943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9）响应文件中的文件资料因填写不齐全或者内容虚假或者出现其他情形而导致被谈判小组认定无效的；</w:t>
      </w:r>
    </w:p>
    <w:p w14:paraId="178F85AD">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10）响应文件含有采购人不能接受的附加条件的；</w:t>
      </w:r>
    </w:p>
    <w:p w14:paraId="22E259F9">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11）属于“供应商须知正文”第7.5条的情形的；</w:t>
      </w:r>
    </w:p>
    <w:p w14:paraId="3856126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12）技术评审允许负偏离的条款数超过“供应商须知前附表”规定项数的；</w:t>
      </w:r>
    </w:p>
    <w:p w14:paraId="20D41D5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13）虚假竞标，或者出现其他情形而导致被谈判小组认定无效的；</w:t>
      </w:r>
    </w:p>
    <w:p w14:paraId="46960E00">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bookmarkStart w:id="106" w:name="_Hlk71704147"/>
      <w:r>
        <w:rPr>
          <w:rFonts w:hint="eastAsia" w:ascii="宋体" w:hAnsi="宋体" w:eastAsia="宋体" w:cs="宋体"/>
          <w:color w:val="auto"/>
          <w:szCs w:val="21"/>
          <w:highlight w:val="none"/>
        </w:rPr>
        <w:t>谈判文件未载明允许提供备选（替代）竞标方案或明确不允许提供备选（替代）竞标方案时，供应商提供了备选（替代）竞标方案的；</w:t>
      </w:r>
      <w:bookmarkEnd w:id="106"/>
    </w:p>
    <w:p w14:paraId="67E9EE5D">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15）响应文件标注的项目名称或者项目编号与谈判文件标注的项目名称或者项目编号不一致的；</w:t>
      </w:r>
    </w:p>
    <w:p w14:paraId="27A840C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16）谈判文件明确不允许分包，响应文件拟分包的；</w:t>
      </w:r>
    </w:p>
    <w:p w14:paraId="51BFBFD8">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17）未响应谈判文件实质性要求；</w:t>
      </w:r>
    </w:p>
    <w:p w14:paraId="1F06F51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18）法律、法规和谈判文件规定的其他无效情形。</w:t>
      </w:r>
    </w:p>
    <w:p w14:paraId="0C31D3D9">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4B54EEEA">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1）响应文件未提供“供应商须知前附表”报价文件中规定的“竞标报价表”的；</w:t>
      </w:r>
    </w:p>
    <w:p w14:paraId="717F99DC">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2）未采用人民币报价或者未按照谈判文件标明的币种报价的；</w:t>
      </w:r>
    </w:p>
    <w:p w14:paraId="396A24C8">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进行报价或者存在漏项报价；供应商未就所竞标的单项内容作唯一报价；供应商未就所竞标的全部内容作完整唯一总价报价；供应商响应文件中存在有选择、有条件报价的（谈判文件允许有备选方案或者其他约定的除外）；</w:t>
      </w:r>
    </w:p>
    <w:p w14:paraId="0887F404">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竞标报价（包含首次报价、最后报价）超过所竞标规定的采购预算金额或者最高限价的（如本项目公布了最高限价）；竞标报价（包含首次报价、最后报价）超过谈判文件分项采购预算金额或者最高限价的（如本项目公布了最高限价）；</w:t>
      </w:r>
    </w:p>
    <w:p w14:paraId="1FFFE572">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规定的采购预算金额或者最高限价（如本项目公布了最高限价）；或者经供应商确认修正后竞标报价（包含首次报价、最后报价）超过谈判文件分项采购预算金额或者最高限价的（如本项目公布了最高限价）。</w:t>
      </w:r>
    </w:p>
    <w:p w14:paraId="64A73BD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14:paraId="60C46DC0">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FB4F25D">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4451C0BE">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3.8除本章3.7条规定的情形外，通过符合性审查的合格供应商不足3家的，不得进入谈判环节，应当重新开展采购活动。</w:t>
      </w:r>
    </w:p>
    <w:p w14:paraId="75B43B62">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07" w:name="_Toc2234"/>
      <w:r>
        <w:rPr>
          <w:rFonts w:hint="eastAsia" w:ascii="宋体" w:hAnsi="宋体" w:eastAsia="宋体" w:cs="宋体"/>
          <w:b/>
          <w:bCs/>
          <w:color w:val="auto"/>
          <w:sz w:val="24"/>
          <w:highlight w:val="none"/>
        </w:rPr>
        <w:t>4.谈判程序</w:t>
      </w:r>
      <w:bookmarkEnd w:id="107"/>
    </w:p>
    <w:p w14:paraId="11047E1A">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4.1谈判小组按照“供应商须知前附表”第26条确定的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231F395E">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574040ED">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4.3对谈判文件作出的实质性变动是谈判文件的有效组成部分，谈判小组应当及时以书面形式同时通知所有参加谈判的供应商。</w:t>
      </w:r>
    </w:p>
    <w:p w14:paraId="30AF8032">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4.4供应商必须按照谈判文件的变动情况和谈判小组的要求重新提交响应文件，并由其法定代表人或者委托代理人签字或者加盖公章。由委托代理人签字的，</w:t>
      </w:r>
      <w:r>
        <w:rPr>
          <w:rFonts w:hint="eastAsia" w:ascii="宋体" w:hAnsi="宋体" w:eastAsia="宋体" w:cs="宋体"/>
          <w:bCs/>
          <w:color w:val="auto"/>
          <w:szCs w:val="21"/>
          <w:highlight w:val="none"/>
        </w:rPr>
        <w:t>若委托代理人不是响应文件中授权的委托代理人时，必须同时出示有效的授权委托书原件</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。供应商为自然人的，必须由本人签字并附身份证明。参加谈判的供应商未在规定时间内重新提交响应文件的，视同退出谈判，其响应文件按无效处理。</w:t>
      </w:r>
    </w:p>
    <w:p w14:paraId="2676AA8C">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4.5谈判中，谈判的任何一方不得透露与谈判有关的其他供应商的技术资料、价格和其他信息。</w:t>
      </w:r>
    </w:p>
    <w:p w14:paraId="677F57D8">
      <w:pPr>
        <w:pageBreakBefore w:val="0"/>
        <w:widowControl w:val="0"/>
        <w:tabs>
          <w:tab w:val="left" w:pos="540"/>
        </w:tabs>
        <w:kinsoku/>
        <w:wordWrap w:val="0"/>
        <w:overflowPunct/>
        <w:topLinePunct w:val="0"/>
        <w:bidi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4.6采购代理机构对谈判过程和重要谈判内容进行记录，谈判双方在记录上签字确认。</w:t>
      </w:r>
    </w:p>
    <w:p w14:paraId="4C08DF3C">
      <w:pPr>
        <w:pageBreakBefore w:val="0"/>
        <w:widowControl w:val="0"/>
        <w:tabs>
          <w:tab w:val="left" w:pos="540"/>
        </w:tabs>
        <w:kinsoku/>
        <w:wordWrap w:val="0"/>
        <w:overflowPunct/>
        <w:topLinePunct w:val="0"/>
        <w:bidi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14:paraId="352265A5">
      <w:pPr>
        <w:pageBreakBefore w:val="0"/>
        <w:widowControl w:val="0"/>
        <w:tabs>
          <w:tab w:val="left" w:pos="540"/>
        </w:tabs>
        <w:kinsoku/>
        <w:wordWrap w:val="0"/>
        <w:overflowPunct/>
        <w:topLinePunct w:val="0"/>
        <w:bidi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4.8最后谈判结束后，谈判小组不得再与供应商进行任何形式的商谈。</w:t>
      </w:r>
    </w:p>
    <w:p w14:paraId="76EAF30C">
      <w:pPr>
        <w:pageBreakBefore w:val="0"/>
        <w:widowControl w:val="0"/>
        <w:tabs>
          <w:tab w:val="left" w:pos="540"/>
        </w:tabs>
        <w:kinsoku/>
        <w:wordWrap w:val="0"/>
        <w:overflowPunct/>
        <w:topLinePunct w:val="0"/>
        <w:bidi w:val="0"/>
        <w:spacing w:line="400" w:lineRule="exact"/>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4.9除本章第3.7条外，对谈判过程提交的响应文件进行有效性、完整性和响应程度审查，通过审查的合格供应商不足3家的，采购人或者采购代理机构应当重新开展采购活动。</w:t>
      </w:r>
    </w:p>
    <w:p w14:paraId="7186DEFF">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08" w:name="_Toc7412"/>
      <w:r>
        <w:rPr>
          <w:rFonts w:hint="eastAsia" w:ascii="宋体" w:hAnsi="宋体" w:eastAsia="宋体" w:cs="宋体"/>
          <w:b/>
          <w:bCs/>
          <w:color w:val="auto"/>
          <w:sz w:val="24"/>
          <w:highlight w:val="none"/>
        </w:rPr>
        <w:t>5.最后报价</w:t>
      </w:r>
      <w:bookmarkEnd w:id="108"/>
    </w:p>
    <w:p w14:paraId="24E61C87">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5.1谈判文件能够详细列明采购标的的技术、服务要求的，谈判结束后，谈判小组应当要求所有继续参加谈判的供应商在规定时间内密封提交最后报价，提交最后报价的供应商不得少于3家，除本章第3.7条外，否则必须重新采购。</w:t>
      </w:r>
    </w:p>
    <w:p w14:paraId="310895DB">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14:paraId="63932C46">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5.3最后报价是供应商响应文件的有效组成部分。</w:t>
      </w:r>
    </w:p>
    <w:p w14:paraId="7E1F1D26">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5.4已经提交响应文件的供应商，在提交最后报价之前，可以根据谈判情况退出谈判。采购人、采购代理机构将退还退出谈判的供应商的保证金。</w:t>
      </w:r>
    </w:p>
    <w:p w14:paraId="436D555B">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5.5供应商未在规定时间内提交最后报价的，视为退出谈判，其响应文件按无效处理。</w:t>
      </w:r>
    </w:p>
    <w:p w14:paraId="7F6FC20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5.6谈判小组收齐最后报价后统一开启，谈判小组对最后报价进行有效性、完整性和响应程度的审查。</w:t>
      </w:r>
    </w:p>
    <w:p w14:paraId="373EEA9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5.7响应文件首次及最后报价出现前后不一致的，按照本章第3.4条的规定修正。 </w:t>
      </w:r>
    </w:p>
    <w:p w14:paraId="4B284911">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5.8修正后的报价出现下列情形的，按无效响应处理：</w:t>
      </w:r>
    </w:p>
    <w:p w14:paraId="16DBFF52">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（1）供应商不确认的；</w:t>
      </w:r>
    </w:p>
    <w:p w14:paraId="1B23C862">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（2）经供应商确认修正后的竞标报价（包含首次报价、最后报价）超过所竞标规定的采购预算金额或者最高限价的（如本项目公布了最高限价）；</w:t>
      </w:r>
    </w:p>
    <w:p w14:paraId="50E2274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（3）经供应商确认修正后的竞标报价（包含首次报价、最后报价）超过分项采购预算金额或者最高限价的（如本项目公布了最高限价）。</w:t>
      </w:r>
    </w:p>
    <w:p w14:paraId="2E1837A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5.9经供应商确认修正后的最后报价作为评审及签订合同的依据。</w:t>
      </w:r>
    </w:p>
    <w:p w14:paraId="03D0DC3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5.10供应商出现最后报价按无效响应处理或者响应文件按无效处理时，谈判小组应当告知有关供应商。</w:t>
      </w:r>
    </w:p>
    <w:p w14:paraId="32A239C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5.11最后报价结束后，谈判小组不得再与供应商进行任何形式的商谈。</w:t>
      </w:r>
    </w:p>
    <w:p w14:paraId="21B331CF">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09" w:name="_Toc9523"/>
      <w:r>
        <w:rPr>
          <w:rFonts w:hint="eastAsia" w:ascii="宋体" w:hAnsi="宋体" w:eastAsia="宋体" w:cs="宋体"/>
          <w:b/>
          <w:bCs/>
          <w:color w:val="auto"/>
          <w:sz w:val="24"/>
          <w:highlight w:val="none"/>
        </w:rPr>
        <w:t>6.最后报价政府采购政策性扣除</w:t>
      </w:r>
      <w:bookmarkEnd w:id="109"/>
    </w:p>
    <w:p w14:paraId="4DE652F3">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6.1评审价为供应商的最后报价进行政策性扣除后的价格，评审价只是作为评审时使用。最终成交供应商的成交金额等于最后报价（如有修正，以确认修正后的最后报价为准）。</w:t>
      </w:r>
    </w:p>
    <w:p w14:paraId="1BAD198F">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6.2政策性扣除计算方法。</w:t>
      </w:r>
    </w:p>
    <w:p w14:paraId="5B940D30">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根据《关于印发&lt;政府采购促进中小企业发展管理办法&gt;的通知》（财库[2020]46号）、《广西壮族自治区财政厅关于贯彻落实政府采购支持中小企业发展政策的通知》（桂财采〔2022〕31号）的规定，供应商在其响应文件中提供《中小企业声明函》，且服务全部由小微企业承接，对供应商的竞标报价给予10%的扣除，扣除后的价格为评审价，即评审价=竞标报价×（1-10%）。除上述情况外，评审价=竞标报价。</w:t>
      </w:r>
    </w:p>
    <w:p w14:paraId="0B33ADCA">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33C04C6">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9D1638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6.5除上述情况外，评审价＝最后报价。</w:t>
      </w:r>
    </w:p>
    <w:p w14:paraId="7D44BA61">
      <w:pPr>
        <w:pageBreakBefore w:val="0"/>
        <w:widowControl w:val="0"/>
        <w:kinsoku/>
        <w:wordWrap w:val="0"/>
        <w:overflowPunct/>
        <w:topLinePunct w:val="0"/>
        <w:bidi w:val="0"/>
        <w:spacing w:afterLines="50" w:line="400" w:lineRule="exact"/>
        <w:jc w:val="center"/>
        <w:rPr>
          <w:rFonts w:hint="eastAsia" w:ascii="宋体" w:hAnsi="宋体" w:eastAsia="宋体" w:cs="宋体"/>
          <w:b/>
          <w:bCs/>
          <w:color w:val="auto"/>
          <w:sz w:val="32"/>
          <w:szCs w:val="32"/>
          <w:highlight w:val="none"/>
        </w:rPr>
      </w:pPr>
    </w:p>
    <w:p w14:paraId="25A7308F">
      <w:pPr>
        <w:pageBreakBefore w:val="0"/>
        <w:widowControl w:val="0"/>
        <w:kinsoku/>
        <w:wordWrap w:val="0"/>
        <w:overflowPunct/>
        <w:topLinePunct w:val="0"/>
        <w:bidi w:val="0"/>
        <w:spacing w:afterLines="50" w:line="400" w:lineRule="exact"/>
        <w:jc w:val="center"/>
        <w:outlineLvl w:val="1"/>
        <w:rPr>
          <w:rFonts w:hint="eastAsia" w:ascii="宋体" w:hAnsi="宋体" w:eastAsia="宋体" w:cs="宋体"/>
          <w:b/>
          <w:bCs/>
          <w:color w:val="auto"/>
          <w:sz w:val="32"/>
          <w:szCs w:val="32"/>
          <w:highlight w:val="none"/>
        </w:rPr>
      </w:pPr>
      <w:bookmarkStart w:id="110" w:name="_Toc24095"/>
      <w:r>
        <w:rPr>
          <w:rFonts w:hint="eastAsia" w:ascii="宋体" w:hAnsi="宋体" w:eastAsia="宋体" w:cs="宋体"/>
          <w:b/>
          <w:bCs/>
          <w:color w:val="auto"/>
          <w:sz w:val="32"/>
          <w:szCs w:val="32"/>
          <w:highlight w:val="none"/>
        </w:rPr>
        <w:t>二、评定成交的标准</w:t>
      </w:r>
      <w:bookmarkEnd w:id="110"/>
    </w:p>
    <w:p w14:paraId="5844E736">
      <w:pPr>
        <w:pageBreakBefore w:val="0"/>
        <w:widowControl w:val="0"/>
        <w:kinsoku/>
        <w:wordWrap w:val="0"/>
        <w:overflowPunct/>
        <w:topLinePunct w:val="0"/>
        <w:bidi w:val="0"/>
        <w:spacing w:line="400" w:lineRule="exact"/>
        <w:ind w:firstLine="482" w:firstLineChars="200"/>
        <w:outlineLvl w:val="9"/>
        <w:rPr>
          <w:rFonts w:hint="eastAsia" w:ascii="宋体" w:hAnsi="宋体" w:eastAsia="宋体" w:cs="宋体"/>
          <w:b/>
          <w:bCs/>
          <w:color w:val="auto"/>
          <w:sz w:val="24"/>
          <w:highlight w:val="none"/>
        </w:rPr>
      </w:pPr>
      <w:bookmarkStart w:id="111" w:name="_Toc7443"/>
      <w:r>
        <w:rPr>
          <w:rFonts w:hint="eastAsia" w:ascii="宋体" w:hAnsi="宋体" w:eastAsia="宋体" w:cs="宋体"/>
          <w:b/>
          <w:bCs/>
          <w:color w:val="auto"/>
          <w:sz w:val="24"/>
          <w:highlight w:val="none"/>
        </w:rPr>
        <w:t>7.成交候选人推荐</w:t>
      </w:r>
      <w:bookmarkEnd w:id="111"/>
    </w:p>
    <w:p w14:paraId="45E153E5">
      <w:pPr>
        <w:pageBreakBefore w:val="0"/>
        <w:widowControl w:val="0"/>
        <w:kinsoku/>
        <w:wordWrap w:val="0"/>
        <w:overflowPunct/>
        <w:topLinePunct w:val="0"/>
        <w:bidi w:val="0"/>
        <w:spacing w:line="400" w:lineRule="exact"/>
        <w:ind w:firstLine="420" w:firstLineChars="200"/>
        <w:contextualSpacing/>
        <w:rPr>
          <w:rFonts w:hint="eastAsia" w:ascii="宋体" w:hAnsi="宋体" w:eastAsia="宋体" w:cs="宋体"/>
          <w:color w:val="auto"/>
          <w:highlight w:val="none"/>
        </w:rPr>
        <w:sectPr>
          <w:pgSz w:w="11910" w:h="16840"/>
          <w:pgMar w:top="1440" w:right="1080" w:bottom="1440" w:left="1080" w:header="0" w:footer="775" w:gutter="0"/>
          <w:pgNumType w:fmt="decimal"/>
          <w:cols w:space="720" w:num="1"/>
        </w:sectPr>
      </w:pPr>
      <w:r>
        <w:rPr>
          <w:rFonts w:hint="eastAsia" w:ascii="宋体" w:hAnsi="宋体" w:eastAsia="宋体" w:cs="宋体"/>
          <w:color w:val="auto"/>
          <w:highlight w:val="none"/>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w:t>
      </w:r>
    </w:p>
    <w:p w14:paraId="12F9B74A">
      <w:pPr>
        <w:pageBreakBefore w:val="0"/>
        <w:widowControl w:val="0"/>
        <w:kinsoku/>
        <w:wordWrap w:val="0"/>
        <w:overflowPunct/>
        <w:topLinePunct w:val="0"/>
        <w:bidi w:val="0"/>
        <w:rPr>
          <w:rFonts w:hint="eastAsia" w:ascii="宋体" w:hAnsi="宋体" w:eastAsia="宋体" w:cs="宋体"/>
          <w:color w:val="auto"/>
          <w:highlight w:val="none"/>
        </w:rPr>
      </w:pPr>
    </w:p>
    <w:p w14:paraId="3CDD821F">
      <w:pPr>
        <w:pageBreakBefore w:val="0"/>
        <w:widowControl w:val="0"/>
        <w:kinsoku/>
        <w:wordWrap w:val="0"/>
        <w:overflowPunct/>
        <w:topLinePunct w:val="0"/>
        <w:bidi w:val="0"/>
        <w:rPr>
          <w:rFonts w:hint="eastAsia" w:ascii="宋体" w:hAnsi="宋体" w:eastAsia="宋体" w:cs="宋体"/>
          <w:color w:val="auto"/>
          <w:highlight w:val="none"/>
        </w:rPr>
      </w:pPr>
    </w:p>
    <w:p w14:paraId="214ECB6E">
      <w:pPr>
        <w:pageBreakBefore w:val="0"/>
        <w:widowControl w:val="0"/>
        <w:kinsoku/>
        <w:wordWrap w:val="0"/>
        <w:overflowPunct/>
        <w:topLinePunct w:val="0"/>
        <w:bidi w:val="0"/>
        <w:rPr>
          <w:rFonts w:hint="eastAsia" w:ascii="宋体" w:hAnsi="宋体" w:eastAsia="宋体" w:cs="宋体"/>
          <w:color w:val="auto"/>
          <w:highlight w:val="none"/>
        </w:rPr>
      </w:pPr>
    </w:p>
    <w:p w14:paraId="772F2718">
      <w:pPr>
        <w:pageBreakBefore w:val="0"/>
        <w:widowControl w:val="0"/>
        <w:kinsoku/>
        <w:wordWrap w:val="0"/>
        <w:overflowPunct/>
        <w:topLinePunct w:val="0"/>
        <w:bidi w:val="0"/>
        <w:rPr>
          <w:rFonts w:hint="eastAsia" w:ascii="宋体" w:hAnsi="宋体" w:eastAsia="宋体" w:cs="宋体"/>
          <w:color w:val="auto"/>
          <w:highlight w:val="none"/>
        </w:rPr>
      </w:pPr>
    </w:p>
    <w:p w14:paraId="3A0B3708">
      <w:pPr>
        <w:pageBreakBefore w:val="0"/>
        <w:widowControl w:val="0"/>
        <w:kinsoku/>
        <w:wordWrap w:val="0"/>
        <w:overflowPunct/>
        <w:topLinePunct w:val="0"/>
        <w:bidi w:val="0"/>
        <w:rPr>
          <w:rFonts w:hint="eastAsia" w:ascii="宋体" w:hAnsi="宋体" w:eastAsia="宋体" w:cs="宋体"/>
          <w:color w:val="auto"/>
          <w:highlight w:val="none"/>
        </w:rPr>
      </w:pPr>
    </w:p>
    <w:p w14:paraId="66DCBF60">
      <w:pPr>
        <w:pageBreakBefore w:val="0"/>
        <w:widowControl w:val="0"/>
        <w:kinsoku/>
        <w:wordWrap w:val="0"/>
        <w:overflowPunct/>
        <w:topLinePunct w:val="0"/>
        <w:bidi w:val="0"/>
        <w:rPr>
          <w:rFonts w:hint="eastAsia" w:ascii="宋体" w:hAnsi="宋体" w:eastAsia="宋体" w:cs="宋体"/>
          <w:color w:val="auto"/>
          <w:highlight w:val="none"/>
        </w:rPr>
      </w:pPr>
    </w:p>
    <w:p w14:paraId="10A7AAAF">
      <w:pPr>
        <w:pageBreakBefore w:val="0"/>
        <w:widowControl w:val="0"/>
        <w:kinsoku/>
        <w:wordWrap w:val="0"/>
        <w:overflowPunct/>
        <w:topLinePunct w:val="0"/>
        <w:bidi w:val="0"/>
        <w:rPr>
          <w:rFonts w:hint="eastAsia" w:ascii="宋体" w:hAnsi="宋体" w:eastAsia="宋体" w:cs="宋体"/>
          <w:color w:val="auto"/>
          <w:highlight w:val="none"/>
        </w:rPr>
      </w:pPr>
    </w:p>
    <w:p w14:paraId="6ABC701F">
      <w:pPr>
        <w:pStyle w:val="18"/>
        <w:pageBreakBefore w:val="0"/>
        <w:widowControl w:val="0"/>
        <w:kinsoku/>
        <w:wordWrap w:val="0"/>
        <w:overflowPunct/>
        <w:topLinePunct w:val="0"/>
        <w:bidi w:val="0"/>
        <w:ind w:firstLine="210"/>
        <w:rPr>
          <w:rFonts w:hint="eastAsia" w:ascii="宋体" w:hAnsi="宋体" w:eastAsia="宋体" w:cs="宋体"/>
          <w:color w:val="auto"/>
          <w:highlight w:val="none"/>
        </w:rPr>
      </w:pPr>
    </w:p>
    <w:p w14:paraId="2FE3CF74">
      <w:pPr>
        <w:pStyle w:val="18"/>
        <w:pageBreakBefore w:val="0"/>
        <w:widowControl w:val="0"/>
        <w:kinsoku/>
        <w:wordWrap w:val="0"/>
        <w:overflowPunct/>
        <w:topLinePunct w:val="0"/>
        <w:bidi w:val="0"/>
        <w:ind w:firstLine="210"/>
        <w:rPr>
          <w:rFonts w:hint="eastAsia" w:ascii="宋体" w:hAnsi="宋体" w:eastAsia="宋体" w:cs="宋体"/>
          <w:color w:val="auto"/>
          <w:highlight w:val="none"/>
        </w:rPr>
      </w:pPr>
    </w:p>
    <w:p w14:paraId="7DCD6062">
      <w:pPr>
        <w:pStyle w:val="18"/>
        <w:pageBreakBefore w:val="0"/>
        <w:widowControl w:val="0"/>
        <w:kinsoku/>
        <w:wordWrap w:val="0"/>
        <w:overflowPunct/>
        <w:topLinePunct w:val="0"/>
        <w:bidi w:val="0"/>
        <w:ind w:firstLine="210"/>
        <w:rPr>
          <w:rFonts w:hint="eastAsia" w:ascii="宋体" w:hAnsi="宋体" w:eastAsia="宋体" w:cs="宋体"/>
          <w:color w:val="auto"/>
          <w:highlight w:val="none"/>
        </w:rPr>
      </w:pPr>
    </w:p>
    <w:p w14:paraId="275D7582">
      <w:pPr>
        <w:pStyle w:val="18"/>
        <w:pageBreakBefore w:val="0"/>
        <w:widowControl w:val="0"/>
        <w:kinsoku/>
        <w:wordWrap w:val="0"/>
        <w:overflowPunct/>
        <w:topLinePunct w:val="0"/>
        <w:bidi w:val="0"/>
        <w:ind w:firstLine="210"/>
        <w:rPr>
          <w:rFonts w:hint="eastAsia" w:ascii="宋体" w:hAnsi="宋体" w:eastAsia="宋体" w:cs="宋体"/>
          <w:color w:val="auto"/>
          <w:highlight w:val="none"/>
        </w:rPr>
      </w:pPr>
    </w:p>
    <w:p w14:paraId="59218DA5">
      <w:pPr>
        <w:pStyle w:val="18"/>
        <w:pageBreakBefore w:val="0"/>
        <w:widowControl w:val="0"/>
        <w:kinsoku/>
        <w:wordWrap w:val="0"/>
        <w:overflowPunct/>
        <w:topLinePunct w:val="0"/>
        <w:bidi w:val="0"/>
        <w:ind w:firstLine="210"/>
        <w:rPr>
          <w:rFonts w:hint="eastAsia" w:ascii="宋体" w:hAnsi="宋体" w:eastAsia="宋体" w:cs="宋体"/>
          <w:color w:val="auto"/>
          <w:highlight w:val="none"/>
        </w:rPr>
      </w:pPr>
    </w:p>
    <w:p w14:paraId="1AD899B5">
      <w:pPr>
        <w:pStyle w:val="18"/>
        <w:pageBreakBefore w:val="0"/>
        <w:widowControl w:val="0"/>
        <w:kinsoku/>
        <w:wordWrap w:val="0"/>
        <w:overflowPunct/>
        <w:topLinePunct w:val="0"/>
        <w:bidi w:val="0"/>
        <w:ind w:firstLine="210"/>
        <w:rPr>
          <w:rFonts w:hint="eastAsia" w:ascii="宋体" w:hAnsi="宋体" w:eastAsia="宋体" w:cs="宋体"/>
          <w:color w:val="auto"/>
          <w:highlight w:val="none"/>
        </w:rPr>
      </w:pPr>
    </w:p>
    <w:p w14:paraId="6AB56AD3">
      <w:pPr>
        <w:pageBreakBefore w:val="0"/>
        <w:widowControl w:val="0"/>
        <w:kinsoku/>
        <w:wordWrap w:val="0"/>
        <w:overflowPunct/>
        <w:topLinePunct w:val="0"/>
        <w:bidi w:val="0"/>
        <w:rPr>
          <w:rFonts w:hint="eastAsia" w:ascii="宋体" w:hAnsi="宋体" w:eastAsia="宋体" w:cs="宋体"/>
          <w:color w:val="auto"/>
          <w:highlight w:val="none"/>
        </w:rPr>
      </w:pPr>
    </w:p>
    <w:p w14:paraId="2E8DD4DF">
      <w:pPr>
        <w:pageBreakBefore w:val="0"/>
        <w:widowControl w:val="0"/>
        <w:kinsoku/>
        <w:wordWrap w:val="0"/>
        <w:overflowPunct/>
        <w:topLinePunct w:val="0"/>
        <w:bidi w:val="0"/>
        <w:rPr>
          <w:rFonts w:hint="eastAsia" w:ascii="宋体" w:hAnsi="宋体" w:eastAsia="宋体" w:cs="宋体"/>
          <w:color w:val="auto"/>
          <w:highlight w:val="none"/>
        </w:rPr>
      </w:pPr>
    </w:p>
    <w:p w14:paraId="2D567723">
      <w:pPr>
        <w:pageBreakBefore w:val="0"/>
        <w:widowControl w:val="0"/>
        <w:kinsoku/>
        <w:wordWrap w:val="0"/>
        <w:overflowPunct/>
        <w:topLinePunct w:val="0"/>
        <w:bidi w:val="0"/>
        <w:rPr>
          <w:rFonts w:hint="eastAsia" w:ascii="宋体" w:hAnsi="宋体" w:eastAsia="宋体" w:cs="宋体"/>
          <w:color w:val="auto"/>
          <w:highlight w:val="none"/>
        </w:rPr>
      </w:pPr>
    </w:p>
    <w:p w14:paraId="3DF24D7E">
      <w:pPr>
        <w:pageBreakBefore w:val="0"/>
        <w:widowControl w:val="0"/>
        <w:kinsoku/>
        <w:wordWrap w:val="0"/>
        <w:overflowPunct/>
        <w:topLinePunct w:val="0"/>
        <w:bidi w:val="0"/>
        <w:rPr>
          <w:rFonts w:hint="eastAsia" w:ascii="宋体" w:hAnsi="宋体" w:eastAsia="宋体" w:cs="宋体"/>
          <w:color w:val="auto"/>
          <w:highlight w:val="none"/>
        </w:rPr>
      </w:pPr>
    </w:p>
    <w:p w14:paraId="590AB559">
      <w:pPr>
        <w:pageBreakBefore w:val="0"/>
        <w:widowControl w:val="0"/>
        <w:kinsoku/>
        <w:wordWrap w:val="0"/>
        <w:overflowPunct/>
        <w:topLinePunct w:val="0"/>
        <w:bidi w:val="0"/>
        <w:rPr>
          <w:rFonts w:hint="eastAsia" w:ascii="宋体" w:hAnsi="宋体" w:eastAsia="宋体" w:cs="宋体"/>
          <w:color w:val="auto"/>
          <w:highlight w:val="none"/>
        </w:rPr>
      </w:pPr>
    </w:p>
    <w:p w14:paraId="279DEFE5">
      <w:pPr>
        <w:pageBreakBefore w:val="0"/>
        <w:widowControl w:val="0"/>
        <w:kinsoku/>
        <w:wordWrap w:val="0"/>
        <w:overflowPunct/>
        <w:topLinePunct w:val="0"/>
        <w:bidi w:val="0"/>
        <w:rPr>
          <w:rFonts w:hint="eastAsia" w:ascii="宋体" w:hAnsi="宋体" w:eastAsia="宋体" w:cs="宋体"/>
          <w:color w:val="auto"/>
          <w:highlight w:val="none"/>
        </w:rPr>
      </w:pPr>
    </w:p>
    <w:p w14:paraId="6F495BC8">
      <w:pPr>
        <w:pageBreakBefore w:val="0"/>
        <w:widowControl w:val="0"/>
        <w:kinsoku/>
        <w:wordWrap w:val="0"/>
        <w:overflowPunct/>
        <w:topLinePunct w:val="0"/>
        <w:bidi w:val="0"/>
        <w:rPr>
          <w:rFonts w:hint="eastAsia" w:ascii="宋体" w:hAnsi="宋体" w:eastAsia="宋体" w:cs="宋体"/>
          <w:color w:val="auto"/>
          <w:highlight w:val="none"/>
        </w:rPr>
      </w:pPr>
    </w:p>
    <w:p w14:paraId="7BFA69D3">
      <w:pPr>
        <w:pageBreakBefore w:val="0"/>
        <w:widowControl w:val="0"/>
        <w:kinsoku/>
        <w:wordWrap w:val="0"/>
        <w:overflowPunct/>
        <w:topLinePunct w:val="0"/>
        <w:bidi w:val="0"/>
        <w:rPr>
          <w:rFonts w:hint="eastAsia" w:ascii="宋体" w:hAnsi="宋体" w:eastAsia="宋体" w:cs="宋体"/>
          <w:color w:val="auto"/>
          <w:highlight w:val="none"/>
        </w:rPr>
      </w:pPr>
    </w:p>
    <w:p w14:paraId="413C98D5">
      <w:pPr>
        <w:pStyle w:val="2"/>
        <w:pageBreakBefore w:val="0"/>
        <w:widowControl w:val="0"/>
        <w:kinsoku/>
        <w:wordWrap w:val="0"/>
        <w:overflowPunct/>
        <w:topLinePunct w:val="0"/>
        <w:bidi w:val="0"/>
        <w:spacing w:before="240" w:after="240" w:line="240" w:lineRule="auto"/>
        <w:jc w:val="center"/>
        <w:rPr>
          <w:rFonts w:hint="eastAsia" w:ascii="宋体" w:hAnsi="宋体" w:eastAsia="宋体" w:cs="宋体"/>
          <w:color w:val="auto"/>
          <w:highlight w:val="none"/>
        </w:rPr>
      </w:pPr>
      <w:bookmarkStart w:id="112" w:name="_Toc110300605"/>
      <w:bookmarkStart w:id="113" w:name="_Toc18175"/>
      <w:r>
        <w:rPr>
          <w:rFonts w:hint="eastAsia" w:ascii="宋体" w:hAnsi="宋体" w:eastAsia="宋体" w:cs="宋体"/>
          <w:color w:val="auto"/>
          <w:highlight w:val="none"/>
        </w:rPr>
        <w:t>第五章 响应文件格式</w:t>
      </w:r>
      <w:bookmarkEnd w:id="112"/>
      <w:bookmarkEnd w:id="113"/>
    </w:p>
    <w:p w14:paraId="0CDEFDFC">
      <w:pPr>
        <w:pageBreakBefore w:val="0"/>
        <w:widowControl w:val="0"/>
        <w:kinsoku/>
        <w:wordWrap w:val="0"/>
        <w:overflowPunct/>
        <w:topLinePunct w:val="0"/>
        <w:bidi w:val="0"/>
        <w:rPr>
          <w:rFonts w:hint="eastAsia" w:ascii="宋体" w:hAnsi="宋体" w:eastAsia="宋体" w:cs="宋体"/>
          <w:color w:val="auto"/>
          <w:highlight w:val="none"/>
        </w:rPr>
      </w:pPr>
    </w:p>
    <w:p w14:paraId="0A3C64D5">
      <w:pPr>
        <w:pageBreakBefore w:val="0"/>
        <w:widowControl w:val="0"/>
        <w:kinsoku/>
        <w:wordWrap w:val="0"/>
        <w:overflowPunct/>
        <w:topLinePunct w:val="0"/>
        <w:bidi w:val="0"/>
        <w:rPr>
          <w:rFonts w:hint="eastAsia" w:ascii="宋体" w:hAnsi="宋体" w:eastAsia="宋体" w:cs="宋体"/>
          <w:color w:val="auto"/>
          <w:highlight w:val="none"/>
        </w:rPr>
      </w:pPr>
    </w:p>
    <w:p w14:paraId="7C14B86C">
      <w:pPr>
        <w:pageBreakBefore w:val="0"/>
        <w:widowControl w:val="0"/>
        <w:kinsoku/>
        <w:wordWrap w:val="0"/>
        <w:overflowPunct/>
        <w:topLinePunct w:val="0"/>
        <w:bidi w:val="0"/>
        <w:rPr>
          <w:rFonts w:hint="eastAsia" w:ascii="宋体" w:hAnsi="宋体" w:eastAsia="宋体" w:cs="宋体"/>
          <w:color w:val="auto"/>
          <w:highlight w:val="none"/>
        </w:rPr>
      </w:pPr>
    </w:p>
    <w:p w14:paraId="78EE18CF">
      <w:pPr>
        <w:pageBreakBefore w:val="0"/>
        <w:widowControl w:val="0"/>
        <w:kinsoku/>
        <w:wordWrap w:val="0"/>
        <w:overflowPunct/>
        <w:topLinePunct w:val="0"/>
        <w:bidi w:val="0"/>
        <w:rPr>
          <w:rFonts w:hint="eastAsia" w:ascii="宋体" w:hAnsi="宋体" w:eastAsia="宋体" w:cs="宋体"/>
          <w:color w:val="auto"/>
          <w:highlight w:val="none"/>
        </w:rPr>
      </w:pPr>
    </w:p>
    <w:p w14:paraId="5CBE09F0">
      <w:pPr>
        <w:pageBreakBefore w:val="0"/>
        <w:widowControl w:val="0"/>
        <w:kinsoku/>
        <w:wordWrap w:val="0"/>
        <w:overflowPunct/>
        <w:topLinePunct w:val="0"/>
        <w:bidi w:val="0"/>
        <w:rPr>
          <w:rFonts w:hint="eastAsia" w:ascii="宋体" w:hAnsi="宋体" w:eastAsia="宋体" w:cs="宋体"/>
          <w:color w:val="auto"/>
          <w:highlight w:val="none"/>
        </w:rPr>
      </w:pPr>
    </w:p>
    <w:p w14:paraId="46F18B1A">
      <w:pPr>
        <w:pageBreakBefore w:val="0"/>
        <w:widowControl w:val="0"/>
        <w:kinsoku/>
        <w:wordWrap w:val="0"/>
        <w:overflowPunct/>
        <w:topLinePunct w:val="0"/>
        <w:bidi w:val="0"/>
        <w:rPr>
          <w:rFonts w:hint="eastAsia" w:ascii="宋体" w:hAnsi="宋体" w:eastAsia="宋体" w:cs="宋体"/>
          <w:color w:val="auto"/>
          <w:highlight w:val="none"/>
        </w:rPr>
      </w:pPr>
    </w:p>
    <w:p w14:paraId="5EC8FB90">
      <w:pPr>
        <w:pageBreakBefore w:val="0"/>
        <w:widowControl w:val="0"/>
        <w:kinsoku/>
        <w:wordWrap w:val="0"/>
        <w:overflowPunct/>
        <w:topLinePunct w:val="0"/>
        <w:bidi w:val="0"/>
        <w:rPr>
          <w:rFonts w:hint="eastAsia" w:ascii="宋体" w:hAnsi="宋体" w:eastAsia="宋体" w:cs="宋体"/>
          <w:color w:val="auto"/>
          <w:highlight w:val="none"/>
        </w:rPr>
      </w:pPr>
    </w:p>
    <w:p w14:paraId="2CE32B69">
      <w:pPr>
        <w:pageBreakBefore w:val="0"/>
        <w:widowControl w:val="0"/>
        <w:kinsoku/>
        <w:wordWrap w:val="0"/>
        <w:overflowPunct/>
        <w:topLinePunct w:val="0"/>
        <w:bidi w:val="0"/>
        <w:rPr>
          <w:rFonts w:hint="eastAsia" w:ascii="宋体" w:hAnsi="宋体" w:eastAsia="宋体" w:cs="宋体"/>
          <w:color w:val="auto"/>
          <w:highlight w:val="none"/>
        </w:rPr>
      </w:pPr>
    </w:p>
    <w:p w14:paraId="37AED6F9">
      <w:pPr>
        <w:pageBreakBefore w:val="0"/>
        <w:widowControl w:val="0"/>
        <w:kinsoku/>
        <w:wordWrap w:val="0"/>
        <w:overflowPunct/>
        <w:topLinePunct w:val="0"/>
        <w:bidi w:val="0"/>
        <w:rPr>
          <w:rFonts w:hint="eastAsia" w:ascii="宋体" w:hAnsi="宋体" w:eastAsia="宋体" w:cs="宋体"/>
          <w:color w:val="auto"/>
          <w:highlight w:val="none"/>
        </w:rPr>
      </w:pPr>
    </w:p>
    <w:p w14:paraId="430935B7">
      <w:pPr>
        <w:pageBreakBefore w:val="0"/>
        <w:widowControl w:val="0"/>
        <w:kinsoku/>
        <w:wordWrap w:val="0"/>
        <w:overflowPunct/>
        <w:topLinePunct w:val="0"/>
        <w:bidi w:val="0"/>
        <w:rPr>
          <w:rFonts w:hint="eastAsia" w:ascii="宋体" w:hAnsi="宋体" w:eastAsia="宋体" w:cs="宋体"/>
          <w:color w:val="auto"/>
          <w:highlight w:val="none"/>
        </w:rPr>
      </w:pPr>
    </w:p>
    <w:p w14:paraId="1A7951C0">
      <w:pPr>
        <w:pageBreakBefore w:val="0"/>
        <w:widowControl w:val="0"/>
        <w:kinsoku/>
        <w:wordWrap w:val="0"/>
        <w:overflowPunct/>
        <w:topLinePunct w:val="0"/>
        <w:bidi w:val="0"/>
        <w:rPr>
          <w:rFonts w:hint="eastAsia" w:ascii="宋体" w:hAnsi="宋体" w:eastAsia="宋体" w:cs="宋体"/>
          <w:color w:val="auto"/>
          <w:highlight w:val="none"/>
        </w:rPr>
      </w:pPr>
    </w:p>
    <w:p w14:paraId="6E35C2AF">
      <w:pPr>
        <w:pageBreakBefore w:val="0"/>
        <w:widowControl w:val="0"/>
        <w:kinsoku/>
        <w:wordWrap w:val="0"/>
        <w:overflowPunct/>
        <w:topLinePunct w:val="0"/>
        <w:bidi w:val="0"/>
        <w:rPr>
          <w:rFonts w:hint="eastAsia" w:ascii="宋体" w:hAnsi="宋体" w:eastAsia="宋体" w:cs="宋体"/>
          <w:color w:val="auto"/>
          <w:highlight w:val="none"/>
        </w:rPr>
      </w:pPr>
    </w:p>
    <w:p w14:paraId="3024C7D7">
      <w:pPr>
        <w:pageBreakBefore w:val="0"/>
        <w:widowControl w:val="0"/>
        <w:kinsoku/>
        <w:wordWrap w:val="0"/>
        <w:overflowPunct/>
        <w:topLinePunct w:val="0"/>
        <w:bidi w:val="0"/>
        <w:rPr>
          <w:rFonts w:hint="eastAsia" w:ascii="宋体" w:hAnsi="宋体" w:eastAsia="宋体" w:cs="宋体"/>
          <w:color w:val="auto"/>
          <w:highlight w:val="none"/>
        </w:rPr>
      </w:pPr>
    </w:p>
    <w:p w14:paraId="0D3BAD82">
      <w:pPr>
        <w:pageBreakBefore w:val="0"/>
        <w:widowControl w:val="0"/>
        <w:kinsoku/>
        <w:wordWrap w:val="0"/>
        <w:overflowPunct/>
        <w:topLinePunct w:val="0"/>
        <w:bidi w:val="0"/>
        <w:rPr>
          <w:rFonts w:hint="eastAsia" w:ascii="宋体" w:hAnsi="宋体" w:eastAsia="宋体" w:cs="宋体"/>
          <w:color w:val="auto"/>
          <w:highlight w:val="none"/>
        </w:rPr>
      </w:pPr>
    </w:p>
    <w:p w14:paraId="5E885661">
      <w:pPr>
        <w:pageBreakBefore w:val="0"/>
        <w:widowControl w:val="0"/>
        <w:kinsoku/>
        <w:wordWrap w:val="0"/>
        <w:overflowPunct/>
        <w:topLinePunct w:val="0"/>
        <w:bidi w:val="0"/>
        <w:rPr>
          <w:rFonts w:hint="eastAsia" w:ascii="宋体" w:hAnsi="宋体" w:eastAsia="宋体" w:cs="宋体"/>
          <w:color w:val="auto"/>
          <w:highlight w:val="none"/>
        </w:rPr>
      </w:pPr>
    </w:p>
    <w:p w14:paraId="4AE6FF26">
      <w:pPr>
        <w:pageBreakBefore w:val="0"/>
        <w:widowControl w:val="0"/>
        <w:kinsoku/>
        <w:wordWrap w:val="0"/>
        <w:overflowPunct/>
        <w:topLinePunct w:val="0"/>
        <w:bidi w:val="0"/>
        <w:rPr>
          <w:rFonts w:hint="eastAsia" w:ascii="宋体" w:hAnsi="宋体" w:eastAsia="宋体" w:cs="宋体"/>
          <w:color w:val="auto"/>
          <w:highlight w:val="none"/>
        </w:rPr>
      </w:pPr>
    </w:p>
    <w:p w14:paraId="2C900965">
      <w:pPr>
        <w:pageBreakBefore w:val="0"/>
        <w:widowControl w:val="0"/>
        <w:kinsoku/>
        <w:wordWrap w:val="0"/>
        <w:overflowPunct/>
        <w:topLinePunct w:val="0"/>
        <w:bidi w:val="0"/>
        <w:rPr>
          <w:rFonts w:hint="eastAsia" w:ascii="宋体" w:hAnsi="宋体" w:eastAsia="宋体" w:cs="宋体"/>
          <w:color w:val="auto"/>
          <w:highlight w:val="none"/>
        </w:rPr>
      </w:pPr>
    </w:p>
    <w:p w14:paraId="3188C292">
      <w:pPr>
        <w:pageBreakBefore w:val="0"/>
        <w:widowControl w:val="0"/>
        <w:kinsoku/>
        <w:wordWrap w:val="0"/>
        <w:overflowPunct/>
        <w:topLinePunct w:val="0"/>
        <w:bidi w:val="0"/>
        <w:rPr>
          <w:rFonts w:hint="eastAsia" w:ascii="宋体" w:hAnsi="宋体" w:eastAsia="宋体" w:cs="宋体"/>
          <w:b/>
          <w:color w:val="auto"/>
          <w:szCs w:val="32"/>
          <w:highlight w:val="none"/>
        </w:rPr>
      </w:pPr>
      <w:r>
        <w:rPr>
          <w:rFonts w:hint="eastAsia" w:ascii="宋体" w:hAnsi="宋体" w:eastAsia="宋体" w:cs="宋体"/>
          <w:color w:val="auto"/>
          <w:highlight w:val="none"/>
        </w:rPr>
        <w:br w:type="page"/>
      </w:r>
      <w:bookmarkStart w:id="114" w:name="_Toc71366060"/>
      <w:bookmarkStart w:id="115" w:name="_Toc71365382"/>
    </w:p>
    <w:p w14:paraId="1046150B">
      <w:pPr>
        <w:pageBreakBefore w:val="0"/>
        <w:widowControl w:val="0"/>
        <w:kinsoku/>
        <w:wordWrap w:val="0"/>
        <w:overflowPunct/>
        <w:topLinePunct w:val="0"/>
        <w:bidi w:val="0"/>
        <w:snapToGrid w:val="0"/>
        <w:spacing w:beforeLines="50" w:after="50"/>
        <w:rPr>
          <w:rFonts w:hint="eastAsia" w:ascii="宋体" w:hAnsi="宋体" w:eastAsia="宋体" w:cs="宋体"/>
          <w:color w:val="auto"/>
          <w:sz w:val="24"/>
          <w:szCs w:val="20"/>
          <w:highlight w:val="none"/>
        </w:rPr>
      </w:pPr>
    </w:p>
    <w:p w14:paraId="34C347FF">
      <w:pPr>
        <w:pageBreakBefore w:val="0"/>
        <w:widowControl w:val="0"/>
        <w:kinsoku/>
        <w:wordWrap w:val="0"/>
        <w:overflowPunct/>
        <w:topLinePunct w:val="0"/>
        <w:bidi w:val="0"/>
        <w:snapToGrid w:val="0"/>
        <w:spacing w:beforeLines="50" w:after="50"/>
        <w:jc w:val="center"/>
        <w:rPr>
          <w:rFonts w:hint="eastAsia" w:ascii="宋体" w:hAnsi="宋体" w:eastAsia="宋体" w:cs="宋体"/>
          <w:bCs/>
          <w:color w:val="auto"/>
          <w:sz w:val="24"/>
          <w:szCs w:val="20"/>
          <w:highlight w:val="none"/>
        </w:rPr>
      </w:pPr>
    </w:p>
    <w:p w14:paraId="1127C9BC">
      <w:pPr>
        <w:pStyle w:val="26"/>
        <w:pageBreakBefore w:val="0"/>
        <w:widowControl w:val="0"/>
        <w:kinsoku/>
        <w:wordWrap w:val="0"/>
        <w:overflowPunct/>
        <w:topLinePunct w:val="0"/>
        <w:bidi w:val="0"/>
        <w:ind w:firstLine="480"/>
        <w:rPr>
          <w:rFonts w:hint="eastAsia" w:ascii="宋体" w:hAnsi="宋体" w:eastAsia="宋体" w:cs="宋体"/>
          <w:bCs/>
          <w:color w:val="auto"/>
          <w:sz w:val="24"/>
          <w:szCs w:val="20"/>
          <w:highlight w:val="none"/>
        </w:rPr>
      </w:pPr>
    </w:p>
    <w:p w14:paraId="00D716A4">
      <w:pPr>
        <w:pStyle w:val="26"/>
        <w:pageBreakBefore w:val="0"/>
        <w:widowControl w:val="0"/>
        <w:kinsoku/>
        <w:wordWrap w:val="0"/>
        <w:overflowPunct/>
        <w:topLinePunct w:val="0"/>
        <w:bidi w:val="0"/>
        <w:ind w:firstLine="480"/>
        <w:rPr>
          <w:rFonts w:hint="eastAsia" w:ascii="宋体" w:hAnsi="宋体" w:eastAsia="宋体" w:cs="宋体"/>
          <w:bCs/>
          <w:color w:val="auto"/>
          <w:sz w:val="24"/>
          <w:szCs w:val="20"/>
          <w:highlight w:val="none"/>
        </w:rPr>
      </w:pPr>
    </w:p>
    <w:p w14:paraId="5EED5B81">
      <w:pPr>
        <w:pStyle w:val="26"/>
        <w:pageBreakBefore w:val="0"/>
        <w:widowControl w:val="0"/>
        <w:kinsoku/>
        <w:wordWrap w:val="0"/>
        <w:overflowPunct/>
        <w:topLinePunct w:val="0"/>
        <w:bidi w:val="0"/>
        <w:ind w:firstLine="480"/>
        <w:rPr>
          <w:rFonts w:hint="eastAsia" w:ascii="宋体" w:hAnsi="宋体" w:eastAsia="宋体" w:cs="宋体"/>
          <w:bCs/>
          <w:color w:val="auto"/>
          <w:sz w:val="24"/>
          <w:szCs w:val="20"/>
          <w:highlight w:val="none"/>
        </w:rPr>
      </w:pPr>
    </w:p>
    <w:p w14:paraId="12CCD9FB">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响  应  文  件</w:t>
      </w:r>
    </w:p>
    <w:p w14:paraId="3048D63F">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74F6D257">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资 格 证 明 文 件</w:t>
      </w:r>
    </w:p>
    <w:p w14:paraId="2451A9AC">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32"/>
          <w:szCs w:val="32"/>
          <w:highlight w:val="none"/>
        </w:rPr>
      </w:pPr>
    </w:p>
    <w:p w14:paraId="58453721">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3A6A98FD">
      <w:pPr>
        <w:pageBreakBefore w:val="0"/>
        <w:widowControl w:val="0"/>
        <w:kinsoku/>
        <w:wordWrap w:val="0"/>
        <w:overflowPunct/>
        <w:topLinePunct w:val="0"/>
        <w:bidi w:val="0"/>
        <w:snapToGrid w:val="0"/>
        <w:spacing w:beforeLines="50" w:after="50"/>
        <w:ind w:firstLine="480" w:firstLineChars="150"/>
        <w:outlineLvl w:val="9"/>
        <w:rPr>
          <w:rFonts w:hint="eastAsia" w:ascii="宋体" w:hAnsi="宋体" w:eastAsia="宋体" w:cs="宋体"/>
          <w:bCs/>
          <w:color w:val="auto"/>
          <w:sz w:val="32"/>
          <w:szCs w:val="32"/>
          <w:highlight w:val="none"/>
        </w:rPr>
      </w:pPr>
    </w:p>
    <w:p w14:paraId="30EC512C">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BD1112B">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p>
    <w:p w14:paraId="667DBE7E">
      <w:pPr>
        <w:pStyle w:val="6"/>
        <w:pageBreakBefore w:val="0"/>
        <w:widowControl w:val="0"/>
        <w:kinsoku/>
        <w:wordWrap w:val="0"/>
        <w:overflowPunct/>
        <w:topLinePunct w:val="0"/>
        <w:bidi w:val="0"/>
        <w:snapToGrid w:val="0"/>
        <w:spacing w:before="50" w:after="120"/>
        <w:outlineLvl w:val="9"/>
        <w:rPr>
          <w:rFonts w:hint="eastAsia" w:ascii="宋体" w:hAnsi="宋体" w:eastAsia="宋体" w:cs="宋体"/>
          <w:bCs/>
          <w:color w:val="auto"/>
          <w:sz w:val="32"/>
          <w:szCs w:val="32"/>
          <w:highlight w:val="none"/>
        </w:rPr>
      </w:pPr>
    </w:p>
    <w:p w14:paraId="7C0D30C5">
      <w:pPr>
        <w:pStyle w:val="6"/>
        <w:pageBreakBefore w:val="0"/>
        <w:widowControl w:val="0"/>
        <w:kinsoku/>
        <w:wordWrap w:val="0"/>
        <w:overflowPunct/>
        <w:topLinePunct w:val="0"/>
        <w:bidi w:val="0"/>
        <w:snapToGrid w:val="0"/>
        <w:spacing w:before="50" w:after="120"/>
        <w:ind w:firstLine="640" w:firstLineChars="200"/>
        <w:outlineLvl w:val="9"/>
        <w:rPr>
          <w:rFonts w:hint="eastAsia" w:ascii="宋体" w:hAnsi="宋体" w:eastAsia="宋体" w:cs="宋体"/>
          <w:bCs/>
          <w:color w:val="auto"/>
          <w:sz w:val="32"/>
          <w:szCs w:val="32"/>
          <w:highlight w:val="none"/>
        </w:rPr>
      </w:pPr>
    </w:p>
    <w:p w14:paraId="71995302">
      <w:pPr>
        <w:pStyle w:val="6"/>
        <w:pageBreakBefore w:val="0"/>
        <w:widowControl w:val="0"/>
        <w:kinsoku/>
        <w:wordWrap w:val="0"/>
        <w:overflowPunct/>
        <w:topLinePunct w:val="0"/>
        <w:bidi w:val="0"/>
        <w:snapToGrid w:val="0"/>
        <w:spacing w:before="50" w:after="120"/>
        <w:ind w:firstLine="640" w:firstLineChars="200"/>
        <w:outlineLvl w:val="9"/>
        <w:rPr>
          <w:rFonts w:hint="eastAsia" w:ascii="宋体" w:hAnsi="宋体" w:eastAsia="宋体" w:cs="宋体"/>
          <w:bCs/>
          <w:color w:val="auto"/>
          <w:sz w:val="32"/>
          <w:szCs w:val="32"/>
          <w:highlight w:val="none"/>
        </w:rPr>
      </w:pPr>
    </w:p>
    <w:p w14:paraId="0639A796">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p>
    <w:p w14:paraId="2451B406">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32"/>
          <w:szCs w:val="32"/>
          <w:highlight w:val="none"/>
        </w:rPr>
      </w:pPr>
    </w:p>
    <w:p w14:paraId="6F248773">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供应商名称（电子签章）：</w:t>
      </w:r>
    </w:p>
    <w:p w14:paraId="55E35FDC">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32"/>
          <w:szCs w:val="32"/>
          <w:highlight w:val="none"/>
        </w:rPr>
      </w:pPr>
    </w:p>
    <w:p w14:paraId="2193DB7F">
      <w:pPr>
        <w:pageBreakBefore w:val="0"/>
        <w:widowControl w:val="0"/>
        <w:kinsoku/>
        <w:wordWrap w:val="0"/>
        <w:overflowPunct/>
        <w:topLinePunct w:val="0"/>
        <w:bidi w:val="0"/>
        <w:snapToGrid w:val="0"/>
        <w:spacing w:beforeLines="50" w:after="50"/>
        <w:ind w:firstLine="5440" w:firstLineChars="1700"/>
        <w:jc w:val="center"/>
        <w:outlineLvl w:val="9"/>
        <w:rPr>
          <w:rFonts w:hint="eastAsia" w:ascii="宋体" w:hAnsi="宋体" w:eastAsia="宋体" w:cs="宋体"/>
          <w:bCs/>
          <w:color w:val="auto"/>
          <w:sz w:val="32"/>
          <w:szCs w:val="32"/>
          <w:highlight w:val="none"/>
        </w:rPr>
      </w:pPr>
    </w:p>
    <w:p w14:paraId="1528A7FB">
      <w:pPr>
        <w:pageBreakBefore w:val="0"/>
        <w:widowControl w:val="0"/>
        <w:kinsoku/>
        <w:wordWrap w:val="0"/>
        <w:overflowPunct/>
        <w:topLinePunct w:val="0"/>
        <w:bidi w:val="0"/>
        <w:snapToGrid w:val="0"/>
        <w:spacing w:beforeLines="50" w:after="50"/>
        <w:ind w:firstLine="645"/>
        <w:jc w:val="center"/>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bookmarkEnd w:id="114"/>
    <w:bookmarkEnd w:id="115"/>
    <w:p w14:paraId="277ED53C">
      <w:pPr>
        <w:pageBreakBefore w:val="0"/>
        <w:widowControl w:val="0"/>
        <w:kinsoku/>
        <w:wordWrap w:val="0"/>
        <w:overflowPunct/>
        <w:topLinePunct w:val="0"/>
        <w:bidi w:val="0"/>
        <w:jc w:val="center"/>
        <w:outlineLvl w:val="9"/>
        <w:rPr>
          <w:rFonts w:hint="eastAsia" w:ascii="宋体" w:hAnsi="宋体" w:eastAsia="宋体" w:cs="宋体"/>
          <w:sz w:val="35"/>
          <w:szCs w:val="35"/>
          <w:highlight w:val="none"/>
        </w:rPr>
      </w:pPr>
      <w:r>
        <w:rPr>
          <w:rFonts w:hint="eastAsia" w:ascii="宋体" w:hAnsi="宋体" w:eastAsia="宋体" w:cs="宋体"/>
          <w:color w:val="auto"/>
          <w:sz w:val="24"/>
          <w:highlight w:val="none"/>
        </w:rPr>
        <w:br w:type="page"/>
      </w:r>
      <w:r>
        <w:rPr>
          <w:rFonts w:hint="eastAsia" w:ascii="宋体" w:hAnsi="宋体" w:eastAsia="宋体" w:cs="宋体"/>
          <w:b/>
          <w:bCs/>
          <w:spacing w:val="6"/>
          <w:sz w:val="35"/>
          <w:szCs w:val="35"/>
          <w:highlight w:val="none"/>
          <w:lang w:val="en-US" w:eastAsia="zh-CN"/>
        </w:rPr>
        <w:t>竞标</w:t>
      </w:r>
      <w:r>
        <w:rPr>
          <w:rFonts w:hint="eastAsia" w:ascii="宋体" w:hAnsi="宋体" w:eastAsia="宋体" w:cs="宋体"/>
          <w:b/>
          <w:bCs/>
          <w:spacing w:val="6"/>
          <w:sz w:val="35"/>
          <w:szCs w:val="35"/>
          <w:highlight w:val="none"/>
        </w:rPr>
        <w:t>人提交电子</w:t>
      </w:r>
      <w:r>
        <w:rPr>
          <w:rFonts w:hint="eastAsia" w:ascii="宋体" w:hAnsi="宋体" w:eastAsia="宋体" w:cs="宋体"/>
          <w:b/>
          <w:bCs/>
          <w:spacing w:val="6"/>
          <w:sz w:val="35"/>
          <w:szCs w:val="35"/>
          <w:highlight w:val="none"/>
          <w:lang w:eastAsia="zh-CN"/>
        </w:rPr>
        <w:t>谈判</w:t>
      </w:r>
      <w:r>
        <w:rPr>
          <w:rFonts w:hint="eastAsia" w:ascii="宋体" w:hAnsi="宋体" w:eastAsia="宋体" w:cs="宋体"/>
          <w:b/>
          <w:bCs/>
          <w:spacing w:val="6"/>
          <w:sz w:val="35"/>
          <w:szCs w:val="35"/>
          <w:highlight w:val="none"/>
        </w:rPr>
        <w:t>文件须知</w:t>
      </w:r>
    </w:p>
    <w:p w14:paraId="77F38DFE">
      <w:pPr>
        <w:pageBreakBefore w:val="0"/>
        <w:widowControl w:val="0"/>
        <w:kinsoku/>
        <w:wordWrap w:val="0"/>
        <w:overflowPunct/>
        <w:topLinePunct w:val="0"/>
        <w:bidi w:val="0"/>
        <w:spacing w:before="78" w:line="314" w:lineRule="auto"/>
        <w:ind w:right="44" w:firstLine="482"/>
        <w:jc w:val="both"/>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参与电子标的</w:t>
      </w:r>
      <w:r>
        <w:rPr>
          <w:rFonts w:hint="eastAsia" w:ascii="宋体" w:hAnsi="宋体" w:eastAsia="宋体" w:cs="宋体"/>
          <w:b/>
          <w:bCs/>
          <w:spacing w:val="-5"/>
          <w:sz w:val="24"/>
          <w:szCs w:val="24"/>
          <w:highlight w:val="none"/>
          <w:lang w:eastAsia="zh-CN"/>
        </w:rPr>
        <w:t>竟</w:t>
      </w:r>
      <w:r>
        <w:rPr>
          <w:rFonts w:hint="eastAsia" w:ascii="宋体" w:hAnsi="宋体" w:eastAsia="宋体" w:cs="宋体"/>
          <w:b/>
          <w:bCs/>
          <w:spacing w:val="-5"/>
          <w:sz w:val="24"/>
          <w:szCs w:val="24"/>
          <w:highlight w:val="none"/>
        </w:rPr>
        <w:t>标人必须为</w:t>
      </w:r>
      <w:r>
        <w:rPr>
          <w:rFonts w:hint="eastAsia" w:ascii="宋体" w:hAnsi="宋体" w:eastAsia="宋体" w:cs="宋体"/>
          <w:b/>
          <w:bCs/>
          <w:spacing w:val="-5"/>
          <w:sz w:val="24"/>
          <w:szCs w:val="24"/>
          <w:highlight w:val="none"/>
          <w:lang w:eastAsia="zh-CN"/>
        </w:rPr>
        <w:t>广西</w:t>
      </w:r>
      <w:r>
        <w:rPr>
          <w:rFonts w:hint="eastAsia" w:ascii="宋体" w:hAnsi="宋体" w:eastAsia="宋体" w:cs="宋体"/>
          <w:b/>
          <w:bCs/>
          <w:spacing w:val="-5"/>
          <w:sz w:val="24"/>
          <w:szCs w:val="24"/>
          <w:highlight w:val="none"/>
        </w:rPr>
        <w:t>政采云平台的正式供应商且申领</w:t>
      </w:r>
      <w:r>
        <w:rPr>
          <w:rFonts w:hint="eastAsia" w:ascii="宋体" w:hAnsi="宋体" w:eastAsia="宋体" w:cs="宋体"/>
          <w:spacing w:val="-41"/>
          <w:sz w:val="24"/>
          <w:szCs w:val="24"/>
          <w:highlight w:val="none"/>
        </w:rPr>
        <w:t xml:space="preserve"> </w:t>
      </w:r>
      <w:r>
        <w:rPr>
          <w:rFonts w:hint="eastAsia" w:ascii="宋体" w:hAnsi="宋体" w:eastAsia="宋体" w:cs="宋体"/>
          <w:b/>
          <w:bCs/>
          <w:spacing w:val="-5"/>
          <w:sz w:val="24"/>
          <w:szCs w:val="24"/>
          <w:highlight w:val="none"/>
        </w:rPr>
        <w:t>CA</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证书，各供应商应在</w:t>
      </w:r>
      <w:r>
        <w:rPr>
          <w:rFonts w:hint="eastAsia" w:ascii="宋体" w:hAnsi="宋体" w:eastAsia="宋体" w:cs="宋体"/>
          <w:sz w:val="24"/>
          <w:szCs w:val="24"/>
          <w:highlight w:val="none"/>
        </w:rPr>
        <w:t xml:space="preserve"> </w:t>
      </w:r>
      <w:r>
        <w:rPr>
          <w:rFonts w:hint="eastAsia" w:ascii="宋体" w:hAnsi="宋体" w:eastAsia="宋体" w:cs="宋体"/>
          <w:b/>
          <w:bCs/>
          <w:spacing w:val="-4"/>
          <w:sz w:val="24"/>
          <w:szCs w:val="24"/>
          <w:highlight w:val="none"/>
        </w:rPr>
        <w:t>开标前及时完成平台注册、CA</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4"/>
          <w:sz w:val="24"/>
          <w:szCs w:val="24"/>
          <w:highlight w:val="none"/>
        </w:rPr>
        <w:t>证书申领、C</w:t>
      </w:r>
      <w:r>
        <w:rPr>
          <w:rFonts w:hint="eastAsia" w:ascii="宋体" w:hAnsi="宋体" w:eastAsia="宋体" w:cs="宋体"/>
          <w:b/>
          <w:bCs/>
          <w:spacing w:val="-5"/>
          <w:sz w:val="24"/>
          <w:szCs w:val="24"/>
          <w:highlight w:val="none"/>
        </w:rPr>
        <w:t>A</w:t>
      </w:r>
      <w:r>
        <w:rPr>
          <w:rFonts w:hint="eastAsia" w:ascii="宋体" w:hAnsi="宋体" w:eastAsia="宋体" w:cs="宋体"/>
          <w:spacing w:val="-51"/>
          <w:sz w:val="24"/>
          <w:szCs w:val="24"/>
          <w:highlight w:val="none"/>
        </w:rPr>
        <w:t xml:space="preserve"> </w:t>
      </w:r>
      <w:r>
        <w:rPr>
          <w:rFonts w:hint="eastAsia" w:ascii="宋体" w:hAnsi="宋体" w:eastAsia="宋体" w:cs="宋体"/>
          <w:b/>
          <w:bCs/>
          <w:spacing w:val="-5"/>
          <w:sz w:val="24"/>
          <w:szCs w:val="24"/>
          <w:highlight w:val="none"/>
        </w:rPr>
        <w:t>证书绑定、下载投标客户端，熟悉并掌握</w:t>
      </w:r>
      <w:r>
        <w:rPr>
          <w:rFonts w:hint="eastAsia" w:ascii="宋体" w:hAnsi="宋体" w:eastAsia="宋体" w:cs="宋体"/>
          <w:b/>
          <w:bCs/>
          <w:spacing w:val="-5"/>
          <w:sz w:val="24"/>
          <w:szCs w:val="24"/>
          <w:highlight w:val="none"/>
          <w:lang w:eastAsia="zh-CN"/>
        </w:rPr>
        <w:t>广西</w:t>
      </w:r>
      <w:r>
        <w:rPr>
          <w:rFonts w:hint="eastAsia" w:ascii="宋体" w:hAnsi="宋体" w:eastAsia="宋体" w:cs="宋体"/>
          <w:b/>
          <w:bCs/>
          <w:spacing w:val="-5"/>
          <w:sz w:val="24"/>
          <w:szCs w:val="24"/>
          <w:highlight w:val="none"/>
        </w:rPr>
        <w:t>政</w:t>
      </w:r>
      <w:r>
        <w:rPr>
          <w:rFonts w:hint="eastAsia" w:ascii="宋体" w:hAnsi="宋体" w:eastAsia="宋体" w:cs="宋体"/>
          <w:b/>
          <w:bCs/>
          <w:spacing w:val="-3"/>
          <w:sz w:val="24"/>
          <w:szCs w:val="24"/>
          <w:highlight w:val="none"/>
        </w:rPr>
        <w:t>采云电子标系统操作。</w:t>
      </w:r>
    </w:p>
    <w:p w14:paraId="672D6266">
      <w:pPr>
        <w:pageBreakBefore w:val="0"/>
        <w:widowControl w:val="0"/>
        <w:kinsoku/>
        <w:wordWrap w:val="0"/>
        <w:overflowPunct/>
        <w:topLinePunct w:val="0"/>
        <w:bidi w:val="0"/>
        <w:spacing w:before="35" w:line="219" w:lineRule="auto"/>
        <w:ind w:left="484"/>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w:t>
      </w:r>
      <w:r>
        <w:rPr>
          <w:rFonts w:hint="eastAsia" w:ascii="宋体" w:hAnsi="宋体" w:eastAsia="宋体" w:cs="宋体"/>
          <w:spacing w:val="-1"/>
          <w:sz w:val="24"/>
          <w:szCs w:val="24"/>
          <w:highlight w:val="none"/>
          <w:lang w:eastAsia="zh-CN"/>
        </w:rPr>
        <w:t>竟</w:t>
      </w:r>
      <w:r>
        <w:rPr>
          <w:rFonts w:hint="eastAsia" w:ascii="宋体" w:hAnsi="宋体" w:eastAsia="宋体" w:cs="宋体"/>
          <w:spacing w:val="-1"/>
          <w:sz w:val="24"/>
          <w:szCs w:val="24"/>
          <w:highlight w:val="none"/>
        </w:rPr>
        <w:t>标人应保证全部声明和问题的回答是真实的和准确的。</w:t>
      </w:r>
    </w:p>
    <w:p w14:paraId="2DEB49EB">
      <w:pPr>
        <w:pageBreakBefore w:val="0"/>
        <w:widowControl w:val="0"/>
        <w:kinsoku/>
        <w:wordWrap w:val="0"/>
        <w:overflowPunct/>
        <w:topLinePunct w:val="0"/>
        <w:bidi w:val="0"/>
        <w:spacing w:before="134" w:line="219" w:lineRule="auto"/>
        <w:ind w:left="484"/>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二、评标委员会将应用</w:t>
      </w:r>
      <w:r>
        <w:rPr>
          <w:rFonts w:hint="eastAsia" w:ascii="宋体" w:hAnsi="宋体" w:eastAsia="宋体" w:cs="宋体"/>
          <w:spacing w:val="-1"/>
          <w:sz w:val="24"/>
          <w:szCs w:val="24"/>
          <w:highlight w:val="none"/>
          <w:lang w:eastAsia="zh-CN"/>
        </w:rPr>
        <w:t>竟</w:t>
      </w:r>
      <w:r>
        <w:rPr>
          <w:rFonts w:hint="eastAsia" w:ascii="宋体" w:hAnsi="宋体" w:eastAsia="宋体" w:cs="宋体"/>
          <w:spacing w:val="-1"/>
          <w:sz w:val="24"/>
          <w:szCs w:val="24"/>
          <w:highlight w:val="none"/>
        </w:rPr>
        <w:t>标人提交的资料作出自己的判断。</w:t>
      </w:r>
    </w:p>
    <w:p w14:paraId="2CBAA186">
      <w:pPr>
        <w:pageBreakBefore w:val="0"/>
        <w:widowControl w:val="0"/>
        <w:kinsoku/>
        <w:wordWrap w:val="0"/>
        <w:overflowPunct/>
        <w:topLinePunct w:val="0"/>
        <w:bidi w:val="0"/>
        <w:spacing w:before="135" w:line="219" w:lineRule="auto"/>
        <w:ind w:left="480"/>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三、</w:t>
      </w:r>
      <w:r>
        <w:rPr>
          <w:rFonts w:hint="eastAsia" w:ascii="宋体" w:hAnsi="宋体" w:eastAsia="宋体" w:cs="宋体"/>
          <w:spacing w:val="-1"/>
          <w:sz w:val="24"/>
          <w:szCs w:val="24"/>
          <w:highlight w:val="none"/>
          <w:lang w:eastAsia="zh-CN"/>
        </w:rPr>
        <w:t>竟</w:t>
      </w:r>
      <w:r>
        <w:rPr>
          <w:rFonts w:hint="eastAsia" w:ascii="宋体" w:hAnsi="宋体" w:eastAsia="宋体" w:cs="宋体"/>
          <w:spacing w:val="-1"/>
          <w:sz w:val="24"/>
          <w:szCs w:val="24"/>
          <w:highlight w:val="none"/>
        </w:rPr>
        <w:t>标人提交的材料将在一定期限内被保密保存，不予退还。</w:t>
      </w:r>
    </w:p>
    <w:p w14:paraId="1DA86B7B">
      <w:pPr>
        <w:pageBreakBefore w:val="0"/>
        <w:widowControl w:val="0"/>
        <w:kinsoku/>
        <w:wordWrap w:val="0"/>
        <w:overflowPunct/>
        <w:topLinePunct w:val="0"/>
        <w:bidi w:val="0"/>
        <w:spacing w:before="136" w:line="219" w:lineRule="auto"/>
        <w:ind w:left="503"/>
        <w:outlineLvl w:val="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四、电子</w:t>
      </w:r>
      <w:r>
        <w:rPr>
          <w:rFonts w:hint="eastAsia" w:ascii="宋体" w:hAnsi="宋体" w:eastAsia="宋体" w:cs="宋体"/>
          <w:spacing w:val="-2"/>
          <w:sz w:val="24"/>
          <w:szCs w:val="24"/>
          <w:highlight w:val="none"/>
          <w:lang w:eastAsia="zh-CN"/>
        </w:rPr>
        <w:t>竟</w:t>
      </w:r>
      <w:r>
        <w:rPr>
          <w:rFonts w:hint="eastAsia" w:ascii="宋体" w:hAnsi="宋体" w:eastAsia="宋体" w:cs="宋体"/>
          <w:spacing w:val="-2"/>
          <w:sz w:val="24"/>
          <w:szCs w:val="24"/>
          <w:highlight w:val="none"/>
        </w:rPr>
        <w:t>标文件编制格式及规范要求：</w:t>
      </w:r>
    </w:p>
    <w:p w14:paraId="3BC44F0B">
      <w:pPr>
        <w:pageBreakBefore w:val="0"/>
        <w:widowControl w:val="0"/>
        <w:kinsoku/>
        <w:wordWrap w:val="0"/>
        <w:overflowPunct/>
        <w:topLinePunct w:val="0"/>
        <w:bidi w:val="0"/>
        <w:spacing w:before="134" w:line="271" w:lineRule="auto"/>
        <w:ind w:left="7" w:right="113" w:firstLine="485"/>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w:t>
      </w:r>
      <w:r>
        <w:rPr>
          <w:rFonts w:hint="eastAsia" w:ascii="宋体" w:hAnsi="宋体" w:eastAsia="宋体" w:cs="宋体"/>
          <w:spacing w:val="-1"/>
          <w:sz w:val="24"/>
          <w:szCs w:val="24"/>
          <w:highlight w:val="none"/>
          <w:lang w:eastAsia="zh-CN"/>
        </w:rPr>
        <w:t>竟</w:t>
      </w:r>
      <w:r>
        <w:rPr>
          <w:rFonts w:hint="eastAsia" w:ascii="宋体" w:hAnsi="宋体" w:eastAsia="宋体" w:cs="宋体"/>
          <w:spacing w:val="-1"/>
          <w:sz w:val="24"/>
          <w:szCs w:val="24"/>
          <w:highlight w:val="none"/>
        </w:rPr>
        <w:t>标文件应使用</w:t>
      </w:r>
      <w:r>
        <w:rPr>
          <w:rFonts w:hint="eastAsia" w:ascii="宋体" w:hAnsi="宋体" w:eastAsia="宋体" w:cs="宋体"/>
          <w:spacing w:val="-1"/>
          <w:sz w:val="24"/>
          <w:szCs w:val="24"/>
          <w:highlight w:val="none"/>
          <w:lang w:eastAsia="zh-CN"/>
        </w:rPr>
        <w:t>广西</w:t>
      </w:r>
      <w:r>
        <w:rPr>
          <w:rFonts w:hint="eastAsia" w:ascii="宋体" w:hAnsi="宋体" w:eastAsia="宋体" w:cs="宋体"/>
          <w:spacing w:val="-1"/>
          <w:sz w:val="24"/>
          <w:szCs w:val="24"/>
          <w:highlight w:val="none"/>
        </w:rPr>
        <w:t>政采云电子投标客户端软件，并按照本</w:t>
      </w:r>
      <w:r>
        <w:rPr>
          <w:rFonts w:hint="eastAsia" w:ascii="宋体" w:hAnsi="宋体" w:eastAsia="宋体" w:cs="宋体"/>
          <w:spacing w:val="-1"/>
          <w:sz w:val="24"/>
          <w:szCs w:val="24"/>
          <w:highlight w:val="none"/>
          <w:lang w:eastAsia="zh-CN"/>
        </w:rPr>
        <w:t>竞争性谈判</w:t>
      </w:r>
      <w:r>
        <w:rPr>
          <w:rFonts w:hint="eastAsia" w:ascii="宋体" w:hAnsi="宋体" w:eastAsia="宋体" w:cs="宋体"/>
          <w:spacing w:val="-1"/>
          <w:sz w:val="24"/>
          <w:szCs w:val="24"/>
          <w:highlight w:val="none"/>
        </w:rPr>
        <w:t>文件和</w:t>
      </w:r>
      <w:r>
        <w:rPr>
          <w:rFonts w:hint="eastAsia" w:ascii="宋体" w:hAnsi="宋体" w:eastAsia="宋体" w:cs="宋体"/>
          <w:spacing w:val="-1"/>
          <w:sz w:val="24"/>
          <w:szCs w:val="24"/>
          <w:highlight w:val="none"/>
          <w:lang w:eastAsia="zh-CN"/>
        </w:rPr>
        <w:t>广西</w:t>
      </w:r>
      <w:r>
        <w:rPr>
          <w:rFonts w:hint="eastAsia" w:ascii="宋体" w:hAnsi="宋体" w:eastAsia="宋体" w:cs="宋体"/>
          <w:spacing w:val="-1"/>
          <w:sz w:val="24"/>
          <w:szCs w:val="24"/>
          <w:highlight w:val="none"/>
        </w:rPr>
        <w:t>政采</w:t>
      </w:r>
      <w:r>
        <w:rPr>
          <w:rFonts w:hint="eastAsia" w:ascii="宋体" w:hAnsi="宋体" w:eastAsia="宋体" w:cs="宋体"/>
          <w:sz w:val="24"/>
          <w:szCs w:val="24"/>
          <w:highlight w:val="none"/>
        </w:rPr>
        <w:t>云平台要求编制并加密</w:t>
      </w:r>
      <w:r>
        <w:rPr>
          <w:rFonts w:hint="eastAsia" w:ascii="宋体" w:hAnsi="宋体" w:eastAsia="宋体" w:cs="宋体"/>
          <w:sz w:val="24"/>
          <w:szCs w:val="24"/>
          <w:highlight w:val="none"/>
          <w:lang w:eastAsia="zh-CN"/>
        </w:rPr>
        <w:t>竟</w:t>
      </w:r>
      <w:r>
        <w:rPr>
          <w:rFonts w:hint="eastAsia" w:ascii="宋体" w:hAnsi="宋体" w:eastAsia="宋体" w:cs="宋体"/>
          <w:sz w:val="24"/>
          <w:szCs w:val="24"/>
          <w:highlight w:val="none"/>
        </w:rPr>
        <w:t>标文件。未按规定</w:t>
      </w:r>
      <w:r>
        <w:rPr>
          <w:rFonts w:hint="eastAsia" w:ascii="宋体" w:hAnsi="宋体" w:eastAsia="宋体" w:cs="宋体"/>
          <w:spacing w:val="-1"/>
          <w:sz w:val="24"/>
          <w:szCs w:val="24"/>
          <w:highlight w:val="none"/>
        </w:rPr>
        <w:t>加密的</w:t>
      </w:r>
      <w:r>
        <w:rPr>
          <w:rFonts w:hint="eastAsia" w:ascii="宋体" w:hAnsi="宋体" w:eastAsia="宋体" w:cs="宋体"/>
          <w:spacing w:val="-1"/>
          <w:sz w:val="24"/>
          <w:szCs w:val="24"/>
          <w:highlight w:val="none"/>
          <w:lang w:eastAsia="zh-CN"/>
        </w:rPr>
        <w:t>竟</w:t>
      </w:r>
      <w:r>
        <w:rPr>
          <w:rFonts w:hint="eastAsia" w:ascii="宋体" w:hAnsi="宋体" w:eastAsia="宋体" w:cs="宋体"/>
          <w:spacing w:val="-1"/>
          <w:sz w:val="24"/>
          <w:szCs w:val="24"/>
          <w:highlight w:val="none"/>
        </w:rPr>
        <w:t>标文件，</w:t>
      </w:r>
      <w:r>
        <w:rPr>
          <w:rFonts w:hint="eastAsia" w:ascii="宋体" w:hAnsi="宋体" w:eastAsia="宋体" w:cs="宋体"/>
          <w:spacing w:val="-1"/>
          <w:sz w:val="24"/>
          <w:szCs w:val="24"/>
          <w:highlight w:val="none"/>
          <w:lang w:eastAsia="zh-CN"/>
        </w:rPr>
        <w:t>广西</w:t>
      </w:r>
      <w:r>
        <w:rPr>
          <w:rFonts w:hint="eastAsia" w:ascii="宋体" w:hAnsi="宋体" w:eastAsia="宋体" w:cs="宋体"/>
          <w:spacing w:val="-1"/>
          <w:sz w:val="24"/>
          <w:szCs w:val="24"/>
          <w:highlight w:val="none"/>
        </w:rPr>
        <w:t>政采云平台将拒收。</w:t>
      </w:r>
    </w:p>
    <w:p w14:paraId="6AD16965">
      <w:pPr>
        <w:pageBreakBefore w:val="0"/>
        <w:widowControl w:val="0"/>
        <w:kinsoku/>
        <w:wordWrap w:val="0"/>
        <w:overflowPunct/>
        <w:topLinePunct w:val="0"/>
        <w:bidi w:val="0"/>
        <w:spacing w:before="135" w:line="219" w:lineRule="auto"/>
        <w:ind w:left="492"/>
        <w:outlineLvl w:val="9"/>
        <w:rPr>
          <w:rFonts w:hint="eastAsia" w:ascii="宋体" w:hAnsi="宋体" w:eastAsia="宋体" w:cs="宋体"/>
          <w:sz w:val="24"/>
          <w:szCs w:val="24"/>
          <w:highlight w:val="none"/>
        </w:rPr>
      </w:pPr>
      <w:bookmarkStart w:id="116" w:name="_Toc26900"/>
      <w:r>
        <w:rPr>
          <w:rFonts w:hint="eastAsia" w:ascii="宋体" w:hAnsi="宋体" w:eastAsia="宋体" w:cs="宋体"/>
          <w:spacing w:val="-1"/>
          <w:sz w:val="24"/>
          <w:szCs w:val="24"/>
          <w:highlight w:val="none"/>
        </w:rPr>
        <w:t>（二）</w:t>
      </w:r>
      <w:r>
        <w:rPr>
          <w:rFonts w:hint="eastAsia" w:ascii="宋体" w:hAnsi="宋体" w:eastAsia="宋体" w:cs="宋体"/>
          <w:spacing w:val="-1"/>
          <w:sz w:val="24"/>
          <w:szCs w:val="24"/>
          <w:highlight w:val="none"/>
          <w:lang w:eastAsia="zh-CN"/>
        </w:rPr>
        <w:t>竟</w:t>
      </w:r>
      <w:r>
        <w:rPr>
          <w:rFonts w:hint="eastAsia" w:ascii="宋体" w:hAnsi="宋体" w:eastAsia="宋体" w:cs="宋体"/>
          <w:spacing w:val="-1"/>
          <w:sz w:val="24"/>
          <w:szCs w:val="24"/>
          <w:highlight w:val="none"/>
        </w:rPr>
        <w:t>标文件制作并加密完成后应在</w:t>
      </w:r>
      <w:r>
        <w:rPr>
          <w:rFonts w:hint="eastAsia" w:ascii="宋体" w:hAnsi="宋体" w:eastAsia="宋体" w:cs="宋体"/>
          <w:spacing w:val="-1"/>
          <w:sz w:val="24"/>
          <w:szCs w:val="24"/>
          <w:highlight w:val="none"/>
          <w:lang w:eastAsia="zh-CN"/>
        </w:rPr>
        <w:t>广西</w:t>
      </w:r>
      <w:r>
        <w:rPr>
          <w:rFonts w:hint="eastAsia" w:ascii="宋体" w:hAnsi="宋体" w:eastAsia="宋体" w:cs="宋体"/>
          <w:spacing w:val="-1"/>
          <w:sz w:val="24"/>
          <w:szCs w:val="24"/>
          <w:highlight w:val="none"/>
        </w:rPr>
        <w:t>政采云平台上传完成。</w:t>
      </w:r>
      <w:bookmarkEnd w:id="116"/>
    </w:p>
    <w:p w14:paraId="38BC0FF7">
      <w:pPr>
        <w:pageBreakBefore w:val="0"/>
        <w:widowControl w:val="0"/>
        <w:kinsoku/>
        <w:wordWrap w:val="0"/>
        <w:overflowPunct/>
        <w:topLinePunct w:val="0"/>
        <w:bidi w:val="0"/>
        <w:spacing w:before="137" w:line="314" w:lineRule="auto"/>
        <w:ind w:left="9" w:right="41" w:firstLine="483"/>
        <w:jc w:val="both"/>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（三）</w:t>
      </w:r>
      <w:r>
        <w:rPr>
          <w:rFonts w:hint="eastAsia" w:ascii="宋体" w:hAnsi="宋体" w:eastAsia="宋体" w:cs="宋体"/>
          <w:b/>
          <w:bCs/>
          <w:spacing w:val="-2"/>
          <w:sz w:val="24"/>
          <w:szCs w:val="24"/>
          <w:highlight w:val="none"/>
          <w:lang w:eastAsia="zh-CN"/>
        </w:rPr>
        <w:t>竟</w:t>
      </w:r>
      <w:r>
        <w:rPr>
          <w:rFonts w:hint="eastAsia" w:ascii="宋体" w:hAnsi="宋体" w:eastAsia="宋体" w:cs="宋体"/>
          <w:b/>
          <w:bCs/>
          <w:spacing w:val="-2"/>
          <w:sz w:val="24"/>
          <w:szCs w:val="24"/>
          <w:highlight w:val="none"/>
        </w:rPr>
        <w:t>标文件应使用CA</w:t>
      </w:r>
      <w:r>
        <w:rPr>
          <w:rFonts w:hint="eastAsia" w:ascii="宋体" w:hAnsi="宋体" w:eastAsia="宋体" w:cs="宋体"/>
          <w:spacing w:val="-51"/>
          <w:sz w:val="24"/>
          <w:szCs w:val="24"/>
          <w:highlight w:val="none"/>
        </w:rPr>
        <w:t xml:space="preserve"> </w:t>
      </w:r>
      <w:r>
        <w:rPr>
          <w:rFonts w:hint="eastAsia" w:ascii="宋体" w:hAnsi="宋体" w:eastAsia="宋体" w:cs="宋体"/>
          <w:b/>
          <w:bCs/>
          <w:spacing w:val="-2"/>
          <w:sz w:val="24"/>
          <w:szCs w:val="24"/>
          <w:highlight w:val="none"/>
        </w:rPr>
        <w:t>证书进行电子签章。在签章时，</w:t>
      </w:r>
      <w:r>
        <w:rPr>
          <w:rFonts w:hint="eastAsia" w:ascii="宋体" w:hAnsi="宋体" w:eastAsia="宋体" w:cs="宋体"/>
          <w:b/>
          <w:bCs/>
          <w:spacing w:val="-2"/>
          <w:sz w:val="24"/>
          <w:szCs w:val="24"/>
          <w:highlight w:val="none"/>
          <w:lang w:eastAsia="zh-CN"/>
        </w:rPr>
        <w:t>竟</w:t>
      </w:r>
      <w:r>
        <w:rPr>
          <w:rFonts w:hint="eastAsia" w:ascii="宋体" w:hAnsi="宋体" w:eastAsia="宋体" w:cs="宋体"/>
          <w:b/>
          <w:bCs/>
          <w:spacing w:val="-2"/>
          <w:sz w:val="24"/>
          <w:szCs w:val="24"/>
          <w:highlight w:val="none"/>
        </w:rPr>
        <w:t>标人应注意</w:t>
      </w:r>
      <w:r>
        <w:rPr>
          <w:rFonts w:hint="eastAsia" w:ascii="宋体" w:hAnsi="宋体" w:eastAsia="宋体" w:cs="宋体"/>
          <w:spacing w:val="-52"/>
          <w:sz w:val="24"/>
          <w:szCs w:val="24"/>
          <w:highlight w:val="none"/>
        </w:rPr>
        <w:t xml:space="preserve"> </w:t>
      </w:r>
      <w:r>
        <w:rPr>
          <w:rFonts w:hint="eastAsia" w:ascii="宋体" w:hAnsi="宋体" w:eastAsia="宋体" w:cs="宋体"/>
          <w:b/>
          <w:bCs/>
          <w:spacing w:val="-2"/>
          <w:sz w:val="24"/>
          <w:szCs w:val="24"/>
          <w:highlight w:val="none"/>
        </w:rPr>
        <w:t>CA</w:t>
      </w:r>
      <w:r>
        <w:rPr>
          <w:rFonts w:hint="eastAsia" w:ascii="宋体" w:hAnsi="宋体" w:eastAsia="宋体" w:cs="宋体"/>
          <w:spacing w:val="-23"/>
          <w:sz w:val="24"/>
          <w:szCs w:val="24"/>
          <w:highlight w:val="none"/>
        </w:rPr>
        <w:t xml:space="preserve"> </w:t>
      </w:r>
      <w:r>
        <w:rPr>
          <w:rFonts w:hint="eastAsia" w:ascii="宋体" w:hAnsi="宋体" w:eastAsia="宋体" w:cs="宋体"/>
          <w:b/>
          <w:bCs/>
          <w:spacing w:val="-2"/>
          <w:sz w:val="24"/>
          <w:szCs w:val="24"/>
          <w:highlight w:val="none"/>
        </w:rPr>
        <w:t>电</w:t>
      </w:r>
      <w:r>
        <w:rPr>
          <w:rFonts w:hint="eastAsia" w:ascii="宋体" w:hAnsi="宋体" w:eastAsia="宋体" w:cs="宋体"/>
          <w:b/>
          <w:bCs/>
          <w:spacing w:val="-3"/>
          <w:sz w:val="24"/>
          <w:szCs w:val="24"/>
          <w:highlight w:val="none"/>
        </w:rPr>
        <w:t>子签</w:t>
      </w:r>
      <w:r>
        <w:rPr>
          <w:rFonts w:hint="eastAsia" w:ascii="宋体" w:hAnsi="宋体" w:eastAsia="宋体" w:cs="宋体"/>
          <w:b/>
          <w:bCs/>
          <w:spacing w:val="-5"/>
          <w:sz w:val="24"/>
          <w:szCs w:val="24"/>
          <w:highlight w:val="none"/>
        </w:rPr>
        <w:t>章的位置，如因</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CA</w:t>
      </w:r>
      <w:r>
        <w:rPr>
          <w:rFonts w:hint="eastAsia" w:ascii="宋体" w:hAnsi="宋体" w:eastAsia="宋体" w:cs="宋体"/>
          <w:spacing w:val="-23"/>
          <w:sz w:val="24"/>
          <w:szCs w:val="24"/>
          <w:highlight w:val="none"/>
        </w:rPr>
        <w:t xml:space="preserve"> </w:t>
      </w:r>
      <w:r>
        <w:rPr>
          <w:rFonts w:hint="eastAsia" w:ascii="宋体" w:hAnsi="宋体" w:eastAsia="宋体" w:cs="宋体"/>
          <w:b/>
          <w:bCs/>
          <w:spacing w:val="-5"/>
          <w:sz w:val="24"/>
          <w:szCs w:val="24"/>
          <w:highlight w:val="none"/>
        </w:rPr>
        <w:t>电子签章遮挡重要、关键信</w:t>
      </w:r>
      <w:r>
        <w:rPr>
          <w:rFonts w:hint="eastAsia" w:ascii="宋体" w:hAnsi="宋体" w:eastAsia="宋体" w:cs="宋体"/>
          <w:b/>
          <w:bCs/>
          <w:spacing w:val="-6"/>
          <w:sz w:val="24"/>
          <w:szCs w:val="24"/>
          <w:highlight w:val="none"/>
        </w:rPr>
        <w:t>息导致评标委员会作出对投标人不利评审</w:t>
      </w:r>
      <w:r>
        <w:rPr>
          <w:rFonts w:hint="eastAsia" w:ascii="宋体" w:hAnsi="宋体" w:eastAsia="宋体" w:cs="宋体"/>
          <w:b/>
          <w:bCs/>
          <w:spacing w:val="-4"/>
          <w:sz w:val="24"/>
          <w:szCs w:val="24"/>
          <w:highlight w:val="none"/>
        </w:rPr>
        <w:t>的，后果由</w:t>
      </w:r>
      <w:r>
        <w:rPr>
          <w:rFonts w:hint="eastAsia" w:ascii="宋体" w:hAnsi="宋体" w:eastAsia="宋体" w:cs="宋体"/>
          <w:b/>
          <w:bCs/>
          <w:spacing w:val="-4"/>
          <w:sz w:val="24"/>
          <w:szCs w:val="24"/>
          <w:highlight w:val="none"/>
          <w:lang w:eastAsia="zh-CN"/>
        </w:rPr>
        <w:t>竟</w:t>
      </w:r>
      <w:r>
        <w:rPr>
          <w:rFonts w:hint="eastAsia" w:ascii="宋体" w:hAnsi="宋体" w:eastAsia="宋体" w:cs="宋体"/>
          <w:b/>
          <w:bCs/>
          <w:spacing w:val="-4"/>
          <w:sz w:val="24"/>
          <w:szCs w:val="24"/>
          <w:highlight w:val="none"/>
        </w:rPr>
        <w:t>标人负责。</w:t>
      </w:r>
    </w:p>
    <w:p w14:paraId="75745C7F">
      <w:pPr>
        <w:pageBreakBefore w:val="0"/>
        <w:widowControl w:val="0"/>
        <w:kinsoku/>
        <w:wordWrap w:val="0"/>
        <w:overflowPunct/>
        <w:topLinePunct w:val="0"/>
        <w:bidi w:val="0"/>
        <w:spacing w:before="34" w:line="310" w:lineRule="auto"/>
        <w:ind w:right="80" w:firstLine="492"/>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（四）</w:t>
      </w:r>
      <w:r>
        <w:rPr>
          <w:rFonts w:hint="eastAsia" w:ascii="宋体" w:hAnsi="宋体" w:eastAsia="宋体" w:cs="宋体"/>
          <w:b/>
          <w:bCs/>
          <w:spacing w:val="-4"/>
          <w:sz w:val="24"/>
          <w:szCs w:val="24"/>
          <w:highlight w:val="none"/>
          <w:lang w:eastAsia="zh-CN"/>
        </w:rPr>
        <w:t>竟</w:t>
      </w:r>
      <w:r>
        <w:rPr>
          <w:rFonts w:hint="eastAsia" w:ascii="宋体" w:hAnsi="宋体" w:eastAsia="宋体" w:cs="宋体"/>
          <w:b/>
          <w:bCs/>
          <w:spacing w:val="-2"/>
          <w:sz w:val="24"/>
          <w:szCs w:val="24"/>
          <w:highlight w:val="none"/>
        </w:rPr>
        <w:t>标人应准确设置评审关联点。未设置或设置错误导致投</w:t>
      </w:r>
      <w:r>
        <w:rPr>
          <w:rFonts w:hint="eastAsia" w:ascii="宋体" w:hAnsi="宋体" w:eastAsia="宋体" w:cs="宋体"/>
          <w:b/>
          <w:bCs/>
          <w:spacing w:val="-3"/>
          <w:sz w:val="24"/>
          <w:szCs w:val="24"/>
          <w:highlight w:val="none"/>
        </w:rPr>
        <w:t>标文件被误读、漏读或者查找不到相关内容的，是</w:t>
      </w:r>
      <w:r>
        <w:rPr>
          <w:rFonts w:hint="eastAsia" w:ascii="宋体" w:hAnsi="宋体" w:eastAsia="宋体" w:cs="宋体"/>
          <w:b/>
          <w:bCs/>
          <w:spacing w:val="-4"/>
          <w:sz w:val="24"/>
          <w:szCs w:val="24"/>
          <w:highlight w:val="none"/>
          <w:lang w:eastAsia="zh-CN"/>
        </w:rPr>
        <w:t>竟</w:t>
      </w:r>
      <w:r>
        <w:rPr>
          <w:rFonts w:hint="eastAsia" w:ascii="宋体" w:hAnsi="宋体" w:eastAsia="宋体" w:cs="宋体"/>
          <w:b/>
          <w:bCs/>
          <w:spacing w:val="-3"/>
          <w:sz w:val="24"/>
          <w:szCs w:val="24"/>
          <w:highlight w:val="none"/>
        </w:rPr>
        <w:t>标人的责任。</w:t>
      </w:r>
    </w:p>
    <w:p w14:paraId="19B7ED5E">
      <w:pPr>
        <w:pageBreakBefore w:val="0"/>
        <w:widowControl w:val="0"/>
        <w:kinsoku/>
        <w:wordWrap w:val="0"/>
        <w:overflowPunct/>
        <w:topLinePunct w:val="0"/>
        <w:bidi w:val="0"/>
        <w:spacing w:before="35" w:line="271" w:lineRule="auto"/>
        <w:ind w:left="1" w:right="113" w:firstLine="490"/>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（五）</w:t>
      </w:r>
      <w:r>
        <w:rPr>
          <w:rFonts w:hint="eastAsia" w:ascii="宋体" w:hAnsi="宋体" w:eastAsia="宋体" w:cs="宋体"/>
          <w:b w:val="0"/>
          <w:bCs w:val="0"/>
          <w:spacing w:val="-4"/>
          <w:sz w:val="24"/>
          <w:szCs w:val="24"/>
          <w:highlight w:val="none"/>
          <w:lang w:eastAsia="zh-CN"/>
        </w:rPr>
        <w:t>竟</w:t>
      </w:r>
      <w:r>
        <w:rPr>
          <w:rFonts w:hint="eastAsia" w:ascii="宋体" w:hAnsi="宋体" w:eastAsia="宋体" w:cs="宋体"/>
          <w:spacing w:val="-1"/>
          <w:sz w:val="24"/>
          <w:szCs w:val="24"/>
          <w:highlight w:val="none"/>
        </w:rPr>
        <w:t>标文件所提供的相关材料的尺寸和清晰度应该能够在电脑上被阅读、识别</w:t>
      </w:r>
      <w:r>
        <w:rPr>
          <w:rFonts w:hint="eastAsia" w:ascii="宋体" w:hAnsi="宋体" w:eastAsia="宋体" w:cs="宋体"/>
          <w:spacing w:val="-3"/>
          <w:sz w:val="24"/>
          <w:szCs w:val="24"/>
          <w:highlight w:val="none"/>
        </w:rPr>
        <w:t>和判断。</w:t>
      </w:r>
    </w:p>
    <w:p w14:paraId="7E70E8FD">
      <w:pPr>
        <w:pageBreakBefore w:val="0"/>
        <w:widowControl w:val="0"/>
        <w:kinsoku/>
        <w:wordWrap w:val="0"/>
        <w:overflowPunct/>
        <w:topLinePunct w:val="0"/>
        <w:bidi w:val="0"/>
        <w:spacing w:before="135" w:line="219" w:lineRule="auto"/>
        <w:ind w:left="492"/>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（六）</w:t>
      </w:r>
      <w:r>
        <w:rPr>
          <w:rFonts w:hint="eastAsia" w:ascii="宋体" w:hAnsi="宋体" w:eastAsia="宋体" w:cs="宋体"/>
          <w:b w:val="0"/>
          <w:bCs w:val="0"/>
          <w:spacing w:val="-4"/>
          <w:sz w:val="24"/>
          <w:szCs w:val="24"/>
          <w:highlight w:val="none"/>
          <w:lang w:eastAsia="zh-CN"/>
        </w:rPr>
        <w:t>竟</w:t>
      </w:r>
      <w:r>
        <w:rPr>
          <w:rFonts w:hint="eastAsia" w:ascii="宋体" w:hAnsi="宋体" w:eastAsia="宋体" w:cs="宋体"/>
          <w:spacing w:val="-1"/>
          <w:sz w:val="24"/>
          <w:szCs w:val="24"/>
          <w:highlight w:val="none"/>
        </w:rPr>
        <w:t>标文件内容无法阅读、识别和判断的，视为未提供。</w:t>
      </w:r>
    </w:p>
    <w:p w14:paraId="0B19C41F">
      <w:pPr>
        <w:pageBreakBefore w:val="0"/>
        <w:widowControl w:val="0"/>
        <w:kinsoku/>
        <w:wordWrap w:val="0"/>
        <w:overflowPunct/>
        <w:topLinePunct w:val="0"/>
        <w:bidi w:val="0"/>
        <w:spacing w:before="135" w:line="219" w:lineRule="auto"/>
        <w:ind w:left="492"/>
        <w:outlineLvl w:val="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（七）</w:t>
      </w:r>
      <w:r>
        <w:rPr>
          <w:rFonts w:hint="eastAsia" w:ascii="宋体" w:hAnsi="宋体" w:eastAsia="宋体" w:cs="宋体"/>
          <w:b w:val="0"/>
          <w:bCs w:val="0"/>
          <w:spacing w:val="-4"/>
          <w:sz w:val="24"/>
          <w:szCs w:val="24"/>
          <w:highlight w:val="none"/>
          <w:lang w:eastAsia="zh-CN"/>
        </w:rPr>
        <w:t>竟</w:t>
      </w:r>
      <w:r>
        <w:rPr>
          <w:rFonts w:hint="eastAsia" w:ascii="宋体" w:hAnsi="宋体" w:eastAsia="宋体" w:cs="宋体"/>
          <w:spacing w:val="-1"/>
          <w:sz w:val="24"/>
          <w:szCs w:val="24"/>
          <w:highlight w:val="none"/>
        </w:rPr>
        <w:t>标文件的容量大小须符合</w:t>
      </w:r>
      <w:r>
        <w:rPr>
          <w:rFonts w:hint="eastAsia" w:ascii="宋体" w:hAnsi="宋体" w:eastAsia="宋体" w:cs="宋体"/>
          <w:spacing w:val="-1"/>
          <w:sz w:val="24"/>
          <w:szCs w:val="24"/>
          <w:highlight w:val="none"/>
          <w:lang w:eastAsia="zh-CN"/>
        </w:rPr>
        <w:t>广西</w:t>
      </w:r>
      <w:r>
        <w:rPr>
          <w:rFonts w:hint="eastAsia" w:ascii="宋体" w:hAnsi="宋体" w:eastAsia="宋体" w:cs="宋体"/>
          <w:spacing w:val="-1"/>
          <w:sz w:val="24"/>
          <w:szCs w:val="24"/>
          <w:highlight w:val="none"/>
        </w:rPr>
        <w:t>政采云平台规定。</w:t>
      </w:r>
    </w:p>
    <w:p w14:paraId="677304D4">
      <w:pPr>
        <w:pageBreakBefore w:val="0"/>
        <w:widowControl w:val="0"/>
        <w:kinsoku/>
        <w:wordWrap w:val="0"/>
        <w:overflowPunct/>
        <w:topLinePunct w:val="0"/>
        <w:bidi w:val="0"/>
        <w:spacing w:before="135" w:line="310" w:lineRule="auto"/>
        <w:ind w:left="29" w:right="80" w:firstLine="455"/>
        <w:outlineLvl w:val="9"/>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五、</w:t>
      </w:r>
      <w:r>
        <w:rPr>
          <w:rFonts w:hint="eastAsia" w:ascii="宋体" w:hAnsi="宋体" w:eastAsia="宋体" w:cs="宋体"/>
          <w:b/>
          <w:bCs/>
          <w:spacing w:val="-2"/>
          <w:sz w:val="24"/>
          <w:szCs w:val="24"/>
          <w:highlight w:val="none"/>
          <w:lang w:eastAsia="zh-CN"/>
        </w:rPr>
        <w:t>竟</w:t>
      </w:r>
      <w:r>
        <w:rPr>
          <w:rFonts w:hint="eastAsia" w:ascii="宋体" w:hAnsi="宋体" w:eastAsia="宋体" w:cs="宋体"/>
          <w:b/>
          <w:bCs/>
          <w:spacing w:val="-2"/>
          <w:sz w:val="24"/>
          <w:szCs w:val="24"/>
          <w:highlight w:val="none"/>
        </w:rPr>
        <w:t>标人在使用</w:t>
      </w:r>
      <w:r>
        <w:rPr>
          <w:rFonts w:hint="eastAsia" w:ascii="宋体" w:hAnsi="宋体" w:eastAsia="宋体" w:cs="宋体"/>
          <w:b/>
          <w:bCs/>
          <w:spacing w:val="-2"/>
          <w:sz w:val="24"/>
          <w:szCs w:val="24"/>
          <w:highlight w:val="none"/>
          <w:lang w:eastAsia="zh-CN"/>
        </w:rPr>
        <w:t>广西</w:t>
      </w:r>
      <w:r>
        <w:rPr>
          <w:rFonts w:hint="eastAsia" w:ascii="宋体" w:hAnsi="宋体" w:eastAsia="宋体" w:cs="宋体"/>
          <w:b/>
          <w:bCs/>
          <w:spacing w:val="-2"/>
          <w:sz w:val="24"/>
          <w:szCs w:val="24"/>
          <w:highlight w:val="none"/>
        </w:rPr>
        <w:t>政采云平台进行</w:t>
      </w:r>
      <w:r>
        <w:rPr>
          <w:rFonts w:hint="eastAsia" w:ascii="宋体" w:hAnsi="宋体" w:eastAsia="宋体" w:cs="宋体"/>
          <w:b/>
          <w:bCs/>
          <w:spacing w:val="-2"/>
          <w:sz w:val="24"/>
          <w:szCs w:val="24"/>
          <w:highlight w:val="none"/>
          <w:lang w:eastAsia="zh-CN"/>
        </w:rPr>
        <w:t>竟</w:t>
      </w:r>
      <w:r>
        <w:rPr>
          <w:rFonts w:hint="eastAsia" w:ascii="宋体" w:hAnsi="宋体" w:eastAsia="宋体" w:cs="宋体"/>
          <w:b/>
          <w:bCs/>
          <w:spacing w:val="-2"/>
          <w:sz w:val="24"/>
          <w:szCs w:val="24"/>
          <w:highlight w:val="none"/>
        </w:rPr>
        <w:t>标过程中遇到涉及平台使用的任何问题，可致</w:t>
      </w:r>
      <w:r>
        <w:rPr>
          <w:rFonts w:hint="eastAsia" w:ascii="宋体" w:hAnsi="宋体" w:eastAsia="宋体" w:cs="宋体"/>
          <w:sz w:val="24"/>
          <w:szCs w:val="24"/>
          <w:highlight w:val="none"/>
        </w:rPr>
        <w:t xml:space="preserve"> </w:t>
      </w:r>
      <w:r>
        <w:rPr>
          <w:rFonts w:hint="eastAsia" w:ascii="宋体" w:hAnsi="宋体" w:eastAsia="宋体" w:cs="宋体"/>
          <w:b/>
          <w:bCs/>
          <w:spacing w:val="-4"/>
          <w:sz w:val="24"/>
          <w:szCs w:val="24"/>
          <w:highlight w:val="none"/>
        </w:rPr>
        <w:t>电平台技术支持热线咨询，联系方式：95763。</w:t>
      </w:r>
    </w:p>
    <w:p w14:paraId="747F3262">
      <w:pPr>
        <w:pageBreakBefore w:val="0"/>
        <w:widowControl w:val="0"/>
        <w:kinsoku/>
        <w:wordWrap w:val="0"/>
        <w:overflowPunct/>
        <w:topLinePunct w:val="0"/>
        <w:bidi w:val="0"/>
        <w:spacing w:before="35" w:line="219" w:lineRule="auto"/>
        <w:ind w:left="482"/>
        <w:outlineLvl w:val="9"/>
        <w:rPr>
          <w:rFonts w:hint="eastAsia" w:ascii="宋体" w:hAnsi="宋体" w:eastAsia="宋体" w:cs="宋体"/>
          <w:sz w:val="24"/>
          <w:szCs w:val="24"/>
          <w:highlight w:val="none"/>
        </w:rPr>
      </w:pPr>
      <w:bookmarkStart w:id="117" w:name="_Toc26296"/>
      <w:r>
        <w:rPr>
          <w:rFonts w:hint="eastAsia" w:ascii="宋体" w:hAnsi="宋体" w:eastAsia="宋体" w:cs="宋体"/>
          <w:b/>
          <w:bCs/>
          <w:spacing w:val="-4"/>
          <w:sz w:val="24"/>
          <w:szCs w:val="24"/>
          <w:highlight w:val="none"/>
        </w:rPr>
        <w:t>六、特别说明</w:t>
      </w:r>
      <w:bookmarkEnd w:id="117"/>
    </w:p>
    <w:p w14:paraId="669B4DD0">
      <w:pPr>
        <w:pageBreakBefore w:val="0"/>
        <w:widowControl w:val="0"/>
        <w:kinsoku/>
        <w:wordWrap w:val="0"/>
        <w:overflowPunct/>
        <w:topLinePunct w:val="0"/>
        <w:bidi w:val="0"/>
        <w:spacing w:before="134" w:line="219" w:lineRule="auto"/>
        <w:ind w:firstLine="462" w:firstLineChars="200"/>
        <w:jc w:val="both"/>
        <w:outlineLvl w:val="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（一）</w:t>
      </w:r>
      <w:r>
        <w:rPr>
          <w:rFonts w:hint="eastAsia" w:ascii="宋体" w:hAnsi="宋体" w:eastAsia="宋体" w:cs="宋体"/>
          <w:b/>
          <w:bCs/>
          <w:spacing w:val="-5"/>
          <w:sz w:val="24"/>
          <w:szCs w:val="24"/>
          <w:highlight w:val="none"/>
          <w:lang w:eastAsia="zh-CN"/>
        </w:rPr>
        <w:t>竟</w:t>
      </w:r>
      <w:r>
        <w:rPr>
          <w:rFonts w:hint="eastAsia" w:ascii="宋体" w:hAnsi="宋体" w:eastAsia="宋体" w:cs="宋体"/>
          <w:b/>
          <w:bCs/>
          <w:spacing w:val="-5"/>
          <w:sz w:val="24"/>
          <w:szCs w:val="24"/>
          <w:highlight w:val="none"/>
        </w:rPr>
        <w:t>标文件中须加盖公章部分均采用</w:t>
      </w:r>
      <w:r>
        <w:rPr>
          <w:rFonts w:hint="eastAsia" w:ascii="宋体" w:hAnsi="宋体" w:eastAsia="宋体" w:cs="宋体"/>
          <w:b/>
          <w:bCs/>
          <w:spacing w:val="-5"/>
          <w:sz w:val="24"/>
          <w:szCs w:val="24"/>
          <w:highlight w:val="none"/>
          <w:lang w:eastAsia="zh-CN"/>
        </w:rPr>
        <w:t>竟</w:t>
      </w:r>
      <w:r>
        <w:rPr>
          <w:rFonts w:hint="eastAsia" w:ascii="宋体" w:hAnsi="宋体" w:eastAsia="宋体" w:cs="宋体"/>
          <w:b/>
          <w:bCs/>
          <w:spacing w:val="-5"/>
          <w:sz w:val="24"/>
          <w:szCs w:val="24"/>
          <w:highlight w:val="none"/>
        </w:rPr>
        <w:t>标人</w:t>
      </w:r>
      <w:r>
        <w:rPr>
          <w:rFonts w:hint="eastAsia" w:ascii="宋体" w:hAnsi="宋体" w:eastAsia="宋体" w:cs="宋体"/>
          <w:spacing w:val="-34"/>
          <w:sz w:val="24"/>
          <w:szCs w:val="24"/>
          <w:highlight w:val="none"/>
        </w:rPr>
        <w:t xml:space="preserve"> </w:t>
      </w:r>
      <w:r>
        <w:rPr>
          <w:rFonts w:hint="eastAsia" w:ascii="宋体" w:hAnsi="宋体" w:eastAsia="宋体" w:cs="宋体"/>
          <w:b/>
          <w:bCs/>
          <w:spacing w:val="-5"/>
          <w:sz w:val="24"/>
          <w:szCs w:val="24"/>
          <w:highlight w:val="none"/>
        </w:rPr>
        <w:t>CA</w:t>
      </w:r>
      <w:r>
        <w:rPr>
          <w:rFonts w:hint="eastAsia" w:ascii="宋体" w:hAnsi="宋体" w:eastAsia="宋体" w:cs="宋体"/>
          <w:spacing w:val="-23"/>
          <w:sz w:val="24"/>
          <w:szCs w:val="24"/>
          <w:highlight w:val="none"/>
        </w:rPr>
        <w:t xml:space="preserve"> </w:t>
      </w:r>
      <w:r>
        <w:rPr>
          <w:rFonts w:hint="eastAsia" w:ascii="宋体" w:hAnsi="宋体" w:eastAsia="宋体" w:cs="宋体"/>
          <w:b/>
          <w:bCs/>
          <w:spacing w:val="-5"/>
          <w:sz w:val="24"/>
          <w:szCs w:val="24"/>
          <w:highlight w:val="none"/>
        </w:rPr>
        <w:t>电子签章，否则视为</w:t>
      </w:r>
      <w:r>
        <w:rPr>
          <w:rFonts w:hint="eastAsia" w:ascii="宋体" w:hAnsi="宋体" w:eastAsia="宋体" w:cs="宋体"/>
          <w:b/>
          <w:bCs/>
          <w:spacing w:val="-5"/>
          <w:sz w:val="24"/>
          <w:szCs w:val="24"/>
          <w:highlight w:val="none"/>
          <w:lang w:eastAsia="zh-CN"/>
        </w:rPr>
        <w:t>竟</w:t>
      </w:r>
      <w:r>
        <w:rPr>
          <w:rFonts w:hint="eastAsia" w:ascii="宋体" w:hAnsi="宋体" w:eastAsia="宋体" w:cs="宋体"/>
          <w:b/>
          <w:bCs/>
          <w:spacing w:val="-5"/>
          <w:sz w:val="24"/>
          <w:szCs w:val="24"/>
          <w:highlight w:val="none"/>
        </w:rPr>
        <w:t>标无效。</w:t>
      </w:r>
    </w:p>
    <w:p w14:paraId="33559BAA">
      <w:pPr>
        <w:pageBreakBefore w:val="0"/>
        <w:widowControl w:val="0"/>
        <w:kinsoku/>
        <w:wordWrap w:val="0"/>
        <w:overflowPunct/>
        <w:topLinePunct w:val="0"/>
        <w:bidi w:val="0"/>
        <w:spacing w:before="136" w:line="314" w:lineRule="auto"/>
        <w:ind w:left="1" w:right="80" w:firstLine="490"/>
        <w:outlineLvl w:val="9"/>
        <w:rPr>
          <w:rFonts w:hint="eastAsia" w:ascii="宋体" w:hAnsi="宋体" w:eastAsia="宋体" w:cs="宋体"/>
          <w:b/>
          <w:bCs/>
          <w:spacing w:val="-2"/>
          <w:sz w:val="24"/>
          <w:szCs w:val="24"/>
          <w:highlight w:val="none"/>
        </w:rPr>
        <w:sectPr>
          <w:footerReference r:id="rId9" w:type="first"/>
          <w:headerReference r:id="rId7" w:type="default"/>
          <w:footerReference r:id="rId8" w:type="default"/>
          <w:pgSz w:w="11911" w:h="16838"/>
          <w:pgMar w:top="1440" w:right="1080" w:bottom="1440" w:left="1080" w:header="720" w:footer="720" w:gutter="0"/>
          <w:pgNumType w:fmt="decimal"/>
          <w:cols w:space="0" w:num="1"/>
        </w:sectPr>
      </w:pPr>
      <w:r>
        <w:rPr>
          <w:rFonts w:hint="eastAsia" w:ascii="宋体" w:hAnsi="宋体" w:eastAsia="宋体" w:cs="宋体"/>
          <w:b/>
          <w:bCs/>
          <w:spacing w:val="-2"/>
          <w:sz w:val="24"/>
          <w:szCs w:val="24"/>
          <w:highlight w:val="none"/>
        </w:rPr>
        <w:t>（二）</w:t>
      </w:r>
      <w:r>
        <w:rPr>
          <w:rFonts w:hint="eastAsia" w:ascii="宋体" w:hAnsi="宋体" w:eastAsia="宋体" w:cs="宋体"/>
          <w:b/>
          <w:bCs/>
          <w:spacing w:val="-2"/>
          <w:sz w:val="24"/>
          <w:szCs w:val="24"/>
          <w:highlight w:val="none"/>
          <w:lang w:eastAsia="zh-CN"/>
        </w:rPr>
        <w:t>谈判</w:t>
      </w:r>
      <w:r>
        <w:rPr>
          <w:rFonts w:hint="eastAsia" w:ascii="宋体" w:hAnsi="宋体" w:eastAsia="宋体" w:cs="宋体"/>
          <w:b/>
          <w:bCs/>
          <w:spacing w:val="-2"/>
          <w:sz w:val="24"/>
          <w:szCs w:val="24"/>
          <w:highlight w:val="none"/>
        </w:rPr>
        <w:t>文件中规定须由法定代表人或授权委托代理</w:t>
      </w:r>
      <w:r>
        <w:rPr>
          <w:rFonts w:hint="eastAsia" w:ascii="宋体" w:hAnsi="宋体" w:eastAsia="宋体" w:cs="宋体"/>
          <w:b/>
          <w:bCs/>
          <w:spacing w:val="-3"/>
          <w:sz w:val="24"/>
          <w:szCs w:val="24"/>
          <w:highlight w:val="none"/>
        </w:rPr>
        <w:t>人签字的内容，如果</w:t>
      </w:r>
      <w:r>
        <w:rPr>
          <w:rFonts w:hint="eastAsia" w:ascii="宋体" w:hAnsi="宋体" w:eastAsia="宋体" w:cs="宋体"/>
          <w:b/>
          <w:bCs/>
          <w:spacing w:val="-3"/>
          <w:sz w:val="24"/>
          <w:szCs w:val="24"/>
          <w:highlight w:val="none"/>
          <w:lang w:eastAsia="zh-CN"/>
        </w:rPr>
        <w:t>竟</w:t>
      </w:r>
      <w:r>
        <w:rPr>
          <w:rFonts w:hint="eastAsia" w:ascii="宋体" w:hAnsi="宋体" w:eastAsia="宋体" w:cs="宋体"/>
          <w:b/>
          <w:bCs/>
          <w:spacing w:val="-2"/>
          <w:sz w:val="24"/>
          <w:szCs w:val="24"/>
          <w:highlight w:val="none"/>
        </w:rPr>
        <w:t>标人没有法定代表人或授权委托代理人电子签章，涉及到法定代表人或其授权委托代理人签字或盖章的内容，</w:t>
      </w:r>
      <w:r>
        <w:rPr>
          <w:rFonts w:hint="eastAsia" w:ascii="宋体" w:hAnsi="宋体" w:eastAsia="宋体" w:cs="宋体"/>
          <w:b/>
          <w:bCs/>
          <w:spacing w:val="-2"/>
          <w:sz w:val="24"/>
          <w:szCs w:val="24"/>
          <w:highlight w:val="none"/>
          <w:lang w:eastAsia="zh-CN"/>
        </w:rPr>
        <w:t>竟</w:t>
      </w:r>
      <w:r>
        <w:rPr>
          <w:rFonts w:hint="eastAsia" w:ascii="宋体" w:hAnsi="宋体" w:eastAsia="宋体" w:cs="宋体"/>
          <w:b/>
          <w:bCs/>
          <w:spacing w:val="-2"/>
          <w:sz w:val="24"/>
          <w:szCs w:val="24"/>
          <w:highlight w:val="none"/>
        </w:rPr>
        <w:t>标人可以线下签字或盖章后扫描上传，否则视为</w:t>
      </w:r>
      <w:r>
        <w:rPr>
          <w:rFonts w:hint="eastAsia" w:ascii="宋体" w:hAnsi="宋体" w:eastAsia="宋体" w:cs="宋体"/>
          <w:b/>
          <w:bCs/>
          <w:spacing w:val="-2"/>
          <w:sz w:val="24"/>
          <w:szCs w:val="24"/>
          <w:highlight w:val="none"/>
          <w:lang w:eastAsia="zh-CN"/>
        </w:rPr>
        <w:t>竟</w:t>
      </w:r>
      <w:r>
        <w:rPr>
          <w:rFonts w:hint="eastAsia" w:ascii="宋体" w:hAnsi="宋体" w:eastAsia="宋体" w:cs="宋体"/>
          <w:b/>
          <w:bCs/>
          <w:spacing w:val="-2"/>
          <w:sz w:val="24"/>
          <w:szCs w:val="24"/>
          <w:highlight w:val="none"/>
        </w:rPr>
        <w:t>标无效。</w:t>
      </w:r>
    </w:p>
    <w:p w14:paraId="38B9C231">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2.资格证明文件目录</w:t>
      </w:r>
    </w:p>
    <w:p w14:paraId="76F3ABF5">
      <w:pPr>
        <w:pageBreakBefore w:val="0"/>
        <w:widowControl w:val="0"/>
        <w:kinsoku/>
        <w:wordWrap w:val="0"/>
        <w:overflowPunct/>
        <w:topLinePunct w:val="0"/>
        <w:bidi w:val="0"/>
        <w:snapToGrid w:val="0"/>
        <w:spacing w:beforeLines="50" w:after="50" w:line="360" w:lineRule="auto"/>
        <w:ind w:firstLine="645"/>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14:paraId="380260AE">
      <w:pPr>
        <w:pageBreakBefore w:val="0"/>
        <w:widowControl w:val="0"/>
        <w:kinsoku/>
        <w:wordWrap w:val="0"/>
        <w:overflowPunct/>
        <w:topLinePunct w:val="0"/>
        <w:bidi w:val="0"/>
        <w:snapToGrid w:val="0"/>
        <w:spacing w:beforeLines="50" w:after="50" w:line="360" w:lineRule="auto"/>
        <w:outlineLvl w:val="9"/>
        <w:rPr>
          <w:rFonts w:hint="eastAsia" w:ascii="宋体" w:hAnsi="宋体" w:eastAsia="宋体" w:cs="宋体"/>
          <w:color w:val="auto"/>
          <w:sz w:val="24"/>
          <w:szCs w:val="20"/>
          <w:highlight w:val="none"/>
        </w:rPr>
      </w:pPr>
    </w:p>
    <w:p w14:paraId="7E14C579">
      <w:pPr>
        <w:pageBreakBefore w:val="0"/>
        <w:widowControl w:val="0"/>
        <w:kinsoku/>
        <w:wordWrap w:val="0"/>
        <w:overflowPunct/>
        <w:topLinePunct w:val="0"/>
        <w:bidi w:val="0"/>
        <w:spacing w:line="360" w:lineRule="auto"/>
        <w:outlineLvl w:val="9"/>
        <w:rPr>
          <w:rFonts w:hint="eastAsia" w:ascii="宋体" w:hAnsi="宋体" w:eastAsia="宋体" w:cs="宋体"/>
          <w:color w:val="auto"/>
          <w:szCs w:val="21"/>
          <w:highlight w:val="none"/>
        </w:rPr>
      </w:pPr>
    </w:p>
    <w:p w14:paraId="559EC9E7">
      <w:pPr>
        <w:pageBreakBefore w:val="0"/>
        <w:widowControl w:val="0"/>
        <w:kinsoku/>
        <w:wordWrap w:val="0"/>
        <w:overflowPunct/>
        <w:topLinePunct w:val="0"/>
        <w:bidi w:val="0"/>
        <w:spacing w:line="360" w:lineRule="auto"/>
        <w:outlineLvl w:val="9"/>
        <w:rPr>
          <w:rFonts w:hint="eastAsia" w:ascii="宋体" w:hAnsi="宋体" w:eastAsia="宋体" w:cs="宋体"/>
          <w:color w:val="auto"/>
          <w:szCs w:val="21"/>
          <w:highlight w:val="none"/>
        </w:rPr>
      </w:pPr>
    </w:p>
    <w:p w14:paraId="57664441">
      <w:pPr>
        <w:pageBreakBefore w:val="0"/>
        <w:widowControl w:val="0"/>
        <w:kinsoku/>
        <w:wordWrap w:val="0"/>
        <w:overflowPunct/>
        <w:topLinePunct w:val="0"/>
        <w:bidi w:val="0"/>
        <w:spacing w:line="360" w:lineRule="auto"/>
        <w:outlineLvl w:val="9"/>
        <w:rPr>
          <w:rFonts w:hint="eastAsia" w:ascii="宋体" w:hAnsi="宋体" w:eastAsia="宋体" w:cs="宋体"/>
          <w:color w:val="auto"/>
          <w:szCs w:val="21"/>
          <w:highlight w:val="none"/>
        </w:rPr>
      </w:pPr>
    </w:p>
    <w:p w14:paraId="2569AA3E">
      <w:pPr>
        <w:pageBreakBefore w:val="0"/>
        <w:widowControl w:val="0"/>
        <w:kinsoku/>
        <w:wordWrap w:val="0"/>
        <w:overflowPunct/>
        <w:topLinePunct w:val="0"/>
        <w:bidi w:val="0"/>
        <w:spacing w:line="360" w:lineRule="auto"/>
        <w:outlineLvl w:val="9"/>
        <w:rPr>
          <w:rFonts w:hint="eastAsia" w:ascii="宋体" w:hAnsi="宋体" w:eastAsia="宋体" w:cs="宋体"/>
          <w:color w:val="auto"/>
          <w:szCs w:val="21"/>
          <w:highlight w:val="none"/>
        </w:rPr>
      </w:pPr>
    </w:p>
    <w:p w14:paraId="0A102DB2">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4B949511">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33E5A30E">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72C53E09">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2294F4BD">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38DBC2DA">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3BA6E871">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7904424C">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39722833">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304E05E4">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21A94E75">
      <w:pPr>
        <w:pageBreakBefore w:val="0"/>
        <w:widowControl w:val="0"/>
        <w:kinsoku/>
        <w:wordWrap w:val="0"/>
        <w:overflowPunct/>
        <w:topLinePunct w:val="0"/>
        <w:bidi w:val="0"/>
        <w:spacing w:line="300" w:lineRule="auto"/>
        <w:outlineLvl w:val="9"/>
        <w:rPr>
          <w:rFonts w:hint="eastAsia" w:ascii="宋体" w:hAnsi="宋体" w:eastAsia="宋体" w:cs="宋体"/>
          <w:color w:val="auto"/>
          <w:szCs w:val="21"/>
          <w:highlight w:val="none"/>
        </w:rPr>
      </w:pPr>
    </w:p>
    <w:p w14:paraId="16014C45">
      <w:pPr>
        <w:pageBreakBefore w:val="0"/>
        <w:widowControl w:val="0"/>
        <w:kinsoku/>
        <w:wordWrap w:val="0"/>
        <w:overflowPunct/>
        <w:topLinePunct w:val="0"/>
        <w:bidi w:val="0"/>
        <w:spacing w:line="320" w:lineRule="exact"/>
        <w:jc w:val="left"/>
        <w:outlineLvl w:val="9"/>
        <w:rPr>
          <w:rFonts w:hint="eastAsia" w:ascii="宋体" w:hAnsi="宋体" w:eastAsia="宋体" w:cs="宋体"/>
          <w:color w:val="auto"/>
          <w:szCs w:val="21"/>
          <w:highlight w:val="none"/>
        </w:rPr>
      </w:pPr>
    </w:p>
    <w:p w14:paraId="3B55C4F0">
      <w:pPr>
        <w:pageBreakBefore w:val="0"/>
        <w:widowControl w:val="0"/>
        <w:kinsoku/>
        <w:wordWrap w:val="0"/>
        <w:overflowPunct/>
        <w:topLinePunct w:val="0"/>
        <w:bidi w:val="0"/>
        <w:spacing w:line="360" w:lineRule="auto"/>
        <w:jc w:val="center"/>
        <w:outlineLvl w:val="9"/>
        <w:rPr>
          <w:rFonts w:hint="eastAsia" w:ascii="宋体" w:hAnsi="宋体" w:eastAsia="宋体" w:cs="宋体"/>
          <w:b/>
          <w:strike/>
          <w:dstrike w:val="0"/>
          <w:kern w:val="0"/>
          <w:sz w:val="30"/>
          <w:szCs w:val="30"/>
          <w:highlight w:val="none"/>
          <w:u w:val="none"/>
        </w:rPr>
      </w:pPr>
      <w:r>
        <w:rPr>
          <w:rFonts w:hint="eastAsia" w:ascii="宋体" w:hAnsi="宋体" w:eastAsia="宋体" w:cs="宋体"/>
          <w:b/>
          <w:color w:val="auto"/>
          <w:sz w:val="32"/>
          <w:szCs w:val="32"/>
          <w:highlight w:val="none"/>
        </w:rPr>
        <w:br w:type="page"/>
      </w:r>
      <w:bookmarkStart w:id="118" w:name="_Toc14293"/>
      <w:r>
        <w:rPr>
          <w:rFonts w:hint="eastAsia" w:ascii="宋体" w:hAnsi="宋体" w:eastAsia="宋体" w:cs="宋体"/>
          <w:b/>
          <w:strike w:val="0"/>
          <w:dstrike w:val="0"/>
          <w:kern w:val="0"/>
          <w:sz w:val="30"/>
          <w:szCs w:val="30"/>
          <w:highlight w:val="none"/>
          <w:u w:val="none"/>
        </w:rPr>
        <w:t>政府采购供应商资格信用承诺函</w:t>
      </w:r>
      <w:bookmarkEnd w:id="118"/>
    </w:p>
    <w:p w14:paraId="29280D1D">
      <w:pPr>
        <w:pageBreakBefore w:val="0"/>
        <w:widowControl w:val="0"/>
        <w:kinsoku/>
        <w:wordWrap w:val="0"/>
        <w:overflowPunct/>
        <w:topLinePunct w:val="0"/>
        <w:bidi w:val="0"/>
        <w:spacing w:line="300" w:lineRule="auto"/>
        <w:outlineLvl w:val="9"/>
        <w:rPr>
          <w:rFonts w:hint="eastAsia" w:ascii="宋体" w:hAnsi="宋体" w:eastAsia="宋体" w:cs="宋体"/>
          <w:strike/>
          <w:dstrike w:val="0"/>
          <w:szCs w:val="21"/>
          <w:highlight w:val="none"/>
          <w:u w:val="none"/>
        </w:rPr>
      </w:pPr>
    </w:p>
    <w:p w14:paraId="7AF43E8B">
      <w:pPr>
        <w:keepNext w:val="0"/>
        <w:keepLines w:val="0"/>
        <w:pageBreakBefore w:val="0"/>
        <w:widowControl w:val="0"/>
        <w:kinsoku/>
        <w:wordWrap w:val="0"/>
        <w:overflowPunct/>
        <w:topLinePunct w:val="0"/>
        <w:autoSpaceDE w:val="0"/>
        <w:autoSpaceDN w:val="0"/>
        <w:bidi w:val="0"/>
        <w:adjustRightInd w:val="0"/>
        <w:snapToGrid/>
        <w:spacing w:line="360" w:lineRule="auto"/>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致：</w:t>
      </w:r>
      <w:r>
        <w:rPr>
          <w:rFonts w:hint="eastAsia" w:ascii="宋体" w:hAnsi="宋体" w:eastAsia="宋体" w:cs="宋体"/>
          <w:spacing w:val="6"/>
          <w:sz w:val="24"/>
          <w:highlight w:val="none"/>
          <w:u w:val="single"/>
          <w:lang w:eastAsia="zh-CN"/>
        </w:rPr>
        <w:t>广西科技大学第一附属医院</w:t>
      </w:r>
      <w:r>
        <w:rPr>
          <w:rFonts w:hint="eastAsia" w:ascii="宋体" w:hAnsi="宋体" w:eastAsia="宋体" w:cs="宋体"/>
          <w:spacing w:val="6"/>
          <w:sz w:val="24"/>
          <w:highlight w:val="none"/>
          <w:u w:val="single"/>
        </w:rPr>
        <w:t>、广西国盛招标有限公司</w:t>
      </w:r>
      <w:r>
        <w:rPr>
          <w:rFonts w:hint="eastAsia" w:ascii="宋体" w:hAnsi="宋体" w:eastAsia="宋体" w:cs="宋体"/>
          <w:spacing w:val="6"/>
          <w:sz w:val="24"/>
          <w:highlight w:val="none"/>
        </w:rPr>
        <w:t>：</w:t>
      </w:r>
    </w:p>
    <w:p w14:paraId="7122EC10">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我方自愿参加</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项目（项目编号：</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 xml:space="preserve">）的政府采购活动，并郑重承诺我方符合《中华人民共和国政府采购法》第二十二条规定的条件： </w:t>
      </w:r>
    </w:p>
    <w:p w14:paraId="4D806DF6">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（一）具有独立承担民事责任的能力； </w:t>
      </w:r>
    </w:p>
    <w:p w14:paraId="5557811E">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（二）具有良好的商业信誉和健全的财务会计制度； </w:t>
      </w:r>
    </w:p>
    <w:p w14:paraId="3C3B8A9E">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（三）具有履行合同所必需的设备和专业技术能力； </w:t>
      </w:r>
    </w:p>
    <w:p w14:paraId="026C7BF0">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（四）有依法缴纳税收和社会保障资金的良好记录； </w:t>
      </w:r>
    </w:p>
    <w:p w14:paraId="6314C803">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（五）参加政府采购活动前三年内，在经营活动中没有重大违法记录； </w:t>
      </w:r>
    </w:p>
    <w:p w14:paraId="65D66A3D">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bookmarkStart w:id="119" w:name="_Toc17741"/>
      <w:r>
        <w:rPr>
          <w:rFonts w:hint="eastAsia" w:ascii="宋体" w:hAnsi="宋体" w:eastAsia="宋体" w:cs="宋体"/>
          <w:spacing w:val="6"/>
          <w:sz w:val="24"/>
          <w:highlight w:val="none"/>
        </w:rPr>
        <w:t>（六）法律、行政法规规定的其他条件。</w:t>
      </w:r>
      <w:bookmarkEnd w:id="119"/>
      <w:r>
        <w:rPr>
          <w:rFonts w:hint="eastAsia" w:ascii="宋体" w:hAnsi="宋体" w:eastAsia="宋体" w:cs="宋体"/>
          <w:spacing w:val="6"/>
          <w:sz w:val="24"/>
          <w:highlight w:val="none"/>
        </w:rPr>
        <w:t xml:space="preserve"> </w:t>
      </w:r>
    </w:p>
    <w:p w14:paraId="794FF7CD">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我方保证上述承诺事项的真实性，如有弄虚作假或其他违法违规行为，愿意承担一切法律责任，并承担因此所造成的一切损失。 </w:t>
      </w:r>
    </w:p>
    <w:p w14:paraId="4432CC30">
      <w:pPr>
        <w:keepNext w:val="0"/>
        <w:keepLines w:val="0"/>
        <w:pageBreakBefore w:val="0"/>
        <w:widowControl w:val="0"/>
        <w:kinsoku/>
        <w:wordWrap w:val="0"/>
        <w:overflowPunct/>
        <w:topLinePunct w:val="0"/>
        <w:autoSpaceDE w:val="0"/>
        <w:autoSpaceDN w:val="0"/>
        <w:bidi w:val="0"/>
        <w:adjustRightInd w:val="0"/>
        <w:snapToGrid/>
        <w:spacing w:line="360" w:lineRule="auto"/>
        <w:ind w:firstLine="640"/>
        <w:textAlignment w:val="auto"/>
        <w:outlineLvl w:val="9"/>
        <w:rPr>
          <w:rFonts w:hint="eastAsia" w:ascii="宋体" w:hAnsi="宋体" w:eastAsia="宋体" w:cs="宋体"/>
          <w:spacing w:val="6"/>
          <w:sz w:val="24"/>
          <w:highlight w:val="none"/>
        </w:rPr>
      </w:pPr>
      <w:r>
        <w:rPr>
          <w:rFonts w:hint="eastAsia" w:ascii="宋体" w:hAnsi="宋体" w:eastAsia="宋体" w:cs="宋体"/>
          <w:b/>
          <w:bCs/>
          <w:spacing w:val="6"/>
          <w:sz w:val="24"/>
          <w:highlight w:val="none"/>
        </w:rPr>
        <w:t>特此声明！</w:t>
      </w:r>
      <w:r>
        <w:rPr>
          <w:rFonts w:hint="eastAsia" w:ascii="宋体" w:hAnsi="宋体" w:eastAsia="宋体" w:cs="宋体"/>
          <w:spacing w:val="6"/>
          <w:sz w:val="24"/>
          <w:highlight w:val="none"/>
        </w:rPr>
        <w:t xml:space="preserve"> </w:t>
      </w:r>
    </w:p>
    <w:p w14:paraId="506E79E2">
      <w:pPr>
        <w:pStyle w:val="19"/>
        <w:pageBreakBefore w:val="0"/>
        <w:widowControl w:val="0"/>
        <w:tabs>
          <w:tab w:val="left" w:pos="0"/>
        </w:tabs>
        <w:kinsoku/>
        <w:wordWrap w:val="0"/>
        <w:overflowPunct/>
        <w:topLinePunct w:val="0"/>
        <w:bidi w:val="0"/>
        <w:spacing w:line="400" w:lineRule="exact"/>
        <w:ind w:firstLine="2772" w:firstLineChars="1100"/>
        <w:outlineLvl w:val="9"/>
        <w:rPr>
          <w:rFonts w:hint="default" w:ascii="宋体" w:hAnsi="宋体" w:eastAsia="宋体" w:cs="宋体"/>
          <w:spacing w:val="6"/>
          <w:sz w:val="24"/>
          <w:highlight w:val="none"/>
          <w:u w:val="single"/>
          <w:lang w:val="en-US" w:eastAsia="zh-CN"/>
        </w:rPr>
      </w:pPr>
      <w:r>
        <w:rPr>
          <w:rFonts w:hint="eastAsia" w:ascii="宋体" w:hAnsi="宋体" w:eastAsia="宋体" w:cs="宋体"/>
          <w:spacing w:val="6"/>
          <w:sz w:val="24"/>
          <w:highlight w:val="none"/>
        </w:rPr>
        <w:t>法定代表人或者委托代理人</w:t>
      </w:r>
      <w:r>
        <w:rPr>
          <w:rFonts w:hint="eastAsia" w:ascii="宋体" w:hAnsi="宋体" w:eastAsia="宋体" w:cs="宋体"/>
          <w:b/>
          <w:bCs/>
          <w:spacing w:val="6"/>
          <w:sz w:val="24"/>
          <w:highlight w:val="none"/>
        </w:rPr>
        <w:t>（签字或者电子签名）</w:t>
      </w:r>
      <w:r>
        <w:rPr>
          <w:rFonts w:hint="eastAsia" w:ascii="宋体" w:hAnsi="宋体" w:eastAsia="宋体" w:cs="宋体"/>
          <w:spacing w:val="6"/>
          <w:sz w:val="24"/>
          <w:highlight w:val="none"/>
        </w:rPr>
        <w:t>：</w:t>
      </w:r>
      <w:r>
        <w:rPr>
          <w:rFonts w:hint="eastAsia" w:ascii="宋体" w:hAnsi="宋体" w:eastAsia="宋体" w:cs="宋体"/>
          <w:spacing w:val="6"/>
          <w:sz w:val="24"/>
          <w:highlight w:val="none"/>
          <w:u w:val="single"/>
          <w:lang w:val="en-US" w:eastAsia="zh-CN"/>
        </w:rPr>
        <w:t xml:space="preserve">                          </w:t>
      </w:r>
    </w:p>
    <w:p w14:paraId="3CEE4BEA">
      <w:pPr>
        <w:pStyle w:val="14"/>
        <w:pageBreakBefore w:val="0"/>
        <w:widowControl w:val="0"/>
        <w:kinsoku/>
        <w:wordWrap w:val="0"/>
        <w:overflowPunct/>
        <w:topLinePunct w:val="0"/>
        <w:bidi w:val="0"/>
        <w:spacing w:line="400" w:lineRule="exact"/>
        <w:outlineLvl w:val="9"/>
        <w:rPr>
          <w:rFonts w:hint="eastAsia" w:ascii="宋体" w:hAnsi="宋体" w:eastAsia="宋体" w:cs="宋体"/>
          <w:b/>
          <w:bCs/>
          <w:sz w:val="24"/>
          <w:szCs w:val="24"/>
          <w:highlight w:val="none"/>
        </w:rPr>
      </w:pPr>
    </w:p>
    <w:p w14:paraId="6942142E">
      <w:pPr>
        <w:pStyle w:val="14"/>
        <w:keepNext w:val="0"/>
        <w:keepLines w:val="0"/>
        <w:pageBreakBefore w:val="0"/>
        <w:widowControl w:val="0"/>
        <w:kinsoku/>
        <w:wordWrap w:val="0"/>
        <w:overflowPunct/>
        <w:topLinePunct w:val="0"/>
        <w:autoSpaceDE/>
        <w:autoSpaceDN/>
        <w:bidi w:val="0"/>
        <w:adjustRightInd/>
        <w:snapToGrid w:val="0"/>
        <w:spacing w:line="360" w:lineRule="auto"/>
        <w:jc w:val="righ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竞标人</w:t>
      </w:r>
      <w:r>
        <w:rPr>
          <w:rFonts w:hint="eastAsia" w:ascii="宋体" w:hAnsi="宋体" w:eastAsia="宋体" w:cs="宋体"/>
          <w:color w:val="auto"/>
          <w:sz w:val="24"/>
          <w:szCs w:val="24"/>
          <w:highlight w:val="none"/>
        </w:rPr>
        <w:t>名称（</w:t>
      </w:r>
      <w:r>
        <w:rPr>
          <w:rFonts w:hint="eastAsia" w:ascii="宋体" w:hAnsi="宋体" w:eastAsia="宋体" w:cs="宋体"/>
          <w:b/>
          <w:bCs/>
          <w:color w:val="auto"/>
          <w:sz w:val="24"/>
          <w:szCs w:val="24"/>
          <w:highlight w:val="none"/>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D229CA3">
      <w:pPr>
        <w:pStyle w:val="14"/>
        <w:keepNext w:val="0"/>
        <w:keepLines w:val="0"/>
        <w:pageBreakBefore w:val="0"/>
        <w:widowControl w:val="0"/>
        <w:kinsoku/>
        <w:wordWrap w:val="0"/>
        <w:overflowPunct/>
        <w:topLinePunct w:val="0"/>
        <w:autoSpaceDE/>
        <w:autoSpaceDN/>
        <w:bidi w:val="0"/>
        <w:adjustRightInd/>
        <w:snapToGrid w:val="0"/>
        <w:spacing w:line="360" w:lineRule="auto"/>
        <w:jc w:val="right"/>
        <w:textAlignment w:val="auto"/>
        <w:outlineLvl w:val="9"/>
        <w:rPr>
          <w:rFonts w:hint="eastAsia" w:ascii="宋体" w:hAnsi="宋体" w:eastAsia="宋体" w:cs="宋体"/>
          <w:color w:val="auto"/>
          <w:sz w:val="24"/>
          <w:szCs w:val="24"/>
          <w:highlight w:val="none"/>
        </w:rPr>
        <w:sectPr>
          <w:pgSz w:w="11911" w:h="16838"/>
          <w:pgMar w:top="1440" w:right="1080" w:bottom="1440" w:left="1080" w:header="720" w:footer="720" w:gutter="0"/>
          <w:pgNumType w:fmt="decimal"/>
          <w:cols w:space="0" w:num="1"/>
        </w:sect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DAB4D8C">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color w:val="auto"/>
          <w:sz w:val="32"/>
          <w:szCs w:val="32"/>
          <w:highlight w:val="none"/>
        </w:rPr>
      </w:pPr>
      <w:bookmarkStart w:id="120" w:name="_Toc15784"/>
      <w:r>
        <w:rPr>
          <w:rFonts w:hint="eastAsia" w:ascii="宋体" w:hAnsi="宋体" w:eastAsia="宋体" w:cs="宋体"/>
          <w:b/>
          <w:color w:val="auto"/>
          <w:sz w:val="32"/>
          <w:szCs w:val="32"/>
          <w:highlight w:val="none"/>
        </w:rPr>
        <w:t>供应商直接控股、管理关系信息表</w:t>
      </w:r>
      <w:bookmarkEnd w:id="120"/>
    </w:p>
    <w:p w14:paraId="478B51EB">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color w:val="auto"/>
          <w:sz w:val="32"/>
          <w:szCs w:val="32"/>
          <w:highlight w:val="none"/>
        </w:rPr>
      </w:pPr>
    </w:p>
    <w:p w14:paraId="6C4A3EA1">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1BBCDC25">
      <w:pPr>
        <w:pageBreakBefore w:val="0"/>
        <w:widowControl w:val="0"/>
        <w:kinsoku/>
        <w:wordWrap w:val="0"/>
        <w:overflowPunct/>
        <w:topLinePunct w:val="0"/>
        <w:bidi w:val="0"/>
        <w:snapToGrid w:val="0"/>
        <w:spacing w:before="50" w:afterLines="50"/>
        <w:jc w:val="center"/>
        <w:outlineLvl w:val="9"/>
        <w:rPr>
          <w:rFonts w:hint="eastAsia" w:ascii="宋体" w:hAnsi="宋体" w:eastAsia="宋体" w:cs="宋体"/>
          <w:b/>
          <w:color w:val="auto"/>
          <w:sz w:val="32"/>
          <w:szCs w:val="32"/>
          <w:highlight w:val="none"/>
        </w:rPr>
      </w:pPr>
    </w:p>
    <w:tbl>
      <w:tblPr>
        <w:tblStyle w:val="20"/>
        <w:tblW w:w="10147" w:type="dxa"/>
        <w:jc w:val="center"/>
        <w:shd w:val="clear" w:color="auto" w:fill="FFFFFF" w:themeFill="background1"/>
        <w:tblLayout w:type="fixed"/>
        <w:tblCellMar>
          <w:top w:w="0" w:type="dxa"/>
          <w:left w:w="0" w:type="dxa"/>
          <w:bottom w:w="0" w:type="dxa"/>
          <w:right w:w="0" w:type="dxa"/>
        </w:tblCellMar>
      </w:tblPr>
      <w:tblGrid>
        <w:gridCol w:w="880"/>
        <w:gridCol w:w="2655"/>
        <w:gridCol w:w="1455"/>
        <w:gridCol w:w="4081"/>
        <w:gridCol w:w="1076"/>
      </w:tblGrid>
      <w:tr w14:paraId="2499DD94">
        <w:tblPrEx>
          <w:shd w:val="clear" w:color="auto" w:fill="FFFFFF" w:themeFill="background1"/>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BCF4F22">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9BA5AB4">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3E60666">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出资比例</w:t>
            </w:r>
          </w:p>
        </w:tc>
        <w:tc>
          <w:tcPr>
            <w:tcW w:w="408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4796343">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身份证号码或者统一社会信用代码</w:t>
            </w:r>
          </w:p>
        </w:tc>
        <w:tc>
          <w:tcPr>
            <w:tcW w:w="107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692FCB0">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459E8DDD">
        <w:tblPrEx>
          <w:shd w:val="clear" w:color="auto" w:fill="FFFFFF" w:themeFill="background1"/>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D9AABA3">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9999BF9">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ED6EFD5">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408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2B0ACCA">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0FE134A">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r w14:paraId="0594A9BA">
        <w:tblPrEx>
          <w:shd w:val="clear" w:color="auto" w:fill="FFFFFF" w:themeFill="background1"/>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1D081FB">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C18DD1C">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2566615">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408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7F18E91">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171FCFC">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r w14:paraId="24E08624">
        <w:tblPrEx>
          <w:shd w:val="clear" w:color="auto" w:fill="FFFFFF" w:themeFill="background1"/>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B2E1000">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44E3EB6">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A1805D5">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408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271ECF8">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4043485F">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r w14:paraId="0F194249">
        <w:tblPrEx>
          <w:shd w:val="clear" w:color="auto" w:fill="FFFFFF" w:themeFill="background1"/>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B513141">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31ADB70">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BD31678">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4081"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564AFD5">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076"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DFDAF27">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bl>
    <w:p w14:paraId="7776FA75">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B6312AC">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66F703">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0A31F5F2">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3.供应商不存在直接控股股东的，则在“直接控股股东名称”填“无”。</w:t>
      </w:r>
    </w:p>
    <w:p w14:paraId="3044216D">
      <w:pPr>
        <w:pageBreakBefore w:val="0"/>
        <w:widowControl w:val="0"/>
        <w:kinsoku/>
        <w:wordWrap w:val="0"/>
        <w:overflowPunct/>
        <w:topLinePunct w:val="0"/>
        <w:bidi w:val="0"/>
        <w:spacing w:line="360" w:lineRule="auto"/>
        <w:ind w:firstLine="420" w:firstLineChars="200"/>
        <w:contextualSpacing/>
        <w:jc w:val="left"/>
        <w:outlineLvl w:val="9"/>
        <w:rPr>
          <w:rFonts w:hint="eastAsia" w:ascii="宋体" w:hAnsi="宋体" w:eastAsia="宋体" w:cs="宋体"/>
          <w:color w:val="auto"/>
          <w:szCs w:val="21"/>
          <w:highlight w:val="none"/>
        </w:rPr>
      </w:pPr>
    </w:p>
    <w:p w14:paraId="26E7D603">
      <w:pPr>
        <w:pageBreakBefore w:val="0"/>
        <w:widowControl w:val="0"/>
        <w:kinsoku/>
        <w:wordWrap w:val="0"/>
        <w:overflowPunct/>
        <w:topLinePunct w:val="0"/>
        <w:bidi w:val="0"/>
        <w:spacing w:line="360" w:lineRule="auto"/>
        <w:ind w:firstLine="560" w:firstLineChars="200"/>
        <w:contextualSpacing/>
        <w:jc w:val="left"/>
        <w:outlineLvl w:val="9"/>
        <w:rPr>
          <w:rFonts w:hint="eastAsia" w:ascii="宋体" w:hAnsi="宋体" w:eastAsia="宋体" w:cs="宋体"/>
          <w:color w:val="auto"/>
          <w:sz w:val="28"/>
          <w:szCs w:val="28"/>
          <w:highlight w:val="none"/>
        </w:rPr>
      </w:pPr>
    </w:p>
    <w:p w14:paraId="6BF90BB3">
      <w:pPr>
        <w:pageBreakBefore w:val="0"/>
        <w:widowControl w:val="0"/>
        <w:kinsoku/>
        <w:wordWrap w:val="0"/>
        <w:overflowPunct/>
        <w:topLinePunct w:val="0"/>
        <w:bidi w:val="0"/>
        <w:spacing w:line="360" w:lineRule="auto"/>
        <w:ind w:right="480"/>
        <w:contextualSpacing/>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w:t>
      </w:r>
    </w:p>
    <w:p w14:paraId="09F72C04">
      <w:pPr>
        <w:pageBreakBefore w:val="0"/>
        <w:widowControl w:val="0"/>
        <w:kinsoku/>
        <w:wordWrap w:val="0"/>
        <w:overflowPunct/>
        <w:topLinePunct w:val="0"/>
        <w:bidi w:val="0"/>
        <w:spacing w:line="360" w:lineRule="auto"/>
        <w:ind w:right="480" w:firstLine="3360" w:firstLineChars="1400"/>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b/>
          <w:bCs/>
          <w:color w:val="auto"/>
          <w:sz w:val="24"/>
          <w:highlight w:val="none"/>
        </w:rPr>
        <w:t>（电子签章）</w:t>
      </w:r>
      <w:r>
        <w:rPr>
          <w:rFonts w:hint="eastAsia" w:ascii="宋体" w:hAnsi="宋体" w:eastAsia="宋体" w:cs="宋体"/>
          <w:color w:val="auto"/>
          <w:sz w:val="24"/>
          <w:highlight w:val="none"/>
        </w:rPr>
        <w:t>：</w:t>
      </w:r>
    </w:p>
    <w:p w14:paraId="41F99FFC">
      <w:pPr>
        <w:pageBreakBefore w:val="0"/>
        <w:widowControl w:val="0"/>
        <w:kinsoku/>
        <w:wordWrap w:val="0"/>
        <w:overflowPunct/>
        <w:topLinePunct w:val="0"/>
        <w:bidi w:val="0"/>
        <w:spacing w:line="360" w:lineRule="auto"/>
        <w:ind w:right="480" w:firstLine="5280" w:firstLineChars="2200"/>
        <w:contextualSpacing/>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14:paraId="77951932">
      <w:pPr>
        <w:pageBreakBefore w:val="0"/>
        <w:widowControl w:val="0"/>
        <w:kinsoku/>
        <w:wordWrap w:val="0"/>
        <w:overflowPunct/>
        <w:topLinePunct w:val="0"/>
        <w:bidi w:val="0"/>
        <w:snapToGrid w:val="0"/>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8CA4121">
      <w:pPr>
        <w:pageBreakBefore w:val="0"/>
        <w:widowControl w:val="0"/>
        <w:kinsoku/>
        <w:wordWrap w:val="0"/>
        <w:overflowPunct/>
        <w:topLinePunct w:val="0"/>
        <w:bidi w:val="0"/>
        <w:snapToGrid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1869B680">
      <w:pPr>
        <w:pageBreakBefore w:val="0"/>
        <w:widowControl w:val="0"/>
        <w:kinsoku/>
        <w:wordWrap w:val="0"/>
        <w:overflowPunct/>
        <w:topLinePunct w:val="0"/>
        <w:bidi w:val="0"/>
        <w:snapToGrid w:val="0"/>
        <w:jc w:val="center"/>
        <w:outlineLvl w:val="9"/>
        <w:rPr>
          <w:rFonts w:hint="eastAsia" w:ascii="宋体" w:hAnsi="宋体" w:eastAsia="宋体" w:cs="宋体"/>
          <w:b/>
          <w:color w:val="auto"/>
          <w:sz w:val="32"/>
          <w:szCs w:val="32"/>
          <w:highlight w:val="none"/>
        </w:rPr>
      </w:pPr>
    </w:p>
    <w:tbl>
      <w:tblPr>
        <w:tblStyle w:val="20"/>
        <w:tblW w:w="9652" w:type="dxa"/>
        <w:jc w:val="center"/>
        <w:shd w:val="clear" w:color="auto" w:fill="FFFFFF" w:themeFill="background1"/>
        <w:tblLayout w:type="fixed"/>
        <w:tblCellMar>
          <w:top w:w="0" w:type="dxa"/>
          <w:left w:w="0" w:type="dxa"/>
          <w:bottom w:w="0" w:type="dxa"/>
          <w:right w:w="0" w:type="dxa"/>
        </w:tblCellMar>
      </w:tblPr>
      <w:tblGrid>
        <w:gridCol w:w="808"/>
        <w:gridCol w:w="3600"/>
        <w:gridCol w:w="3555"/>
        <w:gridCol w:w="1689"/>
      </w:tblGrid>
      <w:tr w14:paraId="0CF3F203">
        <w:tblPrEx>
          <w:shd w:val="clear" w:color="auto" w:fill="FFFFFF" w:themeFill="background1"/>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3B377A6">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811CC36">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21176AD">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6EC7805">
            <w:pPr>
              <w:pageBreakBefore w:val="0"/>
              <w:widowControl w:val="0"/>
              <w:kinsoku/>
              <w:wordWrap w:val="0"/>
              <w:overflowPunct/>
              <w:topLinePunct w:val="0"/>
              <w:bidi w:val="0"/>
              <w:jc w:val="center"/>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13728CE8">
        <w:tblPrEx>
          <w:shd w:val="clear" w:color="auto" w:fill="FFFFFF" w:themeFill="background1"/>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3ACB934">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9813F3B">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35A8EFE4">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154FF8E">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r w14:paraId="4EDD38B5">
        <w:tblPrEx>
          <w:shd w:val="clear" w:color="auto" w:fill="FFFFFF" w:themeFill="background1"/>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AE41C43">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64363ED">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7381A2D0">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ACA29EF">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r w14:paraId="397D13D7">
        <w:tblPrEx>
          <w:shd w:val="clear" w:color="auto" w:fill="FFFFFF" w:themeFill="background1"/>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734D6BC">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C604127">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198D7285">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547C8CBD">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r w14:paraId="0888AE7E">
        <w:tblPrEx>
          <w:shd w:val="clear" w:color="auto" w:fill="FFFFFF" w:themeFill="background1"/>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6633B31F">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F6D067A">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2013CB2F">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FFFFF" w:themeFill="background1"/>
            <w:tcMar>
              <w:top w:w="120" w:type="dxa"/>
              <w:left w:w="120" w:type="dxa"/>
              <w:bottom w:w="120" w:type="dxa"/>
              <w:right w:w="120" w:type="dxa"/>
            </w:tcMar>
            <w:vAlign w:val="center"/>
          </w:tcPr>
          <w:p w14:paraId="065B4378">
            <w:pPr>
              <w:pageBreakBefore w:val="0"/>
              <w:widowControl w:val="0"/>
              <w:kinsoku/>
              <w:wordWrap w:val="0"/>
              <w:overflowPunct/>
              <w:topLinePunct w:val="0"/>
              <w:bidi w:val="0"/>
              <w:spacing w:line="200" w:lineRule="atLeast"/>
              <w:jc w:val="center"/>
              <w:outlineLvl w:val="9"/>
              <w:rPr>
                <w:rFonts w:hint="eastAsia" w:ascii="宋体" w:hAnsi="宋体" w:eastAsia="宋体" w:cs="宋体"/>
                <w:color w:val="auto"/>
                <w:kern w:val="0"/>
                <w:sz w:val="28"/>
                <w:szCs w:val="28"/>
                <w:highlight w:val="none"/>
              </w:rPr>
            </w:pPr>
          </w:p>
        </w:tc>
      </w:tr>
    </w:tbl>
    <w:p w14:paraId="4397D0C6">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A007ED4">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6569E703">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1E898382">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3.供应商不存在直接管理关系的，则在“直接管理关系单位名称”填“无”。</w:t>
      </w:r>
    </w:p>
    <w:p w14:paraId="53B01779">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8"/>
          <w:szCs w:val="28"/>
          <w:highlight w:val="none"/>
        </w:rPr>
      </w:pPr>
    </w:p>
    <w:p w14:paraId="61982377">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8"/>
          <w:szCs w:val="28"/>
          <w:highlight w:val="none"/>
        </w:rPr>
      </w:pPr>
    </w:p>
    <w:p w14:paraId="36A22ADD">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8"/>
          <w:szCs w:val="28"/>
          <w:highlight w:val="none"/>
        </w:rPr>
      </w:pPr>
    </w:p>
    <w:p w14:paraId="3FC53EE3">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8"/>
          <w:szCs w:val="28"/>
          <w:highlight w:val="none"/>
        </w:rPr>
      </w:pPr>
    </w:p>
    <w:p w14:paraId="5926B653">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8"/>
          <w:szCs w:val="28"/>
          <w:highlight w:val="none"/>
        </w:rPr>
      </w:pPr>
    </w:p>
    <w:p w14:paraId="0F7FF769">
      <w:pPr>
        <w:pageBreakBefore w:val="0"/>
        <w:widowControl w:val="0"/>
        <w:kinsoku/>
        <w:wordWrap w:val="0"/>
        <w:overflowPunct/>
        <w:topLinePunct w:val="0"/>
        <w:bidi w:val="0"/>
        <w:spacing w:line="360" w:lineRule="auto"/>
        <w:ind w:right="480"/>
        <w:contextualSpacing/>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法定代表人或者委托代理人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w:t>
      </w:r>
    </w:p>
    <w:p w14:paraId="2032E826">
      <w:pPr>
        <w:pageBreakBefore w:val="0"/>
        <w:widowControl w:val="0"/>
        <w:kinsoku/>
        <w:wordWrap w:val="0"/>
        <w:overflowPunct/>
        <w:topLinePunct w:val="0"/>
        <w:bidi w:val="0"/>
        <w:spacing w:line="360" w:lineRule="auto"/>
        <w:ind w:right="480" w:firstLine="3360" w:firstLineChars="1400"/>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b/>
          <w:bCs/>
          <w:color w:val="auto"/>
          <w:sz w:val="24"/>
          <w:highlight w:val="none"/>
        </w:rPr>
        <w:t>（电子签章）</w:t>
      </w:r>
      <w:r>
        <w:rPr>
          <w:rFonts w:hint="eastAsia" w:ascii="宋体" w:hAnsi="宋体" w:eastAsia="宋体" w:cs="宋体"/>
          <w:color w:val="auto"/>
          <w:sz w:val="24"/>
          <w:highlight w:val="none"/>
        </w:rPr>
        <w:t>：</w:t>
      </w:r>
    </w:p>
    <w:p w14:paraId="7CFB23DB">
      <w:pPr>
        <w:pageBreakBefore w:val="0"/>
        <w:widowControl w:val="0"/>
        <w:kinsoku/>
        <w:wordWrap w:val="0"/>
        <w:overflowPunct/>
        <w:topLinePunct w:val="0"/>
        <w:bidi w:val="0"/>
        <w:spacing w:line="360" w:lineRule="auto"/>
        <w:ind w:right="480" w:firstLine="5280" w:firstLineChars="2200"/>
        <w:contextualSpacing/>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年    月    日</w:t>
      </w:r>
    </w:p>
    <w:p w14:paraId="422E1811">
      <w:pPr>
        <w:pageBreakBefore w:val="0"/>
        <w:widowControl w:val="0"/>
        <w:kinsoku/>
        <w:wordWrap w:val="0"/>
        <w:overflowPunct/>
        <w:topLinePunct w:val="0"/>
        <w:bidi w:val="0"/>
        <w:spacing w:line="50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44"/>
          <w:szCs w:val="44"/>
          <w:highlight w:val="none"/>
        </w:rPr>
        <w:t>竞标声明</w:t>
      </w:r>
    </w:p>
    <w:p w14:paraId="59DD8E23">
      <w:pPr>
        <w:pageBreakBefore w:val="0"/>
        <w:widowControl w:val="0"/>
        <w:kinsoku/>
        <w:wordWrap w:val="0"/>
        <w:overflowPunct/>
        <w:topLinePunct w:val="0"/>
        <w:bidi w:val="0"/>
        <w:spacing w:line="320" w:lineRule="exact"/>
        <w:jc w:val="center"/>
        <w:outlineLvl w:val="9"/>
        <w:rPr>
          <w:rFonts w:hint="eastAsia" w:ascii="宋体" w:hAnsi="宋体" w:eastAsia="宋体" w:cs="宋体"/>
          <w:color w:val="auto"/>
          <w:sz w:val="24"/>
          <w:szCs w:val="20"/>
          <w:highlight w:val="none"/>
        </w:rPr>
      </w:pPr>
    </w:p>
    <w:p w14:paraId="31C81B38">
      <w:pPr>
        <w:pageBreakBefore w:val="0"/>
        <w:widowControl w:val="0"/>
        <w:kinsoku/>
        <w:wordWrap w:val="0"/>
        <w:overflowPunct/>
        <w:topLinePunct w:val="0"/>
        <w:bidi w:val="0"/>
        <w:spacing w:line="360" w:lineRule="auto"/>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69079AB2">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F617A0">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7A7CD78A">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bookmarkStart w:id="121" w:name="_Toc18625"/>
      <w:r>
        <w:rPr>
          <w:rFonts w:hint="eastAsia" w:ascii="宋体" w:hAnsi="宋体" w:eastAsia="宋体" w:cs="宋体"/>
          <w:color w:val="auto"/>
          <w:sz w:val="24"/>
          <w:highlight w:val="none"/>
        </w:rPr>
        <w:t>1.我方向贵方提交的所有响应文件、资料都是准确的和真实的。</w:t>
      </w:r>
      <w:bookmarkEnd w:id="121"/>
    </w:p>
    <w:p w14:paraId="20726329">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w:t>
      </w:r>
    </w:p>
    <w:p w14:paraId="3256F615">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bookmarkStart w:id="122" w:name="_Toc1968"/>
      <w:r>
        <w:rPr>
          <w:rFonts w:hint="eastAsia" w:ascii="宋体" w:hAnsi="宋体" w:eastAsia="宋体" w:cs="宋体"/>
          <w:color w:val="auto"/>
          <w:sz w:val="24"/>
          <w:highlight w:val="none"/>
        </w:rPr>
        <w:t>3.在此，我方宣布同意如下：</w:t>
      </w:r>
      <w:bookmarkEnd w:id="122"/>
    </w:p>
    <w:p w14:paraId="1A813F12">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（1）将按谈判文件的约定履行合同责任和义务；</w:t>
      </w:r>
    </w:p>
    <w:p w14:paraId="1D9C72A9">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（2）已详细审查全部谈判文件，包括补遗文件（如有）；</w:t>
      </w:r>
    </w:p>
    <w:p w14:paraId="40737109">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714D6200">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（4）响应谈判文件规定的竞标有效期。</w:t>
      </w:r>
    </w:p>
    <w:p w14:paraId="5A9FC5C0">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bookmarkStart w:id="123" w:name="_Toc13349"/>
      <w:r>
        <w:rPr>
          <w:rFonts w:hint="eastAsia" w:ascii="宋体" w:hAnsi="宋体" w:eastAsia="宋体" w:cs="宋体"/>
          <w:color w:val="auto"/>
          <w:sz w:val="24"/>
          <w:highlight w:val="none"/>
        </w:rPr>
        <w:t>4.我方承诺符合《中华人民共和国政府采购法》第二十二条规定：</w:t>
      </w:r>
      <w:bookmarkEnd w:id="123"/>
    </w:p>
    <w:p w14:paraId="51710702">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5DD7BC1">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95408A1">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EAE4ECF">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A842AC5">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33B3B70B">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17E9662">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AD894FC">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33D57C">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7E40B030">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81351B7">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7.与本谈判有关的一切正式往来信函请寄：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57A331AC">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p>
    <w:p w14:paraId="16AA8EE1">
      <w:pPr>
        <w:pStyle w:val="13"/>
        <w:pageBreakBefore w:val="0"/>
        <w:widowControl w:val="0"/>
        <w:tabs>
          <w:tab w:val="left" w:pos="939"/>
        </w:tabs>
        <w:kinsoku/>
        <w:wordWrap w:val="0"/>
        <w:overflowPunct/>
        <w:topLinePunct w:val="0"/>
        <w:bidi w:val="0"/>
        <w:spacing w:line="360" w:lineRule="auto"/>
        <w:ind w:left="141" w:leftChars="67" w:firstLine="360" w:firstLineChars="15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帐号/行号：</w:t>
      </w:r>
      <w:r>
        <w:rPr>
          <w:rFonts w:hint="eastAsia" w:ascii="宋体" w:hAnsi="宋体" w:eastAsia="宋体" w:cs="宋体"/>
          <w:color w:val="auto"/>
          <w:sz w:val="24"/>
          <w:highlight w:val="none"/>
          <w:u w:val="single"/>
        </w:rPr>
        <w:t xml:space="preserve">                          </w:t>
      </w:r>
    </w:p>
    <w:p w14:paraId="424244A2">
      <w:pPr>
        <w:pStyle w:val="13"/>
        <w:pageBreakBefore w:val="0"/>
        <w:widowControl w:val="0"/>
        <w:tabs>
          <w:tab w:val="left" w:pos="939"/>
        </w:tabs>
        <w:kinsoku/>
        <w:wordWrap w:val="0"/>
        <w:overflowPunct/>
        <w:topLinePunct w:val="0"/>
        <w:bidi w:val="0"/>
        <w:spacing w:line="360" w:lineRule="auto"/>
        <w:ind w:left="141" w:leftChars="67"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6A511F25">
      <w:pPr>
        <w:pageBreakBefore w:val="0"/>
        <w:widowControl w:val="0"/>
        <w:kinsoku/>
        <w:wordWrap w:val="0"/>
        <w:overflowPunct/>
        <w:topLinePunct w:val="0"/>
        <w:bidi w:val="0"/>
        <w:spacing w:line="360" w:lineRule="auto"/>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6D213FE0">
      <w:pPr>
        <w:pageBreakBefore w:val="0"/>
        <w:widowControl w:val="0"/>
        <w:kinsoku/>
        <w:wordWrap w:val="0"/>
        <w:overflowPunct/>
        <w:topLinePunct w:val="0"/>
        <w:bidi w:val="0"/>
        <w:spacing w:line="360" w:lineRule="auto"/>
        <w:ind w:firstLine="482" w:firstLineChars="200"/>
        <w:contextualSpacing/>
        <w:jc w:val="left"/>
        <w:outlineLvl w:val="9"/>
        <w:rPr>
          <w:rFonts w:hint="eastAsia" w:ascii="宋体" w:hAnsi="宋体" w:eastAsia="宋体" w:cs="宋体"/>
          <w:b/>
          <w:color w:val="auto"/>
          <w:sz w:val="24"/>
          <w:highlight w:val="none"/>
        </w:rPr>
      </w:pPr>
    </w:p>
    <w:p w14:paraId="241F6C41">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4"/>
          <w:highlight w:val="none"/>
        </w:rPr>
      </w:pPr>
    </w:p>
    <w:p w14:paraId="2AAA00BF">
      <w:pPr>
        <w:pageBreakBefore w:val="0"/>
        <w:widowControl w:val="0"/>
        <w:kinsoku/>
        <w:wordWrap w:val="0"/>
        <w:overflowPunct/>
        <w:topLinePunct w:val="0"/>
        <w:bidi w:val="0"/>
        <w:spacing w:line="360" w:lineRule="auto"/>
        <w:ind w:firstLine="3480" w:firstLineChars="145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w:t>
      </w:r>
    </w:p>
    <w:p w14:paraId="45F8D962">
      <w:pPr>
        <w:pageBreakBefore w:val="0"/>
        <w:widowControl w:val="0"/>
        <w:kinsoku/>
        <w:wordWrap w:val="0"/>
        <w:overflowPunct/>
        <w:topLinePunct w:val="0"/>
        <w:bidi w:val="0"/>
        <w:spacing w:line="360" w:lineRule="auto"/>
        <w:ind w:firstLine="3480" w:firstLineChars="1450"/>
        <w:contextualSpacing/>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b/>
          <w:bCs/>
          <w:color w:val="auto"/>
          <w:sz w:val="24"/>
          <w:highlight w:val="none"/>
        </w:rPr>
        <w:t>（电子签章）</w:t>
      </w:r>
      <w:r>
        <w:rPr>
          <w:rFonts w:hint="eastAsia" w:ascii="宋体" w:hAnsi="宋体" w:eastAsia="宋体" w:cs="宋体"/>
          <w:color w:val="auto"/>
          <w:sz w:val="24"/>
          <w:highlight w:val="none"/>
        </w:rPr>
        <w:t>：</w:t>
      </w:r>
    </w:p>
    <w:p w14:paraId="6AAC5748">
      <w:pPr>
        <w:pageBreakBefore w:val="0"/>
        <w:widowControl w:val="0"/>
        <w:kinsoku/>
        <w:wordWrap w:val="0"/>
        <w:overflowPunct/>
        <w:topLinePunct w:val="0"/>
        <w:bidi w:val="0"/>
        <w:spacing w:line="360" w:lineRule="auto"/>
        <w:ind w:right="482" w:firstLine="240" w:firstLineChars="100"/>
        <w:contextualSpacing/>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3824E60">
      <w:pPr>
        <w:pageBreakBefore w:val="0"/>
        <w:widowControl w:val="0"/>
        <w:kinsoku/>
        <w:wordWrap w:val="0"/>
        <w:overflowPunct/>
        <w:topLinePunct w:val="0"/>
        <w:bidi w:val="0"/>
        <w:adjustRightInd w:val="0"/>
        <w:snapToGrid w:val="0"/>
        <w:spacing w:line="300" w:lineRule="auto"/>
        <w:jc w:val="center"/>
        <w:outlineLvl w:val="9"/>
        <w:rPr>
          <w:rFonts w:hint="eastAsia" w:ascii="宋体" w:hAnsi="宋体" w:eastAsia="宋体" w:cs="宋体"/>
          <w:b/>
          <w:bCs w:val="0"/>
          <w:color w:val="auto"/>
          <w:sz w:val="22"/>
          <w:szCs w:val="2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bCs w:val="0"/>
          <w:color w:val="auto"/>
          <w:sz w:val="32"/>
          <w:szCs w:val="32"/>
          <w:highlight w:val="none"/>
        </w:rPr>
        <w:t>中小企业声明函（货物）</w:t>
      </w:r>
    </w:p>
    <w:p w14:paraId="246717CF">
      <w:pPr>
        <w:pageBreakBefore w:val="0"/>
        <w:widowControl w:val="0"/>
        <w:kinsoku/>
        <w:wordWrap w:val="0"/>
        <w:overflowPunct/>
        <w:topLinePunct w:val="0"/>
        <w:bidi w:val="0"/>
        <w:outlineLvl w:val="9"/>
        <w:rPr>
          <w:rFonts w:hint="eastAsia" w:ascii="宋体" w:hAnsi="宋体" w:eastAsia="宋体" w:cs="宋体"/>
          <w:color w:val="auto"/>
          <w:sz w:val="22"/>
          <w:szCs w:val="22"/>
          <w:highlight w:val="none"/>
        </w:rPr>
      </w:pPr>
    </w:p>
    <w:p w14:paraId="4C9F710C">
      <w:pPr>
        <w:pStyle w:val="9"/>
        <w:pageBreakBefore w:val="0"/>
        <w:widowControl w:val="0"/>
        <w:kinsoku/>
        <w:wordWrap w:val="0"/>
        <w:overflowPunct/>
        <w:topLinePunct w:val="0"/>
        <w:bidi w:val="0"/>
        <w:spacing w:after="0" w:line="360" w:lineRule="auto"/>
        <w:ind w:left="-426" w:right="142" w:firstLine="64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6F3FDDF3">
      <w:pPr>
        <w:pageBreakBefore w:val="0"/>
        <w:widowControl w:val="0"/>
        <w:tabs>
          <w:tab w:val="left" w:pos="1384"/>
          <w:tab w:val="left" w:pos="4562"/>
          <w:tab w:val="left" w:pos="6803"/>
        </w:tabs>
        <w:kinsoku/>
        <w:wordWrap w:val="0"/>
        <w:overflowPunct/>
        <w:topLinePunct w:val="0"/>
        <w:bidi w:val="0"/>
        <w:spacing w:line="360" w:lineRule="auto"/>
        <w:ind w:left="-426" w:right="-58" w:firstLine="655"/>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9DDA8DA">
      <w:pPr>
        <w:pageBreakBefore w:val="0"/>
        <w:widowControl w:val="0"/>
        <w:tabs>
          <w:tab w:val="left" w:pos="1065"/>
          <w:tab w:val="left" w:pos="6477"/>
        </w:tabs>
        <w:kinsoku/>
        <w:wordWrap w:val="0"/>
        <w:overflowPunct/>
        <w:topLinePunct w:val="0"/>
        <w:bidi w:val="0"/>
        <w:spacing w:line="360" w:lineRule="auto"/>
        <w:ind w:left="-426" w:right="-58" w:firstLine="655"/>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7D80D39">
      <w:pPr>
        <w:pStyle w:val="9"/>
        <w:pageBreakBefore w:val="0"/>
        <w:widowControl w:val="0"/>
        <w:kinsoku/>
        <w:wordWrap w:val="0"/>
        <w:overflowPunct/>
        <w:topLinePunct w:val="0"/>
        <w:bidi w:val="0"/>
        <w:spacing w:after="0" w:line="360" w:lineRule="auto"/>
        <w:ind w:left="142" w:right="142"/>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8EE6F5">
      <w:pPr>
        <w:pStyle w:val="9"/>
        <w:pageBreakBefore w:val="0"/>
        <w:widowControl w:val="0"/>
        <w:kinsoku/>
        <w:wordWrap w:val="0"/>
        <w:overflowPunct/>
        <w:topLinePunct w:val="0"/>
        <w:bidi w:val="0"/>
        <w:spacing w:after="0" w:line="360" w:lineRule="auto"/>
        <w:ind w:left="-405" w:leftChars="-193" w:right="142" w:firstLine="453" w:firstLineChars="189"/>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EC6B117">
      <w:pPr>
        <w:pStyle w:val="9"/>
        <w:pageBreakBefore w:val="0"/>
        <w:widowControl w:val="0"/>
        <w:kinsoku/>
        <w:wordWrap w:val="0"/>
        <w:overflowPunct/>
        <w:topLinePunct w:val="0"/>
        <w:bidi w:val="0"/>
        <w:spacing w:after="0" w:line="360" w:lineRule="auto"/>
        <w:ind w:left="-426" w:right="142" w:firstLine="56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9AE3E25">
      <w:pPr>
        <w:pStyle w:val="9"/>
        <w:pageBreakBefore w:val="0"/>
        <w:widowControl w:val="0"/>
        <w:kinsoku/>
        <w:wordWrap w:val="0"/>
        <w:overflowPunct/>
        <w:topLinePunct w:val="0"/>
        <w:bidi w:val="0"/>
        <w:spacing w:after="0" w:line="360" w:lineRule="auto"/>
        <w:ind w:left="3960" w:right="1808"/>
        <w:contextualSpacing/>
        <w:outlineLvl w:val="9"/>
        <w:rPr>
          <w:rFonts w:hint="eastAsia" w:ascii="宋体" w:hAnsi="宋体" w:eastAsia="宋体" w:cs="宋体"/>
          <w:color w:val="auto"/>
          <w:sz w:val="24"/>
          <w:szCs w:val="24"/>
          <w:highlight w:val="none"/>
        </w:rPr>
      </w:pPr>
    </w:p>
    <w:p w14:paraId="18CE751D">
      <w:pPr>
        <w:pStyle w:val="9"/>
        <w:pageBreakBefore w:val="0"/>
        <w:widowControl w:val="0"/>
        <w:kinsoku/>
        <w:wordWrap w:val="0"/>
        <w:overflowPunct/>
        <w:topLinePunct w:val="0"/>
        <w:bidi w:val="0"/>
        <w:spacing w:after="0" w:line="360" w:lineRule="auto"/>
        <w:ind w:left="3960" w:right="1808"/>
        <w:contextualSpacing/>
        <w:outlineLvl w:val="9"/>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rPr>
        <w:t>供应商名称（电子签章）：</w:t>
      </w:r>
      <w:r>
        <w:rPr>
          <w:rFonts w:hint="eastAsia" w:ascii="宋体" w:hAnsi="宋体" w:eastAsia="宋体" w:cs="宋体"/>
          <w:color w:val="auto"/>
          <w:sz w:val="24"/>
          <w:szCs w:val="24"/>
          <w:highlight w:val="none"/>
        </w:rPr>
        <w:t xml:space="preserve"> </w:t>
      </w:r>
    </w:p>
    <w:p w14:paraId="29DE5581">
      <w:pPr>
        <w:pStyle w:val="9"/>
        <w:pageBreakBefore w:val="0"/>
        <w:widowControl w:val="0"/>
        <w:kinsoku/>
        <w:wordWrap w:val="0"/>
        <w:overflowPunct/>
        <w:topLinePunct w:val="0"/>
        <w:bidi w:val="0"/>
        <w:spacing w:after="0" w:line="360" w:lineRule="auto"/>
        <w:ind w:left="3960" w:right="1808"/>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kern w:val="0"/>
          <w:sz w:val="24"/>
          <w:szCs w:val="24"/>
          <w:highlight w:val="none"/>
          <w:lang w:val="zh-CN"/>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 xml:space="preserve">年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 xml:space="preserve"> 月   日</w:t>
      </w:r>
    </w:p>
    <w:p w14:paraId="2E941A2B">
      <w:pPr>
        <w:pStyle w:val="9"/>
        <w:pageBreakBefore w:val="0"/>
        <w:widowControl w:val="0"/>
        <w:kinsoku/>
        <w:wordWrap w:val="0"/>
        <w:overflowPunct/>
        <w:topLinePunct w:val="0"/>
        <w:bidi w:val="0"/>
        <w:spacing w:after="0" w:line="360" w:lineRule="auto"/>
        <w:ind w:left="3960" w:right="1808"/>
        <w:contextualSpacing/>
        <w:outlineLvl w:val="9"/>
        <w:rPr>
          <w:rFonts w:hint="eastAsia" w:ascii="宋体" w:hAnsi="宋体" w:eastAsia="宋体" w:cs="宋体"/>
          <w:color w:val="auto"/>
          <w:sz w:val="24"/>
          <w:szCs w:val="24"/>
          <w:highlight w:val="none"/>
        </w:rPr>
      </w:pPr>
    </w:p>
    <w:p w14:paraId="650A4D7B">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A5D42E7">
      <w:pPr>
        <w:pStyle w:val="14"/>
        <w:pageBreakBefore w:val="0"/>
        <w:widowControl w:val="0"/>
        <w:kinsoku/>
        <w:wordWrap w:val="0"/>
        <w:overflowPunct/>
        <w:topLinePunct w:val="0"/>
        <w:bidi w:val="0"/>
        <w:jc w:val="left"/>
        <w:outlineLvl w:val="9"/>
        <w:rPr>
          <w:rFonts w:hAnsi="宋体" w:cs="宋体"/>
          <w:sz w:val="32"/>
          <w:szCs w:val="32"/>
        </w:rPr>
      </w:pPr>
      <w:r>
        <w:rPr>
          <w:rFonts w:hint="eastAsia" w:ascii="宋体" w:hAnsi="宋体" w:eastAsia="宋体" w:cs="宋体"/>
          <w:color w:val="auto"/>
          <w:szCs w:val="21"/>
          <w:highlight w:val="none"/>
        </w:rPr>
        <w:br w:type="page"/>
      </w:r>
      <w:r>
        <w:rPr>
          <w:rFonts w:hint="eastAsia" w:hAnsi="宋体" w:cs="宋体"/>
          <w:b/>
          <w:bCs/>
          <w:sz w:val="24"/>
          <w:szCs w:val="24"/>
        </w:rPr>
        <w:t>附：</w:t>
      </w:r>
    </w:p>
    <w:p w14:paraId="7195A01F">
      <w:pPr>
        <w:pageBreakBefore w:val="0"/>
        <w:widowControl w:val="0"/>
        <w:kinsoku/>
        <w:wordWrap w:val="0"/>
        <w:overflowPunct/>
        <w:topLinePunct w:val="0"/>
        <w:bidi w:val="0"/>
        <w:spacing w:before="120" w:beforeLines="50" w:after="120" w:afterLines="50"/>
        <w:jc w:val="center"/>
        <w:outlineLvl w:val="9"/>
        <w:rPr>
          <w:rFonts w:ascii="宋体" w:hAnsi="宋体" w:cs="宋体"/>
          <w:sz w:val="36"/>
          <w:szCs w:val="36"/>
        </w:rPr>
      </w:pPr>
      <w:r>
        <w:rPr>
          <w:rFonts w:hint="eastAsia" w:ascii="宋体" w:hAnsi="宋体" w:cs="宋体"/>
          <w:b/>
          <w:bCs/>
          <w:sz w:val="36"/>
          <w:szCs w:val="36"/>
        </w:rPr>
        <w:t>中小微企业划型标准</w:t>
      </w:r>
    </w:p>
    <w:tbl>
      <w:tblPr>
        <w:tblStyle w:val="20"/>
        <w:tblW w:w="9297" w:type="dxa"/>
        <w:jc w:val="center"/>
        <w:tblLayout w:type="fixed"/>
        <w:tblCellMar>
          <w:top w:w="0" w:type="dxa"/>
          <w:left w:w="108" w:type="dxa"/>
          <w:bottom w:w="0" w:type="dxa"/>
          <w:right w:w="108" w:type="dxa"/>
        </w:tblCellMar>
      </w:tblPr>
      <w:tblGrid>
        <w:gridCol w:w="1981"/>
        <w:gridCol w:w="1611"/>
        <w:gridCol w:w="1063"/>
        <w:gridCol w:w="1887"/>
        <w:gridCol w:w="1678"/>
        <w:gridCol w:w="1077"/>
      </w:tblGrid>
      <w:tr w14:paraId="2B513815">
        <w:tblPrEx>
          <w:tblCellMar>
            <w:top w:w="0" w:type="dxa"/>
            <w:left w:w="108" w:type="dxa"/>
            <w:bottom w:w="0" w:type="dxa"/>
            <w:right w:w="108" w:type="dxa"/>
          </w:tblCellMar>
        </w:tblPrEx>
        <w:trPr>
          <w:trHeight w:val="378" w:hRule="atLeast"/>
          <w:jc w:val="center"/>
        </w:trPr>
        <w:tc>
          <w:tcPr>
            <w:tcW w:w="1981" w:type="dxa"/>
            <w:tcBorders>
              <w:top w:val="single" w:color="auto" w:sz="4" w:space="0"/>
              <w:left w:val="single" w:color="auto" w:sz="4" w:space="0"/>
              <w:bottom w:val="single" w:color="auto" w:sz="4" w:space="0"/>
              <w:right w:val="single" w:color="auto" w:sz="4" w:space="0"/>
            </w:tcBorders>
            <w:noWrap/>
            <w:vAlign w:val="center"/>
          </w:tcPr>
          <w:p w14:paraId="0BCEC5B9">
            <w:pPr>
              <w:pageBreakBefore w:val="0"/>
              <w:widowControl w:val="0"/>
              <w:kinsoku/>
              <w:wordWrap w:val="0"/>
              <w:overflowPunct/>
              <w:topLinePunct w:val="0"/>
              <w:bidi w:val="0"/>
              <w:jc w:val="center"/>
              <w:outlineLvl w:val="9"/>
              <w:rPr>
                <w:rFonts w:ascii="宋体" w:hAnsi="宋体" w:cs="宋体"/>
                <w:b/>
                <w:kern w:val="0"/>
                <w:szCs w:val="21"/>
              </w:rPr>
            </w:pPr>
            <w:r>
              <w:rPr>
                <w:rFonts w:hint="eastAsia" w:ascii="宋体" w:hAnsi="宋体" w:cs="宋体"/>
                <w:b/>
                <w:kern w:val="0"/>
                <w:szCs w:val="21"/>
              </w:rPr>
              <w:t>行业名称</w:t>
            </w:r>
          </w:p>
        </w:tc>
        <w:tc>
          <w:tcPr>
            <w:tcW w:w="1611" w:type="dxa"/>
            <w:tcBorders>
              <w:top w:val="single" w:color="auto" w:sz="4" w:space="0"/>
              <w:left w:val="nil"/>
              <w:bottom w:val="single" w:color="auto" w:sz="4" w:space="0"/>
              <w:right w:val="single" w:color="auto" w:sz="4" w:space="0"/>
            </w:tcBorders>
            <w:noWrap/>
            <w:vAlign w:val="center"/>
          </w:tcPr>
          <w:p w14:paraId="0B2A53B0">
            <w:pPr>
              <w:pageBreakBefore w:val="0"/>
              <w:widowControl w:val="0"/>
              <w:kinsoku/>
              <w:wordWrap w:val="0"/>
              <w:overflowPunct/>
              <w:topLinePunct w:val="0"/>
              <w:bidi w:val="0"/>
              <w:jc w:val="center"/>
              <w:outlineLvl w:val="9"/>
              <w:rPr>
                <w:rFonts w:ascii="宋体" w:hAnsi="宋体" w:cs="宋体"/>
                <w:b/>
                <w:kern w:val="0"/>
                <w:szCs w:val="21"/>
              </w:rPr>
            </w:pPr>
            <w:r>
              <w:rPr>
                <w:rFonts w:hint="eastAsia" w:ascii="宋体" w:hAnsi="宋体" w:cs="宋体"/>
                <w:b/>
                <w:kern w:val="0"/>
                <w:szCs w:val="21"/>
              </w:rPr>
              <w:t>指标名称</w:t>
            </w:r>
          </w:p>
        </w:tc>
        <w:tc>
          <w:tcPr>
            <w:tcW w:w="1063" w:type="dxa"/>
            <w:tcBorders>
              <w:top w:val="single" w:color="auto" w:sz="4" w:space="0"/>
              <w:left w:val="nil"/>
              <w:bottom w:val="single" w:color="auto" w:sz="4" w:space="0"/>
              <w:right w:val="single" w:color="auto" w:sz="4" w:space="0"/>
            </w:tcBorders>
            <w:noWrap/>
            <w:vAlign w:val="center"/>
          </w:tcPr>
          <w:p w14:paraId="7D4DBB8A">
            <w:pPr>
              <w:pageBreakBefore w:val="0"/>
              <w:widowControl w:val="0"/>
              <w:kinsoku/>
              <w:wordWrap w:val="0"/>
              <w:overflowPunct/>
              <w:topLinePunct w:val="0"/>
              <w:bidi w:val="0"/>
              <w:jc w:val="center"/>
              <w:outlineLvl w:val="9"/>
              <w:rPr>
                <w:rFonts w:ascii="宋体" w:hAnsi="宋体" w:cs="宋体"/>
                <w:b/>
                <w:kern w:val="0"/>
                <w:szCs w:val="21"/>
              </w:rPr>
            </w:pPr>
            <w:r>
              <w:rPr>
                <w:rFonts w:hint="eastAsia" w:ascii="宋体" w:hAnsi="宋体" w:cs="宋体"/>
                <w:b/>
                <w:kern w:val="0"/>
                <w:szCs w:val="21"/>
              </w:rPr>
              <w:t>计量单位</w:t>
            </w:r>
          </w:p>
        </w:tc>
        <w:tc>
          <w:tcPr>
            <w:tcW w:w="1887" w:type="dxa"/>
            <w:tcBorders>
              <w:top w:val="single" w:color="auto" w:sz="4" w:space="0"/>
              <w:left w:val="nil"/>
              <w:bottom w:val="single" w:color="auto" w:sz="4" w:space="0"/>
              <w:right w:val="single" w:color="auto" w:sz="4" w:space="0"/>
            </w:tcBorders>
            <w:noWrap/>
            <w:vAlign w:val="center"/>
          </w:tcPr>
          <w:p w14:paraId="5DCE3F45">
            <w:pPr>
              <w:pageBreakBefore w:val="0"/>
              <w:widowControl w:val="0"/>
              <w:kinsoku/>
              <w:wordWrap w:val="0"/>
              <w:overflowPunct/>
              <w:topLinePunct w:val="0"/>
              <w:bidi w:val="0"/>
              <w:jc w:val="center"/>
              <w:outlineLvl w:val="9"/>
              <w:rPr>
                <w:rFonts w:ascii="宋体" w:hAnsi="宋体" w:cs="宋体"/>
                <w:b/>
                <w:kern w:val="0"/>
                <w:szCs w:val="21"/>
              </w:rPr>
            </w:pPr>
            <w:r>
              <w:rPr>
                <w:rFonts w:hint="eastAsia" w:ascii="宋体" w:hAnsi="宋体" w:cs="宋体"/>
                <w:b/>
                <w:kern w:val="0"/>
                <w:szCs w:val="21"/>
              </w:rPr>
              <w:t>中型</w:t>
            </w:r>
          </w:p>
        </w:tc>
        <w:tc>
          <w:tcPr>
            <w:tcW w:w="1678" w:type="dxa"/>
            <w:tcBorders>
              <w:top w:val="single" w:color="auto" w:sz="4" w:space="0"/>
              <w:left w:val="nil"/>
              <w:bottom w:val="single" w:color="auto" w:sz="4" w:space="0"/>
              <w:right w:val="single" w:color="auto" w:sz="4" w:space="0"/>
            </w:tcBorders>
            <w:noWrap/>
            <w:vAlign w:val="center"/>
          </w:tcPr>
          <w:p w14:paraId="790725B7">
            <w:pPr>
              <w:pageBreakBefore w:val="0"/>
              <w:widowControl w:val="0"/>
              <w:kinsoku/>
              <w:wordWrap w:val="0"/>
              <w:overflowPunct/>
              <w:topLinePunct w:val="0"/>
              <w:bidi w:val="0"/>
              <w:jc w:val="center"/>
              <w:outlineLvl w:val="9"/>
              <w:rPr>
                <w:rFonts w:ascii="宋体" w:hAnsi="宋体" w:cs="宋体"/>
                <w:b/>
                <w:kern w:val="0"/>
                <w:szCs w:val="21"/>
              </w:rPr>
            </w:pPr>
            <w:r>
              <w:rPr>
                <w:rFonts w:hint="eastAsia" w:ascii="宋体" w:hAnsi="宋体" w:cs="宋体"/>
                <w:b/>
                <w:kern w:val="0"/>
                <w:szCs w:val="21"/>
              </w:rPr>
              <w:t>小型</w:t>
            </w:r>
          </w:p>
        </w:tc>
        <w:tc>
          <w:tcPr>
            <w:tcW w:w="1077" w:type="dxa"/>
            <w:tcBorders>
              <w:top w:val="single" w:color="auto" w:sz="4" w:space="0"/>
              <w:left w:val="nil"/>
              <w:bottom w:val="single" w:color="auto" w:sz="4" w:space="0"/>
              <w:right w:val="single" w:color="auto" w:sz="4" w:space="0"/>
            </w:tcBorders>
            <w:noWrap/>
            <w:vAlign w:val="center"/>
          </w:tcPr>
          <w:p w14:paraId="41442447">
            <w:pPr>
              <w:pageBreakBefore w:val="0"/>
              <w:widowControl w:val="0"/>
              <w:kinsoku/>
              <w:wordWrap w:val="0"/>
              <w:overflowPunct/>
              <w:topLinePunct w:val="0"/>
              <w:bidi w:val="0"/>
              <w:jc w:val="center"/>
              <w:outlineLvl w:val="9"/>
              <w:rPr>
                <w:rFonts w:ascii="宋体" w:hAnsi="宋体" w:cs="宋体"/>
                <w:b/>
                <w:kern w:val="0"/>
                <w:szCs w:val="21"/>
              </w:rPr>
            </w:pPr>
            <w:r>
              <w:rPr>
                <w:rFonts w:hint="eastAsia" w:ascii="宋体" w:hAnsi="宋体" w:cs="宋体"/>
                <w:b/>
                <w:kern w:val="0"/>
                <w:szCs w:val="21"/>
              </w:rPr>
              <w:t>微型</w:t>
            </w:r>
          </w:p>
        </w:tc>
      </w:tr>
      <w:tr w14:paraId="2FE4257A">
        <w:tblPrEx>
          <w:tblCellMar>
            <w:top w:w="0" w:type="dxa"/>
            <w:left w:w="108" w:type="dxa"/>
            <w:bottom w:w="0" w:type="dxa"/>
            <w:right w:w="108" w:type="dxa"/>
          </w:tblCellMar>
        </w:tblPrEx>
        <w:trPr>
          <w:trHeight w:val="357" w:hRule="atLeast"/>
          <w:jc w:val="center"/>
        </w:trPr>
        <w:tc>
          <w:tcPr>
            <w:tcW w:w="1981" w:type="dxa"/>
            <w:tcBorders>
              <w:top w:val="nil"/>
              <w:left w:val="single" w:color="auto" w:sz="4" w:space="0"/>
              <w:bottom w:val="single" w:color="auto" w:sz="4" w:space="0"/>
              <w:right w:val="single" w:color="auto" w:sz="4" w:space="0"/>
            </w:tcBorders>
            <w:noWrap/>
            <w:vAlign w:val="center"/>
          </w:tcPr>
          <w:p w14:paraId="560B43CB">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农、林、牧、渔</w:t>
            </w:r>
          </w:p>
        </w:tc>
        <w:tc>
          <w:tcPr>
            <w:tcW w:w="1611" w:type="dxa"/>
            <w:tcBorders>
              <w:top w:val="nil"/>
              <w:left w:val="nil"/>
              <w:bottom w:val="single" w:color="auto" w:sz="4" w:space="0"/>
              <w:right w:val="single" w:color="auto" w:sz="4" w:space="0"/>
            </w:tcBorders>
            <w:noWrap/>
            <w:vAlign w:val="center"/>
          </w:tcPr>
          <w:p w14:paraId="36BA165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46B35D4A">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439FA77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500≤Y＜20000</w:t>
            </w:r>
          </w:p>
        </w:tc>
        <w:tc>
          <w:tcPr>
            <w:tcW w:w="1678" w:type="dxa"/>
            <w:tcBorders>
              <w:top w:val="nil"/>
              <w:left w:val="nil"/>
              <w:bottom w:val="single" w:color="auto" w:sz="4" w:space="0"/>
              <w:right w:val="single" w:color="auto" w:sz="4" w:space="0"/>
            </w:tcBorders>
            <w:noWrap/>
            <w:vAlign w:val="center"/>
          </w:tcPr>
          <w:p w14:paraId="6A1906F5">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50≤Y＜500</w:t>
            </w:r>
          </w:p>
        </w:tc>
        <w:tc>
          <w:tcPr>
            <w:tcW w:w="1077" w:type="dxa"/>
            <w:tcBorders>
              <w:top w:val="nil"/>
              <w:left w:val="nil"/>
              <w:bottom w:val="single" w:color="auto" w:sz="4" w:space="0"/>
              <w:right w:val="single" w:color="auto" w:sz="4" w:space="0"/>
            </w:tcBorders>
            <w:noWrap/>
            <w:vAlign w:val="center"/>
          </w:tcPr>
          <w:p w14:paraId="67991E1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Y＜50</w:t>
            </w:r>
          </w:p>
        </w:tc>
      </w:tr>
      <w:tr w14:paraId="6A43E8E4">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785D0B8A">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工业</w:t>
            </w:r>
          </w:p>
        </w:tc>
        <w:tc>
          <w:tcPr>
            <w:tcW w:w="1611" w:type="dxa"/>
            <w:tcBorders>
              <w:top w:val="nil"/>
              <w:left w:val="nil"/>
              <w:bottom w:val="single" w:color="auto" w:sz="4" w:space="0"/>
              <w:right w:val="single" w:color="auto" w:sz="4" w:space="0"/>
            </w:tcBorders>
            <w:noWrap/>
            <w:vAlign w:val="center"/>
          </w:tcPr>
          <w:p w14:paraId="4791542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73E4B06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56FC693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300≤X＜1000</w:t>
            </w:r>
          </w:p>
        </w:tc>
        <w:tc>
          <w:tcPr>
            <w:tcW w:w="1678" w:type="dxa"/>
            <w:tcBorders>
              <w:top w:val="nil"/>
              <w:left w:val="nil"/>
              <w:bottom w:val="single" w:color="auto" w:sz="4" w:space="0"/>
              <w:right w:val="single" w:color="auto" w:sz="4" w:space="0"/>
            </w:tcBorders>
            <w:noWrap/>
            <w:vAlign w:val="center"/>
          </w:tcPr>
          <w:p w14:paraId="51B7661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20≤X＜300</w:t>
            </w:r>
          </w:p>
        </w:tc>
        <w:tc>
          <w:tcPr>
            <w:tcW w:w="1077" w:type="dxa"/>
            <w:tcBorders>
              <w:top w:val="nil"/>
              <w:left w:val="nil"/>
              <w:bottom w:val="single" w:color="auto" w:sz="4" w:space="0"/>
              <w:right w:val="single" w:color="auto" w:sz="4" w:space="0"/>
            </w:tcBorders>
            <w:noWrap/>
            <w:vAlign w:val="center"/>
          </w:tcPr>
          <w:p w14:paraId="7D76249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X＜20</w:t>
            </w:r>
          </w:p>
        </w:tc>
      </w:tr>
      <w:tr w14:paraId="4474BCA0">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33682177">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1F1E19A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7EBAA0A0">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652440D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2000≤Y＜40000</w:t>
            </w:r>
          </w:p>
        </w:tc>
        <w:tc>
          <w:tcPr>
            <w:tcW w:w="1678" w:type="dxa"/>
            <w:tcBorders>
              <w:top w:val="nil"/>
              <w:left w:val="nil"/>
              <w:bottom w:val="single" w:color="auto" w:sz="4" w:space="0"/>
              <w:right w:val="single" w:color="auto" w:sz="4" w:space="0"/>
            </w:tcBorders>
            <w:noWrap/>
            <w:vAlign w:val="center"/>
          </w:tcPr>
          <w:p w14:paraId="6F3F1A2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300≤Y＜2000</w:t>
            </w:r>
          </w:p>
        </w:tc>
        <w:tc>
          <w:tcPr>
            <w:tcW w:w="1077" w:type="dxa"/>
            <w:tcBorders>
              <w:top w:val="nil"/>
              <w:left w:val="nil"/>
              <w:bottom w:val="single" w:color="auto" w:sz="4" w:space="0"/>
              <w:right w:val="single" w:color="auto" w:sz="4" w:space="0"/>
            </w:tcBorders>
            <w:noWrap/>
            <w:vAlign w:val="center"/>
          </w:tcPr>
          <w:p w14:paraId="70C15CB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Y＜300</w:t>
            </w:r>
          </w:p>
        </w:tc>
      </w:tr>
      <w:tr w14:paraId="6882B058">
        <w:tblPrEx>
          <w:tblCellMar>
            <w:top w:w="0" w:type="dxa"/>
            <w:left w:w="108" w:type="dxa"/>
            <w:bottom w:w="0" w:type="dxa"/>
            <w:right w:w="108" w:type="dxa"/>
          </w:tblCellMar>
        </w:tblPrEx>
        <w:trPr>
          <w:trHeight w:val="359"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0AD81064">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建筑业</w:t>
            </w:r>
          </w:p>
        </w:tc>
        <w:tc>
          <w:tcPr>
            <w:tcW w:w="1611" w:type="dxa"/>
            <w:tcBorders>
              <w:top w:val="nil"/>
              <w:left w:val="nil"/>
              <w:bottom w:val="single" w:color="auto" w:sz="4" w:space="0"/>
              <w:right w:val="single" w:color="auto" w:sz="4" w:space="0"/>
            </w:tcBorders>
            <w:noWrap/>
            <w:vAlign w:val="center"/>
          </w:tcPr>
          <w:p w14:paraId="5BFE67F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6993A87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671F6F3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6000≤Y＜80000</w:t>
            </w:r>
          </w:p>
        </w:tc>
        <w:tc>
          <w:tcPr>
            <w:tcW w:w="1678" w:type="dxa"/>
            <w:tcBorders>
              <w:top w:val="nil"/>
              <w:left w:val="nil"/>
              <w:bottom w:val="single" w:color="auto" w:sz="4" w:space="0"/>
              <w:right w:val="single" w:color="auto" w:sz="4" w:space="0"/>
            </w:tcBorders>
            <w:noWrap/>
            <w:vAlign w:val="center"/>
          </w:tcPr>
          <w:p w14:paraId="6E08F6E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300≤Y＜6000</w:t>
            </w:r>
          </w:p>
        </w:tc>
        <w:tc>
          <w:tcPr>
            <w:tcW w:w="1077" w:type="dxa"/>
            <w:tcBorders>
              <w:top w:val="nil"/>
              <w:left w:val="nil"/>
              <w:bottom w:val="single" w:color="auto" w:sz="4" w:space="0"/>
              <w:right w:val="single" w:color="auto" w:sz="4" w:space="0"/>
            </w:tcBorders>
            <w:noWrap/>
            <w:vAlign w:val="center"/>
          </w:tcPr>
          <w:p w14:paraId="1FE2A42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Y＜300</w:t>
            </w:r>
          </w:p>
        </w:tc>
      </w:tr>
      <w:tr w14:paraId="17B63DA1">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20DBA8F6">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742044B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资产总额（Z）</w:t>
            </w:r>
          </w:p>
        </w:tc>
        <w:tc>
          <w:tcPr>
            <w:tcW w:w="1063" w:type="dxa"/>
            <w:tcBorders>
              <w:top w:val="nil"/>
              <w:left w:val="nil"/>
              <w:bottom w:val="single" w:color="auto" w:sz="4" w:space="0"/>
              <w:right w:val="single" w:color="auto" w:sz="4" w:space="0"/>
            </w:tcBorders>
            <w:noWrap/>
            <w:vAlign w:val="center"/>
          </w:tcPr>
          <w:p w14:paraId="6FB7A4C0">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1B55B3D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5000≤Z＜80000</w:t>
            </w:r>
          </w:p>
        </w:tc>
        <w:tc>
          <w:tcPr>
            <w:tcW w:w="1678" w:type="dxa"/>
            <w:tcBorders>
              <w:top w:val="nil"/>
              <w:left w:val="nil"/>
              <w:bottom w:val="single" w:color="auto" w:sz="4" w:space="0"/>
              <w:right w:val="single" w:color="auto" w:sz="4" w:space="0"/>
            </w:tcBorders>
            <w:noWrap/>
            <w:vAlign w:val="center"/>
          </w:tcPr>
          <w:p w14:paraId="7FCCDB0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300≤Z＜5000</w:t>
            </w:r>
          </w:p>
        </w:tc>
        <w:tc>
          <w:tcPr>
            <w:tcW w:w="1077" w:type="dxa"/>
            <w:tcBorders>
              <w:top w:val="nil"/>
              <w:left w:val="nil"/>
              <w:bottom w:val="single" w:color="auto" w:sz="4" w:space="0"/>
              <w:right w:val="single" w:color="auto" w:sz="4" w:space="0"/>
            </w:tcBorders>
            <w:noWrap/>
            <w:vAlign w:val="center"/>
          </w:tcPr>
          <w:p w14:paraId="305213E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Z＜300</w:t>
            </w:r>
          </w:p>
        </w:tc>
      </w:tr>
      <w:tr w14:paraId="7275C511">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7E3F834B">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批发业</w:t>
            </w:r>
          </w:p>
        </w:tc>
        <w:tc>
          <w:tcPr>
            <w:tcW w:w="1611" w:type="dxa"/>
            <w:tcBorders>
              <w:top w:val="nil"/>
              <w:left w:val="nil"/>
              <w:bottom w:val="single" w:color="auto" w:sz="4" w:space="0"/>
              <w:right w:val="single" w:color="auto" w:sz="4" w:space="0"/>
            </w:tcBorders>
            <w:noWrap/>
            <w:vAlign w:val="center"/>
          </w:tcPr>
          <w:p w14:paraId="7EC070C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4B53B05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6FF5468F">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20≤X＜200</w:t>
            </w:r>
          </w:p>
        </w:tc>
        <w:tc>
          <w:tcPr>
            <w:tcW w:w="1678" w:type="dxa"/>
            <w:tcBorders>
              <w:top w:val="nil"/>
              <w:left w:val="nil"/>
              <w:bottom w:val="single" w:color="auto" w:sz="4" w:space="0"/>
              <w:right w:val="single" w:color="auto" w:sz="4" w:space="0"/>
            </w:tcBorders>
            <w:noWrap/>
            <w:vAlign w:val="center"/>
          </w:tcPr>
          <w:p w14:paraId="465CFEF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5≤X＜20</w:t>
            </w:r>
          </w:p>
        </w:tc>
        <w:tc>
          <w:tcPr>
            <w:tcW w:w="1077" w:type="dxa"/>
            <w:tcBorders>
              <w:top w:val="nil"/>
              <w:left w:val="nil"/>
              <w:bottom w:val="single" w:color="auto" w:sz="4" w:space="0"/>
              <w:right w:val="single" w:color="auto" w:sz="4" w:space="0"/>
            </w:tcBorders>
            <w:noWrap/>
            <w:vAlign w:val="center"/>
          </w:tcPr>
          <w:p w14:paraId="638E98C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X＜5</w:t>
            </w:r>
          </w:p>
        </w:tc>
      </w:tr>
      <w:tr w14:paraId="642753C2">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3FEDD844">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12533CD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7512887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1AB403A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5000≤Y＜40000</w:t>
            </w:r>
          </w:p>
        </w:tc>
        <w:tc>
          <w:tcPr>
            <w:tcW w:w="1678" w:type="dxa"/>
            <w:tcBorders>
              <w:top w:val="nil"/>
              <w:left w:val="nil"/>
              <w:bottom w:val="single" w:color="auto" w:sz="4" w:space="0"/>
              <w:right w:val="single" w:color="auto" w:sz="4" w:space="0"/>
            </w:tcBorders>
            <w:noWrap/>
            <w:vAlign w:val="center"/>
          </w:tcPr>
          <w:p w14:paraId="49A1036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1000≤Y＜5000</w:t>
            </w:r>
          </w:p>
        </w:tc>
        <w:tc>
          <w:tcPr>
            <w:tcW w:w="1077" w:type="dxa"/>
            <w:tcBorders>
              <w:top w:val="nil"/>
              <w:left w:val="nil"/>
              <w:bottom w:val="single" w:color="auto" w:sz="4" w:space="0"/>
              <w:right w:val="single" w:color="auto" w:sz="4" w:space="0"/>
            </w:tcBorders>
            <w:noWrap/>
            <w:vAlign w:val="center"/>
          </w:tcPr>
          <w:p w14:paraId="2DBD1E3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Y＜1000</w:t>
            </w:r>
          </w:p>
        </w:tc>
      </w:tr>
      <w:tr w14:paraId="31F843A5">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7C37B119">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零售业</w:t>
            </w:r>
          </w:p>
        </w:tc>
        <w:tc>
          <w:tcPr>
            <w:tcW w:w="1611" w:type="dxa"/>
            <w:tcBorders>
              <w:top w:val="nil"/>
              <w:left w:val="nil"/>
              <w:bottom w:val="single" w:color="auto" w:sz="4" w:space="0"/>
              <w:right w:val="single" w:color="auto" w:sz="4" w:space="0"/>
            </w:tcBorders>
            <w:noWrap/>
            <w:vAlign w:val="center"/>
          </w:tcPr>
          <w:p w14:paraId="6134813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35D41DC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7440D15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50≤X＜300</w:t>
            </w:r>
          </w:p>
        </w:tc>
        <w:tc>
          <w:tcPr>
            <w:tcW w:w="1678" w:type="dxa"/>
            <w:tcBorders>
              <w:top w:val="nil"/>
              <w:left w:val="nil"/>
              <w:bottom w:val="single" w:color="auto" w:sz="4" w:space="0"/>
              <w:right w:val="single" w:color="auto" w:sz="4" w:space="0"/>
            </w:tcBorders>
            <w:noWrap/>
            <w:vAlign w:val="center"/>
          </w:tcPr>
          <w:p w14:paraId="73B518A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10≤X＜50</w:t>
            </w:r>
          </w:p>
        </w:tc>
        <w:tc>
          <w:tcPr>
            <w:tcW w:w="1077" w:type="dxa"/>
            <w:tcBorders>
              <w:top w:val="nil"/>
              <w:left w:val="nil"/>
              <w:bottom w:val="single" w:color="auto" w:sz="4" w:space="0"/>
              <w:right w:val="single" w:color="auto" w:sz="4" w:space="0"/>
            </w:tcBorders>
            <w:noWrap/>
            <w:vAlign w:val="center"/>
          </w:tcPr>
          <w:p w14:paraId="4EC17C7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r w14:paraId="79FE3DE4">
        <w:tblPrEx>
          <w:tblCellMar>
            <w:top w:w="0" w:type="dxa"/>
            <w:left w:w="108" w:type="dxa"/>
            <w:bottom w:w="0" w:type="dxa"/>
            <w:right w:w="108" w:type="dxa"/>
          </w:tblCellMar>
        </w:tblPrEx>
        <w:trPr>
          <w:trHeight w:val="357"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0ECDF6B1">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3C8A38F5">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27614F4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382F397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500≤Y＜20000</w:t>
            </w:r>
          </w:p>
        </w:tc>
        <w:tc>
          <w:tcPr>
            <w:tcW w:w="1678" w:type="dxa"/>
            <w:tcBorders>
              <w:top w:val="nil"/>
              <w:left w:val="nil"/>
              <w:bottom w:val="single" w:color="auto" w:sz="4" w:space="0"/>
              <w:right w:val="single" w:color="auto" w:sz="4" w:space="0"/>
            </w:tcBorders>
            <w:noWrap/>
            <w:vAlign w:val="center"/>
          </w:tcPr>
          <w:p w14:paraId="637697D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100≤Y＜500</w:t>
            </w:r>
          </w:p>
        </w:tc>
        <w:tc>
          <w:tcPr>
            <w:tcW w:w="1077" w:type="dxa"/>
            <w:tcBorders>
              <w:top w:val="nil"/>
              <w:left w:val="nil"/>
              <w:bottom w:val="single" w:color="auto" w:sz="4" w:space="0"/>
              <w:right w:val="single" w:color="auto" w:sz="4" w:space="0"/>
            </w:tcBorders>
            <w:noWrap/>
            <w:vAlign w:val="center"/>
          </w:tcPr>
          <w:p w14:paraId="6552B84B">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270E28CC">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3AEE6FEF">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交通运输业</w:t>
            </w:r>
          </w:p>
        </w:tc>
        <w:tc>
          <w:tcPr>
            <w:tcW w:w="1611" w:type="dxa"/>
            <w:tcBorders>
              <w:top w:val="nil"/>
              <w:left w:val="nil"/>
              <w:bottom w:val="single" w:color="auto" w:sz="4" w:space="0"/>
              <w:right w:val="single" w:color="auto" w:sz="4" w:space="0"/>
            </w:tcBorders>
            <w:noWrap/>
            <w:vAlign w:val="center"/>
          </w:tcPr>
          <w:p w14:paraId="29D6EFC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1A1F898B">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513D51B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300≤X＜1000</w:t>
            </w:r>
          </w:p>
        </w:tc>
        <w:tc>
          <w:tcPr>
            <w:tcW w:w="1678" w:type="dxa"/>
            <w:tcBorders>
              <w:top w:val="nil"/>
              <w:left w:val="nil"/>
              <w:bottom w:val="single" w:color="auto" w:sz="4" w:space="0"/>
              <w:right w:val="single" w:color="auto" w:sz="4" w:space="0"/>
            </w:tcBorders>
            <w:noWrap/>
            <w:vAlign w:val="center"/>
          </w:tcPr>
          <w:p w14:paraId="7E6CEF8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20≤X＜300</w:t>
            </w:r>
          </w:p>
        </w:tc>
        <w:tc>
          <w:tcPr>
            <w:tcW w:w="1077" w:type="dxa"/>
            <w:tcBorders>
              <w:top w:val="nil"/>
              <w:left w:val="nil"/>
              <w:bottom w:val="single" w:color="auto" w:sz="4" w:space="0"/>
              <w:right w:val="single" w:color="auto" w:sz="4" w:space="0"/>
            </w:tcBorders>
            <w:noWrap/>
            <w:vAlign w:val="center"/>
          </w:tcPr>
          <w:p w14:paraId="636FEB0A">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X＜20</w:t>
            </w:r>
          </w:p>
        </w:tc>
      </w:tr>
      <w:tr w14:paraId="62A2D80A">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2423CE8A">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3B6FBE8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47F5A7A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69EDCFA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3000≤Y＜30000</w:t>
            </w:r>
          </w:p>
        </w:tc>
        <w:tc>
          <w:tcPr>
            <w:tcW w:w="1678" w:type="dxa"/>
            <w:tcBorders>
              <w:top w:val="nil"/>
              <w:left w:val="nil"/>
              <w:bottom w:val="single" w:color="auto" w:sz="4" w:space="0"/>
              <w:right w:val="single" w:color="auto" w:sz="4" w:space="0"/>
            </w:tcBorders>
            <w:noWrap/>
            <w:vAlign w:val="center"/>
          </w:tcPr>
          <w:p w14:paraId="78A7C3BB">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200≤Y＜3000</w:t>
            </w:r>
          </w:p>
        </w:tc>
        <w:tc>
          <w:tcPr>
            <w:tcW w:w="1077" w:type="dxa"/>
            <w:tcBorders>
              <w:top w:val="nil"/>
              <w:left w:val="nil"/>
              <w:bottom w:val="single" w:color="auto" w:sz="4" w:space="0"/>
              <w:right w:val="single" w:color="auto" w:sz="4" w:space="0"/>
            </w:tcBorders>
            <w:noWrap/>
            <w:vAlign w:val="center"/>
          </w:tcPr>
          <w:p w14:paraId="45C4728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Y＜200</w:t>
            </w:r>
          </w:p>
        </w:tc>
      </w:tr>
      <w:tr w14:paraId="6CFC3104">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5129CEC6">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仓储业</w:t>
            </w:r>
          </w:p>
        </w:tc>
        <w:tc>
          <w:tcPr>
            <w:tcW w:w="1611" w:type="dxa"/>
            <w:tcBorders>
              <w:top w:val="nil"/>
              <w:left w:val="nil"/>
              <w:bottom w:val="single" w:color="auto" w:sz="4" w:space="0"/>
              <w:right w:val="single" w:color="auto" w:sz="4" w:space="0"/>
            </w:tcBorders>
            <w:noWrap/>
            <w:vAlign w:val="center"/>
          </w:tcPr>
          <w:p w14:paraId="7634FF8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658E6AC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77D93DE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100≤X＜200</w:t>
            </w:r>
          </w:p>
        </w:tc>
        <w:tc>
          <w:tcPr>
            <w:tcW w:w="1678" w:type="dxa"/>
            <w:tcBorders>
              <w:top w:val="nil"/>
              <w:left w:val="nil"/>
              <w:bottom w:val="single" w:color="auto" w:sz="4" w:space="0"/>
              <w:right w:val="single" w:color="auto" w:sz="4" w:space="0"/>
            </w:tcBorders>
            <w:noWrap/>
            <w:vAlign w:val="center"/>
          </w:tcPr>
          <w:p w14:paraId="45B33CFA">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20≤X＜100</w:t>
            </w:r>
          </w:p>
        </w:tc>
        <w:tc>
          <w:tcPr>
            <w:tcW w:w="1077" w:type="dxa"/>
            <w:tcBorders>
              <w:top w:val="nil"/>
              <w:left w:val="nil"/>
              <w:bottom w:val="single" w:color="auto" w:sz="4" w:space="0"/>
              <w:right w:val="single" w:color="auto" w:sz="4" w:space="0"/>
            </w:tcBorders>
            <w:noWrap/>
            <w:vAlign w:val="center"/>
          </w:tcPr>
          <w:p w14:paraId="340F18C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X＜20</w:t>
            </w:r>
          </w:p>
        </w:tc>
      </w:tr>
      <w:tr w14:paraId="752C22F5">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1E503F5B">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7C06FB6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5F188CC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422D897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1000≤Y＜30000</w:t>
            </w:r>
          </w:p>
        </w:tc>
        <w:tc>
          <w:tcPr>
            <w:tcW w:w="1678" w:type="dxa"/>
            <w:tcBorders>
              <w:top w:val="nil"/>
              <w:left w:val="nil"/>
              <w:bottom w:val="single" w:color="auto" w:sz="4" w:space="0"/>
              <w:right w:val="single" w:color="auto" w:sz="4" w:space="0"/>
            </w:tcBorders>
            <w:noWrap/>
            <w:vAlign w:val="center"/>
          </w:tcPr>
          <w:p w14:paraId="01C370D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100≤Y＜1000</w:t>
            </w:r>
          </w:p>
        </w:tc>
        <w:tc>
          <w:tcPr>
            <w:tcW w:w="1077" w:type="dxa"/>
            <w:tcBorders>
              <w:top w:val="nil"/>
              <w:left w:val="nil"/>
              <w:bottom w:val="single" w:color="auto" w:sz="4" w:space="0"/>
              <w:right w:val="single" w:color="auto" w:sz="4" w:space="0"/>
            </w:tcBorders>
            <w:noWrap/>
            <w:vAlign w:val="center"/>
          </w:tcPr>
          <w:p w14:paraId="3A50A8E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5C1BBC42">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2724D0A1">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邮政业</w:t>
            </w:r>
          </w:p>
        </w:tc>
        <w:tc>
          <w:tcPr>
            <w:tcW w:w="1611" w:type="dxa"/>
            <w:tcBorders>
              <w:top w:val="nil"/>
              <w:left w:val="nil"/>
              <w:bottom w:val="single" w:color="auto" w:sz="4" w:space="0"/>
              <w:right w:val="single" w:color="auto" w:sz="4" w:space="0"/>
            </w:tcBorders>
            <w:noWrap/>
            <w:vAlign w:val="center"/>
          </w:tcPr>
          <w:p w14:paraId="68C71B1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419EE5B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40D90E2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300≤X＜1000</w:t>
            </w:r>
          </w:p>
        </w:tc>
        <w:tc>
          <w:tcPr>
            <w:tcW w:w="1678" w:type="dxa"/>
            <w:tcBorders>
              <w:top w:val="nil"/>
              <w:left w:val="nil"/>
              <w:bottom w:val="single" w:color="auto" w:sz="4" w:space="0"/>
              <w:right w:val="single" w:color="auto" w:sz="4" w:space="0"/>
            </w:tcBorders>
            <w:noWrap/>
            <w:vAlign w:val="center"/>
          </w:tcPr>
          <w:p w14:paraId="6C5C3AB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20≤X＜300</w:t>
            </w:r>
          </w:p>
        </w:tc>
        <w:tc>
          <w:tcPr>
            <w:tcW w:w="1077" w:type="dxa"/>
            <w:tcBorders>
              <w:top w:val="nil"/>
              <w:left w:val="nil"/>
              <w:bottom w:val="single" w:color="auto" w:sz="4" w:space="0"/>
              <w:right w:val="single" w:color="auto" w:sz="4" w:space="0"/>
            </w:tcBorders>
            <w:noWrap/>
            <w:vAlign w:val="center"/>
          </w:tcPr>
          <w:p w14:paraId="30EC229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X＜20</w:t>
            </w:r>
          </w:p>
        </w:tc>
      </w:tr>
      <w:tr w14:paraId="33FE85B4">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0CBB5153">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0FC7818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3856582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0057457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2000≤Y＜30000</w:t>
            </w:r>
          </w:p>
        </w:tc>
        <w:tc>
          <w:tcPr>
            <w:tcW w:w="1678" w:type="dxa"/>
            <w:tcBorders>
              <w:top w:val="nil"/>
              <w:left w:val="nil"/>
              <w:bottom w:val="single" w:color="auto" w:sz="4" w:space="0"/>
              <w:right w:val="single" w:color="auto" w:sz="4" w:space="0"/>
            </w:tcBorders>
            <w:noWrap/>
            <w:vAlign w:val="center"/>
          </w:tcPr>
          <w:p w14:paraId="3632ED5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100≤Y＜2000</w:t>
            </w:r>
          </w:p>
        </w:tc>
        <w:tc>
          <w:tcPr>
            <w:tcW w:w="1077" w:type="dxa"/>
            <w:tcBorders>
              <w:top w:val="nil"/>
              <w:left w:val="nil"/>
              <w:bottom w:val="single" w:color="auto" w:sz="4" w:space="0"/>
              <w:right w:val="single" w:color="auto" w:sz="4" w:space="0"/>
            </w:tcBorders>
            <w:noWrap/>
            <w:vAlign w:val="center"/>
          </w:tcPr>
          <w:p w14:paraId="053D601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3331B966">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0BA35913">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住宿业</w:t>
            </w:r>
          </w:p>
        </w:tc>
        <w:tc>
          <w:tcPr>
            <w:tcW w:w="1611" w:type="dxa"/>
            <w:tcBorders>
              <w:top w:val="nil"/>
              <w:left w:val="nil"/>
              <w:bottom w:val="single" w:color="auto" w:sz="4" w:space="0"/>
              <w:right w:val="single" w:color="auto" w:sz="4" w:space="0"/>
            </w:tcBorders>
            <w:noWrap/>
            <w:vAlign w:val="center"/>
          </w:tcPr>
          <w:p w14:paraId="23AEE65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049F9D8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7A1883DB">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100≤X＜300</w:t>
            </w:r>
          </w:p>
        </w:tc>
        <w:tc>
          <w:tcPr>
            <w:tcW w:w="1678" w:type="dxa"/>
            <w:tcBorders>
              <w:top w:val="nil"/>
              <w:left w:val="nil"/>
              <w:bottom w:val="single" w:color="auto" w:sz="4" w:space="0"/>
              <w:right w:val="single" w:color="auto" w:sz="4" w:space="0"/>
            </w:tcBorders>
            <w:noWrap/>
            <w:vAlign w:val="center"/>
          </w:tcPr>
          <w:p w14:paraId="6F919395">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10≤X＜100</w:t>
            </w:r>
          </w:p>
        </w:tc>
        <w:tc>
          <w:tcPr>
            <w:tcW w:w="1077" w:type="dxa"/>
            <w:tcBorders>
              <w:top w:val="nil"/>
              <w:left w:val="nil"/>
              <w:bottom w:val="single" w:color="auto" w:sz="4" w:space="0"/>
              <w:right w:val="single" w:color="auto" w:sz="4" w:space="0"/>
            </w:tcBorders>
            <w:noWrap/>
            <w:vAlign w:val="center"/>
          </w:tcPr>
          <w:p w14:paraId="583BB76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r w14:paraId="3693F8EE">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091E2C86">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3FB10F3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599194C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1E6D789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2000≤Y＜10000</w:t>
            </w:r>
          </w:p>
        </w:tc>
        <w:tc>
          <w:tcPr>
            <w:tcW w:w="1678" w:type="dxa"/>
            <w:tcBorders>
              <w:top w:val="nil"/>
              <w:left w:val="nil"/>
              <w:bottom w:val="single" w:color="auto" w:sz="4" w:space="0"/>
              <w:right w:val="single" w:color="auto" w:sz="4" w:space="0"/>
            </w:tcBorders>
            <w:noWrap/>
            <w:vAlign w:val="center"/>
          </w:tcPr>
          <w:p w14:paraId="1487E50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100≤Y＜2000</w:t>
            </w:r>
          </w:p>
        </w:tc>
        <w:tc>
          <w:tcPr>
            <w:tcW w:w="1077" w:type="dxa"/>
            <w:tcBorders>
              <w:top w:val="nil"/>
              <w:left w:val="nil"/>
              <w:bottom w:val="single" w:color="auto" w:sz="4" w:space="0"/>
              <w:right w:val="single" w:color="auto" w:sz="4" w:space="0"/>
            </w:tcBorders>
            <w:noWrap/>
            <w:vAlign w:val="center"/>
          </w:tcPr>
          <w:p w14:paraId="585AB23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2783A05A">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7154B5DA">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餐饮业</w:t>
            </w:r>
          </w:p>
        </w:tc>
        <w:tc>
          <w:tcPr>
            <w:tcW w:w="1611" w:type="dxa"/>
            <w:tcBorders>
              <w:top w:val="nil"/>
              <w:left w:val="nil"/>
              <w:bottom w:val="single" w:color="auto" w:sz="4" w:space="0"/>
              <w:right w:val="single" w:color="auto" w:sz="4" w:space="0"/>
            </w:tcBorders>
            <w:noWrap/>
            <w:vAlign w:val="center"/>
          </w:tcPr>
          <w:p w14:paraId="4D55580F">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7F4C1E9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7B43355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100≤X＜300</w:t>
            </w:r>
          </w:p>
        </w:tc>
        <w:tc>
          <w:tcPr>
            <w:tcW w:w="1678" w:type="dxa"/>
            <w:tcBorders>
              <w:top w:val="nil"/>
              <w:left w:val="nil"/>
              <w:bottom w:val="single" w:color="auto" w:sz="4" w:space="0"/>
              <w:right w:val="single" w:color="auto" w:sz="4" w:space="0"/>
            </w:tcBorders>
            <w:noWrap/>
            <w:vAlign w:val="center"/>
          </w:tcPr>
          <w:p w14:paraId="0798382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10≤X＜100</w:t>
            </w:r>
          </w:p>
        </w:tc>
        <w:tc>
          <w:tcPr>
            <w:tcW w:w="1077" w:type="dxa"/>
            <w:tcBorders>
              <w:top w:val="nil"/>
              <w:left w:val="nil"/>
              <w:bottom w:val="single" w:color="auto" w:sz="4" w:space="0"/>
              <w:right w:val="single" w:color="auto" w:sz="4" w:space="0"/>
            </w:tcBorders>
            <w:noWrap/>
            <w:vAlign w:val="center"/>
          </w:tcPr>
          <w:p w14:paraId="6C57ABF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r w14:paraId="34D24435">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337CFAD3">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3B8B39F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40699B2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39F0697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2000≤Y＜10000</w:t>
            </w:r>
          </w:p>
        </w:tc>
        <w:tc>
          <w:tcPr>
            <w:tcW w:w="1678" w:type="dxa"/>
            <w:tcBorders>
              <w:top w:val="nil"/>
              <w:left w:val="nil"/>
              <w:bottom w:val="single" w:color="auto" w:sz="4" w:space="0"/>
              <w:right w:val="single" w:color="auto" w:sz="4" w:space="0"/>
            </w:tcBorders>
            <w:noWrap/>
            <w:vAlign w:val="center"/>
          </w:tcPr>
          <w:p w14:paraId="65D2A10F">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100≤Y＜2000</w:t>
            </w:r>
          </w:p>
        </w:tc>
        <w:tc>
          <w:tcPr>
            <w:tcW w:w="1077" w:type="dxa"/>
            <w:tcBorders>
              <w:top w:val="nil"/>
              <w:left w:val="nil"/>
              <w:bottom w:val="single" w:color="auto" w:sz="4" w:space="0"/>
              <w:right w:val="single" w:color="auto" w:sz="4" w:space="0"/>
            </w:tcBorders>
            <w:noWrap/>
            <w:vAlign w:val="center"/>
          </w:tcPr>
          <w:p w14:paraId="118E062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05B074E5">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22D1005F">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信息传输业</w:t>
            </w:r>
          </w:p>
        </w:tc>
        <w:tc>
          <w:tcPr>
            <w:tcW w:w="1611" w:type="dxa"/>
            <w:tcBorders>
              <w:top w:val="nil"/>
              <w:left w:val="nil"/>
              <w:bottom w:val="single" w:color="auto" w:sz="4" w:space="0"/>
              <w:right w:val="single" w:color="auto" w:sz="4" w:space="0"/>
            </w:tcBorders>
            <w:noWrap/>
            <w:vAlign w:val="center"/>
          </w:tcPr>
          <w:p w14:paraId="7343A8C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51EAFE9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0338BC3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100≤X＜2000</w:t>
            </w:r>
          </w:p>
        </w:tc>
        <w:tc>
          <w:tcPr>
            <w:tcW w:w="1678" w:type="dxa"/>
            <w:tcBorders>
              <w:top w:val="nil"/>
              <w:left w:val="nil"/>
              <w:bottom w:val="single" w:color="auto" w:sz="4" w:space="0"/>
              <w:right w:val="single" w:color="auto" w:sz="4" w:space="0"/>
            </w:tcBorders>
            <w:noWrap/>
            <w:vAlign w:val="center"/>
          </w:tcPr>
          <w:p w14:paraId="7E3C3F8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10≤X＜100</w:t>
            </w:r>
          </w:p>
        </w:tc>
        <w:tc>
          <w:tcPr>
            <w:tcW w:w="1077" w:type="dxa"/>
            <w:tcBorders>
              <w:top w:val="nil"/>
              <w:left w:val="nil"/>
              <w:bottom w:val="single" w:color="auto" w:sz="4" w:space="0"/>
              <w:right w:val="single" w:color="auto" w:sz="4" w:space="0"/>
            </w:tcBorders>
            <w:noWrap/>
            <w:vAlign w:val="center"/>
          </w:tcPr>
          <w:p w14:paraId="57950FA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r w14:paraId="0C782F05">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33D7E6B0">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44A2B460">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1AF9900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53A3DD8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1000≤Y＜100000</w:t>
            </w:r>
          </w:p>
        </w:tc>
        <w:tc>
          <w:tcPr>
            <w:tcW w:w="1678" w:type="dxa"/>
            <w:tcBorders>
              <w:top w:val="nil"/>
              <w:left w:val="nil"/>
              <w:bottom w:val="single" w:color="auto" w:sz="4" w:space="0"/>
              <w:right w:val="single" w:color="auto" w:sz="4" w:space="0"/>
            </w:tcBorders>
            <w:noWrap/>
            <w:vAlign w:val="center"/>
          </w:tcPr>
          <w:p w14:paraId="36B3D11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100≤Y＜1000</w:t>
            </w:r>
          </w:p>
        </w:tc>
        <w:tc>
          <w:tcPr>
            <w:tcW w:w="1077" w:type="dxa"/>
            <w:tcBorders>
              <w:top w:val="nil"/>
              <w:left w:val="nil"/>
              <w:bottom w:val="single" w:color="auto" w:sz="4" w:space="0"/>
              <w:right w:val="single" w:color="auto" w:sz="4" w:space="0"/>
            </w:tcBorders>
            <w:noWrap/>
            <w:vAlign w:val="center"/>
          </w:tcPr>
          <w:p w14:paraId="11DE54F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7883AA9E">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6D3C0029">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软件和信息技术服务业</w:t>
            </w:r>
          </w:p>
        </w:tc>
        <w:tc>
          <w:tcPr>
            <w:tcW w:w="1611" w:type="dxa"/>
            <w:tcBorders>
              <w:top w:val="nil"/>
              <w:left w:val="nil"/>
              <w:bottom w:val="single" w:color="auto" w:sz="4" w:space="0"/>
              <w:right w:val="single" w:color="auto" w:sz="4" w:space="0"/>
            </w:tcBorders>
            <w:noWrap/>
            <w:vAlign w:val="center"/>
          </w:tcPr>
          <w:p w14:paraId="7EFEC90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7F8F9A2A">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2791C69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100≤X＜300</w:t>
            </w:r>
          </w:p>
        </w:tc>
        <w:tc>
          <w:tcPr>
            <w:tcW w:w="1678" w:type="dxa"/>
            <w:tcBorders>
              <w:top w:val="nil"/>
              <w:left w:val="nil"/>
              <w:bottom w:val="single" w:color="auto" w:sz="4" w:space="0"/>
              <w:right w:val="single" w:color="auto" w:sz="4" w:space="0"/>
            </w:tcBorders>
            <w:noWrap/>
            <w:vAlign w:val="center"/>
          </w:tcPr>
          <w:p w14:paraId="3448375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10≤X＜100</w:t>
            </w:r>
          </w:p>
        </w:tc>
        <w:tc>
          <w:tcPr>
            <w:tcW w:w="1077" w:type="dxa"/>
            <w:tcBorders>
              <w:top w:val="nil"/>
              <w:left w:val="nil"/>
              <w:bottom w:val="single" w:color="auto" w:sz="4" w:space="0"/>
              <w:right w:val="single" w:color="auto" w:sz="4" w:space="0"/>
            </w:tcBorders>
            <w:noWrap/>
            <w:vAlign w:val="center"/>
          </w:tcPr>
          <w:p w14:paraId="5C0AC6E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r w14:paraId="2219D64A">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11E40EC3">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083E16A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5D340185">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3EABB78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1000≤Y＜10000</w:t>
            </w:r>
          </w:p>
        </w:tc>
        <w:tc>
          <w:tcPr>
            <w:tcW w:w="1678" w:type="dxa"/>
            <w:tcBorders>
              <w:top w:val="nil"/>
              <w:left w:val="nil"/>
              <w:bottom w:val="single" w:color="auto" w:sz="4" w:space="0"/>
              <w:right w:val="single" w:color="auto" w:sz="4" w:space="0"/>
            </w:tcBorders>
            <w:noWrap/>
            <w:vAlign w:val="center"/>
          </w:tcPr>
          <w:p w14:paraId="777B53E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50≤Y＜1000</w:t>
            </w:r>
          </w:p>
        </w:tc>
        <w:tc>
          <w:tcPr>
            <w:tcW w:w="1077" w:type="dxa"/>
            <w:tcBorders>
              <w:top w:val="nil"/>
              <w:left w:val="nil"/>
              <w:bottom w:val="single" w:color="auto" w:sz="4" w:space="0"/>
              <w:right w:val="single" w:color="auto" w:sz="4" w:space="0"/>
            </w:tcBorders>
            <w:noWrap/>
            <w:vAlign w:val="center"/>
          </w:tcPr>
          <w:p w14:paraId="116F270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Y＜50</w:t>
            </w:r>
          </w:p>
        </w:tc>
      </w:tr>
      <w:tr w14:paraId="2C96D973">
        <w:tblPrEx>
          <w:tblCellMar>
            <w:top w:w="0" w:type="dxa"/>
            <w:left w:w="108" w:type="dxa"/>
            <w:bottom w:w="0" w:type="dxa"/>
            <w:right w:w="108" w:type="dxa"/>
          </w:tblCellMar>
        </w:tblPrEx>
        <w:trPr>
          <w:trHeight w:val="359"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05388B2F">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房地产开发经营</w:t>
            </w:r>
          </w:p>
        </w:tc>
        <w:tc>
          <w:tcPr>
            <w:tcW w:w="1611" w:type="dxa"/>
            <w:tcBorders>
              <w:top w:val="nil"/>
              <w:left w:val="nil"/>
              <w:bottom w:val="single" w:color="auto" w:sz="4" w:space="0"/>
              <w:right w:val="single" w:color="auto" w:sz="4" w:space="0"/>
            </w:tcBorders>
            <w:noWrap/>
            <w:vAlign w:val="center"/>
          </w:tcPr>
          <w:p w14:paraId="090DFF8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3664495D">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5922B9E0">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1000≤Y＜200000</w:t>
            </w:r>
          </w:p>
        </w:tc>
        <w:tc>
          <w:tcPr>
            <w:tcW w:w="1678" w:type="dxa"/>
            <w:tcBorders>
              <w:top w:val="nil"/>
              <w:left w:val="nil"/>
              <w:bottom w:val="single" w:color="auto" w:sz="4" w:space="0"/>
              <w:right w:val="single" w:color="auto" w:sz="4" w:space="0"/>
            </w:tcBorders>
            <w:noWrap/>
            <w:vAlign w:val="center"/>
          </w:tcPr>
          <w:p w14:paraId="25B1B3A0">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100≤X＜1000</w:t>
            </w:r>
          </w:p>
        </w:tc>
        <w:tc>
          <w:tcPr>
            <w:tcW w:w="1077" w:type="dxa"/>
            <w:tcBorders>
              <w:top w:val="nil"/>
              <w:left w:val="nil"/>
              <w:bottom w:val="single" w:color="auto" w:sz="4" w:space="0"/>
              <w:right w:val="single" w:color="auto" w:sz="4" w:space="0"/>
            </w:tcBorders>
            <w:noWrap/>
            <w:vAlign w:val="center"/>
          </w:tcPr>
          <w:p w14:paraId="50439E4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X＜100</w:t>
            </w:r>
          </w:p>
        </w:tc>
      </w:tr>
      <w:tr w14:paraId="76D4EC11">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4C972BEB">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68077E5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资产总额（Z）</w:t>
            </w:r>
          </w:p>
        </w:tc>
        <w:tc>
          <w:tcPr>
            <w:tcW w:w="1063" w:type="dxa"/>
            <w:tcBorders>
              <w:top w:val="nil"/>
              <w:left w:val="nil"/>
              <w:bottom w:val="single" w:color="auto" w:sz="4" w:space="0"/>
              <w:right w:val="single" w:color="auto" w:sz="4" w:space="0"/>
            </w:tcBorders>
            <w:noWrap/>
            <w:vAlign w:val="center"/>
          </w:tcPr>
          <w:p w14:paraId="57CB1E1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0AE8606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5000≤Z＜10000</w:t>
            </w:r>
          </w:p>
        </w:tc>
        <w:tc>
          <w:tcPr>
            <w:tcW w:w="1678" w:type="dxa"/>
            <w:tcBorders>
              <w:top w:val="nil"/>
              <w:left w:val="nil"/>
              <w:bottom w:val="single" w:color="auto" w:sz="4" w:space="0"/>
              <w:right w:val="single" w:color="auto" w:sz="4" w:space="0"/>
            </w:tcBorders>
            <w:noWrap/>
            <w:vAlign w:val="center"/>
          </w:tcPr>
          <w:p w14:paraId="5FD5B625">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2000≤Y＜5000</w:t>
            </w:r>
          </w:p>
        </w:tc>
        <w:tc>
          <w:tcPr>
            <w:tcW w:w="1077" w:type="dxa"/>
            <w:tcBorders>
              <w:top w:val="nil"/>
              <w:left w:val="nil"/>
              <w:bottom w:val="single" w:color="auto" w:sz="4" w:space="0"/>
              <w:right w:val="single" w:color="auto" w:sz="4" w:space="0"/>
            </w:tcBorders>
            <w:noWrap/>
            <w:vAlign w:val="center"/>
          </w:tcPr>
          <w:p w14:paraId="335317D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Y＜2000</w:t>
            </w:r>
          </w:p>
        </w:tc>
      </w:tr>
      <w:tr w14:paraId="5B967E16">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4E660FCE">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物业管理</w:t>
            </w:r>
          </w:p>
        </w:tc>
        <w:tc>
          <w:tcPr>
            <w:tcW w:w="1611" w:type="dxa"/>
            <w:tcBorders>
              <w:top w:val="nil"/>
              <w:left w:val="nil"/>
              <w:bottom w:val="single" w:color="auto" w:sz="4" w:space="0"/>
              <w:right w:val="single" w:color="auto" w:sz="4" w:space="0"/>
            </w:tcBorders>
            <w:noWrap/>
            <w:vAlign w:val="center"/>
          </w:tcPr>
          <w:p w14:paraId="0B7BC53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6C5A8BA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11EB637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300≤X＜1000</w:t>
            </w:r>
          </w:p>
        </w:tc>
        <w:tc>
          <w:tcPr>
            <w:tcW w:w="1678" w:type="dxa"/>
            <w:tcBorders>
              <w:top w:val="nil"/>
              <w:left w:val="nil"/>
              <w:bottom w:val="single" w:color="auto" w:sz="4" w:space="0"/>
              <w:right w:val="single" w:color="auto" w:sz="4" w:space="0"/>
            </w:tcBorders>
            <w:noWrap/>
            <w:vAlign w:val="center"/>
          </w:tcPr>
          <w:p w14:paraId="6654F72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100≤X＜300</w:t>
            </w:r>
          </w:p>
        </w:tc>
        <w:tc>
          <w:tcPr>
            <w:tcW w:w="1077" w:type="dxa"/>
            <w:tcBorders>
              <w:top w:val="nil"/>
              <w:left w:val="nil"/>
              <w:bottom w:val="single" w:color="auto" w:sz="4" w:space="0"/>
              <w:right w:val="single" w:color="auto" w:sz="4" w:space="0"/>
            </w:tcBorders>
            <w:noWrap/>
            <w:vAlign w:val="center"/>
          </w:tcPr>
          <w:p w14:paraId="47291167">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X＜100</w:t>
            </w:r>
          </w:p>
        </w:tc>
      </w:tr>
      <w:tr w14:paraId="5C5E9680">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393430C4">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582536DF">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营业收入（Y）</w:t>
            </w:r>
          </w:p>
        </w:tc>
        <w:tc>
          <w:tcPr>
            <w:tcW w:w="1063" w:type="dxa"/>
            <w:tcBorders>
              <w:top w:val="nil"/>
              <w:left w:val="nil"/>
              <w:bottom w:val="single" w:color="auto" w:sz="4" w:space="0"/>
              <w:right w:val="single" w:color="auto" w:sz="4" w:space="0"/>
            </w:tcBorders>
            <w:noWrap/>
            <w:vAlign w:val="center"/>
          </w:tcPr>
          <w:p w14:paraId="4E6BF37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1739FC81">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1000≤Y＜5000</w:t>
            </w:r>
          </w:p>
        </w:tc>
        <w:tc>
          <w:tcPr>
            <w:tcW w:w="1678" w:type="dxa"/>
            <w:tcBorders>
              <w:top w:val="nil"/>
              <w:left w:val="nil"/>
              <w:bottom w:val="single" w:color="auto" w:sz="4" w:space="0"/>
              <w:right w:val="single" w:color="auto" w:sz="4" w:space="0"/>
            </w:tcBorders>
            <w:noWrap/>
            <w:vAlign w:val="center"/>
          </w:tcPr>
          <w:p w14:paraId="6D9F55E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500≤Y＜1000</w:t>
            </w:r>
          </w:p>
        </w:tc>
        <w:tc>
          <w:tcPr>
            <w:tcW w:w="1077" w:type="dxa"/>
            <w:tcBorders>
              <w:top w:val="nil"/>
              <w:left w:val="nil"/>
              <w:bottom w:val="single" w:color="auto" w:sz="4" w:space="0"/>
              <w:right w:val="single" w:color="auto" w:sz="4" w:space="0"/>
            </w:tcBorders>
            <w:noWrap/>
            <w:vAlign w:val="center"/>
          </w:tcPr>
          <w:p w14:paraId="3A819788">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Y＜500</w:t>
            </w:r>
          </w:p>
        </w:tc>
      </w:tr>
      <w:tr w14:paraId="3344C295">
        <w:tblPrEx>
          <w:tblCellMar>
            <w:top w:w="0" w:type="dxa"/>
            <w:left w:w="108" w:type="dxa"/>
            <w:bottom w:w="0" w:type="dxa"/>
            <w:right w:w="108" w:type="dxa"/>
          </w:tblCellMar>
        </w:tblPrEx>
        <w:trPr>
          <w:trHeight w:val="357" w:hRule="atLeast"/>
          <w:jc w:val="center"/>
        </w:trPr>
        <w:tc>
          <w:tcPr>
            <w:tcW w:w="1981" w:type="dxa"/>
            <w:vMerge w:val="restart"/>
            <w:tcBorders>
              <w:top w:val="nil"/>
              <w:left w:val="single" w:color="auto" w:sz="4" w:space="0"/>
              <w:bottom w:val="single" w:color="auto" w:sz="4" w:space="0"/>
              <w:right w:val="single" w:color="auto" w:sz="4" w:space="0"/>
            </w:tcBorders>
            <w:noWrap/>
            <w:vAlign w:val="center"/>
          </w:tcPr>
          <w:p w14:paraId="10F7F2D3">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租赁和商务服务业</w:t>
            </w:r>
          </w:p>
        </w:tc>
        <w:tc>
          <w:tcPr>
            <w:tcW w:w="1611" w:type="dxa"/>
            <w:tcBorders>
              <w:top w:val="nil"/>
              <w:left w:val="nil"/>
              <w:bottom w:val="single" w:color="auto" w:sz="4" w:space="0"/>
              <w:right w:val="single" w:color="auto" w:sz="4" w:space="0"/>
            </w:tcBorders>
            <w:noWrap/>
            <w:vAlign w:val="center"/>
          </w:tcPr>
          <w:p w14:paraId="2B8E52FB">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19440AD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437EE92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100≤X＜300</w:t>
            </w:r>
          </w:p>
        </w:tc>
        <w:tc>
          <w:tcPr>
            <w:tcW w:w="1678" w:type="dxa"/>
            <w:tcBorders>
              <w:top w:val="nil"/>
              <w:left w:val="nil"/>
              <w:bottom w:val="single" w:color="auto" w:sz="4" w:space="0"/>
              <w:right w:val="single" w:color="auto" w:sz="4" w:space="0"/>
            </w:tcBorders>
            <w:noWrap/>
            <w:vAlign w:val="center"/>
          </w:tcPr>
          <w:p w14:paraId="597C042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10≤X＜100</w:t>
            </w:r>
          </w:p>
        </w:tc>
        <w:tc>
          <w:tcPr>
            <w:tcW w:w="1077" w:type="dxa"/>
            <w:tcBorders>
              <w:top w:val="nil"/>
              <w:left w:val="nil"/>
              <w:bottom w:val="single" w:color="auto" w:sz="4" w:space="0"/>
              <w:right w:val="single" w:color="auto" w:sz="4" w:space="0"/>
            </w:tcBorders>
            <w:noWrap/>
            <w:vAlign w:val="center"/>
          </w:tcPr>
          <w:p w14:paraId="12D35902">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r w14:paraId="7B363FBB">
        <w:tblPrEx>
          <w:tblCellMar>
            <w:top w:w="0" w:type="dxa"/>
            <w:left w:w="108" w:type="dxa"/>
            <w:bottom w:w="0" w:type="dxa"/>
            <w:right w:w="108" w:type="dxa"/>
          </w:tblCellMar>
        </w:tblPrEx>
        <w:trPr>
          <w:trHeight w:val="359" w:hRule="atLeast"/>
          <w:jc w:val="center"/>
        </w:trPr>
        <w:tc>
          <w:tcPr>
            <w:tcW w:w="1981" w:type="dxa"/>
            <w:vMerge w:val="continue"/>
            <w:tcBorders>
              <w:top w:val="nil"/>
              <w:left w:val="single" w:color="auto" w:sz="4" w:space="0"/>
              <w:bottom w:val="single" w:color="auto" w:sz="4" w:space="0"/>
              <w:right w:val="single" w:color="auto" w:sz="4" w:space="0"/>
            </w:tcBorders>
            <w:noWrap/>
            <w:vAlign w:val="center"/>
          </w:tcPr>
          <w:p w14:paraId="325A0564">
            <w:pPr>
              <w:pageBreakBefore w:val="0"/>
              <w:widowControl w:val="0"/>
              <w:kinsoku/>
              <w:wordWrap w:val="0"/>
              <w:overflowPunct/>
              <w:topLinePunct w:val="0"/>
              <w:bidi w:val="0"/>
              <w:jc w:val="center"/>
              <w:outlineLvl w:val="9"/>
              <w:rPr>
                <w:rFonts w:ascii="宋体" w:hAnsi="宋体" w:cs="宋体"/>
                <w:b/>
                <w:bCs/>
                <w:kern w:val="0"/>
                <w:szCs w:val="21"/>
              </w:rPr>
            </w:pPr>
          </w:p>
        </w:tc>
        <w:tc>
          <w:tcPr>
            <w:tcW w:w="1611" w:type="dxa"/>
            <w:tcBorders>
              <w:top w:val="nil"/>
              <w:left w:val="nil"/>
              <w:bottom w:val="single" w:color="auto" w:sz="4" w:space="0"/>
              <w:right w:val="single" w:color="auto" w:sz="4" w:space="0"/>
            </w:tcBorders>
            <w:noWrap/>
            <w:vAlign w:val="center"/>
          </w:tcPr>
          <w:p w14:paraId="2B28EB4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资产总额（Z）</w:t>
            </w:r>
          </w:p>
        </w:tc>
        <w:tc>
          <w:tcPr>
            <w:tcW w:w="1063" w:type="dxa"/>
            <w:tcBorders>
              <w:top w:val="nil"/>
              <w:left w:val="nil"/>
              <w:bottom w:val="single" w:color="auto" w:sz="4" w:space="0"/>
              <w:right w:val="single" w:color="auto" w:sz="4" w:space="0"/>
            </w:tcBorders>
            <w:noWrap/>
            <w:vAlign w:val="center"/>
          </w:tcPr>
          <w:p w14:paraId="01AFD7DF">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万元</w:t>
            </w:r>
          </w:p>
        </w:tc>
        <w:tc>
          <w:tcPr>
            <w:tcW w:w="1887" w:type="dxa"/>
            <w:tcBorders>
              <w:top w:val="nil"/>
              <w:left w:val="nil"/>
              <w:bottom w:val="single" w:color="auto" w:sz="4" w:space="0"/>
              <w:right w:val="single" w:color="auto" w:sz="4" w:space="0"/>
            </w:tcBorders>
            <w:noWrap/>
            <w:vAlign w:val="center"/>
          </w:tcPr>
          <w:p w14:paraId="052C0CC0">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8000≤Z＜120000</w:t>
            </w:r>
          </w:p>
        </w:tc>
        <w:tc>
          <w:tcPr>
            <w:tcW w:w="1678" w:type="dxa"/>
            <w:tcBorders>
              <w:top w:val="nil"/>
              <w:left w:val="nil"/>
              <w:bottom w:val="single" w:color="auto" w:sz="4" w:space="0"/>
              <w:right w:val="single" w:color="auto" w:sz="4" w:space="0"/>
            </w:tcBorders>
            <w:noWrap/>
            <w:vAlign w:val="center"/>
          </w:tcPr>
          <w:p w14:paraId="37939FDE">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100≤Z＜8000</w:t>
            </w:r>
          </w:p>
        </w:tc>
        <w:tc>
          <w:tcPr>
            <w:tcW w:w="1077" w:type="dxa"/>
            <w:tcBorders>
              <w:top w:val="nil"/>
              <w:left w:val="nil"/>
              <w:bottom w:val="single" w:color="auto" w:sz="4" w:space="0"/>
              <w:right w:val="single" w:color="auto" w:sz="4" w:space="0"/>
            </w:tcBorders>
            <w:noWrap/>
            <w:vAlign w:val="center"/>
          </w:tcPr>
          <w:p w14:paraId="55D20F13">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Y＜100</w:t>
            </w:r>
          </w:p>
        </w:tc>
      </w:tr>
      <w:tr w14:paraId="2DC31C66">
        <w:tblPrEx>
          <w:tblCellMar>
            <w:top w:w="0" w:type="dxa"/>
            <w:left w:w="108" w:type="dxa"/>
            <w:bottom w:w="0" w:type="dxa"/>
            <w:right w:w="108" w:type="dxa"/>
          </w:tblCellMar>
        </w:tblPrEx>
        <w:trPr>
          <w:trHeight w:val="389" w:hRule="atLeast"/>
          <w:jc w:val="center"/>
        </w:trPr>
        <w:tc>
          <w:tcPr>
            <w:tcW w:w="1981" w:type="dxa"/>
            <w:tcBorders>
              <w:top w:val="nil"/>
              <w:left w:val="single" w:color="auto" w:sz="4" w:space="0"/>
              <w:bottom w:val="single" w:color="auto" w:sz="4" w:space="0"/>
              <w:right w:val="single" w:color="auto" w:sz="4" w:space="0"/>
            </w:tcBorders>
            <w:noWrap/>
            <w:vAlign w:val="center"/>
          </w:tcPr>
          <w:p w14:paraId="7EF96F94">
            <w:pPr>
              <w:pageBreakBefore w:val="0"/>
              <w:widowControl w:val="0"/>
              <w:kinsoku/>
              <w:wordWrap w:val="0"/>
              <w:overflowPunct/>
              <w:topLinePunct w:val="0"/>
              <w:bidi w:val="0"/>
              <w:jc w:val="center"/>
              <w:outlineLvl w:val="9"/>
              <w:rPr>
                <w:rFonts w:ascii="宋体" w:hAnsi="宋体" w:cs="宋体"/>
                <w:b/>
                <w:bCs/>
                <w:kern w:val="0"/>
                <w:szCs w:val="21"/>
              </w:rPr>
            </w:pPr>
            <w:r>
              <w:rPr>
                <w:rFonts w:hint="eastAsia" w:ascii="宋体" w:hAnsi="宋体" w:cs="宋体"/>
                <w:b/>
                <w:bCs/>
                <w:kern w:val="0"/>
                <w:szCs w:val="21"/>
              </w:rPr>
              <w:t>其他未列明行业</w:t>
            </w:r>
          </w:p>
        </w:tc>
        <w:tc>
          <w:tcPr>
            <w:tcW w:w="1611" w:type="dxa"/>
            <w:tcBorders>
              <w:top w:val="nil"/>
              <w:left w:val="nil"/>
              <w:bottom w:val="single" w:color="auto" w:sz="4" w:space="0"/>
              <w:right w:val="single" w:color="auto" w:sz="4" w:space="0"/>
            </w:tcBorders>
            <w:noWrap/>
            <w:vAlign w:val="center"/>
          </w:tcPr>
          <w:p w14:paraId="57C941D6">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从业人员（X）</w:t>
            </w:r>
          </w:p>
        </w:tc>
        <w:tc>
          <w:tcPr>
            <w:tcW w:w="1063" w:type="dxa"/>
            <w:tcBorders>
              <w:top w:val="nil"/>
              <w:left w:val="nil"/>
              <w:bottom w:val="single" w:color="auto" w:sz="4" w:space="0"/>
              <w:right w:val="single" w:color="auto" w:sz="4" w:space="0"/>
            </w:tcBorders>
            <w:noWrap/>
            <w:vAlign w:val="center"/>
          </w:tcPr>
          <w:p w14:paraId="3865F989">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人</w:t>
            </w:r>
          </w:p>
        </w:tc>
        <w:tc>
          <w:tcPr>
            <w:tcW w:w="1887" w:type="dxa"/>
            <w:tcBorders>
              <w:top w:val="nil"/>
              <w:left w:val="nil"/>
              <w:bottom w:val="single" w:color="auto" w:sz="4" w:space="0"/>
              <w:right w:val="single" w:color="auto" w:sz="4" w:space="0"/>
            </w:tcBorders>
            <w:noWrap/>
            <w:vAlign w:val="center"/>
          </w:tcPr>
          <w:p w14:paraId="2EC3232F">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100≤X＜300</w:t>
            </w:r>
          </w:p>
        </w:tc>
        <w:tc>
          <w:tcPr>
            <w:tcW w:w="1678" w:type="dxa"/>
            <w:tcBorders>
              <w:top w:val="nil"/>
              <w:left w:val="nil"/>
              <w:bottom w:val="single" w:color="auto" w:sz="4" w:space="0"/>
              <w:right w:val="single" w:color="auto" w:sz="4" w:space="0"/>
            </w:tcBorders>
            <w:noWrap/>
            <w:vAlign w:val="center"/>
          </w:tcPr>
          <w:p w14:paraId="1CDE3064">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10≤X＜100</w:t>
            </w:r>
          </w:p>
        </w:tc>
        <w:tc>
          <w:tcPr>
            <w:tcW w:w="1077" w:type="dxa"/>
            <w:tcBorders>
              <w:top w:val="nil"/>
              <w:left w:val="nil"/>
              <w:bottom w:val="single" w:color="auto" w:sz="4" w:space="0"/>
              <w:right w:val="single" w:color="auto" w:sz="4" w:space="0"/>
            </w:tcBorders>
            <w:noWrap/>
            <w:vAlign w:val="center"/>
          </w:tcPr>
          <w:p w14:paraId="7FBBBC6C">
            <w:pPr>
              <w:pageBreakBefore w:val="0"/>
              <w:widowControl w:val="0"/>
              <w:kinsoku/>
              <w:wordWrap w:val="0"/>
              <w:overflowPunct/>
              <w:topLinePunct w:val="0"/>
              <w:bidi w:val="0"/>
              <w:jc w:val="center"/>
              <w:outlineLvl w:val="9"/>
              <w:rPr>
                <w:rFonts w:ascii="宋体" w:hAnsi="宋体" w:cs="宋体"/>
                <w:kern w:val="0"/>
                <w:szCs w:val="21"/>
              </w:rPr>
            </w:pPr>
            <w:r>
              <w:rPr>
                <w:rFonts w:hint="eastAsia" w:ascii="宋体" w:hAnsi="宋体" w:cs="宋体"/>
                <w:kern w:val="0"/>
                <w:szCs w:val="21"/>
              </w:rPr>
              <w:t>X＜10</w:t>
            </w:r>
          </w:p>
        </w:tc>
      </w:tr>
    </w:tbl>
    <w:p w14:paraId="116C565E">
      <w:pPr>
        <w:pageBreakBefore w:val="0"/>
        <w:widowControl w:val="0"/>
        <w:kinsoku/>
        <w:wordWrap w:val="0"/>
        <w:overflowPunct/>
        <w:topLinePunct w:val="0"/>
        <w:bidi w:val="0"/>
        <w:spacing w:line="360" w:lineRule="auto"/>
        <w:ind w:right="420"/>
        <w:contextualSpacing/>
        <w:jc w:val="left"/>
        <w:outlineLvl w:val="9"/>
        <w:rPr>
          <w:rFonts w:hint="eastAsia" w:ascii="宋体" w:hAnsi="宋体" w:cs="宋体"/>
          <w:sz w:val="24"/>
        </w:rPr>
        <w:sectPr>
          <w:pgSz w:w="11910" w:h="16840"/>
          <w:pgMar w:top="1440" w:right="1080" w:bottom="1440" w:left="1080" w:header="0" w:footer="775" w:gutter="0"/>
          <w:pgNumType w:fmt="decimal"/>
          <w:cols w:space="720" w:num="1"/>
        </w:sectPr>
      </w:pPr>
      <w:r>
        <w:rPr>
          <w:rFonts w:hint="eastAsia" w:ascii="宋体" w:hAnsi="宋体" w:cs="宋体"/>
          <w:sz w:val="24"/>
        </w:rPr>
        <w:t>说明：上述标准参照《关于印发中小企业划型标准规定的通知》（工信部联企业[2011]300号），大型、中型和小型企业须同时满足所列指标的下限，否则下划一档；微型企业只须满足所列指标中的一项即可。</w:t>
      </w:r>
    </w:p>
    <w:p w14:paraId="2825B20F">
      <w:pPr>
        <w:pageBreakBefore w:val="0"/>
        <w:widowControl w:val="0"/>
        <w:kinsoku/>
        <w:wordWrap w:val="0"/>
        <w:overflowPunct/>
        <w:topLinePunct w:val="0"/>
        <w:bidi w:val="0"/>
        <w:spacing w:line="360" w:lineRule="auto"/>
        <w:ind w:right="420"/>
        <w:contextualSpacing/>
        <w:jc w:val="center"/>
        <w:outlineLvl w:val="9"/>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报价文件格式</w:t>
      </w:r>
    </w:p>
    <w:p w14:paraId="61E378C9">
      <w:pPr>
        <w:pageBreakBefore w:val="0"/>
        <w:widowControl w:val="0"/>
        <w:kinsoku/>
        <w:wordWrap w:val="0"/>
        <w:overflowPunct/>
        <w:topLinePunct w:val="0"/>
        <w:bidi w:val="0"/>
        <w:snapToGrid w:val="0"/>
        <w:spacing w:beforeLines="50" w:after="50" w:line="360" w:lineRule="auto"/>
        <w:jc w:val="left"/>
        <w:outlineLvl w:val="9"/>
        <w:rPr>
          <w:rFonts w:hint="eastAsia" w:ascii="宋体" w:hAnsi="宋体" w:eastAsia="宋体" w:cs="宋体"/>
          <w:b/>
          <w:color w:val="auto"/>
          <w:sz w:val="32"/>
          <w:szCs w:val="32"/>
          <w:highlight w:val="none"/>
        </w:rPr>
      </w:pPr>
      <w:bookmarkStart w:id="124" w:name="_Toc5419"/>
      <w:r>
        <w:rPr>
          <w:rFonts w:hint="eastAsia" w:ascii="宋体" w:hAnsi="宋体" w:eastAsia="宋体" w:cs="宋体"/>
          <w:b/>
          <w:color w:val="auto"/>
          <w:sz w:val="32"/>
          <w:szCs w:val="32"/>
          <w:highlight w:val="none"/>
        </w:rPr>
        <w:t>1.报价文件封面格式</w:t>
      </w:r>
      <w:bookmarkEnd w:id="124"/>
    </w:p>
    <w:p w14:paraId="03C1E629">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32"/>
          <w:szCs w:val="20"/>
          <w:highlight w:val="none"/>
        </w:rPr>
      </w:pPr>
    </w:p>
    <w:p w14:paraId="1DDA5CDE">
      <w:pPr>
        <w:pageBreakBefore w:val="0"/>
        <w:widowControl w:val="0"/>
        <w:kinsoku/>
        <w:wordWrap w:val="0"/>
        <w:overflowPunct/>
        <w:topLinePunct w:val="0"/>
        <w:bidi w:val="0"/>
        <w:snapToGrid w:val="0"/>
        <w:spacing w:beforeLines="50" w:after="5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正本/副本       </w:t>
      </w:r>
    </w:p>
    <w:p w14:paraId="021DFC03">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Cs/>
          <w:color w:val="auto"/>
          <w:sz w:val="44"/>
          <w:szCs w:val="44"/>
          <w:highlight w:val="none"/>
        </w:rPr>
      </w:pPr>
    </w:p>
    <w:p w14:paraId="5253867E">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报  价  文  件</w:t>
      </w:r>
    </w:p>
    <w:p w14:paraId="5978E3FC">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74BEAF22">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727AF14C">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4D394994">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02B2A8FF">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56DCAEEB">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E179A1D">
      <w:pPr>
        <w:pageBreakBefore w:val="0"/>
        <w:widowControl w:val="0"/>
        <w:kinsoku/>
        <w:wordWrap w:val="0"/>
        <w:overflowPunct/>
        <w:topLinePunct w:val="0"/>
        <w:bidi w:val="0"/>
        <w:snapToGrid w:val="0"/>
        <w:spacing w:beforeLines="50" w:after="50"/>
        <w:ind w:firstLine="720" w:firstLineChars="225"/>
        <w:outlineLvl w:val="9"/>
        <w:rPr>
          <w:rFonts w:hint="eastAsia" w:ascii="宋体" w:hAnsi="宋体" w:eastAsia="宋体" w:cs="宋体"/>
          <w:bCs/>
          <w:color w:val="auto"/>
          <w:sz w:val="32"/>
          <w:szCs w:val="32"/>
          <w:highlight w:val="none"/>
        </w:rPr>
      </w:pPr>
    </w:p>
    <w:p w14:paraId="7C25CE5B">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934830C">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32"/>
          <w:szCs w:val="32"/>
          <w:highlight w:val="none"/>
        </w:rPr>
      </w:pPr>
    </w:p>
    <w:p w14:paraId="739EC440">
      <w:pPr>
        <w:pStyle w:val="6"/>
        <w:pageBreakBefore w:val="0"/>
        <w:widowControl w:val="0"/>
        <w:kinsoku/>
        <w:wordWrap w:val="0"/>
        <w:overflowPunct/>
        <w:topLinePunct w:val="0"/>
        <w:bidi w:val="0"/>
        <w:snapToGrid w:val="0"/>
        <w:spacing w:before="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AFD26F9">
      <w:pPr>
        <w:pStyle w:val="6"/>
        <w:pageBreakBefore w:val="0"/>
        <w:widowControl w:val="0"/>
        <w:kinsoku/>
        <w:wordWrap w:val="0"/>
        <w:overflowPunct/>
        <w:topLinePunct w:val="0"/>
        <w:bidi w:val="0"/>
        <w:snapToGrid w:val="0"/>
        <w:spacing w:before="50" w:after="50"/>
        <w:ind w:firstLine="640" w:firstLineChars="200"/>
        <w:outlineLvl w:val="9"/>
        <w:rPr>
          <w:rFonts w:hint="eastAsia" w:ascii="宋体" w:hAnsi="宋体" w:eastAsia="宋体" w:cs="宋体"/>
          <w:bCs/>
          <w:color w:val="auto"/>
          <w:sz w:val="32"/>
          <w:szCs w:val="32"/>
          <w:highlight w:val="none"/>
        </w:rPr>
      </w:pPr>
    </w:p>
    <w:p w14:paraId="7882E743">
      <w:pPr>
        <w:pStyle w:val="6"/>
        <w:pageBreakBefore w:val="0"/>
        <w:widowControl w:val="0"/>
        <w:kinsoku/>
        <w:wordWrap w:val="0"/>
        <w:overflowPunct/>
        <w:topLinePunct w:val="0"/>
        <w:bidi w:val="0"/>
        <w:snapToGrid w:val="0"/>
        <w:spacing w:before="50" w:after="50"/>
        <w:ind w:firstLine="720" w:firstLineChars="225"/>
        <w:outlineLvl w:val="9"/>
        <w:rPr>
          <w:rFonts w:hint="eastAsia" w:ascii="宋体" w:hAnsi="宋体" w:eastAsia="宋体" w:cs="宋体"/>
          <w:bCs/>
          <w:color w:val="auto"/>
          <w:sz w:val="32"/>
          <w:szCs w:val="32"/>
          <w:highlight w:val="none"/>
        </w:rPr>
      </w:pPr>
    </w:p>
    <w:p w14:paraId="5BF7CAE0">
      <w:pPr>
        <w:pStyle w:val="6"/>
        <w:pageBreakBefore w:val="0"/>
        <w:widowControl w:val="0"/>
        <w:kinsoku/>
        <w:wordWrap w:val="0"/>
        <w:overflowPunct/>
        <w:topLinePunct w:val="0"/>
        <w:bidi w:val="0"/>
        <w:snapToGrid w:val="0"/>
        <w:spacing w:before="50" w:after="50"/>
        <w:ind w:firstLine="0"/>
        <w:outlineLvl w:val="9"/>
        <w:rPr>
          <w:rFonts w:hint="eastAsia" w:ascii="宋体" w:hAnsi="宋体" w:eastAsia="宋体" w:cs="宋体"/>
          <w:bCs/>
          <w:color w:val="auto"/>
          <w:sz w:val="32"/>
          <w:szCs w:val="32"/>
          <w:highlight w:val="none"/>
        </w:rPr>
      </w:pPr>
    </w:p>
    <w:p w14:paraId="5A5B6098">
      <w:pPr>
        <w:pStyle w:val="6"/>
        <w:pageBreakBefore w:val="0"/>
        <w:widowControl w:val="0"/>
        <w:kinsoku/>
        <w:wordWrap w:val="0"/>
        <w:overflowPunct/>
        <w:topLinePunct w:val="0"/>
        <w:bidi w:val="0"/>
        <w:snapToGrid w:val="0"/>
        <w:spacing w:before="50" w:after="50"/>
        <w:ind w:firstLine="1280" w:firstLineChars="400"/>
        <w:outlineLvl w:val="9"/>
        <w:rPr>
          <w:rFonts w:hint="eastAsia" w:ascii="宋体" w:hAnsi="宋体" w:eastAsia="宋体" w:cs="宋体"/>
          <w:bCs/>
          <w:color w:val="auto"/>
          <w:sz w:val="32"/>
          <w:szCs w:val="32"/>
          <w:highlight w:val="none"/>
        </w:rPr>
      </w:pPr>
    </w:p>
    <w:p w14:paraId="02FB585B">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FB78ADD">
      <w:pPr>
        <w:pageBreakBefore w:val="0"/>
        <w:widowControl w:val="0"/>
        <w:kinsoku/>
        <w:wordWrap w:val="0"/>
        <w:overflowPunct/>
        <w:topLinePunct w:val="0"/>
        <w:bidi w:val="0"/>
        <w:snapToGrid w:val="0"/>
        <w:spacing w:beforeLines="50" w:after="50" w:line="360" w:lineRule="auto"/>
        <w:ind w:left="142"/>
        <w:jc w:val="left"/>
        <w:outlineLvl w:val="9"/>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br w:type="page"/>
      </w:r>
      <w:bookmarkStart w:id="125" w:name="_Toc6227"/>
      <w:r>
        <w:rPr>
          <w:rFonts w:hint="eastAsia" w:ascii="宋体" w:hAnsi="宋体" w:eastAsia="宋体" w:cs="宋体"/>
          <w:b/>
          <w:bCs/>
          <w:color w:val="auto"/>
          <w:sz w:val="32"/>
          <w:szCs w:val="32"/>
          <w:highlight w:val="none"/>
        </w:rPr>
        <w:t>2.报价文件目录</w:t>
      </w:r>
      <w:bookmarkEnd w:id="125"/>
    </w:p>
    <w:p w14:paraId="2BC711A4">
      <w:pPr>
        <w:pageBreakBefore w:val="0"/>
        <w:widowControl w:val="0"/>
        <w:tabs>
          <w:tab w:val="left" w:pos="3479"/>
        </w:tabs>
        <w:kinsoku/>
        <w:wordWrap w:val="0"/>
        <w:overflowPunct/>
        <w:topLinePunct w:val="0"/>
        <w:bidi w:val="0"/>
        <w:spacing w:line="520" w:lineRule="exact"/>
        <w:jc w:val="lef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14:paraId="3ED28F7B">
      <w:pPr>
        <w:pageBreakBefore w:val="0"/>
        <w:widowControl w:val="0"/>
        <w:tabs>
          <w:tab w:val="left" w:pos="3479"/>
        </w:tabs>
        <w:kinsoku/>
        <w:wordWrap w:val="0"/>
        <w:overflowPunct/>
        <w:topLinePunct w:val="0"/>
        <w:bidi w:val="0"/>
        <w:spacing w:line="520" w:lineRule="exact"/>
        <w:jc w:val="center"/>
        <w:outlineLvl w:val="9"/>
        <w:rPr>
          <w:rFonts w:hint="eastAsia" w:ascii="宋体" w:hAnsi="宋体" w:eastAsia="宋体" w:cs="宋体"/>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44"/>
          <w:szCs w:val="44"/>
          <w:highlight w:val="none"/>
        </w:rPr>
        <w:t>竞  标  报  价  表</w:t>
      </w:r>
    </w:p>
    <w:p w14:paraId="33FD0B4F">
      <w:pPr>
        <w:pageBreakBefore w:val="0"/>
        <w:widowControl w:val="0"/>
        <w:kinsoku/>
        <w:wordWrap w:val="0"/>
        <w:overflowPunct/>
        <w:topLinePunct w:val="0"/>
        <w:bidi w:val="0"/>
        <w:snapToGrid w:val="0"/>
        <w:spacing w:before="50" w:after="50" w:line="400" w:lineRule="exact"/>
        <w:outlineLvl w:val="9"/>
        <w:rPr>
          <w:rFonts w:hint="eastAsia" w:ascii="宋体" w:hAnsi="宋体" w:eastAsia="宋体" w:cs="宋体"/>
          <w:color w:val="auto"/>
          <w:sz w:val="24"/>
          <w:highlight w:val="none"/>
        </w:rPr>
      </w:pPr>
    </w:p>
    <w:p w14:paraId="1B948365">
      <w:pPr>
        <w:pageBreakBefore w:val="0"/>
        <w:widowControl w:val="0"/>
        <w:kinsoku/>
        <w:wordWrap w:val="0"/>
        <w:overflowPunct/>
        <w:topLinePunct w:val="0"/>
        <w:bidi w:val="0"/>
        <w:snapToGrid w:val="0"/>
        <w:spacing w:before="50" w:after="50"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                                 项目编号：</w:t>
      </w:r>
    </w:p>
    <w:p w14:paraId="76D31BA1">
      <w:pPr>
        <w:pageBreakBefore w:val="0"/>
        <w:widowControl w:val="0"/>
        <w:kinsoku/>
        <w:wordWrap w:val="0"/>
        <w:overflowPunct/>
        <w:topLinePunct w:val="0"/>
        <w:bidi w:val="0"/>
        <w:snapToGrid w:val="0"/>
        <w:spacing w:before="50" w:after="50"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w:t>
      </w:r>
    </w:p>
    <w:p w14:paraId="2C00F57A">
      <w:pPr>
        <w:pageBreakBefore w:val="0"/>
        <w:widowControl w:val="0"/>
        <w:kinsoku/>
        <w:wordWrap w:val="0"/>
        <w:overflowPunct/>
        <w:topLinePunct w:val="0"/>
        <w:bidi w:val="0"/>
        <w:snapToGrid w:val="0"/>
        <w:spacing w:before="50" w:after="50" w:line="400" w:lineRule="exact"/>
        <w:ind w:firstLine="7440" w:firstLineChars="31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单位：元</w:t>
      </w:r>
    </w:p>
    <w:tbl>
      <w:tblPr>
        <w:tblStyle w:val="20"/>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1566"/>
        <w:gridCol w:w="1184"/>
        <w:gridCol w:w="1200"/>
        <w:gridCol w:w="1233"/>
        <w:gridCol w:w="800"/>
        <w:gridCol w:w="800"/>
        <w:gridCol w:w="850"/>
        <w:gridCol w:w="1389"/>
      </w:tblGrid>
      <w:tr w14:paraId="5C6B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219A180">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566" w:type="dxa"/>
            <w:tcBorders>
              <w:top w:val="single" w:color="auto" w:sz="4" w:space="0"/>
              <w:left w:val="single" w:color="auto" w:sz="4" w:space="0"/>
              <w:bottom w:val="single" w:color="auto" w:sz="4" w:space="0"/>
              <w:right w:val="single" w:color="auto" w:sz="4" w:space="0"/>
            </w:tcBorders>
            <w:vAlign w:val="center"/>
          </w:tcPr>
          <w:p w14:paraId="6383D665">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标的的名称</w:t>
            </w:r>
          </w:p>
        </w:tc>
        <w:tc>
          <w:tcPr>
            <w:tcW w:w="1184" w:type="dxa"/>
            <w:tcBorders>
              <w:top w:val="single" w:color="auto" w:sz="4" w:space="0"/>
              <w:left w:val="single" w:color="auto" w:sz="4" w:space="0"/>
              <w:bottom w:val="single" w:color="auto" w:sz="4" w:space="0"/>
              <w:right w:val="single" w:color="auto" w:sz="4" w:space="0"/>
            </w:tcBorders>
            <w:vAlign w:val="center"/>
          </w:tcPr>
          <w:p w14:paraId="5C205497">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品牌</w:t>
            </w:r>
          </w:p>
        </w:tc>
        <w:tc>
          <w:tcPr>
            <w:tcW w:w="1200" w:type="dxa"/>
            <w:tcBorders>
              <w:top w:val="single" w:color="auto" w:sz="4" w:space="0"/>
              <w:left w:val="single" w:color="auto" w:sz="4" w:space="0"/>
              <w:bottom w:val="single" w:color="auto" w:sz="4" w:space="0"/>
              <w:right w:val="single" w:color="auto" w:sz="4" w:space="0"/>
            </w:tcBorders>
            <w:vAlign w:val="center"/>
          </w:tcPr>
          <w:p w14:paraId="66C7BF38">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规格型号</w:t>
            </w:r>
          </w:p>
        </w:tc>
        <w:tc>
          <w:tcPr>
            <w:tcW w:w="1233" w:type="dxa"/>
            <w:tcBorders>
              <w:top w:val="single" w:color="auto" w:sz="4" w:space="0"/>
              <w:left w:val="single" w:color="auto" w:sz="4" w:space="0"/>
              <w:bottom w:val="single" w:color="auto" w:sz="4" w:space="0"/>
              <w:right w:val="single" w:color="auto" w:sz="4" w:space="0"/>
            </w:tcBorders>
            <w:vAlign w:val="center"/>
          </w:tcPr>
          <w:p w14:paraId="6204E94F">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生产厂家</w:t>
            </w:r>
          </w:p>
        </w:tc>
        <w:tc>
          <w:tcPr>
            <w:tcW w:w="800" w:type="dxa"/>
            <w:tcBorders>
              <w:top w:val="single" w:color="auto" w:sz="4" w:space="0"/>
              <w:left w:val="single" w:color="auto" w:sz="4" w:space="0"/>
              <w:bottom w:val="single" w:color="auto" w:sz="4" w:space="0"/>
              <w:right w:val="single" w:color="auto" w:sz="4" w:space="0"/>
            </w:tcBorders>
            <w:vAlign w:val="center"/>
          </w:tcPr>
          <w:p w14:paraId="6E4C8FC3">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800" w:type="dxa"/>
            <w:tcBorders>
              <w:top w:val="single" w:color="auto" w:sz="4" w:space="0"/>
              <w:left w:val="single" w:color="auto" w:sz="4" w:space="0"/>
              <w:bottom w:val="single" w:color="auto" w:sz="4" w:space="0"/>
              <w:right w:val="single" w:color="auto" w:sz="4" w:space="0"/>
            </w:tcBorders>
            <w:vAlign w:val="center"/>
          </w:tcPr>
          <w:p w14:paraId="47D838BE">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850" w:type="dxa"/>
            <w:tcBorders>
              <w:top w:val="single" w:color="auto" w:sz="4" w:space="0"/>
              <w:left w:val="single" w:color="auto" w:sz="4" w:space="0"/>
              <w:bottom w:val="single" w:color="auto" w:sz="4" w:space="0"/>
              <w:right w:val="single" w:color="auto" w:sz="4" w:space="0"/>
            </w:tcBorders>
            <w:vAlign w:val="center"/>
          </w:tcPr>
          <w:p w14:paraId="38636208">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单价</w:t>
            </w:r>
          </w:p>
        </w:tc>
        <w:tc>
          <w:tcPr>
            <w:tcW w:w="1389" w:type="dxa"/>
            <w:tcBorders>
              <w:top w:val="single" w:color="auto" w:sz="4" w:space="0"/>
              <w:left w:val="single" w:color="auto" w:sz="4" w:space="0"/>
              <w:bottom w:val="single" w:color="auto" w:sz="4" w:space="0"/>
              <w:right w:val="single" w:color="auto" w:sz="4" w:space="0"/>
            </w:tcBorders>
            <w:vAlign w:val="center"/>
          </w:tcPr>
          <w:p w14:paraId="2C8E12CC">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竞标报价</w:t>
            </w:r>
            <w:r>
              <w:rPr>
                <w:rFonts w:hint="eastAsia" w:ascii="宋体" w:hAnsi="宋体" w:eastAsia="宋体" w:cs="宋体"/>
                <w:b/>
                <w:bCs/>
                <w:color w:val="auto"/>
                <w:sz w:val="24"/>
                <w:highlight w:val="none"/>
                <w:lang w:eastAsia="zh-CN"/>
              </w:rPr>
              <w:t>（元）</w:t>
            </w:r>
          </w:p>
        </w:tc>
      </w:tr>
      <w:tr w14:paraId="4E2C1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794" w:type="dxa"/>
            <w:tcBorders>
              <w:top w:val="single" w:color="auto" w:sz="4" w:space="0"/>
              <w:left w:val="single" w:color="auto" w:sz="4" w:space="0"/>
              <w:right w:val="single" w:color="auto" w:sz="4" w:space="0"/>
            </w:tcBorders>
            <w:vAlign w:val="center"/>
          </w:tcPr>
          <w:p w14:paraId="179902C0">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66" w:type="dxa"/>
            <w:tcBorders>
              <w:top w:val="single" w:color="auto" w:sz="4" w:space="0"/>
              <w:left w:val="single" w:color="auto" w:sz="4" w:space="0"/>
              <w:right w:val="single" w:color="auto" w:sz="4" w:space="0"/>
            </w:tcBorders>
            <w:vAlign w:val="center"/>
          </w:tcPr>
          <w:p w14:paraId="53F863E0">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352B4C4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BBB4C7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1214579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15DD937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tcPr>
          <w:p w14:paraId="4AB15058">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788B1AA">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5CED92D8">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r>
      <w:tr w14:paraId="59225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794" w:type="dxa"/>
            <w:tcBorders>
              <w:top w:val="single" w:color="auto" w:sz="4" w:space="0"/>
              <w:left w:val="single" w:color="auto" w:sz="4" w:space="0"/>
              <w:right w:val="single" w:color="auto" w:sz="4" w:space="0"/>
            </w:tcBorders>
            <w:vAlign w:val="center"/>
          </w:tcPr>
          <w:p w14:paraId="664292EA">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66" w:type="dxa"/>
            <w:tcBorders>
              <w:top w:val="single" w:color="auto" w:sz="4" w:space="0"/>
              <w:left w:val="single" w:color="auto" w:sz="4" w:space="0"/>
              <w:right w:val="single" w:color="auto" w:sz="4" w:space="0"/>
            </w:tcBorders>
            <w:vAlign w:val="center"/>
          </w:tcPr>
          <w:p w14:paraId="0573BC0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1D55557">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58A83C8">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519E4F4C">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04D712C0">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tcPr>
          <w:p w14:paraId="71AA867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1B34F05">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698C1D08">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r>
      <w:tr w14:paraId="5E5AD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794" w:type="dxa"/>
            <w:tcBorders>
              <w:top w:val="single" w:color="auto" w:sz="4" w:space="0"/>
              <w:left w:val="single" w:color="auto" w:sz="4" w:space="0"/>
              <w:right w:val="single" w:color="auto" w:sz="4" w:space="0"/>
            </w:tcBorders>
            <w:vAlign w:val="center"/>
          </w:tcPr>
          <w:p w14:paraId="064367F3">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66" w:type="dxa"/>
            <w:tcBorders>
              <w:top w:val="single" w:color="auto" w:sz="4" w:space="0"/>
              <w:left w:val="single" w:color="auto" w:sz="4" w:space="0"/>
              <w:right w:val="single" w:color="auto" w:sz="4" w:space="0"/>
            </w:tcBorders>
            <w:vAlign w:val="center"/>
          </w:tcPr>
          <w:p w14:paraId="40322E6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62E4CF8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CC2E4E6">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vAlign w:val="center"/>
          </w:tcPr>
          <w:p w14:paraId="658497C2">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7130841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00" w:type="dxa"/>
            <w:tcBorders>
              <w:top w:val="single" w:color="auto" w:sz="4" w:space="0"/>
              <w:left w:val="single" w:color="auto" w:sz="4" w:space="0"/>
              <w:bottom w:val="single" w:color="auto" w:sz="4" w:space="0"/>
              <w:right w:val="single" w:color="auto" w:sz="4" w:space="0"/>
            </w:tcBorders>
          </w:tcPr>
          <w:p w14:paraId="3DB07F2D">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06CC85E">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14:paraId="50210066">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r>
      <w:tr w14:paraId="151F1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16" w:type="dxa"/>
            <w:gridSpan w:val="9"/>
            <w:tcBorders>
              <w:top w:val="single" w:color="auto" w:sz="4" w:space="0"/>
              <w:left w:val="single" w:color="auto" w:sz="4" w:space="0"/>
              <w:bottom w:val="single" w:color="auto" w:sz="4" w:space="0"/>
              <w:right w:val="single" w:color="auto" w:sz="4" w:space="0"/>
            </w:tcBorders>
          </w:tcPr>
          <w:p w14:paraId="767FCA74">
            <w:pPr>
              <w:pageBreakBefore w:val="0"/>
              <w:widowControl w:val="0"/>
              <w:kinsoku/>
              <w:wordWrap w:val="0"/>
              <w:overflowPunct/>
              <w:topLinePunct w:val="0"/>
              <w:bidi w:val="0"/>
              <w:snapToGrid w:val="0"/>
              <w:spacing w:before="50" w:after="50" w:line="400" w:lineRule="exact"/>
              <w:jc w:val="left"/>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c>
      </w:tr>
      <w:tr w14:paraId="16B6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816" w:type="dxa"/>
            <w:gridSpan w:val="9"/>
            <w:tcBorders>
              <w:top w:val="single" w:color="auto" w:sz="4" w:space="0"/>
              <w:left w:val="single" w:color="auto" w:sz="4" w:space="0"/>
              <w:bottom w:val="single" w:color="auto" w:sz="4" w:space="0"/>
              <w:right w:val="single" w:color="auto" w:sz="4" w:space="0"/>
            </w:tcBorders>
          </w:tcPr>
          <w:p w14:paraId="57DA1251">
            <w:pPr>
              <w:pageBreakBefore w:val="0"/>
              <w:widowControl w:val="0"/>
              <w:kinsoku/>
              <w:wordWrap w:val="0"/>
              <w:overflowPunct/>
              <w:topLinePunct w:val="0"/>
              <w:bidi w:val="0"/>
              <w:snapToGrid w:val="0"/>
              <w:spacing w:before="50" w:after="50" w:line="40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交货时间：自合同签订之日起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日内安装调试完毕并验收合格。</w:t>
            </w:r>
          </w:p>
        </w:tc>
      </w:tr>
    </w:tbl>
    <w:p w14:paraId="6FD8C652">
      <w:pPr>
        <w:pageBreakBefore w:val="0"/>
        <w:widowControl w:val="0"/>
        <w:kinsoku/>
        <w:wordWrap w:val="0"/>
        <w:overflowPunct/>
        <w:topLinePunct w:val="0"/>
        <w:bidi w:val="0"/>
        <w:outlineLvl w:val="9"/>
        <w:rPr>
          <w:rFonts w:hint="eastAsia"/>
          <w:sz w:val="28"/>
          <w:szCs w:val="28"/>
          <w:lang w:val="en-US" w:eastAsia="zh-CN"/>
        </w:rPr>
      </w:pPr>
    </w:p>
    <w:p w14:paraId="7ABAF242">
      <w:pPr>
        <w:pageBreakBefore w:val="0"/>
        <w:widowControl w:val="0"/>
        <w:kinsoku/>
        <w:wordWrap w:val="0"/>
        <w:overflowPunct/>
        <w:topLinePunct w:val="0"/>
        <w:bidi w:val="0"/>
        <w:outlineLvl w:val="9"/>
        <w:rPr>
          <w:rFonts w:hint="eastAsia"/>
          <w:sz w:val="28"/>
          <w:szCs w:val="28"/>
          <w:lang w:val="en-US" w:eastAsia="zh-CN"/>
        </w:rPr>
      </w:pPr>
      <w:r>
        <w:rPr>
          <w:rFonts w:hint="eastAsia"/>
          <w:sz w:val="28"/>
          <w:szCs w:val="28"/>
          <w:lang w:val="en-US" w:eastAsia="zh-CN"/>
        </w:rPr>
        <w:t>附件：超声波妇科治疗仪配套耗材：</w:t>
      </w:r>
    </w:p>
    <w:tbl>
      <w:tblPr>
        <w:tblStyle w:val="20"/>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701"/>
        <w:gridCol w:w="1350"/>
        <w:gridCol w:w="1595"/>
        <w:gridCol w:w="649"/>
        <w:gridCol w:w="1609"/>
        <w:gridCol w:w="1404"/>
      </w:tblGrid>
      <w:tr w14:paraId="2C3D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41" w:type="dxa"/>
            <w:noWrap w:val="0"/>
            <w:vAlign w:val="center"/>
          </w:tcPr>
          <w:p w14:paraId="0CAB30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701" w:type="dxa"/>
            <w:noWrap w:val="0"/>
            <w:vAlign w:val="center"/>
          </w:tcPr>
          <w:p w14:paraId="6E8837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耗材名称</w:t>
            </w:r>
          </w:p>
        </w:tc>
        <w:tc>
          <w:tcPr>
            <w:tcW w:w="1350" w:type="dxa"/>
            <w:noWrap w:val="0"/>
            <w:vAlign w:val="center"/>
          </w:tcPr>
          <w:p w14:paraId="6FD1FD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品牌</w:t>
            </w:r>
          </w:p>
        </w:tc>
        <w:tc>
          <w:tcPr>
            <w:tcW w:w="1595" w:type="dxa"/>
            <w:noWrap w:val="0"/>
            <w:vAlign w:val="center"/>
          </w:tcPr>
          <w:p w14:paraId="7CA504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649" w:type="dxa"/>
            <w:noWrap w:val="0"/>
            <w:vAlign w:val="center"/>
          </w:tcPr>
          <w:p w14:paraId="730AC9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609" w:type="dxa"/>
            <w:noWrap w:val="0"/>
            <w:vAlign w:val="center"/>
          </w:tcPr>
          <w:p w14:paraId="588C9A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上限预算单价（元）</w:t>
            </w:r>
          </w:p>
        </w:tc>
        <w:tc>
          <w:tcPr>
            <w:tcW w:w="1404" w:type="dxa"/>
            <w:noWrap w:val="0"/>
            <w:vAlign w:val="center"/>
          </w:tcPr>
          <w:p w14:paraId="6362E3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rPr>
              <w:t>竞标报价</w:t>
            </w:r>
            <w:r>
              <w:rPr>
                <w:rFonts w:hint="eastAsia" w:ascii="宋体" w:hAnsi="宋体" w:eastAsia="宋体" w:cs="宋体"/>
                <w:b/>
                <w:bCs/>
                <w:color w:val="auto"/>
                <w:sz w:val="24"/>
                <w:highlight w:val="none"/>
                <w:lang w:eastAsia="zh-CN"/>
              </w:rPr>
              <w:t>（元）</w:t>
            </w:r>
          </w:p>
        </w:tc>
      </w:tr>
      <w:tr w14:paraId="096C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1" w:type="dxa"/>
            <w:noWrap w:val="0"/>
            <w:vAlign w:val="center"/>
          </w:tcPr>
          <w:p w14:paraId="78E9F3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01" w:type="dxa"/>
            <w:shd w:val="clear" w:color="auto" w:fill="auto"/>
            <w:noWrap w:val="0"/>
            <w:vAlign w:val="center"/>
          </w:tcPr>
          <w:p w14:paraId="480557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一次性医用隔离透声膜（宫颈） </w:t>
            </w:r>
          </w:p>
        </w:tc>
        <w:tc>
          <w:tcPr>
            <w:tcW w:w="1350" w:type="dxa"/>
            <w:shd w:val="clear" w:color="auto" w:fill="auto"/>
            <w:noWrap w:val="0"/>
            <w:vAlign w:val="center"/>
          </w:tcPr>
          <w:p w14:paraId="71F866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1595" w:type="dxa"/>
            <w:shd w:val="clear" w:color="auto" w:fill="auto"/>
            <w:noWrap w:val="0"/>
            <w:vAlign w:val="center"/>
          </w:tcPr>
          <w:p w14:paraId="580AF05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649" w:type="dxa"/>
            <w:shd w:val="clear" w:color="auto" w:fill="auto"/>
            <w:noWrap w:val="0"/>
            <w:vAlign w:val="center"/>
          </w:tcPr>
          <w:p w14:paraId="3094EC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609" w:type="dxa"/>
            <w:shd w:val="clear" w:color="auto" w:fill="auto"/>
            <w:noWrap w:val="0"/>
            <w:vAlign w:val="center"/>
          </w:tcPr>
          <w:p w14:paraId="075742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1404" w:type="dxa"/>
            <w:shd w:val="clear" w:color="auto" w:fill="auto"/>
            <w:noWrap w:val="0"/>
            <w:vAlign w:val="center"/>
          </w:tcPr>
          <w:p w14:paraId="4527A9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r>
      <w:tr w14:paraId="6F2F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1" w:type="dxa"/>
            <w:noWrap w:val="0"/>
            <w:vAlign w:val="center"/>
          </w:tcPr>
          <w:p w14:paraId="12B125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01" w:type="dxa"/>
            <w:shd w:val="clear" w:color="auto" w:fill="auto"/>
            <w:noWrap w:val="0"/>
            <w:vAlign w:val="center"/>
          </w:tcPr>
          <w:p w14:paraId="689B48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 xml:space="preserve">一次性医用隔离透声膜（外阴） </w:t>
            </w:r>
          </w:p>
        </w:tc>
        <w:tc>
          <w:tcPr>
            <w:tcW w:w="1350" w:type="dxa"/>
            <w:shd w:val="clear" w:color="auto" w:fill="auto"/>
            <w:noWrap w:val="0"/>
            <w:vAlign w:val="center"/>
          </w:tcPr>
          <w:p w14:paraId="1D99A7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1595" w:type="dxa"/>
            <w:shd w:val="clear" w:color="auto" w:fill="auto"/>
            <w:noWrap w:val="0"/>
            <w:vAlign w:val="center"/>
          </w:tcPr>
          <w:p w14:paraId="3535B0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649" w:type="dxa"/>
            <w:shd w:val="clear" w:color="auto" w:fill="auto"/>
            <w:noWrap w:val="0"/>
            <w:vAlign w:val="center"/>
          </w:tcPr>
          <w:p w14:paraId="304705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609" w:type="dxa"/>
            <w:shd w:val="clear" w:color="auto" w:fill="auto"/>
            <w:noWrap w:val="0"/>
            <w:vAlign w:val="center"/>
          </w:tcPr>
          <w:p w14:paraId="148CC2A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1404" w:type="dxa"/>
            <w:shd w:val="clear" w:color="auto" w:fill="auto"/>
            <w:noWrap w:val="0"/>
            <w:vAlign w:val="center"/>
          </w:tcPr>
          <w:p w14:paraId="0BD829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r>
      <w:tr w14:paraId="2C78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949" w:type="dxa"/>
            <w:gridSpan w:val="7"/>
            <w:noWrap w:val="0"/>
            <w:vAlign w:val="center"/>
          </w:tcPr>
          <w:p w14:paraId="161D79A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c>
      </w:tr>
      <w:tr w14:paraId="1E09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949" w:type="dxa"/>
            <w:gridSpan w:val="7"/>
            <w:noWrap w:val="0"/>
            <w:vAlign w:val="center"/>
          </w:tcPr>
          <w:p w14:paraId="5295CE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备注</w:t>
            </w:r>
            <w:r>
              <w:rPr>
                <w:rFonts w:hint="eastAsia" w:ascii="宋体" w:hAnsi="宋体" w:eastAsia="宋体" w:cs="宋体"/>
                <w:color w:val="auto"/>
                <w:sz w:val="24"/>
                <w:highlight w:val="none"/>
              </w:rPr>
              <w:t>：按实际使用量结算</w:t>
            </w:r>
          </w:p>
        </w:tc>
      </w:tr>
    </w:tbl>
    <w:p w14:paraId="3B955E4C">
      <w:pPr>
        <w:pageBreakBefore w:val="0"/>
        <w:widowControl w:val="0"/>
        <w:kinsoku/>
        <w:wordWrap w:val="0"/>
        <w:overflowPunct/>
        <w:topLinePunct w:val="0"/>
        <w:bidi w:val="0"/>
        <w:spacing w:line="400" w:lineRule="exact"/>
        <w:jc w:val="lef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B027169">
      <w:pPr>
        <w:pageBreakBefore w:val="0"/>
        <w:widowControl w:val="0"/>
        <w:kinsoku/>
        <w:wordWrap w:val="0"/>
        <w:overflowPunct/>
        <w:topLinePunct w:val="0"/>
        <w:bidi w:val="0"/>
        <w:spacing w:line="400" w:lineRule="exact"/>
        <w:ind w:firstLine="480" w:firstLineChars="200"/>
        <w:jc w:val="left"/>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1.供应商的报价表必须加盖供应商公章并由法定代表人或者委托代理人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否则其响应文件按无效响应处理</w:t>
      </w:r>
      <w:r>
        <w:rPr>
          <w:rFonts w:hint="eastAsia" w:ascii="宋体" w:hAnsi="宋体" w:eastAsia="宋体" w:cs="宋体"/>
          <w:color w:val="auto"/>
          <w:sz w:val="24"/>
          <w:highlight w:val="none"/>
        </w:rPr>
        <w:t>。</w:t>
      </w:r>
    </w:p>
    <w:p w14:paraId="2FA97846">
      <w:pPr>
        <w:pageBreakBefore w:val="0"/>
        <w:widowControl w:val="0"/>
        <w:kinsoku/>
        <w:wordWrap w:val="0"/>
        <w:overflowPunct/>
        <w:topLinePunct w:val="0"/>
        <w:bidi w:val="0"/>
        <w:spacing w:line="400" w:lineRule="exact"/>
        <w:ind w:firstLine="480" w:firstLineChars="200"/>
        <w:jc w:val="left"/>
        <w:textAlignment w:val="baseline"/>
        <w:outlineLvl w:val="9"/>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报价一经涂改，应在涂改处加盖供应商</w:t>
      </w:r>
      <w:r>
        <w:rPr>
          <w:rFonts w:hint="eastAsia" w:ascii="宋体" w:hAnsi="宋体" w:eastAsia="宋体" w:cs="宋体"/>
          <w:b/>
          <w:bCs/>
          <w:color w:val="auto"/>
          <w:sz w:val="24"/>
          <w:highlight w:val="none"/>
        </w:rPr>
        <w:t>电子签章</w:t>
      </w:r>
      <w:r>
        <w:rPr>
          <w:rFonts w:hint="eastAsia" w:ascii="宋体" w:hAnsi="宋体" w:eastAsia="宋体" w:cs="宋体"/>
          <w:color w:val="auto"/>
          <w:sz w:val="24"/>
          <w:highlight w:val="none"/>
        </w:rPr>
        <w:t>或者由法定代表人或者委托代理人</w:t>
      </w:r>
      <w:r>
        <w:rPr>
          <w:rFonts w:hint="eastAsia" w:ascii="宋体" w:hAnsi="宋体" w:eastAsia="宋体" w:cs="宋体"/>
          <w:b/>
          <w:bCs/>
          <w:color w:val="auto"/>
          <w:sz w:val="24"/>
          <w:highlight w:val="none"/>
        </w:rPr>
        <w:t>签字或者电子签名</w:t>
      </w:r>
      <w:r>
        <w:rPr>
          <w:rFonts w:hint="eastAsia" w:ascii="宋体" w:hAnsi="宋体" w:eastAsia="宋体" w:cs="宋体"/>
          <w:b/>
          <w:color w:val="auto"/>
          <w:sz w:val="24"/>
          <w:highlight w:val="none"/>
        </w:rPr>
        <w:t>，否则其响应文件按无效响应处理。</w:t>
      </w:r>
    </w:p>
    <w:p w14:paraId="53CCFEB3">
      <w:pPr>
        <w:pageBreakBefore w:val="0"/>
        <w:widowControl w:val="0"/>
        <w:kinsoku/>
        <w:wordWrap w:val="0"/>
        <w:overflowPunct/>
        <w:topLinePunct w:val="0"/>
        <w:bidi w:val="0"/>
        <w:spacing w:line="400" w:lineRule="exact"/>
        <w:ind w:firstLine="482" w:firstLineChars="200"/>
        <w:jc w:val="left"/>
        <w:textAlignment w:val="baseline"/>
        <w:outlineLvl w:val="9"/>
        <w:rPr>
          <w:rFonts w:hint="eastAsia" w:ascii="宋体" w:hAnsi="宋体" w:eastAsia="宋体" w:cs="宋体"/>
          <w:b/>
          <w:color w:val="auto"/>
          <w:sz w:val="24"/>
          <w:highlight w:val="none"/>
          <w:lang w:val="en-US" w:eastAsia="zh-CN"/>
        </w:rPr>
      </w:pPr>
      <w:bookmarkStart w:id="126" w:name="_Toc20450"/>
      <w:r>
        <w:rPr>
          <w:rFonts w:hint="eastAsia" w:ascii="宋体" w:hAnsi="宋体" w:eastAsia="宋体" w:cs="宋体"/>
          <w:b/>
          <w:color w:val="auto"/>
          <w:sz w:val="24"/>
          <w:highlight w:val="none"/>
          <w:lang w:val="en-US" w:eastAsia="zh-CN"/>
        </w:rPr>
        <w:t>3.报价不得高于上限预算单价，否则其响应文件按无效响应处理。</w:t>
      </w:r>
      <w:bookmarkEnd w:id="126"/>
    </w:p>
    <w:p w14:paraId="0BB4A3B7">
      <w:pPr>
        <w:pageBreakBefore w:val="0"/>
        <w:widowControl w:val="0"/>
        <w:kinsoku/>
        <w:wordWrap w:val="0"/>
        <w:overflowPunct/>
        <w:topLinePunct w:val="0"/>
        <w:bidi w:val="0"/>
        <w:spacing w:line="400" w:lineRule="exact"/>
        <w:ind w:firstLine="482" w:firstLineChars="200"/>
        <w:jc w:val="left"/>
        <w:textAlignment w:val="baseline"/>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4.说明：配套试剂各项耗材的竞标报价，只需要在“广西政采云平台”提供报价对应点以附件提供。</w:t>
      </w:r>
    </w:p>
    <w:p w14:paraId="37E07789">
      <w:pPr>
        <w:pageBreakBefore w:val="0"/>
        <w:widowControl w:val="0"/>
        <w:kinsoku/>
        <w:wordWrap w:val="0"/>
        <w:overflowPunct/>
        <w:topLinePunct w:val="0"/>
        <w:bidi w:val="0"/>
        <w:spacing w:line="400" w:lineRule="exact"/>
        <w:ind w:firstLine="480" w:firstLineChars="200"/>
        <w:contextualSpacing/>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 xml:space="preserve">：               </w:t>
      </w:r>
    </w:p>
    <w:p w14:paraId="48DA5E27">
      <w:pPr>
        <w:pageBreakBefore w:val="0"/>
        <w:widowControl w:val="0"/>
        <w:kinsoku/>
        <w:wordWrap w:val="0"/>
        <w:overflowPunct/>
        <w:topLinePunct w:val="0"/>
        <w:bidi w:val="0"/>
        <w:spacing w:line="400" w:lineRule="exact"/>
        <w:ind w:firstLine="2880" w:firstLineChars="1200"/>
        <w:contextualSpacing/>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b/>
          <w:bCs/>
          <w:color w:val="auto"/>
          <w:sz w:val="24"/>
          <w:highlight w:val="none"/>
        </w:rPr>
        <w:t>（电子签章）</w:t>
      </w:r>
      <w:r>
        <w:rPr>
          <w:rFonts w:hint="eastAsia" w:ascii="宋体" w:hAnsi="宋体" w:eastAsia="宋体" w:cs="宋体"/>
          <w:color w:val="auto"/>
          <w:sz w:val="24"/>
          <w:highlight w:val="none"/>
        </w:rPr>
        <w:t xml:space="preserve">：               </w:t>
      </w:r>
    </w:p>
    <w:p w14:paraId="5D552E79">
      <w:pPr>
        <w:pageBreakBefore w:val="0"/>
        <w:widowControl w:val="0"/>
        <w:kinsoku/>
        <w:wordWrap w:val="0"/>
        <w:overflowPunct/>
        <w:topLinePunct w:val="0"/>
        <w:bidi w:val="0"/>
        <w:spacing w:line="400" w:lineRule="exact"/>
        <w:ind w:firstLine="480" w:firstLineChars="200"/>
        <w:contextualSpacing/>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2C81EFFD">
      <w:pPr>
        <w:pageBreakBefore w:val="0"/>
        <w:widowControl w:val="0"/>
        <w:kinsoku/>
        <w:wordWrap w:val="0"/>
        <w:overflowPunct/>
        <w:topLinePunct w:val="0"/>
        <w:bidi w:val="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24FDFDF">
      <w:pPr>
        <w:pageBreakBefore w:val="0"/>
        <w:widowControl w:val="0"/>
        <w:tabs>
          <w:tab w:val="left" w:pos="3479"/>
        </w:tabs>
        <w:kinsoku/>
        <w:wordWrap w:val="0"/>
        <w:overflowPunct/>
        <w:topLinePunct w:val="0"/>
        <w:bidi w:val="0"/>
        <w:spacing w:line="520" w:lineRule="exact"/>
        <w:jc w:val="center"/>
        <w:outlineLvl w:val="9"/>
        <w:rPr>
          <w:rFonts w:hint="eastAsia" w:ascii="宋体" w:hAnsi="宋体" w:eastAsia="宋体" w:cs="宋体"/>
          <w:bCs/>
          <w:color w:val="auto"/>
          <w:sz w:val="32"/>
          <w:szCs w:val="32"/>
          <w:highlight w:val="none"/>
        </w:rPr>
      </w:pPr>
      <w:r>
        <w:rPr>
          <w:rFonts w:hint="eastAsia" w:ascii="宋体" w:hAnsi="宋体" w:eastAsia="宋体" w:cs="宋体"/>
          <w:b/>
          <w:color w:val="auto"/>
          <w:sz w:val="44"/>
          <w:szCs w:val="44"/>
          <w:highlight w:val="none"/>
        </w:rPr>
        <w:t>最终报价表</w:t>
      </w:r>
    </w:p>
    <w:p w14:paraId="492FBE7B">
      <w:pPr>
        <w:pageBreakBefore w:val="0"/>
        <w:widowControl w:val="0"/>
        <w:kinsoku/>
        <w:wordWrap w:val="0"/>
        <w:overflowPunct/>
        <w:topLinePunct w:val="0"/>
        <w:bidi w:val="0"/>
        <w:snapToGrid w:val="0"/>
        <w:spacing w:before="50" w:after="50"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136FD9AE">
      <w:pPr>
        <w:pageBreakBefore w:val="0"/>
        <w:widowControl w:val="0"/>
        <w:kinsoku/>
        <w:wordWrap w:val="0"/>
        <w:overflowPunct/>
        <w:topLinePunct w:val="0"/>
        <w:bidi w:val="0"/>
        <w:snapToGrid w:val="0"/>
        <w:spacing w:before="50" w:after="50" w:line="4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0"/>
        <w:tblW w:w="97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4"/>
        <w:gridCol w:w="2395"/>
        <w:gridCol w:w="1409"/>
        <w:gridCol w:w="1700"/>
        <w:gridCol w:w="1550"/>
        <w:gridCol w:w="1508"/>
      </w:tblGrid>
      <w:tr w14:paraId="673C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214" w:type="dxa"/>
            <w:tcBorders>
              <w:top w:val="single" w:color="auto" w:sz="4" w:space="0"/>
              <w:left w:val="single" w:color="auto" w:sz="4" w:space="0"/>
              <w:bottom w:val="single" w:color="auto" w:sz="4" w:space="0"/>
              <w:right w:val="single" w:color="auto" w:sz="4" w:space="0"/>
            </w:tcBorders>
            <w:vAlign w:val="center"/>
          </w:tcPr>
          <w:p w14:paraId="6E58CEFA">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395" w:type="dxa"/>
            <w:tcBorders>
              <w:top w:val="single" w:color="auto" w:sz="4" w:space="0"/>
              <w:left w:val="single" w:color="auto" w:sz="4" w:space="0"/>
              <w:bottom w:val="single" w:color="auto" w:sz="4" w:space="0"/>
              <w:right w:val="single" w:color="auto" w:sz="4" w:space="0"/>
            </w:tcBorders>
            <w:vAlign w:val="center"/>
          </w:tcPr>
          <w:p w14:paraId="5EB5AC53">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标的的名称</w:t>
            </w:r>
          </w:p>
        </w:tc>
        <w:tc>
          <w:tcPr>
            <w:tcW w:w="1409" w:type="dxa"/>
            <w:tcBorders>
              <w:top w:val="single" w:color="auto" w:sz="4" w:space="0"/>
              <w:left w:val="single" w:color="auto" w:sz="4" w:space="0"/>
              <w:bottom w:val="single" w:color="auto" w:sz="4" w:space="0"/>
              <w:right w:val="single" w:color="auto" w:sz="4" w:space="0"/>
            </w:tcBorders>
            <w:vAlign w:val="center"/>
          </w:tcPr>
          <w:p w14:paraId="110A698A">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700" w:type="dxa"/>
            <w:tcBorders>
              <w:top w:val="single" w:color="auto" w:sz="4" w:space="0"/>
              <w:left w:val="single" w:color="auto" w:sz="4" w:space="0"/>
              <w:bottom w:val="single" w:color="auto" w:sz="4" w:space="0"/>
              <w:right w:val="single" w:color="auto" w:sz="4" w:space="0"/>
            </w:tcBorders>
            <w:vAlign w:val="center"/>
          </w:tcPr>
          <w:p w14:paraId="06E3730F">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1550" w:type="dxa"/>
            <w:tcBorders>
              <w:top w:val="single" w:color="auto" w:sz="4" w:space="0"/>
              <w:left w:val="single" w:color="auto" w:sz="4" w:space="0"/>
              <w:bottom w:val="single" w:color="auto" w:sz="4" w:space="0"/>
              <w:right w:val="single" w:color="auto" w:sz="4" w:space="0"/>
            </w:tcBorders>
            <w:vAlign w:val="center"/>
          </w:tcPr>
          <w:p w14:paraId="6FDBFDFE">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单价（元）</w:t>
            </w:r>
          </w:p>
        </w:tc>
        <w:tc>
          <w:tcPr>
            <w:tcW w:w="1508" w:type="dxa"/>
            <w:tcBorders>
              <w:top w:val="single" w:color="auto" w:sz="4" w:space="0"/>
              <w:left w:val="single" w:color="auto" w:sz="4" w:space="0"/>
              <w:bottom w:val="single" w:color="auto" w:sz="4" w:space="0"/>
              <w:right w:val="single" w:color="auto" w:sz="4" w:space="0"/>
            </w:tcBorders>
            <w:vAlign w:val="center"/>
          </w:tcPr>
          <w:p w14:paraId="17CE8A75">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金额（元）</w:t>
            </w:r>
          </w:p>
        </w:tc>
      </w:tr>
      <w:tr w14:paraId="6D09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214" w:type="dxa"/>
            <w:tcBorders>
              <w:top w:val="single" w:color="auto" w:sz="4" w:space="0"/>
              <w:left w:val="single" w:color="auto" w:sz="4" w:space="0"/>
              <w:right w:val="single" w:color="auto" w:sz="4" w:space="0"/>
            </w:tcBorders>
            <w:vAlign w:val="center"/>
          </w:tcPr>
          <w:p w14:paraId="7AC4E7AE">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95" w:type="dxa"/>
            <w:tcBorders>
              <w:top w:val="single" w:color="auto" w:sz="4" w:space="0"/>
              <w:left w:val="single" w:color="auto" w:sz="4" w:space="0"/>
              <w:right w:val="single" w:color="auto" w:sz="4" w:space="0"/>
            </w:tcBorders>
            <w:vAlign w:val="center"/>
          </w:tcPr>
          <w:p w14:paraId="25577802">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4C123FA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0570A32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3462DBCC">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tcPr>
          <w:p w14:paraId="2EF9A6A1">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r>
      <w:tr w14:paraId="2991E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jc w:val="center"/>
        </w:trPr>
        <w:tc>
          <w:tcPr>
            <w:tcW w:w="1214" w:type="dxa"/>
            <w:tcBorders>
              <w:top w:val="single" w:color="auto" w:sz="4" w:space="0"/>
              <w:left w:val="single" w:color="auto" w:sz="4" w:space="0"/>
              <w:right w:val="single" w:color="auto" w:sz="4" w:space="0"/>
            </w:tcBorders>
            <w:vAlign w:val="center"/>
          </w:tcPr>
          <w:p w14:paraId="7534C6A6">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95" w:type="dxa"/>
            <w:tcBorders>
              <w:top w:val="single" w:color="auto" w:sz="4" w:space="0"/>
              <w:left w:val="single" w:color="auto" w:sz="4" w:space="0"/>
              <w:right w:val="single" w:color="auto" w:sz="4" w:space="0"/>
            </w:tcBorders>
            <w:vAlign w:val="center"/>
          </w:tcPr>
          <w:p w14:paraId="5EDABCDC">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0EE03C3D">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067D9CAD">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59D4149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tcPr>
          <w:p w14:paraId="61411FF1">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r>
      <w:tr w14:paraId="72C7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1214" w:type="dxa"/>
            <w:tcBorders>
              <w:top w:val="single" w:color="auto" w:sz="4" w:space="0"/>
              <w:left w:val="single" w:color="auto" w:sz="4" w:space="0"/>
              <w:bottom w:val="single" w:color="auto" w:sz="4" w:space="0"/>
              <w:right w:val="single" w:color="auto" w:sz="4" w:space="0"/>
            </w:tcBorders>
            <w:vAlign w:val="center"/>
          </w:tcPr>
          <w:p w14:paraId="14F14831">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95" w:type="dxa"/>
            <w:tcBorders>
              <w:top w:val="single" w:color="auto" w:sz="4" w:space="0"/>
              <w:left w:val="single" w:color="auto" w:sz="4" w:space="0"/>
              <w:bottom w:val="single" w:color="auto" w:sz="4" w:space="0"/>
              <w:right w:val="single" w:color="auto" w:sz="4" w:space="0"/>
            </w:tcBorders>
            <w:vAlign w:val="center"/>
          </w:tcPr>
          <w:p w14:paraId="6573A56D">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409" w:type="dxa"/>
            <w:tcBorders>
              <w:top w:val="single" w:color="auto" w:sz="4" w:space="0"/>
              <w:left w:val="single" w:color="auto" w:sz="4" w:space="0"/>
              <w:bottom w:val="single" w:color="auto" w:sz="4" w:space="0"/>
              <w:right w:val="single" w:color="auto" w:sz="4" w:space="0"/>
            </w:tcBorders>
            <w:vAlign w:val="center"/>
          </w:tcPr>
          <w:p w14:paraId="3B4BB57E">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14:paraId="449C6D6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14:paraId="53EC700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1508" w:type="dxa"/>
            <w:tcBorders>
              <w:top w:val="single" w:color="auto" w:sz="4" w:space="0"/>
              <w:left w:val="single" w:color="auto" w:sz="4" w:space="0"/>
              <w:bottom w:val="single" w:color="auto" w:sz="4" w:space="0"/>
              <w:right w:val="single" w:color="auto" w:sz="4" w:space="0"/>
            </w:tcBorders>
          </w:tcPr>
          <w:p w14:paraId="576D2727">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r>
      <w:tr w14:paraId="4C198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9776" w:type="dxa"/>
            <w:gridSpan w:val="6"/>
            <w:tcBorders>
              <w:top w:val="single" w:color="auto" w:sz="4" w:space="0"/>
              <w:left w:val="single" w:color="auto" w:sz="4" w:space="0"/>
              <w:bottom w:val="single" w:color="auto" w:sz="4" w:space="0"/>
              <w:right w:val="single" w:color="auto" w:sz="4" w:space="0"/>
            </w:tcBorders>
            <w:vAlign w:val="center"/>
          </w:tcPr>
          <w:p w14:paraId="118E39F7">
            <w:pPr>
              <w:pageBreakBefore w:val="0"/>
              <w:widowControl w:val="0"/>
              <w:kinsoku/>
              <w:wordWrap w:val="0"/>
              <w:overflowPunct/>
              <w:topLinePunct w:val="0"/>
              <w:bidi w:val="0"/>
              <w:spacing w:line="400" w:lineRule="exact"/>
              <w:outlineLvl w:val="9"/>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合计金额大写：人民币</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 xml:space="preserve">                 </w:t>
            </w:r>
          </w:p>
        </w:tc>
      </w:tr>
      <w:tr w14:paraId="7D73D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9" w:hRule="atLeast"/>
          <w:jc w:val="center"/>
        </w:trPr>
        <w:tc>
          <w:tcPr>
            <w:tcW w:w="9776" w:type="dxa"/>
            <w:gridSpan w:val="6"/>
            <w:tcBorders>
              <w:top w:val="single" w:color="auto" w:sz="4" w:space="0"/>
              <w:left w:val="single" w:color="auto" w:sz="4" w:space="0"/>
              <w:right w:val="single" w:color="auto" w:sz="4" w:space="0"/>
            </w:tcBorders>
            <w:vAlign w:val="center"/>
          </w:tcPr>
          <w:p w14:paraId="4C60426D">
            <w:pPr>
              <w:pageBreakBefore w:val="0"/>
              <w:widowControl w:val="0"/>
              <w:kinsoku/>
              <w:wordWrap w:val="0"/>
              <w:overflowPunct/>
              <w:topLinePunct w:val="0"/>
              <w:bidi w:val="0"/>
              <w:spacing w:line="400" w:lineRule="exact"/>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交货时间：自合同签订之日起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日内安装调试完毕并验收合格。</w:t>
            </w:r>
          </w:p>
        </w:tc>
      </w:tr>
    </w:tbl>
    <w:p w14:paraId="6EB384A5">
      <w:pPr>
        <w:pageBreakBefore w:val="0"/>
        <w:widowControl w:val="0"/>
        <w:kinsoku/>
        <w:wordWrap w:val="0"/>
        <w:overflowPunct/>
        <w:topLinePunct w:val="0"/>
        <w:bidi w:val="0"/>
        <w:outlineLvl w:val="9"/>
        <w:rPr>
          <w:rFonts w:hint="eastAsia"/>
          <w:sz w:val="28"/>
          <w:szCs w:val="28"/>
          <w:highlight w:val="yellow"/>
          <w:lang w:val="en-US" w:eastAsia="zh-CN"/>
        </w:rPr>
      </w:pPr>
    </w:p>
    <w:p w14:paraId="569B5B15">
      <w:pPr>
        <w:pageBreakBefore w:val="0"/>
        <w:widowControl w:val="0"/>
        <w:kinsoku/>
        <w:wordWrap w:val="0"/>
        <w:overflowPunct/>
        <w:topLinePunct w:val="0"/>
        <w:bidi w:val="0"/>
        <w:outlineLvl w:val="9"/>
        <w:rPr>
          <w:rFonts w:hint="eastAsia"/>
          <w:sz w:val="24"/>
          <w:szCs w:val="24"/>
          <w:highlight w:val="none"/>
          <w:lang w:val="en-US" w:eastAsia="zh-CN"/>
        </w:rPr>
      </w:pPr>
      <w:r>
        <w:rPr>
          <w:rFonts w:hint="eastAsia"/>
          <w:sz w:val="24"/>
          <w:szCs w:val="24"/>
          <w:highlight w:val="none"/>
          <w:lang w:val="en-US" w:eastAsia="zh-CN"/>
        </w:rPr>
        <w:t>附件：超声波妇科治疗仪配套耗材：</w:t>
      </w:r>
    </w:p>
    <w:tbl>
      <w:tblPr>
        <w:tblStyle w:val="20"/>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701"/>
        <w:gridCol w:w="1350"/>
        <w:gridCol w:w="1595"/>
        <w:gridCol w:w="649"/>
        <w:gridCol w:w="1609"/>
        <w:gridCol w:w="1404"/>
      </w:tblGrid>
      <w:tr w14:paraId="0A14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41" w:type="dxa"/>
            <w:noWrap w:val="0"/>
            <w:vAlign w:val="center"/>
          </w:tcPr>
          <w:p w14:paraId="427530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701" w:type="dxa"/>
            <w:noWrap w:val="0"/>
            <w:vAlign w:val="center"/>
          </w:tcPr>
          <w:p w14:paraId="731EDA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耗材名称</w:t>
            </w:r>
          </w:p>
        </w:tc>
        <w:tc>
          <w:tcPr>
            <w:tcW w:w="1350" w:type="dxa"/>
            <w:noWrap w:val="0"/>
            <w:vAlign w:val="center"/>
          </w:tcPr>
          <w:p w14:paraId="5377E9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品牌</w:t>
            </w:r>
          </w:p>
        </w:tc>
        <w:tc>
          <w:tcPr>
            <w:tcW w:w="1595" w:type="dxa"/>
            <w:noWrap w:val="0"/>
            <w:vAlign w:val="center"/>
          </w:tcPr>
          <w:p w14:paraId="606343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规格型号</w:t>
            </w:r>
          </w:p>
        </w:tc>
        <w:tc>
          <w:tcPr>
            <w:tcW w:w="649" w:type="dxa"/>
            <w:noWrap w:val="0"/>
            <w:vAlign w:val="center"/>
          </w:tcPr>
          <w:p w14:paraId="6BC3C4F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609" w:type="dxa"/>
            <w:noWrap w:val="0"/>
            <w:vAlign w:val="center"/>
          </w:tcPr>
          <w:p w14:paraId="1160F5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上限预算单价（元）</w:t>
            </w:r>
          </w:p>
        </w:tc>
        <w:tc>
          <w:tcPr>
            <w:tcW w:w="1404" w:type="dxa"/>
            <w:noWrap w:val="0"/>
            <w:vAlign w:val="center"/>
          </w:tcPr>
          <w:p w14:paraId="261740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竞标报价</w:t>
            </w:r>
            <w:r>
              <w:rPr>
                <w:rFonts w:hint="eastAsia" w:ascii="宋体" w:hAnsi="宋体" w:eastAsia="宋体" w:cs="宋体"/>
                <w:b/>
                <w:bCs/>
                <w:color w:val="auto"/>
                <w:sz w:val="24"/>
                <w:szCs w:val="24"/>
                <w:highlight w:val="none"/>
                <w:lang w:eastAsia="zh-CN"/>
              </w:rPr>
              <w:t>（元）</w:t>
            </w:r>
          </w:p>
        </w:tc>
      </w:tr>
      <w:tr w14:paraId="137B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41" w:type="dxa"/>
            <w:noWrap w:val="0"/>
            <w:vAlign w:val="center"/>
          </w:tcPr>
          <w:p w14:paraId="2BB73D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01" w:type="dxa"/>
            <w:shd w:val="clear" w:color="auto" w:fill="auto"/>
            <w:noWrap w:val="0"/>
            <w:vAlign w:val="center"/>
          </w:tcPr>
          <w:p w14:paraId="6A9CF5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一次性医用隔离透声膜（宫颈） </w:t>
            </w:r>
          </w:p>
        </w:tc>
        <w:tc>
          <w:tcPr>
            <w:tcW w:w="1350" w:type="dxa"/>
            <w:shd w:val="clear" w:color="auto" w:fill="auto"/>
            <w:noWrap w:val="0"/>
            <w:vAlign w:val="center"/>
          </w:tcPr>
          <w:p w14:paraId="2D3C5A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1595" w:type="dxa"/>
            <w:shd w:val="clear" w:color="auto" w:fill="auto"/>
            <w:noWrap w:val="0"/>
            <w:vAlign w:val="center"/>
          </w:tcPr>
          <w:p w14:paraId="23E01EB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649" w:type="dxa"/>
            <w:shd w:val="clear" w:color="auto" w:fill="auto"/>
            <w:noWrap w:val="0"/>
            <w:vAlign w:val="center"/>
          </w:tcPr>
          <w:p w14:paraId="4721918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609" w:type="dxa"/>
            <w:shd w:val="clear" w:color="auto" w:fill="auto"/>
            <w:noWrap w:val="0"/>
            <w:vAlign w:val="center"/>
          </w:tcPr>
          <w:p w14:paraId="3757FBA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1404" w:type="dxa"/>
            <w:shd w:val="clear" w:color="auto" w:fill="auto"/>
            <w:noWrap w:val="0"/>
            <w:vAlign w:val="center"/>
          </w:tcPr>
          <w:p w14:paraId="0D871C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r>
      <w:tr w14:paraId="6666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41" w:type="dxa"/>
            <w:noWrap w:val="0"/>
            <w:vAlign w:val="center"/>
          </w:tcPr>
          <w:p w14:paraId="00E392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01" w:type="dxa"/>
            <w:shd w:val="clear" w:color="auto" w:fill="auto"/>
            <w:noWrap w:val="0"/>
            <w:vAlign w:val="center"/>
          </w:tcPr>
          <w:p w14:paraId="651815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一次性医用隔离透声膜（外阴） </w:t>
            </w:r>
          </w:p>
        </w:tc>
        <w:tc>
          <w:tcPr>
            <w:tcW w:w="1350" w:type="dxa"/>
            <w:shd w:val="clear" w:color="auto" w:fill="auto"/>
            <w:noWrap w:val="0"/>
            <w:vAlign w:val="center"/>
          </w:tcPr>
          <w:p w14:paraId="0E2143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1595" w:type="dxa"/>
            <w:shd w:val="clear" w:color="auto" w:fill="auto"/>
            <w:noWrap w:val="0"/>
            <w:vAlign w:val="center"/>
          </w:tcPr>
          <w:p w14:paraId="7EA2FA2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c>
          <w:tcPr>
            <w:tcW w:w="649" w:type="dxa"/>
            <w:shd w:val="clear" w:color="auto" w:fill="auto"/>
            <w:noWrap w:val="0"/>
            <w:vAlign w:val="center"/>
          </w:tcPr>
          <w:p w14:paraId="3C150A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1609" w:type="dxa"/>
            <w:shd w:val="clear" w:color="auto" w:fill="auto"/>
            <w:noWrap w:val="0"/>
            <w:vAlign w:val="center"/>
          </w:tcPr>
          <w:p w14:paraId="73CEC0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180</w:t>
            </w:r>
          </w:p>
        </w:tc>
        <w:tc>
          <w:tcPr>
            <w:tcW w:w="1404" w:type="dxa"/>
            <w:shd w:val="clear" w:color="auto" w:fill="auto"/>
            <w:noWrap w:val="0"/>
            <w:vAlign w:val="center"/>
          </w:tcPr>
          <w:p w14:paraId="6FBFF4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eastAsia="宋体" w:cs="宋体"/>
                <w:color w:val="auto"/>
                <w:sz w:val="24"/>
                <w:szCs w:val="24"/>
                <w:highlight w:val="none"/>
                <w:lang w:val="en-US" w:eastAsia="zh-CN"/>
              </w:rPr>
            </w:pPr>
          </w:p>
        </w:tc>
      </w:tr>
      <w:tr w14:paraId="0C86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949" w:type="dxa"/>
            <w:gridSpan w:val="7"/>
            <w:noWrap w:val="0"/>
            <w:vAlign w:val="center"/>
          </w:tcPr>
          <w:p w14:paraId="64FA97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合计金额大写：人民币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c>
      </w:tr>
      <w:tr w14:paraId="5BCB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949" w:type="dxa"/>
            <w:gridSpan w:val="7"/>
            <w:noWrap w:val="0"/>
            <w:vAlign w:val="center"/>
          </w:tcPr>
          <w:p w14:paraId="07F6EFC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highlight w:val="none"/>
              </w:rPr>
              <w:t>：按实际使用量结算</w:t>
            </w:r>
          </w:p>
        </w:tc>
      </w:tr>
    </w:tbl>
    <w:p w14:paraId="7CCE5A26">
      <w:pPr>
        <w:pageBreakBefore w:val="0"/>
        <w:widowControl w:val="0"/>
        <w:kinsoku/>
        <w:wordWrap w:val="0"/>
        <w:overflowPunct/>
        <w:topLinePunct w:val="0"/>
        <w:bidi w:val="0"/>
        <w:spacing w:line="400" w:lineRule="exact"/>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81ED12D">
      <w:pPr>
        <w:pageBreakBefore w:val="0"/>
        <w:widowControl w:val="0"/>
        <w:kinsoku/>
        <w:wordWrap w:val="0"/>
        <w:overflowPunct/>
        <w:topLinePunct w:val="0"/>
        <w:bidi w:val="0"/>
        <w:spacing w:line="400" w:lineRule="exact"/>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1.本项目需进行最终报价，请谈判供应商</w:t>
      </w:r>
      <w:r>
        <w:rPr>
          <w:rFonts w:hint="eastAsia" w:ascii="宋体" w:hAnsi="宋体" w:eastAsia="宋体" w:cs="宋体"/>
          <w:b/>
          <w:bCs/>
          <w:color w:val="auto"/>
          <w:sz w:val="24"/>
          <w:highlight w:val="none"/>
          <w:lang w:eastAsia="zh-CN"/>
        </w:rPr>
        <w:t>接到本公司电话后或开标过程中弹出最终报价通知时</w:t>
      </w:r>
      <w:r>
        <w:rPr>
          <w:rFonts w:hint="eastAsia" w:ascii="宋体" w:hAnsi="宋体" w:eastAsia="宋体" w:cs="宋体"/>
          <w:b/>
          <w:bCs/>
          <w:color w:val="auto"/>
          <w:sz w:val="24"/>
          <w:highlight w:val="none"/>
        </w:rPr>
        <w:t>合理安排</w:t>
      </w:r>
      <w:r>
        <w:rPr>
          <w:rFonts w:hint="eastAsia" w:ascii="宋体" w:hAnsi="宋体" w:eastAsia="宋体" w:cs="宋体"/>
          <w:b/>
          <w:bCs/>
          <w:color w:val="auto"/>
          <w:sz w:val="24"/>
          <w:highlight w:val="none"/>
          <w:lang w:eastAsia="zh-CN"/>
        </w:rPr>
        <w:t>最终报价</w:t>
      </w:r>
      <w:r>
        <w:rPr>
          <w:rFonts w:hint="eastAsia" w:ascii="宋体" w:hAnsi="宋体" w:eastAsia="宋体" w:cs="宋体"/>
          <w:b/>
          <w:bCs/>
          <w:color w:val="auto"/>
          <w:sz w:val="24"/>
          <w:highlight w:val="none"/>
        </w:rPr>
        <w:t>时间，根据谈判小组的谈判要求，在规定时间</w:t>
      </w:r>
      <w:r>
        <w:rPr>
          <w:rFonts w:hint="eastAsia" w:ascii="宋体" w:hAnsi="宋体" w:eastAsia="宋体" w:cs="宋体"/>
          <w:b/>
          <w:bCs/>
          <w:color w:val="auto"/>
          <w:sz w:val="24"/>
          <w:highlight w:val="none"/>
          <w:lang w:val="en-US" w:eastAsia="zh-CN"/>
        </w:rPr>
        <w:t>30分钟</w:t>
      </w:r>
      <w:r>
        <w:rPr>
          <w:rFonts w:hint="eastAsia" w:ascii="宋体" w:hAnsi="宋体" w:eastAsia="宋体" w:cs="宋体"/>
          <w:b/>
          <w:bCs/>
          <w:color w:val="auto"/>
          <w:sz w:val="24"/>
          <w:highlight w:val="none"/>
        </w:rPr>
        <w:t>内</w:t>
      </w:r>
      <w:r>
        <w:rPr>
          <w:rFonts w:hint="eastAsia" w:ascii="宋体" w:hAnsi="宋体" w:eastAsia="宋体" w:cs="宋体"/>
          <w:b/>
          <w:bCs/>
          <w:color w:val="auto"/>
          <w:sz w:val="24"/>
          <w:highlight w:val="none"/>
          <w:lang w:eastAsia="zh-CN"/>
        </w:rPr>
        <w:t>在广西政采云平台</w:t>
      </w:r>
      <w:r>
        <w:rPr>
          <w:rFonts w:hint="eastAsia" w:ascii="宋体" w:hAnsi="宋体" w:eastAsia="宋体" w:cs="宋体"/>
          <w:b/>
          <w:bCs/>
          <w:color w:val="auto"/>
          <w:sz w:val="24"/>
          <w:highlight w:val="none"/>
        </w:rPr>
        <w:t>填写完毕并电子签章</w:t>
      </w:r>
      <w:r>
        <w:rPr>
          <w:rFonts w:hint="eastAsia" w:ascii="宋体" w:hAnsi="宋体" w:eastAsia="宋体" w:cs="宋体"/>
          <w:b/>
          <w:bCs/>
          <w:color w:val="auto"/>
          <w:sz w:val="24"/>
          <w:highlight w:val="none"/>
          <w:lang w:eastAsia="zh-CN"/>
        </w:rPr>
        <w:t>后上传至广西政采云平台</w:t>
      </w:r>
      <w:r>
        <w:rPr>
          <w:rFonts w:hint="eastAsia" w:ascii="宋体" w:hAnsi="宋体" w:eastAsia="宋体" w:cs="宋体"/>
          <w:b/>
          <w:bCs/>
          <w:color w:val="auto"/>
          <w:sz w:val="24"/>
          <w:highlight w:val="none"/>
        </w:rPr>
        <w:t>。</w:t>
      </w:r>
    </w:p>
    <w:p w14:paraId="489B5FE1">
      <w:pPr>
        <w:pageBreakBefore w:val="0"/>
        <w:widowControl w:val="0"/>
        <w:kinsoku/>
        <w:wordWrap w:val="0"/>
        <w:overflowPunct/>
        <w:topLinePunct w:val="0"/>
        <w:bidi w:val="0"/>
        <w:spacing w:line="400" w:lineRule="exact"/>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2.以上最终报价表中“数量、单位、单价、金额、合计金额大小写”必须如实填写完整。</w:t>
      </w:r>
    </w:p>
    <w:p w14:paraId="418FB1E9">
      <w:pPr>
        <w:pageBreakBefore w:val="0"/>
        <w:widowControl w:val="0"/>
        <w:kinsoku/>
        <w:wordWrap w:val="0"/>
        <w:overflowPunct/>
        <w:topLinePunct w:val="0"/>
        <w:bidi w:val="0"/>
        <w:spacing w:line="400" w:lineRule="exact"/>
        <w:ind w:firstLine="480" w:firstLineChars="200"/>
        <w:contextualSpacing/>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3.供应商的最终报价表必须由法定代表人或者委托代理人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w:t>
      </w:r>
    </w:p>
    <w:p w14:paraId="5A6C5EE5">
      <w:pPr>
        <w:pageBreakBefore w:val="0"/>
        <w:widowControl w:val="0"/>
        <w:kinsoku/>
        <w:wordWrap w:val="0"/>
        <w:overflowPunct/>
        <w:topLinePunct w:val="0"/>
        <w:bidi w:val="0"/>
        <w:spacing w:line="400" w:lineRule="exact"/>
        <w:ind w:firstLine="480" w:firstLineChars="200"/>
        <w:contextualSpacing/>
        <w:jc w:val="left"/>
        <w:outlineLvl w:val="9"/>
        <w:rPr>
          <w:rFonts w:hint="eastAsia" w:ascii="宋体" w:hAnsi="宋体" w:eastAsia="宋体" w:cs="宋体"/>
          <w:color w:val="auto"/>
          <w:highlight w:val="none"/>
        </w:rPr>
      </w:pPr>
      <w:r>
        <w:rPr>
          <w:rFonts w:hint="eastAsia" w:ascii="宋体" w:hAnsi="宋体" w:eastAsia="宋体" w:cs="宋体"/>
          <w:bCs/>
          <w:color w:val="auto"/>
          <w:sz w:val="24"/>
          <w:highlight w:val="none"/>
        </w:rPr>
        <w:t>4.</w:t>
      </w:r>
      <w:r>
        <w:rPr>
          <w:rFonts w:hint="eastAsia" w:ascii="宋体" w:hAnsi="宋体" w:eastAsia="宋体" w:cs="宋体"/>
          <w:color w:val="auto"/>
          <w:sz w:val="24"/>
          <w:highlight w:val="none"/>
        </w:rPr>
        <w:t>报价如有涂改，应在涂改处由法定代表人或者授权委托人</w:t>
      </w:r>
      <w:r>
        <w:rPr>
          <w:rFonts w:hint="eastAsia" w:ascii="宋体" w:hAnsi="宋体" w:eastAsia="宋体" w:cs="宋体"/>
          <w:b/>
          <w:bCs/>
          <w:color w:val="auto"/>
          <w:sz w:val="24"/>
          <w:highlight w:val="none"/>
        </w:rPr>
        <w:t>签字或者电子签名</w:t>
      </w:r>
      <w:r>
        <w:rPr>
          <w:rFonts w:hint="eastAsia" w:ascii="宋体" w:hAnsi="宋体" w:eastAsia="宋体" w:cs="宋体"/>
          <w:color w:val="auto"/>
          <w:sz w:val="24"/>
          <w:highlight w:val="none"/>
        </w:rPr>
        <w:t>。</w:t>
      </w:r>
    </w:p>
    <w:p w14:paraId="16792844">
      <w:pPr>
        <w:pStyle w:val="14"/>
        <w:pageBreakBefore w:val="0"/>
        <w:widowControl w:val="0"/>
        <w:kinsoku/>
        <w:wordWrap w:val="0"/>
        <w:overflowPunct/>
        <w:topLinePunct w:val="0"/>
        <w:bidi w:val="0"/>
        <w:outlineLvl w:val="9"/>
        <w:rPr>
          <w:rFonts w:hint="eastAsia" w:ascii="宋体" w:hAnsi="宋体" w:eastAsia="宋体" w:cs="宋体"/>
          <w:color w:val="auto"/>
          <w:sz w:val="24"/>
          <w:szCs w:val="24"/>
          <w:highlight w:val="none"/>
        </w:rPr>
      </w:pPr>
    </w:p>
    <w:p w14:paraId="510A8ADB">
      <w:pPr>
        <w:pStyle w:val="14"/>
        <w:pageBreakBefore w:val="0"/>
        <w:widowControl w:val="0"/>
        <w:kinsoku/>
        <w:wordWrap w:val="0"/>
        <w:overflowPunct/>
        <w:topLinePunct w:val="0"/>
        <w:bidi w:val="0"/>
        <w:ind w:firstLine="4080" w:firstLineChars="17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谈判供应商名称</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电子签章</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p>
    <w:p w14:paraId="579C1B2C">
      <w:pPr>
        <w:pStyle w:val="14"/>
        <w:pageBreakBefore w:val="0"/>
        <w:widowControl w:val="0"/>
        <w:kinsoku/>
        <w:wordWrap w:val="0"/>
        <w:overflowPunct/>
        <w:topLinePunct w:val="0"/>
        <w:bidi w:val="0"/>
        <w:spacing w:line="520" w:lineRule="exact"/>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法定代表人或授权代表</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highlight w:val="none"/>
        </w:rPr>
        <w:t>签字或者电子签名</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p>
    <w:p w14:paraId="4198A8CB">
      <w:pPr>
        <w:pageBreakBefore w:val="0"/>
        <w:widowControl w:val="0"/>
        <w:kinsoku/>
        <w:wordWrap w:val="0"/>
        <w:overflowPunct/>
        <w:topLinePunct w:val="0"/>
        <w:bidi w:val="0"/>
        <w:adjustRightInd w:val="0"/>
        <w:snapToGrid w:val="0"/>
        <w:spacing w:line="300" w:lineRule="auto"/>
        <w:ind w:firstLine="6480" w:firstLineChars="2700"/>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日   期：   年   月   日</w:t>
      </w:r>
    </w:p>
    <w:p w14:paraId="5DE46DD2">
      <w:pPr>
        <w:pageBreakBefore w:val="0"/>
        <w:widowControl w:val="0"/>
        <w:kinsoku/>
        <w:wordWrap w:val="0"/>
        <w:overflowPunct/>
        <w:topLinePunct w:val="0"/>
        <w:bidi w:val="0"/>
        <w:spacing w:line="360" w:lineRule="auto"/>
        <w:ind w:right="420"/>
        <w:contextualSpacing/>
        <w:jc w:val="left"/>
        <w:outlineLvl w:val="9"/>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三、</w:t>
      </w:r>
      <w:r>
        <w:rPr>
          <w:rFonts w:hint="eastAsia" w:ascii="宋体" w:hAnsi="宋体" w:eastAsia="宋体" w:cs="宋体"/>
          <w:b/>
          <w:color w:val="auto"/>
          <w:sz w:val="32"/>
          <w:szCs w:val="32"/>
          <w:highlight w:val="none"/>
        </w:rPr>
        <w:t>商务技术文件格式</w:t>
      </w:r>
    </w:p>
    <w:p w14:paraId="7197C0B8">
      <w:pPr>
        <w:pageBreakBefore w:val="0"/>
        <w:widowControl w:val="0"/>
        <w:kinsoku/>
        <w:wordWrap w:val="0"/>
        <w:overflowPunct/>
        <w:topLinePunct w:val="0"/>
        <w:bidi w:val="0"/>
        <w:snapToGrid w:val="0"/>
        <w:spacing w:beforeLines="50" w:after="50" w:line="360" w:lineRule="auto"/>
        <w:jc w:val="left"/>
        <w:outlineLvl w:val="9"/>
        <w:rPr>
          <w:rFonts w:hint="eastAsia" w:ascii="宋体" w:hAnsi="宋体" w:eastAsia="宋体" w:cs="宋体"/>
          <w:b/>
          <w:color w:val="auto"/>
          <w:sz w:val="32"/>
          <w:szCs w:val="32"/>
          <w:highlight w:val="none"/>
        </w:rPr>
      </w:pPr>
      <w:bookmarkStart w:id="127" w:name="_Toc2839"/>
      <w:r>
        <w:rPr>
          <w:rFonts w:hint="eastAsia" w:ascii="宋体" w:hAnsi="宋体" w:eastAsia="宋体" w:cs="宋体"/>
          <w:b/>
          <w:color w:val="auto"/>
          <w:sz w:val="32"/>
          <w:szCs w:val="32"/>
          <w:highlight w:val="none"/>
        </w:rPr>
        <w:t>1.商务技术文件封面格式</w:t>
      </w:r>
      <w:bookmarkEnd w:id="127"/>
    </w:p>
    <w:p w14:paraId="2AD8F160">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32"/>
          <w:szCs w:val="20"/>
          <w:highlight w:val="none"/>
        </w:rPr>
      </w:pPr>
    </w:p>
    <w:p w14:paraId="42591EAF">
      <w:pPr>
        <w:pageBreakBefore w:val="0"/>
        <w:widowControl w:val="0"/>
        <w:kinsoku/>
        <w:wordWrap w:val="0"/>
        <w:overflowPunct/>
        <w:topLinePunct w:val="0"/>
        <w:bidi w:val="0"/>
        <w:snapToGrid w:val="0"/>
        <w:spacing w:beforeLines="50" w:after="50"/>
        <w:jc w:val="righ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正本/副本       </w:t>
      </w:r>
    </w:p>
    <w:p w14:paraId="02C9010F">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Cs/>
          <w:color w:val="auto"/>
          <w:sz w:val="44"/>
          <w:szCs w:val="44"/>
          <w:highlight w:val="none"/>
        </w:rPr>
      </w:pPr>
    </w:p>
    <w:p w14:paraId="5EF7B3F2">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商  务  技  术  文  件</w:t>
      </w:r>
    </w:p>
    <w:p w14:paraId="0C10D197">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38EBF734">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0F91661A">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5195363E">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0025905A">
      <w:pPr>
        <w:pageBreakBefore w:val="0"/>
        <w:widowControl w:val="0"/>
        <w:kinsoku/>
        <w:wordWrap w:val="0"/>
        <w:overflowPunct/>
        <w:topLinePunct w:val="0"/>
        <w:bidi w:val="0"/>
        <w:snapToGrid w:val="0"/>
        <w:spacing w:beforeLines="50" w:after="50"/>
        <w:outlineLvl w:val="9"/>
        <w:rPr>
          <w:rFonts w:hint="eastAsia" w:ascii="宋体" w:hAnsi="宋体" w:eastAsia="宋体" w:cs="宋体"/>
          <w:bCs/>
          <w:color w:val="auto"/>
          <w:sz w:val="24"/>
          <w:szCs w:val="20"/>
          <w:highlight w:val="none"/>
        </w:rPr>
      </w:pPr>
    </w:p>
    <w:p w14:paraId="4A3A9254">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5900CD9">
      <w:pPr>
        <w:pageBreakBefore w:val="0"/>
        <w:widowControl w:val="0"/>
        <w:kinsoku/>
        <w:wordWrap w:val="0"/>
        <w:overflowPunct/>
        <w:topLinePunct w:val="0"/>
        <w:bidi w:val="0"/>
        <w:snapToGrid w:val="0"/>
        <w:spacing w:beforeLines="50" w:after="50"/>
        <w:ind w:firstLine="720" w:firstLineChars="225"/>
        <w:outlineLvl w:val="9"/>
        <w:rPr>
          <w:rFonts w:hint="eastAsia" w:ascii="宋体" w:hAnsi="宋体" w:eastAsia="宋体" w:cs="宋体"/>
          <w:bCs/>
          <w:color w:val="auto"/>
          <w:sz w:val="32"/>
          <w:szCs w:val="32"/>
          <w:highlight w:val="none"/>
        </w:rPr>
      </w:pPr>
    </w:p>
    <w:p w14:paraId="53A7C238">
      <w:pPr>
        <w:pageBreakBefore w:val="0"/>
        <w:widowControl w:val="0"/>
        <w:kinsoku/>
        <w:wordWrap w:val="0"/>
        <w:overflowPunct/>
        <w:topLinePunct w:val="0"/>
        <w:bidi w:val="0"/>
        <w:snapToGrid w:val="0"/>
        <w:spacing w:beforeLines="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E469208">
      <w:pPr>
        <w:pageBreakBefore w:val="0"/>
        <w:widowControl w:val="0"/>
        <w:kinsoku/>
        <w:wordWrap w:val="0"/>
        <w:overflowPunct/>
        <w:topLinePunct w:val="0"/>
        <w:bidi w:val="0"/>
        <w:snapToGrid w:val="0"/>
        <w:spacing w:beforeLines="50" w:after="50"/>
        <w:ind w:firstLine="720" w:firstLineChars="225"/>
        <w:outlineLvl w:val="9"/>
        <w:rPr>
          <w:rFonts w:hint="eastAsia" w:ascii="宋体" w:hAnsi="宋体" w:eastAsia="宋体" w:cs="宋体"/>
          <w:bCs/>
          <w:color w:val="auto"/>
          <w:sz w:val="32"/>
          <w:szCs w:val="32"/>
          <w:highlight w:val="none"/>
        </w:rPr>
      </w:pPr>
    </w:p>
    <w:p w14:paraId="13DA2E1E">
      <w:pPr>
        <w:pageBreakBefore w:val="0"/>
        <w:widowControl w:val="0"/>
        <w:kinsoku/>
        <w:wordWrap w:val="0"/>
        <w:overflowPunct/>
        <w:topLinePunct w:val="0"/>
        <w:bidi w:val="0"/>
        <w:snapToGrid w:val="0"/>
        <w:spacing w:beforeLines="50" w:after="50"/>
        <w:ind w:firstLine="720" w:firstLineChars="225"/>
        <w:outlineLvl w:val="9"/>
        <w:rPr>
          <w:rFonts w:hint="eastAsia" w:ascii="宋体" w:hAnsi="宋体" w:eastAsia="宋体" w:cs="宋体"/>
          <w:bCs/>
          <w:color w:val="auto"/>
          <w:sz w:val="32"/>
          <w:szCs w:val="32"/>
          <w:highlight w:val="none"/>
        </w:rPr>
      </w:pPr>
    </w:p>
    <w:p w14:paraId="42018B08">
      <w:pPr>
        <w:pStyle w:val="6"/>
        <w:pageBreakBefore w:val="0"/>
        <w:widowControl w:val="0"/>
        <w:kinsoku/>
        <w:wordWrap w:val="0"/>
        <w:overflowPunct/>
        <w:topLinePunct w:val="0"/>
        <w:bidi w:val="0"/>
        <w:snapToGrid w:val="0"/>
        <w:spacing w:before="50" w:after="50"/>
        <w:ind w:firstLine="640" w:firstLineChars="200"/>
        <w:outlineLvl w:val="9"/>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CE32A97">
      <w:pPr>
        <w:pStyle w:val="6"/>
        <w:pageBreakBefore w:val="0"/>
        <w:widowControl w:val="0"/>
        <w:kinsoku/>
        <w:wordWrap w:val="0"/>
        <w:overflowPunct/>
        <w:topLinePunct w:val="0"/>
        <w:bidi w:val="0"/>
        <w:snapToGrid w:val="0"/>
        <w:spacing w:before="50" w:after="50"/>
        <w:ind w:firstLine="640" w:firstLineChars="200"/>
        <w:outlineLvl w:val="9"/>
        <w:rPr>
          <w:rFonts w:hint="eastAsia" w:ascii="宋体" w:hAnsi="宋体" w:eastAsia="宋体" w:cs="宋体"/>
          <w:bCs/>
          <w:color w:val="auto"/>
          <w:sz w:val="32"/>
          <w:szCs w:val="32"/>
          <w:highlight w:val="none"/>
        </w:rPr>
      </w:pPr>
    </w:p>
    <w:p w14:paraId="1B3EB217">
      <w:pPr>
        <w:pStyle w:val="6"/>
        <w:pageBreakBefore w:val="0"/>
        <w:widowControl w:val="0"/>
        <w:kinsoku/>
        <w:wordWrap w:val="0"/>
        <w:overflowPunct/>
        <w:topLinePunct w:val="0"/>
        <w:bidi w:val="0"/>
        <w:snapToGrid w:val="0"/>
        <w:spacing w:before="50" w:after="50"/>
        <w:ind w:firstLine="720" w:firstLineChars="225"/>
        <w:outlineLvl w:val="9"/>
        <w:rPr>
          <w:rFonts w:hint="eastAsia" w:ascii="宋体" w:hAnsi="宋体" w:eastAsia="宋体" w:cs="宋体"/>
          <w:bCs/>
          <w:color w:val="auto"/>
          <w:sz w:val="32"/>
          <w:szCs w:val="32"/>
          <w:highlight w:val="none"/>
        </w:rPr>
      </w:pPr>
    </w:p>
    <w:p w14:paraId="1FB78887">
      <w:pPr>
        <w:pStyle w:val="6"/>
        <w:pageBreakBefore w:val="0"/>
        <w:widowControl w:val="0"/>
        <w:kinsoku/>
        <w:wordWrap w:val="0"/>
        <w:overflowPunct/>
        <w:topLinePunct w:val="0"/>
        <w:bidi w:val="0"/>
        <w:snapToGrid w:val="0"/>
        <w:spacing w:before="50" w:after="50"/>
        <w:ind w:firstLine="0"/>
        <w:outlineLvl w:val="9"/>
        <w:rPr>
          <w:rFonts w:hint="eastAsia" w:ascii="宋体" w:hAnsi="宋体" w:eastAsia="宋体" w:cs="宋体"/>
          <w:bCs/>
          <w:color w:val="auto"/>
          <w:sz w:val="32"/>
          <w:szCs w:val="32"/>
          <w:highlight w:val="none"/>
        </w:rPr>
      </w:pPr>
    </w:p>
    <w:p w14:paraId="4883AB62">
      <w:pPr>
        <w:pStyle w:val="6"/>
        <w:pageBreakBefore w:val="0"/>
        <w:widowControl w:val="0"/>
        <w:kinsoku/>
        <w:wordWrap w:val="0"/>
        <w:overflowPunct/>
        <w:topLinePunct w:val="0"/>
        <w:bidi w:val="0"/>
        <w:snapToGrid w:val="0"/>
        <w:spacing w:before="50" w:after="50"/>
        <w:ind w:firstLine="1280" w:firstLineChars="400"/>
        <w:outlineLvl w:val="9"/>
        <w:rPr>
          <w:rFonts w:hint="eastAsia" w:ascii="宋体" w:hAnsi="宋体" w:eastAsia="宋体" w:cs="宋体"/>
          <w:bCs/>
          <w:color w:val="auto"/>
          <w:sz w:val="32"/>
          <w:szCs w:val="32"/>
          <w:highlight w:val="none"/>
        </w:rPr>
      </w:pPr>
    </w:p>
    <w:p w14:paraId="72260B90">
      <w:pPr>
        <w:pageBreakBefore w:val="0"/>
        <w:widowControl w:val="0"/>
        <w:kinsoku/>
        <w:wordWrap w:val="0"/>
        <w:overflowPunct/>
        <w:topLinePunct w:val="0"/>
        <w:bidi w:val="0"/>
        <w:snapToGrid w:val="0"/>
        <w:spacing w:beforeLines="50" w:after="50"/>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8229B87">
      <w:pPr>
        <w:pageBreakBefore w:val="0"/>
        <w:widowControl w:val="0"/>
        <w:kinsoku/>
        <w:wordWrap w:val="0"/>
        <w:overflowPunct/>
        <w:topLinePunct w:val="0"/>
        <w:bidi w:val="0"/>
        <w:snapToGrid w:val="0"/>
        <w:spacing w:beforeLines="50" w:after="50" w:line="360" w:lineRule="auto"/>
        <w:ind w:left="142"/>
        <w:jc w:val="left"/>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br w:type="page"/>
      </w:r>
      <w:bookmarkStart w:id="128" w:name="_Toc1280"/>
      <w:r>
        <w:rPr>
          <w:rFonts w:hint="eastAsia" w:ascii="宋体" w:hAnsi="宋体" w:eastAsia="宋体" w:cs="宋体"/>
          <w:b/>
          <w:bCs/>
          <w:color w:val="auto"/>
          <w:sz w:val="32"/>
          <w:szCs w:val="32"/>
          <w:highlight w:val="none"/>
        </w:rPr>
        <w:t>2.商务技术文件目录</w:t>
      </w:r>
      <w:bookmarkEnd w:id="128"/>
    </w:p>
    <w:p w14:paraId="58BF2909">
      <w:pPr>
        <w:pageBreakBefore w:val="0"/>
        <w:widowControl w:val="0"/>
        <w:kinsoku/>
        <w:wordWrap w:val="0"/>
        <w:overflowPunct/>
        <w:topLinePunct w:val="0"/>
        <w:bidi w:val="0"/>
        <w:snapToGrid w:val="0"/>
        <w:spacing w:beforeLines="50" w:after="50" w:line="360" w:lineRule="auto"/>
        <w:ind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根据谈判文件规定及供应商提供的材料自行编写目录（部分格式后附）。</w:t>
      </w:r>
    </w:p>
    <w:p w14:paraId="0B4E3632">
      <w:pPr>
        <w:pageBreakBefore w:val="0"/>
        <w:widowControl w:val="0"/>
        <w:kinsoku/>
        <w:wordWrap w:val="0"/>
        <w:overflowPunct/>
        <w:topLinePunct w:val="0"/>
        <w:bidi w:val="0"/>
        <w:spacing w:line="400" w:lineRule="exact"/>
        <w:outlineLvl w:val="9"/>
        <w:rPr>
          <w:rFonts w:hint="eastAsia" w:ascii="宋体" w:hAnsi="宋体" w:eastAsia="宋体" w:cs="宋体"/>
          <w:color w:val="auto"/>
          <w:sz w:val="32"/>
          <w:szCs w:val="32"/>
          <w:highlight w:val="none"/>
        </w:rPr>
      </w:pPr>
    </w:p>
    <w:p w14:paraId="0E91A30B">
      <w:pPr>
        <w:pageBreakBefore w:val="0"/>
        <w:widowControl w:val="0"/>
        <w:kinsoku/>
        <w:wordWrap w:val="0"/>
        <w:overflowPunct/>
        <w:topLinePunct w:val="0"/>
        <w:bidi w:val="0"/>
        <w:spacing w:line="520" w:lineRule="exact"/>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bCs/>
          <w:color w:val="auto"/>
          <w:sz w:val="44"/>
          <w:szCs w:val="44"/>
          <w:highlight w:val="none"/>
        </w:rPr>
        <w:t>无串通竞标行为的承诺函</w:t>
      </w:r>
    </w:p>
    <w:p w14:paraId="53F028C7">
      <w:pPr>
        <w:pageBreakBefore w:val="0"/>
        <w:widowControl w:val="0"/>
        <w:kinsoku/>
        <w:wordWrap w:val="0"/>
        <w:overflowPunct/>
        <w:topLinePunct w:val="0"/>
        <w:bidi w:val="0"/>
        <w:spacing w:line="360" w:lineRule="auto"/>
        <w:ind w:firstLine="640" w:firstLineChars="200"/>
        <w:contextualSpacing/>
        <w:outlineLvl w:val="9"/>
        <w:rPr>
          <w:rFonts w:hint="eastAsia" w:ascii="宋体" w:hAnsi="宋体" w:eastAsia="宋体" w:cs="宋体"/>
          <w:color w:val="auto"/>
          <w:sz w:val="32"/>
          <w:szCs w:val="32"/>
          <w:highlight w:val="none"/>
        </w:rPr>
      </w:pPr>
    </w:p>
    <w:p w14:paraId="5B00CC04">
      <w:pPr>
        <w:pageBreakBefore w:val="0"/>
        <w:widowControl w:val="0"/>
        <w:kinsoku/>
        <w:wordWrap w:val="0"/>
        <w:overflowPunct/>
        <w:topLinePunct w:val="0"/>
        <w:bidi w:val="0"/>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2D0B61A1">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26BC1F17">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5EAA02E">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13D8A773">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713D961A">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DBEFBEA">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141F1CDF">
      <w:pPr>
        <w:pageBreakBefore w:val="0"/>
        <w:widowControl w:val="0"/>
        <w:kinsoku/>
        <w:wordWrap w:val="0"/>
        <w:overflowPunct/>
        <w:topLinePunct w:val="0"/>
        <w:bidi w:val="0"/>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0A676D63">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A315CE6">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355148E5">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bookmarkStart w:id="129" w:name="_Toc24860"/>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bookmarkEnd w:id="129"/>
    </w:p>
    <w:p w14:paraId="1E7C899A">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EE9335C">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62AAB5EC">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40DEB4A0">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8B4A360">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p>
    <w:p w14:paraId="1BA83A16">
      <w:pPr>
        <w:pageBreakBefore w:val="0"/>
        <w:widowControl w:val="0"/>
        <w:kinsoku/>
        <w:wordWrap w:val="0"/>
        <w:overflowPunct/>
        <w:topLinePunct w:val="0"/>
        <w:bidi w:val="0"/>
        <w:spacing w:line="360" w:lineRule="auto"/>
        <w:ind w:firstLine="482" w:firstLineChars="200"/>
        <w:contextualSpacing/>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34DBD1CF">
      <w:pPr>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highlight w:val="none"/>
        </w:rPr>
      </w:pPr>
    </w:p>
    <w:p w14:paraId="1F819D85">
      <w:pPr>
        <w:pageBreakBefore w:val="0"/>
        <w:widowControl w:val="0"/>
        <w:kinsoku/>
        <w:wordWrap w:val="0"/>
        <w:overflowPunct/>
        <w:topLinePunct w:val="0"/>
        <w:bidi w:val="0"/>
        <w:spacing w:line="360" w:lineRule="auto"/>
        <w:contextualSpacing/>
        <w:outlineLvl w:val="9"/>
        <w:rPr>
          <w:rFonts w:hint="eastAsia" w:ascii="宋体" w:hAnsi="宋体" w:eastAsia="宋体" w:cs="宋体"/>
          <w:color w:val="auto"/>
          <w:sz w:val="24"/>
          <w:highlight w:val="none"/>
        </w:rPr>
      </w:pPr>
    </w:p>
    <w:p w14:paraId="3456C527">
      <w:pPr>
        <w:pageBreakBefore w:val="0"/>
        <w:widowControl w:val="0"/>
        <w:kinsoku/>
        <w:wordWrap w:val="0"/>
        <w:overflowPunct/>
        <w:topLinePunct w:val="0"/>
        <w:bidi w:val="0"/>
        <w:spacing w:line="360" w:lineRule="auto"/>
        <w:ind w:firstLine="3600" w:firstLineChars="15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电子签章</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highlight w:val="none"/>
        </w:rPr>
        <w:t>：</w:t>
      </w:r>
    </w:p>
    <w:p w14:paraId="15C8305B">
      <w:pPr>
        <w:pageBreakBefore w:val="0"/>
        <w:widowControl w:val="0"/>
        <w:kinsoku/>
        <w:wordWrap w:val="0"/>
        <w:overflowPunct/>
        <w:topLinePunct w:val="0"/>
        <w:bidi w:val="0"/>
        <w:spacing w:line="360" w:lineRule="auto"/>
        <w:ind w:firstLine="480" w:firstLineChars="200"/>
        <w:contextualSpacing/>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8F26215">
      <w:pPr>
        <w:pageBreakBefore w:val="0"/>
        <w:widowControl w:val="0"/>
        <w:overflowPunct/>
        <w:topLinePunct w:val="0"/>
        <w:bidi w:val="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C50BC82">
      <w:pPr>
        <w:pStyle w:val="14"/>
        <w:pageBreakBefore w:val="0"/>
        <w:widowControl w:val="0"/>
        <w:kinsoku/>
        <w:wordWrap w:val="0"/>
        <w:overflowPunct/>
        <w:topLinePunct w:val="0"/>
        <w:bidi w:val="0"/>
        <w:ind w:left="-10" w:firstLine="10" w:firstLineChars="3"/>
        <w:jc w:val="center"/>
        <w:outlineLvl w:val="9"/>
        <w:rPr>
          <w:rFonts w:hint="eastAsia" w:hAnsi="宋体" w:cs="宋体"/>
          <w:b/>
          <w:color w:val="auto"/>
          <w:sz w:val="32"/>
          <w:highlight w:val="none"/>
        </w:rPr>
      </w:pPr>
      <w:r>
        <w:rPr>
          <w:rFonts w:hint="eastAsia" w:hAnsi="宋体" w:cs="宋体"/>
          <w:b/>
          <w:color w:val="auto"/>
          <w:sz w:val="32"/>
          <w:highlight w:val="none"/>
        </w:rPr>
        <w:t>法定代表人身份证明书</w:t>
      </w:r>
    </w:p>
    <w:p w14:paraId="2E65B440">
      <w:pPr>
        <w:pStyle w:val="14"/>
        <w:pageBreakBefore w:val="0"/>
        <w:widowControl w:val="0"/>
        <w:kinsoku/>
        <w:wordWrap w:val="0"/>
        <w:overflowPunct/>
        <w:topLinePunct w:val="0"/>
        <w:bidi w:val="0"/>
        <w:ind w:left="-10" w:firstLine="13" w:firstLineChars="3"/>
        <w:jc w:val="center"/>
        <w:outlineLvl w:val="9"/>
        <w:rPr>
          <w:rFonts w:hint="eastAsia" w:hAnsi="宋体" w:cs="宋体"/>
          <w:b/>
          <w:color w:val="auto"/>
          <w:sz w:val="44"/>
          <w:highlight w:val="none"/>
        </w:rPr>
      </w:pPr>
    </w:p>
    <w:p w14:paraId="4B58F8F9">
      <w:pPr>
        <w:pStyle w:val="14"/>
        <w:pageBreakBefore w:val="0"/>
        <w:widowControl w:val="0"/>
        <w:kinsoku/>
        <w:wordWrap w:val="0"/>
        <w:overflowPunct/>
        <w:topLinePunct w:val="0"/>
        <w:bidi w:val="0"/>
        <w:ind w:firstLine="277"/>
        <w:outlineLvl w:val="9"/>
        <w:rPr>
          <w:rFonts w:hint="eastAsia" w:hAnsi="宋体" w:cs="宋体"/>
          <w:color w:val="auto"/>
          <w:sz w:val="21"/>
          <w:highlight w:val="none"/>
          <w:u w:val="single"/>
        </w:rPr>
      </w:pPr>
      <w:r>
        <w:rPr>
          <w:rFonts w:hint="eastAsia" w:hAnsi="宋体" w:cs="宋体"/>
          <w:color w:val="auto"/>
          <w:sz w:val="21"/>
          <w:highlight w:val="none"/>
        </w:rPr>
        <w:t>单位名称：</w:t>
      </w:r>
      <w:r>
        <w:rPr>
          <w:rFonts w:hint="eastAsia" w:hAnsi="宋体" w:cs="宋体"/>
          <w:color w:val="auto"/>
          <w:sz w:val="21"/>
          <w:highlight w:val="none"/>
          <w:u w:val="single"/>
        </w:rPr>
        <w:t xml:space="preserve">                         </w:t>
      </w:r>
    </w:p>
    <w:p w14:paraId="3153424C">
      <w:pPr>
        <w:pStyle w:val="14"/>
        <w:pageBreakBefore w:val="0"/>
        <w:widowControl w:val="0"/>
        <w:kinsoku/>
        <w:wordWrap w:val="0"/>
        <w:overflowPunct/>
        <w:topLinePunct w:val="0"/>
        <w:bidi w:val="0"/>
        <w:ind w:firstLine="277"/>
        <w:outlineLvl w:val="9"/>
        <w:rPr>
          <w:rFonts w:hint="eastAsia" w:hAnsi="宋体" w:cs="宋体"/>
          <w:color w:val="auto"/>
          <w:sz w:val="21"/>
          <w:highlight w:val="none"/>
        </w:rPr>
      </w:pPr>
      <w:r>
        <w:rPr>
          <w:rFonts w:hint="eastAsia" w:hAnsi="宋体" w:cs="宋体"/>
          <w:color w:val="auto"/>
          <w:sz w:val="21"/>
          <w:highlight w:val="none"/>
        </w:rPr>
        <w:t>单位性质：</w:t>
      </w:r>
      <w:r>
        <w:rPr>
          <w:rFonts w:hint="eastAsia" w:hAnsi="宋体" w:cs="宋体"/>
          <w:color w:val="auto"/>
          <w:sz w:val="21"/>
          <w:highlight w:val="none"/>
          <w:u w:val="single"/>
        </w:rPr>
        <w:t xml:space="preserve">                         </w:t>
      </w:r>
    </w:p>
    <w:p w14:paraId="1955AA25">
      <w:pPr>
        <w:pStyle w:val="14"/>
        <w:pageBreakBefore w:val="0"/>
        <w:widowControl w:val="0"/>
        <w:kinsoku/>
        <w:wordWrap w:val="0"/>
        <w:overflowPunct/>
        <w:topLinePunct w:val="0"/>
        <w:bidi w:val="0"/>
        <w:ind w:firstLine="277"/>
        <w:outlineLvl w:val="9"/>
        <w:rPr>
          <w:rFonts w:hint="eastAsia" w:hAnsi="宋体" w:cs="宋体"/>
          <w:color w:val="auto"/>
          <w:sz w:val="21"/>
          <w:highlight w:val="none"/>
        </w:rPr>
      </w:pPr>
      <w:r>
        <w:rPr>
          <w:rFonts w:hint="eastAsia" w:hAnsi="宋体" w:cs="宋体"/>
          <w:color w:val="auto"/>
          <w:sz w:val="21"/>
          <w:highlight w:val="none"/>
        </w:rPr>
        <w:t>地    址：</w:t>
      </w:r>
      <w:r>
        <w:rPr>
          <w:rFonts w:hint="eastAsia" w:hAnsi="宋体" w:cs="宋体"/>
          <w:color w:val="auto"/>
          <w:sz w:val="21"/>
          <w:highlight w:val="none"/>
          <w:u w:val="single"/>
        </w:rPr>
        <w:t xml:space="preserve">                         </w:t>
      </w:r>
    </w:p>
    <w:p w14:paraId="20C5AA92">
      <w:pPr>
        <w:pStyle w:val="14"/>
        <w:pageBreakBefore w:val="0"/>
        <w:widowControl w:val="0"/>
        <w:kinsoku/>
        <w:wordWrap w:val="0"/>
        <w:overflowPunct/>
        <w:topLinePunct w:val="0"/>
        <w:bidi w:val="0"/>
        <w:ind w:firstLine="277"/>
        <w:outlineLvl w:val="9"/>
        <w:rPr>
          <w:rFonts w:hint="eastAsia" w:hAnsi="宋体" w:cs="宋体"/>
          <w:color w:val="auto"/>
          <w:sz w:val="21"/>
          <w:highlight w:val="none"/>
        </w:rPr>
      </w:pPr>
      <w:r>
        <w:rPr>
          <w:rFonts w:hint="eastAsia" w:hAnsi="宋体" w:cs="宋体"/>
          <w:color w:val="auto"/>
          <w:sz w:val="21"/>
          <w:highlight w:val="none"/>
        </w:rPr>
        <w:t>成立时间：</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p>
    <w:p w14:paraId="68687A32">
      <w:pPr>
        <w:pStyle w:val="14"/>
        <w:pageBreakBefore w:val="0"/>
        <w:widowControl w:val="0"/>
        <w:kinsoku/>
        <w:wordWrap w:val="0"/>
        <w:overflowPunct/>
        <w:topLinePunct w:val="0"/>
        <w:bidi w:val="0"/>
        <w:ind w:firstLine="277"/>
        <w:outlineLvl w:val="9"/>
        <w:rPr>
          <w:rFonts w:hint="eastAsia" w:hAnsi="宋体" w:cs="宋体"/>
          <w:color w:val="auto"/>
          <w:sz w:val="21"/>
          <w:highlight w:val="none"/>
          <w:u w:val="single"/>
        </w:rPr>
      </w:pPr>
      <w:r>
        <w:rPr>
          <w:rFonts w:hint="eastAsia" w:hAnsi="宋体" w:cs="宋体"/>
          <w:color w:val="auto"/>
          <w:sz w:val="21"/>
          <w:highlight w:val="none"/>
        </w:rPr>
        <w:t>经营期限：</w:t>
      </w:r>
      <w:r>
        <w:rPr>
          <w:rFonts w:hint="eastAsia" w:hAnsi="宋体" w:cs="宋体"/>
          <w:color w:val="auto"/>
          <w:sz w:val="21"/>
          <w:highlight w:val="none"/>
          <w:u w:val="single"/>
        </w:rPr>
        <w:t xml:space="preserve">                          </w:t>
      </w:r>
    </w:p>
    <w:p w14:paraId="6F5E0491">
      <w:pPr>
        <w:pStyle w:val="14"/>
        <w:pageBreakBefore w:val="0"/>
        <w:widowControl w:val="0"/>
        <w:kinsoku/>
        <w:wordWrap w:val="0"/>
        <w:overflowPunct/>
        <w:topLinePunct w:val="0"/>
        <w:bidi w:val="0"/>
        <w:ind w:firstLine="277"/>
        <w:outlineLvl w:val="9"/>
        <w:rPr>
          <w:rFonts w:hint="eastAsia" w:hAnsi="宋体" w:cs="宋体"/>
          <w:color w:val="auto"/>
          <w:sz w:val="21"/>
          <w:highlight w:val="none"/>
        </w:rPr>
      </w:pPr>
      <w:r>
        <w:rPr>
          <w:rFonts w:hint="eastAsia" w:hAnsi="宋体" w:cs="宋体"/>
          <w:color w:val="auto"/>
          <w:sz w:val="21"/>
          <w:highlight w:val="none"/>
        </w:rPr>
        <w:t>姓名：</w:t>
      </w:r>
      <w:r>
        <w:rPr>
          <w:rFonts w:hint="eastAsia" w:hAnsi="宋体" w:cs="宋体"/>
          <w:color w:val="auto"/>
          <w:sz w:val="21"/>
          <w:highlight w:val="none"/>
          <w:u w:val="single"/>
        </w:rPr>
        <w:t xml:space="preserve">       </w:t>
      </w:r>
      <w:r>
        <w:rPr>
          <w:rFonts w:hint="eastAsia" w:hAnsi="宋体" w:cs="宋体"/>
          <w:color w:val="auto"/>
          <w:sz w:val="21"/>
          <w:highlight w:val="none"/>
        </w:rPr>
        <w:t>性别：</w:t>
      </w:r>
      <w:r>
        <w:rPr>
          <w:rFonts w:hint="eastAsia" w:hAnsi="宋体" w:cs="宋体"/>
          <w:color w:val="auto"/>
          <w:sz w:val="21"/>
          <w:highlight w:val="none"/>
          <w:u w:val="single"/>
        </w:rPr>
        <w:t xml:space="preserve">   </w:t>
      </w:r>
      <w:r>
        <w:rPr>
          <w:rFonts w:hint="eastAsia" w:hAnsi="宋体" w:cs="宋体"/>
          <w:color w:val="auto"/>
          <w:sz w:val="21"/>
          <w:highlight w:val="none"/>
        </w:rPr>
        <w:t>年龄：</w:t>
      </w:r>
      <w:r>
        <w:rPr>
          <w:rFonts w:hint="eastAsia" w:hAnsi="宋体" w:cs="宋体"/>
          <w:color w:val="auto"/>
          <w:sz w:val="21"/>
          <w:highlight w:val="none"/>
          <w:u w:val="single"/>
        </w:rPr>
        <w:t xml:space="preserve">   </w:t>
      </w:r>
      <w:r>
        <w:rPr>
          <w:rFonts w:hint="eastAsia" w:hAnsi="宋体" w:cs="宋体"/>
          <w:color w:val="auto"/>
          <w:sz w:val="21"/>
          <w:highlight w:val="none"/>
        </w:rPr>
        <w:t>职务：</w:t>
      </w:r>
      <w:r>
        <w:rPr>
          <w:rFonts w:hint="eastAsia" w:hAnsi="宋体" w:cs="宋体"/>
          <w:color w:val="auto"/>
          <w:sz w:val="21"/>
          <w:highlight w:val="none"/>
          <w:u w:val="single"/>
        </w:rPr>
        <w:t xml:space="preserve">       </w:t>
      </w:r>
    </w:p>
    <w:p w14:paraId="1E973E46">
      <w:pPr>
        <w:pStyle w:val="14"/>
        <w:pageBreakBefore w:val="0"/>
        <w:widowControl w:val="0"/>
        <w:kinsoku/>
        <w:wordWrap w:val="0"/>
        <w:overflowPunct/>
        <w:topLinePunct w:val="0"/>
        <w:bidi w:val="0"/>
        <w:ind w:firstLine="277"/>
        <w:outlineLvl w:val="9"/>
        <w:rPr>
          <w:rFonts w:hint="eastAsia" w:hAnsi="宋体" w:cs="宋体"/>
          <w:color w:val="auto"/>
          <w:sz w:val="21"/>
          <w:highlight w:val="none"/>
        </w:rPr>
      </w:pPr>
      <w:r>
        <w:rPr>
          <w:rFonts w:hint="eastAsia" w:hAnsi="宋体" w:cs="宋体"/>
          <w:color w:val="auto"/>
          <w:sz w:val="21"/>
          <w:highlight w:val="none"/>
        </w:rPr>
        <w:t>系</w:t>
      </w:r>
      <w:r>
        <w:rPr>
          <w:rFonts w:hint="eastAsia" w:hAnsi="宋体" w:cs="宋体"/>
          <w:color w:val="auto"/>
          <w:sz w:val="21"/>
          <w:highlight w:val="none"/>
          <w:u w:val="single"/>
        </w:rPr>
        <w:t xml:space="preserve">     （供应商单位名称）  </w:t>
      </w:r>
      <w:r>
        <w:rPr>
          <w:rFonts w:hint="eastAsia" w:hAnsi="宋体" w:cs="宋体"/>
          <w:color w:val="auto"/>
          <w:sz w:val="21"/>
          <w:highlight w:val="none"/>
        </w:rPr>
        <w:t>的法定代表人。</w:t>
      </w:r>
    </w:p>
    <w:p w14:paraId="4FD7CB4C">
      <w:pPr>
        <w:pStyle w:val="14"/>
        <w:pageBreakBefore w:val="0"/>
        <w:widowControl w:val="0"/>
        <w:kinsoku/>
        <w:wordWrap w:val="0"/>
        <w:overflowPunct/>
        <w:topLinePunct w:val="0"/>
        <w:bidi w:val="0"/>
        <w:ind w:firstLine="277"/>
        <w:outlineLvl w:val="9"/>
        <w:rPr>
          <w:rFonts w:hint="eastAsia" w:hAnsi="宋体" w:cs="宋体"/>
          <w:color w:val="auto"/>
          <w:sz w:val="21"/>
          <w:highlight w:val="none"/>
        </w:rPr>
      </w:pPr>
      <w:r>
        <w:rPr>
          <w:rFonts w:hint="eastAsia" w:hAnsi="宋体" w:cs="宋体"/>
          <w:color w:val="auto"/>
          <w:sz w:val="21"/>
          <w:highlight w:val="none"/>
        </w:rPr>
        <w:t>特此证明。</w:t>
      </w:r>
    </w:p>
    <w:p w14:paraId="796F5090">
      <w:pPr>
        <w:pStyle w:val="14"/>
        <w:pageBreakBefore w:val="0"/>
        <w:widowControl w:val="0"/>
        <w:kinsoku/>
        <w:wordWrap w:val="0"/>
        <w:overflowPunct/>
        <w:topLinePunct w:val="0"/>
        <w:bidi w:val="0"/>
        <w:spacing w:line="320" w:lineRule="exact"/>
        <w:ind w:right="420" w:firstLine="5565" w:firstLineChars="2650"/>
        <w:outlineLvl w:val="9"/>
        <w:rPr>
          <w:rFonts w:hint="eastAsia" w:hAnsi="宋体" w:cs="宋体"/>
          <w:color w:val="auto"/>
          <w:sz w:val="21"/>
          <w:highlight w:val="none"/>
        </w:rPr>
      </w:pPr>
      <w:r>
        <w:rPr>
          <w:rFonts w:hint="eastAsia" w:hAnsi="宋体" w:cs="宋体"/>
          <w:color w:val="auto"/>
          <w:sz w:val="21"/>
          <w:highlight w:val="none"/>
        </w:rPr>
        <w:t xml:space="preserve">供应商：               </w:t>
      </w:r>
      <w:r>
        <w:rPr>
          <w:rFonts w:hint="eastAsia" w:hAnsi="宋体" w:cs="宋体"/>
          <w:b/>
          <w:bCs/>
          <w:color w:val="auto"/>
          <w:sz w:val="21"/>
          <w:highlight w:val="none"/>
        </w:rPr>
        <w:t xml:space="preserve">（电子签章） </w:t>
      </w:r>
    </w:p>
    <w:p w14:paraId="5C0A3D42">
      <w:pPr>
        <w:pStyle w:val="14"/>
        <w:pageBreakBefore w:val="0"/>
        <w:widowControl w:val="0"/>
        <w:kinsoku/>
        <w:wordWrap w:val="0"/>
        <w:overflowPunct/>
        <w:topLinePunct w:val="0"/>
        <w:bidi w:val="0"/>
        <w:spacing w:line="320" w:lineRule="exact"/>
        <w:ind w:firstLine="420"/>
        <w:jc w:val="center"/>
        <w:outlineLvl w:val="9"/>
        <w:rPr>
          <w:rFonts w:hint="eastAsia" w:hAnsi="宋体" w:cs="宋体"/>
          <w:color w:val="auto"/>
          <w:sz w:val="21"/>
          <w:highlight w:val="none"/>
        </w:rPr>
      </w:pPr>
    </w:p>
    <w:p w14:paraId="6435697B">
      <w:pPr>
        <w:pStyle w:val="14"/>
        <w:pageBreakBefore w:val="0"/>
        <w:widowControl w:val="0"/>
        <w:kinsoku/>
        <w:wordWrap w:val="0"/>
        <w:overflowPunct/>
        <w:topLinePunct w:val="0"/>
        <w:bidi w:val="0"/>
        <w:spacing w:line="320" w:lineRule="exact"/>
        <w:ind w:firstLine="420"/>
        <w:jc w:val="center"/>
        <w:outlineLvl w:val="9"/>
        <w:rPr>
          <w:rFonts w:hint="eastAsia" w:hAnsi="宋体" w:cs="宋体"/>
          <w:color w:val="auto"/>
          <w:sz w:val="21"/>
          <w:highlight w:val="none"/>
        </w:rPr>
      </w:pPr>
      <w:r>
        <w:rPr>
          <w:rFonts w:hint="eastAsia" w:hAnsi="宋体" w:cs="宋体"/>
          <w:color w:val="auto"/>
          <w:sz w:val="21"/>
          <w:highlight w:val="none"/>
        </w:rPr>
        <w:t xml:space="preserve">                                            时间：       年      月     日</w:t>
      </w:r>
    </w:p>
    <w:p w14:paraId="24E6E43D">
      <w:pPr>
        <w:pStyle w:val="14"/>
        <w:pageBreakBefore w:val="0"/>
        <w:widowControl w:val="0"/>
        <w:kinsoku/>
        <w:wordWrap w:val="0"/>
        <w:overflowPunct/>
        <w:topLinePunct w:val="0"/>
        <w:bidi w:val="0"/>
        <w:spacing w:line="360" w:lineRule="exact"/>
        <w:outlineLvl w:val="9"/>
        <w:rPr>
          <w:rFonts w:hint="eastAsia" w:hAnsi="宋体" w:cs="宋体"/>
          <w:color w:val="auto"/>
          <w:sz w:val="21"/>
          <w:highlight w:val="none"/>
        </w:rPr>
      </w:pPr>
      <w:r>
        <w:rPr>
          <w:rFonts w:hint="eastAsia" w:hAnsi="宋体" w:cs="宋体"/>
          <w:color w:val="auto"/>
          <w:sz w:val="21"/>
          <w:highlight w:val="none"/>
        </w:rPr>
        <w:t xml:space="preserve">                                                                                                                                                                                        </w:t>
      </w:r>
    </w:p>
    <w:p w14:paraId="3AD5B6A4">
      <w:pPr>
        <w:pStyle w:val="14"/>
        <w:pageBreakBefore w:val="0"/>
        <w:widowControl w:val="0"/>
        <w:kinsoku/>
        <w:wordWrap w:val="0"/>
        <w:overflowPunct/>
        <w:topLinePunct w:val="0"/>
        <w:bidi w:val="0"/>
        <w:spacing w:line="480" w:lineRule="exact"/>
        <w:outlineLvl w:val="9"/>
        <w:rPr>
          <w:rFonts w:hint="eastAsia" w:hAnsi="宋体" w:cs="宋体"/>
          <w:color w:val="auto"/>
          <w:sz w:val="21"/>
          <w:highlight w:val="none"/>
        </w:rPr>
      </w:pPr>
      <w:r>
        <w:rPr>
          <w:rFonts w:hint="eastAsia" w:hAnsi="宋体" w:cs="宋体"/>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3239770" cy="2029460"/>
                <wp:effectExtent l="5080" t="4445" r="12700" b="23495"/>
                <wp:wrapNone/>
                <wp:docPr id="10" name="矩形 10"/>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51DF17">
                            <w:pPr>
                              <w:rPr>
                                <w:rFonts w:hint="eastAsia"/>
                              </w:rPr>
                            </w:pPr>
                          </w:p>
                          <w:p w14:paraId="40C85CC1">
                            <w:pPr>
                              <w:rPr>
                                <w:rFonts w:hint="eastAsia"/>
                              </w:rPr>
                            </w:pPr>
                          </w:p>
                          <w:p w14:paraId="0EFB41DD">
                            <w:pPr>
                              <w:rPr>
                                <w:rFonts w:hint="eastAsia"/>
                              </w:rPr>
                            </w:pPr>
                          </w:p>
                          <w:p w14:paraId="770253E4">
                            <w:pPr>
                              <w:rPr>
                                <w:rFonts w:hint="eastAsia"/>
                              </w:rPr>
                            </w:pPr>
                          </w:p>
                          <w:p w14:paraId="26420414">
                            <w:pPr>
                              <w:jc w:val="center"/>
                              <w:rPr>
                                <w:rFonts w:hint="eastAsia"/>
                              </w:rPr>
                            </w:pPr>
                            <w:r>
                              <w:rPr>
                                <w:rFonts w:hint="eastAsia"/>
                              </w:rPr>
                              <w:t>法定代表人第二代居民身份证复印件</w:t>
                            </w:r>
                          </w:p>
                          <w:p w14:paraId="7B022379">
                            <w:pPr>
                              <w:jc w:val="center"/>
                              <w:rPr>
                                <w:rFonts w:hint="eastAsia"/>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59.8pt;width:255.1pt;z-index:251662336;mso-width-relative:page;mso-height-relative:page;" fillcolor="#FFFFFF" filled="t" stroked="t" coordsize="21600,21600" o:gfxdata="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nme1gAAAAgBAAAPAAAAAAAAAAEAIAAAACIAAABkcnMv&#10;ZG93bnJldi54bWxQSwECFAAUAAAACACHTuJAKxwe0gUCAAAsBAAADgAAAAAAAAABACAAAAAlAQAA&#10;ZHJzL2Uyb0RvYy54bWxQSwUGAAAAAAYABgBZAQAAnAUAAAAA&#10;">
                <v:fill on="t" focussize="0,0"/>
                <v:stroke color="#000000" joinstyle="miter"/>
                <v:imagedata o:title=""/>
                <o:lock v:ext="edit" aspectratio="f"/>
                <v:textbox>
                  <w:txbxContent>
                    <w:p w14:paraId="5F51DF17">
                      <w:pPr>
                        <w:rPr>
                          <w:rFonts w:hint="eastAsia"/>
                        </w:rPr>
                      </w:pPr>
                    </w:p>
                    <w:p w14:paraId="40C85CC1">
                      <w:pPr>
                        <w:rPr>
                          <w:rFonts w:hint="eastAsia"/>
                        </w:rPr>
                      </w:pPr>
                    </w:p>
                    <w:p w14:paraId="0EFB41DD">
                      <w:pPr>
                        <w:rPr>
                          <w:rFonts w:hint="eastAsia"/>
                        </w:rPr>
                      </w:pPr>
                    </w:p>
                    <w:p w14:paraId="770253E4">
                      <w:pPr>
                        <w:rPr>
                          <w:rFonts w:hint="eastAsia"/>
                        </w:rPr>
                      </w:pPr>
                    </w:p>
                    <w:p w14:paraId="26420414">
                      <w:pPr>
                        <w:jc w:val="center"/>
                        <w:rPr>
                          <w:rFonts w:hint="eastAsia"/>
                        </w:rPr>
                      </w:pPr>
                      <w:r>
                        <w:rPr>
                          <w:rFonts w:hint="eastAsia"/>
                        </w:rPr>
                        <w:t>法定代表人第二代居民身份证复印件</w:t>
                      </w:r>
                    </w:p>
                    <w:p w14:paraId="7B022379">
                      <w:pPr>
                        <w:jc w:val="center"/>
                        <w:rPr>
                          <w:rFonts w:hint="eastAsia"/>
                          <w:b/>
                        </w:rPr>
                      </w:pPr>
                      <w:r>
                        <w:rPr>
                          <w:rFonts w:hint="eastAsia"/>
                          <w:b/>
                        </w:rPr>
                        <w:t>（正面）</w:t>
                      </w:r>
                    </w:p>
                  </w:txbxContent>
                </v:textbox>
              </v:rect>
            </w:pict>
          </mc:Fallback>
        </mc:AlternateContent>
      </w:r>
      <w:r>
        <w:rPr>
          <w:rFonts w:hint="eastAsia" w:hAnsi="宋体" w:cs="宋体"/>
          <w:color w:val="auto"/>
          <w:sz w:val="21"/>
          <w:highlight w:val="none"/>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r>
        <w:rPr>
          <w:rFonts w:hint="eastAsia" w:hAnsi="宋体" w:cs="宋体"/>
          <w:color w:val="auto"/>
          <w:sz w:val="21"/>
          <w:highlight w:val="none"/>
        </w:rPr>
        <w:t xml:space="preserve">  </w:t>
      </w:r>
    </w:p>
    <w:p w14:paraId="201E9028">
      <w:pPr>
        <w:pStyle w:val="14"/>
        <w:pageBreakBefore w:val="0"/>
        <w:widowControl w:val="0"/>
        <w:kinsoku/>
        <w:wordWrap w:val="0"/>
        <w:overflowPunct/>
        <w:topLinePunct w:val="0"/>
        <w:bidi w:val="0"/>
        <w:spacing w:line="480" w:lineRule="exact"/>
        <w:outlineLvl w:val="9"/>
        <w:rPr>
          <w:rFonts w:hint="eastAsia" w:hAnsi="宋体" w:cs="宋体"/>
          <w:color w:val="auto"/>
          <w:sz w:val="21"/>
          <w:highlight w:val="none"/>
        </w:rPr>
      </w:pPr>
    </w:p>
    <w:p w14:paraId="700B99EB">
      <w:pPr>
        <w:pStyle w:val="14"/>
        <w:pageBreakBefore w:val="0"/>
        <w:widowControl w:val="0"/>
        <w:kinsoku/>
        <w:wordWrap w:val="0"/>
        <w:overflowPunct/>
        <w:topLinePunct w:val="0"/>
        <w:bidi w:val="0"/>
        <w:spacing w:line="480" w:lineRule="exact"/>
        <w:outlineLvl w:val="9"/>
        <w:rPr>
          <w:rFonts w:hint="eastAsia" w:hAnsi="宋体" w:cs="宋体"/>
          <w:color w:val="auto"/>
          <w:sz w:val="21"/>
          <w:highlight w:val="none"/>
        </w:rPr>
      </w:pPr>
    </w:p>
    <w:p w14:paraId="56A37D0F">
      <w:pPr>
        <w:pStyle w:val="14"/>
        <w:pageBreakBefore w:val="0"/>
        <w:widowControl w:val="0"/>
        <w:kinsoku/>
        <w:wordWrap w:val="0"/>
        <w:overflowPunct/>
        <w:topLinePunct w:val="0"/>
        <w:bidi w:val="0"/>
        <w:spacing w:line="480" w:lineRule="exact"/>
        <w:outlineLvl w:val="9"/>
        <w:rPr>
          <w:rFonts w:hint="eastAsia" w:hAnsi="宋体" w:cs="宋体"/>
          <w:color w:val="auto"/>
          <w:sz w:val="21"/>
          <w:highlight w:val="none"/>
        </w:rPr>
      </w:pPr>
    </w:p>
    <w:p w14:paraId="6C7521FE">
      <w:pPr>
        <w:pStyle w:val="14"/>
        <w:pageBreakBefore w:val="0"/>
        <w:widowControl w:val="0"/>
        <w:kinsoku/>
        <w:wordWrap w:val="0"/>
        <w:overflowPunct/>
        <w:topLinePunct w:val="0"/>
        <w:bidi w:val="0"/>
        <w:spacing w:line="480" w:lineRule="exact"/>
        <w:outlineLvl w:val="9"/>
        <w:rPr>
          <w:rFonts w:hint="eastAsia" w:hAnsi="宋体" w:cs="宋体"/>
          <w:color w:val="auto"/>
          <w:sz w:val="21"/>
          <w:highlight w:val="none"/>
        </w:rPr>
      </w:pPr>
    </w:p>
    <w:p w14:paraId="7F74CA41">
      <w:pPr>
        <w:pStyle w:val="14"/>
        <w:pageBreakBefore w:val="0"/>
        <w:widowControl w:val="0"/>
        <w:kinsoku/>
        <w:wordWrap w:val="0"/>
        <w:overflowPunct/>
        <w:topLinePunct w:val="0"/>
        <w:bidi w:val="0"/>
        <w:spacing w:line="240" w:lineRule="atLeast"/>
        <w:ind w:firstLine="6300" w:firstLineChars="3000"/>
        <w:outlineLvl w:val="9"/>
        <w:rPr>
          <w:rFonts w:hint="eastAsia" w:hAnsi="宋体" w:cs="宋体"/>
          <w:color w:val="auto"/>
          <w:sz w:val="21"/>
          <w:highlight w:val="none"/>
        </w:rPr>
      </w:pPr>
    </w:p>
    <w:p w14:paraId="236EE9BF">
      <w:pPr>
        <w:pStyle w:val="14"/>
        <w:pageBreakBefore w:val="0"/>
        <w:widowControl w:val="0"/>
        <w:kinsoku/>
        <w:wordWrap w:val="0"/>
        <w:overflowPunct/>
        <w:topLinePunct w:val="0"/>
        <w:bidi w:val="0"/>
        <w:spacing w:line="480" w:lineRule="exact"/>
        <w:outlineLvl w:val="9"/>
        <w:rPr>
          <w:rFonts w:hint="eastAsia" w:hAnsi="宋体" w:cs="宋体"/>
          <w:color w:val="auto"/>
          <w:sz w:val="21"/>
          <w:highlight w:val="none"/>
        </w:rPr>
      </w:pPr>
    </w:p>
    <w:p w14:paraId="359BA012">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2FEFB0C4">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r>
        <w:rPr>
          <w:rFonts w:hint="eastAsia" w:hAnsi="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3239770" cy="2160270"/>
                <wp:effectExtent l="4445" t="4445" r="13335" b="698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EFE63">
                            <w:pPr>
                              <w:rPr>
                                <w:rFonts w:hint="eastAsia"/>
                              </w:rPr>
                            </w:pPr>
                          </w:p>
                          <w:p w14:paraId="3B9F395F">
                            <w:pPr>
                              <w:rPr>
                                <w:rFonts w:hint="eastAsia"/>
                              </w:rPr>
                            </w:pPr>
                          </w:p>
                          <w:p w14:paraId="2CEEEF3F">
                            <w:pPr>
                              <w:rPr>
                                <w:rFonts w:hint="eastAsia"/>
                              </w:rPr>
                            </w:pPr>
                          </w:p>
                          <w:p w14:paraId="284DE62F">
                            <w:pPr>
                              <w:rPr>
                                <w:rFonts w:hint="eastAsia"/>
                              </w:rPr>
                            </w:pPr>
                          </w:p>
                          <w:p w14:paraId="798D8099">
                            <w:pPr>
                              <w:jc w:val="center"/>
                              <w:rPr>
                                <w:rFonts w:hint="eastAsia"/>
                              </w:rPr>
                            </w:pPr>
                            <w:r>
                              <w:rPr>
                                <w:rFonts w:hint="eastAsia"/>
                              </w:rPr>
                              <w:t>法定代表人第二代居民身份证复印件</w:t>
                            </w:r>
                          </w:p>
                          <w:p w14:paraId="19A5B95D">
                            <w:pPr>
                              <w:jc w:val="center"/>
                              <w:rPr>
                                <w:rFonts w:hint="eastAsia"/>
                                <w:b/>
                              </w:rPr>
                            </w:pPr>
                            <w:r>
                              <w:rPr>
                                <w:rFonts w:hint="eastAsia"/>
                                <w:b/>
                              </w:rPr>
                              <w:t>（背面）</w:t>
                            </w:r>
                          </w:p>
                        </w:txbxContent>
                      </wps:txbx>
                      <wps:bodyPr upright="1"/>
                    </wps:wsp>
                  </a:graphicData>
                </a:graphic>
              </wp:anchor>
            </w:drawing>
          </mc:Choice>
          <mc:Fallback>
            <w:pict>
              <v:rect id="_x0000_s1026" o:spid="_x0000_s1026" o:spt="1" style="position:absolute;left:0pt;margin-left:9pt;margin-top:5.2pt;height:170.1pt;width:255.1pt;z-index:251661312;mso-width-relative:page;mso-height-relative:page;" fillcolor="#FFFFFF" filled="t" stroked="t" coordsize="21600,21600" o:gfxdata="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7Plr1wAAAAkBAAAPAAAAAAAAAAEAIAAAACIAAABkcnMvZG93&#10;bnJldi54bWxQSwECFAAUAAAACACHTuJALjGAyQECAAAsBAAADgAAAAAAAAABACAAAAAmAQAAZHJz&#10;L2Uyb0RvYy54bWxQSwUGAAAAAAYABgBZAQAAmQUAAAAA&#10;">
                <v:fill on="t" focussize="0,0"/>
                <v:stroke color="#000000" joinstyle="miter"/>
                <v:imagedata o:title=""/>
                <o:lock v:ext="edit" aspectratio="f"/>
                <v:textbox>
                  <w:txbxContent>
                    <w:p w14:paraId="20AEFE63">
                      <w:pPr>
                        <w:rPr>
                          <w:rFonts w:hint="eastAsia"/>
                        </w:rPr>
                      </w:pPr>
                    </w:p>
                    <w:p w14:paraId="3B9F395F">
                      <w:pPr>
                        <w:rPr>
                          <w:rFonts w:hint="eastAsia"/>
                        </w:rPr>
                      </w:pPr>
                    </w:p>
                    <w:p w14:paraId="2CEEEF3F">
                      <w:pPr>
                        <w:rPr>
                          <w:rFonts w:hint="eastAsia"/>
                        </w:rPr>
                      </w:pPr>
                    </w:p>
                    <w:p w14:paraId="284DE62F">
                      <w:pPr>
                        <w:rPr>
                          <w:rFonts w:hint="eastAsia"/>
                        </w:rPr>
                      </w:pPr>
                    </w:p>
                    <w:p w14:paraId="798D8099">
                      <w:pPr>
                        <w:jc w:val="center"/>
                        <w:rPr>
                          <w:rFonts w:hint="eastAsia"/>
                        </w:rPr>
                      </w:pPr>
                      <w:r>
                        <w:rPr>
                          <w:rFonts w:hint="eastAsia"/>
                        </w:rPr>
                        <w:t>法定代表人第二代居民身份证复印件</w:t>
                      </w:r>
                    </w:p>
                    <w:p w14:paraId="19A5B95D">
                      <w:pPr>
                        <w:jc w:val="center"/>
                        <w:rPr>
                          <w:rFonts w:hint="eastAsia"/>
                          <w:b/>
                        </w:rPr>
                      </w:pPr>
                      <w:r>
                        <w:rPr>
                          <w:rFonts w:hint="eastAsia"/>
                          <w:b/>
                        </w:rPr>
                        <w:t>（背面）</w:t>
                      </w:r>
                    </w:p>
                  </w:txbxContent>
                </v:textbox>
              </v:rect>
            </w:pict>
          </mc:Fallback>
        </mc:AlternateContent>
      </w:r>
    </w:p>
    <w:p w14:paraId="17AA00D6">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644A017D">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3CBC6950">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0C9DC653">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08FE4CBB">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4C364B9C">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7ABA6B68">
      <w:pPr>
        <w:pageBreakBefore w:val="0"/>
        <w:widowControl w:val="0"/>
        <w:kinsoku/>
        <w:wordWrap w:val="0"/>
        <w:overflowPunct/>
        <w:topLinePunct w:val="0"/>
        <w:bidi w:val="0"/>
        <w:jc w:val="center"/>
        <w:outlineLvl w:val="9"/>
        <w:rPr>
          <w:rFonts w:hint="eastAsia" w:ascii="宋体" w:hAnsi="宋体" w:cs="宋体"/>
          <w:color w:val="auto"/>
          <w:szCs w:val="21"/>
          <w:highlight w:val="none"/>
        </w:rPr>
      </w:pPr>
    </w:p>
    <w:p w14:paraId="2A868AE8">
      <w:pPr>
        <w:pageBreakBefore w:val="0"/>
        <w:widowControl w:val="0"/>
        <w:kinsoku/>
        <w:wordWrap w:val="0"/>
        <w:overflowPunct/>
        <w:topLinePunct w:val="0"/>
        <w:bidi w:val="0"/>
        <w:jc w:val="center"/>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D86F690">
      <w:pPr>
        <w:pageBreakBefore w:val="0"/>
        <w:widowControl w:val="0"/>
        <w:kinsoku/>
        <w:wordWrap w:val="0"/>
        <w:overflowPunct/>
        <w:topLinePunct w:val="0"/>
        <w:bidi w:val="0"/>
        <w:jc w:val="center"/>
        <w:outlineLvl w:val="9"/>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1D1F4888">
      <w:pPr>
        <w:pStyle w:val="14"/>
        <w:pageBreakBefore w:val="0"/>
        <w:widowControl w:val="0"/>
        <w:kinsoku/>
        <w:wordWrap w:val="0"/>
        <w:overflowPunct/>
        <w:topLinePunct w:val="0"/>
        <w:bidi w:val="0"/>
        <w:spacing w:line="240" w:lineRule="exact"/>
        <w:outlineLvl w:val="9"/>
        <w:rPr>
          <w:rFonts w:hint="eastAsia" w:hAnsi="宋体" w:cs="宋体"/>
          <w:color w:val="auto"/>
          <w:sz w:val="21"/>
          <w:highlight w:val="none"/>
        </w:rPr>
      </w:pPr>
    </w:p>
    <w:p w14:paraId="52FD5321">
      <w:pPr>
        <w:pStyle w:val="14"/>
        <w:pageBreakBefore w:val="0"/>
        <w:widowControl w:val="0"/>
        <w:kinsoku/>
        <w:wordWrap w:val="0"/>
        <w:overflowPunct/>
        <w:topLinePunct w:val="0"/>
        <w:bidi w:val="0"/>
        <w:spacing w:line="240" w:lineRule="atLeast"/>
        <w:ind w:firstLine="5460" w:firstLineChars="2600"/>
        <w:outlineLvl w:val="9"/>
        <w:rPr>
          <w:rFonts w:hint="eastAsia" w:hAnsi="宋体" w:cs="宋体"/>
          <w:color w:val="auto"/>
          <w:sz w:val="21"/>
          <w:highlight w:val="none"/>
        </w:rPr>
      </w:pPr>
      <w:r>
        <w:rPr>
          <w:rFonts w:hint="eastAsia" w:hAnsi="宋体" w:cs="宋体"/>
          <w:color w:val="auto"/>
          <w:sz w:val="21"/>
          <w:highlight w:val="none"/>
        </w:rPr>
        <w:t>法定代表人</w:t>
      </w:r>
      <w:r>
        <w:rPr>
          <w:rFonts w:hint="eastAsia" w:hAnsi="宋体" w:cs="宋体"/>
          <w:b/>
          <w:bCs/>
          <w:color w:val="auto"/>
          <w:sz w:val="21"/>
          <w:highlight w:val="none"/>
        </w:rPr>
        <w:t>签名(签章)：</w:t>
      </w:r>
      <w:r>
        <w:rPr>
          <w:rFonts w:hint="eastAsia" w:hAnsi="宋体" w:cs="宋体"/>
          <w:color w:val="auto"/>
          <w:sz w:val="21"/>
          <w:highlight w:val="none"/>
          <w:u w:val="single"/>
        </w:rPr>
        <w:t xml:space="preserve">                   </w:t>
      </w:r>
    </w:p>
    <w:p w14:paraId="65C7A221">
      <w:pPr>
        <w:pStyle w:val="14"/>
        <w:pageBreakBefore w:val="0"/>
        <w:widowControl w:val="0"/>
        <w:kinsoku/>
        <w:wordWrap w:val="0"/>
        <w:overflowPunct/>
        <w:topLinePunct w:val="0"/>
        <w:bidi w:val="0"/>
        <w:spacing w:line="240" w:lineRule="atLeast"/>
        <w:ind w:firstLine="5460" w:firstLineChars="2600"/>
        <w:outlineLvl w:val="9"/>
        <w:rPr>
          <w:rFonts w:hint="eastAsia" w:hAnsi="宋体" w:cs="宋体"/>
          <w:color w:val="auto"/>
          <w:sz w:val="21"/>
          <w:highlight w:val="none"/>
          <w:u w:val="single"/>
        </w:rPr>
      </w:pPr>
    </w:p>
    <w:p w14:paraId="7495F178">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0AAEE8BE">
      <w:pPr>
        <w:pageBreakBefore w:val="0"/>
        <w:widowControl w:val="0"/>
        <w:kinsoku/>
        <w:wordWrap w:val="0"/>
        <w:overflowPunct/>
        <w:topLinePunct w:val="0"/>
        <w:bidi w:val="0"/>
        <w:spacing w:line="300" w:lineRule="auto"/>
        <w:outlineLvl w:val="9"/>
        <w:rPr>
          <w:rFonts w:hint="eastAsia" w:ascii="宋体" w:hAnsi="宋体" w:cs="宋体"/>
          <w:b/>
          <w:color w:val="auto"/>
          <w:highlight w:val="none"/>
        </w:rPr>
      </w:pPr>
      <w:r>
        <w:rPr>
          <w:rFonts w:hint="eastAsia" w:ascii="宋体" w:hAnsi="宋体" w:cs="宋体"/>
          <w:color w:val="auto"/>
          <w:highlight w:val="none"/>
        </w:rPr>
        <w:br w:type="page"/>
      </w:r>
    </w:p>
    <w:p w14:paraId="4473DFA9">
      <w:pPr>
        <w:pStyle w:val="14"/>
        <w:pageBreakBefore w:val="0"/>
        <w:widowControl w:val="0"/>
        <w:kinsoku/>
        <w:wordWrap w:val="0"/>
        <w:overflowPunct/>
        <w:topLinePunct w:val="0"/>
        <w:bidi w:val="0"/>
        <w:spacing w:line="360" w:lineRule="auto"/>
        <w:jc w:val="center"/>
        <w:outlineLvl w:val="9"/>
        <w:rPr>
          <w:rFonts w:hint="eastAsia" w:hAnsi="宋体" w:cs="宋体"/>
          <w:b/>
          <w:color w:val="auto"/>
          <w:sz w:val="32"/>
          <w:highlight w:val="none"/>
        </w:rPr>
      </w:pPr>
      <w:r>
        <w:rPr>
          <w:rFonts w:hint="eastAsia" w:hAnsi="宋体" w:cs="宋体"/>
          <w:b/>
          <w:color w:val="auto"/>
          <w:sz w:val="32"/>
          <w:highlight w:val="none"/>
        </w:rPr>
        <w:t>法定代表人授权委托书</w:t>
      </w:r>
    </w:p>
    <w:p w14:paraId="7FD5DFA7">
      <w:pPr>
        <w:pageBreakBefore w:val="0"/>
        <w:widowControl w:val="0"/>
        <w:kinsoku/>
        <w:wordWrap w:val="0"/>
        <w:overflowPunct/>
        <w:topLinePunct w:val="0"/>
        <w:bidi w:val="0"/>
        <w:jc w:val="center"/>
        <w:outlineLvl w:val="9"/>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（如有委托时）</w:t>
      </w:r>
    </w:p>
    <w:p w14:paraId="12AD00EE">
      <w:pPr>
        <w:pageBreakBefore w:val="0"/>
        <w:widowControl w:val="0"/>
        <w:kinsoku/>
        <w:wordWrap w:val="0"/>
        <w:overflowPunct/>
        <w:topLinePunct w:val="0"/>
        <w:bidi w:val="0"/>
        <w:snapToGrid w:val="0"/>
        <w:spacing w:line="400" w:lineRule="exact"/>
        <w:outlineLvl w:val="9"/>
        <w:rPr>
          <w:rFonts w:hint="eastAsia" w:ascii="宋体" w:hAnsi="宋体" w:cs="宋体"/>
          <w:bCs/>
          <w:color w:val="auto"/>
          <w:szCs w:val="21"/>
          <w:highlight w:val="none"/>
        </w:rPr>
      </w:pPr>
    </w:p>
    <w:p w14:paraId="128153E9">
      <w:pPr>
        <w:pageBreakBefore w:val="0"/>
        <w:widowControl w:val="0"/>
        <w:kinsoku/>
        <w:wordWrap w:val="0"/>
        <w:overflowPunct/>
        <w:topLinePunct w:val="0"/>
        <w:bidi w:val="0"/>
        <w:snapToGrid w:val="0"/>
        <w:spacing w:line="360" w:lineRule="exact"/>
        <w:outlineLvl w:val="9"/>
        <w:rPr>
          <w:rFonts w:hint="eastAsia"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广西国盛招标有限公司</w:t>
      </w:r>
      <w:r>
        <w:rPr>
          <w:rFonts w:hint="eastAsia" w:ascii="宋体" w:hAnsi="宋体" w:cs="宋体"/>
          <w:color w:val="auto"/>
          <w:szCs w:val="21"/>
          <w:highlight w:val="none"/>
        </w:rPr>
        <w:t>：</w:t>
      </w:r>
    </w:p>
    <w:p w14:paraId="1483784E">
      <w:pPr>
        <w:pageBreakBefore w:val="0"/>
        <w:widowControl w:val="0"/>
        <w:kinsoku/>
        <w:wordWrap w:val="0"/>
        <w:overflowPunct/>
        <w:topLinePunct w:val="0"/>
        <w:bidi w:val="0"/>
        <w:snapToGrid w:val="0"/>
        <w:spacing w:line="360" w:lineRule="exact"/>
        <w:ind w:firstLine="630" w:firstLineChars="300"/>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（供应商名称）的法定代表人，现授权委托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w:t>
      </w:r>
      <w:r>
        <w:rPr>
          <w:rFonts w:hint="eastAsia" w:ascii="宋体" w:hAnsi="宋体" w:cs="宋体"/>
          <w:sz w:val="21"/>
          <w:szCs w:val="21"/>
          <w:highlight w:val="none"/>
          <w:lang w:eastAsia="zh-CN"/>
        </w:rPr>
        <w:t>谈判</w:t>
      </w:r>
      <w:r>
        <w:rPr>
          <w:rFonts w:hint="eastAsia" w:ascii="宋体" w:hAnsi="宋体" w:cs="宋体"/>
          <w:color w:val="auto"/>
          <w:szCs w:val="21"/>
          <w:highlight w:val="none"/>
        </w:rPr>
        <w:t>活动，并代表我方全权办理针对上述项目的</w:t>
      </w:r>
      <w:r>
        <w:rPr>
          <w:rFonts w:hint="eastAsia" w:ascii="宋体" w:hAnsi="宋体" w:cs="宋体"/>
          <w:sz w:val="21"/>
          <w:szCs w:val="21"/>
          <w:highlight w:val="none"/>
          <w:lang w:eastAsia="zh-CN"/>
        </w:rPr>
        <w:t>谈判</w:t>
      </w:r>
      <w:r>
        <w:rPr>
          <w:rFonts w:hint="eastAsia" w:ascii="宋体" w:hAnsi="宋体" w:cs="宋体"/>
          <w:color w:val="auto"/>
          <w:szCs w:val="21"/>
          <w:highlight w:val="none"/>
        </w:rPr>
        <w:t>、开标、评标、签约等具体事务和签署相关文件。</w:t>
      </w:r>
    </w:p>
    <w:p w14:paraId="1D326719">
      <w:pPr>
        <w:pageBreakBefore w:val="0"/>
        <w:widowControl w:val="0"/>
        <w:kinsoku/>
        <w:wordWrap w:val="0"/>
        <w:overflowPunct/>
        <w:topLinePunct w:val="0"/>
        <w:bidi w:val="0"/>
        <w:snapToGrid w:val="0"/>
        <w:spacing w:line="360" w:lineRule="exact"/>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我方对被授权人的签名事项负全部责任。代理期限从   年  月  日至   年  月  日止。</w:t>
      </w:r>
    </w:p>
    <w:p w14:paraId="0899CF25">
      <w:pPr>
        <w:pageBreakBefore w:val="0"/>
        <w:widowControl w:val="0"/>
        <w:kinsoku/>
        <w:wordWrap w:val="0"/>
        <w:overflowPunct/>
        <w:topLinePunct w:val="0"/>
        <w:bidi w:val="0"/>
        <w:snapToGrid w:val="0"/>
        <w:spacing w:line="360" w:lineRule="exact"/>
        <w:ind w:firstLine="480"/>
        <w:outlineLvl w:val="9"/>
        <w:rPr>
          <w:rFonts w:hint="eastAsia" w:ascii="宋体" w:hAnsi="宋体" w:cs="宋体"/>
          <w:color w:val="auto"/>
          <w:szCs w:val="21"/>
          <w:highlight w:val="none"/>
        </w:rPr>
      </w:pPr>
      <w:r>
        <w:rPr>
          <w:rFonts w:hint="eastAsia" w:ascii="宋体" w:hAnsi="宋体" w:cs="宋体"/>
          <w:color w:val="auto"/>
          <w:szCs w:val="21"/>
          <w:highlight w:val="none"/>
          <w:u w:val="single"/>
        </w:rPr>
        <w:t>在撤销授权的书面通知以前，本授权书一直有效。</w:t>
      </w:r>
      <w:r>
        <w:rPr>
          <w:rFonts w:hint="eastAsia" w:ascii="宋体" w:hAnsi="宋体" w:cs="宋体"/>
          <w:color w:val="auto"/>
          <w:szCs w:val="21"/>
          <w:highlight w:val="none"/>
        </w:rPr>
        <w:t>被授权人在授权书有效期内签署的所有文件不因授权的撤销而失效。</w:t>
      </w:r>
    </w:p>
    <w:p w14:paraId="3A6B4D99">
      <w:pPr>
        <w:pageBreakBefore w:val="0"/>
        <w:widowControl w:val="0"/>
        <w:kinsoku/>
        <w:wordWrap w:val="0"/>
        <w:overflowPunct/>
        <w:topLinePunct w:val="0"/>
        <w:bidi w:val="0"/>
        <w:snapToGrid w:val="0"/>
        <w:spacing w:line="360" w:lineRule="exact"/>
        <w:ind w:firstLine="480"/>
        <w:outlineLvl w:val="9"/>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14:paraId="57995731">
      <w:pPr>
        <w:pageBreakBefore w:val="0"/>
        <w:widowControl w:val="0"/>
        <w:kinsoku/>
        <w:wordWrap w:val="0"/>
        <w:overflowPunct/>
        <w:topLinePunct w:val="0"/>
        <w:bidi w:val="0"/>
        <w:snapToGrid w:val="0"/>
        <w:spacing w:line="360" w:lineRule="exact"/>
        <w:outlineLvl w:val="9"/>
        <w:rPr>
          <w:rFonts w:hint="eastAsia" w:ascii="宋体" w:hAnsi="宋体" w:cs="宋体"/>
          <w:color w:val="auto"/>
          <w:szCs w:val="21"/>
          <w:highlight w:val="none"/>
        </w:rPr>
      </w:pPr>
    </w:p>
    <w:p w14:paraId="58F35B2B">
      <w:pPr>
        <w:pageBreakBefore w:val="0"/>
        <w:widowControl w:val="0"/>
        <w:kinsoku/>
        <w:wordWrap w:val="0"/>
        <w:overflowPunct/>
        <w:topLinePunct w:val="0"/>
        <w:bidi w:val="0"/>
        <w:snapToGrid w:val="0"/>
        <w:spacing w:line="360" w:lineRule="exact"/>
        <w:outlineLvl w:val="9"/>
        <w:rPr>
          <w:rFonts w:hint="eastAsia"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b/>
          <w:color w:val="auto"/>
          <w:szCs w:val="21"/>
          <w:highlight w:val="none"/>
        </w:rPr>
        <w:t>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b/>
          <w:color w:val="auto"/>
          <w:szCs w:val="21"/>
          <w:highlight w:val="none"/>
        </w:rPr>
        <w:t>签名(签章)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2646C1C">
      <w:pPr>
        <w:pageBreakBefore w:val="0"/>
        <w:widowControl w:val="0"/>
        <w:kinsoku/>
        <w:wordWrap w:val="0"/>
        <w:overflowPunct/>
        <w:topLinePunct w:val="0"/>
        <w:bidi w:val="0"/>
        <w:snapToGrid w:val="0"/>
        <w:spacing w:line="360" w:lineRule="exact"/>
        <w:outlineLvl w:val="9"/>
        <w:rPr>
          <w:rFonts w:hint="eastAsia" w:ascii="宋体" w:hAnsi="宋体" w:cs="宋体"/>
          <w:color w:val="auto"/>
          <w:szCs w:val="21"/>
          <w:highlight w:val="none"/>
        </w:rPr>
      </w:pPr>
      <w:r>
        <w:rPr>
          <w:rFonts w:hint="eastAsia" w:ascii="宋体" w:hAnsi="宋体" w:cs="宋体"/>
          <w:color w:val="auto"/>
          <w:szCs w:val="21"/>
          <w:highlight w:val="none"/>
        </w:rPr>
        <w:t>所在部门职务：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0D2C4E46">
      <w:pPr>
        <w:pageBreakBefore w:val="0"/>
        <w:widowControl w:val="0"/>
        <w:kinsoku/>
        <w:wordWrap w:val="0"/>
        <w:overflowPunct/>
        <w:topLinePunct w:val="0"/>
        <w:bidi w:val="0"/>
        <w:snapToGrid w:val="0"/>
        <w:spacing w:line="360" w:lineRule="exact"/>
        <w:outlineLvl w:val="9"/>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AF12AAA">
      <w:pPr>
        <w:pageBreakBefore w:val="0"/>
        <w:widowControl w:val="0"/>
        <w:kinsoku/>
        <w:wordWrap w:val="0"/>
        <w:overflowPunct/>
        <w:topLinePunct w:val="0"/>
        <w:bidi w:val="0"/>
        <w:snapToGrid w:val="0"/>
        <w:spacing w:line="360" w:lineRule="exact"/>
        <w:jc w:val="center"/>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                                   供应商</w:t>
      </w:r>
      <w:r>
        <w:rPr>
          <w:rFonts w:hint="eastAsia" w:ascii="宋体" w:hAnsi="宋体" w:cs="宋体"/>
          <w:b/>
          <w:bCs/>
          <w:color w:val="auto"/>
          <w:highlight w:val="none"/>
        </w:rPr>
        <w:t>（电子签章）</w:t>
      </w:r>
      <w:r>
        <w:rPr>
          <w:rFonts w:hint="eastAsia" w:ascii="宋体" w:hAnsi="宋体" w:cs="宋体"/>
          <w:color w:val="auto"/>
          <w:highlight w:val="none"/>
          <w:u w:val="single"/>
        </w:rPr>
        <w:t xml:space="preserve">                </w:t>
      </w:r>
    </w:p>
    <w:p w14:paraId="175C5987">
      <w:pPr>
        <w:pStyle w:val="14"/>
        <w:pageBreakBefore w:val="0"/>
        <w:widowControl w:val="0"/>
        <w:kinsoku/>
        <w:wordWrap w:val="0"/>
        <w:overflowPunct/>
        <w:topLinePunct w:val="0"/>
        <w:bidi w:val="0"/>
        <w:spacing w:line="360" w:lineRule="exact"/>
        <w:outlineLvl w:val="9"/>
        <w:rPr>
          <w:rFonts w:hint="eastAsia" w:hAnsi="宋体" w:cs="宋体"/>
          <w:color w:val="auto"/>
          <w:highlight w:val="none"/>
        </w:rPr>
      </w:pPr>
      <w:r>
        <w:rPr>
          <w:rFonts w:hint="eastAsia" w:hAnsi="宋体" w:cs="宋体"/>
          <w:color w:val="auto"/>
          <w:highlight w:val="none"/>
        </w:rPr>
        <w:t xml:space="preserve">                                                                    年    月    日</w:t>
      </w:r>
    </w:p>
    <w:p w14:paraId="6F7AFA4D">
      <w:pPr>
        <w:pStyle w:val="14"/>
        <w:pageBreakBefore w:val="0"/>
        <w:widowControl w:val="0"/>
        <w:kinsoku/>
        <w:wordWrap w:val="0"/>
        <w:overflowPunct/>
        <w:topLinePunct w:val="0"/>
        <w:bidi w:val="0"/>
        <w:spacing w:line="360" w:lineRule="exact"/>
        <w:outlineLvl w:val="9"/>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104140</wp:posOffset>
                </wp:positionH>
                <wp:positionV relativeFrom="paragraph">
                  <wp:posOffset>555625</wp:posOffset>
                </wp:positionV>
                <wp:extent cx="3239770" cy="2160270"/>
                <wp:effectExtent l="4445" t="4445" r="13335" b="6985"/>
                <wp:wrapNone/>
                <wp:docPr id="12" name="矩形 12"/>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187E2">
                            <w:pPr>
                              <w:rPr>
                                <w:rFonts w:hint="eastAsia"/>
                              </w:rPr>
                            </w:pPr>
                          </w:p>
                          <w:p w14:paraId="40BD32D7">
                            <w:pPr>
                              <w:rPr>
                                <w:rFonts w:hint="eastAsia"/>
                              </w:rPr>
                            </w:pPr>
                          </w:p>
                          <w:p w14:paraId="2E538FA0">
                            <w:pPr>
                              <w:rPr>
                                <w:rFonts w:hint="eastAsia"/>
                              </w:rPr>
                            </w:pPr>
                          </w:p>
                          <w:p w14:paraId="72DDE60F">
                            <w:pPr>
                              <w:rPr>
                                <w:rFonts w:hint="eastAsia"/>
                              </w:rPr>
                            </w:pPr>
                          </w:p>
                          <w:p w14:paraId="5982DE8E">
                            <w:pPr>
                              <w:rPr>
                                <w:rFonts w:hint="eastAsia"/>
                              </w:rPr>
                            </w:pPr>
                          </w:p>
                          <w:p w14:paraId="7384AB4A">
                            <w:pPr>
                              <w:jc w:val="center"/>
                              <w:rPr>
                                <w:rFonts w:hint="eastAsia"/>
                              </w:rPr>
                            </w:pPr>
                            <w:r>
                              <w:rPr>
                                <w:rFonts w:hint="eastAsia"/>
                              </w:rPr>
                              <w:t>委托代理人第二代居民身份证复印件</w:t>
                            </w:r>
                          </w:p>
                          <w:p w14:paraId="0B91F690">
                            <w:pPr>
                              <w:jc w:val="center"/>
                              <w:rPr>
                                <w:rFonts w:hint="eastAsia"/>
                              </w:rPr>
                            </w:pPr>
                            <w:r>
                              <w:rPr>
                                <w:rFonts w:hint="eastAsia"/>
                                <w:b/>
                              </w:rPr>
                              <w:t>（正面）</w:t>
                            </w:r>
                          </w:p>
                          <w:p w14:paraId="5961B131">
                            <w:pPr>
                              <w:jc w:val="center"/>
                              <w:rPr>
                                <w:rFonts w:hint="eastAsia"/>
                              </w:rPr>
                            </w:pPr>
                          </w:p>
                        </w:txbxContent>
                      </wps:txbx>
                      <wps:bodyPr upright="1"/>
                    </wps:wsp>
                  </a:graphicData>
                </a:graphic>
              </wp:anchor>
            </w:drawing>
          </mc:Choice>
          <mc:Fallback>
            <w:pict>
              <v:rect id="_x0000_s1026" o:spid="_x0000_s1026" o:spt="1" style="position:absolute;left:0pt;margin-left:8.2pt;margin-top:43.75pt;height:170.1pt;width:255.1pt;z-index:251665408;mso-width-relative:page;mso-height-relative:page;" fillcolor="#FFFFFF" filled="t" stroked="t" coordsize="21600,21600" o:gfxdata="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ABUNnYAAAACQEAAA8AAAAAAAAAAQAgAAAAIgAAAGRycy9k&#10;b3ducmV2LnhtbFBLAQIUABQAAAAIAIdO4kDbG4ijAgIAACwEAAAOAAAAAAAAAAEAIAAAACcBAABk&#10;cnMvZTJvRG9jLnhtbFBLBQYAAAAABgAGAFkBAACbBQAAAAA=&#10;">
                <v:fill on="t" focussize="0,0"/>
                <v:stroke color="#000000" joinstyle="miter"/>
                <v:imagedata o:title=""/>
                <o:lock v:ext="edit" aspectratio="f"/>
                <v:textbox>
                  <w:txbxContent>
                    <w:p w14:paraId="226187E2">
                      <w:pPr>
                        <w:rPr>
                          <w:rFonts w:hint="eastAsia"/>
                        </w:rPr>
                      </w:pPr>
                    </w:p>
                    <w:p w14:paraId="40BD32D7">
                      <w:pPr>
                        <w:rPr>
                          <w:rFonts w:hint="eastAsia"/>
                        </w:rPr>
                      </w:pPr>
                    </w:p>
                    <w:p w14:paraId="2E538FA0">
                      <w:pPr>
                        <w:rPr>
                          <w:rFonts w:hint="eastAsia"/>
                        </w:rPr>
                      </w:pPr>
                    </w:p>
                    <w:p w14:paraId="72DDE60F">
                      <w:pPr>
                        <w:rPr>
                          <w:rFonts w:hint="eastAsia"/>
                        </w:rPr>
                      </w:pPr>
                    </w:p>
                    <w:p w14:paraId="5982DE8E">
                      <w:pPr>
                        <w:rPr>
                          <w:rFonts w:hint="eastAsia"/>
                        </w:rPr>
                      </w:pPr>
                    </w:p>
                    <w:p w14:paraId="7384AB4A">
                      <w:pPr>
                        <w:jc w:val="center"/>
                        <w:rPr>
                          <w:rFonts w:hint="eastAsia"/>
                        </w:rPr>
                      </w:pPr>
                      <w:r>
                        <w:rPr>
                          <w:rFonts w:hint="eastAsia"/>
                        </w:rPr>
                        <w:t>委托代理人第二代居民身份证复印件</w:t>
                      </w:r>
                    </w:p>
                    <w:p w14:paraId="0B91F690">
                      <w:pPr>
                        <w:jc w:val="center"/>
                        <w:rPr>
                          <w:rFonts w:hint="eastAsia"/>
                        </w:rPr>
                      </w:pPr>
                      <w:r>
                        <w:rPr>
                          <w:rFonts w:hint="eastAsia"/>
                          <w:b/>
                        </w:rPr>
                        <w:t>（正面）</w:t>
                      </w:r>
                    </w:p>
                    <w:p w14:paraId="5961B131">
                      <w:pPr>
                        <w:jc w:val="center"/>
                        <w:rPr>
                          <w:rFonts w:hint="eastAsia"/>
                        </w:rPr>
                      </w:pPr>
                    </w:p>
                  </w:txbxContent>
                </v:textbox>
              </v:rect>
            </w:pict>
          </mc:Fallback>
        </mc:AlternateContent>
      </w:r>
      <w:r>
        <w:rPr>
          <w:rFonts w:hint="eastAsia" w:hAnsi="宋体" w:cs="宋体"/>
          <w:color w:val="auto"/>
          <w:highlight w:val="none"/>
        </w:rPr>
        <w:t xml:space="preserve">                                                                                                                                                                                        </w:t>
      </w:r>
    </w:p>
    <w:p w14:paraId="30C3E442">
      <w:pPr>
        <w:pStyle w:val="14"/>
        <w:pageBreakBefore w:val="0"/>
        <w:widowControl w:val="0"/>
        <w:kinsoku/>
        <w:wordWrap w:val="0"/>
        <w:overflowPunct/>
        <w:topLinePunct w:val="0"/>
        <w:bidi w:val="0"/>
        <w:spacing w:line="480" w:lineRule="exact"/>
        <w:outlineLvl w:val="9"/>
        <w:rPr>
          <w:rFonts w:hint="eastAsia" w:hAnsi="宋体" w:cs="宋体"/>
          <w:color w:val="auto"/>
          <w:highlight w:val="none"/>
        </w:rPr>
      </w:pPr>
      <w:r>
        <w:rPr>
          <w:rFonts w:hint="eastAsia" w:hAnsi="宋体" w:cs="宋体"/>
          <w:color w:val="auto"/>
          <w:highlight w:val="none"/>
        </w:rPr>
        <mc:AlternateContent>
          <mc:Choice Requires="wps">
            <w:drawing>
              <wp:anchor distT="180340" distB="0" distL="114300" distR="114300" simplePos="0" relativeHeight="251663360"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3" name="直接连接符 1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336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B1T30AAAAAIBAAAPAAAAAAAAAAEAIAAAACIAAABkcnMvZG93bnJldi54bWxQSwECFAAUAAAA&#10;CACHTuJAsdmCN/YBAADmAwAADgAAAAAAAAABACAAAAAfAQAAZHJzL2Uyb0RvYy54bWxQSwUGAAAA&#10;AAYABgBZAQAAhwUAAAAA&#10;">
                <v:fill on="f" focussize="0,0"/>
                <v:stroke color="#000000" joinstyle="round"/>
                <v:imagedata o:title=""/>
                <o:lock v:ext="edit" aspectratio="f"/>
                <w10:wrap type="topAndBottom"/>
              </v:line>
            </w:pict>
          </mc:Fallback>
        </mc:AlternateContent>
      </w:r>
      <w:r>
        <w:rPr>
          <w:rFonts w:hint="eastAsia" w:hAnsi="宋体" w:cs="宋体"/>
          <w:color w:val="auto"/>
          <w:highlight w:val="none"/>
        </w:rPr>
        <w:t xml:space="preserve">  </w:t>
      </w:r>
    </w:p>
    <w:p w14:paraId="1BC3A97A">
      <w:pPr>
        <w:pStyle w:val="14"/>
        <w:pageBreakBefore w:val="0"/>
        <w:widowControl w:val="0"/>
        <w:kinsoku/>
        <w:wordWrap w:val="0"/>
        <w:overflowPunct/>
        <w:topLinePunct w:val="0"/>
        <w:bidi w:val="0"/>
        <w:spacing w:line="480" w:lineRule="exact"/>
        <w:outlineLvl w:val="9"/>
        <w:rPr>
          <w:rFonts w:hint="eastAsia" w:hAnsi="宋体" w:cs="宋体"/>
          <w:color w:val="auto"/>
          <w:highlight w:val="none"/>
        </w:rPr>
      </w:pPr>
    </w:p>
    <w:p w14:paraId="40CF3425">
      <w:pPr>
        <w:pStyle w:val="14"/>
        <w:pageBreakBefore w:val="0"/>
        <w:widowControl w:val="0"/>
        <w:kinsoku/>
        <w:wordWrap w:val="0"/>
        <w:overflowPunct/>
        <w:topLinePunct w:val="0"/>
        <w:bidi w:val="0"/>
        <w:spacing w:line="480" w:lineRule="exact"/>
        <w:outlineLvl w:val="9"/>
        <w:rPr>
          <w:rFonts w:hint="eastAsia" w:hAnsi="宋体" w:cs="宋体"/>
          <w:color w:val="auto"/>
          <w:highlight w:val="none"/>
        </w:rPr>
      </w:pPr>
    </w:p>
    <w:p w14:paraId="70333F56">
      <w:pPr>
        <w:pStyle w:val="14"/>
        <w:pageBreakBefore w:val="0"/>
        <w:widowControl w:val="0"/>
        <w:kinsoku/>
        <w:wordWrap w:val="0"/>
        <w:overflowPunct/>
        <w:topLinePunct w:val="0"/>
        <w:bidi w:val="0"/>
        <w:spacing w:line="480" w:lineRule="exact"/>
        <w:outlineLvl w:val="9"/>
        <w:rPr>
          <w:rFonts w:hint="eastAsia" w:hAnsi="宋体" w:cs="宋体"/>
          <w:color w:val="auto"/>
          <w:highlight w:val="none"/>
        </w:rPr>
      </w:pPr>
    </w:p>
    <w:p w14:paraId="6E2FC840">
      <w:pPr>
        <w:pStyle w:val="14"/>
        <w:pageBreakBefore w:val="0"/>
        <w:widowControl w:val="0"/>
        <w:kinsoku/>
        <w:wordWrap w:val="0"/>
        <w:overflowPunct/>
        <w:topLinePunct w:val="0"/>
        <w:bidi w:val="0"/>
        <w:spacing w:line="480" w:lineRule="exact"/>
        <w:outlineLvl w:val="9"/>
        <w:rPr>
          <w:rFonts w:hint="eastAsia" w:hAnsi="宋体" w:cs="宋体"/>
          <w:color w:val="auto"/>
          <w:highlight w:val="none"/>
        </w:rPr>
      </w:pPr>
    </w:p>
    <w:p w14:paraId="7F688170">
      <w:pPr>
        <w:pStyle w:val="14"/>
        <w:pageBreakBefore w:val="0"/>
        <w:widowControl w:val="0"/>
        <w:kinsoku/>
        <w:wordWrap w:val="0"/>
        <w:overflowPunct/>
        <w:topLinePunct w:val="0"/>
        <w:bidi w:val="0"/>
        <w:spacing w:line="240" w:lineRule="atLeast"/>
        <w:ind w:firstLine="5200" w:firstLineChars="2600"/>
        <w:outlineLvl w:val="9"/>
        <w:rPr>
          <w:rFonts w:hint="eastAsia" w:hAnsi="宋体" w:cs="宋体"/>
          <w:color w:val="auto"/>
          <w:highlight w:val="none"/>
          <w:u w:val="single"/>
        </w:rPr>
      </w:pPr>
    </w:p>
    <w:p w14:paraId="5985F7FD">
      <w:pPr>
        <w:pStyle w:val="14"/>
        <w:pageBreakBefore w:val="0"/>
        <w:widowControl w:val="0"/>
        <w:kinsoku/>
        <w:wordWrap w:val="0"/>
        <w:overflowPunct/>
        <w:topLinePunct w:val="0"/>
        <w:bidi w:val="0"/>
        <w:spacing w:line="240" w:lineRule="atLeast"/>
        <w:ind w:firstLine="5200" w:firstLineChars="2600"/>
        <w:outlineLvl w:val="9"/>
        <w:rPr>
          <w:rFonts w:hint="eastAsia" w:hAnsi="宋体" w:cs="宋体"/>
          <w:color w:val="auto"/>
          <w:highlight w:val="none"/>
          <w:u w:val="single"/>
        </w:rPr>
      </w:pPr>
    </w:p>
    <w:p w14:paraId="414911EA">
      <w:pPr>
        <w:pStyle w:val="14"/>
        <w:pageBreakBefore w:val="0"/>
        <w:widowControl w:val="0"/>
        <w:kinsoku/>
        <w:wordWrap w:val="0"/>
        <w:overflowPunct/>
        <w:topLinePunct w:val="0"/>
        <w:bidi w:val="0"/>
        <w:spacing w:line="240" w:lineRule="atLeast"/>
        <w:ind w:firstLine="6000" w:firstLineChars="3000"/>
        <w:outlineLvl w:val="9"/>
        <w:rPr>
          <w:rFonts w:hint="eastAsia" w:hAnsi="宋体" w:cs="宋体"/>
          <w:color w:val="auto"/>
          <w:highlight w:val="none"/>
        </w:rPr>
      </w:pPr>
    </w:p>
    <w:p w14:paraId="26DB23F3">
      <w:pPr>
        <w:pStyle w:val="14"/>
        <w:pageBreakBefore w:val="0"/>
        <w:widowControl w:val="0"/>
        <w:kinsoku/>
        <w:wordWrap w:val="0"/>
        <w:overflowPunct/>
        <w:topLinePunct w:val="0"/>
        <w:bidi w:val="0"/>
        <w:spacing w:line="480" w:lineRule="exact"/>
        <w:outlineLvl w:val="9"/>
        <w:rPr>
          <w:rFonts w:hint="eastAsia"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118110</wp:posOffset>
                </wp:positionH>
                <wp:positionV relativeFrom="paragraph">
                  <wp:posOffset>64135</wp:posOffset>
                </wp:positionV>
                <wp:extent cx="3239770" cy="2160270"/>
                <wp:effectExtent l="4445" t="4445" r="13335" b="6985"/>
                <wp:wrapNone/>
                <wp:docPr id="14" name="矩形 14"/>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37F58">
                            <w:pPr>
                              <w:rPr>
                                <w:rFonts w:hint="eastAsia"/>
                              </w:rPr>
                            </w:pPr>
                          </w:p>
                          <w:p w14:paraId="2900408C">
                            <w:pPr>
                              <w:rPr>
                                <w:rFonts w:hint="eastAsia"/>
                              </w:rPr>
                            </w:pPr>
                          </w:p>
                          <w:p w14:paraId="04CA5312">
                            <w:pPr>
                              <w:rPr>
                                <w:rFonts w:hint="eastAsia"/>
                              </w:rPr>
                            </w:pPr>
                          </w:p>
                          <w:p w14:paraId="7253FF3B">
                            <w:pPr>
                              <w:rPr>
                                <w:rFonts w:hint="eastAsia"/>
                              </w:rPr>
                            </w:pPr>
                          </w:p>
                          <w:p w14:paraId="5DEC9905">
                            <w:pPr>
                              <w:rPr>
                                <w:rFonts w:hint="eastAsia"/>
                              </w:rPr>
                            </w:pPr>
                          </w:p>
                          <w:p w14:paraId="7A29B0B7">
                            <w:pPr>
                              <w:jc w:val="center"/>
                              <w:rPr>
                                <w:rFonts w:hint="eastAsia"/>
                              </w:rPr>
                            </w:pPr>
                            <w:r>
                              <w:rPr>
                                <w:rFonts w:hint="eastAsia"/>
                              </w:rPr>
                              <w:t>委托代理人第二代居民身份证复印件</w:t>
                            </w:r>
                          </w:p>
                          <w:p w14:paraId="68CE34A9">
                            <w:pPr>
                              <w:jc w:val="center"/>
                              <w:rPr>
                                <w:rFonts w:hint="eastAsia"/>
                              </w:rPr>
                            </w:pPr>
                            <w:r>
                              <w:rPr>
                                <w:rFonts w:hint="eastAsia"/>
                                <w:b/>
                              </w:rPr>
                              <w:t>（背面）</w:t>
                            </w:r>
                          </w:p>
                        </w:txbxContent>
                      </wps:txbx>
                      <wps:bodyPr upright="1"/>
                    </wps:wsp>
                  </a:graphicData>
                </a:graphic>
              </wp:anchor>
            </w:drawing>
          </mc:Choice>
          <mc:Fallback>
            <w:pict>
              <v:rect id="_x0000_s1026" o:spid="_x0000_s1026" o:spt="1" style="position:absolute;left:0pt;margin-left:9.3pt;margin-top:5.05pt;height:170.1pt;width:255.1pt;z-index:251664384;mso-width-relative:page;mso-height-relative:page;" fillcolor="#FFFFFF" filled="t" stroked="t" coordsize="21600,21600" o:gfxdata="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c+CytcAAAAJAQAADwAAAAAAAAABACAAAAAiAAAAZHJzL2Rv&#10;d25yZXYueG1sUEsBAhQAFAAAAAgAh07iQDFOmHcCAgAALAQAAA4AAAAAAAAAAQAgAAAAJgEAAGRy&#10;cy9lMm9Eb2MueG1sUEsFBgAAAAAGAAYAWQEAAJoFAAAAAA==&#10;">
                <v:fill on="t" focussize="0,0"/>
                <v:stroke color="#000000" joinstyle="miter"/>
                <v:imagedata o:title=""/>
                <o:lock v:ext="edit" aspectratio="f"/>
                <v:textbox>
                  <w:txbxContent>
                    <w:p w14:paraId="34037F58">
                      <w:pPr>
                        <w:rPr>
                          <w:rFonts w:hint="eastAsia"/>
                        </w:rPr>
                      </w:pPr>
                    </w:p>
                    <w:p w14:paraId="2900408C">
                      <w:pPr>
                        <w:rPr>
                          <w:rFonts w:hint="eastAsia"/>
                        </w:rPr>
                      </w:pPr>
                    </w:p>
                    <w:p w14:paraId="04CA5312">
                      <w:pPr>
                        <w:rPr>
                          <w:rFonts w:hint="eastAsia"/>
                        </w:rPr>
                      </w:pPr>
                    </w:p>
                    <w:p w14:paraId="7253FF3B">
                      <w:pPr>
                        <w:rPr>
                          <w:rFonts w:hint="eastAsia"/>
                        </w:rPr>
                      </w:pPr>
                    </w:p>
                    <w:p w14:paraId="5DEC9905">
                      <w:pPr>
                        <w:rPr>
                          <w:rFonts w:hint="eastAsia"/>
                        </w:rPr>
                      </w:pPr>
                    </w:p>
                    <w:p w14:paraId="7A29B0B7">
                      <w:pPr>
                        <w:jc w:val="center"/>
                        <w:rPr>
                          <w:rFonts w:hint="eastAsia"/>
                        </w:rPr>
                      </w:pPr>
                      <w:r>
                        <w:rPr>
                          <w:rFonts w:hint="eastAsia"/>
                        </w:rPr>
                        <w:t>委托代理人第二代居民身份证复印件</w:t>
                      </w:r>
                    </w:p>
                    <w:p w14:paraId="68CE34A9">
                      <w:pPr>
                        <w:jc w:val="center"/>
                        <w:rPr>
                          <w:rFonts w:hint="eastAsia"/>
                        </w:rPr>
                      </w:pPr>
                      <w:r>
                        <w:rPr>
                          <w:rFonts w:hint="eastAsia"/>
                          <w:b/>
                        </w:rPr>
                        <w:t>（背面）</w:t>
                      </w:r>
                    </w:p>
                  </w:txbxContent>
                </v:textbox>
              </v:rect>
            </w:pict>
          </mc:Fallback>
        </mc:AlternateContent>
      </w:r>
    </w:p>
    <w:p w14:paraId="26957751">
      <w:pPr>
        <w:pStyle w:val="14"/>
        <w:pageBreakBefore w:val="0"/>
        <w:widowControl w:val="0"/>
        <w:kinsoku/>
        <w:wordWrap w:val="0"/>
        <w:overflowPunct/>
        <w:topLinePunct w:val="0"/>
        <w:bidi w:val="0"/>
        <w:spacing w:line="240" w:lineRule="exact"/>
        <w:outlineLvl w:val="9"/>
        <w:rPr>
          <w:rFonts w:hint="eastAsia" w:hAnsi="宋体" w:cs="宋体"/>
          <w:color w:val="auto"/>
          <w:highlight w:val="none"/>
        </w:rPr>
      </w:pPr>
    </w:p>
    <w:p w14:paraId="71A62376">
      <w:pPr>
        <w:pStyle w:val="14"/>
        <w:pageBreakBefore w:val="0"/>
        <w:widowControl w:val="0"/>
        <w:kinsoku/>
        <w:wordWrap w:val="0"/>
        <w:overflowPunct/>
        <w:topLinePunct w:val="0"/>
        <w:bidi w:val="0"/>
        <w:spacing w:line="240" w:lineRule="exact"/>
        <w:outlineLvl w:val="9"/>
        <w:rPr>
          <w:rFonts w:hint="eastAsia" w:hAnsi="宋体" w:cs="宋体"/>
          <w:color w:val="auto"/>
          <w:highlight w:val="none"/>
        </w:rPr>
      </w:pPr>
    </w:p>
    <w:p w14:paraId="234185C5">
      <w:pPr>
        <w:pStyle w:val="14"/>
        <w:pageBreakBefore w:val="0"/>
        <w:widowControl w:val="0"/>
        <w:kinsoku/>
        <w:wordWrap w:val="0"/>
        <w:overflowPunct/>
        <w:topLinePunct w:val="0"/>
        <w:bidi w:val="0"/>
        <w:spacing w:line="240" w:lineRule="exact"/>
        <w:outlineLvl w:val="9"/>
        <w:rPr>
          <w:rFonts w:hint="eastAsia" w:hAnsi="宋体" w:cs="宋体"/>
          <w:color w:val="auto"/>
          <w:highlight w:val="none"/>
        </w:rPr>
      </w:pPr>
    </w:p>
    <w:p w14:paraId="2026625E">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262D2458">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04C95E65">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5E9D7D6E">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34232DE6">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0F3D7476">
      <w:pPr>
        <w:pStyle w:val="14"/>
        <w:pageBreakBefore w:val="0"/>
        <w:widowControl w:val="0"/>
        <w:kinsoku/>
        <w:wordWrap w:val="0"/>
        <w:overflowPunct/>
        <w:topLinePunct w:val="0"/>
        <w:bidi w:val="0"/>
        <w:spacing w:line="240" w:lineRule="exact"/>
        <w:outlineLvl w:val="9"/>
        <w:rPr>
          <w:rFonts w:hint="eastAsia" w:hAnsi="宋体" w:cs="宋体"/>
          <w:color w:val="auto"/>
          <w:sz w:val="44"/>
          <w:highlight w:val="none"/>
        </w:rPr>
      </w:pPr>
    </w:p>
    <w:p w14:paraId="0BE05D53">
      <w:pPr>
        <w:pageBreakBefore w:val="0"/>
        <w:widowControl w:val="0"/>
        <w:kinsoku/>
        <w:wordWrap w:val="0"/>
        <w:overflowPunct/>
        <w:topLinePunct w:val="0"/>
        <w:bidi w:val="0"/>
        <w:adjustRightInd w:val="0"/>
        <w:snapToGrid w:val="0"/>
        <w:spacing w:line="300" w:lineRule="auto"/>
        <w:jc w:val="center"/>
        <w:outlineLvl w:val="9"/>
        <w:rPr>
          <w:rFonts w:hint="eastAsia" w:ascii="宋体" w:hAnsi="宋体" w:eastAsia="宋体" w:cs="宋体"/>
          <w:b/>
          <w:color w:val="auto"/>
          <w:sz w:val="44"/>
          <w:szCs w:val="44"/>
          <w:highlight w:val="none"/>
        </w:rPr>
      </w:pPr>
    </w:p>
    <w:p w14:paraId="285966B5">
      <w:pPr>
        <w:pageBreakBefore w:val="0"/>
        <w:widowControl w:val="0"/>
        <w:kinsoku/>
        <w:wordWrap w:val="0"/>
        <w:overflowPunct/>
        <w:topLinePunct w:val="0"/>
        <w:bidi w:val="0"/>
        <w:adjustRightInd w:val="0"/>
        <w:snapToGrid w:val="0"/>
        <w:spacing w:line="300" w:lineRule="auto"/>
        <w:jc w:val="center"/>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商务要求偏离表格式</w:t>
      </w:r>
    </w:p>
    <w:p w14:paraId="55A06F83">
      <w:pPr>
        <w:pageBreakBefore w:val="0"/>
        <w:widowControl w:val="0"/>
        <w:kinsoku/>
        <w:wordWrap w:val="0"/>
        <w:overflowPunct/>
        <w:topLinePunct w:val="0"/>
        <w:bidi w:val="0"/>
        <w:spacing w:line="500" w:lineRule="exact"/>
        <w:jc w:val="center"/>
        <w:outlineLvl w:val="9"/>
        <w:rPr>
          <w:rFonts w:hint="eastAsia" w:ascii="宋体" w:hAnsi="宋体" w:eastAsia="宋体" w:cs="宋体"/>
          <w:bCs/>
          <w:iCs/>
          <w:color w:val="auto"/>
          <w:sz w:val="32"/>
          <w:szCs w:val="32"/>
          <w:highlight w:val="none"/>
        </w:rPr>
      </w:pPr>
      <w:r>
        <w:rPr>
          <w:rFonts w:hint="eastAsia" w:ascii="宋体" w:hAnsi="宋体" w:eastAsia="宋体" w:cs="宋体"/>
          <w:bCs/>
          <w:iCs/>
          <w:color w:val="auto"/>
          <w:sz w:val="32"/>
          <w:szCs w:val="32"/>
          <w:highlight w:val="none"/>
        </w:rPr>
        <w:t>（注：按采购需求具体条款修改）</w:t>
      </w:r>
    </w:p>
    <w:p w14:paraId="4A28754F">
      <w:pPr>
        <w:pageBreakBefore w:val="0"/>
        <w:widowControl w:val="0"/>
        <w:kinsoku/>
        <w:wordWrap w:val="0"/>
        <w:overflowPunct/>
        <w:topLinePunct w:val="0"/>
        <w:bidi w:val="0"/>
        <w:snapToGrid w:val="0"/>
        <w:spacing w:before="50"/>
        <w:jc w:val="left"/>
        <w:outlineLvl w:val="9"/>
        <w:rPr>
          <w:rFonts w:hint="eastAsia" w:ascii="宋体" w:hAnsi="宋体" w:eastAsia="宋体" w:cs="宋体"/>
          <w:color w:val="auto"/>
          <w:sz w:val="24"/>
          <w:highlight w:val="none"/>
        </w:rPr>
      </w:pPr>
    </w:p>
    <w:p w14:paraId="288EF5FF">
      <w:pPr>
        <w:pageBreakBefore w:val="0"/>
        <w:widowControl w:val="0"/>
        <w:kinsoku/>
        <w:wordWrap w:val="0"/>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639515FB">
      <w:pPr>
        <w:pageBreakBefore w:val="0"/>
        <w:widowControl w:val="0"/>
        <w:kinsoku/>
        <w:wordWrap w:val="0"/>
        <w:overflowPunct/>
        <w:topLinePunct w:val="0"/>
        <w:bidi w:val="0"/>
        <w:spacing w:line="360" w:lineRule="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p>
    <w:tbl>
      <w:tblPr>
        <w:tblStyle w:val="20"/>
        <w:tblW w:w="93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0"/>
        <w:gridCol w:w="2671"/>
        <w:gridCol w:w="2636"/>
        <w:gridCol w:w="1831"/>
      </w:tblGrid>
      <w:tr w14:paraId="0C59E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180" w:type="dxa"/>
            <w:tcBorders>
              <w:top w:val="single" w:color="auto" w:sz="4" w:space="0"/>
              <w:left w:val="single" w:color="auto" w:sz="4" w:space="0"/>
              <w:bottom w:val="single" w:color="auto" w:sz="4" w:space="0"/>
              <w:right w:val="single" w:color="auto" w:sz="4" w:space="0"/>
            </w:tcBorders>
            <w:vAlign w:val="center"/>
          </w:tcPr>
          <w:p w14:paraId="4CE22892">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2671" w:type="dxa"/>
            <w:tcBorders>
              <w:top w:val="single" w:color="auto" w:sz="4" w:space="0"/>
              <w:left w:val="single" w:color="auto" w:sz="4" w:space="0"/>
              <w:bottom w:val="single" w:color="auto" w:sz="4" w:space="0"/>
              <w:right w:val="single" w:color="auto" w:sz="4" w:space="0"/>
            </w:tcBorders>
            <w:vAlign w:val="center"/>
          </w:tcPr>
          <w:p w14:paraId="531F6300">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谈判文件商务要求</w:t>
            </w:r>
          </w:p>
        </w:tc>
        <w:tc>
          <w:tcPr>
            <w:tcW w:w="2636" w:type="dxa"/>
            <w:tcBorders>
              <w:top w:val="single" w:color="auto" w:sz="4" w:space="0"/>
              <w:left w:val="single" w:color="auto" w:sz="4" w:space="0"/>
              <w:bottom w:val="single" w:color="auto" w:sz="4" w:space="0"/>
              <w:right w:val="single" w:color="auto" w:sz="4" w:space="0"/>
            </w:tcBorders>
            <w:vAlign w:val="center"/>
          </w:tcPr>
          <w:p w14:paraId="674662B1">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供应商的响应</w:t>
            </w:r>
          </w:p>
        </w:tc>
        <w:tc>
          <w:tcPr>
            <w:tcW w:w="1831" w:type="dxa"/>
            <w:tcBorders>
              <w:top w:val="single" w:color="auto" w:sz="4" w:space="0"/>
              <w:left w:val="single" w:color="auto" w:sz="4" w:space="0"/>
              <w:bottom w:val="single" w:color="auto" w:sz="4" w:space="0"/>
              <w:right w:val="single" w:color="auto" w:sz="4" w:space="0"/>
            </w:tcBorders>
            <w:vAlign w:val="center"/>
          </w:tcPr>
          <w:p w14:paraId="26519AD4">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43FF5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180" w:type="dxa"/>
            <w:tcBorders>
              <w:top w:val="single" w:color="auto" w:sz="4" w:space="0"/>
              <w:left w:val="single" w:color="auto" w:sz="4" w:space="0"/>
              <w:bottom w:val="single" w:color="auto" w:sz="4" w:space="0"/>
              <w:right w:val="single" w:color="auto" w:sz="4" w:space="0"/>
            </w:tcBorders>
            <w:vAlign w:val="center"/>
          </w:tcPr>
          <w:p w14:paraId="45DAB84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2671" w:type="dxa"/>
            <w:tcBorders>
              <w:top w:val="single" w:color="auto" w:sz="4" w:space="0"/>
              <w:left w:val="single" w:color="auto" w:sz="4" w:space="0"/>
              <w:bottom w:val="single" w:color="auto" w:sz="4" w:space="0"/>
              <w:right w:val="single" w:color="auto" w:sz="4" w:space="0"/>
            </w:tcBorders>
            <w:vAlign w:val="center"/>
          </w:tcPr>
          <w:p w14:paraId="25306013">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1A6C3797">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3142B54D">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r>
      <w:tr w14:paraId="528A2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180" w:type="dxa"/>
            <w:tcBorders>
              <w:top w:val="single" w:color="auto" w:sz="4" w:space="0"/>
              <w:left w:val="single" w:color="auto" w:sz="4" w:space="0"/>
              <w:bottom w:val="single" w:color="auto" w:sz="4" w:space="0"/>
              <w:right w:val="single" w:color="auto" w:sz="4" w:space="0"/>
            </w:tcBorders>
            <w:vAlign w:val="center"/>
          </w:tcPr>
          <w:p w14:paraId="4731EE9A">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2671" w:type="dxa"/>
            <w:tcBorders>
              <w:top w:val="single" w:color="auto" w:sz="4" w:space="0"/>
              <w:left w:val="single" w:color="auto" w:sz="4" w:space="0"/>
              <w:bottom w:val="single" w:color="auto" w:sz="4" w:space="0"/>
              <w:right w:val="single" w:color="auto" w:sz="4" w:space="0"/>
            </w:tcBorders>
            <w:vAlign w:val="center"/>
          </w:tcPr>
          <w:p w14:paraId="3EC91E58">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7A334903">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6524C0F">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r>
      <w:tr w14:paraId="791CB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180" w:type="dxa"/>
            <w:tcBorders>
              <w:top w:val="single" w:color="auto" w:sz="4" w:space="0"/>
              <w:left w:val="single" w:color="auto" w:sz="4" w:space="0"/>
              <w:bottom w:val="single" w:color="auto" w:sz="4" w:space="0"/>
              <w:right w:val="single" w:color="auto" w:sz="4" w:space="0"/>
            </w:tcBorders>
            <w:vAlign w:val="center"/>
          </w:tcPr>
          <w:p w14:paraId="6BF5FE6B">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671" w:type="dxa"/>
            <w:tcBorders>
              <w:top w:val="single" w:color="auto" w:sz="4" w:space="0"/>
              <w:left w:val="single" w:color="auto" w:sz="4" w:space="0"/>
              <w:bottom w:val="single" w:color="auto" w:sz="4" w:space="0"/>
              <w:right w:val="single" w:color="auto" w:sz="4" w:space="0"/>
            </w:tcBorders>
            <w:vAlign w:val="center"/>
          </w:tcPr>
          <w:p w14:paraId="5774381E">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c>
          <w:tcPr>
            <w:tcW w:w="2636" w:type="dxa"/>
            <w:tcBorders>
              <w:top w:val="single" w:color="auto" w:sz="4" w:space="0"/>
              <w:left w:val="single" w:color="auto" w:sz="4" w:space="0"/>
              <w:bottom w:val="single" w:color="auto" w:sz="4" w:space="0"/>
              <w:right w:val="single" w:color="auto" w:sz="4" w:space="0"/>
            </w:tcBorders>
            <w:vAlign w:val="center"/>
          </w:tcPr>
          <w:p w14:paraId="1020DA47">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65ED3BD">
            <w:pPr>
              <w:pageBreakBefore w:val="0"/>
              <w:widowControl w:val="0"/>
              <w:kinsoku/>
              <w:wordWrap w:val="0"/>
              <w:overflowPunct/>
              <w:topLinePunct w:val="0"/>
              <w:bidi w:val="0"/>
              <w:snapToGrid w:val="0"/>
              <w:spacing w:line="400" w:lineRule="exact"/>
              <w:jc w:val="center"/>
              <w:outlineLvl w:val="9"/>
              <w:rPr>
                <w:rFonts w:hint="eastAsia" w:ascii="宋体" w:hAnsi="宋体" w:eastAsia="宋体" w:cs="宋体"/>
                <w:color w:val="auto"/>
                <w:sz w:val="24"/>
                <w:highlight w:val="none"/>
              </w:rPr>
            </w:pPr>
          </w:p>
        </w:tc>
      </w:tr>
    </w:tbl>
    <w:p w14:paraId="61184461">
      <w:pPr>
        <w:pStyle w:val="8"/>
        <w:pageBreakBefore w:val="0"/>
        <w:widowControl w:val="0"/>
        <w:kinsoku/>
        <w:wordWrap w:val="0"/>
        <w:overflowPunct/>
        <w:topLinePunct w:val="0"/>
        <w:bidi w:val="0"/>
        <w:spacing w:after="0" w:line="360" w:lineRule="auto"/>
        <w:contextualSpacing/>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007BE44">
      <w:pPr>
        <w:pStyle w:val="8"/>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1.说明：应对照谈判文件“第三章 采购需求”中的商务要求逐条明确响应，并作出偏离说明。</w:t>
      </w:r>
    </w:p>
    <w:p w14:paraId="6570FB00">
      <w:pPr>
        <w:pStyle w:val="8"/>
        <w:keepNext w:val="0"/>
        <w:keepLines w:val="0"/>
        <w:pageBreakBefore w:val="0"/>
        <w:widowControl w:val="0"/>
        <w:kinsoku/>
        <w:wordWrap w:val="0"/>
        <w:overflowPunct/>
        <w:topLinePunct w:val="0"/>
        <w:autoSpaceDE/>
        <w:autoSpaceDN/>
        <w:bidi w:val="0"/>
        <w:adjustRightInd/>
        <w:snapToGrid/>
        <w:spacing w:after="0" w:line="360" w:lineRule="auto"/>
        <w:ind w:firstLine="480" w:firstLineChars="200"/>
        <w:contextualSpacing/>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2.供应商应根据自身的承诺，对照谈判文件要求在“偏离说明”中注明“正偏离”、“负偏离”或者“无偏离”。既不属于“正偏离”也不属于“负偏离”即为“无偏离”。</w:t>
      </w:r>
    </w:p>
    <w:p w14:paraId="168C39BA">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4"/>
          <w:highlight w:val="none"/>
          <w:u w:val="single"/>
        </w:rPr>
      </w:pPr>
    </w:p>
    <w:p w14:paraId="6B464BEB">
      <w:pPr>
        <w:pageBreakBefore w:val="0"/>
        <w:widowControl w:val="0"/>
        <w:kinsoku/>
        <w:wordWrap w:val="0"/>
        <w:overflowPunct/>
        <w:topLinePunct w:val="0"/>
        <w:bidi w:val="0"/>
        <w:spacing w:line="360" w:lineRule="auto"/>
        <w:contextualSpacing/>
        <w:jc w:val="left"/>
        <w:outlineLvl w:val="9"/>
        <w:rPr>
          <w:rFonts w:hint="eastAsia" w:ascii="宋体" w:hAnsi="宋体" w:eastAsia="宋体" w:cs="宋体"/>
          <w:color w:val="auto"/>
          <w:sz w:val="24"/>
          <w:highlight w:val="none"/>
          <w:u w:val="single"/>
        </w:rPr>
      </w:pPr>
    </w:p>
    <w:p w14:paraId="3C1B5970">
      <w:pPr>
        <w:pageBreakBefore w:val="0"/>
        <w:widowControl w:val="0"/>
        <w:kinsoku/>
        <w:wordWrap w:val="0"/>
        <w:overflowPunct/>
        <w:topLinePunct w:val="0"/>
        <w:bidi w:val="0"/>
        <w:spacing w:line="360" w:lineRule="auto"/>
        <w:ind w:right="-817" w:rightChars="-389"/>
        <w:contextualSpacing/>
        <w:outlineLvl w:val="9"/>
        <w:rPr>
          <w:rFonts w:hint="eastAsia" w:ascii="宋体" w:hAnsi="宋体" w:eastAsia="宋体" w:cs="宋体"/>
          <w:color w:val="auto"/>
          <w:sz w:val="24"/>
          <w:highlight w:val="none"/>
        </w:rPr>
      </w:pPr>
    </w:p>
    <w:p w14:paraId="5759BBD0">
      <w:pPr>
        <w:pageBreakBefore w:val="0"/>
        <w:widowControl w:val="0"/>
        <w:kinsoku/>
        <w:wordWrap w:val="0"/>
        <w:overflowPunct/>
        <w:topLinePunct w:val="0"/>
        <w:bidi w:val="0"/>
        <w:spacing w:line="360" w:lineRule="auto"/>
        <w:ind w:right="-817" w:rightChars="-389" w:firstLine="1920" w:firstLineChars="8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highlight w:val="none"/>
        </w:rPr>
        <w:t>签字或者电子签名</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highlight w:val="none"/>
        </w:rPr>
        <w:t>：</w:t>
      </w:r>
    </w:p>
    <w:p w14:paraId="58EB3BEF">
      <w:pPr>
        <w:pageBreakBefore w:val="0"/>
        <w:widowControl w:val="0"/>
        <w:kinsoku/>
        <w:wordWrap w:val="0"/>
        <w:overflowPunct/>
        <w:topLinePunct w:val="0"/>
        <w:bidi w:val="0"/>
        <w:spacing w:line="360" w:lineRule="auto"/>
        <w:ind w:right="-817" w:rightChars="-389" w:firstLine="3360" w:firstLineChars="14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电子签章</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highlight w:val="none"/>
        </w:rPr>
        <w:t xml:space="preserve">：      </w:t>
      </w:r>
    </w:p>
    <w:p w14:paraId="7413B2DB">
      <w:pPr>
        <w:pageBreakBefore w:val="0"/>
        <w:widowControl w:val="0"/>
        <w:kinsoku/>
        <w:wordWrap w:val="0"/>
        <w:overflowPunct/>
        <w:topLinePunct w:val="0"/>
        <w:bidi w:val="0"/>
        <w:spacing w:line="360" w:lineRule="auto"/>
        <w:ind w:right="-817" w:rightChars="-389" w:firstLine="5280" w:firstLineChars="2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904514F">
      <w:pPr>
        <w:pageBreakBefore w:val="0"/>
        <w:widowControl w:val="0"/>
        <w:kinsoku/>
        <w:wordWrap w:val="0"/>
        <w:overflowPunct/>
        <w:topLinePunct w:val="0"/>
        <w:bidi w:val="0"/>
        <w:adjustRightInd w:val="0"/>
        <w:snapToGrid w:val="0"/>
        <w:spacing w:line="520" w:lineRule="exact"/>
        <w:ind w:firstLine="7040" w:firstLineChars="1600"/>
        <w:jc w:val="center"/>
        <w:outlineLvl w:val="9"/>
        <w:rPr>
          <w:rFonts w:hint="eastAsia" w:ascii="宋体" w:hAnsi="宋体" w:eastAsia="宋体" w:cs="宋体"/>
          <w:bCs/>
          <w:color w:val="auto"/>
          <w:sz w:val="44"/>
          <w:szCs w:val="44"/>
          <w:highlight w:val="none"/>
        </w:rPr>
      </w:pPr>
    </w:p>
    <w:p w14:paraId="2D8A14A8">
      <w:pPr>
        <w:pageBreakBefore w:val="0"/>
        <w:widowControl w:val="0"/>
        <w:kinsoku/>
        <w:wordWrap w:val="0"/>
        <w:overflowPunct/>
        <w:topLinePunct w:val="0"/>
        <w:bidi w:val="0"/>
        <w:adjustRightInd w:val="0"/>
        <w:snapToGrid w:val="0"/>
        <w:spacing w:line="300" w:lineRule="auto"/>
        <w:jc w:val="center"/>
        <w:outlineLvl w:val="9"/>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br w:type="page"/>
      </w:r>
      <w:r>
        <w:rPr>
          <w:rFonts w:hint="eastAsia" w:ascii="宋体" w:hAnsi="宋体" w:eastAsia="宋体" w:cs="宋体"/>
          <w:b/>
          <w:color w:val="auto"/>
          <w:sz w:val="44"/>
          <w:szCs w:val="44"/>
          <w:highlight w:val="none"/>
        </w:rPr>
        <w:t>技术要求偏离表</w:t>
      </w:r>
    </w:p>
    <w:p w14:paraId="3621BCF4">
      <w:pPr>
        <w:pageBreakBefore w:val="0"/>
        <w:widowControl w:val="0"/>
        <w:kinsoku/>
        <w:wordWrap w:val="0"/>
        <w:overflowPunct/>
        <w:topLinePunct w:val="0"/>
        <w:bidi w:val="0"/>
        <w:spacing w:line="520" w:lineRule="exact"/>
        <w:outlineLvl w:val="9"/>
        <w:rPr>
          <w:rFonts w:hint="eastAsia" w:ascii="宋体" w:hAnsi="宋体" w:eastAsia="宋体" w:cs="宋体"/>
          <w:color w:val="auto"/>
          <w:sz w:val="32"/>
          <w:szCs w:val="32"/>
          <w:highlight w:val="none"/>
        </w:rPr>
      </w:pPr>
    </w:p>
    <w:p w14:paraId="1F92F5F8">
      <w:pPr>
        <w:pageBreakBefore w:val="0"/>
        <w:widowControl w:val="0"/>
        <w:kinsoku/>
        <w:wordWrap w:val="0"/>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A4CDA30">
      <w:pPr>
        <w:pageBreakBefore w:val="0"/>
        <w:widowControl w:val="0"/>
        <w:kinsoku/>
        <w:wordWrap w:val="0"/>
        <w:overflowPunct/>
        <w:topLinePunct w:val="0"/>
        <w:bidi w:val="0"/>
        <w:spacing w:line="360" w:lineRule="auto"/>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p>
    <w:tbl>
      <w:tblPr>
        <w:tblStyle w:val="20"/>
        <w:tblW w:w="94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2"/>
        <w:gridCol w:w="952"/>
        <w:gridCol w:w="3161"/>
        <w:gridCol w:w="2845"/>
        <w:gridCol w:w="1553"/>
      </w:tblGrid>
      <w:tr w14:paraId="65B28D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2" w:type="dxa"/>
            <w:vAlign w:val="center"/>
          </w:tcPr>
          <w:p w14:paraId="14587072">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952" w:type="dxa"/>
            <w:tcBorders>
              <w:right w:val="single" w:color="auto" w:sz="4" w:space="0"/>
            </w:tcBorders>
            <w:vAlign w:val="center"/>
          </w:tcPr>
          <w:p w14:paraId="5E48110A">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3161" w:type="dxa"/>
            <w:tcBorders>
              <w:left w:val="single" w:color="auto" w:sz="4" w:space="0"/>
            </w:tcBorders>
            <w:vAlign w:val="center"/>
          </w:tcPr>
          <w:p w14:paraId="5DEAC8A4">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谈判文件要求</w:t>
            </w:r>
          </w:p>
        </w:tc>
        <w:tc>
          <w:tcPr>
            <w:tcW w:w="2845" w:type="dxa"/>
            <w:vAlign w:val="center"/>
          </w:tcPr>
          <w:p w14:paraId="1C4C8485">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竞标响应</w:t>
            </w:r>
          </w:p>
        </w:tc>
        <w:tc>
          <w:tcPr>
            <w:tcW w:w="1553" w:type="dxa"/>
            <w:vAlign w:val="center"/>
          </w:tcPr>
          <w:p w14:paraId="7457D809">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64227A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2" w:type="dxa"/>
            <w:vAlign w:val="center"/>
          </w:tcPr>
          <w:p w14:paraId="0FD32B52">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952" w:type="dxa"/>
            <w:tcBorders>
              <w:right w:val="single" w:color="auto" w:sz="4" w:space="0"/>
            </w:tcBorders>
            <w:vAlign w:val="center"/>
          </w:tcPr>
          <w:p w14:paraId="14463558">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3161" w:type="dxa"/>
            <w:tcBorders>
              <w:left w:val="single" w:color="auto" w:sz="4" w:space="0"/>
            </w:tcBorders>
            <w:vAlign w:val="center"/>
          </w:tcPr>
          <w:p w14:paraId="51D9A5CC">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2845" w:type="dxa"/>
            <w:vAlign w:val="center"/>
          </w:tcPr>
          <w:p w14:paraId="414EB5A6">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1553" w:type="dxa"/>
            <w:vAlign w:val="center"/>
          </w:tcPr>
          <w:p w14:paraId="3AB254DB">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r>
      <w:tr w14:paraId="7290D3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2" w:type="dxa"/>
            <w:vAlign w:val="center"/>
          </w:tcPr>
          <w:p w14:paraId="6CE3B25B">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952" w:type="dxa"/>
            <w:tcBorders>
              <w:right w:val="single" w:color="auto" w:sz="4" w:space="0"/>
            </w:tcBorders>
            <w:vAlign w:val="center"/>
          </w:tcPr>
          <w:p w14:paraId="681AEBC0">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3161" w:type="dxa"/>
            <w:tcBorders>
              <w:left w:val="single" w:color="auto" w:sz="4" w:space="0"/>
            </w:tcBorders>
            <w:vAlign w:val="center"/>
          </w:tcPr>
          <w:p w14:paraId="58FDC1C3">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2845" w:type="dxa"/>
            <w:vAlign w:val="center"/>
          </w:tcPr>
          <w:p w14:paraId="30E77949">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1553" w:type="dxa"/>
            <w:vAlign w:val="center"/>
          </w:tcPr>
          <w:p w14:paraId="6645A40A">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r>
      <w:tr w14:paraId="10246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2" w:type="dxa"/>
            <w:vAlign w:val="center"/>
          </w:tcPr>
          <w:p w14:paraId="093CA04C">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p>
        </w:tc>
        <w:tc>
          <w:tcPr>
            <w:tcW w:w="952" w:type="dxa"/>
            <w:tcBorders>
              <w:right w:val="single" w:color="auto" w:sz="4" w:space="0"/>
            </w:tcBorders>
            <w:vAlign w:val="center"/>
          </w:tcPr>
          <w:p w14:paraId="68EE536C">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3161" w:type="dxa"/>
            <w:tcBorders>
              <w:left w:val="single" w:color="auto" w:sz="4" w:space="0"/>
            </w:tcBorders>
            <w:vAlign w:val="center"/>
          </w:tcPr>
          <w:p w14:paraId="5BE6387D">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2845" w:type="dxa"/>
            <w:vAlign w:val="center"/>
          </w:tcPr>
          <w:p w14:paraId="30BE0358">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1553" w:type="dxa"/>
            <w:vAlign w:val="center"/>
          </w:tcPr>
          <w:p w14:paraId="5C7300B9">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r>
      <w:tr w14:paraId="528E5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2" w:type="dxa"/>
            <w:vAlign w:val="center"/>
          </w:tcPr>
          <w:p w14:paraId="5B28E429">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w:t>
            </w:r>
          </w:p>
        </w:tc>
        <w:tc>
          <w:tcPr>
            <w:tcW w:w="952" w:type="dxa"/>
            <w:tcBorders>
              <w:right w:val="single" w:color="auto" w:sz="4" w:space="0"/>
            </w:tcBorders>
            <w:vAlign w:val="center"/>
          </w:tcPr>
          <w:p w14:paraId="1897A0E2">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3161" w:type="dxa"/>
            <w:tcBorders>
              <w:left w:val="single" w:color="auto" w:sz="4" w:space="0"/>
            </w:tcBorders>
            <w:vAlign w:val="center"/>
          </w:tcPr>
          <w:p w14:paraId="2E3179E2">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2845" w:type="dxa"/>
            <w:vAlign w:val="center"/>
          </w:tcPr>
          <w:p w14:paraId="4BD076C2">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1553" w:type="dxa"/>
            <w:vAlign w:val="center"/>
          </w:tcPr>
          <w:p w14:paraId="01260422">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r>
      <w:tr w14:paraId="60C856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2" w:type="dxa"/>
            <w:vAlign w:val="center"/>
          </w:tcPr>
          <w:p w14:paraId="2736C086">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w:t>
            </w:r>
          </w:p>
        </w:tc>
        <w:tc>
          <w:tcPr>
            <w:tcW w:w="952" w:type="dxa"/>
            <w:tcBorders>
              <w:right w:val="single" w:color="auto" w:sz="4" w:space="0"/>
            </w:tcBorders>
            <w:vAlign w:val="center"/>
          </w:tcPr>
          <w:p w14:paraId="24615605">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3161" w:type="dxa"/>
            <w:tcBorders>
              <w:left w:val="single" w:color="auto" w:sz="4" w:space="0"/>
            </w:tcBorders>
            <w:vAlign w:val="center"/>
          </w:tcPr>
          <w:p w14:paraId="7399FE29">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2845" w:type="dxa"/>
            <w:vAlign w:val="center"/>
          </w:tcPr>
          <w:p w14:paraId="4B7008AB">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1553" w:type="dxa"/>
            <w:vAlign w:val="center"/>
          </w:tcPr>
          <w:p w14:paraId="4265226C">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r>
      <w:tr w14:paraId="49972D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2" w:type="dxa"/>
            <w:vAlign w:val="center"/>
          </w:tcPr>
          <w:p w14:paraId="75B6CB44">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952" w:type="dxa"/>
            <w:tcBorders>
              <w:right w:val="single" w:color="auto" w:sz="4" w:space="0"/>
            </w:tcBorders>
            <w:vAlign w:val="center"/>
          </w:tcPr>
          <w:p w14:paraId="386C51C6">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3161" w:type="dxa"/>
            <w:tcBorders>
              <w:left w:val="single" w:color="auto" w:sz="4" w:space="0"/>
            </w:tcBorders>
            <w:vAlign w:val="center"/>
          </w:tcPr>
          <w:p w14:paraId="2913649F">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2845" w:type="dxa"/>
            <w:vAlign w:val="center"/>
          </w:tcPr>
          <w:p w14:paraId="43B930F6">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c>
          <w:tcPr>
            <w:tcW w:w="1553" w:type="dxa"/>
            <w:tcBorders>
              <w:right w:val="single" w:color="auto" w:sz="4" w:space="0"/>
            </w:tcBorders>
            <w:vAlign w:val="center"/>
          </w:tcPr>
          <w:p w14:paraId="6CE23604">
            <w:pPr>
              <w:pStyle w:val="10"/>
              <w:pageBreakBefore w:val="0"/>
              <w:widowControl w:val="0"/>
              <w:kinsoku/>
              <w:wordWrap w:val="0"/>
              <w:overflowPunct/>
              <w:topLinePunct w:val="0"/>
              <w:bidi w:val="0"/>
              <w:spacing w:line="440" w:lineRule="exact"/>
              <w:ind w:firstLine="0" w:firstLineChars="0"/>
              <w:jc w:val="center"/>
              <w:outlineLvl w:val="9"/>
              <w:rPr>
                <w:rFonts w:hint="eastAsia" w:ascii="宋体" w:hAnsi="宋体" w:eastAsia="宋体" w:cs="宋体"/>
                <w:color w:val="auto"/>
                <w:kern w:val="2"/>
                <w:sz w:val="24"/>
                <w:szCs w:val="24"/>
                <w:highlight w:val="none"/>
              </w:rPr>
            </w:pPr>
          </w:p>
        </w:tc>
      </w:tr>
    </w:tbl>
    <w:p w14:paraId="30A58176">
      <w:pPr>
        <w:pStyle w:val="10"/>
        <w:pageBreakBefore w:val="0"/>
        <w:widowControl w:val="0"/>
        <w:kinsoku/>
        <w:wordWrap w:val="0"/>
        <w:overflowPunct/>
        <w:topLinePunct w:val="0"/>
        <w:bidi w:val="0"/>
        <w:spacing w:line="360" w:lineRule="auto"/>
        <w:ind w:firstLine="0" w:firstLineChars="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2C5EAC7">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1.说明：应对照谈判文件“第三章 采购需求”中的技术要求逐条实质性响应，并作出偏离说明。</w:t>
      </w:r>
    </w:p>
    <w:p w14:paraId="6A28F80E">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contextualSpacing/>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2.供应商应根据竞标设备的性能指标，对照谈判文件要求，在“偏离说明”中注明“正偏离”、“负偏离”或者“无偏离”。既不属于“正偏离”也不属于“负偏离”即为“无偏离”。</w:t>
      </w:r>
    </w:p>
    <w:p w14:paraId="4DD4534D">
      <w:pPr>
        <w:pStyle w:val="10"/>
        <w:pageBreakBefore w:val="0"/>
        <w:widowControl w:val="0"/>
        <w:kinsoku/>
        <w:wordWrap w:val="0"/>
        <w:overflowPunct/>
        <w:topLinePunct w:val="0"/>
        <w:bidi w:val="0"/>
        <w:spacing w:line="360" w:lineRule="auto"/>
        <w:ind w:firstLine="0" w:firstLineChars="0"/>
        <w:contextualSpacing/>
        <w:outlineLvl w:val="9"/>
        <w:rPr>
          <w:rFonts w:hint="eastAsia" w:ascii="宋体" w:hAnsi="宋体" w:eastAsia="宋体" w:cs="宋体"/>
          <w:color w:val="auto"/>
          <w:sz w:val="24"/>
          <w:szCs w:val="24"/>
          <w:highlight w:val="none"/>
        </w:rPr>
      </w:pPr>
    </w:p>
    <w:p w14:paraId="4918DC48">
      <w:pPr>
        <w:pageBreakBefore w:val="0"/>
        <w:widowControl w:val="0"/>
        <w:kinsoku/>
        <w:wordWrap w:val="0"/>
        <w:overflowPunct/>
        <w:topLinePunct w:val="0"/>
        <w:bidi w:val="0"/>
        <w:spacing w:line="360" w:lineRule="auto"/>
        <w:ind w:right="-817" w:rightChars="-389"/>
        <w:contextualSpacing/>
        <w:outlineLvl w:val="9"/>
        <w:rPr>
          <w:rFonts w:hint="eastAsia" w:ascii="宋体" w:hAnsi="宋体" w:eastAsia="宋体" w:cs="宋体"/>
          <w:color w:val="auto"/>
          <w:sz w:val="24"/>
          <w:highlight w:val="none"/>
        </w:rPr>
      </w:pPr>
    </w:p>
    <w:p w14:paraId="0D66A122">
      <w:pPr>
        <w:pageBreakBefore w:val="0"/>
        <w:widowControl w:val="0"/>
        <w:kinsoku/>
        <w:wordWrap w:val="0"/>
        <w:overflowPunct/>
        <w:topLinePunct w:val="0"/>
        <w:bidi w:val="0"/>
        <w:spacing w:line="360" w:lineRule="auto"/>
        <w:ind w:right="-817" w:rightChars="-389" w:firstLine="1920" w:firstLineChars="8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法定代表人或者委托代理人</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highlight w:val="none"/>
        </w:rPr>
        <w:t>签字或者电子签名</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highlight w:val="none"/>
        </w:rPr>
        <w:t>：</w:t>
      </w:r>
    </w:p>
    <w:p w14:paraId="07235FD0">
      <w:pPr>
        <w:pageBreakBefore w:val="0"/>
        <w:widowControl w:val="0"/>
        <w:kinsoku/>
        <w:wordWrap w:val="0"/>
        <w:overflowPunct/>
        <w:topLinePunct w:val="0"/>
        <w:bidi w:val="0"/>
        <w:spacing w:line="360" w:lineRule="auto"/>
        <w:ind w:right="-817" w:rightChars="-389" w:firstLine="3360" w:firstLineChars="14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电子签章</w:t>
      </w:r>
      <w:r>
        <w:rPr>
          <w:rFonts w:hint="eastAsia" w:hAnsi="宋体" w:eastAsia="宋体" w:cs="宋体"/>
          <w:b/>
          <w:bCs/>
          <w:color w:val="auto"/>
          <w:sz w:val="24"/>
          <w:szCs w:val="24"/>
          <w:highlight w:val="none"/>
          <w:lang w:eastAsia="zh-CN"/>
        </w:rPr>
        <w:t>）</w:t>
      </w:r>
      <w:r>
        <w:rPr>
          <w:rFonts w:hint="eastAsia" w:ascii="宋体" w:hAnsi="宋体" w:eastAsia="宋体" w:cs="宋体"/>
          <w:color w:val="auto"/>
          <w:sz w:val="24"/>
          <w:highlight w:val="none"/>
        </w:rPr>
        <w:t xml:space="preserve">：      </w:t>
      </w:r>
    </w:p>
    <w:p w14:paraId="1E4BEA9F">
      <w:pPr>
        <w:pageBreakBefore w:val="0"/>
        <w:widowControl w:val="0"/>
        <w:kinsoku/>
        <w:wordWrap w:val="0"/>
        <w:overflowPunct/>
        <w:topLinePunct w:val="0"/>
        <w:bidi w:val="0"/>
        <w:spacing w:line="360" w:lineRule="auto"/>
        <w:ind w:right="-817" w:rightChars="-389" w:firstLine="5280" w:firstLineChars="2200"/>
        <w:contextualSpacing/>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E178CC0">
      <w:pPr>
        <w:pageBreakBefore w:val="0"/>
        <w:widowControl w:val="0"/>
        <w:kinsoku/>
        <w:wordWrap w:val="0"/>
        <w:overflowPunct/>
        <w:topLinePunct w:val="0"/>
        <w:bidi w:val="0"/>
        <w:spacing w:line="300" w:lineRule="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0533F41">
      <w:pPr>
        <w:pageBreakBefore w:val="0"/>
        <w:widowControl w:val="0"/>
        <w:kinsoku/>
        <w:wordWrap w:val="0"/>
        <w:overflowPunct/>
        <w:topLinePunct w:val="0"/>
        <w:bidi w:val="0"/>
        <w:spacing w:line="30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其他文书、文件格式</w:t>
      </w:r>
    </w:p>
    <w:p w14:paraId="247B6FF9">
      <w:pPr>
        <w:pageBreakBefore w:val="0"/>
        <w:widowControl w:val="0"/>
        <w:kinsoku/>
        <w:wordWrap w:val="0"/>
        <w:overflowPunct/>
        <w:topLinePunct w:val="0"/>
        <w:bidi w:val="0"/>
        <w:spacing w:line="360"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质疑函（格式）</w:t>
      </w:r>
    </w:p>
    <w:p w14:paraId="468CA375">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一、质疑供应商基本信息：</w:t>
      </w:r>
    </w:p>
    <w:p w14:paraId="00CDB88E">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single"/>
        </w:rPr>
        <w:t xml:space="preserve">                                                              </w:t>
      </w:r>
    </w:p>
    <w:p w14:paraId="1E8A2A4E">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4E5596C8">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58E90ADD">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A361EAB">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4CC57309">
      <w:pPr>
        <w:pStyle w:val="14"/>
        <w:pageBreakBefore w:val="0"/>
        <w:widowControl w:val="0"/>
        <w:kinsoku/>
        <w:wordWrap w:val="0"/>
        <w:overflowPunct/>
        <w:topLinePunct w:val="0"/>
        <w:bidi w:val="0"/>
        <w:spacing w:line="360" w:lineRule="auto"/>
        <w:ind w:firstLine="480" w:firstLineChars="200"/>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二、质疑项目基本情况：</w:t>
      </w:r>
    </w:p>
    <w:p w14:paraId="3231C6D9">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single"/>
        </w:rPr>
        <w:t xml:space="preserve">                                                          </w:t>
      </w:r>
    </w:p>
    <w:p w14:paraId="15CC77B9">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single"/>
        </w:rPr>
        <w:t xml:space="preserve">                                                             </w:t>
      </w:r>
    </w:p>
    <w:p w14:paraId="26175F89">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127C636A">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w:t>
      </w:r>
      <w:r>
        <w:rPr>
          <w:rFonts w:hint="eastAsia" w:ascii="宋体" w:hAnsi="宋体" w:eastAsia="宋体" w:cs="宋体"/>
          <w:color w:val="auto"/>
          <w:sz w:val="24"/>
          <w:szCs w:val="24"/>
          <w:highlight w:val="none"/>
          <w:u w:val="single"/>
        </w:rPr>
        <w:t xml:space="preserve">                                                               </w:t>
      </w:r>
    </w:p>
    <w:p w14:paraId="4BFF8954">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color w:val="auto"/>
          <w:sz w:val="24"/>
          <w:szCs w:val="24"/>
          <w:highlight w:val="none"/>
          <w:u w:val="single"/>
        </w:rPr>
        <w:t xml:space="preserve">                                               </w:t>
      </w:r>
    </w:p>
    <w:p w14:paraId="74091A16">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0EDE1927">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CEF9D75">
      <w:pPr>
        <w:pStyle w:val="14"/>
        <w:pageBreakBefore w:val="0"/>
        <w:widowControl w:val="0"/>
        <w:kinsoku/>
        <w:wordWrap w:val="0"/>
        <w:overflowPunct/>
        <w:topLinePunct w:val="0"/>
        <w:bidi w:val="0"/>
        <w:spacing w:line="360" w:lineRule="auto"/>
        <w:ind w:left="25" w:leftChars="12" w:firstLine="470" w:firstLineChars="196"/>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三、质疑事项具体内容</w:t>
      </w:r>
    </w:p>
    <w:p w14:paraId="6979D261">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single"/>
        </w:rPr>
        <w:t xml:space="preserve">                                                                  </w:t>
      </w:r>
    </w:p>
    <w:p w14:paraId="19819932">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6FADAD09">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49300E48">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质疑事项2：</w:t>
      </w:r>
      <w:r>
        <w:rPr>
          <w:rFonts w:hint="eastAsia" w:ascii="宋体" w:hAnsi="宋体" w:eastAsia="宋体" w:cs="宋体"/>
          <w:color w:val="auto"/>
          <w:sz w:val="24"/>
          <w:szCs w:val="24"/>
          <w:highlight w:val="none"/>
          <w:u w:val="single"/>
        </w:rPr>
        <w:t xml:space="preserve">                                                             </w:t>
      </w:r>
    </w:p>
    <w:p w14:paraId="1196A9FF">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7DD5268">
      <w:pPr>
        <w:pStyle w:val="14"/>
        <w:pageBreakBefore w:val="0"/>
        <w:widowControl w:val="0"/>
        <w:kinsoku/>
        <w:wordWrap w:val="0"/>
        <w:overflowPunct/>
        <w:topLinePunct w:val="0"/>
        <w:bidi w:val="0"/>
        <w:spacing w:line="360" w:lineRule="auto"/>
        <w:ind w:left="25" w:leftChars="12" w:firstLine="470" w:firstLineChars="196"/>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0A0372CE">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14:paraId="610E42B6">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p>
    <w:p w14:paraId="535D33A6">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ECD96BA">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p>
    <w:p w14:paraId="3C0E5E41">
      <w:pPr>
        <w:pStyle w:val="14"/>
        <w:pageBreakBefore w:val="0"/>
        <w:widowControl w:val="0"/>
        <w:kinsoku/>
        <w:wordWrap w:val="0"/>
        <w:overflowPunct/>
        <w:topLinePunct w:val="0"/>
        <w:bidi w:val="0"/>
        <w:spacing w:line="360" w:lineRule="auto"/>
        <w:ind w:left="25" w:leftChars="12" w:firstLine="472" w:firstLineChars="19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85E7A1D">
      <w:pPr>
        <w:pageBreakBefore w:val="0"/>
        <w:widowControl w:val="0"/>
        <w:kinsoku/>
        <w:wordWrap w:val="0"/>
        <w:overflowPunct/>
        <w:topLinePunct w:val="0"/>
        <w:bidi w:val="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536D3A8">
      <w:pPr>
        <w:pStyle w:val="14"/>
        <w:pageBreakBefore w:val="0"/>
        <w:widowControl w:val="0"/>
        <w:kinsoku/>
        <w:wordWrap w:val="0"/>
        <w:overflowPunct/>
        <w:topLinePunct w:val="0"/>
        <w:bidi w:val="0"/>
        <w:spacing w:line="360" w:lineRule="auto"/>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7FC0EC7">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bookmarkStart w:id="130" w:name="_Toc18930"/>
      <w:r>
        <w:rPr>
          <w:rFonts w:hint="eastAsia" w:ascii="宋体" w:hAnsi="宋体" w:eastAsia="宋体" w:cs="宋体"/>
          <w:color w:val="auto"/>
          <w:sz w:val="24"/>
          <w:szCs w:val="24"/>
          <w:highlight w:val="none"/>
        </w:rPr>
        <w:t>1.供应商提出质疑时，应提交质疑函和必要的证明材料。</w:t>
      </w:r>
      <w:bookmarkEnd w:id="130"/>
    </w:p>
    <w:p w14:paraId="32EF0631">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A3140C4">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3.质疑函的质疑事项应具体、明确，并有必要的事实依据和法律依据。</w:t>
      </w:r>
    </w:p>
    <w:p w14:paraId="305FBC74">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sz w:val="24"/>
          <w:szCs w:val="24"/>
          <w:highlight w:val="none"/>
        </w:rPr>
      </w:pPr>
      <w:bookmarkStart w:id="131" w:name="_Toc18399"/>
      <w:r>
        <w:rPr>
          <w:rFonts w:hint="eastAsia" w:ascii="宋体" w:hAnsi="宋体" w:eastAsia="宋体" w:cs="宋体"/>
          <w:color w:val="auto"/>
          <w:sz w:val="24"/>
          <w:szCs w:val="24"/>
          <w:highlight w:val="none"/>
        </w:rPr>
        <w:t>4.质疑函的质疑请求应与质疑事项相关。</w:t>
      </w:r>
      <w:bookmarkEnd w:id="131"/>
    </w:p>
    <w:p w14:paraId="366A1907">
      <w:pPr>
        <w:pStyle w:val="14"/>
        <w:pageBreakBefore w:val="0"/>
        <w:widowControl w:val="0"/>
        <w:kinsoku/>
        <w:wordWrap w:val="0"/>
        <w:overflowPunct/>
        <w:topLinePunct w:val="0"/>
        <w:bidi w:val="0"/>
        <w:spacing w:line="360" w:lineRule="auto"/>
        <w:ind w:left="25" w:leftChars="12" w:firstLine="352" w:firstLineChars="147"/>
        <w:contextualSpacing/>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5.质疑供应商为法人或者其他组织的，质疑函应由法定代表人、主要负责人，或者其授权代表签字或者盖章，并加盖公章。</w:t>
      </w:r>
    </w:p>
    <w:p w14:paraId="3521EFB6">
      <w:pPr>
        <w:pStyle w:val="14"/>
        <w:pageBreakBefore w:val="0"/>
        <w:widowControl w:val="0"/>
        <w:kinsoku/>
        <w:wordWrap w:val="0"/>
        <w:overflowPunct/>
        <w:topLinePunct w:val="0"/>
        <w:bidi w:val="0"/>
        <w:snapToGrid w:val="0"/>
        <w:outlineLvl w:val="9"/>
        <w:rPr>
          <w:rFonts w:hint="eastAsia" w:ascii="宋体" w:hAnsi="宋体" w:eastAsia="宋体" w:cs="宋体"/>
          <w:color w:val="auto"/>
          <w:sz w:val="24"/>
          <w:szCs w:val="24"/>
          <w:highlight w:val="none"/>
        </w:rPr>
      </w:pPr>
    </w:p>
    <w:p w14:paraId="23B50560">
      <w:pPr>
        <w:pageBreakBefore w:val="0"/>
        <w:widowControl w:val="0"/>
        <w:kinsoku/>
        <w:wordWrap w:val="0"/>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5655334">
      <w:pPr>
        <w:pageBreakBefore w:val="0"/>
        <w:widowControl w:val="0"/>
        <w:kinsoku/>
        <w:wordWrap w:val="0"/>
        <w:overflowPunct/>
        <w:topLinePunct w:val="0"/>
        <w:bidi w:val="0"/>
        <w:spacing w:line="360" w:lineRule="auto"/>
        <w:jc w:val="center"/>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投诉书（格式）</w:t>
      </w:r>
    </w:p>
    <w:p w14:paraId="70324935">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0B3EF0DB">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p>
    <w:p w14:paraId="3BC762D8">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4A1EBD5C">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565AF68">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9A247ED">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0C3954EB">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single"/>
        </w:rPr>
        <w:t xml:space="preserve">                                                                  </w:t>
      </w:r>
    </w:p>
    <w:p w14:paraId="3F188043">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p>
    <w:p w14:paraId="64AD68F7">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3A62A0F8">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被投诉人2：</w:t>
      </w:r>
      <w:r>
        <w:rPr>
          <w:rFonts w:hint="eastAsia" w:ascii="宋体" w:hAnsi="宋体" w:eastAsia="宋体" w:cs="宋体"/>
          <w:color w:val="auto"/>
          <w:sz w:val="24"/>
          <w:szCs w:val="24"/>
          <w:highlight w:val="none"/>
          <w:u w:val="single"/>
        </w:rPr>
        <w:t xml:space="preserve">                                                              </w:t>
      </w:r>
    </w:p>
    <w:p w14:paraId="18FF8B2F">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9A563FD">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single"/>
        </w:rPr>
        <w:t xml:space="preserve">                                                              </w:t>
      </w:r>
    </w:p>
    <w:p w14:paraId="4D9F0792">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58ADDBCF">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14:paraId="7567E53D">
      <w:pPr>
        <w:pStyle w:val="14"/>
        <w:pageBreakBefore w:val="0"/>
        <w:widowControl w:val="0"/>
        <w:kinsoku/>
        <w:wordWrap w:val="0"/>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60672C22">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采购项目的名称：</w:t>
      </w:r>
      <w:r>
        <w:rPr>
          <w:rFonts w:hint="eastAsia" w:ascii="宋体" w:hAnsi="宋体" w:eastAsia="宋体" w:cs="宋体"/>
          <w:color w:val="auto"/>
          <w:sz w:val="24"/>
          <w:szCs w:val="24"/>
          <w:highlight w:val="none"/>
          <w:u w:val="single"/>
        </w:rPr>
        <w:t xml:space="preserve">                                                             </w:t>
      </w:r>
    </w:p>
    <w:p w14:paraId="77264801">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采购项目的编号：</w:t>
      </w:r>
      <w:r>
        <w:rPr>
          <w:rFonts w:hint="eastAsia" w:ascii="宋体" w:hAnsi="宋体" w:eastAsia="宋体" w:cs="宋体"/>
          <w:color w:val="auto"/>
          <w:sz w:val="24"/>
          <w:szCs w:val="24"/>
          <w:highlight w:val="none"/>
          <w:u w:val="single"/>
        </w:rPr>
        <w:t xml:space="preserve">                                                             </w:t>
      </w:r>
    </w:p>
    <w:p w14:paraId="5818F61C">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single"/>
        </w:rPr>
        <w:t xml:space="preserve">                                                                 </w:t>
      </w:r>
    </w:p>
    <w:p w14:paraId="728AB2F8">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single"/>
        </w:rPr>
        <w:t xml:space="preserve">                                                             </w:t>
      </w:r>
    </w:p>
    <w:p w14:paraId="3E258E81">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single"/>
        </w:rPr>
        <w:t>是/否</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single"/>
        </w:rPr>
        <w:t xml:space="preserve">                                               </w:t>
      </w:r>
    </w:p>
    <w:p w14:paraId="5656DA4E">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single"/>
        </w:rPr>
        <w:t>是/否</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single"/>
        </w:rPr>
        <w:t xml:space="preserve">                                             </w:t>
      </w:r>
    </w:p>
    <w:p w14:paraId="1E071DD1">
      <w:pPr>
        <w:pStyle w:val="14"/>
        <w:pageBreakBefore w:val="0"/>
        <w:widowControl w:val="0"/>
        <w:kinsoku/>
        <w:wordWrap w:val="0"/>
        <w:overflowPunct/>
        <w:topLinePunct w:val="0"/>
        <w:bidi w:val="0"/>
        <w:spacing w:line="360" w:lineRule="auto"/>
        <w:ind w:left="25" w:leftChars="12"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20DC1BB9">
      <w:pPr>
        <w:pStyle w:val="14"/>
        <w:pageBreakBefore w:val="0"/>
        <w:widowControl w:val="0"/>
        <w:kinsoku/>
        <w:wordWrap w:val="0"/>
        <w:overflowPunct/>
        <w:topLinePunct w:val="0"/>
        <w:bidi w:val="0"/>
        <w:spacing w:line="360" w:lineRule="auto"/>
        <w:ind w:left="23" w:leftChars="11" w:firstLine="540" w:firstLineChars="225"/>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D6A2569">
      <w:pPr>
        <w:pStyle w:val="14"/>
        <w:pageBreakBefore w:val="0"/>
        <w:widowControl w:val="0"/>
        <w:kinsoku/>
        <w:wordWrap w:val="0"/>
        <w:overflowPunct/>
        <w:topLinePunct w:val="0"/>
        <w:bidi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5E095CF1">
      <w:pPr>
        <w:pStyle w:val="14"/>
        <w:pageBreakBefore w:val="0"/>
        <w:widowControl w:val="0"/>
        <w:kinsoku/>
        <w:wordWrap w:val="0"/>
        <w:overflowPunct/>
        <w:topLinePunct w:val="0"/>
        <w:bidi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4EE2FDE4">
      <w:pPr>
        <w:pStyle w:val="14"/>
        <w:pageBreakBefore w:val="0"/>
        <w:widowControl w:val="0"/>
        <w:kinsoku/>
        <w:wordWrap w:val="0"/>
        <w:overflowPunct/>
        <w:topLinePunct w:val="0"/>
        <w:bidi w:val="0"/>
        <w:spacing w:line="360" w:lineRule="auto"/>
        <w:ind w:left="23" w:leftChars="11" w:firstLine="540" w:firstLineChars="22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日，就质疑事项作出了答复/没有在法定期限内作出答复。</w:t>
      </w:r>
    </w:p>
    <w:p w14:paraId="205C8EB6">
      <w:pPr>
        <w:pStyle w:val="14"/>
        <w:pageBreakBefore w:val="0"/>
        <w:widowControl w:val="0"/>
        <w:kinsoku/>
        <w:wordWrap w:val="0"/>
        <w:overflowPunct/>
        <w:topLinePunct w:val="0"/>
        <w:bidi w:val="0"/>
        <w:spacing w:line="360" w:lineRule="auto"/>
        <w:ind w:left="25" w:leftChars="12"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23D38E39">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color w:val="auto"/>
          <w:sz w:val="24"/>
          <w:szCs w:val="24"/>
          <w:highlight w:val="none"/>
          <w:u w:val="single"/>
        </w:rPr>
        <w:t xml:space="preserve">                                                                  </w:t>
      </w:r>
    </w:p>
    <w:p w14:paraId="40B8947F">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single"/>
        </w:rPr>
        <w:t xml:space="preserve">                                                                   </w:t>
      </w:r>
    </w:p>
    <w:p w14:paraId="02DE6530">
      <w:pPr>
        <w:pStyle w:val="14"/>
        <w:pageBreakBefore w:val="0"/>
        <w:widowControl w:val="0"/>
        <w:kinsoku/>
        <w:wordWrap w:val="0"/>
        <w:overflowPunct/>
        <w:topLinePunct w:val="0"/>
        <w:bidi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2B6AAC99">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p>
    <w:p w14:paraId="3B327577">
      <w:pPr>
        <w:pStyle w:val="14"/>
        <w:pageBreakBefore w:val="0"/>
        <w:widowControl w:val="0"/>
        <w:kinsoku/>
        <w:wordWrap w:val="0"/>
        <w:overflowPunct/>
        <w:topLinePunct w:val="0"/>
        <w:bidi w:val="0"/>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1A25BC5D">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投诉事项2  </w:t>
      </w:r>
    </w:p>
    <w:p w14:paraId="45D56B73">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3CCE648">
      <w:pPr>
        <w:pStyle w:val="14"/>
        <w:pageBreakBefore w:val="0"/>
        <w:widowControl w:val="0"/>
        <w:kinsoku/>
        <w:wordWrap w:val="0"/>
        <w:overflowPunct/>
        <w:topLinePunct w:val="0"/>
        <w:bidi w:val="0"/>
        <w:spacing w:line="360" w:lineRule="auto"/>
        <w:ind w:left="25" w:leftChars="12"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ED0D7F0">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single"/>
        </w:rPr>
        <w:t xml:space="preserve">                                                                       </w:t>
      </w:r>
    </w:p>
    <w:p w14:paraId="59C62856">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p>
    <w:p w14:paraId="2F3DF420">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A998792">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p>
    <w:p w14:paraId="18748C8B">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4CCD0C4">
      <w:pPr>
        <w:pStyle w:val="14"/>
        <w:pageBreakBefore w:val="0"/>
        <w:widowControl w:val="0"/>
        <w:kinsoku/>
        <w:wordWrap w:val="0"/>
        <w:overflowPunct/>
        <w:topLinePunct w:val="0"/>
        <w:bidi w:val="0"/>
        <w:spacing w:line="360" w:lineRule="auto"/>
        <w:ind w:left="25" w:leftChars="12" w:firstLine="472" w:firstLineChars="197"/>
        <w:outlineLvl w:val="9"/>
        <w:rPr>
          <w:rFonts w:hint="eastAsia" w:ascii="宋体" w:hAnsi="宋体" w:eastAsia="宋体" w:cs="宋体"/>
          <w:color w:val="auto"/>
          <w:sz w:val="24"/>
          <w:szCs w:val="24"/>
          <w:highlight w:val="none"/>
        </w:rPr>
      </w:pPr>
    </w:p>
    <w:p w14:paraId="789DD623">
      <w:pPr>
        <w:pStyle w:val="14"/>
        <w:pageBreakBefore w:val="0"/>
        <w:widowControl w:val="0"/>
        <w:kinsoku/>
        <w:wordWrap w:val="0"/>
        <w:overflowPunct/>
        <w:topLinePunct w:val="0"/>
        <w:bidi w:val="0"/>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B1BED4E">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0340E590">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0D6D31">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3.投诉书应简要列明质疑事项，质疑函、质疑答复等作为附件材料提供。</w:t>
      </w:r>
    </w:p>
    <w:p w14:paraId="1A98FF27">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4.投诉书的投诉事项应具体、明确，并有必要的事实依据和法律依据。</w:t>
      </w:r>
    </w:p>
    <w:p w14:paraId="14B4E2BF">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bookmarkStart w:id="132" w:name="_Toc21757"/>
      <w:r>
        <w:rPr>
          <w:rFonts w:hint="eastAsia" w:ascii="宋体" w:hAnsi="宋体" w:eastAsia="宋体" w:cs="宋体"/>
          <w:color w:val="auto"/>
          <w:sz w:val="24"/>
          <w:szCs w:val="24"/>
          <w:highlight w:val="none"/>
        </w:rPr>
        <w:t>5.投诉书的投诉请求应与投诉事项相关。</w:t>
      </w:r>
      <w:bookmarkEnd w:id="132"/>
    </w:p>
    <w:p w14:paraId="383B4AD9">
      <w:pPr>
        <w:pStyle w:val="14"/>
        <w:pageBreakBefore w:val="0"/>
        <w:widowControl w:val="0"/>
        <w:kinsoku/>
        <w:wordWrap w:val="0"/>
        <w:overflowPunct/>
        <w:topLinePunct w:val="0"/>
        <w:bidi w:val="0"/>
        <w:spacing w:line="360" w:lineRule="auto"/>
        <w:ind w:left="25" w:leftChars="12"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6.投诉人为法人或者其他组织的，投诉书应由法定代表人、主要负责人，或者其授权代表签字或者盖章，并加盖公章。</w:t>
      </w:r>
    </w:p>
    <w:p w14:paraId="35AA0FE8">
      <w:pPr>
        <w:pageBreakBefore w:val="0"/>
        <w:widowControl w:val="0"/>
        <w:kinsoku/>
        <w:wordWrap w:val="0"/>
        <w:overflowPunct/>
        <w:topLinePunct w:val="0"/>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105D7E">
      <w:pPr>
        <w:pageBreakBefore w:val="0"/>
        <w:widowControl w:val="0"/>
        <w:kinsoku/>
        <w:wordWrap w:val="0"/>
        <w:overflowPunct/>
        <w:topLinePunct w:val="0"/>
        <w:bidi w:val="0"/>
        <w:jc w:val="center"/>
        <w:outlineLvl w:val="0"/>
        <w:rPr>
          <w:rFonts w:hint="eastAsia" w:ascii="宋体" w:hAnsi="宋体" w:eastAsia="宋体" w:cs="宋体"/>
          <w:b/>
          <w:bCs/>
          <w:color w:val="auto"/>
          <w:kern w:val="44"/>
          <w:sz w:val="44"/>
          <w:szCs w:val="44"/>
          <w:highlight w:val="none"/>
        </w:rPr>
      </w:pPr>
      <w:bookmarkStart w:id="133" w:name="_Toc110300606"/>
      <w:bookmarkStart w:id="134" w:name="_Toc18530"/>
      <w:r>
        <w:rPr>
          <w:rFonts w:hint="eastAsia" w:ascii="宋体" w:hAnsi="宋体" w:eastAsia="宋体" w:cs="宋体"/>
          <w:b/>
          <w:bCs/>
          <w:color w:val="auto"/>
          <w:kern w:val="44"/>
          <w:sz w:val="44"/>
          <w:szCs w:val="44"/>
          <w:highlight w:val="none"/>
        </w:rPr>
        <w:t xml:space="preserve">第六章 </w:t>
      </w:r>
      <w:r>
        <w:rPr>
          <w:rFonts w:hint="eastAsia" w:ascii="宋体" w:hAnsi="宋体" w:eastAsia="宋体" w:cs="宋体"/>
          <w:b/>
          <w:bCs/>
          <w:color w:val="auto"/>
          <w:kern w:val="44"/>
          <w:sz w:val="44"/>
          <w:szCs w:val="44"/>
          <w:highlight w:val="none"/>
          <w:lang w:eastAsia="zh-CN"/>
        </w:rPr>
        <w:t>政府采购</w:t>
      </w:r>
      <w:r>
        <w:rPr>
          <w:rFonts w:hint="eastAsia" w:ascii="宋体" w:hAnsi="宋体" w:eastAsia="宋体" w:cs="宋体"/>
          <w:b/>
          <w:bCs/>
          <w:color w:val="auto"/>
          <w:kern w:val="44"/>
          <w:sz w:val="44"/>
          <w:szCs w:val="44"/>
          <w:highlight w:val="none"/>
        </w:rPr>
        <w:t>合同文本</w:t>
      </w:r>
      <w:bookmarkEnd w:id="133"/>
      <w:bookmarkEnd w:id="134"/>
    </w:p>
    <w:p w14:paraId="7A9753D9">
      <w:pPr>
        <w:pageBreakBefore w:val="0"/>
        <w:widowControl w:val="0"/>
        <w:kinsoku/>
        <w:wordWrap w:val="0"/>
        <w:overflowPunct/>
        <w:topLinePunct w:val="0"/>
        <w:bidi w:val="0"/>
        <w:spacing w:line="360" w:lineRule="auto"/>
        <w:ind w:right="800"/>
        <w:rPr>
          <w:rFonts w:hint="eastAsia" w:ascii="宋体" w:hAnsi="宋体" w:eastAsia="宋体" w:cs="宋体"/>
          <w:bCs/>
          <w:color w:val="auto"/>
          <w:szCs w:val="21"/>
          <w:highlight w:val="none"/>
        </w:rPr>
      </w:pPr>
    </w:p>
    <w:p w14:paraId="65D27223">
      <w:pPr>
        <w:pageBreakBefore w:val="0"/>
        <w:widowControl w:val="0"/>
        <w:kinsoku/>
        <w:wordWrap w:val="0"/>
        <w:overflowPunct/>
        <w:topLinePunct w:val="0"/>
        <w:bidi w:val="0"/>
        <w:spacing w:line="400" w:lineRule="exact"/>
        <w:outlineLvl w:val="9"/>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合同编号：</w:t>
      </w:r>
    </w:p>
    <w:p w14:paraId="57D776F2">
      <w:pPr>
        <w:pageBreakBefore w:val="0"/>
        <w:widowControl w:val="0"/>
        <w:kinsoku/>
        <w:wordWrap w:val="0"/>
        <w:overflowPunct/>
        <w:topLinePunct w:val="0"/>
        <w:bidi w:val="0"/>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                                       项目编号：</w:t>
      </w:r>
    </w:p>
    <w:p w14:paraId="0D28DF42">
      <w:pPr>
        <w:pageBreakBefore w:val="0"/>
        <w:widowControl w:val="0"/>
        <w:kinsoku/>
        <w:wordWrap w:val="0"/>
        <w:overflowPunct/>
        <w:topLinePunct w:val="0"/>
        <w:bidi w:val="0"/>
        <w:spacing w:line="400" w:lineRule="exac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                           供应商（乙方）：</w:t>
      </w:r>
    </w:p>
    <w:p w14:paraId="7910A901">
      <w:pPr>
        <w:pageBreakBefore w:val="0"/>
        <w:widowControl w:val="0"/>
        <w:kinsoku/>
        <w:wordWrap w:val="0"/>
        <w:overflowPunct/>
        <w:topLinePunct w:val="0"/>
        <w:bidi w:val="0"/>
        <w:spacing w:line="400" w:lineRule="exac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                                       签订时间：</w:t>
      </w:r>
    </w:p>
    <w:p w14:paraId="21D6FA01">
      <w:pPr>
        <w:pageBreakBefore w:val="0"/>
        <w:widowControl w:val="0"/>
        <w:kinsoku/>
        <w:wordWrap w:val="0"/>
        <w:overflowPunct/>
        <w:topLinePunct w:val="0"/>
        <w:bidi w:val="0"/>
        <w:snapToGrid w:val="0"/>
        <w:spacing w:line="400" w:lineRule="exact"/>
        <w:ind w:firstLine="420"/>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根据《中华人民共和国民法典》、</w:t>
      </w:r>
      <w:r>
        <w:rPr>
          <w:rFonts w:hint="eastAsia" w:ascii="宋体" w:hAnsi="宋体" w:eastAsia="宋体" w:cs="宋体"/>
          <w:color w:val="auto"/>
          <w:szCs w:val="21"/>
          <w:highlight w:val="none"/>
        </w:rPr>
        <w:t>《中华人民共和国政府采购法》</w:t>
      </w:r>
      <w:r>
        <w:rPr>
          <w:rFonts w:hint="eastAsia" w:ascii="宋体" w:hAnsi="宋体" w:eastAsia="宋体" w:cs="宋体"/>
          <w:bCs/>
          <w:color w:val="auto"/>
          <w:szCs w:val="21"/>
          <w:highlight w:val="none"/>
        </w:rPr>
        <w:t>及有关法律、法规规定，按照采购文件规定条款和乙方响应文件及其承诺，甲乙双方签订本合同。</w:t>
      </w:r>
    </w:p>
    <w:p w14:paraId="54143B33">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bookmarkStart w:id="135" w:name="_Toc20385"/>
      <w:r>
        <w:rPr>
          <w:rFonts w:hint="eastAsia" w:ascii="宋体" w:hAnsi="宋体" w:eastAsia="宋体" w:cs="宋体"/>
          <w:b/>
          <w:color w:val="auto"/>
          <w:szCs w:val="21"/>
          <w:highlight w:val="none"/>
        </w:rPr>
        <w:t>第一条 合同标的</w:t>
      </w:r>
      <w:bookmarkEnd w:id="135"/>
    </w:p>
    <w:p w14:paraId="42F955FD">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bookmarkStart w:id="136" w:name="_Toc16524"/>
      <w:r>
        <w:rPr>
          <w:rFonts w:hint="eastAsia" w:ascii="宋体" w:hAnsi="宋体" w:eastAsia="宋体" w:cs="宋体"/>
          <w:color w:val="auto"/>
          <w:szCs w:val="21"/>
          <w:highlight w:val="none"/>
        </w:rPr>
        <w:t>1.供货一览表</w:t>
      </w:r>
      <w:bookmarkEnd w:id="136"/>
    </w:p>
    <w:tbl>
      <w:tblPr>
        <w:tblStyle w:val="2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75"/>
        <w:gridCol w:w="1037"/>
        <w:gridCol w:w="1644"/>
        <w:gridCol w:w="973"/>
        <w:gridCol w:w="974"/>
        <w:gridCol w:w="1154"/>
        <w:gridCol w:w="1246"/>
      </w:tblGrid>
      <w:tr w14:paraId="3E6D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7" w:type="dxa"/>
            <w:vAlign w:val="center"/>
          </w:tcPr>
          <w:p w14:paraId="032DB50D">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475" w:type="dxa"/>
            <w:vAlign w:val="center"/>
          </w:tcPr>
          <w:p w14:paraId="71FB8763">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货物名称</w:t>
            </w:r>
          </w:p>
        </w:tc>
        <w:tc>
          <w:tcPr>
            <w:tcW w:w="1037" w:type="dxa"/>
            <w:vAlign w:val="center"/>
          </w:tcPr>
          <w:p w14:paraId="15E2DD83">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644" w:type="dxa"/>
            <w:vAlign w:val="center"/>
          </w:tcPr>
          <w:p w14:paraId="51A1CAAF">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tc>
        <w:tc>
          <w:tcPr>
            <w:tcW w:w="973" w:type="dxa"/>
            <w:vAlign w:val="center"/>
          </w:tcPr>
          <w:p w14:paraId="1B940B6B">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74" w:type="dxa"/>
            <w:vAlign w:val="center"/>
          </w:tcPr>
          <w:p w14:paraId="51E13D30">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1154" w:type="dxa"/>
            <w:vAlign w:val="center"/>
          </w:tcPr>
          <w:p w14:paraId="64590DD0">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tc>
        <w:tc>
          <w:tcPr>
            <w:tcW w:w="1246" w:type="dxa"/>
            <w:vAlign w:val="center"/>
          </w:tcPr>
          <w:p w14:paraId="32C86096">
            <w:pPr>
              <w:pageBreakBefore w:val="0"/>
              <w:widowControl w:val="0"/>
              <w:kinsoku/>
              <w:wordWrap w:val="0"/>
              <w:overflowPunct/>
              <w:topLinePunct w:val="0"/>
              <w:bidi w:val="0"/>
              <w:spacing w:line="400" w:lineRule="exact"/>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14:paraId="18F0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7" w:type="dxa"/>
            <w:vAlign w:val="center"/>
          </w:tcPr>
          <w:p w14:paraId="72227A22">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75" w:type="dxa"/>
            <w:vAlign w:val="center"/>
          </w:tcPr>
          <w:p w14:paraId="191531C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037" w:type="dxa"/>
            <w:vAlign w:val="center"/>
          </w:tcPr>
          <w:p w14:paraId="69410D2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644" w:type="dxa"/>
            <w:vAlign w:val="center"/>
          </w:tcPr>
          <w:p w14:paraId="2073473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973" w:type="dxa"/>
            <w:vAlign w:val="center"/>
          </w:tcPr>
          <w:p w14:paraId="47A0CFE1">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974" w:type="dxa"/>
          </w:tcPr>
          <w:p w14:paraId="088E7A73">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154" w:type="dxa"/>
            <w:vAlign w:val="center"/>
          </w:tcPr>
          <w:p w14:paraId="19ACF88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246" w:type="dxa"/>
            <w:vAlign w:val="center"/>
          </w:tcPr>
          <w:p w14:paraId="0DD65ED3">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r>
      <w:tr w14:paraId="4B9E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7" w:type="dxa"/>
            <w:vAlign w:val="center"/>
          </w:tcPr>
          <w:p w14:paraId="21D4ED61">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75" w:type="dxa"/>
            <w:vAlign w:val="center"/>
          </w:tcPr>
          <w:p w14:paraId="6667A587">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037" w:type="dxa"/>
            <w:vAlign w:val="center"/>
          </w:tcPr>
          <w:p w14:paraId="63DD3547">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644" w:type="dxa"/>
            <w:vAlign w:val="center"/>
          </w:tcPr>
          <w:p w14:paraId="3B0557FB">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973" w:type="dxa"/>
            <w:vAlign w:val="center"/>
          </w:tcPr>
          <w:p w14:paraId="492C8860">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974" w:type="dxa"/>
          </w:tcPr>
          <w:p w14:paraId="2D5626EF">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154" w:type="dxa"/>
            <w:vAlign w:val="center"/>
          </w:tcPr>
          <w:p w14:paraId="46B69820">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246" w:type="dxa"/>
            <w:vAlign w:val="center"/>
          </w:tcPr>
          <w:p w14:paraId="2CB03B3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r>
      <w:tr w14:paraId="2D3C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37" w:type="dxa"/>
            <w:vAlign w:val="center"/>
          </w:tcPr>
          <w:p w14:paraId="02201B29">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75" w:type="dxa"/>
            <w:vAlign w:val="center"/>
          </w:tcPr>
          <w:p w14:paraId="7767E7B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037" w:type="dxa"/>
            <w:vAlign w:val="center"/>
          </w:tcPr>
          <w:p w14:paraId="61497637">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644" w:type="dxa"/>
            <w:vAlign w:val="center"/>
          </w:tcPr>
          <w:p w14:paraId="42EEC877">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973" w:type="dxa"/>
            <w:vAlign w:val="center"/>
          </w:tcPr>
          <w:p w14:paraId="550EC898">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974" w:type="dxa"/>
          </w:tcPr>
          <w:p w14:paraId="3DABD093">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154" w:type="dxa"/>
            <w:vAlign w:val="center"/>
          </w:tcPr>
          <w:p w14:paraId="23342090">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c>
          <w:tcPr>
            <w:tcW w:w="1246" w:type="dxa"/>
            <w:vAlign w:val="center"/>
          </w:tcPr>
          <w:p w14:paraId="6B4A85D4">
            <w:pPr>
              <w:pageBreakBefore w:val="0"/>
              <w:widowControl w:val="0"/>
              <w:kinsoku/>
              <w:wordWrap w:val="0"/>
              <w:overflowPunct/>
              <w:topLinePunct w:val="0"/>
              <w:bidi w:val="0"/>
              <w:spacing w:line="400" w:lineRule="exact"/>
              <w:jc w:val="center"/>
              <w:outlineLvl w:val="9"/>
              <w:rPr>
                <w:rFonts w:hint="eastAsia" w:ascii="宋体" w:hAnsi="宋体" w:eastAsia="宋体" w:cs="宋体"/>
                <w:color w:val="auto"/>
                <w:szCs w:val="21"/>
                <w:highlight w:val="none"/>
              </w:rPr>
            </w:pPr>
          </w:p>
        </w:tc>
      </w:tr>
      <w:tr w14:paraId="551E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9240" w:type="dxa"/>
            <w:gridSpan w:val="8"/>
            <w:vAlign w:val="center"/>
          </w:tcPr>
          <w:p w14:paraId="2B21BDED">
            <w:pPr>
              <w:pageBreakBefore w:val="0"/>
              <w:widowControl w:val="0"/>
              <w:kinsoku/>
              <w:wordWrap w:val="0"/>
              <w:overflowPunct/>
              <w:topLinePunct w:val="0"/>
              <w:bidi w:val="0"/>
              <w:spacing w:line="400" w:lineRule="exact"/>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tc>
      </w:tr>
    </w:tbl>
    <w:p w14:paraId="6D9192A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合计金额包括货物的所有费用、随配附件、备品备件、包装、运输、装卸、安装（含提供必要的辅材）、调试、附加培训、售后服务、管理、利润、税金、保险、人工、协调以及所有的不定因素的风险等其他所有成本费用的总和。甲方不再支付其他任何费用。</w:t>
      </w:r>
    </w:p>
    <w:p w14:paraId="36E4C522">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color w:val="auto"/>
          <w:szCs w:val="21"/>
          <w:highlight w:val="none"/>
        </w:rPr>
      </w:pPr>
      <w:bookmarkStart w:id="137" w:name="_Toc6410"/>
      <w:r>
        <w:rPr>
          <w:rFonts w:hint="eastAsia" w:ascii="宋体" w:hAnsi="宋体" w:eastAsia="宋体" w:cs="宋体"/>
          <w:b/>
          <w:color w:val="auto"/>
          <w:szCs w:val="21"/>
          <w:highlight w:val="none"/>
        </w:rPr>
        <w:t>第二条 质量保证</w:t>
      </w:r>
      <w:bookmarkEnd w:id="137"/>
    </w:p>
    <w:p w14:paraId="72FD018A">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1.乙方所提供的货物必须与响应文件承诺相一致，有国家强制性标准的，还必须符合国家强制性标准的规定，没有国家强制性标准但有其他强制性标准的，必须符合其他响应服务规范及标准。</w:t>
      </w:r>
    </w:p>
    <w:p w14:paraId="2C3DFA05">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color w:val="auto"/>
          <w:szCs w:val="21"/>
          <w:highlight w:val="none"/>
          <w:u w:val="none"/>
        </w:rPr>
      </w:pPr>
      <w:r>
        <w:rPr>
          <w:rFonts w:hint="eastAsia" w:ascii="宋体" w:hAnsi="宋体" w:eastAsia="宋体" w:cs="宋体"/>
          <w:b/>
          <w:bCs/>
          <w:color w:val="auto"/>
          <w:szCs w:val="21"/>
          <w:highlight w:val="none"/>
        </w:rPr>
        <w:t>2.本项目质量保证期</w:t>
      </w:r>
      <w:r>
        <w:rPr>
          <w:rFonts w:hint="eastAsia" w:ascii="宋体" w:hAnsi="宋体" w:eastAsia="宋体" w:cs="宋体"/>
          <w:color w:val="auto"/>
          <w:szCs w:val="21"/>
          <w:highlight w:val="none"/>
        </w:rPr>
        <w:t>：自验收合格之日起计算质保期不少于一年，质保期内免费保修，提供终身维护和保养服务。</w:t>
      </w:r>
    </w:p>
    <w:p w14:paraId="6DA9A518">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b/>
          <w:bCs/>
          <w:color w:val="auto"/>
          <w:szCs w:val="21"/>
          <w:highlight w:val="none"/>
          <w:lang w:eastAsia="zh-CN"/>
        </w:rPr>
      </w:pPr>
      <w:bookmarkStart w:id="138" w:name="_Toc4166"/>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w:t>
      </w:r>
      <w:r>
        <w:rPr>
          <w:rFonts w:hint="eastAsia" w:hAnsi="宋体"/>
          <w:b/>
          <w:bCs/>
          <w:color w:val="auto"/>
          <w:szCs w:val="21"/>
          <w:highlight w:val="none"/>
        </w:rPr>
        <w:t>备品备件及耗材等要求</w:t>
      </w:r>
      <w:r>
        <w:rPr>
          <w:rFonts w:hint="eastAsia" w:ascii="宋体" w:hAnsi="宋体" w:cs="宋体"/>
          <w:b/>
          <w:bCs/>
          <w:color w:val="auto"/>
          <w:szCs w:val="21"/>
          <w:highlight w:val="none"/>
          <w:lang w:eastAsia="zh-CN"/>
        </w:rPr>
        <w:t>：</w:t>
      </w:r>
      <w:bookmarkEnd w:id="138"/>
    </w:p>
    <w:p w14:paraId="1A6606D9">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b w:val="0"/>
          <w:bCs w:val="0"/>
          <w:color w:val="auto"/>
          <w:szCs w:val="21"/>
          <w:highlight w:val="none"/>
          <w:lang w:eastAsia="zh-CN"/>
        </w:rPr>
      </w:pPr>
      <w:bookmarkStart w:id="139" w:name="_Toc24801"/>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质保期内，发现产品存在制造上的缺陷，乙方应负责采取补救措施，包括维修或免费更换必要配件，若该缺陷导致设备存在安全隐患或不能使用，乙方应负责更换整件产品，乙方应具有足够数量的常用易损件备品备件作为甲方平时应急使用。</w:t>
      </w:r>
    </w:p>
    <w:p w14:paraId="4236715F">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2、竞标产品如包括必备的易损易耗备品备件和专用工具，乙方应提供其清单。</w:t>
      </w:r>
    </w:p>
    <w:p w14:paraId="2D5922BE">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3、常年备有设备配件，能及时处理、更换损坏的零部件。</w:t>
      </w:r>
    </w:p>
    <w:p w14:paraId="42929962">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4、本项目只采购设备，如甲方需采购成交设备配套耗材时，配套耗材需由甲方有效期内管理的定点耗材供应商供货，供货单价不得高于本项目配套耗材的成交单价。</w:t>
      </w:r>
    </w:p>
    <w:p w14:paraId="0487CC41">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5、成交设备配套耗材应保障6年内正常供应。</w:t>
      </w:r>
    </w:p>
    <w:p w14:paraId="6534E84D">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 权力保证</w:t>
      </w:r>
      <w:bookmarkEnd w:id="139"/>
    </w:p>
    <w:p w14:paraId="0D7FD56F">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35794CA7">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highlight w:val="none"/>
        </w:rPr>
      </w:pPr>
      <w:bookmarkStart w:id="140" w:name="_Toc2282"/>
      <w:r>
        <w:rPr>
          <w:rFonts w:hint="eastAsia" w:ascii="宋体" w:hAnsi="宋体" w:eastAsia="宋体" w:cs="宋体"/>
          <w:color w:val="auto"/>
          <w:szCs w:val="21"/>
          <w:highlight w:val="none"/>
        </w:rPr>
        <w:t>2.乙方应按采购文件的规定向甲方提供使用货物的有关技术资料。</w:t>
      </w:r>
      <w:bookmarkEnd w:id="140"/>
    </w:p>
    <w:p w14:paraId="185F83EF">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4791DA">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4.乙方保证所交付的货物的所有权完全属于乙方且无任何抵押、质押、查封等产权瑕疵。</w:t>
      </w:r>
    </w:p>
    <w:p w14:paraId="6A52CF15">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bookmarkStart w:id="141" w:name="_Toc24646"/>
      <w:r>
        <w:rPr>
          <w:rFonts w:hint="eastAsia" w:ascii="宋体" w:hAnsi="宋体" w:eastAsia="宋体" w:cs="宋体"/>
          <w:color w:val="auto"/>
          <w:szCs w:val="21"/>
          <w:highlight w:val="none"/>
        </w:rPr>
        <w:t>5.甲乙双方应按照采购文件、响应文件、合同条款履行本合同。</w:t>
      </w:r>
      <w:bookmarkEnd w:id="141"/>
    </w:p>
    <w:p w14:paraId="5013DC83">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6.乙方应按响应文件的承诺和本合同的规定向甲方提供相应的货物，并提供货物的相关资料。</w:t>
      </w:r>
    </w:p>
    <w:p w14:paraId="572DDE90">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bookmarkStart w:id="142" w:name="_Toc23417"/>
      <w:r>
        <w:rPr>
          <w:rFonts w:hint="eastAsia" w:ascii="宋体" w:hAnsi="宋体" w:eastAsia="宋体" w:cs="宋体"/>
          <w:b/>
          <w:color w:val="auto"/>
          <w:szCs w:val="21"/>
          <w:highlight w:val="none"/>
        </w:rPr>
        <w:t>第四条 交货时间和地点</w:t>
      </w:r>
      <w:bookmarkEnd w:id="142"/>
    </w:p>
    <w:p w14:paraId="0B712A8A">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1.交货时间：</w:t>
      </w:r>
      <w:r>
        <w:rPr>
          <w:rFonts w:hint="eastAsia" w:ascii="宋体" w:hAnsi="宋体" w:eastAsia="宋体" w:cs="宋体"/>
          <w:color w:val="auto"/>
          <w:szCs w:val="21"/>
          <w:highlight w:val="none"/>
          <w:u w:val="single"/>
        </w:rPr>
        <w:t>自合同签订之日起30日内安装调试完毕并验收合格。</w:t>
      </w:r>
    </w:p>
    <w:p w14:paraId="5FFC7CE2">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bookmarkStart w:id="143" w:name="_Toc22267"/>
      <w:r>
        <w:rPr>
          <w:rFonts w:hint="eastAsia" w:ascii="宋体" w:hAnsi="宋体" w:eastAsia="宋体" w:cs="宋体"/>
          <w:color w:val="auto"/>
          <w:szCs w:val="21"/>
          <w:highlight w:val="none"/>
        </w:rPr>
        <w:t>2.交货地点：</w:t>
      </w:r>
      <w:r>
        <w:rPr>
          <w:rFonts w:hint="eastAsia" w:ascii="宋体" w:hAnsi="宋体" w:eastAsia="宋体" w:cs="宋体"/>
          <w:color w:val="auto"/>
          <w:szCs w:val="21"/>
          <w:highlight w:val="none"/>
          <w:u w:val="single"/>
        </w:rPr>
        <w:t>柳州市内</w:t>
      </w:r>
      <w:r>
        <w:rPr>
          <w:rFonts w:hint="eastAsia" w:ascii="宋体" w:hAnsi="宋体" w:cs="宋体"/>
          <w:color w:val="auto"/>
          <w:szCs w:val="21"/>
          <w:highlight w:val="none"/>
          <w:u w:val="single"/>
          <w:lang w:eastAsia="zh-CN"/>
        </w:rPr>
        <w:t>甲方</w:t>
      </w:r>
      <w:r>
        <w:rPr>
          <w:rFonts w:hint="eastAsia" w:ascii="宋体" w:hAnsi="宋体" w:eastAsia="宋体" w:cs="宋体"/>
          <w:color w:val="auto"/>
          <w:szCs w:val="21"/>
          <w:highlight w:val="none"/>
          <w:u w:val="single"/>
        </w:rPr>
        <w:t>指定地点。</w:t>
      </w:r>
      <w:bookmarkEnd w:id="143"/>
    </w:p>
    <w:p w14:paraId="71CDD531">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bookmarkStart w:id="144" w:name="_Toc2648"/>
      <w:r>
        <w:rPr>
          <w:rFonts w:hint="eastAsia" w:ascii="宋体" w:hAnsi="宋体" w:eastAsia="宋体" w:cs="宋体"/>
          <w:b/>
          <w:color w:val="auto"/>
          <w:szCs w:val="21"/>
          <w:highlight w:val="none"/>
        </w:rPr>
        <w:t>第五条 验收标准</w:t>
      </w:r>
      <w:bookmarkEnd w:id="144"/>
    </w:p>
    <w:p w14:paraId="68D02B54">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2"/>
          <w:sz w:val="21"/>
          <w:szCs w:val="21"/>
          <w:highlight w:val="none"/>
        </w:rPr>
      </w:pPr>
      <w:bookmarkStart w:id="145" w:name="_Toc30470"/>
      <w:r>
        <w:rPr>
          <w:rFonts w:hint="eastAsia" w:ascii="宋体" w:hAnsi="宋体" w:eastAsia="宋体" w:cs="宋体"/>
          <w:color w:val="auto"/>
          <w:kern w:val="2"/>
          <w:sz w:val="21"/>
          <w:szCs w:val="21"/>
          <w:highlight w:val="none"/>
        </w:rPr>
        <w:t>1、在设备安装调试过程中，</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应免费派专业技术人员到交货安装现场进行技术指导及相关技术服务，向</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交相关试验数据、报告及</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要求提供的相关技术文件，直至达到验收要求。</w:t>
      </w:r>
    </w:p>
    <w:p w14:paraId="7E70EE59">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2、本项目全部安装调试完毕后，</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应当在项目完成且收到</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验收申请后15个工作日内组织开展履约验收，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根据《广西壮族自治区政府采购项目履约验收管理办法》的规定，由</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及</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双方共同进行验收，</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可委托采购代理机构、国家认可的质量检测机构开展采购项目履约验收工作，验收费用由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承担；对不符合要求的产品，</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有权拒绝验收，由此产生的一切后果，均由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承担。由此造成的不能按时、按质、按量完成项目要求的，将按照政府采购相关法规、合同相关条款进行处理。</w:t>
      </w:r>
    </w:p>
    <w:p w14:paraId="2C0A07A4">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售后服务</w:t>
      </w:r>
      <w:bookmarkEnd w:id="145"/>
    </w:p>
    <w:p w14:paraId="637F3439">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bookmarkStart w:id="146" w:name="_Toc29530"/>
      <w:r>
        <w:rPr>
          <w:rFonts w:hint="eastAsia" w:ascii="宋体" w:hAnsi="宋体" w:eastAsia="宋体" w:cs="宋体"/>
          <w:color w:val="auto"/>
          <w:szCs w:val="21"/>
          <w:highlight w:val="none"/>
        </w:rPr>
        <w:t>1、售后服务：（1）按国家有关规定实行产品“三包”；（2）免费送货上门；（3）接到故障通知后﹤2小时内响应，24小时内派技术人员到达现场，48小时内解决问题，以保证系统正常运行，并承担一切相关费用；（4）定期回访以及维修；（5）质保期内所有设备免费上门维修服务、免费更换零部件，免费提供应用软件升级；（6）其余按厂家承诺进行。</w:t>
      </w:r>
    </w:p>
    <w:p w14:paraId="5BEBAC71">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2、免费培训：提供整套纸质、电子版技术文件资料，使用说明，操作卡，</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负责免费培训使用人员和维护人员，内容包括设备及软件系统操作、日常维护，确保熟练掌握全部功能为止。</w:t>
      </w:r>
    </w:p>
    <w:p w14:paraId="43061B92">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3、免费安装调试：</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负责本项目所有货物的安装、调试及项目整体测试、联调和开通，并在试运行结束后由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整理验收材料提交</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验收。</w:t>
      </w:r>
    </w:p>
    <w:p w14:paraId="3F067006">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4、技术支持与服务：提供每周7×24小时技术响应服务，有专职维修工程师负责上门安装、维护及维修，提供相关设备的维修工程师姓名及电话号码。质保期内设备发生故障，维修或更换配件所需的全部费用由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承担；维修完毕后工程师及时填写维修报告，维修报告包括故障原因、处理情况及用户意见，维修报告由双方各持一份备案。</w:t>
      </w:r>
    </w:p>
    <w:p w14:paraId="0DAC9F5B">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必须在设备验收合格交付使用前提供所有供应设备的电子版本说明书。</w:t>
      </w:r>
    </w:p>
    <w:p w14:paraId="32DC6FD0">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第七条 付款方式</w:t>
      </w:r>
      <w:bookmarkEnd w:id="146"/>
    </w:p>
    <w:p w14:paraId="4DC5F759">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合同中所有货物到齐经甲方签收后，乙方须开具合同价款全额发票给甲方，否则甲方不予支付货款；全部货物安装调试完毕验收合格交付甲方后60日内支付合同金额的50%；验收合格6个月后60日内支付合同金额的45%；验收合格一年后60日内支付合同金额的5%（不计利息）。</w:t>
      </w:r>
    </w:p>
    <w:p w14:paraId="23E5C800">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2"/>
          <w:sz w:val="21"/>
          <w:szCs w:val="21"/>
          <w:highlight w:val="none"/>
          <w:lang w:val="en-US" w:eastAsia="zh-CN" w:bidi="ar-SA"/>
        </w:rPr>
      </w:pPr>
      <w:bookmarkStart w:id="147" w:name="_Toc29492"/>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本合同使用货币币制如未作特别说明均为人民币。</w:t>
      </w:r>
      <w:bookmarkEnd w:id="147"/>
    </w:p>
    <w:p w14:paraId="6419BECA">
      <w:pPr>
        <w:pageBreakBefore w:val="0"/>
        <w:widowControl w:val="0"/>
        <w:kinsoku/>
        <w:wordWrap w:val="0"/>
        <w:overflowPunct/>
        <w:topLinePunct w:val="0"/>
        <w:bidi w:val="0"/>
        <w:snapToGrid w:val="0"/>
        <w:spacing w:line="400" w:lineRule="exact"/>
        <w:ind w:firstLine="420" w:firstLineChars="200"/>
        <w:outlineLvl w:val="9"/>
        <w:rPr>
          <w:rFonts w:ascii="宋体" w:hAnsi="宋体" w:cs="宋体"/>
          <w:b/>
          <w:szCs w:val="21"/>
        </w:rPr>
      </w:pPr>
      <w:bookmarkStart w:id="148" w:name="_Toc8534"/>
      <w:r>
        <w:rPr>
          <w:rFonts w:hint="eastAsia" w:ascii="宋体" w:hAnsi="宋体" w:cs="宋体"/>
          <w:b/>
          <w:szCs w:val="21"/>
        </w:rPr>
        <w:t>第</w:t>
      </w:r>
      <w:r>
        <w:rPr>
          <w:rFonts w:hint="eastAsia" w:ascii="宋体" w:hAnsi="宋体" w:eastAsia="宋体" w:cs="宋体"/>
          <w:b/>
          <w:szCs w:val="21"/>
          <w:lang w:eastAsia="zh-CN"/>
        </w:rPr>
        <w:t>八</w:t>
      </w:r>
      <w:r>
        <w:rPr>
          <w:rFonts w:hint="eastAsia" w:ascii="宋体" w:hAnsi="宋体" w:cs="宋体"/>
          <w:b/>
          <w:szCs w:val="21"/>
        </w:rPr>
        <w:t>条 履约保证金</w:t>
      </w:r>
    </w:p>
    <w:p w14:paraId="393A7024">
      <w:pPr>
        <w:pStyle w:val="7"/>
        <w:pageBreakBefore w:val="0"/>
        <w:widowControl w:val="0"/>
        <w:kinsoku/>
        <w:wordWrap w:val="0"/>
        <w:overflowPunct/>
        <w:topLinePunct w:val="0"/>
        <w:bidi w:val="0"/>
        <w:spacing w:line="400" w:lineRule="exact"/>
        <w:ind w:firstLine="420" w:firstLineChars="200"/>
        <w:outlineLvl w:val="9"/>
        <w:rPr>
          <w:rFonts w:ascii="宋体" w:hAnsi="宋体" w:cs="宋体"/>
          <w:szCs w:val="21"/>
          <w:u w:val="single"/>
        </w:rPr>
      </w:pPr>
      <w:r>
        <w:rPr>
          <w:rFonts w:hint="eastAsia" w:ascii="宋体" w:hAnsi="宋体" w:cs="宋体"/>
          <w:szCs w:val="21"/>
        </w:rPr>
        <w:t>1.履约保证金金额：</w:t>
      </w:r>
      <w:r>
        <w:rPr>
          <w:rFonts w:hint="eastAsia" w:ascii="宋体" w:hAnsi="宋体" w:cs="宋体"/>
          <w:szCs w:val="21"/>
          <w:u w:val="single"/>
        </w:rPr>
        <w:t>按成交金额的5%，若成交乙方是中小企业，则履约保证金按合同价款的2%收取，履约保证金在签订合同前5日内支付。</w:t>
      </w:r>
    </w:p>
    <w:p w14:paraId="2E44D396">
      <w:pPr>
        <w:pStyle w:val="7"/>
        <w:pageBreakBefore w:val="0"/>
        <w:widowControl w:val="0"/>
        <w:kinsoku/>
        <w:wordWrap w:val="0"/>
        <w:overflowPunct/>
        <w:topLinePunct w:val="0"/>
        <w:bidi w:val="0"/>
        <w:spacing w:line="400" w:lineRule="exact"/>
        <w:ind w:firstLine="420" w:firstLineChars="200"/>
        <w:outlineLvl w:val="9"/>
        <w:rPr>
          <w:rFonts w:ascii="宋体" w:hAnsi="宋体" w:cs="宋体"/>
          <w:szCs w:val="21"/>
        </w:rPr>
      </w:pPr>
      <w:r>
        <w:rPr>
          <w:rFonts w:hint="eastAsia" w:ascii="宋体" w:hAnsi="宋体" w:cs="宋体"/>
          <w:szCs w:val="21"/>
        </w:rPr>
        <w:t>2.履约保证金提交方式：</w:t>
      </w:r>
      <w:r>
        <w:rPr>
          <w:rFonts w:hint="eastAsia" w:ascii="宋体" w:hAnsi="宋体" w:cs="宋体"/>
          <w:szCs w:val="21"/>
          <w:u w:val="single"/>
        </w:rPr>
        <w:t>银行转账、支票、汇票、本票或者金融、担保机构出具的保函等非现金方式</w:t>
      </w:r>
      <w:r>
        <w:rPr>
          <w:rFonts w:hint="eastAsia" w:ascii="宋体" w:hAnsi="宋体" w:cs="宋体"/>
          <w:szCs w:val="21"/>
        </w:rPr>
        <w:t>。</w:t>
      </w:r>
    </w:p>
    <w:p w14:paraId="3EB23D69">
      <w:pPr>
        <w:pageBreakBefore w:val="0"/>
        <w:widowControl w:val="0"/>
        <w:kinsoku/>
        <w:wordWrap w:val="0"/>
        <w:overflowPunct/>
        <w:topLinePunct w:val="0"/>
        <w:bidi w:val="0"/>
        <w:spacing w:line="400" w:lineRule="exact"/>
        <w:ind w:firstLine="420" w:firstLineChars="200"/>
        <w:contextualSpacing/>
        <w:outlineLvl w:val="9"/>
        <w:rPr>
          <w:rFonts w:ascii="宋体" w:hAnsi="宋体" w:cs="宋体"/>
          <w:szCs w:val="21"/>
        </w:rPr>
      </w:pPr>
      <w:r>
        <w:rPr>
          <w:rFonts w:hint="eastAsia" w:ascii="宋体" w:hAnsi="宋体" w:cs="宋体"/>
          <w:szCs w:val="21"/>
        </w:rPr>
        <w:t>3.履约保证金提交要求：</w:t>
      </w:r>
    </w:p>
    <w:p w14:paraId="0A3DD815">
      <w:pPr>
        <w:pageBreakBefore w:val="0"/>
        <w:widowControl w:val="0"/>
        <w:kinsoku/>
        <w:wordWrap w:val="0"/>
        <w:overflowPunct/>
        <w:topLinePunct w:val="0"/>
        <w:bidi w:val="0"/>
        <w:spacing w:line="400" w:lineRule="exact"/>
        <w:ind w:firstLine="420" w:firstLineChars="200"/>
        <w:contextualSpacing/>
        <w:outlineLvl w:val="9"/>
        <w:rPr>
          <w:rFonts w:ascii="宋体" w:hAnsi="宋体" w:cs="宋体"/>
          <w:szCs w:val="21"/>
        </w:rPr>
      </w:pPr>
      <w:r>
        <w:rPr>
          <w:rFonts w:hint="eastAsia" w:ascii="宋体" w:hAnsi="宋体" w:cs="宋体"/>
          <w:szCs w:val="21"/>
        </w:rPr>
        <w:t>（1）</w:t>
      </w:r>
      <w:r>
        <w:rPr>
          <w:rFonts w:hint="eastAsia" w:ascii="宋体" w:hAnsi="宋体"/>
          <w:szCs w:val="21"/>
        </w:rPr>
        <w:t>履约保证金采用银行转账方式的，履约保证金</w:t>
      </w:r>
      <w:r>
        <w:rPr>
          <w:rFonts w:hint="eastAsia" w:ascii="宋体" w:hAnsi="宋体" w:cs="宋体"/>
          <w:szCs w:val="21"/>
        </w:rPr>
        <w:t>指定账户：</w:t>
      </w:r>
    </w:p>
    <w:p w14:paraId="0C9703C5">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szCs w:val="21"/>
          <w:highlight w:val="none"/>
          <w:lang w:eastAsia="zh-CN"/>
        </w:rPr>
      </w:pPr>
      <w:r>
        <w:rPr>
          <w:rFonts w:hint="eastAsia" w:ascii="宋体" w:hAnsi="宋体" w:cs="宋体"/>
          <w:szCs w:val="21"/>
          <w:highlight w:val="none"/>
        </w:rPr>
        <w:t>开户名称：</w:t>
      </w:r>
      <w:r>
        <w:rPr>
          <w:rFonts w:hint="eastAsia" w:ascii="宋体" w:hAnsi="宋体" w:eastAsia="宋体" w:cs="宋体"/>
          <w:szCs w:val="21"/>
          <w:highlight w:val="none"/>
          <w:u w:val="single"/>
          <w:lang w:val="en-US" w:eastAsia="zh-CN"/>
        </w:rPr>
        <w:t xml:space="preserve"> 广西科技大学第一附属医院</w:t>
      </w:r>
    </w:p>
    <w:p w14:paraId="321319A6">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szCs w:val="21"/>
          <w:highlight w:val="none"/>
          <w:lang w:eastAsia="zh-CN"/>
        </w:rPr>
      </w:pPr>
      <w:r>
        <w:rPr>
          <w:rFonts w:hint="eastAsia" w:ascii="宋体" w:hAnsi="宋体" w:cs="宋体"/>
          <w:szCs w:val="21"/>
          <w:highlight w:val="none"/>
        </w:rPr>
        <w:t>银行账号：</w:t>
      </w:r>
      <w:r>
        <w:rPr>
          <w:rFonts w:hint="eastAsia" w:ascii="宋体" w:hAnsi="宋体" w:eastAsia="宋体" w:cs="宋体"/>
          <w:szCs w:val="21"/>
          <w:highlight w:val="none"/>
          <w:u w:val="single"/>
          <w:lang w:val="en-US" w:eastAsia="zh-CN"/>
        </w:rPr>
        <w:t xml:space="preserve"> 45050162515300000722</w:t>
      </w:r>
    </w:p>
    <w:p w14:paraId="04DD0E8C">
      <w:pPr>
        <w:pageBreakBefore w:val="0"/>
        <w:widowControl w:val="0"/>
        <w:kinsoku/>
        <w:wordWrap w:val="0"/>
        <w:overflowPunct/>
        <w:topLinePunct w:val="0"/>
        <w:bidi w:val="0"/>
        <w:spacing w:line="400" w:lineRule="exact"/>
        <w:ind w:firstLine="420" w:firstLineChars="200"/>
        <w:outlineLvl w:val="9"/>
        <w:rPr>
          <w:rFonts w:hint="eastAsia" w:ascii="宋体" w:hAnsi="宋体" w:eastAsia="宋体" w:cs="宋体"/>
          <w:szCs w:val="21"/>
          <w:highlight w:val="none"/>
          <w:lang w:eastAsia="zh-CN"/>
        </w:rPr>
      </w:pPr>
      <w:r>
        <w:rPr>
          <w:rFonts w:hint="eastAsia" w:ascii="宋体" w:hAnsi="宋体" w:cs="宋体"/>
          <w:szCs w:val="21"/>
          <w:highlight w:val="none"/>
        </w:rPr>
        <w:t>开户银行：</w:t>
      </w:r>
      <w:r>
        <w:rPr>
          <w:rFonts w:hint="eastAsia" w:ascii="宋体" w:hAnsi="宋体" w:eastAsia="宋体" w:cs="宋体"/>
          <w:szCs w:val="21"/>
          <w:highlight w:val="none"/>
          <w:u w:val="single"/>
          <w:lang w:val="en-US" w:eastAsia="zh-CN"/>
        </w:rPr>
        <w:t xml:space="preserve"> 建行柳州市柳北支行</w:t>
      </w:r>
    </w:p>
    <w:p w14:paraId="40FC7EE3">
      <w:pPr>
        <w:pageBreakBefore w:val="0"/>
        <w:widowControl w:val="0"/>
        <w:kinsoku/>
        <w:wordWrap w:val="0"/>
        <w:overflowPunct/>
        <w:topLinePunct w:val="0"/>
        <w:bidi w:val="0"/>
        <w:spacing w:line="400" w:lineRule="exact"/>
        <w:ind w:firstLine="420" w:firstLineChars="200"/>
        <w:outlineLvl w:val="9"/>
        <w:rPr>
          <w:rFonts w:ascii="宋体" w:hAnsi="宋体" w:cs="宋体"/>
          <w:szCs w:val="21"/>
        </w:rPr>
      </w:pPr>
      <w:r>
        <w:rPr>
          <w:rFonts w:hint="eastAsia" w:ascii="宋体" w:hAnsi="宋体" w:cs="宋体"/>
          <w:szCs w:val="21"/>
        </w:rPr>
        <w:t>转帐时注明：</w:t>
      </w:r>
      <w:r>
        <w:rPr>
          <w:rFonts w:hint="eastAsia" w:ascii="宋体" w:hAnsi="宋体" w:cs="宋体"/>
          <w:szCs w:val="21"/>
          <w:u w:val="single"/>
        </w:rPr>
        <w:t>履约保证金+项目编号</w:t>
      </w:r>
    </w:p>
    <w:p w14:paraId="65E27B64">
      <w:pPr>
        <w:pageBreakBefore w:val="0"/>
        <w:widowControl w:val="0"/>
        <w:kinsoku/>
        <w:wordWrap w:val="0"/>
        <w:overflowPunct/>
        <w:topLinePunct w:val="0"/>
        <w:bidi w:val="0"/>
        <w:spacing w:line="400" w:lineRule="exact"/>
        <w:ind w:firstLine="420" w:firstLineChars="200"/>
        <w:contextualSpacing/>
        <w:outlineLvl w:val="9"/>
        <w:rPr>
          <w:rFonts w:ascii="宋体" w:hAnsi="宋体" w:cs="宋体"/>
          <w:szCs w:val="21"/>
        </w:rPr>
      </w:pPr>
      <w:r>
        <w:rPr>
          <w:rFonts w:hint="eastAsia" w:ascii="宋体" w:hAnsi="宋体" w:cs="宋体"/>
          <w:szCs w:val="21"/>
        </w:rPr>
        <w:t>（2）</w:t>
      </w:r>
      <w:r>
        <w:rPr>
          <w:rFonts w:hint="eastAsia" w:ascii="宋体" w:hAnsi="宋体"/>
          <w:szCs w:val="21"/>
        </w:rPr>
        <w:t>履约保证金采用支票、汇票或本票交纳方式的，乙方向甲方提交支票、汇票或本票原件。履约保证金采用金融、担保机构出具的保函交纳方式的，乙方向甲方提交保函原件。</w:t>
      </w:r>
    </w:p>
    <w:p w14:paraId="4CB0C92D">
      <w:pPr>
        <w:pageBreakBefore w:val="0"/>
        <w:widowControl w:val="0"/>
        <w:kinsoku/>
        <w:wordWrap w:val="0"/>
        <w:overflowPunct/>
        <w:topLinePunct w:val="0"/>
        <w:bidi w:val="0"/>
        <w:spacing w:line="400" w:lineRule="exact"/>
        <w:ind w:firstLine="420" w:firstLineChars="200"/>
        <w:contextualSpacing/>
        <w:outlineLvl w:val="9"/>
        <w:rPr>
          <w:rFonts w:ascii="宋体" w:hAnsi="宋体" w:cs="宋体"/>
          <w:szCs w:val="21"/>
          <w:u w:val="single"/>
        </w:rPr>
      </w:pPr>
      <w:r>
        <w:rPr>
          <w:rFonts w:hint="eastAsia" w:ascii="宋体" w:hAnsi="宋体" w:cs="宋体"/>
          <w:szCs w:val="21"/>
        </w:rPr>
        <w:t>4.履约保证金退付方式、时间及条件：</w:t>
      </w:r>
      <w:r>
        <w:rPr>
          <w:rFonts w:hint="eastAsia" w:ascii="宋体" w:hAnsi="宋体" w:cs="宋体"/>
          <w:szCs w:val="21"/>
          <w:u w:val="single"/>
        </w:rPr>
        <w:t>自货物验收合格之日起至质保期满无质量问题，甲方收到乙方退付履约保证金申请后15个工作日内退还（无息）</w:t>
      </w:r>
      <w:r>
        <w:rPr>
          <w:rFonts w:hint="eastAsia" w:ascii="宋体" w:hAnsi="宋体" w:cs="宋体"/>
          <w:szCs w:val="21"/>
        </w:rPr>
        <w:t>。</w:t>
      </w:r>
    </w:p>
    <w:p w14:paraId="05FEF295">
      <w:pPr>
        <w:pageBreakBefore w:val="0"/>
        <w:widowControl w:val="0"/>
        <w:kinsoku/>
        <w:wordWrap w:val="0"/>
        <w:overflowPunct/>
        <w:topLinePunct w:val="0"/>
        <w:bidi w:val="0"/>
        <w:spacing w:line="400" w:lineRule="exact"/>
        <w:ind w:firstLine="420" w:firstLineChars="200"/>
        <w:outlineLvl w:val="9"/>
        <w:rPr>
          <w:rFonts w:ascii="宋体" w:hAnsi="宋体" w:cs="宋体"/>
          <w:szCs w:val="21"/>
        </w:rPr>
      </w:pPr>
      <w:r>
        <w:rPr>
          <w:rFonts w:hint="eastAsia" w:ascii="宋体" w:hAnsi="宋体" w:cs="宋体"/>
          <w:szCs w:val="21"/>
        </w:rPr>
        <w:t>5.下列情况因履约保证金不能退还或另行处理，所产生的后果由成交乙方负责：</w:t>
      </w:r>
    </w:p>
    <w:p w14:paraId="36337923">
      <w:pPr>
        <w:pageBreakBefore w:val="0"/>
        <w:widowControl w:val="0"/>
        <w:kinsoku/>
        <w:wordWrap w:val="0"/>
        <w:overflowPunct/>
        <w:topLinePunct w:val="0"/>
        <w:bidi w:val="0"/>
        <w:spacing w:line="400" w:lineRule="exact"/>
        <w:ind w:firstLine="420" w:firstLineChars="200"/>
        <w:outlineLvl w:val="9"/>
        <w:rPr>
          <w:rFonts w:ascii="宋体" w:hAnsi="宋体" w:cs="宋体"/>
          <w:szCs w:val="21"/>
        </w:rPr>
      </w:pPr>
      <w:r>
        <w:rPr>
          <w:rFonts w:hint="eastAsia" w:ascii="宋体" w:hAnsi="宋体" w:cs="宋体"/>
          <w:szCs w:val="21"/>
        </w:rPr>
        <w:t>（1）履行合同约定权利义务期间，乙方不按合同履行质量保证义务的，甲方有权对采购标的进行更换、维修维保，所需费用从乙方提交的履约保证金中扣除，乙方不足以抵扣更换、维修维保费用的，不足部分由乙方承担。同时，甲方保留起诉成交乙方的权利。</w:t>
      </w:r>
    </w:p>
    <w:p w14:paraId="79096EDD">
      <w:pPr>
        <w:pageBreakBefore w:val="0"/>
        <w:widowControl w:val="0"/>
        <w:kinsoku/>
        <w:wordWrap w:val="0"/>
        <w:overflowPunct/>
        <w:topLinePunct w:val="0"/>
        <w:bidi w:val="0"/>
        <w:spacing w:line="400" w:lineRule="exact"/>
        <w:ind w:firstLine="420" w:firstLineChars="200"/>
        <w:outlineLvl w:val="9"/>
        <w:rPr>
          <w:rFonts w:ascii="宋体" w:hAnsi="宋体" w:cs="宋体"/>
          <w:szCs w:val="21"/>
        </w:rPr>
      </w:pPr>
      <w:r>
        <w:rPr>
          <w:rFonts w:hint="eastAsia" w:ascii="宋体" w:hAnsi="宋体" w:cs="宋体"/>
          <w:szCs w:val="21"/>
        </w:rPr>
        <w:t>（2）乙方未履行完合同约定权利义务事项前，乙方变更单位名称、联系方式等不及时告知甲方并提供相关变更材料，造成甲方无法通知乙方的，视乙方自动放弃领回履约保证金权利，甲方有权对履约保证金进行另外处置。</w:t>
      </w:r>
    </w:p>
    <w:p w14:paraId="580548A7">
      <w:pPr>
        <w:pageBreakBefore w:val="0"/>
        <w:widowControl w:val="0"/>
        <w:kinsoku/>
        <w:wordWrap w:val="0"/>
        <w:overflowPunct/>
        <w:topLinePunct w:val="0"/>
        <w:bidi w:val="0"/>
        <w:spacing w:line="400" w:lineRule="exact"/>
        <w:ind w:firstLine="420" w:firstLineChars="200"/>
        <w:contextualSpacing/>
        <w:outlineLvl w:val="9"/>
        <w:rPr>
          <w:rFonts w:ascii="宋体" w:hAnsi="宋体" w:cs="宋体"/>
          <w:szCs w:val="21"/>
        </w:rPr>
      </w:pPr>
      <w:r>
        <w:rPr>
          <w:rFonts w:hint="eastAsia" w:ascii="宋体" w:hAnsi="宋体" w:cs="宋体"/>
          <w:szCs w:val="21"/>
        </w:rPr>
        <w:t>（3）其他因乙方原因导致履约保证金无法按时退回的情形。</w:t>
      </w:r>
    </w:p>
    <w:p w14:paraId="2D52F784">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eastAsia="zh-CN"/>
        </w:rPr>
        <w:t>九</w:t>
      </w:r>
      <w:r>
        <w:rPr>
          <w:rFonts w:hint="eastAsia" w:ascii="宋体" w:hAnsi="宋体" w:eastAsia="宋体" w:cs="宋体"/>
          <w:b/>
          <w:color w:val="auto"/>
          <w:szCs w:val="21"/>
          <w:highlight w:val="none"/>
        </w:rPr>
        <w:t>条 税费</w:t>
      </w:r>
      <w:bookmarkEnd w:id="148"/>
    </w:p>
    <w:p w14:paraId="74DF90BB">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5F2417EE">
      <w:pPr>
        <w:pageBreakBefore w:val="0"/>
        <w:widowControl w:val="0"/>
        <w:kinsoku/>
        <w:wordWrap w:val="0"/>
        <w:overflowPunct/>
        <w:topLinePunct w:val="0"/>
        <w:bidi w:val="0"/>
        <w:spacing w:line="400" w:lineRule="exact"/>
        <w:ind w:firstLine="420" w:firstLineChars="200"/>
        <w:outlineLvl w:val="9"/>
      </w:pPr>
      <w:bookmarkStart w:id="149" w:name="_Toc10576"/>
      <w:r>
        <w:rPr>
          <w:rFonts w:hint="eastAsia" w:ascii="宋体" w:hAnsi="宋体" w:cs="宋体"/>
          <w:b/>
          <w:szCs w:val="21"/>
        </w:rPr>
        <w:t>第十条 调试和验收</w:t>
      </w:r>
    </w:p>
    <w:p w14:paraId="6F793373">
      <w:pPr>
        <w:pageBreakBefore w:val="0"/>
        <w:widowControl w:val="0"/>
        <w:kinsoku/>
        <w:wordWrap w:val="0"/>
        <w:overflowPunct/>
        <w:topLinePunct w:val="0"/>
        <w:bidi w:val="0"/>
        <w:snapToGrid w:val="0"/>
        <w:spacing w:line="400" w:lineRule="exact"/>
        <w:ind w:firstLine="420" w:firstLineChars="200"/>
        <w:outlineLvl w:val="9"/>
        <w:rPr>
          <w:rFonts w:ascii="宋体" w:hAnsi="宋体" w:cs="宋体"/>
          <w:bCs/>
          <w:kern w:val="0"/>
          <w:szCs w:val="21"/>
        </w:rPr>
      </w:pPr>
      <w:r>
        <w:rPr>
          <w:rFonts w:hint="eastAsia" w:ascii="宋体" w:hAnsi="宋体" w:cs="宋体"/>
          <w:bCs/>
          <w:kern w:val="0"/>
          <w:szCs w:val="21"/>
        </w:rPr>
        <w:t xml:space="preserve">1.甲方对乙方提交的货物依据采购文件上的技术规格要求和国家有关质量标准进行现场初步验收，外观、说明书符合采购文件技术要求的，给予签收，初步验收不合格的不予签收。货到后，甲方应当在到货（安装、调试完）后 7 个工作日内进行验收。 </w:t>
      </w:r>
    </w:p>
    <w:p w14:paraId="5986C66B">
      <w:pPr>
        <w:pageBreakBefore w:val="0"/>
        <w:widowControl w:val="0"/>
        <w:kinsoku/>
        <w:wordWrap w:val="0"/>
        <w:overflowPunct/>
        <w:topLinePunct w:val="0"/>
        <w:bidi w:val="0"/>
        <w:snapToGrid w:val="0"/>
        <w:spacing w:line="400" w:lineRule="exact"/>
        <w:ind w:firstLine="420" w:firstLineChars="200"/>
        <w:outlineLvl w:val="9"/>
        <w:rPr>
          <w:rFonts w:ascii="宋体" w:hAnsi="宋体" w:cs="宋体"/>
          <w:bCs/>
          <w:kern w:val="0"/>
          <w:szCs w:val="21"/>
        </w:rPr>
      </w:pPr>
      <w:r>
        <w:rPr>
          <w:rFonts w:hint="eastAsia" w:ascii="宋体" w:hAnsi="宋体" w:cs="宋体"/>
          <w:bCs/>
          <w:kern w:val="0"/>
          <w:szCs w:val="21"/>
        </w:rPr>
        <w:t xml:space="preserve">2.乙方交货前应对产品作出全面检查和对验收文件进行整理，并列出清单，作为甲方收货验收和使用的技术条件依据，检验的结果应随货物交甲方。 </w:t>
      </w:r>
    </w:p>
    <w:p w14:paraId="65B937E9">
      <w:pPr>
        <w:pageBreakBefore w:val="0"/>
        <w:widowControl w:val="0"/>
        <w:kinsoku/>
        <w:wordWrap w:val="0"/>
        <w:overflowPunct/>
        <w:topLinePunct w:val="0"/>
        <w:bidi w:val="0"/>
        <w:snapToGrid w:val="0"/>
        <w:spacing w:line="400" w:lineRule="exact"/>
        <w:ind w:firstLine="420" w:firstLineChars="200"/>
        <w:outlineLvl w:val="9"/>
        <w:rPr>
          <w:rFonts w:ascii="宋体" w:hAnsi="宋体" w:cs="宋体"/>
          <w:bCs/>
          <w:kern w:val="0"/>
          <w:szCs w:val="21"/>
        </w:rPr>
      </w:pPr>
      <w:r>
        <w:rPr>
          <w:rFonts w:hint="eastAsia" w:ascii="宋体" w:hAnsi="宋体" w:cs="宋体"/>
          <w:bCs/>
          <w:kern w:val="0"/>
          <w:szCs w:val="21"/>
        </w:rPr>
        <w:t xml:space="preserve">3.甲方对乙方提供的货物在使用前进行调试时，乙方需负责安装并培训甲方的使用操作人员，并协助甲方一起调试，直到符合技术要求，甲方才做最终验收。 </w:t>
      </w:r>
    </w:p>
    <w:p w14:paraId="509223DE">
      <w:pPr>
        <w:pageBreakBefore w:val="0"/>
        <w:widowControl w:val="0"/>
        <w:kinsoku/>
        <w:wordWrap w:val="0"/>
        <w:overflowPunct/>
        <w:topLinePunct w:val="0"/>
        <w:bidi w:val="0"/>
        <w:snapToGrid w:val="0"/>
        <w:spacing w:line="400" w:lineRule="exact"/>
        <w:ind w:firstLine="420" w:firstLineChars="200"/>
        <w:outlineLvl w:val="9"/>
        <w:rPr>
          <w:rFonts w:ascii="宋体" w:hAnsi="宋体" w:cs="宋体"/>
          <w:bCs/>
          <w:kern w:val="0"/>
          <w:szCs w:val="21"/>
        </w:rPr>
      </w:pPr>
      <w:r>
        <w:rPr>
          <w:rFonts w:hint="eastAsia" w:ascii="宋体" w:hAnsi="宋体" w:cs="宋体"/>
          <w:bCs/>
          <w:kern w:val="0"/>
          <w:szCs w:val="21"/>
        </w:rPr>
        <w:t xml:space="preserve">4.对技术复杂的货物，甲方应请国家认可的专业检测机构参与初步验收及最终验收，并由其出具质量检测报告。 </w:t>
      </w:r>
    </w:p>
    <w:p w14:paraId="5E743501">
      <w:pPr>
        <w:pageBreakBefore w:val="0"/>
        <w:widowControl w:val="0"/>
        <w:kinsoku/>
        <w:wordWrap w:val="0"/>
        <w:overflowPunct/>
        <w:topLinePunct w:val="0"/>
        <w:bidi w:val="0"/>
        <w:snapToGrid w:val="0"/>
        <w:spacing w:line="400" w:lineRule="exact"/>
        <w:ind w:firstLine="420" w:firstLineChars="200"/>
        <w:outlineLvl w:val="9"/>
        <w:rPr>
          <w:rFonts w:ascii="宋体" w:hAnsi="宋体" w:cs="宋体"/>
          <w:bCs/>
          <w:kern w:val="0"/>
          <w:szCs w:val="21"/>
        </w:rPr>
      </w:pPr>
      <w:r>
        <w:rPr>
          <w:rFonts w:hint="eastAsia" w:ascii="宋体" w:hAnsi="宋体" w:cs="宋体"/>
          <w:bCs/>
          <w:kern w:val="0"/>
          <w:szCs w:val="21"/>
        </w:rPr>
        <w:t>5.验收时乙方必须在现场，验收完毕后作出验收结果报告；验收费用由乙方负责。</w:t>
      </w:r>
    </w:p>
    <w:p w14:paraId="4A34F384">
      <w:pPr>
        <w:pageBreakBefore w:val="0"/>
        <w:widowControl w:val="0"/>
        <w:kinsoku/>
        <w:wordWrap w:val="0"/>
        <w:overflowPunct/>
        <w:topLinePunct w:val="0"/>
        <w:bidi w:val="0"/>
        <w:snapToGrid w:val="0"/>
        <w:spacing w:line="400" w:lineRule="exact"/>
        <w:ind w:firstLine="420" w:firstLineChars="200"/>
        <w:outlineLvl w:val="9"/>
        <w:rPr>
          <w:rFonts w:ascii="宋体" w:hAnsi="宋体" w:cs="宋体"/>
          <w:b/>
          <w:kern w:val="0"/>
          <w:szCs w:val="21"/>
        </w:rPr>
      </w:pPr>
      <w:r>
        <w:rPr>
          <w:rFonts w:hint="eastAsia" w:ascii="宋体" w:hAnsi="宋体" w:cs="宋体"/>
          <w:b/>
          <w:szCs w:val="21"/>
        </w:rPr>
        <w:t>第十</w:t>
      </w:r>
      <w:r>
        <w:rPr>
          <w:rFonts w:hint="eastAsia" w:ascii="宋体" w:hAnsi="宋体" w:eastAsia="宋体" w:cs="宋体"/>
          <w:b/>
          <w:szCs w:val="21"/>
          <w:lang w:eastAsia="zh-CN"/>
        </w:rPr>
        <w:t>一</w:t>
      </w:r>
      <w:r>
        <w:rPr>
          <w:rFonts w:hint="eastAsia" w:ascii="宋体" w:hAnsi="宋体" w:cs="宋体"/>
          <w:b/>
          <w:szCs w:val="21"/>
        </w:rPr>
        <w:t xml:space="preserve">条 </w:t>
      </w:r>
      <w:r>
        <w:rPr>
          <w:rFonts w:hint="eastAsia" w:ascii="宋体" w:hAnsi="宋体" w:cs="宋体"/>
          <w:b/>
          <w:kern w:val="0"/>
          <w:szCs w:val="21"/>
        </w:rPr>
        <w:t xml:space="preserve">货物包装、发运及运输 </w:t>
      </w:r>
    </w:p>
    <w:p w14:paraId="76D05EE9">
      <w:pPr>
        <w:pageBreakBefore w:val="0"/>
        <w:widowControl w:val="0"/>
        <w:kinsoku/>
        <w:wordWrap w:val="0"/>
        <w:overflowPunct/>
        <w:topLinePunct w:val="0"/>
        <w:bidi w:val="0"/>
        <w:spacing w:line="400" w:lineRule="exact"/>
        <w:ind w:firstLine="420" w:firstLineChars="200"/>
        <w:outlineLvl w:val="9"/>
      </w:pPr>
      <w:r>
        <w:rPr>
          <w:rFonts w:hint="eastAsia"/>
        </w:rPr>
        <w:t xml:space="preserve">1.乙方应在货物发运前对其进行满足运输距离、防潮、防震、防锈和防破损装卸等要求包装，以保证货物安全运达甲方指定地点。 </w:t>
      </w:r>
    </w:p>
    <w:p w14:paraId="0FA52ACD">
      <w:pPr>
        <w:pageBreakBefore w:val="0"/>
        <w:widowControl w:val="0"/>
        <w:kinsoku/>
        <w:wordWrap w:val="0"/>
        <w:overflowPunct/>
        <w:topLinePunct w:val="0"/>
        <w:bidi w:val="0"/>
        <w:spacing w:line="400" w:lineRule="exact"/>
        <w:ind w:firstLine="420" w:firstLineChars="200"/>
        <w:outlineLvl w:val="9"/>
      </w:pPr>
      <w:r>
        <w:rPr>
          <w:rFonts w:hint="eastAsia"/>
        </w:rPr>
        <w:t xml:space="preserve">2.使用说明书、质量检验证明书、随配附件和工具以及清单一并附于货物内。 </w:t>
      </w:r>
    </w:p>
    <w:p w14:paraId="25A37EFA">
      <w:pPr>
        <w:pageBreakBefore w:val="0"/>
        <w:widowControl w:val="0"/>
        <w:kinsoku/>
        <w:wordWrap w:val="0"/>
        <w:overflowPunct/>
        <w:topLinePunct w:val="0"/>
        <w:bidi w:val="0"/>
        <w:spacing w:line="400" w:lineRule="exact"/>
        <w:ind w:firstLine="420" w:firstLineChars="200"/>
        <w:outlineLvl w:val="9"/>
      </w:pPr>
      <w:r>
        <w:rPr>
          <w:rFonts w:hint="eastAsia"/>
        </w:rPr>
        <w:t xml:space="preserve">3.乙方在货物发运手续办理完毕后 24 小时内或货到甲方 48小时前通知甲方，以准备接货。 </w:t>
      </w:r>
    </w:p>
    <w:p w14:paraId="168E9779">
      <w:pPr>
        <w:pageBreakBefore w:val="0"/>
        <w:widowControl w:val="0"/>
        <w:kinsoku/>
        <w:wordWrap w:val="0"/>
        <w:overflowPunct/>
        <w:topLinePunct w:val="0"/>
        <w:bidi w:val="0"/>
        <w:spacing w:line="400" w:lineRule="exact"/>
        <w:ind w:firstLine="420" w:firstLineChars="200"/>
        <w:outlineLvl w:val="9"/>
      </w:pPr>
      <w:r>
        <w:rPr>
          <w:rFonts w:hint="eastAsia"/>
        </w:rPr>
        <w:t xml:space="preserve">4.货物在交付甲方前发生的风险均由乙方负责。 </w:t>
      </w:r>
    </w:p>
    <w:p w14:paraId="16857EB7">
      <w:pPr>
        <w:pageBreakBefore w:val="0"/>
        <w:widowControl w:val="0"/>
        <w:kinsoku/>
        <w:wordWrap w:val="0"/>
        <w:overflowPunct/>
        <w:topLinePunct w:val="0"/>
        <w:bidi w:val="0"/>
        <w:spacing w:line="400" w:lineRule="exact"/>
        <w:ind w:firstLine="420" w:firstLineChars="200"/>
        <w:outlineLvl w:val="9"/>
      </w:pPr>
      <w:r>
        <w:rPr>
          <w:rFonts w:hint="eastAsia"/>
        </w:rPr>
        <w:t xml:space="preserve">5.货物在规定的交付期限内由乙方送达甲方指定的地点视为交付，乙方同时需通知甲方货物已送达。 </w:t>
      </w:r>
    </w:p>
    <w:p w14:paraId="2858FB45">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eastAsia="zh-CN"/>
        </w:rPr>
        <w:t>十二</w:t>
      </w:r>
      <w:r>
        <w:rPr>
          <w:rFonts w:hint="eastAsia" w:ascii="宋体" w:hAnsi="宋体" w:eastAsia="宋体" w:cs="宋体"/>
          <w:b/>
          <w:color w:val="auto"/>
          <w:szCs w:val="21"/>
          <w:highlight w:val="none"/>
        </w:rPr>
        <w:t>条 违约责任</w:t>
      </w:r>
      <w:bookmarkEnd w:id="149"/>
    </w:p>
    <w:p w14:paraId="7DD77B1C">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14:paraId="62266601">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2.乙方提供的货物如侵犯了第三方合法权益而引发的任何纠纷或诉讼，均由乙方负责交涉并承担全部责任。</w:t>
      </w:r>
    </w:p>
    <w:p w14:paraId="52ACAF05">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bookmarkStart w:id="150" w:name="_Toc18419"/>
      <w:r>
        <w:rPr>
          <w:rFonts w:hint="eastAsia" w:ascii="宋体" w:hAnsi="宋体" w:eastAsia="宋体" w:cs="宋体"/>
          <w:color w:val="auto"/>
          <w:szCs w:val="21"/>
          <w:highlight w:val="none"/>
        </w:rPr>
        <w:t>3.因包装、运输引起的货物损坏，按质量不合格处理。</w:t>
      </w:r>
      <w:bookmarkEnd w:id="150"/>
    </w:p>
    <w:p w14:paraId="33B0FA6E">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4.甲方无故延期接收货物、乙方逾期交货的，每天向对方偿付违约货款额</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违约金，但违约金累计不得超过违约货款额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天对方有权解除合同，违约方承担因此给对方造成的经济损失；甲方延期付货款的，每天向乙方偿付延期货款额</w:t>
      </w:r>
      <w:r>
        <w:rPr>
          <w:rFonts w:hint="eastAsia" w:ascii="宋体" w:hAnsi="宋体" w:eastAsia="宋体" w:cs="宋体"/>
          <w:color w:val="auto"/>
          <w:szCs w:val="21"/>
          <w:highlight w:val="none"/>
          <w:u w:val="single"/>
        </w:rPr>
        <w:t>3‰</w:t>
      </w:r>
      <w:r>
        <w:rPr>
          <w:rFonts w:hint="eastAsia" w:ascii="宋体" w:hAnsi="宋体" w:eastAsia="宋体" w:cs="宋体"/>
          <w:color w:val="auto"/>
          <w:szCs w:val="21"/>
          <w:highlight w:val="none"/>
        </w:rPr>
        <w:t>滞纳金，但滞纳金累计不得超过延期货款额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w:t>
      </w:r>
    </w:p>
    <w:p w14:paraId="74079305">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5.乙方未按本合同和响应文件中规定的服务承诺提供培训及售后服务的，乙方应按本合同合计金额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向甲方支付违约金。</w:t>
      </w:r>
    </w:p>
    <w:p w14:paraId="5B2174F5">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6.乙方提供的货物在质量保证期内，因设计、工艺或材料的缺陷和其它质量原因造成的问题，由乙方负责。</w:t>
      </w:r>
    </w:p>
    <w:p w14:paraId="6628466E">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kern w:val="0"/>
          <w:szCs w:val="21"/>
          <w:highlight w:val="none"/>
        </w:rPr>
      </w:pPr>
      <w:bookmarkStart w:id="151" w:name="_Toc16200"/>
      <w:r>
        <w:rPr>
          <w:rFonts w:hint="eastAsia" w:ascii="宋体" w:hAnsi="宋体" w:eastAsia="宋体" w:cs="宋体"/>
          <w:b/>
          <w:color w:val="auto"/>
          <w:kern w:val="0"/>
          <w:szCs w:val="21"/>
          <w:highlight w:val="none"/>
        </w:rPr>
        <w:t>第十</w:t>
      </w:r>
      <w:r>
        <w:rPr>
          <w:rFonts w:hint="eastAsia" w:ascii="宋体" w:hAnsi="宋体" w:eastAsia="宋体" w:cs="宋体"/>
          <w:b/>
          <w:color w:val="auto"/>
          <w:kern w:val="0"/>
          <w:szCs w:val="21"/>
          <w:highlight w:val="none"/>
          <w:lang w:eastAsia="zh-CN"/>
        </w:rPr>
        <w:t>三</w:t>
      </w:r>
      <w:r>
        <w:rPr>
          <w:rFonts w:hint="eastAsia" w:ascii="宋体" w:hAnsi="宋体" w:eastAsia="宋体" w:cs="宋体"/>
          <w:b/>
          <w:color w:val="auto"/>
          <w:kern w:val="0"/>
          <w:szCs w:val="21"/>
          <w:highlight w:val="none"/>
        </w:rPr>
        <w:t>条 不可抗力事件处理</w:t>
      </w:r>
      <w:bookmarkEnd w:id="151"/>
    </w:p>
    <w:p w14:paraId="1CD7A929">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1.在合同有效期内，任何一方因不可抗力事件导致不能履行合同，则合同履行期可延长，其延长期与不可抗力影响期相同。</w:t>
      </w:r>
    </w:p>
    <w:p w14:paraId="668DFDCC">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2.不可抗力事件发生后，应立即通知对方，并寄送有关权威机构出具的证明。</w:t>
      </w:r>
    </w:p>
    <w:p w14:paraId="32C597B3">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3.不可抗力事件延续一百二十天以上，双方应通过友好协商，确定是否继续履行合同。</w:t>
      </w:r>
    </w:p>
    <w:p w14:paraId="1595C57B">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color w:val="auto"/>
          <w:szCs w:val="21"/>
          <w:highlight w:val="none"/>
        </w:rPr>
      </w:pPr>
      <w:bookmarkStart w:id="152" w:name="_Toc15042"/>
      <w:r>
        <w:rPr>
          <w:rFonts w:hint="eastAsia" w:ascii="宋体" w:hAnsi="宋体" w:eastAsia="宋体" w:cs="宋体"/>
          <w:b/>
          <w:color w:val="auto"/>
          <w:szCs w:val="21"/>
          <w:highlight w:val="none"/>
        </w:rPr>
        <w:t>第十</w:t>
      </w:r>
      <w:r>
        <w:rPr>
          <w:rFonts w:hint="eastAsia" w:ascii="宋体" w:hAnsi="宋体" w:cs="宋体"/>
          <w:b/>
          <w:color w:val="auto"/>
          <w:szCs w:val="21"/>
          <w:highlight w:val="none"/>
          <w:lang w:eastAsia="zh-CN"/>
        </w:rPr>
        <w:t>四</w:t>
      </w:r>
      <w:r>
        <w:rPr>
          <w:rFonts w:hint="eastAsia" w:ascii="宋体" w:hAnsi="宋体" w:eastAsia="宋体" w:cs="宋体"/>
          <w:b/>
          <w:color w:val="auto"/>
          <w:szCs w:val="21"/>
          <w:highlight w:val="none"/>
        </w:rPr>
        <w:t>条 合同争议解决</w:t>
      </w:r>
      <w:bookmarkEnd w:id="152"/>
    </w:p>
    <w:p w14:paraId="3E39C47E">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1.因履行本合同引起的或与本合同有关的争议，甲乙双方应首先通过友好协商解决，如果协商不能解决，可向柳州仲裁委员会申请仲裁或向</w:t>
      </w:r>
      <w:r>
        <w:rPr>
          <w:rFonts w:hint="eastAsia" w:ascii="宋体" w:hAnsi="宋体" w:eastAsia="宋体" w:cs="宋体"/>
          <w:color w:val="auto"/>
          <w:spacing w:val="4"/>
          <w:szCs w:val="21"/>
          <w:highlight w:val="none"/>
        </w:rPr>
        <w:t>甲方所在地的</w:t>
      </w:r>
      <w:r>
        <w:rPr>
          <w:rFonts w:hint="eastAsia" w:ascii="宋体" w:hAnsi="宋体" w:eastAsia="宋体" w:cs="宋体"/>
          <w:color w:val="auto"/>
          <w:szCs w:val="21"/>
          <w:highlight w:val="none"/>
        </w:rPr>
        <w:t>人民法院提起诉讼。</w:t>
      </w:r>
    </w:p>
    <w:p w14:paraId="60576F84">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0"/>
          <w:szCs w:val="21"/>
          <w:highlight w:val="none"/>
        </w:rPr>
      </w:pPr>
      <w:bookmarkStart w:id="153" w:name="_Toc8755"/>
      <w:r>
        <w:rPr>
          <w:rFonts w:hint="eastAsia" w:ascii="宋体" w:hAnsi="宋体" w:eastAsia="宋体" w:cs="宋体"/>
          <w:color w:val="auto"/>
          <w:kern w:val="0"/>
          <w:szCs w:val="21"/>
          <w:highlight w:val="none"/>
        </w:rPr>
        <w:t>2.诉讼期间，本合同继续履行。</w:t>
      </w:r>
      <w:bookmarkEnd w:id="153"/>
    </w:p>
    <w:p w14:paraId="2F996D08">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kern w:val="0"/>
          <w:szCs w:val="21"/>
          <w:highlight w:val="none"/>
        </w:rPr>
      </w:pPr>
      <w:bookmarkStart w:id="154" w:name="_Toc4278"/>
      <w:r>
        <w:rPr>
          <w:rFonts w:hint="eastAsia" w:ascii="宋体" w:hAnsi="宋体" w:eastAsia="宋体" w:cs="宋体"/>
          <w:b/>
          <w:color w:val="auto"/>
          <w:kern w:val="0"/>
          <w:szCs w:val="21"/>
          <w:highlight w:val="none"/>
        </w:rPr>
        <w:t>第十</w:t>
      </w:r>
      <w:r>
        <w:rPr>
          <w:rFonts w:hint="eastAsia" w:ascii="宋体" w:hAnsi="宋体" w:cs="宋体"/>
          <w:b/>
          <w:color w:val="auto"/>
          <w:kern w:val="0"/>
          <w:szCs w:val="21"/>
          <w:highlight w:val="none"/>
          <w:lang w:eastAsia="zh-CN"/>
        </w:rPr>
        <w:t>五</w:t>
      </w:r>
      <w:r>
        <w:rPr>
          <w:rFonts w:hint="eastAsia" w:ascii="宋体" w:hAnsi="宋体" w:eastAsia="宋体" w:cs="宋体"/>
          <w:b/>
          <w:color w:val="auto"/>
          <w:kern w:val="0"/>
          <w:szCs w:val="21"/>
          <w:highlight w:val="none"/>
        </w:rPr>
        <w:t>条 合同生效及其它</w:t>
      </w:r>
      <w:bookmarkEnd w:id="154"/>
    </w:p>
    <w:p w14:paraId="736C6377">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0"/>
          <w:szCs w:val="21"/>
          <w:highlight w:val="none"/>
        </w:rPr>
      </w:pPr>
      <w:bookmarkStart w:id="155" w:name="_Toc1322"/>
      <w:r>
        <w:rPr>
          <w:rFonts w:hint="eastAsia" w:ascii="宋体" w:hAnsi="宋体" w:eastAsia="宋体" w:cs="宋体"/>
          <w:color w:val="auto"/>
          <w:kern w:val="0"/>
          <w:szCs w:val="21"/>
          <w:highlight w:val="none"/>
        </w:rPr>
        <w:t>1.合同经双方法定代表人或授权代表签字并加盖单位公章后生效。</w:t>
      </w:r>
      <w:bookmarkEnd w:id="155"/>
    </w:p>
    <w:p w14:paraId="27BBB29A">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2.本合同未尽事宜，遵照</w:t>
      </w:r>
      <w:r>
        <w:rPr>
          <w:rFonts w:hint="eastAsia" w:ascii="宋体" w:hAnsi="宋体" w:eastAsia="宋体" w:cs="宋体"/>
          <w:bCs/>
          <w:color w:val="auto"/>
          <w:szCs w:val="21"/>
          <w:highlight w:val="none"/>
        </w:rPr>
        <w:t>《中华人民共和国民法典》</w:t>
      </w:r>
      <w:r>
        <w:rPr>
          <w:rFonts w:hint="eastAsia" w:ascii="宋体" w:hAnsi="宋体" w:eastAsia="宋体" w:cs="宋体"/>
          <w:color w:val="auto"/>
          <w:kern w:val="0"/>
          <w:szCs w:val="21"/>
          <w:highlight w:val="none"/>
        </w:rPr>
        <w:t>有关条文执行。</w:t>
      </w:r>
    </w:p>
    <w:p w14:paraId="64F013AE">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bookmarkStart w:id="156" w:name="_Toc6470"/>
      <w:r>
        <w:rPr>
          <w:rFonts w:hint="eastAsia" w:ascii="宋体" w:hAnsi="宋体" w:eastAsia="宋体" w:cs="宋体"/>
          <w:b/>
          <w:color w:val="auto"/>
          <w:szCs w:val="21"/>
          <w:highlight w:val="none"/>
        </w:rPr>
        <w:t>第十</w:t>
      </w:r>
      <w:r>
        <w:rPr>
          <w:rFonts w:hint="eastAsia" w:ascii="宋体" w:hAnsi="宋体" w:cs="宋体"/>
          <w:b/>
          <w:color w:val="auto"/>
          <w:szCs w:val="21"/>
          <w:highlight w:val="none"/>
          <w:lang w:eastAsia="zh-CN"/>
        </w:rPr>
        <w:t>六</w:t>
      </w:r>
      <w:r>
        <w:rPr>
          <w:rFonts w:hint="eastAsia" w:ascii="宋体" w:hAnsi="宋体" w:eastAsia="宋体" w:cs="宋体"/>
          <w:b/>
          <w:color w:val="auto"/>
          <w:szCs w:val="21"/>
          <w:highlight w:val="none"/>
        </w:rPr>
        <w:t>条 合同的变更、终止与转让</w:t>
      </w:r>
      <w:bookmarkEnd w:id="156"/>
    </w:p>
    <w:p w14:paraId="36F0854F">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19D5348E">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bookmarkStart w:id="157" w:name="_Toc13372"/>
      <w:r>
        <w:rPr>
          <w:rFonts w:hint="eastAsia" w:ascii="宋体" w:hAnsi="宋体" w:eastAsia="宋体" w:cs="宋体"/>
          <w:color w:val="auto"/>
          <w:szCs w:val="21"/>
          <w:highlight w:val="none"/>
        </w:rPr>
        <w:t>2.乙方不得擅自转让其应履行的合同义务。</w:t>
      </w:r>
      <w:bookmarkEnd w:id="157"/>
    </w:p>
    <w:p w14:paraId="72A753DD">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b/>
          <w:color w:val="auto"/>
          <w:szCs w:val="21"/>
          <w:highlight w:val="none"/>
        </w:rPr>
      </w:pPr>
      <w:bookmarkStart w:id="158" w:name="_Toc6761"/>
      <w:r>
        <w:rPr>
          <w:rFonts w:hint="eastAsia" w:ascii="宋体" w:hAnsi="宋体" w:eastAsia="宋体" w:cs="宋体"/>
          <w:b/>
          <w:color w:val="auto"/>
          <w:szCs w:val="21"/>
          <w:highlight w:val="none"/>
        </w:rPr>
        <w:t>第十</w:t>
      </w:r>
      <w:r>
        <w:rPr>
          <w:rFonts w:hint="eastAsia" w:ascii="宋体" w:hAnsi="宋体" w:cs="宋体"/>
          <w:b/>
          <w:color w:val="auto"/>
          <w:szCs w:val="21"/>
          <w:highlight w:val="none"/>
          <w:lang w:eastAsia="zh-CN"/>
        </w:rPr>
        <w:t>七</w:t>
      </w:r>
      <w:r>
        <w:rPr>
          <w:rFonts w:hint="eastAsia" w:ascii="宋体" w:hAnsi="宋体" w:eastAsia="宋体" w:cs="宋体"/>
          <w:b/>
          <w:color w:val="auto"/>
          <w:szCs w:val="21"/>
          <w:highlight w:val="none"/>
        </w:rPr>
        <w:t>条 签订本合同依据</w:t>
      </w:r>
      <w:bookmarkEnd w:id="158"/>
    </w:p>
    <w:p w14:paraId="7196DE92">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1.采购文件；</w:t>
      </w:r>
    </w:p>
    <w:p w14:paraId="5A58FA87">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2.乙方提供的应答文件；</w:t>
      </w:r>
    </w:p>
    <w:p w14:paraId="3F32BA67">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3.售后服务承诺书；</w:t>
      </w:r>
    </w:p>
    <w:p w14:paraId="386D0F93">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4.成交通知书。</w:t>
      </w:r>
    </w:p>
    <w:p w14:paraId="18747DB5">
      <w:pPr>
        <w:pageBreakBefore w:val="0"/>
        <w:widowControl w:val="0"/>
        <w:kinsoku/>
        <w:wordWrap w:val="0"/>
        <w:overflowPunct/>
        <w:topLinePunct w:val="0"/>
        <w:bidi w:val="0"/>
        <w:snapToGrid w:val="0"/>
        <w:spacing w:line="400" w:lineRule="exact"/>
        <w:ind w:firstLine="422" w:firstLineChars="200"/>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cs="宋体"/>
          <w:b/>
          <w:color w:val="auto"/>
          <w:szCs w:val="21"/>
          <w:highlight w:val="none"/>
          <w:lang w:eastAsia="zh-CN"/>
        </w:rPr>
        <w:t>八</w:t>
      </w:r>
      <w:r>
        <w:rPr>
          <w:rFonts w:hint="eastAsia" w:ascii="宋体" w:hAnsi="宋体" w:eastAsia="宋体" w:cs="宋体"/>
          <w:b/>
          <w:color w:val="auto"/>
          <w:szCs w:val="21"/>
          <w:highlight w:val="none"/>
        </w:rPr>
        <w:t xml:space="preserve">条 </w:t>
      </w:r>
      <w:r>
        <w:rPr>
          <w:rFonts w:hint="eastAsia" w:ascii="宋体" w:hAnsi="宋体" w:eastAsia="宋体" w:cs="宋体"/>
          <w:color w:val="auto"/>
          <w:szCs w:val="21"/>
          <w:highlight w:val="none"/>
        </w:rPr>
        <w:t>本合同一式四份，具有同等法律效力，采购代理机构一份，甲方二份，乙方一份。</w:t>
      </w:r>
    </w:p>
    <w:p w14:paraId="048931D6">
      <w:pPr>
        <w:pStyle w:val="17"/>
        <w:pageBreakBefore w:val="0"/>
        <w:widowControl w:val="0"/>
        <w:kinsoku/>
        <w:wordWrap w:val="0"/>
        <w:overflowPunct/>
        <w:topLinePunct w:val="0"/>
        <w:bidi w:val="0"/>
        <w:outlineLvl w:val="9"/>
        <w:rPr>
          <w:rFonts w:hint="eastAsia"/>
          <w:color w:val="auto"/>
          <w:highlight w:val="none"/>
        </w:rPr>
      </w:pPr>
      <w:r>
        <w:rPr>
          <w:rFonts w:hint="eastAsia" w:ascii="宋体" w:hAnsi="宋体" w:eastAsia="宋体" w:cs="宋体"/>
          <w:color w:val="auto"/>
          <w:szCs w:val="21"/>
          <w:highlight w:val="none"/>
        </w:rPr>
        <w:t>本合同甲乙双方签字盖章后生效。</w:t>
      </w:r>
    </w:p>
    <w:tbl>
      <w:tblPr>
        <w:tblStyle w:val="2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5"/>
        <w:gridCol w:w="4754"/>
      </w:tblGrid>
      <w:tr w14:paraId="4AA9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4254DC9E">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33E8BE6C">
            <w:pPr>
              <w:pStyle w:val="18"/>
              <w:pageBreakBefore w:val="0"/>
              <w:widowControl w:val="0"/>
              <w:kinsoku/>
              <w:wordWrap w:val="0"/>
              <w:overflowPunct/>
              <w:topLinePunct w:val="0"/>
              <w:bidi w:val="0"/>
              <w:ind w:firstLine="210"/>
              <w:outlineLvl w:val="9"/>
              <w:rPr>
                <w:rFonts w:hint="eastAsia" w:ascii="宋体" w:hAnsi="宋体" w:eastAsia="宋体" w:cs="宋体"/>
                <w:color w:val="auto"/>
                <w:highlight w:val="none"/>
              </w:rPr>
            </w:pPr>
          </w:p>
          <w:p w14:paraId="74CEBA0F">
            <w:pPr>
              <w:pageBreakBefore w:val="0"/>
              <w:widowControl w:val="0"/>
              <w:kinsoku/>
              <w:wordWrap w:val="0"/>
              <w:overflowPunct/>
              <w:topLinePunct w:val="0"/>
              <w:bidi w:val="0"/>
              <w:snapToGrid w:val="0"/>
              <w:spacing w:line="360" w:lineRule="exact"/>
              <w:ind w:firstLine="945" w:firstLineChars="450"/>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754" w:type="dxa"/>
            <w:tcBorders>
              <w:top w:val="single" w:color="auto" w:sz="4" w:space="0"/>
              <w:left w:val="single" w:color="auto" w:sz="4" w:space="0"/>
              <w:bottom w:val="single" w:color="auto" w:sz="4" w:space="0"/>
              <w:right w:val="single" w:color="auto" w:sz="4" w:space="0"/>
            </w:tcBorders>
            <w:vAlign w:val="center"/>
          </w:tcPr>
          <w:p w14:paraId="6294DBB3">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乙方（章）</w:t>
            </w:r>
          </w:p>
          <w:p w14:paraId="789851A3">
            <w:pPr>
              <w:pStyle w:val="18"/>
              <w:pageBreakBefore w:val="0"/>
              <w:widowControl w:val="0"/>
              <w:kinsoku/>
              <w:wordWrap w:val="0"/>
              <w:overflowPunct/>
              <w:topLinePunct w:val="0"/>
              <w:bidi w:val="0"/>
              <w:ind w:firstLine="210"/>
              <w:outlineLvl w:val="9"/>
              <w:rPr>
                <w:rFonts w:hint="eastAsia" w:ascii="宋体" w:hAnsi="宋体" w:eastAsia="宋体" w:cs="宋体"/>
                <w:color w:val="auto"/>
                <w:highlight w:val="none"/>
              </w:rPr>
            </w:pPr>
          </w:p>
          <w:p w14:paraId="6794F8A9">
            <w:pPr>
              <w:pageBreakBefore w:val="0"/>
              <w:widowControl w:val="0"/>
              <w:kinsoku/>
              <w:wordWrap w:val="0"/>
              <w:overflowPunct/>
              <w:topLinePunct w:val="0"/>
              <w:bidi w:val="0"/>
              <w:snapToGrid w:val="0"/>
              <w:spacing w:line="360" w:lineRule="exact"/>
              <w:jc w:val="righ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r w14:paraId="6D8B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3A48CE89">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754" w:type="dxa"/>
            <w:tcBorders>
              <w:top w:val="single" w:color="auto" w:sz="4" w:space="0"/>
              <w:left w:val="single" w:color="auto" w:sz="4" w:space="0"/>
              <w:bottom w:val="single" w:color="auto" w:sz="4" w:space="0"/>
              <w:right w:val="single" w:color="auto" w:sz="4" w:space="0"/>
            </w:tcBorders>
            <w:vAlign w:val="center"/>
          </w:tcPr>
          <w:p w14:paraId="06B6D8C9">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615D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64BD9B20">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4754" w:type="dxa"/>
            <w:tcBorders>
              <w:top w:val="single" w:color="auto" w:sz="4" w:space="0"/>
              <w:left w:val="single" w:color="auto" w:sz="4" w:space="0"/>
              <w:bottom w:val="single" w:color="auto" w:sz="4" w:space="0"/>
              <w:right w:val="single" w:color="auto" w:sz="4" w:space="0"/>
            </w:tcBorders>
            <w:vAlign w:val="center"/>
          </w:tcPr>
          <w:p w14:paraId="1EF443B0">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r>
      <w:tr w14:paraId="03BB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7007D5E4">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c>
          <w:tcPr>
            <w:tcW w:w="4754" w:type="dxa"/>
            <w:tcBorders>
              <w:top w:val="single" w:color="auto" w:sz="4" w:space="0"/>
              <w:left w:val="single" w:color="auto" w:sz="4" w:space="0"/>
              <w:bottom w:val="single" w:color="auto" w:sz="4" w:space="0"/>
              <w:right w:val="single" w:color="auto" w:sz="4" w:space="0"/>
            </w:tcBorders>
            <w:vAlign w:val="center"/>
          </w:tcPr>
          <w:p w14:paraId="7F759F73">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0F3B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1795D324">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754" w:type="dxa"/>
            <w:tcBorders>
              <w:top w:val="single" w:color="auto" w:sz="4" w:space="0"/>
              <w:left w:val="single" w:color="auto" w:sz="4" w:space="0"/>
              <w:bottom w:val="single" w:color="auto" w:sz="4" w:space="0"/>
              <w:right w:val="single" w:color="auto" w:sz="4" w:space="0"/>
            </w:tcBorders>
            <w:vAlign w:val="center"/>
          </w:tcPr>
          <w:p w14:paraId="08D79111">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6B06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570E1530">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754" w:type="dxa"/>
            <w:tcBorders>
              <w:top w:val="single" w:color="auto" w:sz="4" w:space="0"/>
              <w:left w:val="single" w:color="auto" w:sz="4" w:space="0"/>
              <w:bottom w:val="single" w:color="auto" w:sz="4" w:space="0"/>
              <w:right w:val="single" w:color="auto" w:sz="4" w:space="0"/>
            </w:tcBorders>
            <w:vAlign w:val="center"/>
          </w:tcPr>
          <w:p w14:paraId="114DE4FF">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61EF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68C0B825">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754" w:type="dxa"/>
            <w:tcBorders>
              <w:top w:val="single" w:color="auto" w:sz="4" w:space="0"/>
              <w:left w:val="single" w:color="auto" w:sz="4" w:space="0"/>
              <w:bottom w:val="single" w:color="auto" w:sz="4" w:space="0"/>
              <w:right w:val="single" w:color="auto" w:sz="4" w:space="0"/>
            </w:tcBorders>
            <w:vAlign w:val="center"/>
          </w:tcPr>
          <w:p w14:paraId="05789A56">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6CC0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1EC3E380">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754" w:type="dxa"/>
            <w:tcBorders>
              <w:top w:val="single" w:color="auto" w:sz="4" w:space="0"/>
              <w:left w:val="single" w:color="auto" w:sz="4" w:space="0"/>
              <w:bottom w:val="single" w:color="auto" w:sz="4" w:space="0"/>
              <w:right w:val="single" w:color="auto" w:sz="4" w:space="0"/>
            </w:tcBorders>
            <w:vAlign w:val="center"/>
          </w:tcPr>
          <w:p w14:paraId="01A1943C">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C4B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4545" w:type="dxa"/>
            <w:tcBorders>
              <w:top w:val="single" w:color="auto" w:sz="4" w:space="0"/>
              <w:left w:val="single" w:color="auto" w:sz="4" w:space="0"/>
              <w:bottom w:val="single" w:color="auto" w:sz="4" w:space="0"/>
              <w:right w:val="single" w:color="auto" w:sz="4" w:space="0"/>
            </w:tcBorders>
            <w:vAlign w:val="center"/>
          </w:tcPr>
          <w:p w14:paraId="377860E9">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754" w:type="dxa"/>
            <w:tcBorders>
              <w:top w:val="single" w:color="auto" w:sz="4" w:space="0"/>
              <w:left w:val="single" w:color="auto" w:sz="4" w:space="0"/>
              <w:bottom w:val="single" w:color="auto" w:sz="4" w:space="0"/>
              <w:right w:val="single" w:color="auto" w:sz="4" w:space="0"/>
            </w:tcBorders>
            <w:vAlign w:val="center"/>
          </w:tcPr>
          <w:p w14:paraId="59A99380">
            <w:pPr>
              <w:pageBreakBefore w:val="0"/>
              <w:widowControl w:val="0"/>
              <w:kinsoku/>
              <w:wordWrap w:val="0"/>
              <w:overflowPunct/>
              <w:topLinePunct w:val="0"/>
              <w:bidi w:val="0"/>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bl>
    <w:p w14:paraId="1901163C">
      <w:pPr>
        <w:pageBreakBefore w:val="0"/>
        <w:widowControl w:val="0"/>
        <w:kinsoku/>
        <w:wordWrap w:val="0"/>
        <w:overflowPunct/>
        <w:topLinePunct w:val="0"/>
        <w:bidi w:val="0"/>
        <w:snapToGrid w:val="0"/>
        <w:spacing w:line="400" w:lineRule="exact"/>
        <w:ind w:firstLine="420" w:firstLineChars="200"/>
        <w:outlineLvl w:val="9"/>
        <w:rPr>
          <w:rFonts w:hint="eastAsia" w:ascii="宋体" w:hAnsi="宋体" w:eastAsia="宋体" w:cs="宋体"/>
          <w:color w:val="auto"/>
          <w:szCs w:val="21"/>
          <w:highlight w:val="none"/>
        </w:rPr>
      </w:pPr>
    </w:p>
    <w:p w14:paraId="1FA02E17">
      <w:pPr>
        <w:pageBreakBefore w:val="0"/>
        <w:widowControl w:val="0"/>
        <w:kinsoku/>
        <w:wordWrap w:val="0"/>
        <w:overflowPunct/>
        <w:topLinePunct w:val="0"/>
        <w:bidi w:val="0"/>
        <w:snapToGrid w:val="0"/>
        <w:spacing w:line="400" w:lineRule="exact"/>
        <w:ind w:firstLine="883" w:firstLineChars="200"/>
        <w:outlineLvl w:val="9"/>
        <w:rPr>
          <w:rFonts w:hint="eastAsia"/>
          <w:color w:val="auto"/>
          <w:highlight w:val="none"/>
        </w:rPr>
      </w:pPr>
      <w:r>
        <w:rPr>
          <w:rStyle w:val="23"/>
          <w:rFonts w:hint="eastAsia"/>
          <w:color w:val="auto"/>
          <w:highlight w:val="none"/>
        </w:rPr>
        <w:br w:type="page"/>
      </w:r>
    </w:p>
    <w:p w14:paraId="23027CA5">
      <w:pPr>
        <w:pageBreakBefore w:val="0"/>
        <w:widowControl w:val="0"/>
        <w:kinsoku/>
        <w:wordWrap w:val="0"/>
        <w:overflowPunct/>
        <w:topLinePunct w:val="0"/>
        <w:bidi w:val="0"/>
        <w:jc w:val="center"/>
        <w:outlineLvl w:val="9"/>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合 同 附 件</w:t>
      </w:r>
    </w:p>
    <w:p w14:paraId="39B68722">
      <w:pPr>
        <w:pageBreakBefore w:val="0"/>
        <w:widowControl w:val="0"/>
        <w:kinsoku/>
        <w:wordWrap w:val="0"/>
        <w:overflowPunct/>
        <w:topLinePunct w:val="0"/>
        <w:bidi w:val="0"/>
        <w:snapToGrid w:val="0"/>
        <w:spacing w:line="400" w:lineRule="exact"/>
        <w:ind w:firstLine="360" w:firstLineChars="150"/>
        <w:outlineLvl w:val="9"/>
        <w:rPr>
          <w:rFonts w:hint="eastAsia" w:ascii="宋体" w:hAnsi="宋体" w:eastAsia="宋体" w:cs="宋体"/>
          <w:color w:val="auto"/>
          <w:sz w:val="24"/>
          <w:highlight w:val="none"/>
        </w:rPr>
      </w:pPr>
      <w:bookmarkStart w:id="159" w:name="_Toc19425"/>
      <w:r>
        <w:rPr>
          <w:rFonts w:hint="eastAsia" w:ascii="宋体" w:hAnsi="宋体" w:eastAsia="宋体" w:cs="宋体"/>
          <w:color w:val="auto"/>
          <w:sz w:val="24"/>
          <w:highlight w:val="none"/>
        </w:rPr>
        <w:t>一般货物类</w:t>
      </w:r>
      <w:bookmarkEnd w:id="159"/>
    </w:p>
    <w:tbl>
      <w:tblPr>
        <w:tblStyle w:val="20"/>
        <w:tblW w:w="9520" w:type="dxa"/>
        <w:jc w:val="center"/>
        <w:tblLayout w:type="fixed"/>
        <w:tblCellMar>
          <w:top w:w="0" w:type="dxa"/>
          <w:left w:w="108" w:type="dxa"/>
          <w:bottom w:w="0" w:type="dxa"/>
          <w:right w:w="108" w:type="dxa"/>
        </w:tblCellMar>
      </w:tblPr>
      <w:tblGrid>
        <w:gridCol w:w="4683"/>
        <w:gridCol w:w="4837"/>
      </w:tblGrid>
      <w:tr w14:paraId="71202980">
        <w:tblPrEx>
          <w:tblCellMar>
            <w:top w:w="0" w:type="dxa"/>
            <w:left w:w="108" w:type="dxa"/>
            <w:bottom w:w="0" w:type="dxa"/>
            <w:right w:w="108" w:type="dxa"/>
          </w:tblCellMar>
        </w:tblPrEx>
        <w:trPr>
          <w:trHeight w:val="454" w:hRule="exact"/>
          <w:jc w:val="center"/>
        </w:trPr>
        <w:tc>
          <w:tcPr>
            <w:tcW w:w="9520" w:type="dxa"/>
            <w:gridSpan w:val="2"/>
            <w:tcBorders>
              <w:top w:val="single" w:color="auto" w:sz="4" w:space="0"/>
              <w:left w:val="single" w:color="auto" w:sz="4" w:space="0"/>
              <w:right w:val="single" w:color="auto" w:sz="4" w:space="0"/>
            </w:tcBorders>
            <w:vAlign w:val="center"/>
          </w:tcPr>
          <w:p w14:paraId="57053DAA">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1、供应商承诺具体事项：</w:t>
            </w:r>
          </w:p>
        </w:tc>
      </w:tr>
      <w:tr w14:paraId="772EF1BB">
        <w:tblPrEx>
          <w:tblCellMar>
            <w:top w:w="0" w:type="dxa"/>
            <w:left w:w="108" w:type="dxa"/>
            <w:bottom w:w="0" w:type="dxa"/>
            <w:right w:w="108" w:type="dxa"/>
          </w:tblCellMar>
        </w:tblPrEx>
        <w:trPr>
          <w:trHeight w:val="454" w:hRule="exact"/>
          <w:jc w:val="center"/>
        </w:trPr>
        <w:tc>
          <w:tcPr>
            <w:tcW w:w="9520" w:type="dxa"/>
            <w:gridSpan w:val="2"/>
            <w:tcBorders>
              <w:left w:val="single" w:color="auto" w:sz="4" w:space="0"/>
              <w:right w:val="single" w:color="auto" w:sz="4" w:space="0"/>
            </w:tcBorders>
            <w:vAlign w:val="center"/>
          </w:tcPr>
          <w:p w14:paraId="3AA24384">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229611C6">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51C72D8">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1AC5D19E">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tc>
      </w:tr>
      <w:tr w14:paraId="6B1BA356">
        <w:tblPrEx>
          <w:tblCellMar>
            <w:top w:w="0" w:type="dxa"/>
            <w:left w:w="108" w:type="dxa"/>
            <w:bottom w:w="0" w:type="dxa"/>
            <w:right w:w="108" w:type="dxa"/>
          </w:tblCellMar>
        </w:tblPrEx>
        <w:trPr>
          <w:trHeight w:val="1398" w:hRule="exact"/>
          <w:jc w:val="center"/>
        </w:trPr>
        <w:tc>
          <w:tcPr>
            <w:tcW w:w="9520" w:type="dxa"/>
            <w:gridSpan w:val="2"/>
            <w:tcBorders>
              <w:left w:val="single" w:color="auto" w:sz="4" w:space="0"/>
              <w:right w:val="single" w:color="auto" w:sz="4" w:space="0"/>
            </w:tcBorders>
            <w:vAlign w:val="center"/>
          </w:tcPr>
          <w:p w14:paraId="6C010E18">
            <w:pPr>
              <w:pageBreakBefore w:val="0"/>
              <w:widowControl w:val="0"/>
              <w:kinsoku/>
              <w:wordWrap w:val="0"/>
              <w:overflowPunct/>
              <w:topLinePunct w:val="0"/>
              <w:bidi w:val="0"/>
              <w:snapToGrid w:val="0"/>
              <w:spacing w:line="400" w:lineRule="exact"/>
              <w:outlineLvl w:val="9"/>
              <w:rPr>
                <w:rFonts w:hint="eastAsia" w:ascii="宋体" w:hAnsi="宋体" w:eastAsia="宋体" w:cs="宋体"/>
                <w:color w:val="auto"/>
                <w:sz w:val="24"/>
                <w:highlight w:val="none"/>
              </w:rPr>
            </w:pPr>
          </w:p>
        </w:tc>
      </w:tr>
      <w:tr w14:paraId="19E45A57">
        <w:tblPrEx>
          <w:tblCellMar>
            <w:top w:w="0" w:type="dxa"/>
            <w:left w:w="108" w:type="dxa"/>
            <w:bottom w:w="0" w:type="dxa"/>
            <w:right w:w="108" w:type="dxa"/>
          </w:tblCellMar>
        </w:tblPrEx>
        <w:trPr>
          <w:trHeight w:val="454" w:hRule="exact"/>
          <w:jc w:val="center"/>
        </w:trPr>
        <w:tc>
          <w:tcPr>
            <w:tcW w:w="9520" w:type="dxa"/>
            <w:gridSpan w:val="2"/>
            <w:tcBorders>
              <w:top w:val="single" w:color="auto" w:sz="4" w:space="0"/>
              <w:left w:val="single" w:color="auto" w:sz="4" w:space="0"/>
              <w:right w:val="single" w:color="auto" w:sz="4" w:space="0"/>
            </w:tcBorders>
            <w:vAlign w:val="center"/>
          </w:tcPr>
          <w:p w14:paraId="68F21D1E">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2、售后服务具体事项：</w:t>
            </w:r>
          </w:p>
        </w:tc>
      </w:tr>
      <w:tr w14:paraId="3B1332BC">
        <w:tblPrEx>
          <w:tblCellMar>
            <w:top w:w="0" w:type="dxa"/>
            <w:left w:w="108" w:type="dxa"/>
            <w:bottom w:w="0" w:type="dxa"/>
            <w:right w:w="108" w:type="dxa"/>
          </w:tblCellMar>
        </w:tblPrEx>
        <w:trPr>
          <w:trHeight w:val="454" w:hRule="exact"/>
          <w:jc w:val="center"/>
        </w:trPr>
        <w:tc>
          <w:tcPr>
            <w:tcW w:w="9520" w:type="dxa"/>
            <w:gridSpan w:val="2"/>
            <w:tcBorders>
              <w:left w:val="single" w:color="auto" w:sz="4" w:space="0"/>
              <w:right w:val="single" w:color="auto" w:sz="4" w:space="0"/>
            </w:tcBorders>
            <w:vAlign w:val="center"/>
          </w:tcPr>
          <w:p w14:paraId="294A1C1A">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tc>
      </w:tr>
      <w:tr w14:paraId="435C9EE5">
        <w:tblPrEx>
          <w:tblCellMar>
            <w:top w:w="0" w:type="dxa"/>
            <w:left w:w="108" w:type="dxa"/>
            <w:bottom w:w="0" w:type="dxa"/>
            <w:right w:w="108" w:type="dxa"/>
          </w:tblCellMar>
        </w:tblPrEx>
        <w:trPr>
          <w:trHeight w:val="1346" w:hRule="exact"/>
          <w:jc w:val="center"/>
        </w:trPr>
        <w:tc>
          <w:tcPr>
            <w:tcW w:w="9520" w:type="dxa"/>
            <w:gridSpan w:val="2"/>
            <w:tcBorders>
              <w:left w:val="single" w:color="auto" w:sz="4" w:space="0"/>
              <w:right w:val="single" w:color="auto" w:sz="4" w:space="0"/>
            </w:tcBorders>
            <w:vAlign w:val="center"/>
          </w:tcPr>
          <w:p w14:paraId="71F0A1DE">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tc>
      </w:tr>
      <w:tr w14:paraId="7ADF6474">
        <w:tblPrEx>
          <w:tblCellMar>
            <w:top w:w="0" w:type="dxa"/>
            <w:left w:w="108" w:type="dxa"/>
            <w:bottom w:w="0" w:type="dxa"/>
            <w:right w:w="108" w:type="dxa"/>
          </w:tblCellMar>
        </w:tblPrEx>
        <w:trPr>
          <w:trHeight w:val="454" w:hRule="exact"/>
          <w:jc w:val="center"/>
        </w:trPr>
        <w:tc>
          <w:tcPr>
            <w:tcW w:w="9520" w:type="dxa"/>
            <w:gridSpan w:val="2"/>
            <w:tcBorders>
              <w:top w:val="single" w:color="auto" w:sz="4" w:space="0"/>
              <w:left w:val="single" w:color="auto" w:sz="4" w:space="0"/>
              <w:right w:val="single" w:color="auto" w:sz="4" w:space="0"/>
            </w:tcBorders>
            <w:vAlign w:val="center"/>
          </w:tcPr>
          <w:p w14:paraId="1E238608">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3、保修期责任：</w:t>
            </w:r>
          </w:p>
        </w:tc>
      </w:tr>
      <w:tr w14:paraId="598DB685">
        <w:tblPrEx>
          <w:tblCellMar>
            <w:top w:w="0" w:type="dxa"/>
            <w:left w:w="108" w:type="dxa"/>
            <w:bottom w:w="0" w:type="dxa"/>
            <w:right w:w="108" w:type="dxa"/>
          </w:tblCellMar>
        </w:tblPrEx>
        <w:trPr>
          <w:trHeight w:val="454" w:hRule="exact"/>
          <w:jc w:val="center"/>
        </w:trPr>
        <w:tc>
          <w:tcPr>
            <w:tcW w:w="9520" w:type="dxa"/>
            <w:gridSpan w:val="2"/>
            <w:tcBorders>
              <w:left w:val="single" w:color="auto" w:sz="4" w:space="0"/>
              <w:right w:val="single" w:color="auto" w:sz="4" w:space="0"/>
            </w:tcBorders>
            <w:vAlign w:val="center"/>
          </w:tcPr>
          <w:p w14:paraId="767936B9">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tc>
      </w:tr>
      <w:tr w14:paraId="58299994">
        <w:tblPrEx>
          <w:tblCellMar>
            <w:top w:w="0" w:type="dxa"/>
            <w:left w:w="108" w:type="dxa"/>
            <w:bottom w:w="0" w:type="dxa"/>
            <w:right w:w="108" w:type="dxa"/>
          </w:tblCellMar>
        </w:tblPrEx>
        <w:trPr>
          <w:trHeight w:val="1067" w:hRule="exact"/>
          <w:jc w:val="center"/>
        </w:trPr>
        <w:tc>
          <w:tcPr>
            <w:tcW w:w="9520" w:type="dxa"/>
            <w:gridSpan w:val="2"/>
            <w:tcBorders>
              <w:left w:val="single" w:color="auto" w:sz="4" w:space="0"/>
              <w:right w:val="single" w:color="auto" w:sz="4" w:space="0"/>
            </w:tcBorders>
            <w:vAlign w:val="center"/>
          </w:tcPr>
          <w:p w14:paraId="742E3509">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tc>
      </w:tr>
      <w:tr w14:paraId="2A1D067D">
        <w:tblPrEx>
          <w:tblCellMar>
            <w:top w:w="0" w:type="dxa"/>
            <w:left w:w="108" w:type="dxa"/>
            <w:bottom w:w="0" w:type="dxa"/>
            <w:right w:w="108" w:type="dxa"/>
          </w:tblCellMar>
        </w:tblPrEx>
        <w:trPr>
          <w:trHeight w:val="454" w:hRule="exact"/>
          <w:jc w:val="center"/>
        </w:trPr>
        <w:tc>
          <w:tcPr>
            <w:tcW w:w="9520" w:type="dxa"/>
            <w:gridSpan w:val="2"/>
            <w:tcBorders>
              <w:top w:val="single" w:color="auto" w:sz="4" w:space="0"/>
              <w:left w:val="single" w:color="auto" w:sz="4" w:space="0"/>
              <w:right w:val="single" w:color="auto" w:sz="4" w:space="0"/>
            </w:tcBorders>
            <w:vAlign w:val="center"/>
          </w:tcPr>
          <w:p w14:paraId="60B85754">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4、其他具体事项：</w:t>
            </w:r>
          </w:p>
        </w:tc>
      </w:tr>
      <w:tr w14:paraId="60BBE502">
        <w:tblPrEx>
          <w:tblCellMar>
            <w:top w:w="0" w:type="dxa"/>
            <w:left w:w="108" w:type="dxa"/>
            <w:bottom w:w="0" w:type="dxa"/>
            <w:right w:w="108" w:type="dxa"/>
          </w:tblCellMar>
        </w:tblPrEx>
        <w:trPr>
          <w:trHeight w:val="2236" w:hRule="exact"/>
          <w:jc w:val="center"/>
        </w:trPr>
        <w:tc>
          <w:tcPr>
            <w:tcW w:w="9520" w:type="dxa"/>
            <w:gridSpan w:val="2"/>
            <w:tcBorders>
              <w:left w:val="single" w:color="auto" w:sz="4" w:space="0"/>
              <w:right w:val="single" w:color="auto" w:sz="4" w:space="0"/>
            </w:tcBorders>
          </w:tcPr>
          <w:p w14:paraId="7DAA715F">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tc>
      </w:tr>
      <w:tr w14:paraId="61F20DFB">
        <w:tblPrEx>
          <w:tblCellMar>
            <w:top w:w="0" w:type="dxa"/>
            <w:left w:w="108" w:type="dxa"/>
            <w:bottom w:w="0" w:type="dxa"/>
            <w:right w:w="108" w:type="dxa"/>
          </w:tblCellMar>
        </w:tblPrEx>
        <w:trPr>
          <w:trHeight w:val="1102" w:hRule="atLeast"/>
          <w:jc w:val="center"/>
        </w:trPr>
        <w:tc>
          <w:tcPr>
            <w:tcW w:w="4683" w:type="dxa"/>
            <w:tcBorders>
              <w:top w:val="single" w:color="auto" w:sz="4" w:space="0"/>
              <w:left w:val="single" w:color="auto" w:sz="4" w:space="0"/>
              <w:bottom w:val="single" w:color="auto" w:sz="4" w:space="0"/>
              <w:right w:val="single" w:color="auto" w:sz="4" w:space="0"/>
            </w:tcBorders>
            <w:vAlign w:val="center"/>
          </w:tcPr>
          <w:p w14:paraId="4FEDC264">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甲方（章）</w:t>
            </w:r>
          </w:p>
          <w:p w14:paraId="632861E0">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45BB874">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49345BB1">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074AA37">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ECFEBA6">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1F7A7E2E">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59B65705">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 </w:t>
            </w:r>
          </w:p>
        </w:tc>
        <w:tc>
          <w:tcPr>
            <w:tcW w:w="4837" w:type="dxa"/>
            <w:tcBorders>
              <w:top w:val="single" w:color="auto" w:sz="4" w:space="0"/>
              <w:left w:val="single" w:color="auto" w:sz="4" w:space="0"/>
              <w:bottom w:val="single" w:color="auto" w:sz="4" w:space="0"/>
              <w:right w:val="single" w:color="auto" w:sz="4" w:space="0"/>
            </w:tcBorders>
            <w:vAlign w:val="center"/>
          </w:tcPr>
          <w:p w14:paraId="71B5D5C1">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乙方（章）</w:t>
            </w:r>
          </w:p>
          <w:p w14:paraId="33AFEF32">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FEC5B56">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6626BF05">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38E5C5AF">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DF4B1F5">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7909E4F0">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p>
          <w:p w14:paraId="19FF0292">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bl>
    <w:p w14:paraId="6FA7F570">
      <w:pPr>
        <w:pageBreakBefore w:val="0"/>
        <w:widowControl w:val="0"/>
        <w:kinsoku/>
        <w:wordWrap w:val="0"/>
        <w:overflowPunct/>
        <w:topLinePunct w:val="0"/>
        <w:bidi w:val="0"/>
        <w:snapToGrid w:val="0"/>
        <w:spacing w:line="4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注：售后服务事项填不下时可另加附页。</w:t>
      </w:r>
    </w:p>
    <w:p w14:paraId="624D9A84">
      <w:pPr>
        <w:pageBreakBefore w:val="0"/>
        <w:widowControl w:val="0"/>
        <w:kinsoku/>
        <w:wordWrap w:val="0"/>
        <w:overflowPunct/>
        <w:topLinePunct w:val="0"/>
        <w:bidi w:val="0"/>
        <w:jc w:val="center"/>
        <w:outlineLvl w:val="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广西科技大学第一附属医院</w:t>
      </w:r>
    </w:p>
    <w:p w14:paraId="3E068A4D">
      <w:pPr>
        <w:pageBreakBefore w:val="0"/>
        <w:widowControl w:val="0"/>
        <w:kinsoku/>
        <w:wordWrap w:val="0"/>
        <w:overflowPunct/>
        <w:topLinePunct w:val="0"/>
        <w:bidi w:val="0"/>
        <w:jc w:val="center"/>
        <w:outlineLvl w:val="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购销双方廉洁承诺责任书</w:t>
      </w:r>
    </w:p>
    <w:p w14:paraId="75F60A84">
      <w:pPr>
        <w:pageBreakBefore w:val="0"/>
        <w:widowControl w:val="0"/>
        <w:kinsoku/>
        <w:wordWrap w:val="0"/>
        <w:overflowPunct/>
        <w:topLinePunct w:val="0"/>
        <w:bidi w:val="0"/>
        <w:adjustRightInd w:val="0"/>
        <w:snapToGrid w:val="0"/>
        <w:spacing w:line="500" w:lineRule="atLeast"/>
        <w:jc w:val="left"/>
        <w:outlineLvl w:val="9"/>
        <w:rPr>
          <w:rFonts w:ascii="宋体" w:hAnsi="宋体" w:eastAsia="宋体" w:cs="宋体"/>
          <w:color w:val="auto"/>
          <w:kern w:val="0"/>
          <w:sz w:val="28"/>
          <w:szCs w:val="28"/>
          <w:highlight w:val="none"/>
        </w:rPr>
      </w:pPr>
    </w:p>
    <w:p w14:paraId="736955EB">
      <w:pPr>
        <w:pageBreakBefore w:val="0"/>
        <w:widowControl w:val="0"/>
        <w:kinsoku/>
        <w:wordWrap w:val="0"/>
        <w:overflowPunct/>
        <w:topLinePunct w:val="0"/>
        <w:bidi w:val="0"/>
        <w:adjustRightInd w:val="0"/>
        <w:snapToGrid w:val="0"/>
        <w:spacing w:line="480" w:lineRule="exact"/>
        <w:jc w:val="left"/>
        <w:outlineLvl w:val="9"/>
        <w:rPr>
          <w:rFonts w:ascii="宋体" w:hAnsi="宋体" w:eastAsia="宋体" w:cs="宋体"/>
          <w:b/>
          <w:bCs/>
          <w:color w:val="auto"/>
          <w:szCs w:val="21"/>
          <w:highlight w:val="none"/>
          <w:u w:val="single"/>
        </w:rPr>
      </w:pPr>
      <w:r>
        <w:rPr>
          <w:rFonts w:hint="eastAsia" w:ascii="宋体" w:hAnsi="宋体" w:eastAsia="宋体" w:cs="宋体"/>
          <w:b/>
          <w:color w:val="auto"/>
          <w:kern w:val="0"/>
          <w:szCs w:val="21"/>
          <w:highlight w:val="none"/>
        </w:rPr>
        <w:t>采购项目：</w:t>
      </w:r>
      <w:r>
        <w:rPr>
          <w:rFonts w:hint="eastAsia" w:ascii="宋体" w:hAnsi="宋体" w:cs="宋体"/>
          <w:b/>
          <w:color w:val="auto"/>
          <w:kern w:val="0"/>
          <w:szCs w:val="21"/>
          <w:highlight w:val="none"/>
          <w:u w:val="single"/>
          <w:lang w:eastAsia="zh-CN"/>
        </w:rPr>
        <w:t>超声波妇科治疗仪等设备采购（重）</w:t>
      </w:r>
      <w:r>
        <w:rPr>
          <w:rFonts w:hint="eastAsia" w:ascii="宋体" w:hAnsi="宋体" w:eastAsia="宋体" w:cs="宋体"/>
          <w:b/>
          <w:color w:val="auto"/>
          <w:szCs w:val="21"/>
          <w:highlight w:val="none"/>
          <w:u w:val="single"/>
        </w:rPr>
        <w:t>（GXZC2025-J1-000063-GSZB）</w:t>
      </w:r>
    </w:p>
    <w:p w14:paraId="3ED2BB1B">
      <w:pPr>
        <w:pageBreakBefore w:val="0"/>
        <w:widowControl w:val="0"/>
        <w:kinsoku/>
        <w:wordWrap w:val="0"/>
        <w:overflowPunct/>
        <w:topLinePunct w:val="0"/>
        <w:bidi w:val="0"/>
        <w:adjustRightInd w:val="0"/>
        <w:snapToGrid w:val="0"/>
        <w:spacing w:line="480" w:lineRule="exact"/>
        <w:jc w:val="left"/>
        <w:outlineLvl w:val="9"/>
        <w:rPr>
          <w:rFonts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rPr>
        <w:t>采购金额：</w:t>
      </w:r>
      <w:r>
        <w:rPr>
          <w:rFonts w:hint="eastAsia" w:ascii="宋体" w:hAnsi="宋体" w:eastAsia="宋体" w:cs="宋体"/>
          <w:b/>
          <w:color w:val="auto"/>
          <w:szCs w:val="21"/>
          <w:highlight w:val="none"/>
          <w:u w:val="single"/>
        </w:rPr>
        <w:t xml:space="preserve">　              　　　　   万元 </w:t>
      </w:r>
      <w:r>
        <w:rPr>
          <w:rFonts w:hint="eastAsia" w:ascii="宋体" w:hAnsi="宋体" w:eastAsia="宋体" w:cs="宋体"/>
          <w:b/>
          <w:color w:val="auto"/>
          <w:kern w:val="0"/>
          <w:szCs w:val="21"/>
          <w:highlight w:val="none"/>
          <w:u w:val="single"/>
        </w:rPr>
        <w:t xml:space="preserve"> (人民币) </w:t>
      </w:r>
    </w:p>
    <w:p w14:paraId="37267BDB">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w:t>
      </w:r>
      <w:r>
        <w:rPr>
          <w:rFonts w:hint="eastAsia" w:ascii="宋体" w:hAnsi="宋体" w:eastAsia="宋体" w:cs="宋体"/>
          <w:color w:val="auto"/>
          <w:szCs w:val="21"/>
          <w:highlight w:val="none"/>
        </w:rPr>
        <w:t>加强医院购销过程中的廉政建设，</w:t>
      </w:r>
      <w:r>
        <w:rPr>
          <w:rFonts w:hint="eastAsia" w:ascii="宋体" w:hAnsi="宋体" w:eastAsia="宋体" w:cs="宋体"/>
          <w:color w:val="auto"/>
          <w:kern w:val="0"/>
          <w:szCs w:val="21"/>
          <w:highlight w:val="none"/>
        </w:rPr>
        <w:t>进一步规范购销行为，保证医院采购药品、医疗器械、物资等工作顺利进行，</w:t>
      </w:r>
      <w:r>
        <w:rPr>
          <w:rFonts w:hint="eastAsia" w:ascii="宋体" w:hAnsi="宋体" w:eastAsia="宋体" w:cs="宋体"/>
          <w:color w:val="auto"/>
          <w:szCs w:val="21"/>
          <w:highlight w:val="none"/>
        </w:rPr>
        <w:t>防止发生各种谋取不正当利益的违法违纪行为，杜绝</w:t>
      </w:r>
      <w:r>
        <w:rPr>
          <w:rFonts w:hint="eastAsia" w:ascii="宋体" w:hAnsi="宋体" w:eastAsia="宋体" w:cs="宋体"/>
          <w:color w:val="auto"/>
          <w:kern w:val="0"/>
          <w:szCs w:val="21"/>
          <w:highlight w:val="none"/>
        </w:rPr>
        <w:t>商业贿赂和不正之风的发生，</w:t>
      </w:r>
      <w:r>
        <w:rPr>
          <w:rFonts w:hint="eastAsia" w:ascii="宋体" w:hAnsi="宋体" w:eastAsia="宋体" w:cs="宋体"/>
          <w:color w:val="auto"/>
          <w:szCs w:val="21"/>
          <w:highlight w:val="none"/>
        </w:rPr>
        <w:t>根据国家有关的法律法规和廉政建设责任制规定，在采购活动中，购销双方</w:t>
      </w:r>
      <w:r>
        <w:rPr>
          <w:rFonts w:hint="eastAsia" w:ascii="宋体" w:hAnsi="宋体" w:eastAsia="宋体" w:cs="宋体"/>
          <w:color w:val="auto"/>
          <w:kern w:val="0"/>
          <w:szCs w:val="21"/>
          <w:highlight w:val="none"/>
        </w:rPr>
        <w:t>签订如下廉洁责任书。</w:t>
      </w:r>
    </w:p>
    <w:p w14:paraId="472A6463">
      <w:pPr>
        <w:pageBreakBefore w:val="0"/>
        <w:widowControl w:val="0"/>
        <w:kinsoku/>
        <w:wordWrap w:val="0"/>
        <w:overflowPunct/>
        <w:topLinePunct w:val="0"/>
        <w:bidi w:val="0"/>
        <w:adjustRightInd w:val="0"/>
        <w:snapToGrid w:val="0"/>
        <w:spacing w:line="480" w:lineRule="exact"/>
        <w:ind w:firstLine="422" w:firstLineChars="200"/>
        <w:jc w:val="left"/>
        <w:outlineLvl w:val="9"/>
        <w:rPr>
          <w:rFonts w:ascii="宋体" w:hAnsi="宋体" w:eastAsia="宋体" w:cs="宋体"/>
          <w:color w:val="auto"/>
          <w:kern w:val="0"/>
          <w:szCs w:val="21"/>
          <w:highlight w:val="none"/>
        </w:rPr>
      </w:pPr>
      <w:bookmarkStart w:id="160" w:name="_Toc12270"/>
      <w:r>
        <w:rPr>
          <w:rFonts w:hint="eastAsia" w:ascii="宋体" w:hAnsi="宋体" w:eastAsia="宋体" w:cs="宋体"/>
          <w:b/>
          <w:color w:val="auto"/>
          <w:kern w:val="0"/>
          <w:szCs w:val="21"/>
          <w:highlight w:val="none"/>
        </w:rPr>
        <w:t>一、采购人的责任</w:t>
      </w:r>
      <w:r>
        <w:rPr>
          <w:rFonts w:hint="eastAsia" w:ascii="宋体" w:hAnsi="宋体" w:eastAsia="宋体" w:cs="宋体"/>
          <w:color w:val="auto"/>
          <w:kern w:val="0"/>
          <w:szCs w:val="21"/>
          <w:highlight w:val="none"/>
        </w:rPr>
        <w:t>：</w:t>
      </w:r>
      <w:bookmarkEnd w:id="160"/>
      <w:r>
        <w:rPr>
          <w:rFonts w:hint="eastAsia" w:ascii="宋体" w:hAnsi="宋体" w:eastAsia="宋体" w:cs="宋体"/>
          <w:color w:val="auto"/>
          <w:kern w:val="0"/>
          <w:szCs w:val="21"/>
          <w:highlight w:val="none"/>
        </w:rPr>
        <w:t xml:space="preserve"> </w:t>
      </w:r>
    </w:p>
    <w:p w14:paraId="78C10C7F">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1.严格遵守中央、自治区及医院有关《医药购销行为的预警规定》和《医药购销领域商业贿赂不良记录》实施办法各项规定和要求。 </w:t>
      </w:r>
    </w:p>
    <w:p w14:paraId="40795610">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2.不准索要、收受供应商产品发票价格以外的现金（含介绍费、提成费、酬劳费、活动费、信息费、开单费等各种名义的好处费）、有价证券及其他支付凭证、贵重物品。 </w:t>
      </w:r>
    </w:p>
    <w:p w14:paraId="0F440BD5">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3.不准接受供应商提供的免费旅游或特殊服务；未经组织同意不得参与供应商提供的各项活动。 </w:t>
      </w:r>
    </w:p>
    <w:p w14:paraId="2A68A411">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4.不准向供应商报销应由个人负责的费用。 </w:t>
      </w:r>
    </w:p>
    <w:p w14:paraId="2F1302A6">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5.不准因未得到好处而故意刁难供应商。 </w:t>
      </w:r>
    </w:p>
    <w:p w14:paraId="6D19F2EF">
      <w:pPr>
        <w:pageBreakBefore w:val="0"/>
        <w:widowControl w:val="0"/>
        <w:kinsoku/>
        <w:wordWrap w:val="0"/>
        <w:overflowPunct/>
        <w:topLinePunct w:val="0"/>
        <w:bidi w:val="0"/>
        <w:adjustRightInd w:val="0"/>
        <w:snapToGrid w:val="0"/>
        <w:spacing w:line="480" w:lineRule="exact"/>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6.采购的产品必须符合国家有关产品质量合格规定(证照齐全)，不准购进劣质（不合格）的产品，以诚信购销，严把质量关。</w:t>
      </w:r>
    </w:p>
    <w:p w14:paraId="327CABC1">
      <w:pPr>
        <w:pageBreakBefore w:val="0"/>
        <w:widowControl w:val="0"/>
        <w:kinsoku/>
        <w:wordWrap w:val="0"/>
        <w:overflowPunct/>
        <w:topLinePunct w:val="0"/>
        <w:bidi w:val="0"/>
        <w:adjustRightInd w:val="0"/>
        <w:snapToGrid w:val="0"/>
        <w:spacing w:line="480" w:lineRule="exact"/>
        <w:ind w:firstLine="422" w:firstLineChars="200"/>
        <w:jc w:val="left"/>
        <w:outlineLvl w:val="9"/>
        <w:rPr>
          <w:rFonts w:ascii="宋体" w:hAnsi="宋体" w:eastAsia="宋体" w:cs="宋体"/>
          <w:b/>
          <w:color w:val="auto"/>
          <w:kern w:val="0"/>
          <w:szCs w:val="21"/>
          <w:highlight w:val="none"/>
        </w:rPr>
      </w:pPr>
      <w:bookmarkStart w:id="161" w:name="_Toc27928"/>
      <w:r>
        <w:rPr>
          <w:rFonts w:hint="eastAsia" w:ascii="宋体" w:hAnsi="宋体" w:eastAsia="宋体" w:cs="宋体"/>
          <w:b/>
          <w:color w:val="auto"/>
          <w:kern w:val="0"/>
          <w:szCs w:val="21"/>
          <w:highlight w:val="none"/>
        </w:rPr>
        <w:t>二、供应商的责任</w:t>
      </w:r>
      <w:bookmarkEnd w:id="161"/>
    </w:p>
    <w:p w14:paraId="67A676B1">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1.自觉遵守法律法规，销售的产品必须符合国家产品质量的有关规定，</w:t>
      </w:r>
      <w:r>
        <w:rPr>
          <w:rFonts w:hint="eastAsia" w:ascii="宋体" w:hAnsi="宋体" w:eastAsia="宋体" w:cs="宋体"/>
          <w:color w:val="auto"/>
          <w:szCs w:val="21"/>
          <w:highlight w:val="none"/>
        </w:rPr>
        <w:t>不准销售劣质（不合格）的产品，</w:t>
      </w:r>
      <w:r>
        <w:rPr>
          <w:rFonts w:hint="eastAsia" w:ascii="宋体" w:hAnsi="宋体" w:eastAsia="宋体" w:cs="宋体"/>
          <w:color w:val="auto"/>
          <w:kern w:val="0"/>
          <w:szCs w:val="21"/>
          <w:highlight w:val="none"/>
        </w:rPr>
        <w:t xml:space="preserve">诚信经营。 </w:t>
      </w:r>
    </w:p>
    <w:p w14:paraId="7FE886A6">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2.不准向采购人有关人员请客送礼及给予各种形式的贿赂。 </w:t>
      </w:r>
    </w:p>
    <w:p w14:paraId="33C5CD83">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3.不准向采购人工作人员的家属、子女经商、办企业及其他活动等提供便利和优惠条件。 </w:t>
      </w:r>
    </w:p>
    <w:p w14:paraId="0E63DD77">
      <w:pPr>
        <w:pageBreakBefore w:val="0"/>
        <w:widowControl w:val="0"/>
        <w:kinsoku/>
        <w:wordWrap w:val="0"/>
        <w:overflowPunct/>
        <w:topLinePunct w:val="0"/>
        <w:bidi w:val="0"/>
        <w:adjustRightInd w:val="0"/>
        <w:snapToGrid w:val="0"/>
        <w:spacing w:line="480" w:lineRule="exact"/>
        <w:ind w:firstLine="422" w:firstLineChars="200"/>
        <w:outlineLvl w:val="9"/>
        <w:rPr>
          <w:rFonts w:ascii="宋体" w:hAnsi="宋体" w:eastAsia="宋体" w:cs="宋体"/>
          <w:b/>
          <w:color w:val="auto"/>
          <w:szCs w:val="21"/>
          <w:highlight w:val="none"/>
        </w:rPr>
      </w:pPr>
      <w:bookmarkStart w:id="162" w:name="_Toc16792"/>
      <w:r>
        <w:rPr>
          <w:rFonts w:hint="eastAsia" w:ascii="宋体" w:hAnsi="宋体" w:eastAsia="宋体" w:cs="宋体"/>
          <w:b/>
          <w:color w:val="auto"/>
          <w:kern w:val="0"/>
          <w:szCs w:val="21"/>
          <w:highlight w:val="none"/>
        </w:rPr>
        <w:t>三、</w:t>
      </w:r>
      <w:r>
        <w:rPr>
          <w:rFonts w:hint="eastAsia" w:ascii="宋体" w:hAnsi="宋体" w:eastAsia="宋体" w:cs="宋体"/>
          <w:b/>
          <w:color w:val="auto"/>
          <w:szCs w:val="21"/>
          <w:highlight w:val="none"/>
        </w:rPr>
        <w:t>违约责任</w:t>
      </w:r>
      <w:bookmarkEnd w:id="162"/>
    </w:p>
    <w:p w14:paraId="44C2B96E">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1.采购人如有违反上述条款，相关责任人按党纪、政纪及医院的有关规定给予处分或处理，触犯刑法的移交司法机关查处。 </w:t>
      </w:r>
    </w:p>
    <w:p w14:paraId="5A8CB4DE">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2.供应商如有违反上述条款，按照国家有关法律法规进行处理。触犯刑法的移交司法部门按规定查处。 </w:t>
      </w:r>
    </w:p>
    <w:p w14:paraId="5BEB9B3C">
      <w:pPr>
        <w:pageBreakBefore w:val="0"/>
        <w:widowControl w:val="0"/>
        <w:kinsoku/>
        <w:wordWrap w:val="0"/>
        <w:overflowPunct/>
        <w:topLinePunct w:val="0"/>
        <w:bidi w:val="0"/>
        <w:adjustRightInd w:val="0"/>
        <w:snapToGrid w:val="0"/>
        <w:spacing w:line="480" w:lineRule="exact"/>
        <w:ind w:firstLine="422" w:firstLineChars="200"/>
        <w:jc w:val="left"/>
        <w:outlineLvl w:val="9"/>
        <w:rPr>
          <w:rFonts w:ascii="宋体" w:hAnsi="宋体" w:eastAsia="宋体" w:cs="宋体"/>
          <w:b/>
          <w:color w:val="auto"/>
          <w:kern w:val="0"/>
          <w:szCs w:val="21"/>
          <w:highlight w:val="none"/>
        </w:rPr>
      </w:pPr>
      <w:bookmarkStart w:id="163" w:name="_Toc2130"/>
      <w:r>
        <w:rPr>
          <w:rFonts w:hint="eastAsia" w:ascii="宋体" w:hAnsi="宋体" w:eastAsia="宋体" w:cs="宋体"/>
          <w:b/>
          <w:color w:val="auto"/>
          <w:kern w:val="0"/>
          <w:szCs w:val="21"/>
          <w:highlight w:val="none"/>
        </w:rPr>
        <w:t>四、其他</w:t>
      </w:r>
      <w:bookmarkEnd w:id="163"/>
      <w:r>
        <w:rPr>
          <w:rFonts w:hint="eastAsia" w:ascii="宋体" w:hAnsi="宋体" w:eastAsia="宋体" w:cs="宋体"/>
          <w:b/>
          <w:color w:val="auto"/>
          <w:kern w:val="0"/>
          <w:szCs w:val="21"/>
          <w:highlight w:val="none"/>
        </w:rPr>
        <w:t xml:space="preserve"> </w:t>
      </w:r>
    </w:p>
    <w:p w14:paraId="642E4920">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1.双方应自觉遵守上述条款，如有违反，可以向双方的纪检监察部门举报、投诉。 </w:t>
      </w:r>
    </w:p>
    <w:p w14:paraId="5DA83D8A">
      <w:pPr>
        <w:pageBreakBefore w:val="0"/>
        <w:widowControl w:val="0"/>
        <w:kinsoku/>
        <w:wordWrap w:val="0"/>
        <w:overflowPunct/>
        <w:topLinePunct w:val="0"/>
        <w:bidi w:val="0"/>
        <w:adjustRightInd w:val="0"/>
        <w:snapToGrid w:val="0"/>
        <w:spacing w:line="480" w:lineRule="exact"/>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2.本责任书一式二份，采购人和供应商各执一份。 </w:t>
      </w:r>
    </w:p>
    <w:p w14:paraId="59A688B3">
      <w:pPr>
        <w:pageBreakBefore w:val="0"/>
        <w:widowControl w:val="0"/>
        <w:kinsoku/>
        <w:wordWrap w:val="0"/>
        <w:overflowPunct/>
        <w:topLinePunct w:val="0"/>
        <w:bidi w:val="0"/>
        <w:adjustRightInd w:val="0"/>
        <w:snapToGrid w:val="0"/>
        <w:spacing w:before="100" w:beforeAutospacing="1" w:after="100" w:afterAutospacing="1" w:line="440" w:lineRule="exact"/>
        <w:ind w:firstLine="105" w:firstLineChars="5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采购单位（盖章）　　　　　　　　　             供货单位（盖章） </w:t>
      </w:r>
    </w:p>
    <w:p w14:paraId="2D0E7D0C">
      <w:pPr>
        <w:pageBreakBefore w:val="0"/>
        <w:widowControl w:val="0"/>
        <w:kinsoku/>
        <w:wordWrap w:val="0"/>
        <w:overflowPunct/>
        <w:topLinePunct w:val="0"/>
        <w:bidi w:val="0"/>
        <w:adjustRightInd w:val="0"/>
        <w:snapToGrid w:val="0"/>
        <w:spacing w:before="100" w:beforeAutospacing="1" w:after="100" w:afterAutospacing="1" w:line="440" w:lineRule="exact"/>
        <w:ind w:firstLine="105" w:firstLineChars="5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采购单位负责人：　　　　　　　　               供货单位负责人：</w:t>
      </w:r>
    </w:p>
    <w:p w14:paraId="114F9F9E">
      <w:pPr>
        <w:pageBreakBefore w:val="0"/>
        <w:widowControl w:val="0"/>
        <w:kinsoku/>
        <w:wordWrap w:val="0"/>
        <w:overflowPunct/>
        <w:topLinePunct w:val="0"/>
        <w:bidi w:val="0"/>
        <w:adjustRightInd w:val="0"/>
        <w:snapToGrid w:val="0"/>
        <w:spacing w:before="100" w:beforeAutospacing="1" w:afterAutospacing="1" w:line="440" w:lineRule="exact"/>
        <w:ind w:firstLine="105" w:firstLineChars="5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采购科室负责人：</w:t>
      </w:r>
    </w:p>
    <w:p w14:paraId="71ADF13F">
      <w:pPr>
        <w:pageBreakBefore w:val="0"/>
        <w:widowControl w:val="0"/>
        <w:kinsoku/>
        <w:wordWrap w:val="0"/>
        <w:overflowPunct/>
        <w:topLinePunct w:val="0"/>
        <w:bidi w:val="0"/>
        <w:spacing w:line="440" w:lineRule="exact"/>
        <w:ind w:firstLine="420" w:firstLineChars="200"/>
        <w:jc w:val="left"/>
        <w:outlineLvl w:val="9"/>
        <w:rPr>
          <w:rFonts w:ascii="宋体" w:hAnsi="宋体" w:eastAsia="宋体" w:cs="宋体"/>
          <w:color w:val="auto"/>
          <w:szCs w:val="21"/>
          <w:highlight w:val="none"/>
        </w:rPr>
      </w:pPr>
      <w:r>
        <w:rPr>
          <w:rFonts w:hint="eastAsia" w:ascii="宋体" w:hAnsi="宋体" w:eastAsia="宋体" w:cs="宋体"/>
          <w:color w:val="auto"/>
          <w:kern w:val="0"/>
          <w:szCs w:val="21"/>
          <w:highlight w:val="none"/>
        </w:rPr>
        <w:t>年   月   日                                   年   月   日</w:t>
      </w:r>
    </w:p>
    <w:p w14:paraId="690A9737">
      <w:pPr>
        <w:pageBreakBefore w:val="0"/>
        <w:widowControl w:val="0"/>
        <w:kinsoku/>
        <w:wordWrap w:val="0"/>
        <w:overflowPunct/>
        <w:topLinePunct w:val="0"/>
        <w:bidi w:val="0"/>
        <w:jc w:val="both"/>
        <w:outlineLvl w:val="9"/>
        <w:rPr>
          <w:rFonts w:hint="eastAsia"/>
        </w:rPr>
      </w:pPr>
    </w:p>
    <w:p w14:paraId="5CA7443A">
      <w:pPr>
        <w:keepNext w:val="0"/>
        <w:keepLines w:val="0"/>
        <w:pageBreakBefore w:val="0"/>
        <w:widowControl w:val="0"/>
        <w:kinsoku/>
        <w:wordWrap w:val="0"/>
        <w:overflowPunct/>
        <w:topLinePunct w:val="0"/>
        <w:autoSpaceDE/>
        <w:autoSpaceDN/>
        <w:bidi w:val="0"/>
        <w:adjustRightInd/>
        <w:snapToGrid w:val="0"/>
        <w:spacing w:line="440" w:lineRule="exact"/>
        <w:jc w:val="both"/>
        <w:textAlignment w:val="auto"/>
        <w:outlineLvl w:val="9"/>
        <w:rPr>
          <w:rFonts w:hint="eastAsia" w:ascii="宋体" w:hAnsi="宋体" w:eastAsia="宋体" w:cs="宋体"/>
          <w:color w:val="000000"/>
          <w:szCs w:val="21"/>
          <w:highlight w:val="yellow"/>
          <w:u w:val="none"/>
          <w:lang w:eastAsia="zh-CN"/>
        </w:rPr>
      </w:pPr>
    </w:p>
    <w:sectPr>
      <w:pgSz w:w="11910" w:h="16840"/>
      <w:pgMar w:top="1440" w:right="1080" w:bottom="1440" w:left="1080" w:header="0" w:footer="7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375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75C0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75C0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977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ACFDDC">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ACFDDC">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50D3">
    <w:pPr>
      <w:pStyle w:val="15"/>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172A3">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0172A3">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8936">
    <w:pPr>
      <w:pStyle w:val="15"/>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7A7FD0">
                          <w:pPr>
                            <w:pStyle w:val="15"/>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9W0RrNABAACqAwAADgAAAAAAAAABACAAAAAeAQAAZHJz&#10;L2Uyb0RvYy54bWxQSwUGAAAAAAYABgBZAQAAYAUAAAAA&#10;">
              <v:fill on="f" focussize="0,0"/>
              <v:stroke on="f"/>
              <v:imagedata o:title=""/>
              <o:lock v:ext="edit" aspectratio="f"/>
              <v:textbox inset="0mm,0mm,0mm,0mm" style="mso-fit-shape-to-text:t;">
                <w:txbxContent>
                  <w:p w14:paraId="6C7A7FD0">
                    <w:pPr>
                      <w:pStyle w:val="1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B809">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59EF6"/>
    <w:multiLevelType w:val="singleLevel"/>
    <w:tmpl w:val="5F259EF6"/>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ZhMTk5OGU1OTMxZWZkNDI1YzMwZTIyOTEyYzdiNzcifQ=="/>
  </w:docVars>
  <w:rsids>
    <w:rsidRoot w:val="00000000"/>
    <w:rsid w:val="005714C6"/>
    <w:rsid w:val="00975D66"/>
    <w:rsid w:val="010333FC"/>
    <w:rsid w:val="016245C6"/>
    <w:rsid w:val="01710365"/>
    <w:rsid w:val="01734162"/>
    <w:rsid w:val="017E0CD4"/>
    <w:rsid w:val="018B2121"/>
    <w:rsid w:val="01B55611"/>
    <w:rsid w:val="01D17056"/>
    <w:rsid w:val="01E32A8B"/>
    <w:rsid w:val="01F1594A"/>
    <w:rsid w:val="020C008E"/>
    <w:rsid w:val="02151639"/>
    <w:rsid w:val="023E272A"/>
    <w:rsid w:val="02485A5C"/>
    <w:rsid w:val="025A34EF"/>
    <w:rsid w:val="025A529E"/>
    <w:rsid w:val="02753E85"/>
    <w:rsid w:val="028642E4"/>
    <w:rsid w:val="029C1412"/>
    <w:rsid w:val="02A91D81"/>
    <w:rsid w:val="02CD53AA"/>
    <w:rsid w:val="02E1151B"/>
    <w:rsid w:val="02E903CF"/>
    <w:rsid w:val="0361265C"/>
    <w:rsid w:val="03C30C20"/>
    <w:rsid w:val="03CA0201"/>
    <w:rsid w:val="03CA1FAF"/>
    <w:rsid w:val="03FB485E"/>
    <w:rsid w:val="0431724B"/>
    <w:rsid w:val="043A35D9"/>
    <w:rsid w:val="0442248D"/>
    <w:rsid w:val="04502D15"/>
    <w:rsid w:val="04536448"/>
    <w:rsid w:val="04663BF6"/>
    <w:rsid w:val="048A2E8D"/>
    <w:rsid w:val="050E411D"/>
    <w:rsid w:val="05107E95"/>
    <w:rsid w:val="05145BD8"/>
    <w:rsid w:val="05483AD3"/>
    <w:rsid w:val="05942874"/>
    <w:rsid w:val="059B1E55"/>
    <w:rsid w:val="059E7B97"/>
    <w:rsid w:val="05D13AC9"/>
    <w:rsid w:val="06055520"/>
    <w:rsid w:val="061E4834"/>
    <w:rsid w:val="06671647"/>
    <w:rsid w:val="066E7569"/>
    <w:rsid w:val="06764534"/>
    <w:rsid w:val="068943A3"/>
    <w:rsid w:val="06A765D7"/>
    <w:rsid w:val="06C70A28"/>
    <w:rsid w:val="06D849E3"/>
    <w:rsid w:val="06FF6413"/>
    <w:rsid w:val="070B125C"/>
    <w:rsid w:val="07B44062"/>
    <w:rsid w:val="07F341CA"/>
    <w:rsid w:val="07FC2953"/>
    <w:rsid w:val="0822685D"/>
    <w:rsid w:val="08237253"/>
    <w:rsid w:val="08253086"/>
    <w:rsid w:val="085B58CB"/>
    <w:rsid w:val="08D77648"/>
    <w:rsid w:val="08ED6E6B"/>
    <w:rsid w:val="08EE6740"/>
    <w:rsid w:val="09012917"/>
    <w:rsid w:val="091343F8"/>
    <w:rsid w:val="09201B46"/>
    <w:rsid w:val="095C5D9F"/>
    <w:rsid w:val="097E5D15"/>
    <w:rsid w:val="09864BCA"/>
    <w:rsid w:val="09D973F0"/>
    <w:rsid w:val="09E3201C"/>
    <w:rsid w:val="0A176238"/>
    <w:rsid w:val="0A2D5046"/>
    <w:rsid w:val="0A40121D"/>
    <w:rsid w:val="0AA96DC2"/>
    <w:rsid w:val="0AB319EF"/>
    <w:rsid w:val="0AD025A1"/>
    <w:rsid w:val="0AF049F1"/>
    <w:rsid w:val="0B1459F4"/>
    <w:rsid w:val="0B154457"/>
    <w:rsid w:val="0B293A5F"/>
    <w:rsid w:val="0B316DB7"/>
    <w:rsid w:val="0B446AEB"/>
    <w:rsid w:val="0B494101"/>
    <w:rsid w:val="0B7A075E"/>
    <w:rsid w:val="0BB023D2"/>
    <w:rsid w:val="0BB27EF8"/>
    <w:rsid w:val="0BF95B27"/>
    <w:rsid w:val="0BFA53FB"/>
    <w:rsid w:val="0C1069CD"/>
    <w:rsid w:val="0C3E7317"/>
    <w:rsid w:val="0C4A6383"/>
    <w:rsid w:val="0C886EAB"/>
    <w:rsid w:val="0CC53C5B"/>
    <w:rsid w:val="0CEC568C"/>
    <w:rsid w:val="0D04253E"/>
    <w:rsid w:val="0D156991"/>
    <w:rsid w:val="0D1F149D"/>
    <w:rsid w:val="0D4B4161"/>
    <w:rsid w:val="0D7731A8"/>
    <w:rsid w:val="0D782105"/>
    <w:rsid w:val="0DBA3094"/>
    <w:rsid w:val="0DDC125D"/>
    <w:rsid w:val="0DDF0D4D"/>
    <w:rsid w:val="0DFC36AD"/>
    <w:rsid w:val="0E121122"/>
    <w:rsid w:val="0E3270CE"/>
    <w:rsid w:val="0E527771"/>
    <w:rsid w:val="0F4F5A5E"/>
    <w:rsid w:val="0F6B0AEA"/>
    <w:rsid w:val="0F864497"/>
    <w:rsid w:val="0FC63F72"/>
    <w:rsid w:val="0FEB1C2B"/>
    <w:rsid w:val="10022AD1"/>
    <w:rsid w:val="10BE1D8C"/>
    <w:rsid w:val="10D75D0B"/>
    <w:rsid w:val="1102722C"/>
    <w:rsid w:val="11270A41"/>
    <w:rsid w:val="115D0906"/>
    <w:rsid w:val="116A6B7F"/>
    <w:rsid w:val="11A11BFF"/>
    <w:rsid w:val="11C6025A"/>
    <w:rsid w:val="12410E02"/>
    <w:rsid w:val="127952CC"/>
    <w:rsid w:val="129C0FBA"/>
    <w:rsid w:val="12A10CC7"/>
    <w:rsid w:val="12BB58E4"/>
    <w:rsid w:val="12D6271E"/>
    <w:rsid w:val="13001549"/>
    <w:rsid w:val="130848A2"/>
    <w:rsid w:val="13135720"/>
    <w:rsid w:val="1329141A"/>
    <w:rsid w:val="136C3083"/>
    <w:rsid w:val="13963C5C"/>
    <w:rsid w:val="13C7650B"/>
    <w:rsid w:val="13D645ED"/>
    <w:rsid w:val="140D0F89"/>
    <w:rsid w:val="141379A2"/>
    <w:rsid w:val="14574AE4"/>
    <w:rsid w:val="145C30F7"/>
    <w:rsid w:val="1461426A"/>
    <w:rsid w:val="14700951"/>
    <w:rsid w:val="14B940A6"/>
    <w:rsid w:val="14C447F8"/>
    <w:rsid w:val="150A66AF"/>
    <w:rsid w:val="151E6CB3"/>
    <w:rsid w:val="152359C3"/>
    <w:rsid w:val="153E45AB"/>
    <w:rsid w:val="156009C5"/>
    <w:rsid w:val="15624208"/>
    <w:rsid w:val="158C2634"/>
    <w:rsid w:val="15B34F99"/>
    <w:rsid w:val="15B50D11"/>
    <w:rsid w:val="15CA5E3E"/>
    <w:rsid w:val="15CC1BB7"/>
    <w:rsid w:val="15F1786F"/>
    <w:rsid w:val="16210154"/>
    <w:rsid w:val="16223ECC"/>
    <w:rsid w:val="16612F62"/>
    <w:rsid w:val="167748C5"/>
    <w:rsid w:val="16A30E83"/>
    <w:rsid w:val="16DA2656"/>
    <w:rsid w:val="171C091C"/>
    <w:rsid w:val="171C58EE"/>
    <w:rsid w:val="17451C21"/>
    <w:rsid w:val="1763654B"/>
    <w:rsid w:val="178070FD"/>
    <w:rsid w:val="17824C23"/>
    <w:rsid w:val="178D5376"/>
    <w:rsid w:val="178F7118"/>
    <w:rsid w:val="17A76437"/>
    <w:rsid w:val="17AA4179"/>
    <w:rsid w:val="17B9616B"/>
    <w:rsid w:val="17EC62B3"/>
    <w:rsid w:val="17F25FE3"/>
    <w:rsid w:val="181810E3"/>
    <w:rsid w:val="181D2B9D"/>
    <w:rsid w:val="182757CA"/>
    <w:rsid w:val="183B1275"/>
    <w:rsid w:val="1844637C"/>
    <w:rsid w:val="186C4600"/>
    <w:rsid w:val="189A41EE"/>
    <w:rsid w:val="18EB5447"/>
    <w:rsid w:val="18FE29CF"/>
    <w:rsid w:val="18FE652B"/>
    <w:rsid w:val="19017EC7"/>
    <w:rsid w:val="19766A09"/>
    <w:rsid w:val="1A2024D1"/>
    <w:rsid w:val="1A6C3968"/>
    <w:rsid w:val="1AF000F5"/>
    <w:rsid w:val="1B067919"/>
    <w:rsid w:val="1B3E5305"/>
    <w:rsid w:val="1B414DF5"/>
    <w:rsid w:val="1B4A1EFB"/>
    <w:rsid w:val="1B4A3CA9"/>
    <w:rsid w:val="1BE51C24"/>
    <w:rsid w:val="1C071B9A"/>
    <w:rsid w:val="1C24274C"/>
    <w:rsid w:val="1C2E2273"/>
    <w:rsid w:val="1C556DAA"/>
    <w:rsid w:val="1C872CDB"/>
    <w:rsid w:val="1C8C7F14"/>
    <w:rsid w:val="1CF163A7"/>
    <w:rsid w:val="1CFD71CA"/>
    <w:rsid w:val="1D28001A"/>
    <w:rsid w:val="1D720C65"/>
    <w:rsid w:val="1D882867"/>
    <w:rsid w:val="1DC15D79"/>
    <w:rsid w:val="1DEF6D8A"/>
    <w:rsid w:val="1E21054D"/>
    <w:rsid w:val="1E4A1236"/>
    <w:rsid w:val="1E4E1D03"/>
    <w:rsid w:val="1E5D3CF4"/>
    <w:rsid w:val="1E676920"/>
    <w:rsid w:val="1EA27958"/>
    <w:rsid w:val="1EBB0A1A"/>
    <w:rsid w:val="1ED778AE"/>
    <w:rsid w:val="1EE44415"/>
    <w:rsid w:val="1EEE2B9E"/>
    <w:rsid w:val="1F0C74C8"/>
    <w:rsid w:val="1F3832F9"/>
    <w:rsid w:val="1F38650F"/>
    <w:rsid w:val="1F491CF8"/>
    <w:rsid w:val="1F642E60"/>
    <w:rsid w:val="1F8169D4"/>
    <w:rsid w:val="1F8D0609"/>
    <w:rsid w:val="1FBE459C"/>
    <w:rsid w:val="200E40BC"/>
    <w:rsid w:val="204607B7"/>
    <w:rsid w:val="205D27E2"/>
    <w:rsid w:val="20684BD2"/>
    <w:rsid w:val="206C2914"/>
    <w:rsid w:val="207B2B57"/>
    <w:rsid w:val="20A53730"/>
    <w:rsid w:val="20C21A54"/>
    <w:rsid w:val="20FB5A46"/>
    <w:rsid w:val="2129610F"/>
    <w:rsid w:val="2132760F"/>
    <w:rsid w:val="21426520"/>
    <w:rsid w:val="217952E8"/>
    <w:rsid w:val="218E0668"/>
    <w:rsid w:val="219F797A"/>
    <w:rsid w:val="21D249F9"/>
    <w:rsid w:val="21D50045"/>
    <w:rsid w:val="21EF51FD"/>
    <w:rsid w:val="220A4192"/>
    <w:rsid w:val="224A27E1"/>
    <w:rsid w:val="226F0499"/>
    <w:rsid w:val="22963C78"/>
    <w:rsid w:val="232B2612"/>
    <w:rsid w:val="23471DBA"/>
    <w:rsid w:val="23720241"/>
    <w:rsid w:val="238B1303"/>
    <w:rsid w:val="23975CCD"/>
    <w:rsid w:val="2403533D"/>
    <w:rsid w:val="24207C9D"/>
    <w:rsid w:val="24264B88"/>
    <w:rsid w:val="2472601F"/>
    <w:rsid w:val="24771887"/>
    <w:rsid w:val="24831FDA"/>
    <w:rsid w:val="249661B1"/>
    <w:rsid w:val="24A445F5"/>
    <w:rsid w:val="24AF4B7D"/>
    <w:rsid w:val="24F9229C"/>
    <w:rsid w:val="250F386E"/>
    <w:rsid w:val="254C4AC2"/>
    <w:rsid w:val="25577E75"/>
    <w:rsid w:val="255B6AB3"/>
    <w:rsid w:val="255D2C12"/>
    <w:rsid w:val="258B55EA"/>
    <w:rsid w:val="258E50DA"/>
    <w:rsid w:val="259D531E"/>
    <w:rsid w:val="25AD43EA"/>
    <w:rsid w:val="25BD32CA"/>
    <w:rsid w:val="25FC13BE"/>
    <w:rsid w:val="26041BE9"/>
    <w:rsid w:val="26143832"/>
    <w:rsid w:val="26202B52"/>
    <w:rsid w:val="26527EB6"/>
    <w:rsid w:val="26551754"/>
    <w:rsid w:val="26683828"/>
    <w:rsid w:val="269229A8"/>
    <w:rsid w:val="26A821CC"/>
    <w:rsid w:val="26AD1590"/>
    <w:rsid w:val="26CA0394"/>
    <w:rsid w:val="26E33204"/>
    <w:rsid w:val="26E66850"/>
    <w:rsid w:val="27174C5C"/>
    <w:rsid w:val="27433CA3"/>
    <w:rsid w:val="278C564A"/>
    <w:rsid w:val="27D843EB"/>
    <w:rsid w:val="27EB6814"/>
    <w:rsid w:val="280E605F"/>
    <w:rsid w:val="28771E56"/>
    <w:rsid w:val="28E561D9"/>
    <w:rsid w:val="290C6A42"/>
    <w:rsid w:val="295D104C"/>
    <w:rsid w:val="297168A5"/>
    <w:rsid w:val="298567F4"/>
    <w:rsid w:val="2A257690"/>
    <w:rsid w:val="2A3110EC"/>
    <w:rsid w:val="2A726D79"/>
    <w:rsid w:val="2A9F38E6"/>
    <w:rsid w:val="2AC375D4"/>
    <w:rsid w:val="2B2A31B0"/>
    <w:rsid w:val="2B70122C"/>
    <w:rsid w:val="2BF65788"/>
    <w:rsid w:val="2C025EDA"/>
    <w:rsid w:val="2C106849"/>
    <w:rsid w:val="2C772424"/>
    <w:rsid w:val="2C864D5D"/>
    <w:rsid w:val="2C9A4365"/>
    <w:rsid w:val="2C9F7BCD"/>
    <w:rsid w:val="2CB573F1"/>
    <w:rsid w:val="2CCB2770"/>
    <w:rsid w:val="2CE115BE"/>
    <w:rsid w:val="2CFD2B2B"/>
    <w:rsid w:val="2D482013"/>
    <w:rsid w:val="2D6230D5"/>
    <w:rsid w:val="2D687FBF"/>
    <w:rsid w:val="2D742E08"/>
    <w:rsid w:val="2DC0604D"/>
    <w:rsid w:val="2DC7118A"/>
    <w:rsid w:val="2E042BA0"/>
    <w:rsid w:val="2E0E6DB8"/>
    <w:rsid w:val="2E440A2C"/>
    <w:rsid w:val="2E627104"/>
    <w:rsid w:val="2E666BF4"/>
    <w:rsid w:val="2E717347"/>
    <w:rsid w:val="2E8B0409"/>
    <w:rsid w:val="2E8E614B"/>
    <w:rsid w:val="2EA65243"/>
    <w:rsid w:val="2ED0406E"/>
    <w:rsid w:val="2EEA15D4"/>
    <w:rsid w:val="2EF44200"/>
    <w:rsid w:val="2F14726B"/>
    <w:rsid w:val="2F77273B"/>
    <w:rsid w:val="2F880DEC"/>
    <w:rsid w:val="2F8C268B"/>
    <w:rsid w:val="2FAF6379"/>
    <w:rsid w:val="2FBE65BC"/>
    <w:rsid w:val="2FCF07C9"/>
    <w:rsid w:val="2FF41FDE"/>
    <w:rsid w:val="300C557A"/>
    <w:rsid w:val="30354AD0"/>
    <w:rsid w:val="309506C7"/>
    <w:rsid w:val="30B023A9"/>
    <w:rsid w:val="30C45E54"/>
    <w:rsid w:val="30DA5678"/>
    <w:rsid w:val="30EB518F"/>
    <w:rsid w:val="30EC0F07"/>
    <w:rsid w:val="30ED7ED1"/>
    <w:rsid w:val="31104BF6"/>
    <w:rsid w:val="31682C84"/>
    <w:rsid w:val="319B6BB5"/>
    <w:rsid w:val="31E63BA8"/>
    <w:rsid w:val="32244DFC"/>
    <w:rsid w:val="32621481"/>
    <w:rsid w:val="32672F3B"/>
    <w:rsid w:val="329976FF"/>
    <w:rsid w:val="329A6E6D"/>
    <w:rsid w:val="32BD0DAD"/>
    <w:rsid w:val="332B5D17"/>
    <w:rsid w:val="334D0383"/>
    <w:rsid w:val="33857B1D"/>
    <w:rsid w:val="33944855"/>
    <w:rsid w:val="339B7340"/>
    <w:rsid w:val="33B421B0"/>
    <w:rsid w:val="340D18C0"/>
    <w:rsid w:val="34235B30"/>
    <w:rsid w:val="343E5F1E"/>
    <w:rsid w:val="34480B4A"/>
    <w:rsid w:val="344A2B14"/>
    <w:rsid w:val="347B0F20"/>
    <w:rsid w:val="34831B82"/>
    <w:rsid w:val="348953EB"/>
    <w:rsid w:val="34BF2BBB"/>
    <w:rsid w:val="350D601C"/>
    <w:rsid w:val="3538471B"/>
    <w:rsid w:val="355157DD"/>
    <w:rsid w:val="35906305"/>
    <w:rsid w:val="35A41DB0"/>
    <w:rsid w:val="35AB313F"/>
    <w:rsid w:val="361B02C4"/>
    <w:rsid w:val="36243EBC"/>
    <w:rsid w:val="367D0F7F"/>
    <w:rsid w:val="367E0853"/>
    <w:rsid w:val="369560BC"/>
    <w:rsid w:val="36A75FFC"/>
    <w:rsid w:val="36C81662"/>
    <w:rsid w:val="36CE3589"/>
    <w:rsid w:val="3712639B"/>
    <w:rsid w:val="377F4883"/>
    <w:rsid w:val="37BA1D5F"/>
    <w:rsid w:val="37F30DCD"/>
    <w:rsid w:val="38507FCD"/>
    <w:rsid w:val="38514471"/>
    <w:rsid w:val="385E26EA"/>
    <w:rsid w:val="389425B0"/>
    <w:rsid w:val="39111E53"/>
    <w:rsid w:val="394C4C39"/>
    <w:rsid w:val="39535FC7"/>
    <w:rsid w:val="396C0E37"/>
    <w:rsid w:val="396E2E01"/>
    <w:rsid w:val="397523E2"/>
    <w:rsid w:val="397568A1"/>
    <w:rsid w:val="39C42A21"/>
    <w:rsid w:val="39DF0F1B"/>
    <w:rsid w:val="39F01A68"/>
    <w:rsid w:val="39F33306"/>
    <w:rsid w:val="3A7C7E5A"/>
    <w:rsid w:val="3AB26178"/>
    <w:rsid w:val="3ADD023E"/>
    <w:rsid w:val="3AE25855"/>
    <w:rsid w:val="3B0E3B62"/>
    <w:rsid w:val="3B1F77E6"/>
    <w:rsid w:val="3B5E2A01"/>
    <w:rsid w:val="3B6B4328"/>
    <w:rsid w:val="3B842468"/>
    <w:rsid w:val="3BB32D4D"/>
    <w:rsid w:val="3BC92571"/>
    <w:rsid w:val="3BE13D5E"/>
    <w:rsid w:val="3BE168A4"/>
    <w:rsid w:val="3C5F2ED5"/>
    <w:rsid w:val="3C6329C5"/>
    <w:rsid w:val="3C6B2F08"/>
    <w:rsid w:val="3C8F37BA"/>
    <w:rsid w:val="3C9557ED"/>
    <w:rsid w:val="3CAB7EC8"/>
    <w:rsid w:val="3CB13731"/>
    <w:rsid w:val="3CCC056A"/>
    <w:rsid w:val="3D167A38"/>
    <w:rsid w:val="3D3B56F0"/>
    <w:rsid w:val="3DB80AEF"/>
    <w:rsid w:val="3DF8538F"/>
    <w:rsid w:val="3DFA1107"/>
    <w:rsid w:val="3DFA4C63"/>
    <w:rsid w:val="3E0502D3"/>
    <w:rsid w:val="3E09134A"/>
    <w:rsid w:val="3E0C2BE9"/>
    <w:rsid w:val="3E2972F7"/>
    <w:rsid w:val="3E8A248B"/>
    <w:rsid w:val="3ECE6F8A"/>
    <w:rsid w:val="3EF36B45"/>
    <w:rsid w:val="3F0C0083"/>
    <w:rsid w:val="3F5F50E9"/>
    <w:rsid w:val="3FAC01DF"/>
    <w:rsid w:val="401F4E55"/>
    <w:rsid w:val="40420B44"/>
    <w:rsid w:val="408D1DBF"/>
    <w:rsid w:val="40A4535A"/>
    <w:rsid w:val="40BD637C"/>
    <w:rsid w:val="40DE086C"/>
    <w:rsid w:val="40F7192E"/>
    <w:rsid w:val="412546F1"/>
    <w:rsid w:val="41306BEE"/>
    <w:rsid w:val="414032D5"/>
    <w:rsid w:val="41411018"/>
    <w:rsid w:val="41792343"/>
    <w:rsid w:val="417D1351"/>
    <w:rsid w:val="41C37A62"/>
    <w:rsid w:val="41CC6917"/>
    <w:rsid w:val="42051E29"/>
    <w:rsid w:val="42472441"/>
    <w:rsid w:val="4249440B"/>
    <w:rsid w:val="42507548"/>
    <w:rsid w:val="426D00FA"/>
    <w:rsid w:val="4283791D"/>
    <w:rsid w:val="42864D18"/>
    <w:rsid w:val="42FA74B4"/>
    <w:rsid w:val="43252782"/>
    <w:rsid w:val="43571F15"/>
    <w:rsid w:val="43617533"/>
    <w:rsid w:val="43713C1A"/>
    <w:rsid w:val="43980E0E"/>
    <w:rsid w:val="439E0787"/>
    <w:rsid w:val="440C56F0"/>
    <w:rsid w:val="442C18EF"/>
    <w:rsid w:val="44354C47"/>
    <w:rsid w:val="4436451B"/>
    <w:rsid w:val="44366C11"/>
    <w:rsid w:val="44867251"/>
    <w:rsid w:val="44D501D8"/>
    <w:rsid w:val="44D51F86"/>
    <w:rsid w:val="44E328F5"/>
    <w:rsid w:val="45442C68"/>
    <w:rsid w:val="45464C32"/>
    <w:rsid w:val="45505AB1"/>
    <w:rsid w:val="45C1250B"/>
    <w:rsid w:val="45C85647"/>
    <w:rsid w:val="45EF52CA"/>
    <w:rsid w:val="460074D7"/>
    <w:rsid w:val="46134694"/>
    <w:rsid w:val="463902F3"/>
    <w:rsid w:val="465245BA"/>
    <w:rsid w:val="468772B0"/>
    <w:rsid w:val="46DD5122"/>
    <w:rsid w:val="471D05BF"/>
    <w:rsid w:val="47794E4B"/>
    <w:rsid w:val="47A3636C"/>
    <w:rsid w:val="47AF12B5"/>
    <w:rsid w:val="47B10A89"/>
    <w:rsid w:val="47C562E2"/>
    <w:rsid w:val="47E97841"/>
    <w:rsid w:val="481E1E96"/>
    <w:rsid w:val="48217291"/>
    <w:rsid w:val="4860425D"/>
    <w:rsid w:val="488B752C"/>
    <w:rsid w:val="48EB7FCA"/>
    <w:rsid w:val="48F86243"/>
    <w:rsid w:val="493E459E"/>
    <w:rsid w:val="495518E8"/>
    <w:rsid w:val="495F2766"/>
    <w:rsid w:val="496438D9"/>
    <w:rsid w:val="49885819"/>
    <w:rsid w:val="499E6DEB"/>
    <w:rsid w:val="49F909F5"/>
    <w:rsid w:val="4A6A4F1F"/>
    <w:rsid w:val="4A965D14"/>
    <w:rsid w:val="4AA743C5"/>
    <w:rsid w:val="4AAE12AF"/>
    <w:rsid w:val="4ACE1952"/>
    <w:rsid w:val="4AD36F68"/>
    <w:rsid w:val="4ADA0AAB"/>
    <w:rsid w:val="4B054C48"/>
    <w:rsid w:val="4B475260"/>
    <w:rsid w:val="4B86222C"/>
    <w:rsid w:val="4BD73D35"/>
    <w:rsid w:val="4BF77A7D"/>
    <w:rsid w:val="4C373527"/>
    <w:rsid w:val="4C771B75"/>
    <w:rsid w:val="4CB86E9C"/>
    <w:rsid w:val="4CD60F91"/>
    <w:rsid w:val="4CD64AED"/>
    <w:rsid w:val="4CE03BBE"/>
    <w:rsid w:val="4CE76CFB"/>
    <w:rsid w:val="4D211BAD"/>
    <w:rsid w:val="4D447CA9"/>
    <w:rsid w:val="4D4B1038"/>
    <w:rsid w:val="4D622825"/>
    <w:rsid w:val="4DFA480C"/>
    <w:rsid w:val="4E105DDD"/>
    <w:rsid w:val="4E74636C"/>
    <w:rsid w:val="4E9B1B4B"/>
    <w:rsid w:val="4EB8094F"/>
    <w:rsid w:val="4ED67027"/>
    <w:rsid w:val="4F05790C"/>
    <w:rsid w:val="4F1E452A"/>
    <w:rsid w:val="4F3D2C02"/>
    <w:rsid w:val="4F4F2935"/>
    <w:rsid w:val="4F714FA1"/>
    <w:rsid w:val="50966A6E"/>
    <w:rsid w:val="50A53155"/>
    <w:rsid w:val="50D41344"/>
    <w:rsid w:val="50FB0FC7"/>
    <w:rsid w:val="51331037"/>
    <w:rsid w:val="51FE0D6E"/>
    <w:rsid w:val="52045C59"/>
    <w:rsid w:val="5208399B"/>
    <w:rsid w:val="525F5585"/>
    <w:rsid w:val="527432BC"/>
    <w:rsid w:val="529A65BD"/>
    <w:rsid w:val="52B4767F"/>
    <w:rsid w:val="52C13B4A"/>
    <w:rsid w:val="52E635B0"/>
    <w:rsid w:val="530C74BB"/>
    <w:rsid w:val="531B76FE"/>
    <w:rsid w:val="53220A8C"/>
    <w:rsid w:val="532540D9"/>
    <w:rsid w:val="532F6D06"/>
    <w:rsid w:val="536410A5"/>
    <w:rsid w:val="53753280"/>
    <w:rsid w:val="53B042EA"/>
    <w:rsid w:val="53E43F94"/>
    <w:rsid w:val="5415414D"/>
    <w:rsid w:val="54972DB4"/>
    <w:rsid w:val="54B5148C"/>
    <w:rsid w:val="54C142D5"/>
    <w:rsid w:val="54CA318A"/>
    <w:rsid w:val="55180399"/>
    <w:rsid w:val="554A0F08"/>
    <w:rsid w:val="554C0043"/>
    <w:rsid w:val="556F3D31"/>
    <w:rsid w:val="558F1CDD"/>
    <w:rsid w:val="55BB2AD2"/>
    <w:rsid w:val="55BD684B"/>
    <w:rsid w:val="55EE10FA"/>
    <w:rsid w:val="568F6618"/>
    <w:rsid w:val="56A43CB8"/>
    <w:rsid w:val="56B57E6A"/>
    <w:rsid w:val="56F3147F"/>
    <w:rsid w:val="570C5CDB"/>
    <w:rsid w:val="57144B90"/>
    <w:rsid w:val="57203535"/>
    <w:rsid w:val="576B4AC6"/>
    <w:rsid w:val="57923D07"/>
    <w:rsid w:val="57996E43"/>
    <w:rsid w:val="579E08FE"/>
    <w:rsid w:val="57C71C02"/>
    <w:rsid w:val="587C2438"/>
    <w:rsid w:val="58A106A5"/>
    <w:rsid w:val="58A27F7A"/>
    <w:rsid w:val="58D2260D"/>
    <w:rsid w:val="58DF11CE"/>
    <w:rsid w:val="592E43C6"/>
    <w:rsid w:val="594554D5"/>
    <w:rsid w:val="59A246D5"/>
    <w:rsid w:val="59AD1A07"/>
    <w:rsid w:val="59F31D20"/>
    <w:rsid w:val="59FC01B8"/>
    <w:rsid w:val="59FE628D"/>
    <w:rsid w:val="5A026F22"/>
    <w:rsid w:val="5A851901"/>
    <w:rsid w:val="5B2B4256"/>
    <w:rsid w:val="5B745BFD"/>
    <w:rsid w:val="5B793214"/>
    <w:rsid w:val="5BAF6C35"/>
    <w:rsid w:val="5BB57FC4"/>
    <w:rsid w:val="5BD743DE"/>
    <w:rsid w:val="5BD82630"/>
    <w:rsid w:val="5BEC1C38"/>
    <w:rsid w:val="5C142F3C"/>
    <w:rsid w:val="5C846314"/>
    <w:rsid w:val="5C9A78E6"/>
    <w:rsid w:val="5C9C18B0"/>
    <w:rsid w:val="5CAE15E3"/>
    <w:rsid w:val="5CD930B1"/>
    <w:rsid w:val="5D086F45"/>
    <w:rsid w:val="5D170F36"/>
    <w:rsid w:val="5D1A4582"/>
    <w:rsid w:val="5D1C479E"/>
    <w:rsid w:val="5D1C654D"/>
    <w:rsid w:val="5D3F223B"/>
    <w:rsid w:val="5D465377"/>
    <w:rsid w:val="5D5977A1"/>
    <w:rsid w:val="5DB91FED"/>
    <w:rsid w:val="5DBC1ADE"/>
    <w:rsid w:val="5DD15589"/>
    <w:rsid w:val="5E2A2EEB"/>
    <w:rsid w:val="5E2D4789"/>
    <w:rsid w:val="5E4F64AE"/>
    <w:rsid w:val="5E8819C0"/>
    <w:rsid w:val="5E982F3F"/>
    <w:rsid w:val="5EA762EA"/>
    <w:rsid w:val="5ED115B9"/>
    <w:rsid w:val="5EDB5F93"/>
    <w:rsid w:val="5EF13A09"/>
    <w:rsid w:val="5F2931A3"/>
    <w:rsid w:val="5F304531"/>
    <w:rsid w:val="5F3C2ED6"/>
    <w:rsid w:val="5F7C678D"/>
    <w:rsid w:val="5F8959EF"/>
    <w:rsid w:val="5FA318A9"/>
    <w:rsid w:val="5FD255E8"/>
    <w:rsid w:val="5FE33352"/>
    <w:rsid w:val="5FE37259"/>
    <w:rsid w:val="600357A2"/>
    <w:rsid w:val="60374A5D"/>
    <w:rsid w:val="60625B06"/>
    <w:rsid w:val="60CC2038"/>
    <w:rsid w:val="61001944"/>
    <w:rsid w:val="61515492"/>
    <w:rsid w:val="615D1AB0"/>
    <w:rsid w:val="61970898"/>
    <w:rsid w:val="61E810F3"/>
    <w:rsid w:val="6208709F"/>
    <w:rsid w:val="623E7861"/>
    <w:rsid w:val="626C3AD2"/>
    <w:rsid w:val="62E95123"/>
    <w:rsid w:val="63097573"/>
    <w:rsid w:val="6356208C"/>
    <w:rsid w:val="63612F0B"/>
    <w:rsid w:val="63F20007"/>
    <w:rsid w:val="63F975E8"/>
    <w:rsid w:val="641E0DFC"/>
    <w:rsid w:val="642F3009"/>
    <w:rsid w:val="643B7C00"/>
    <w:rsid w:val="644D16E1"/>
    <w:rsid w:val="64610CE9"/>
    <w:rsid w:val="64A37553"/>
    <w:rsid w:val="64ED07CF"/>
    <w:rsid w:val="64F93617"/>
    <w:rsid w:val="65387F11"/>
    <w:rsid w:val="65534AD5"/>
    <w:rsid w:val="65864EAB"/>
    <w:rsid w:val="65D35C16"/>
    <w:rsid w:val="65E120E1"/>
    <w:rsid w:val="661E3335"/>
    <w:rsid w:val="66230554"/>
    <w:rsid w:val="66560D21"/>
    <w:rsid w:val="66742350"/>
    <w:rsid w:val="66772A46"/>
    <w:rsid w:val="66811B16"/>
    <w:rsid w:val="669C425A"/>
    <w:rsid w:val="66FB3677"/>
    <w:rsid w:val="670F5E99"/>
    <w:rsid w:val="673B3A73"/>
    <w:rsid w:val="676A4358"/>
    <w:rsid w:val="678D0AED"/>
    <w:rsid w:val="6813679E"/>
    <w:rsid w:val="681A18DB"/>
    <w:rsid w:val="68264723"/>
    <w:rsid w:val="6828049B"/>
    <w:rsid w:val="68594AF9"/>
    <w:rsid w:val="685E210F"/>
    <w:rsid w:val="685F19E3"/>
    <w:rsid w:val="68CF0917"/>
    <w:rsid w:val="68D93544"/>
    <w:rsid w:val="68E91D9B"/>
    <w:rsid w:val="692073C4"/>
    <w:rsid w:val="699E02E9"/>
    <w:rsid w:val="6A162576"/>
    <w:rsid w:val="6A527A52"/>
    <w:rsid w:val="6A905A27"/>
    <w:rsid w:val="6AC00E5F"/>
    <w:rsid w:val="6ACB0453"/>
    <w:rsid w:val="6ADA35A3"/>
    <w:rsid w:val="6AE12B83"/>
    <w:rsid w:val="6B32518D"/>
    <w:rsid w:val="6B5C220A"/>
    <w:rsid w:val="6B713F07"/>
    <w:rsid w:val="6B914CBA"/>
    <w:rsid w:val="6BAF67DE"/>
    <w:rsid w:val="6BB42046"/>
    <w:rsid w:val="6BD050D2"/>
    <w:rsid w:val="6BE24E05"/>
    <w:rsid w:val="6C064C98"/>
    <w:rsid w:val="6C1C0317"/>
    <w:rsid w:val="6C3867D3"/>
    <w:rsid w:val="6C643A6C"/>
    <w:rsid w:val="6C663340"/>
    <w:rsid w:val="6C95092E"/>
    <w:rsid w:val="6C951E77"/>
    <w:rsid w:val="6CF070AE"/>
    <w:rsid w:val="6CF3094C"/>
    <w:rsid w:val="6D0A63C2"/>
    <w:rsid w:val="6D156B14"/>
    <w:rsid w:val="6D284A9A"/>
    <w:rsid w:val="6DA8340F"/>
    <w:rsid w:val="6DC63EEA"/>
    <w:rsid w:val="6DCE3893"/>
    <w:rsid w:val="6DCF13B9"/>
    <w:rsid w:val="6DF57072"/>
    <w:rsid w:val="6E4F6056"/>
    <w:rsid w:val="6E8757F0"/>
    <w:rsid w:val="6E9A3775"/>
    <w:rsid w:val="6EC425A0"/>
    <w:rsid w:val="6EE964AB"/>
    <w:rsid w:val="6EF2535F"/>
    <w:rsid w:val="6F0230C8"/>
    <w:rsid w:val="6F0F4163"/>
    <w:rsid w:val="6F1C23DC"/>
    <w:rsid w:val="6F2259BD"/>
    <w:rsid w:val="6F477302"/>
    <w:rsid w:val="6F60676D"/>
    <w:rsid w:val="6FD40F09"/>
    <w:rsid w:val="702F4391"/>
    <w:rsid w:val="70335C2F"/>
    <w:rsid w:val="7036127C"/>
    <w:rsid w:val="70D54F38"/>
    <w:rsid w:val="70DA60AB"/>
    <w:rsid w:val="713056CE"/>
    <w:rsid w:val="71A16BC9"/>
    <w:rsid w:val="720214A5"/>
    <w:rsid w:val="721970A7"/>
    <w:rsid w:val="722D2858"/>
    <w:rsid w:val="72836571"/>
    <w:rsid w:val="72D803F5"/>
    <w:rsid w:val="72F1592E"/>
    <w:rsid w:val="73C3376E"/>
    <w:rsid w:val="73EA5CB5"/>
    <w:rsid w:val="744877CF"/>
    <w:rsid w:val="746E36DA"/>
    <w:rsid w:val="747C756B"/>
    <w:rsid w:val="74827185"/>
    <w:rsid w:val="74F43C4F"/>
    <w:rsid w:val="75A650F5"/>
    <w:rsid w:val="75B625D5"/>
    <w:rsid w:val="75DA6B4D"/>
    <w:rsid w:val="75F93477"/>
    <w:rsid w:val="75FC2F67"/>
    <w:rsid w:val="76573E81"/>
    <w:rsid w:val="76622153"/>
    <w:rsid w:val="767174B1"/>
    <w:rsid w:val="76960CC6"/>
    <w:rsid w:val="76A1720A"/>
    <w:rsid w:val="76AE5241"/>
    <w:rsid w:val="76F17E1F"/>
    <w:rsid w:val="772A140E"/>
    <w:rsid w:val="773D55E5"/>
    <w:rsid w:val="775E5C88"/>
    <w:rsid w:val="77A67671"/>
    <w:rsid w:val="77A94A29"/>
    <w:rsid w:val="77E141C3"/>
    <w:rsid w:val="77E3618D"/>
    <w:rsid w:val="78413640"/>
    <w:rsid w:val="788C05D2"/>
    <w:rsid w:val="788E22F0"/>
    <w:rsid w:val="78917997"/>
    <w:rsid w:val="78A376CA"/>
    <w:rsid w:val="78AF57C4"/>
    <w:rsid w:val="78C14481"/>
    <w:rsid w:val="78E73A5B"/>
    <w:rsid w:val="78EA70A7"/>
    <w:rsid w:val="791365FE"/>
    <w:rsid w:val="791D122B"/>
    <w:rsid w:val="792E168A"/>
    <w:rsid w:val="794C52D1"/>
    <w:rsid w:val="796230E1"/>
    <w:rsid w:val="796277BC"/>
    <w:rsid w:val="796706F8"/>
    <w:rsid w:val="79DD6C0C"/>
    <w:rsid w:val="7A1B7E60"/>
    <w:rsid w:val="7A291E51"/>
    <w:rsid w:val="7A4A24F3"/>
    <w:rsid w:val="7A721A4A"/>
    <w:rsid w:val="7AA86A41"/>
    <w:rsid w:val="7AD7365B"/>
    <w:rsid w:val="7AFD5938"/>
    <w:rsid w:val="7B22435D"/>
    <w:rsid w:val="7B445194"/>
    <w:rsid w:val="7B494559"/>
    <w:rsid w:val="7B643141"/>
    <w:rsid w:val="7B656EB9"/>
    <w:rsid w:val="7B6E0463"/>
    <w:rsid w:val="7B707D38"/>
    <w:rsid w:val="7B71585E"/>
    <w:rsid w:val="7BBB4D2B"/>
    <w:rsid w:val="7C1D1542"/>
    <w:rsid w:val="7C694787"/>
    <w:rsid w:val="7C7970C0"/>
    <w:rsid w:val="7C945CA8"/>
    <w:rsid w:val="7CA103C5"/>
    <w:rsid w:val="7CA37C99"/>
    <w:rsid w:val="7CA852AF"/>
    <w:rsid w:val="7CC06A9D"/>
    <w:rsid w:val="7CCA791B"/>
    <w:rsid w:val="7CD97B5E"/>
    <w:rsid w:val="7D0821F2"/>
    <w:rsid w:val="7D0E5A5A"/>
    <w:rsid w:val="7D2F025C"/>
    <w:rsid w:val="7D2F777E"/>
    <w:rsid w:val="7D74771A"/>
    <w:rsid w:val="7DBF0B02"/>
    <w:rsid w:val="7DC425BD"/>
    <w:rsid w:val="7DE467BB"/>
    <w:rsid w:val="7DF509C8"/>
    <w:rsid w:val="7E1A21DD"/>
    <w:rsid w:val="7EC860DC"/>
    <w:rsid w:val="7F4D7435"/>
    <w:rsid w:val="7F5E1BD8"/>
    <w:rsid w:val="7FB425BD"/>
    <w:rsid w:val="7FDD7966"/>
    <w:rsid w:val="7FF16F6D"/>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9"/>
    <w:pPr>
      <w:keepNext/>
      <w:keepLines/>
      <w:spacing w:beforeLines="50" w:afterLines="50" w:line="360" w:lineRule="auto"/>
      <w:outlineLvl w:val="1"/>
    </w:pPr>
    <w:rPr>
      <w:rFonts w:ascii="Cambria" w:hAnsi="Cambria"/>
      <w:b/>
      <w:bCs/>
      <w:sz w:val="32"/>
      <w:szCs w:val="32"/>
    </w:rPr>
  </w:style>
  <w:style w:type="paragraph" w:styleId="4">
    <w:name w:val="heading 4"/>
    <w:basedOn w:val="1"/>
    <w:next w:val="1"/>
    <w:qFormat/>
    <w:uiPriority w:val="0"/>
    <w:pPr>
      <w:keepNext/>
      <w:keepLines/>
      <w:widowControl/>
      <w:spacing w:line="360" w:lineRule="auto"/>
      <w:jc w:val="center"/>
      <w:outlineLvl w:val="3"/>
    </w:pPr>
    <w:rPr>
      <w:rFonts w:ascii="Arial" w:hAnsi="Arial" w:eastAsia="黑体"/>
      <w:kern w:val="0"/>
      <w:sz w:val="28"/>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unhideWhenUsed/>
    <w:qFormat/>
    <w:uiPriority w:val="99"/>
    <w:pPr>
      <w:spacing w:after="120"/>
    </w:pPr>
    <w:rPr>
      <w:sz w:val="16"/>
      <w:szCs w:val="16"/>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customStyle="1" w:styleId="11">
    <w:name w:val="Default"/>
    <w:next w:val="1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unhideWhenUsed/>
    <w:qFormat/>
    <w:uiPriority w:val="39"/>
  </w:style>
  <w:style w:type="paragraph" w:styleId="18">
    <w:name w:val="Body Text First Indent"/>
    <w:basedOn w:val="9"/>
    <w:qFormat/>
    <w:uiPriority w:val="0"/>
    <w:pPr>
      <w:ind w:firstLine="420" w:firstLineChars="100"/>
    </w:pPr>
  </w:style>
  <w:style w:type="paragraph" w:styleId="19">
    <w:name w:val="Body Text First Indent 2"/>
    <w:basedOn w:val="10"/>
    <w:next w:val="1"/>
    <w:qFormat/>
    <w:uiPriority w:val="0"/>
    <w:pPr>
      <w:ind w:firstLine="420" w:firstLine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
    <w:name w:val="标题 1 Char"/>
    <w:link w:val="2"/>
    <w:autoRedefine/>
    <w:qFormat/>
    <w:uiPriority w:val="0"/>
    <w:rPr>
      <w:rFonts w:ascii="Times New Roman" w:hAnsi="Times New Roman" w:eastAsia="宋体" w:cs="Times New Roman"/>
      <w:b/>
      <w:bCs/>
      <w:kern w:val="44"/>
      <w:sz w:val="44"/>
      <w:szCs w:val="44"/>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paragraph" w:styleId="26">
    <w:name w:val="List Paragraph"/>
    <w:basedOn w:val="1"/>
    <w:autoRedefine/>
    <w:qFormat/>
    <w:uiPriority w:val="34"/>
    <w:pPr>
      <w:ind w:firstLine="420" w:firstLineChars="200"/>
    </w:pPr>
  </w:style>
  <w:style w:type="paragraph" w:customStyle="1" w:styleId="27">
    <w:name w:val="WPSOffice手动目录 1"/>
    <w:qFormat/>
    <w:uiPriority w:val="0"/>
    <w:pPr>
      <w:ind w:leftChars="0"/>
    </w:pPr>
    <w:rPr>
      <w:rFonts w:ascii="Arial" w:hAnsi="Arial" w:eastAsia="Arial" w:cs="Arial"/>
      <w:sz w:val="20"/>
      <w:szCs w:val="20"/>
    </w:rPr>
  </w:style>
  <w:style w:type="paragraph" w:customStyle="1" w:styleId="28">
    <w:name w:val="WPSOffice手动目录 2"/>
    <w:qFormat/>
    <w:uiPriority w:val="0"/>
    <w:pPr>
      <w:ind w:leftChars="200"/>
    </w:pPr>
    <w:rPr>
      <w:rFonts w:ascii="Arial" w:hAnsi="Arial" w:eastAsia="Arial" w:cs="Arial"/>
      <w:sz w:val="20"/>
      <w:szCs w:val="20"/>
    </w:rPr>
  </w:style>
  <w:style w:type="paragraph" w:customStyle="1" w:styleId="29">
    <w:name w:val="WPSOffice手动目录 3"/>
    <w:qFormat/>
    <w:uiPriority w:val="0"/>
    <w:pPr>
      <w:ind w:leftChars="400"/>
    </w:pPr>
    <w:rPr>
      <w:rFonts w:ascii="Arial" w:hAnsi="Arial" w:eastAsia="Arial" w:cs="Arial"/>
      <w:sz w:val="20"/>
      <w:szCs w:val="20"/>
    </w:rPr>
  </w:style>
  <w:style w:type="paragraph" w:customStyle="1" w:styleId="30">
    <w:name w:val="正文2"/>
    <w:basedOn w:val="1"/>
    <w:qFormat/>
    <w:uiPriority w:val="0"/>
    <w:pPr>
      <w:adjustRightInd w:val="0"/>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42775</Words>
  <Characters>45619</Characters>
  <TotalTime>26</TotalTime>
  <ScaleCrop>false</ScaleCrop>
  <LinksUpToDate>false</LinksUpToDate>
  <CharactersWithSpaces>50848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2024-07-08T09:53:00Z</dcterms:created>
  <dc:creator>广西国泰招标</dc:creator>
  <cp:lastModifiedBy>zys</cp:lastModifiedBy>
  <cp:lastPrinted>2024-11-18T01:37:00Z</cp:lastPrinted>
  <dcterms:modified xsi:type="dcterms:W3CDTF">2025-01-20T07:19:20Z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2024-11-06T09:30:09Z</vt:filetime>
  </property>
  <property fmtid="{D5CDD505-2E9C-101B-9397-08002B2CF9AE}" pid="4" name="KSOProductBuildVer">
    <vt:lpwstr>2052-12.1.0.19770</vt:lpwstr>
  </property>
  <property fmtid="{D5CDD505-2E9C-101B-9397-08002B2CF9AE}" pid="5" name="ICV">
    <vt:lpwstr>13FBDC9A962645EEB89A3215B29E1B0D_12</vt:lpwstr>
  </property>
  <property fmtid="{D5CDD505-2E9C-101B-9397-08002B2CF9AE}" pid="6" name="KSOTemplateDocerSaveRecord">
    <vt:lpwstr>eyJoZGlkIjoiNDhlMmQ5NmE5MWZjNTQ5Njg3MWFjZjU2N2FlMzQ2NzQiLCJ1c2VySWQiOiI0NjE3MDU5NTYifQ==</vt:lpwstr>
  </property>
</Properties>
</file>