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FE01F">
      <w:pPr>
        <w:pStyle w:val="20"/>
        <w:jc w:val="center"/>
        <w:rPr>
          <w:rFonts w:hAnsi="宋体" w:cs="宋体"/>
          <w:color w:val="auto"/>
          <w:spacing w:val="30"/>
          <w:kern w:val="52"/>
          <w:sz w:val="64"/>
          <w:szCs w:val="64"/>
          <w:highlight w:val="none"/>
        </w:rPr>
      </w:pPr>
      <w:r>
        <w:rPr>
          <w:rFonts w:hint="eastAsia" w:hAnsi="宋体" w:cs="宋体"/>
          <w:color w:val="auto"/>
          <w:highlight w:val="none"/>
        </w:rPr>
        <w:drawing>
          <wp:inline distT="0" distB="0" distL="114300" distR="114300">
            <wp:extent cx="1031875" cy="965835"/>
            <wp:effectExtent l="0" t="0" r="15875" b="5715"/>
            <wp:docPr id="2"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泰标志"/>
                    <pic:cNvPicPr>
                      <a:picLocks noChangeAspect="1"/>
                    </pic:cNvPicPr>
                  </pic:nvPicPr>
                  <pic:blipFill>
                    <a:blip r:embed="rId12"/>
                    <a:stretch>
                      <a:fillRect/>
                    </a:stretch>
                  </pic:blipFill>
                  <pic:spPr>
                    <a:xfrm>
                      <a:off x="0" y="0"/>
                      <a:ext cx="1031875" cy="965835"/>
                    </a:xfrm>
                    <a:prstGeom prst="rect">
                      <a:avLst/>
                    </a:prstGeom>
                    <a:noFill/>
                    <a:ln>
                      <a:noFill/>
                    </a:ln>
                  </pic:spPr>
                </pic:pic>
              </a:graphicData>
            </a:graphic>
          </wp:inline>
        </w:drawing>
      </w:r>
    </w:p>
    <w:p w14:paraId="0694222E">
      <w:pPr>
        <w:pStyle w:val="20"/>
        <w:jc w:val="center"/>
        <w:rPr>
          <w:rFonts w:hAnsi="宋体" w:cs="宋体"/>
          <w:color w:val="auto"/>
          <w:spacing w:val="30"/>
          <w:kern w:val="52"/>
          <w:sz w:val="64"/>
          <w:szCs w:val="64"/>
          <w:highlight w:val="none"/>
        </w:rPr>
      </w:pPr>
      <w:r>
        <w:rPr>
          <w:rFonts w:hint="eastAsia" w:hAnsi="宋体" w:cs="宋体"/>
          <w:color w:val="auto"/>
          <w:spacing w:val="30"/>
          <w:kern w:val="52"/>
          <w:sz w:val="64"/>
          <w:szCs w:val="64"/>
          <w:highlight w:val="none"/>
        </w:rPr>
        <w:t>广西国泰招标咨询有限公司</w:t>
      </w:r>
    </w:p>
    <w:p w14:paraId="305351C1">
      <w:pPr>
        <w:pStyle w:val="20"/>
        <w:jc w:val="center"/>
        <w:rPr>
          <w:rFonts w:hAnsi="宋体" w:cs="宋体"/>
          <w:b/>
          <w:color w:val="auto"/>
          <w:sz w:val="44"/>
          <w:szCs w:val="44"/>
          <w:highlight w:val="none"/>
        </w:rPr>
      </w:pPr>
      <w:r>
        <w:rPr>
          <w:rFonts w:hAnsi="宋体" w:cs="宋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6350" r="0" b="6350"/>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awUM1AAAAAgBAAAP&#10;AAAAAAAAAAEAIAAAACIAAABkcnMvZG93bnJldi54bWxQSwECFAAUAAAACACHTuJAqlxkR+MBAADe&#10;AwAADgAAAAAAAAABACAAAAAjAQAAZHJzL2Uyb0RvYy54bWxQSwUGAAAAAAYABgBZAQAAeAUAAAAA&#10;">
                <v:fill on="f" focussize="0,0"/>
                <v:stroke weight="1pt" color="#000000" joinstyle="round"/>
                <v:imagedata o:title=""/>
                <o:lock v:ext="edit" aspectratio="f"/>
              </v:line>
            </w:pict>
          </mc:Fallback>
        </mc:AlternateContent>
      </w:r>
    </w:p>
    <w:p w14:paraId="60C1C442">
      <w:pPr>
        <w:snapToGrid w:val="0"/>
        <w:spacing w:before="156" w:beforeLines="50" w:line="360" w:lineRule="auto"/>
        <w:jc w:val="center"/>
        <w:rPr>
          <w:rFonts w:ascii="宋体" w:hAnsi="宋体" w:cs="宋体"/>
          <w:color w:val="auto"/>
          <w:sz w:val="120"/>
          <w:szCs w:val="120"/>
          <w:highlight w:val="none"/>
        </w:rPr>
      </w:pPr>
      <w:r>
        <w:rPr>
          <w:rFonts w:hint="eastAsia" w:ascii="宋体" w:hAnsi="宋体" w:cs="宋体"/>
          <w:color w:val="auto"/>
          <w:sz w:val="120"/>
          <w:szCs w:val="120"/>
          <w:highlight w:val="none"/>
        </w:rPr>
        <w:t>竞争性磋商文件</w:t>
      </w:r>
    </w:p>
    <w:p w14:paraId="7E86B5F1">
      <w:pPr>
        <w:snapToGrid w:val="0"/>
        <w:spacing w:line="360" w:lineRule="auto"/>
        <w:rPr>
          <w:rFonts w:ascii="宋体" w:hAnsi="宋体" w:cs="宋体"/>
          <w:b/>
          <w:color w:val="auto"/>
          <w:sz w:val="48"/>
          <w:szCs w:val="48"/>
          <w:highlight w:val="none"/>
        </w:rPr>
      </w:pPr>
    </w:p>
    <w:p w14:paraId="3548E022">
      <w:pPr>
        <w:pStyle w:val="20"/>
        <w:snapToGrid w:val="0"/>
        <w:spacing w:line="360" w:lineRule="auto"/>
        <w:ind w:firstLine="1205" w:firstLineChars="400"/>
        <w:rPr>
          <w:rFonts w:hAnsi="宋体" w:cs="宋体"/>
          <w:b/>
          <w:bCs/>
          <w:color w:val="auto"/>
          <w:sz w:val="30"/>
          <w:szCs w:val="30"/>
          <w:highlight w:val="none"/>
        </w:rPr>
      </w:pPr>
    </w:p>
    <w:p w14:paraId="4F2B9EE1">
      <w:pPr>
        <w:pStyle w:val="20"/>
        <w:snapToGrid w:val="0"/>
        <w:spacing w:line="360" w:lineRule="auto"/>
        <w:ind w:left="1804" w:leftChars="142"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color w:val="auto"/>
          <w:sz w:val="32"/>
          <w:szCs w:val="32"/>
          <w:highlight w:val="none"/>
          <w:lang w:eastAsia="zh-CN"/>
        </w:rPr>
        <w:t>机房专用及安全设备运维、农业云平台运维、点对点专线服务、无线网络数据流量服务、多媒体教室及会商室运维、网络安全服务及信息系统安全检测服务、异地容灾备份服务项目（重）</w:t>
      </w:r>
    </w:p>
    <w:p w14:paraId="5ECBFD62">
      <w:pPr>
        <w:pStyle w:val="20"/>
        <w:snapToGrid w:val="0"/>
        <w:spacing w:line="360" w:lineRule="auto"/>
        <w:ind w:firstLine="1205" w:firstLineChars="4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color w:val="auto"/>
          <w:sz w:val="32"/>
          <w:szCs w:val="32"/>
          <w:highlight w:val="none"/>
          <w:lang w:eastAsia="zh-CN"/>
        </w:rPr>
        <w:t>GXZC2025-C3-001070-GTZB</w:t>
      </w:r>
    </w:p>
    <w:p w14:paraId="0991CFA7">
      <w:pPr>
        <w:snapToGrid w:val="0"/>
        <w:spacing w:line="360" w:lineRule="auto"/>
        <w:rPr>
          <w:rFonts w:ascii="宋体" w:hAnsi="宋体" w:cs="宋体"/>
          <w:color w:val="auto"/>
          <w:sz w:val="30"/>
          <w:szCs w:val="72"/>
          <w:highlight w:val="none"/>
        </w:rPr>
      </w:pPr>
    </w:p>
    <w:p w14:paraId="03C3B1BA">
      <w:pPr>
        <w:pStyle w:val="20"/>
        <w:snapToGrid w:val="0"/>
        <w:spacing w:line="360" w:lineRule="auto"/>
        <w:ind w:firstLine="1431" w:firstLineChars="500"/>
        <w:rPr>
          <w:rFonts w:hAnsi="宋体" w:cs="宋体"/>
          <w:b/>
          <w:bCs/>
          <w:color w:val="auto"/>
          <w:w w:val="95"/>
          <w:sz w:val="30"/>
          <w:szCs w:val="30"/>
          <w:highlight w:val="none"/>
        </w:rPr>
      </w:pPr>
    </w:p>
    <w:p w14:paraId="377E9763">
      <w:pPr>
        <w:pStyle w:val="20"/>
        <w:snapToGrid w:val="0"/>
        <w:spacing w:line="360" w:lineRule="auto"/>
        <w:ind w:firstLine="1431" w:firstLineChars="500"/>
        <w:rPr>
          <w:rFonts w:hAnsi="宋体" w:cs="宋体"/>
          <w:b/>
          <w:bCs/>
          <w:color w:val="auto"/>
          <w:w w:val="95"/>
          <w:sz w:val="30"/>
          <w:szCs w:val="30"/>
          <w:highlight w:val="none"/>
        </w:rPr>
      </w:pPr>
    </w:p>
    <w:p w14:paraId="7646D8C2">
      <w:pPr>
        <w:pStyle w:val="20"/>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 购 人：</w:t>
      </w:r>
      <w:r>
        <w:rPr>
          <w:rFonts w:hint="eastAsia" w:hAnsi="宋体" w:cs="宋体"/>
          <w:b/>
          <w:color w:val="auto"/>
          <w:sz w:val="32"/>
          <w:szCs w:val="32"/>
          <w:highlight w:val="none"/>
        </w:rPr>
        <w:t>广西壮族自治区农业信息中心</w:t>
      </w:r>
    </w:p>
    <w:p w14:paraId="54EBD939">
      <w:pPr>
        <w:pStyle w:val="20"/>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广西国泰招标咨询有限公司</w:t>
      </w:r>
    </w:p>
    <w:p w14:paraId="0AA0A103">
      <w:pPr>
        <w:pStyle w:val="20"/>
        <w:snapToGrid w:val="0"/>
        <w:spacing w:line="360" w:lineRule="auto"/>
        <w:ind w:left="420" w:firstLine="841" w:firstLineChars="294"/>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                2025年</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月</w:t>
      </w:r>
    </w:p>
    <w:p w14:paraId="07062ED6">
      <w:pPr>
        <w:tabs>
          <w:tab w:val="left" w:pos="1080"/>
        </w:tabs>
        <w:spacing w:line="360" w:lineRule="auto"/>
        <w:ind w:firstLine="883" w:firstLineChars="200"/>
        <w:rPr>
          <w:rFonts w:ascii="宋体" w:hAnsi="宋体" w:cs="宋体"/>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47DA7CA9">
      <w:pPr>
        <w:pStyle w:val="54"/>
        <w:rPr>
          <w:color w:val="auto"/>
          <w:highlight w:val="none"/>
        </w:rPr>
      </w:pPr>
    </w:p>
    <w:p w14:paraId="1D0CAE8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4EA4D572">
      <w:pPr>
        <w:spacing w:line="400" w:lineRule="exact"/>
        <w:jc w:val="center"/>
        <w:rPr>
          <w:rFonts w:ascii="宋体" w:hAnsi="宋体" w:cs="宋体"/>
          <w:b/>
          <w:color w:val="auto"/>
          <w:sz w:val="44"/>
          <w:szCs w:val="44"/>
          <w:highlight w:val="none"/>
        </w:rPr>
      </w:pPr>
    </w:p>
    <w:p w14:paraId="52917D00">
      <w:pPr>
        <w:pStyle w:val="25"/>
        <w:tabs>
          <w:tab w:val="right" w:leader="dot" w:pos="8879"/>
        </w:tabs>
        <w:rPr>
          <w:rFonts w:ascii="宋体" w:hAnsi="宋体" w:cs="宋体"/>
          <w:b/>
          <w:bCs/>
          <w:color w:val="auto"/>
          <w:sz w:val="28"/>
          <w:szCs w:val="28"/>
          <w:highlight w:val="none"/>
        </w:rPr>
      </w:pPr>
      <w:r>
        <w:rPr>
          <w:rFonts w:ascii="宋体" w:hAnsi="宋体" w:cs="宋体"/>
          <w:b/>
          <w:color w:val="auto"/>
          <w:sz w:val="24"/>
          <w:highlight w:val="none"/>
        </w:rPr>
        <w:fldChar w:fldCharType="begin"/>
      </w:r>
      <w:r>
        <w:rPr>
          <w:rFonts w:ascii="宋体" w:hAnsi="宋体" w:cs="宋体"/>
          <w:b/>
          <w:color w:val="auto"/>
          <w:sz w:val="24"/>
          <w:highlight w:val="none"/>
        </w:rPr>
        <w:instrText xml:space="preserve">TOC \o "1-3" \h \u </w:instrText>
      </w:r>
      <w:r>
        <w:rPr>
          <w:rFonts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"_Toc24302" </w:instrText>
      </w:r>
      <w:r>
        <w:rPr>
          <w:color w:val="auto"/>
          <w:highlight w:val="none"/>
        </w:rPr>
        <w:fldChar w:fldCharType="separate"/>
      </w:r>
      <w:r>
        <w:rPr>
          <w:rFonts w:hint="eastAsia" w:ascii="宋体" w:hAnsi="宋体" w:cs="宋体"/>
          <w:b/>
          <w:bCs/>
          <w:color w:val="auto"/>
          <w:sz w:val="28"/>
          <w:szCs w:val="28"/>
          <w:highlight w:val="none"/>
        </w:rPr>
        <w:t>第一章 竞争性磋商公告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_Toc24302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5E7FC129">
      <w:pPr>
        <w:pStyle w:val="25"/>
        <w:tabs>
          <w:tab w:val="right" w:leader="dot" w:pos="8879"/>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宋体" w:hAnsi="宋体" w:cs="宋体"/>
          <w:b/>
          <w:bCs/>
          <w:color w:val="auto"/>
          <w:sz w:val="28"/>
          <w:szCs w:val="28"/>
          <w:highlight w:val="none"/>
        </w:rPr>
        <w:t>第二章 供应商须知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_Toc23903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524B342B">
      <w:pPr>
        <w:pStyle w:val="25"/>
        <w:tabs>
          <w:tab w:val="right" w:leader="dot" w:pos="8879"/>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"_Toc8379" </w:instrText>
      </w:r>
      <w:r>
        <w:rPr>
          <w:color w:val="auto"/>
          <w:highlight w:val="none"/>
        </w:rPr>
        <w:fldChar w:fldCharType="separate"/>
      </w:r>
      <w:r>
        <w:rPr>
          <w:rFonts w:hint="eastAsia" w:ascii="宋体" w:hAnsi="宋体" w:cs="宋体"/>
          <w:b/>
          <w:bCs/>
          <w:color w:val="auto"/>
          <w:sz w:val="28"/>
          <w:szCs w:val="28"/>
          <w:highlight w:val="none"/>
        </w:rPr>
        <w:t>第三章 采购需求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_Toc8379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21</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5D904A0A">
      <w:pPr>
        <w:pStyle w:val="25"/>
        <w:tabs>
          <w:tab w:val="right" w:leader="dot" w:pos="8879"/>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"_Toc9102" </w:instrText>
      </w:r>
      <w:r>
        <w:rPr>
          <w:color w:val="auto"/>
          <w:highlight w:val="none"/>
        </w:rPr>
        <w:fldChar w:fldCharType="separate"/>
      </w:r>
      <w:r>
        <w:rPr>
          <w:rFonts w:hint="eastAsia" w:ascii="宋体" w:hAnsi="宋体" w:cs="宋体"/>
          <w:b/>
          <w:bCs/>
          <w:color w:val="auto"/>
          <w:sz w:val="28"/>
          <w:szCs w:val="28"/>
          <w:highlight w:val="none"/>
        </w:rPr>
        <w:t>第四章  评审程序、评审方法和评审标准</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_Toc9102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29</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1B00FE53">
      <w:pPr>
        <w:pStyle w:val="25"/>
        <w:tabs>
          <w:tab w:val="right" w:leader="dot" w:pos="8879"/>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"_Toc22926" </w:instrText>
      </w:r>
      <w:r>
        <w:rPr>
          <w:color w:val="auto"/>
          <w:highlight w:val="none"/>
        </w:rPr>
        <w:fldChar w:fldCharType="separate"/>
      </w:r>
      <w:r>
        <w:rPr>
          <w:rFonts w:hint="eastAsia" w:ascii="宋体" w:hAnsi="宋体" w:cs="宋体"/>
          <w:b/>
          <w:bCs/>
          <w:color w:val="auto"/>
          <w:sz w:val="28"/>
          <w:szCs w:val="28"/>
          <w:highlight w:val="none"/>
        </w:rPr>
        <w:t>第五章 响应文件格式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_Toc22926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36</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7FD87A42">
      <w:pPr>
        <w:pStyle w:val="25"/>
        <w:tabs>
          <w:tab w:val="right" w:leader="dot" w:pos="8879"/>
        </w:tabs>
        <w:rPr>
          <w:color w:val="auto"/>
          <w:highlight w:val="none"/>
        </w:rPr>
      </w:pPr>
      <w:r>
        <w:rPr>
          <w:color w:val="auto"/>
          <w:highlight w:val="none"/>
        </w:rPr>
        <w:fldChar w:fldCharType="begin"/>
      </w:r>
      <w:r>
        <w:rPr>
          <w:color w:val="auto"/>
          <w:highlight w:val="none"/>
        </w:rPr>
        <w:instrText xml:space="preserve"> HYPERLINK \l "_Toc19603" </w:instrText>
      </w:r>
      <w:r>
        <w:rPr>
          <w:color w:val="auto"/>
          <w:highlight w:val="none"/>
        </w:rPr>
        <w:fldChar w:fldCharType="separate"/>
      </w:r>
      <w:r>
        <w:rPr>
          <w:rFonts w:hint="eastAsia" w:ascii="宋体" w:hAnsi="宋体" w:cs="宋体"/>
          <w:b/>
          <w:bCs/>
          <w:color w:val="auto"/>
          <w:sz w:val="28"/>
          <w:szCs w:val="28"/>
          <w:highlight w:val="none"/>
        </w:rPr>
        <w:t>第六章 合同文本</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_Toc19603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59</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262BCA23">
      <w:pPr>
        <w:pStyle w:val="26"/>
        <w:tabs>
          <w:tab w:val="right" w:leader="dot" w:pos="8931"/>
          <w:tab w:val="clear" w:pos="8296"/>
        </w:tabs>
        <w:snapToGrid w:val="0"/>
        <w:spacing w:line="500" w:lineRule="atLeast"/>
        <w:ind w:left="0" w:leftChars="0"/>
        <w:rPr>
          <w:rFonts w:ascii="宋体" w:hAnsi="宋体" w:cs="宋体"/>
          <w:b/>
          <w:color w:val="auto"/>
          <w:sz w:val="24"/>
          <w:highlight w:val="none"/>
        </w:rPr>
      </w:pPr>
      <w:r>
        <w:rPr>
          <w:rFonts w:ascii="宋体" w:hAnsi="宋体" w:cs="宋体"/>
          <w:color w:val="auto"/>
          <w:highlight w:val="none"/>
        </w:rPr>
        <w:fldChar w:fldCharType="end"/>
      </w:r>
    </w:p>
    <w:p w14:paraId="020BE070">
      <w:pPr>
        <w:spacing w:line="400" w:lineRule="exact"/>
        <w:jc w:val="left"/>
        <w:rPr>
          <w:rFonts w:ascii="宋体" w:hAnsi="宋体" w:cs="宋体"/>
          <w:b/>
          <w:color w:val="auto"/>
          <w:sz w:val="32"/>
          <w:szCs w:val="32"/>
          <w:highlight w:val="none"/>
        </w:rPr>
      </w:pPr>
    </w:p>
    <w:p w14:paraId="69F4478A">
      <w:pPr>
        <w:spacing w:line="400" w:lineRule="exact"/>
        <w:jc w:val="center"/>
        <w:rPr>
          <w:rFonts w:ascii="宋体" w:hAnsi="宋体" w:cs="宋体"/>
          <w:b/>
          <w:color w:val="auto"/>
          <w:sz w:val="32"/>
          <w:szCs w:val="32"/>
          <w:highlight w:val="none"/>
        </w:rPr>
      </w:pPr>
    </w:p>
    <w:p w14:paraId="44192851">
      <w:pPr>
        <w:spacing w:line="400" w:lineRule="exact"/>
        <w:jc w:val="center"/>
        <w:rPr>
          <w:rFonts w:ascii="宋体" w:hAnsi="宋体" w:cs="宋体"/>
          <w:b/>
          <w:color w:val="auto"/>
          <w:sz w:val="32"/>
          <w:szCs w:val="32"/>
          <w:highlight w:val="none"/>
        </w:rPr>
      </w:pPr>
    </w:p>
    <w:p w14:paraId="024CF22D">
      <w:pPr>
        <w:spacing w:line="400" w:lineRule="exact"/>
        <w:jc w:val="center"/>
        <w:rPr>
          <w:rFonts w:ascii="宋体" w:hAnsi="宋体" w:cs="宋体"/>
          <w:b/>
          <w:color w:val="auto"/>
          <w:sz w:val="32"/>
          <w:szCs w:val="32"/>
          <w:highlight w:val="none"/>
        </w:rPr>
      </w:pPr>
    </w:p>
    <w:p w14:paraId="2BB3E2EB">
      <w:pPr>
        <w:spacing w:line="400" w:lineRule="exact"/>
        <w:rPr>
          <w:rFonts w:ascii="宋体" w:hAnsi="宋体" w:cs="宋体"/>
          <w:b/>
          <w:color w:val="auto"/>
          <w:sz w:val="32"/>
          <w:szCs w:val="32"/>
          <w:highlight w:val="none"/>
        </w:rPr>
      </w:pPr>
    </w:p>
    <w:p w14:paraId="79F422BF">
      <w:pPr>
        <w:rPr>
          <w:color w:val="auto"/>
          <w:highlight w:val="none"/>
        </w:rPr>
      </w:pPr>
    </w:p>
    <w:p w14:paraId="329F25A5">
      <w:pPr>
        <w:rPr>
          <w:color w:val="auto"/>
          <w:highlight w:val="none"/>
        </w:rPr>
      </w:pPr>
    </w:p>
    <w:p w14:paraId="44A43ED7">
      <w:pPr>
        <w:rPr>
          <w:color w:val="auto"/>
          <w:highlight w:val="none"/>
        </w:rPr>
      </w:pPr>
    </w:p>
    <w:p w14:paraId="159F48A4">
      <w:pPr>
        <w:rPr>
          <w:color w:val="auto"/>
          <w:highlight w:val="none"/>
        </w:rPr>
      </w:pPr>
    </w:p>
    <w:p w14:paraId="490E3245">
      <w:pPr>
        <w:rPr>
          <w:color w:val="auto"/>
          <w:highlight w:val="none"/>
        </w:rPr>
      </w:pPr>
    </w:p>
    <w:p w14:paraId="76A37FC8">
      <w:pPr>
        <w:rPr>
          <w:color w:val="auto"/>
          <w:highlight w:val="none"/>
        </w:rPr>
      </w:pPr>
    </w:p>
    <w:p w14:paraId="039B3D48">
      <w:pPr>
        <w:rPr>
          <w:color w:val="auto"/>
          <w:highlight w:val="none"/>
        </w:rPr>
      </w:pPr>
    </w:p>
    <w:p w14:paraId="7C5025F2">
      <w:pPr>
        <w:rPr>
          <w:color w:val="auto"/>
          <w:highlight w:val="none"/>
        </w:rPr>
      </w:pPr>
    </w:p>
    <w:p w14:paraId="11312327">
      <w:pPr>
        <w:rPr>
          <w:color w:val="auto"/>
          <w:highlight w:val="none"/>
        </w:rPr>
      </w:pPr>
    </w:p>
    <w:p w14:paraId="03CEA604">
      <w:pPr>
        <w:rPr>
          <w:color w:val="auto"/>
          <w:highlight w:val="none"/>
        </w:rPr>
      </w:pPr>
    </w:p>
    <w:p w14:paraId="23D3DC24">
      <w:pPr>
        <w:rPr>
          <w:color w:val="auto"/>
          <w:highlight w:val="none"/>
        </w:rPr>
      </w:pPr>
    </w:p>
    <w:p w14:paraId="735618A3">
      <w:pPr>
        <w:rPr>
          <w:color w:val="auto"/>
          <w:highlight w:val="none"/>
        </w:rPr>
      </w:pPr>
    </w:p>
    <w:p w14:paraId="2BE90ACB">
      <w:pPr>
        <w:rPr>
          <w:color w:val="auto"/>
          <w:highlight w:val="none"/>
        </w:rPr>
      </w:pPr>
    </w:p>
    <w:p w14:paraId="38D19EB9">
      <w:pPr>
        <w:rPr>
          <w:color w:val="auto"/>
          <w:highlight w:val="none"/>
        </w:rPr>
      </w:pPr>
    </w:p>
    <w:p w14:paraId="1369B104">
      <w:pPr>
        <w:rPr>
          <w:color w:val="auto"/>
          <w:highlight w:val="none"/>
        </w:rPr>
      </w:pPr>
    </w:p>
    <w:p w14:paraId="48CA7551">
      <w:pPr>
        <w:rPr>
          <w:color w:val="auto"/>
          <w:highlight w:val="none"/>
        </w:rPr>
      </w:pPr>
    </w:p>
    <w:p w14:paraId="1BFC9116">
      <w:pPr>
        <w:rPr>
          <w:color w:val="auto"/>
          <w:highlight w:val="none"/>
        </w:rPr>
      </w:pPr>
    </w:p>
    <w:p w14:paraId="3CBAAF0F">
      <w:pPr>
        <w:rPr>
          <w:color w:val="auto"/>
          <w:highlight w:val="none"/>
        </w:rPr>
      </w:pPr>
    </w:p>
    <w:p w14:paraId="4D88D571">
      <w:pPr>
        <w:rPr>
          <w:color w:val="auto"/>
          <w:highlight w:val="none"/>
        </w:rPr>
      </w:pPr>
    </w:p>
    <w:p w14:paraId="43702CB5">
      <w:pPr>
        <w:tabs>
          <w:tab w:val="center" w:pos="4439"/>
        </w:tabs>
        <w:jc w:val="left"/>
        <w:rPr>
          <w:color w:val="auto"/>
          <w:highlight w:val="none"/>
        </w:rPr>
        <w:sectPr>
          <w:footerReference r:id="rId8" w:type="first"/>
          <w:footerReference r:id="rId7" w:type="default"/>
          <w:pgSz w:w="11906" w:h="16838"/>
          <w:pgMar w:top="1440" w:right="1440" w:bottom="1440" w:left="1587" w:header="851" w:footer="992" w:gutter="0"/>
          <w:pgNumType w:start="0"/>
          <w:cols w:space="720" w:num="1"/>
          <w:titlePg/>
          <w:docGrid w:type="lines" w:linePitch="312" w:charSpace="0"/>
        </w:sectPr>
      </w:pPr>
      <w:r>
        <w:rPr>
          <w:rFonts w:hint="eastAsia"/>
          <w:color w:val="auto"/>
          <w:highlight w:val="none"/>
        </w:rPr>
        <w:tab/>
      </w:r>
    </w:p>
    <w:p w14:paraId="5E06726F">
      <w:pPr>
        <w:pStyle w:val="3"/>
        <w:rPr>
          <w:rFonts w:ascii="宋体" w:hAnsi="宋体" w:cs="宋体"/>
          <w:color w:val="auto"/>
          <w:sz w:val="32"/>
          <w:szCs w:val="32"/>
          <w:highlight w:val="none"/>
        </w:rPr>
      </w:pPr>
      <w:bookmarkStart w:id="0" w:name="_Toc24302"/>
      <w:bookmarkStart w:id="1" w:name="_Toc24200"/>
      <w:r>
        <w:rPr>
          <w:rFonts w:hint="eastAsia"/>
          <w:color w:val="auto"/>
          <w:highlight w:val="none"/>
        </w:rPr>
        <w:t>第一章 竞争性磋商公告</w:t>
      </w:r>
      <w:bookmarkEnd w:id="0"/>
      <w:bookmarkEnd w:id="1"/>
    </w:p>
    <w:p w14:paraId="57E0005A">
      <w:pPr>
        <w:pStyle w:val="20"/>
        <w:jc w:val="center"/>
        <w:rPr>
          <w:rFonts w:hAnsi="宋体" w:cs="宋体"/>
          <w:b/>
          <w:color w:val="auto"/>
          <w:sz w:val="32"/>
          <w:szCs w:val="32"/>
          <w:highlight w:val="none"/>
        </w:rPr>
      </w:pPr>
      <w:r>
        <w:rPr>
          <w:rFonts w:hint="eastAsia" w:hAnsi="宋体" w:cs="宋体"/>
          <w:b/>
          <w:color w:val="auto"/>
          <w:sz w:val="32"/>
          <w:szCs w:val="32"/>
          <w:highlight w:val="none"/>
        </w:rPr>
        <w:t>广西国泰招标咨询有限公司关于</w:t>
      </w:r>
    </w:p>
    <w:p w14:paraId="716148A6">
      <w:pPr>
        <w:pStyle w:val="20"/>
        <w:jc w:val="center"/>
        <w:rPr>
          <w:rFonts w:hint="eastAsia" w:hAnsi="宋体" w:cs="宋体"/>
          <w:b/>
          <w:color w:val="auto"/>
          <w:sz w:val="32"/>
          <w:szCs w:val="32"/>
          <w:highlight w:val="none"/>
        </w:rPr>
      </w:pPr>
      <w:r>
        <w:rPr>
          <w:rFonts w:hint="eastAsia" w:hAnsi="宋体" w:cs="宋体"/>
          <w:b/>
          <w:color w:val="auto"/>
          <w:sz w:val="32"/>
          <w:szCs w:val="32"/>
          <w:highlight w:val="none"/>
          <w:lang w:eastAsia="zh-CN"/>
        </w:rPr>
        <w:t>机房专用及安全设备运维、农业云平台运维、点对点专线服务、无线网络数据流量服务、多媒体教室及会商室运维、网络安全服务及信息系统安全检测服务、异地容灾备份服务项目（重）</w:t>
      </w:r>
      <w:r>
        <w:rPr>
          <w:rFonts w:hint="eastAsia" w:hAnsi="宋体" w:cs="宋体"/>
          <w:b/>
          <w:color w:val="auto"/>
          <w:sz w:val="32"/>
          <w:szCs w:val="32"/>
          <w:highlight w:val="none"/>
        </w:rPr>
        <w:t>（</w:t>
      </w:r>
      <w:r>
        <w:rPr>
          <w:rFonts w:hint="eastAsia" w:hAnsi="宋体" w:cs="宋体"/>
          <w:b/>
          <w:color w:val="auto"/>
          <w:sz w:val="32"/>
          <w:szCs w:val="32"/>
          <w:highlight w:val="none"/>
          <w:lang w:eastAsia="zh-CN"/>
        </w:rPr>
        <w:t>GXZC2025-C3-001070-GTZB</w:t>
      </w:r>
      <w:r>
        <w:rPr>
          <w:rFonts w:hint="eastAsia" w:hAnsi="宋体" w:cs="宋体"/>
          <w:b/>
          <w:color w:val="auto"/>
          <w:sz w:val="32"/>
          <w:szCs w:val="32"/>
          <w:highlight w:val="none"/>
        </w:rPr>
        <w:t>）</w:t>
      </w:r>
    </w:p>
    <w:p w14:paraId="5F23CA07">
      <w:pPr>
        <w:pStyle w:val="20"/>
        <w:jc w:val="center"/>
        <w:rPr>
          <w:rFonts w:hAnsi="宋体" w:cs="宋体"/>
          <w:b/>
          <w:color w:val="auto"/>
          <w:sz w:val="36"/>
          <w:szCs w:val="36"/>
          <w:highlight w:val="none"/>
        </w:rPr>
      </w:pPr>
      <w:r>
        <w:rPr>
          <w:rFonts w:hint="eastAsia" w:hAnsi="宋体" w:cs="宋体"/>
          <w:b/>
          <w:color w:val="auto"/>
          <w:sz w:val="32"/>
          <w:szCs w:val="32"/>
          <w:highlight w:val="none"/>
        </w:rPr>
        <w:t>竞争性磋商公告</w:t>
      </w:r>
    </w:p>
    <w:p w14:paraId="4FE947A1">
      <w:pPr>
        <w:spacing w:line="360" w:lineRule="auto"/>
        <w:jc w:val="center"/>
        <w:rPr>
          <w:rFonts w:ascii="宋体" w:hAnsi="宋体" w:cs="宋体"/>
          <w:color w:val="auto"/>
          <w:szCs w:val="21"/>
          <w:highlight w:val="none"/>
        </w:rPr>
      </w:pPr>
    </w:p>
    <w:p w14:paraId="22270A0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bookmarkStart w:id="2" w:name="_Hlk37430271"/>
      <w:r>
        <w:rPr>
          <w:rFonts w:hint="eastAsia" w:ascii="宋体" w:hAnsi="宋体" w:cs="宋体"/>
          <w:color w:val="auto"/>
          <w:szCs w:val="21"/>
          <w:highlight w:val="none"/>
        </w:rPr>
        <w:t>项目概况</w:t>
      </w:r>
    </w:p>
    <w:p w14:paraId="3A20144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机房专用及安全设备运维、农业云平台运维、点对点专线服务、无线网络数据流量服务、多媒体教室及会商室运维、网络安全服务及信息系统安全检测服务、异地容灾备份服务项目（重）</w:t>
      </w:r>
      <w:r>
        <w:rPr>
          <w:rFonts w:hint="eastAsia" w:ascii="宋体" w:hAnsi="宋体" w:cs="宋体"/>
          <w:color w:val="auto"/>
          <w:szCs w:val="21"/>
          <w:highlight w:val="none"/>
        </w:rPr>
        <w:t>采购项目的潜在供应商应在广西政府采购云平台（https://www.gcy.zfcg.gxzf.gov.cn/）获取采购文件，并于</w:t>
      </w:r>
      <w:r>
        <w:rPr>
          <w:rFonts w:hint="eastAsia" w:ascii="宋体" w:hAnsi="宋体" w:cs="宋体"/>
          <w:color w:val="auto"/>
          <w:szCs w:val="21"/>
          <w:highlight w:val="none"/>
          <w:lang w:eastAsia="zh-CN"/>
        </w:rPr>
        <w:t>2025年5月27日</w:t>
      </w:r>
      <w:r>
        <w:rPr>
          <w:rFonts w:hint="eastAsia" w:ascii="宋体" w:hAnsi="宋体" w:cs="宋体"/>
          <w:color w:val="auto"/>
          <w:szCs w:val="21"/>
          <w:highlight w:val="none"/>
        </w:rPr>
        <w:t>09时00分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5D693437">
      <w:pPr>
        <w:spacing w:line="360" w:lineRule="auto"/>
        <w:ind w:firstLine="354" w:firstLineChars="147"/>
        <w:rPr>
          <w:rFonts w:ascii="宋体" w:hAnsi="宋体" w:cs="宋体"/>
          <w:b/>
          <w:color w:val="auto"/>
          <w:sz w:val="24"/>
          <w:highlight w:val="none"/>
        </w:rPr>
      </w:pPr>
      <w:bookmarkStart w:id="3" w:name="_Toc35393798"/>
      <w:bookmarkStart w:id="4" w:name="_Toc28359089"/>
      <w:bookmarkStart w:id="5" w:name="_Toc71365905"/>
      <w:bookmarkStart w:id="6" w:name="_Toc28359012"/>
      <w:bookmarkStart w:id="7" w:name="_Toc35393629"/>
      <w:bookmarkStart w:id="8" w:name="_Toc44229878"/>
    </w:p>
    <w:bookmarkEnd w:id="3"/>
    <w:bookmarkEnd w:id="4"/>
    <w:bookmarkEnd w:id="5"/>
    <w:bookmarkEnd w:id="6"/>
    <w:bookmarkEnd w:id="7"/>
    <w:bookmarkEnd w:id="8"/>
    <w:p w14:paraId="5910767A">
      <w:pPr>
        <w:spacing w:line="360" w:lineRule="auto"/>
        <w:ind w:firstLine="354" w:firstLineChars="147"/>
        <w:rPr>
          <w:rFonts w:ascii="宋体" w:hAnsi="宋体" w:cs="宋体"/>
          <w:b/>
          <w:color w:val="auto"/>
          <w:sz w:val="24"/>
          <w:highlight w:val="none"/>
        </w:rPr>
      </w:pPr>
      <w:bookmarkStart w:id="9" w:name="_Hlk37429674"/>
      <w:bookmarkStart w:id="10" w:name="_Toc35393636"/>
      <w:bookmarkStart w:id="11" w:name="_Toc28359018"/>
      <w:bookmarkStart w:id="12" w:name="_Toc28359095"/>
      <w:bookmarkStart w:id="13" w:name="_Toc44229885"/>
      <w:bookmarkStart w:id="14" w:name="_Toc35393805"/>
      <w:r>
        <w:rPr>
          <w:rFonts w:hint="eastAsia" w:ascii="宋体" w:hAnsi="宋体" w:cs="宋体"/>
          <w:b/>
          <w:color w:val="auto"/>
          <w:sz w:val="24"/>
          <w:highlight w:val="none"/>
        </w:rPr>
        <w:t>一、项目基本情况</w:t>
      </w:r>
    </w:p>
    <w:p w14:paraId="79FF1FA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GXZC2025-C3-001070-GTZB</w:t>
      </w:r>
    </w:p>
    <w:p w14:paraId="24729A1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机房专用及安全设备运维、农业云平台运维、点对点专线服务、无线网络数据流量服务、多媒体教室及会商室运维、网络安全服务及信息系统安全检测服务、异地容灾备份服务项目（重）</w:t>
      </w:r>
    </w:p>
    <w:p w14:paraId="32C54E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074720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olor w:val="auto"/>
          <w:szCs w:val="21"/>
          <w:highlight w:val="none"/>
        </w:rPr>
        <w:t>15.04万元。</w:t>
      </w:r>
    </w:p>
    <w:p w14:paraId="5F36D7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最高限价（如有）：15.04万元。</w:t>
      </w:r>
    </w:p>
    <w:p w14:paraId="7756C019">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采购需求：</w:t>
      </w:r>
    </w:p>
    <w:tbl>
      <w:tblPr>
        <w:tblStyle w:val="3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3"/>
        <w:gridCol w:w="3424"/>
        <w:gridCol w:w="5795"/>
      </w:tblGrid>
      <w:tr w14:paraId="07A1C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08D5A4EC">
            <w:pPr>
              <w:snapToGrid w:val="0"/>
              <w:spacing w:line="360" w:lineRule="auto"/>
              <w:rPr>
                <w:rFonts w:ascii="宋体" w:hAnsi="宋体"/>
                <w:color w:val="auto"/>
                <w:szCs w:val="21"/>
                <w:highlight w:val="none"/>
              </w:rPr>
            </w:pPr>
            <w:r>
              <w:rPr>
                <w:rFonts w:hint="eastAsia" w:ascii="宋体" w:hAnsi="宋体"/>
                <w:b/>
                <w:bCs/>
                <w:color w:val="auto"/>
                <w:szCs w:val="21"/>
                <w:highlight w:val="none"/>
              </w:rPr>
              <w:t>预算金额：</w:t>
            </w:r>
            <w:r>
              <w:rPr>
                <w:rFonts w:hint="eastAsia" w:ascii="宋体" w:hAnsi="宋体"/>
                <w:b/>
                <w:bCs/>
                <w:color w:val="auto"/>
                <w:szCs w:val="21"/>
                <w:highlight w:val="none"/>
                <w:u w:val="single"/>
              </w:rPr>
              <w:t xml:space="preserve"> 15.04 </w:t>
            </w:r>
            <w:r>
              <w:rPr>
                <w:rFonts w:hint="eastAsia" w:ascii="宋体" w:hAnsi="宋体" w:cs="宋体"/>
                <w:b/>
                <w:bCs/>
                <w:color w:val="auto"/>
                <w:szCs w:val="21"/>
                <w:highlight w:val="none"/>
              </w:rPr>
              <w:t>万元</w:t>
            </w:r>
          </w:p>
        </w:tc>
      </w:tr>
      <w:tr w14:paraId="268E0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14:paraId="5183B9F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noWrap w:val="0"/>
            <w:vAlign w:val="center"/>
          </w:tcPr>
          <w:p w14:paraId="3E12EE6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标项名称</w:t>
            </w:r>
          </w:p>
        </w:tc>
        <w:tc>
          <w:tcPr>
            <w:tcW w:w="2872" w:type="pct"/>
            <w:tcBorders>
              <w:top w:val="single" w:color="auto" w:sz="4" w:space="0"/>
              <w:left w:val="single" w:color="auto" w:sz="4" w:space="0"/>
              <w:bottom w:val="single" w:color="auto" w:sz="4" w:space="0"/>
              <w:right w:val="single" w:color="auto" w:sz="4" w:space="0"/>
            </w:tcBorders>
            <w:noWrap w:val="0"/>
            <w:vAlign w:val="center"/>
          </w:tcPr>
          <w:p w14:paraId="7E9FDFE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简要规格描述或项目基本概况介绍、用途</w:t>
            </w:r>
          </w:p>
        </w:tc>
      </w:tr>
      <w:tr w14:paraId="24CE8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428" w:type="pct"/>
            <w:tcBorders>
              <w:top w:val="single" w:color="auto" w:sz="4" w:space="0"/>
              <w:left w:val="single" w:color="auto" w:sz="4" w:space="0"/>
              <w:right w:val="single" w:color="auto" w:sz="4" w:space="0"/>
            </w:tcBorders>
            <w:noWrap w:val="0"/>
            <w:vAlign w:val="center"/>
          </w:tcPr>
          <w:p w14:paraId="3E7035DC">
            <w:pPr>
              <w:widowControl/>
              <w:autoSpaceDE w:val="0"/>
              <w:autoSpaceDN w:val="0"/>
              <w:adjustRightInd w:val="0"/>
              <w:spacing w:line="360" w:lineRule="auto"/>
              <w:jc w:val="center"/>
              <w:rPr>
                <w:rFonts w:ascii="宋体" w:hAnsi="宋体"/>
                <w:color w:val="auto"/>
                <w:szCs w:val="21"/>
                <w:highlight w:val="none"/>
              </w:rPr>
            </w:pPr>
            <w:r>
              <w:rPr>
                <w:rFonts w:ascii="宋体" w:hAnsi="宋体" w:cs="宋体"/>
                <w:color w:val="auto"/>
                <w:kern w:val="0"/>
                <w:sz w:val="22"/>
                <w:szCs w:val="21"/>
                <w:highlight w:val="none"/>
              </w:rPr>
              <w:t>1</w:t>
            </w:r>
          </w:p>
        </w:tc>
        <w:tc>
          <w:tcPr>
            <w:tcW w:w="1698" w:type="pct"/>
            <w:tcBorders>
              <w:top w:val="single" w:color="auto" w:sz="4" w:space="0"/>
              <w:left w:val="single" w:color="auto" w:sz="4" w:space="0"/>
              <w:right w:val="single" w:color="auto" w:sz="4" w:space="0"/>
            </w:tcBorders>
            <w:noWrap w:val="0"/>
            <w:vAlign w:val="center"/>
          </w:tcPr>
          <w:p w14:paraId="2C76D309">
            <w:pPr>
              <w:tabs>
                <w:tab w:val="left" w:pos="1418"/>
              </w:tabs>
              <w:autoSpaceDE w:val="0"/>
              <w:autoSpaceDN w:val="0"/>
              <w:adjustRightInd w:val="0"/>
              <w:spacing w:before="50" w:after="50" w:line="360" w:lineRule="auto"/>
              <w:jc w:val="center"/>
              <w:rPr>
                <w:rFonts w:ascii="宋体" w:hAnsi="宋体"/>
                <w:color w:val="auto"/>
                <w:szCs w:val="21"/>
                <w:highlight w:val="none"/>
              </w:rPr>
            </w:pPr>
            <w:r>
              <w:rPr>
                <w:rFonts w:hint="eastAsia" w:ascii="宋体" w:hAnsi="宋体"/>
                <w:color w:val="auto"/>
                <w:szCs w:val="21"/>
                <w:highlight w:val="none"/>
              </w:rPr>
              <w:t>多媒体教室及会商室运维服务</w:t>
            </w:r>
          </w:p>
        </w:tc>
        <w:tc>
          <w:tcPr>
            <w:tcW w:w="2872" w:type="pct"/>
            <w:tcBorders>
              <w:top w:val="single" w:color="auto" w:sz="4" w:space="0"/>
              <w:left w:val="single" w:color="auto" w:sz="4" w:space="0"/>
              <w:bottom w:val="single" w:color="auto" w:sz="4" w:space="0"/>
              <w:right w:val="single" w:color="auto" w:sz="4" w:space="0"/>
            </w:tcBorders>
            <w:noWrap w:val="0"/>
            <w:vAlign w:val="center"/>
          </w:tcPr>
          <w:p w14:paraId="1146D7CE">
            <w:pPr>
              <w:snapToGrid w:val="0"/>
              <w:spacing w:line="360" w:lineRule="auto"/>
              <w:rPr>
                <w:rFonts w:ascii="宋体" w:hAnsi="宋体"/>
                <w:color w:val="auto"/>
                <w:szCs w:val="21"/>
                <w:highlight w:val="none"/>
              </w:rPr>
            </w:pPr>
            <w:r>
              <w:rPr>
                <w:rFonts w:ascii="宋体" w:hAnsi="宋体" w:cs="宋体"/>
                <w:color w:val="auto"/>
                <w:szCs w:val="21"/>
                <w:highlight w:val="none"/>
              </w:rPr>
              <w:t>多媒体教室运维服务</w:t>
            </w:r>
            <w:r>
              <w:rPr>
                <w:rFonts w:hint="eastAsia" w:ascii="宋体" w:hAnsi="宋体" w:cs="宋体"/>
                <w:color w:val="auto"/>
                <w:szCs w:val="21"/>
                <w:highlight w:val="none"/>
              </w:rPr>
              <w:t>1项、</w:t>
            </w:r>
            <w:r>
              <w:rPr>
                <w:rFonts w:ascii="宋体" w:hAnsi="宋体" w:cs="宋体"/>
                <w:color w:val="auto"/>
                <w:szCs w:val="21"/>
                <w:highlight w:val="none"/>
              </w:rPr>
              <w:t>二楼会商室运维服务</w:t>
            </w:r>
            <w:r>
              <w:rPr>
                <w:rFonts w:hint="eastAsia" w:ascii="宋体" w:hAnsi="宋体" w:cs="宋体"/>
                <w:color w:val="auto"/>
                <w:szCs w:val="21"/>
                <w:highlight w:val="none"/>
              </w:rPr>
              <w:t>1项、</w:t>
            </w:r>
            <w:r>
              <w:rPr>
                <w:rFonts w:ascii="宋体" w:hAnsi="宋体" w:cs="宋体"/>
                <w:color w:val="auto"/>
                <w:szCs w:val="21"/>
                <w:highlight w:val="none"/>
              </w:rPr>
              <w:t>三楼会商室运维服务</w:t>
            </w:r>
            <w:r>
              <w:rPr>
                <w:rFonts w:hint="eastAsia" w:ascii="宋体" w:hAnsi="宋体" w:cs="宋体"/>
                <w:color w:val="auto"/>
                <w:szCs w:val="21"/>
                <w:highlight w:val="none"/>
              </w:rPr>
              <w:t>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bl>
    <w:p w14:paraId="2C42D313">
      <w:pPr>
        <w:spacing w:line="360" w:lineRule="auto"/>
        <w:ind w:firstLine="420" w:firstLineChars="200"/>
        <w:rPr>
          <w:color w:val="auto"/>
          <w:highlight w:val="none"/>
        </w:rPr>
      </w:pPr>
      <w:r>
        <w:rPr>
          <w:rFonts w:hint="eastAsia" w:ascii="宋体" w:hAnsi="宋体"/>
          <w:color w:val="auto"/>
          <w:szCs w:val="21"/>
          <w:highlight w:val="none"/>
        </w:rPr>
        <w:t>合同履约期限：</w:t>
      </w:r>
      <w:r>
        <w:rPr>
          <w:rFonts w:hint="eastAsia"/>
          <w:bCs/>
          <w:color w:val="auto"/>
          <w:highlight w:val="none"/>
        </w:rPr>
        <w:t>详见竞争性磋商文件。</w:t>
      </w:r>
    </w:p>
    <w:p w14:paraId="6324F10B">
      <w:pPr>
        <w:spacing w:line="360" w:lineRule="auto"/>
        <w:ind w:firstLine="422" w:firstLineChars="200"/>
        <w:rPr>
          <w:rFonts w:ascii="宋体" w:hAnsi="宋体" w:cs="宋体"/>
          <w:b/>
          <w:bCs/>
          <w:color w:val="auto"/>
          <w:szCs w:val="21"/>
          <w:highlight w:val="none"/>
        </w:rPr>
      </w:pPr>
      <w:r>
        <w:rPr>
          <w:rFonts w:hint="eastAsia" w:ascii="宋体" w:hAnsi="宋体"/>
          <w:b/>
          <w:bCs/>
          <w:color w:val="auto"/>
          <w:szCs w:val="21"/>
          <w:highlight w:val="none"/>
        </w:rPr>
        <w:t>本项目不接受联合体。</w:t>
      </w:r>
    </w:p>
    <w:p w14:paraId="55E44B08">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二、申请人的资格条件：</w:t>
      </w:r>
    </w:p>
    <w:p w14:paraId="586D8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2DDB3E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2、落实政府采购政策需满足的资格要求：专门面向</w:t>
      </w:r>
      <w:r>
        <w:rPr>
          <w:rFonts w:hint="eastAsia" w:ascii="宋体" w:hAnsi="宋体" w:cs="宋体"/>
          <w:color w:val="auto"/>
          <w:szCs w:val="21"/>
          <w:highlight w:val="none"/>
          <w:lang w:eastAsia="zh-CN"/>
        </w:rPr>
        <w:t>小微</w:t>
      </w:r>
      <w:r>
        <w:rPr>
          <w:rFonts w:hint="eastAsia" w:ascii="宋体" w:hAnsi="宋体" w:cs="宋体"/>
          <w:color w:val="auto"/>
          <w:szCs w:val="21"/>
          <w:highlight w:val="none"/>
        </w:rPr>
        <w:t>企业采购，供应商应为小微企业或监狱企业或残疾人福利性单位。 </w:t>
      </w:r>
    </w:p>
    <w:p w14:paraId="479626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6AFA72D3">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三、获取竞争性磋商文件</w:t>
      </w:r>
    </w:p>
    <w:p w14:paraId="6B6C1B5C">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color w:val="auto"/>
          <w:highlight w:val="none"/>
        </w:rPr>
        <w:t>2025年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15</w:t>
      </w:r>
      <w:r>
        <w:rPr>
          <w:rFonts w:hint="eastAsia" w:ascii="宋体" w:hAnsi="宋体" w:cs="宋体"/>
          <w:color w:val="auto"/>
          <w:highlight w:val="none"/>
        </w:rPr>
        <w:t>日</w:t>
      </w:r>
      <w:r>
        <w:rPr>
          <w:rFonts w:hint="eastAsia" w:ascii="宋体" w:hAnsi="宋体" w:cs="宋体"/>
          <w:color w:val="auto"/>
          <w:szCs w:val="21"/>
          <w:highlight w:val="none"/>
        </w:rPr>
        <w:t>至</w:t>
      </w:r>
      <w:r>
        <w:rPr>
          <w:rFonts w:hint="eastAsia" w:ascii="宋体" w:hAnsi="宋体" w:cs="宋体"/>
          <w:color w:val="auto"/>
          <w:highlight w:val="none"/>
        </w:rPr>
        <w:t>2025年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22</w:t>
      </w:r>
      <w:r>
        <w:rPr>
          <w:rFonts w:hint="eastAsia" w:ascii="宋体" w:hAnsi="宋体" w:cs="宋体"/>
          <w:color w:val="auto"/>
          <w:highlight w:val="none"/>
        </w:rPr>
        <w:t>日</w:t>
      </w:r>
      <w:r>
        <w:rPr>
          <w:rFonts w:hint="eastAsia" w:ascii="宋体" w:hAnsi="宋体" w:cs="宋体"/>
          <w:color w:val="auto"/>
          <w:szCs w:val="21"/>
          <w:highlight w:val="none"/>
        </w:rPr>
        <w:t>，每天上午00:00-12:00；下午1</w:t>
      </w:r>
      <w:r>
        <w:rPr>
          <w:rFonts w:hint="eastAsia" w:ascii="宋体" w:hAnsi="宋体" w:cs="宋体"/>
          <w:color w:val="auto"/>
          <w:highlight w:val="none"/>
        </w:rPr>
        <w:t>2</w:t>
      </w:r>
      <w:r>
        <w:rPr>
          <w:rFonts w:hint="eastAsia" w:ascii="宋体" w:hAnsi="宋体" w:cs="宋体"/>
          <w:color w:val="auto"/>
          <w:szCs w:val="21"/>
          <w:highlight w:val="none"/>
        </w:rPr>
        <w:t>:</w:t>
      </w:r>
      <w:r>
        <w:rPr>
          <w:rFonts w:hint="eastAsia" w:ascii="宋体" w:hAnsi="宋体" w:cs="宋体"/>
          <w:color w:val="auto"/>
          <w:highlight w:val="none"/>
        </w:rPr>
        <w:t>00</w:t>
      </w:r>
      <w:r>
        <w:rPr>
          <w:rFonts w:hint="eastAsia" w:ascii="宋体" w:hAnsi="宋体" w:cs="宋体"/>
          <w:color w:val="auto"/>
          <w:szCs w:val="21"/>
          <w:highlight w:val="none"/>
        </w:rPr>
        <w:t>-23:</w:t>
      </w:r>
      <w:r>
        <w:rPr>
          <w:rFonts w:hint="eastAsia" w:ascii="宋体" w:hAnsi="宋体" w:cs="宋体"/>
          <w:color w:val="auto"/>
          <w:highlight w:val="none"/>
        </w:rPr>
        <w:t>59</w:t>
      </w:r>
      <w:r>
        <w:rPr>
          <w:rFonts w:hint="eastAsia" w:ascii="宋体" w:hAnsi="宋体" w:cs="宋体"/>
          <w:color w:val="auto"/>
          <w:szCs w:val="21"/>
          <w:highlight w:val="none"/>
        </w:rPr>
        <w:t>（北京时间，法定节假日除外）</w:t>
      </w:r>
      <w:r>
        <w:rPr>
          <w:rFonts w:hint="eastAsia" w:ascii="宋体" w:hAnsi="宋体" w:cs="宋体"/>
          <w:bCs/>
          <w:color w:val="auto"/>
          <w:kern w:val="0"/>
          <w:szCs w:val="21"/>
          <w:highlight w:val="none"/>
        </w:rPr>
        <w:t>。</w:t>
      </w:r>
    </w:p>
    <w:p w14:paraId="3D2010C1">
      <w:pPr>
        <w:spacing w:line="360" w:lineRule="auto"/>
        <w:ind w:firstLine="420" w:firstLineChars="200"/>
        <w:rPr>
          <w:rFonts w:ascii="宋体" w:hAnsi="宋体" w:cs="宋体"/>
          <w:color w:val="auto"/>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广西政府采购云平台（https://www.gcy.zfcg.gxzf.gov.cn/）。</w:t>
      </w:r>
    </w:p>
    <w:p w14:paraId="52546718">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方式：网上下载。供应商登录广西政府采购云平台https://www.gcy.zfcg.gxzf.gov.cn/在线申请获取采购文件（进入“项目采购”应用，在获取采购文件菜单中选择项目，申请获取采购文件）。</w:t>
      </w:r>
    </w:p>
    <w:p w14:paraId="35485BF4">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2B67026F">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四、响应文件提交</w:t>
      </w:r>
    </w:p>
    <w:p w14:paraId="32DD2EF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kern w:val="0"/>
          <w:szCs w:val="21"/>
          <w:highlight w:val="none"/>
          <w:lang w:eastAsia="zh-CN"/>
        </w:rPr>
        <w:t>2025年5月27日</w:t>
      </w:r>
      <w:r>
        <w:rPr>
          <w:rFonts w:hint="eastAsia" w:ascii="宋体" w:hAnsi="宋体" w:cs="宋体"/>
          <w:bCs/>
          <w:color w:val="auto"/>
          <w:kern w:val="0"/>
          <w:szCs w:val="21"/>
          <w:highlight w:val="none"/>
        </w:rPr>
        <w:t>09时00分（北京时间）</w:t>
      </w:r>
    </w:p>
    <w:p w14:paraId="5EC1B4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2、地点：通过广西政府采购云平台（https://www.gcy.zfcg.gxzf.gov.cn/）在线提交。</w:t>
      </w:r>
    </w:p>
    <w:p w14:paraId="4BEAB024">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五、开启</w:t>
      </w:r>
    </w:p>
    <w:p w14:paraId="73D826F9">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1、首次响应文件开启时间：</w:t>
      </w:r>
      <w:r>
        <w:rPr>
          <w:rFonts w:hint="eastAsia" w:ascii="宋体" w:hAnsi="宋体" w:cs="宋体"/>
          <w:bCs/>
          <w:color w:val="auto"/>
          <w:kern w:val="0"/>
          <w:szCs w:val="21"/>
          <w:highlight w:val="none"/>
          <w:lang w:eastAsia="zh-CN"/>
        </w:rPr>
        <w:t>2025年5月27日</w:t>
      </w:r>
      <w:r>
        <w:rPr>
          <w:rFonts w:hint="eastAsia" w:ascii="宋体" w:hAnsi="宋体" w:cs="宋体"/>
          <w:bCs/>
          <w:color w:val="auto"/>
          <w:kern w:val="0"/>
          <w:szCs w:val="21"/>
          <w:highlight w:val="none"/>
        </w:rPr>
        <w:t>09时00分（北京时间）</w:t>
      </w:r>
    </w:p>
    <w:p w14:paraId="648BE3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2、地点：本项目将在广西政府采购云平台电子开标大厅解密、开启。</w:t>
      </w:r>
    </w:p>
    <w:p w14:paraId="194CA220">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六、公告期限</w:t>
      </w:r>
    </w:p>
    <w:p w14:paraId="1F19165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5464682">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七、其他补充事宜</w:t>
      </w:r>
    </w:p>
    <w:p w14:paraId="78CF6AA4">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1、磋商保证金（人民币）：</w:t>
      </w:r>
      <w:r>
        <w:rPr>
          <w:rFonts w:hint="eastAsia" w:ascii="宋体" w:hAnsi="宋体" w:cs="宋体"/>
          <w:color w:val="auto"/>
          <w:szCs w:val="21"/>
          <w:highlight w:val="none"/>
          <w:lang w:bidi="ar"/>
        </w:rPr>
        <w:t>1500.00元。</w:t>
      </w:r>
    </w:p>
    <w:p w14:paraId="265AAD9A">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B084BAE">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26D1810">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4、网上查询地址：中国政府采购网（www.ccgp.gov.cn）、广西政府采购网（zfcg.gxzf.gov.cn）。</w:t>
      </w:r>
    </w:p>
    <w:p w14:paraId="57E01641">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5、本项目需要落实的政府采购政策：</w:t>
      </w:r>
    </w:p>
    <w:p w14:paraId="05138CA6">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（1）政府采购促进中小企业发展。</w:t>
      </w:r>
    </w:p>
    <w:p w14:paraId="47B95913">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46E7C7E1">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7817493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（4）政府采购促进残疾人就业政策。</w:t>
      </w:r>
    </w:p>
    <w:p w14:paraId="0AA8D02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（5）政府采购支持监狱企业发展。</w:t>
      </w:r>
    </w:p>
    <w:p w14:paraId="24ECF4BC">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（6）扶持不发达地区和少数民族地区政策</w:t>
      </w:r>
    </w:p>
    <w:p w14:paraId="34128FE7">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6、磋商注意事项：</w:t>
      </w:r>
    </w:p>
    <w:bookmarkEnd w:id="9"/>
    <w:p w14:paraId="6C8D443F">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https://www.gcy.zfcg.gxzf.gov.cn/）实行在线电子竞标，供应商应先安装“广西政府采购云平台新版客户端”（新版客户端下载路径：请自行前往广西政府采购网（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33CFCD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w:t>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客服热线：95763）。</w:t>
      </w:r>
    </w:p>
    <w:p w14:paraId="091738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0439DB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为确保网上操作合法、有效和安全，请供应商确保在电子投标过程中能够对相关数据电文进行加密和使用电子签章，妥善保管CA数字证书并使用有效的CA数字证书参与整个采购活动。2）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251E7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（4）供应商需要在具备有摄像头及语音功能且互联网网络状况良好的电脑登录“广西政府采购云平台”远程开标大厅参与本次磋商，否则后果自负。</w:t>
      </w:r>
    </w:p>
    <w:p w14:paraId="1A69A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07EB7B94">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10"/>
      <w:bookmarkEnd w:id="11"/>
      <w:bookmarkEnd w:id="12"/>
      <w:bookmarkEnd w:id="13"/>
      <w:bookmarkEnd w:id="14"/>
    </w:p>
    <w:p w14:paraId="46C362A0">
      <w:pPr>
        <w:spacing w:line="360" w:lineRule="auto"/>
        <w:ind w:firstLine="567" w:firstLineChars="270"/>
        <w:rPr>
          <w:rFonts w:ascii="宋体" w:hAnsi="宋体" w:cs="宋体"/>
          <w:color w:val="auto"/>
          <w:szCs w:val="21"/>
          <w:highlight w:val="none"/>
        </w:rPr>
      </w:pPr>
      <w:bookmarkStart w:id="15" w:name="_Toc35393637"/>
      <w:bookmarkStart w:id="16" w:name="_Toc28359096"/>
      <w:bookmarkStart w:id="17" w:name="_Toc35393806"/>
      <w:bookmarkStart w:id="18" w:name="_Toc28359019"/>
      <w:r>
        <w:rPr>
          <w:rFonts w:hint="eastAsia" w:ascii="宋体" w:hAnsi="宋体" w:cs="宋体"/>
          <w:color w:val="auto"/>
          <w:szCs w:val="21"/>
          <w:highlight w:val="none"/>
        </w:rPr>
        <w:t>1.采购人信息</w:t>
      </w:r>
    </w:p>
    <w:p w14:paraId="21B464BA">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名 称：广西壮族自治区农业信息中心</w:t>
      </w:r>
    </w:p>
    <w:p w14:paraId="5982F13D">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地址：广西南宁市七星路135号　</w:t>
      </w:r>
    </w:p>
    <w:p w14:paraId="0C08CCD6">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苏</w:t>
      </w:r>
      <w:r>
        <w:rPr>
          <w:rFonts w:hint="eastAsia" w:ascii="宋体" w:hAnsi="宋体" w:cs="宋体"/>
          <w:color w:val="auto"/>
          <w:szCs w:val="21"/>
          <w:highlight w:val="none"/>
        </w:rPr>
        <w:t>工　</w:t>
      </w:r>
      <w:bookmarkStart w:id="19" w:name="_Toc28359009"/>
      <w:bookmarkStart w:id="20" w:name="_Toc28359086"/>
      <w:r>
        <w:rPr>
          <w:rFonts w:hint="eastAsia" w:ascii="宋体" w:hAnsi="宋体" w:cs="宋体"/>
          <w:color w:val="auto"/>
          <w:szCs w:val="21"/>
          <w:highlight w:val="none"/>
        </w:rPr>
        <w:t xml:space="preserve"> 0771-2182852     </w:t>
      </w:r>
    </w:p>
    <w:p w14:paraId="2943BCB4">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2.采购代理机构信息</w:t>
      </w:r>
      <w:bookmarkEnd w:id="19"/>
      <w:bookmarkEnd w:id="20"/>
    </w:p>
    <w:p w14:paraId="3755CF4F">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名 称：广西国泰招标咨询有限公司</w:t>
      </w:r>
    </w:p>
    <w:p w14:paraId="047B0AB1">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地　址：广西南宁市民族大道141号中鼎万象东方大厦D区六层D607</w:t>
      </w:r>
    </w:p>
    <w:p w14:paraId="1C901D1C">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联系方式：</w:t>
      </w:r>
      <w:bookmarkStart w:id="21" w:name="_Toc28359010"/>
      <w:bookmarkStart w:id="22" w:name="_Toc28359087"/>
      <w:r>
        <w:rPr>
          <w:rFonts w:hint="eastAsia" w:ascii="宋体" w:hAnsi="宋体" w:cs="宋体"/>
          <w:color w:val="auto"/>
          <w:szCs w:val="21"/>
          <w:highlight w:val="none"/>
        </w:rPr>
        <w:t>黄工   0771-2023496　</w:t>
      </w:r>
    </w:p>
    <w:p w14:paraId="65BD35AC">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3.项目联系方式</w:t>
      </w:r>
      <w:bookmarkEnd w:id="21"/>
      <w:bookmarkEnd w:id="22"/>
    </w:p>
    <w:p w14:paraId="3FE9E356">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 xml:space="preserve">项目联系人：黄工      </w:t>
      </w:r>
    </w:p>
    <w:p w14:paraId="3A57998E">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电　话：　0771-2023496　　</w:t>
      </w:r>
    </w:p>
    <w:p w14:paraId="39D72786">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　　　　　　　　　　</w:t>
      </w:r>
    </w:p>
    <w:p w14:paraId="00CD6F78">
      <w:pPr>
        <w:spacing w:line="380" w:lineRule="exact"/>
        <w:rPr>
          <w:rFonts w:ascii="宋体" w:hAnsi="宋体" w:cs="宋体"/>
          <w:color w:val="auto"/>
          <w:szCs w:val="21"/>
          <w:highlight w:val="none"/>
        </w:rPr>
      </w:pPr>
    </w:p>
    <w:p w14:paraId="678EAD78">
      <w:pPr>
        <w:spacing w:line="360" w:lineRule="auto"/>
        <w:ind w:firstLine="6232" w:firstLineChars="2968"/>
        <w:rPr>
          <w:rFonts w:ascii="宋体" w:hAnsi="宋体" w:cs="宋体"/>
          <w:color w:val="auto"/>
          <w:szCs w:val="21"/>
          <w:highlight w:val="none"/>
        </w:rPr>
      </w:pPr>
      <w:r>
        <w:rPr>
          <w:rFonts w:hint="eastAsia" w:ascii="宋体" w:hAnsi="宋体" w:cs="宋体"/>
          <w:color w:val="auto"/>
          <w:szCs w:val="21"/>
          <w:highlight w:val="none"/>
        </w:rPr>
        <w:t>广西国泰招标咨询有限公司</w:t>
      </w:r>
    </w:p>
    <w:p w14:paraId="0F1FBFEC">
      <w:pPr>
        <w:spacing w:line="360" w:lineRule="auto"/>
        <w:ind w:firstLine="6652" w:firstLineChars="3168"/>
        <w:rPr>
          <w:rFonts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14:paraId="6E1EF8ED">
      <w:pPr>
        <w:pStyle w:val="3"/>
        <w:rPr>
          <w:rFonts w:ascii="宋体" w:hAnsi="宋体" w:cs="宋体"/>
          <w:color w:val="auto"/>
          <w:sz w:val="32"/>
          <w:szCs w:val="32"/>
          <w:highlight w:val="none"/>
        </w:rPr>
      </w:pPr>
      <w:r>
        <w:rPr>
          <w:rFonts w:hint="eastAsia" w:ascii="宋体" w:hAnsi="宋体" w:cs="宋体"/>
          <w:b w:val="0"/>
          <w:bCs w:val="0"/>
          <w:color w:val="auto"/>
          <w:kern w:val="2"/>
          <w:sz w:val="21"/>
          <w:szCs w:val="21"/>
          <w:highlight w:val="none"/>
        </w:rPr>
        <w:t xml:space="preserve">                                           </w:t>
      </w:r>
      <w:bookmarkEnd w:id="2"/>
      <w:bookmarkEnd w:id="15"/>
      <w:bookmarkEnd w:id="16"/>
      <w:bookmarkEnd w:id="17"/>
      <w:bookmarkEnd w:id="18"/>
      <w:r>
        <w:rPr>
          <w:rFonts w:hint="eastAsia" w:ascii="宋体" w:hAnsi="宋体" w:cs="宋体"/>
          <w:b w:val="0"/>
          <w:bCs w:val="0"/>
          <w:color w:val="auto"/>
          <w:kern w:val="2"/>
          <w:sz w:val="21"/>
          <w:szCs w:val="21"/>
          <w:highlight w:val="none"/>
        </w:rPr>
        <w:br w:type="page"/>
      </w:r>
      <w:bookmarkStart w:id="23" w:name="_Toc23903"/>
      <w:r>
        <w:rPr>
          <w:rFonts w:hint="eastAsia"/>
          <w:color w:val="auto"/>
          <w:highlight w:val="none"/>
        </w:rPr>
        <w:t xml:space="preserve">第二章 </w:t>
      </w:r>
      <w:r>
        <w:rPr>
          <w:rStyle w:val="38"/>
          <w:rFonts w:hint="eastAsia"/>
          <w:b/>
          <w:bCs/>
          <w:color w:val="auto"/>
          <w:highlight w:val="none"/>
        </w:rPr>
        <w:t>供应商须知</w:t>
      </w:r>
      <w:bookmarkEnd w:id="23"/>
    </w:p>
    <w:p w14:paraId="30817209">
      <w:pPr>
        <w:jc w:val="center"/>
        <w:rPr>
          <w:b/>
          <w:bCs/>
          <w:color w:val="auto"/>
          <w:sz w:val="32"/>
          <w:szCs w:val="32"/>
          <w:highlight w:val="none"/>
        </w:rPr>
      </w:pPr>
      <w:r>
        <w:rPr>
          <w:rFonts w:hint="eastAsia"/>
          <w:b/>
          <w:bCs/>
          <w:color w:val="auto"/>
          <w:sz w:val="32"/>
          <w:szCs w:val="32"/>
          <w:highlight w:val="none"/>
        </w:rPr>
        <w:t>供应商须知前附表</w:t>
      </w:r>
    </w:p>
    <w:p w14:paraId="14559BFB">
      <w:pPr>
        <w:rPr>
          <w:color w:val="auto"/>
          <w:highlight w:val="none"/>
        </w:rPr>
      </w:pPr>
    </w:p>
    <w:tbl>
      <w:tblPr>
        <w:tblStyle w:val="32"/>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128DE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7966C16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627" w:type="dxa"/>
            <w:noWrap w:val="0"/>
            <w:vAlign w:val="top"/>
          </w:tcPr>
          <w:p w14:paraId="646028E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23817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45A253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627" w:type="dxa"/>
            <w:noWrap w:val="0"/>
            <w:vAlign w:val="center"/>
          </w:tcPr>
          <w:p w14:paraId="1D114E77">
            <w:pPr>
              <w:spacing w:line="360" w:lineRule="auto"/>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78891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AC840B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8627" w:type="dxa"/>
            <w:noWrap w:val="0"/>
            <w:vAlign w:val="center"/>
          </w:tcPr>
          <w:p w14:paraId="46EBBAC0">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0F3F2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6E441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8627" w:type="dxa"/>
            <w:noWrap w:val="0"/>
            <w:vAlign w:val="center"/>
          </w:tcPr>
          <w:p w14:paraId="1E9D2B2A">
            <w:pPr>
              <w:pStyle w:val="13"/>
              <w:spacing w:line="400" w:lineRule="exact"/>
              <w:rPr>
                <w:rFonts w:ascii="宋体" w:hAnsi="宋体" w:cs="宋体"/>
                <w:color w:val="auto"/>
                <w:szCs w:val="21"/>
                <w:highlight w:val="none"/>
              </w:rPr>
            </w:pPr>
            <w:r>
              <w:rPr>
                <w:rFonts w:hint="eastAsia" w:ascii="宋体" w:hAnsi="宋体" w:cs="宋体"/>
                <w:color w:val="auto"/>
                <w:szCs w:val="21"/>
                <w:highlight w:val="none"/>
              </w:rPr>
              <w:t>本项目不允许分包。</w:t>
            </w:r>
          </w:p>
        </w:tc>
      </w:tr>
      <w:tr w14:paraId="21916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6149B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8627" w:type="dxa"/>
            <w:noWrap w:val="0"/>
            <w:vAlign w:val="center"/>
          </w:tcPr>
          <w:p w14:paraId="04A6F400">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2ABEB086">
            <w:pPr>
              <w:pStyle w:val="13"/>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0251E8D">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4 </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7B906B3">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4</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9C2221D">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4、供应商财务状况报告（2023年度财务报表复印件或者银行出具的资信证明；供应商属于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，需提供成立之日起至响应文件提交截止时间前的月报表</w:t>
            </w:r>
            <w:r>
              <w:rPr>
                <w:rFonts w:hint="eastAsia" w:ascii="宋体" w:hAnsi="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14:paraId="0044CFA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EBDBD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BE27CEE">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7、中小企业声明函或由省级以上监狱管理局、戒毒管理局（含新疆生产建设兵团）出具的属于监狱企业的证明文件或残疾人福利性单位声明函（格式后附）；（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FD147F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8、除磋商文件规定必须提供以外，供应商认为需要提供的其他证明材料；</w:t>
            </w:r>
          </w:p>
          <w:p w14:paraId="12325081">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w:t>
            </w:r>
          </w:p>
          <w:p w14:paraId="41A5F932">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090C7552">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2、竞标声明必须由法定代表人在规定签章处签字并加盖供应商公章，否则响应文件按无效响应处理。</w:t>
            </w:r>
          </w:p>
          <w:p w14:paraId="3BE0E426">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p w14:paraId="5DA59312">
            <w:pPr>
              <w:pStyle w:val="13"/>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bCs/>
                <w:color w:val="auto"/>
                <w:szCs w:val="21"/>
                <w:highlight w:val="none"/>
              </w:rPr>
              <w:t>分公司参加竞标的，应当取得总公司授权，否则响应文件按无效响应处理。</w:t>
            </w:r>
          </w:p>
        </w:tc>
      </w:tr>
      <w:tr w14:paraId="6D287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5D3B0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627" w:type="dxa"/>
            <w:noWrap w:val="0"/>
            <w:vAlign w:val="center"/>
          </w:tcPr>
          <w:p w14:paraId="0C4D1155">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报价商务技术文件</w:t>
            </w:r>
          </w:p>
          <w:p w14:paraId="40D52A28">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A8AF76F">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BB2F5D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6CE1C58">
            <w:pPr>
              <w:spacing w:line="360" w:lineRule="auto"/>
              <w:rPr>
                <w:rFonts w:ascii="宋体" w:hAnsi="宋体" w:cs="宋体"/>
                <w:b/>
                <w:color w:val="auto"/>
                <w:szCs w:val="21"/>
                <w:highlight w:val="none"/>
              </w:rPr>
            </w:pPr>
            <w:r>
              <w:rPr>
                <w:rFonts w:hint="eastAsia" w:ascii="宋体" w:hAnsi="宋体" w:cs="宋体"/>
                <w:color w:val="auto"/>
                <w:szCs w:val="21"/>
                <w:highlight w:val="none"/>
              </w:rPr>
              <w:t>4、授权委托书及委托代理人有效身份证正反面复印件（格式后附）；（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6247A615">
            <w:pPr>
              <w:spacing w:line="360" w:lineRule="auto"/>
              <w:rPr>
                <w:rFonts w:ascii="宋体" w:hAnsi="宋体" w:cs="宋体"/>
                <w:color w:val="auto"/>
                <w:szCs w:val="21"/>
                <w:highlight w:val="none"/>
              </w:rPr>
            </w:pPr>
            <w:r>
              <w:rPr>
                <w:rFonts w:hint="eastAsia" w:ascii="宋体" w:hAnsi="宋体" w:cs="宋体"/>
                <w:color w:val="auto"/>
                <w:szCs w:val="21"/>
                <w:highlight w:val="none"/>
              </w:rPr>
              <w:t>5、磋商保证金提交凭证；（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8063572">
            <w:pPr>
              <w:spacing w:line="360" w:lineRule="auto"/>
              <w:rPr>
                <w:rFonts w:ascii="宋体" w:hAnsi="宋体" w:cs="宋体"/>
                <w:color w:val="auto"/>
                <w:szCs w:val="21"/>
                <w:highlight w:val="none"/>
              </w:rPr>
            </w:pPr>
            <w:r>
              <w:rPr>
                <w:rFonts w:hint="eastAsia" w:ascii="宋体" w:hAnsi="宋体" w:cs="宋体"/>
                <w:color w:val="auto"/>
                <w:szCs w:val="21"/>
                <w:highlight w:val="none"/>
              </w:rPr>
              <w:t>6、商务要求偏离表（格式后附）；（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AB43648">
            <w:pPr>
              <w:spacing w:line="360" w:lineRule="auto"/>
              <w:rPr>
                <w:rFonts w:ascii="宋体" w:hAnsi="宋体" w:cs="宋体"/>
                <w:color w:val="auto"/>
                <w:szCs w:val="21"/>
                <w:highlight w:val="none"/>
              </w:rPr>
            </w:pPr>
            <w:r>
              <w:rPr>
                <w:rFonts w:hint="eastAsia" w:ascii="宋体" w:hAnsi="宋体" w:cs="宋体"/>
                <w:color w:val="auto"/>
                <w:szCs w:val="21"/>
                <w:highlight w:val="none"/>
              </w:rPr>
              <w:t>7、服务方案（格式自拟）；（</w:t>
            </w:r>
            <w:r>
              <w:rPr>
                <w:rFonts w:hint="eastAsia" w:ascii="宋体" w:hAnsi="宋体" w:cs="宋体"/>
                <w:b/>
                <w:color w:val="auto"/>
                <w:szCs w:val="21"/>
                <w:highlight w:val="none"/>
              </w:rPr>
              <w:t>根据竞争性磋商文件的要求提供</w:t>
            </w:r>
            <w:r>
              <w:rPr>
                <w:rFonts w:hint="eastAsia" w:ascii="宋体" w:hAnsi="宋体" w:cs="宋体"/>
                <w:color w:val="auto"/>
                <w:szCs w:val="21"/>
                <w:highlight w:val="none"/>
              </w:rPr>
              <w:t>）</w:t>
            </w:r>
          </w:p>
          <w:p w14:paraId="37777E86">
            <w:pPr>
              <w:spacing w:line="360" w:lineRule="auto"/>
              <w:rPr>
                <w:rFonts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2959B4D">
            <w:pPr>
              <w:spacing w:line="360" w:lineRule="auto"/>
              <w:rPr>
                <w:rFonts w:ascii="宋体" w:hAnsi="宋体" w:cs="宋体"/>
                <w:color w:val="auto"/>
                <w:szCs w:val="21"/>
                <w:highlight w:val="none"/>
              </w:rPr>
            </w:pPr>
            <w:r>
              <w:rPr>
                <w:rFonts w:hint="eastAsia" w:ascii="宋体" w:hAnsi="宋体" w:cs="宋体"/>
                <w:color w:val="auto"/>
                <w:szCs w:val="21"/>
                <w:highlight w:val="none"/>
              </w:rPr>
              <w:t>9、服务承诺书（格式自拟）；（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26AC0AC">
            <w:pPr>
              <w:spacing w:line="360" w:lineRule="auto"/>
              <w:rPr>
                <w:rFonts w:ascii="宋体" w:hAnsi="宋体" w:cs="宋体"/>
                <w:color w:val="auto"/>
                <w:szCs w:val="21"/>
                <w:highlight w:val="none"/>
              </w:rPr>
            </w:pPr>
            <w:r>
              <w:rPr>
                <w:rFonts w:hint="eastAsia" w:ascii="宋体" w:hAnsi="宋体" w:cs="宋体"/>
                <w:color w:val="auto"/>
                <w:szCs w:val="21"/>
                <w:highlight w:val="none"/>
              </w:rPr>
              <w:t>10、项目实施人员一览表（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 xml:space="preserve">）； </w:t>
            </w:r>
          </w:p>
          <w:p w14:paraId="5137B4D4">
            <w:pPr>
              <w:spacing w:line="360" w:lineRule="auto"/>
              <w:rPr>
                <w:rFonts w:ascii="宋体" w:hAnsi="宋体" w:cs="宋体"/>
                <w:color w:val="auto"/>
                <w:szCs w:val="21"/>
                <w:highlight w:val="none"/>
              </w:rPr>
            </w:pPr>
            <w:r>
              <w:rPr>
                <w:rFonts w:hint="eastAsia" w:ascii="宋体" w:hAnsi="宋体" w:cs="宋体"/>
                <w:color w:val="auto"/>
                <w:szCs w:val="21"/>
                <w:highlight w:val="none"/>
              </w:rPr>
              <w:t>11、对应采购需求的技术要求、商务要求提供的其他文件资料（格式自拟）；</w:t>
            </w:r>
          </w:p>
          <w:p w14:paraId="682403F6">
            <w:pPr>
              <w:spacing w:line="360" w:lineRule="auto"/>
              <w:rPr>
                <w:rFonts w:ascii="宋体" w:hAnsi="宋体" w:cs="宋体"/>
                <w:b/>
                <w:color w:val="auto"/>
                <w:szCs w:val="21"/>
                <w:highlight w:val="none"/>
              </w:rPr>
            </w:pPr>
            <w:r>
              <w:rPr>
                <w:rFonts w:hint="eastAsia" w:ascii="宋体" w:hAnsi="宋体" w:cs="宋体"/>
                <w:color w:val="auto"/>
                <w:szCs w:val="21"/>
                <w:highlight w:val="none"/>
              </w:rPr>
              <w:t>12、供应商认为需要提供的其他有关资料。</w:t>
            </w:r>
          </w:p>
          <w:p w14:paraId="4ECBF141">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14:paraId="70433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1D759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627" w:type="dxa"/>
            <w:noWrap w:val="0"/>
            <w:vAlign w:val="center"/>
          </w:tcPr>
          <w:p w14:paraId="775DE50A">
            <w:p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57863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EE89CD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8627" w:type="dxa"/>
            <w:noWrap w:val="0"/>
            <w:vAlign w:val="center"/>
          </w:tcPr>
          <w:p w14:paraId="2C0722F3">
            <w:pPr>
              <w:spacing w:line="360" w:lineRule="auto"/>
              <w:rPr>
                <w:rFonts w:ascii="宋体" w:hAnsi="宋体" w:cs="宋体"/>
                <w:color w:val="auto"/>
                <w:szCs w:val="21"/>
                <w:highlight w:val="none"/>
              </w:rPr>
            </w:pPr>
            <w:r>
              <w:rPr>
                <w:rFonts w:hint="eastAsia" w:ascii="宋体" w:hAnsi="宋体" w:cs="宋体"/>
                <w:color w:val="auto"/>
                <w:szCs w:val="21"/>
                <w:highlight w:val="none"/>
              </w:rPr>
              <w:t>竞标有效期：首次响应文件提交截止之日起60天内。</w:t>
            </w:r>
          </w:p>
        </w:tc>
      </w:tr>
      <w:tr w14:paraId="2540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CEF14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627" w:type="dxa"/>
            <w:noWrap w:val="0"/>
            <w:vAlign w:val="center"/>
          </w:tcPr>
          <w:p w14:paraId="2A2275E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本项目收取磋商保证金，具体规定如下：</w:t>
            </w:r>
          </w:p>
          <w:p w14:paraId="662A173F">
            <w:pPr>
              <w:widowControl/>
              <w:spacing w:line="360" w:lineRule="auto"/>
              <w:rPr>
                <w:rFonts w:ascii="宋体" w:hAnsi="宋体" w:cs="宋体"/>
                <w:color w:val="auto"/>
                <w:szCs w:val="21"/>
                <w:highlight w:val="none"/>
                <w:lang w:bidi="ar"/>
              </w:rPr>
            </w:pPr>
            <w:r>
              <w:rPr>
                <w:rFonts w:hint="eastAsia" w:ascii="宋体" w:hAnsi="宋体" w:cs="宋体"/>
                <w:color w:val="auto"/>
                <w:kern w:val="0"/>
                <w:szCs w:val="21"/>
                <w:highlight w:val="none"/>
              </w:rPr>
              <w:t>磋商保证金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人民币</w:t>
            </w:r>
            <w:r>
              <w:rPr>
                <w:rFonts w:hint="eastAsia" w:ascii="宋体" w:hAnsi="宋体" w:cs="宋体"/>
                <w:color w:val="auto"/>
                <w:kern w:val="0"/>
                <w:szCs w:val="21"/>
                <w:highlight w:val="none"/>
                <w:u w:val="single"/>
              </w:rPr>
              <w:t xml:space="preserve"> 1500.00</w:t>
            </w:r>
            <w:r>
              <w:rPr>
                <w:rFonts w:hint="eastAsia" w:ascii="宋体" w:hAnsi="宋体" w:cs="宋体"/>
                <w:color w:val="auto"/>
                <w:szCs w:val="21"/>
                <w:highlight w:val="none"/>
                <w:lang w:bidi="ar"/>
              </w:rPr>
              <w:t>元；</w:t>
            </w:r>
          </w:p>
          <w:p w14:paraId="00EF76F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磋商保证金的交纳方式：银行转账、支票、汇票、本票或者金融、担保金融、担保机构出具的保函，禁止采用现钞方式。采用银行转账方式的，在响应文件提交截止时间前交至指定账户并且到账（开户银行：</w:t>
            </w:r>
            <w:r>
              <w:rPr>
                <w:rFonts w:hint="eastAsia" w:ascii="宋体" w:hAnsi="宋体" w:cs="宋体"/>
                <w:color w:val="auto"/>
                <w:kern w:val="0"/>
                <w:szCs w:val="21"/>
                <w:highlight w:val="none"/>
                <w:u w:val="single"/>
              </w:rPr>
              <w:t xml:space="preserve"> 广西北部湾银行股份有限公司南宁分行</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 xml:space="preserve"> 广西国泰招标咨询有限公司</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 xml:space="preserve"> 0101012090615711</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）；采用支票、汇票、本票或者保函等方式的，在响应文件提交截止时间前，供应商必须提交支票、汇票、本票或者保函原件。否则视为无效磋商保证金。</w:t>
            </w:r>
          </w:p>
          <w:p w14:paraId="35CA826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0B9F925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C682229">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b/>
                <w:color w:val="auto"/>
                <w:szCs w:val="21"/>
                <w:highlight w:val="none"/>
              </w:rPr>
              <w:t>供应商必须在首次响应文件提交截止时间前将支票、汇票、本票或者金融、</w:t>
            </w:r>
            <w:r>
              <w:rPr>
                <w:rFonts w:hint="eastAsia" w:ascii="宋体" w:hAnsi="宋体"/>
                <w:b/>
                <w:color w:val="auto"/>
                <w:szCs w:val="21"/>
                <w:highlight w:val="none"/>
              </w:rPr>
              <w:t>担保机构出具</w:t>
            </w:r>
            <w:r>
              <w:rPr>
                <w:rFonts w:hint="eastAsia" w:ascii="宋体" w:hAnsi="宋体"/>
                <w:b/>
                <w:bCs/>
                <w:color w:val="auto"/>
                <w:szCs w:val="21"/>
                <w:highlight w:val="none"/>
              </w:rPr>
              <w:t>的保函原件（电子保函的打印保函并加盖供应商公章）等单独密封提交给采购代理机构</w:t>
            </w:r>
            <w:r>
              <w:rPr>
                <w:rFonts w:hint="eastAsia" w:ascii="宋体" w:hAnsi="宋体" w:cs="宋体"/>
                <w:b/>
                <w:color w:val="auto"/>
                <w:szCs w:val="21"/>
                <w:highlight w:val="none"/>
              </w:rPr>
              <w:t>，由采购代理机构向供应商出具回执，并妥善保管，否则响应文件按无效响应处理。联系人：黄柳娜  联系电话：0771-2023496。</w:t>
            </w:r>
          </w:p>
          <w:p w14:paraId="088A36C9">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52DBBF3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1CFEA9A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07A3093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48461B4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4C72C23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p w14:paraId="4BF73C7C">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6、保证金凭证应注明正确的项目编号、分标号（如有）等信息，否则，信息不明确或有误的将可能被视为无效磋商保证金，并有可能影响保证金的及时退付。</w:t>
            </w:r>
          </w:p>
        </w:tc>
      </w:tr>
      <w:tr w14:paraId="5B31F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noWrap w:val="0"/>
            <w:vAlign w:val="center"/>
          </w:tcPr>
          <w:p w14:paraId="2E0BBB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18.2</w:t>
            </w:r>
          </w:p>
        </w:tc>
        <w:tc>
          <w:tcPr>
            <w:tcW w:w="8627" w:type="dxa"/>
            <w:noWrap w:val="0"/>
            <w:vAlign w:val="center"/>
          </w:tcPr>
          <w:p w14:paraId="49F1AB8D">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响应文件应按资格证明文件、报价商务技术文件分别编制，并按广西政府采购云平台的要求编制、加密、上传。</w:t>
            </w:r>
          </w:p>
        </w:tc>
      </w:tr>
      <w:tr w14:paraId="2CE9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AE190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627" w:type="dxa"/>
            <w:noWrap w:val="0"/>
            <w:vAlign w:val="center"/>
          </w:tcPr>
          <w:p w14:paraId="46EA11C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4F3E5E20">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tc>
      </w:tr>
      <w:tr w14:paraId="36882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981BB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627" w:type="dxa"/>
            <w:noWrap w:val="0"/>
            <w:vAlign w:val="center"/>
          </w:tcPr>
          <w:p w14:paraId="1B87C9AC">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磋商小组的人数：3人。</w:t>
            </w:r>
          </w:p>
        </w:tc>
      </w:tr>
      <w:tr w14:paraId="0F502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43458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25.2</w:t>
            </w:r>
          </w:p>
        </w:tc>
        <w:tc>
          <w:tcPr>
            <w:tcW w:w="8627" w:type="dxa"/>
            <w:noWrap w:val="0"/>
            <w:vAlign w:val="center"/>
          </w:tcPr>
          <w:p w14:paraId="293103B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14:paraId="7B0FD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11A51F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8627" w:type="dxa"/>
            <w:noWrap w:val="0"/>
            <w:vAlign w:val="center"/>
          </w:tcPr>
          <w:p w14:paraId="56F4FD8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1D2F7F9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0B02B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92" w:type="dxa"/>
            <w:vMerge w:val="continue"/>
            <w:noWrap w:val="0"/>
            <w:vAlign w:val="center"/>
          </w:tcPr>
          <w:p w14:paraId="5E93B12A">
            <w:pPr>
              <w:spacing w:line="360" w:lineRule="auto"/>
              <w:jc w:val="center"/>
              <w:rPr>
                <w:rFonts w:ascii="宋体" w:hAnsi="宋体" w:cs="宋体"/>
                <w:color w:val="auto"/>
                <w:szCs w:val="21"/>
                <w:highlight w:val="none"/>
              </w:rPr>
            </w:pPr>
          </w:p>
        </w:tc>
        <w:tc>
          <w:tcPr>
            <w:tcW w:w="8627" w:type="dxa"/>
            <w:noWrap w:val="0"/>
            <w:vAlign w:val="center"/>
          </w:tcPr>
          <w:p w14:paraId="5DAF0DB0">
            <w:pPr>
              <w:pStyle w:val="13"/>
              <w:spacing w:line="320" w:lineRule="exact"/>
              <w:jc w:val="both"/>
              <w:rPr>
                <w:rFonts w:ascii="宋体" w:hAnsi="宋体" w:cs="宋体"/>
                <w:color w:val="auto"/>
                <w:szCs w:val="21"/>
                <w:highlight w:val="none"/>
              </w:rPr>
            </w:pPr>
            <w:r>
              <w:rPr>
                <w:rFonts w:hint="eastAsia" w:ascii="宋体" w:hAnsi="宋体" w:cs="宋体"/>
                <w:color w:val="auto"/>
                <w:szCs w:val="21"/>
                <w:highlight w:val="none"/>
              </w:rPr>
              <w:t>磋商的顺序：按“广西政府采购云平台”系统的编号顺序。</w:t>
            </w:r>
          </w:p>
          <w:p w14:paraId="2025744D">
            <w:pPr>
              <w:pStyle w:val="13"/>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符合磋商资格的供应商必须在接到磋商通知后规定时间内参加磋商，未在规定时间内参加磋商的视同放弃参加磋商权利，其响应文件按无效响应处理。</w:t>
            </w:r>
          </w:p>
          <w:p w14:paraId="48F93D7B">
            <w:pPr>
              <w:pStyle w:val="13"/>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注：参与磋商前，供应商法定代表人或者委托代理人向磋商小组出示本人有效证件原件[有效证件可以是身份证（含临时身份证明）或者护照的其中一项]。</w:t>
            </w:r>
          </w:p>
        </w:tc>
      </w:tr>
      <w:tr w14:paraId="2C29F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44E95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8627" w:type="dxa"/>
            <w:noWrap w:val="0"/>
            <w:vAlign w:val="center"/>
          </w:tcPr>
          <w:p w14:paraId="12001989">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58882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606B2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8627" w:type="dxa"/>
            <w:noWrap w:val="0"/>
            <w:vAlign w:val="center"/>
          </w:tcPr>
          <w:p w14:paraId="69B6728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7AD0CBC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1、委托代理人负责签订合同的，须携带授权委托书及委托代理人身份证原件等其他资格证件。</w:t>
            </w:r>
          </w:p>
          <w:p w14:paraId="6836B34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2、法定代表人负责签订合同的，须携带法定代表人身份证明原件及身份证原件等其他证明材料。</w:t>
            </w:r>
          </w:p>
        </w:tc>
      </w:tr>
      <w:tr w14:paraId="7B66A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CAE59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8627" w:type="dxa"/>
            <w:noWrap w:val="0"/>
            <w:vAlign w:val="center"/>
          </w:tcPr>
          <w:p w14:paraId="535C55F9">
            <w:pPr>
              <w:pStyle w:val="20"/>
              <w:snapToGrid w:val="0"/>
              <w:spacing w:line="360" w:lineRule="auto"/>
              <w:rPr>
                <w:rFonts w:hAnsi="宋体" w:cs="宋体"/>
                <w:color w:val="auto"/>
                <w:sz w:val="21"/>
                <w:highlight w:val="none"/>
              </w:rPr>
            </w:pPr>
            <w:r>
              <w:rPr>
                <w:rFonts w:hint="eastAsia" w:hAnsi="宋体" w:cs="宋体"/>
                <w:color w:val="auto"/>
                <w:sz w:val="21"/>
                <w:highlight w:val="none"/>
              </w:rPr>
              <w:t>接收质疑函方式：以纸质书面形式。</w:t>
            </w:r>
          </w:p>
          <w:p w14:paraId="4F40826E">
            <w:pPr>
              <w:pStyle w:val="20"/>
              <w:snapToGrid w:val="0"/>
              <w:spacing w:line="360" w:lineRule="auto"/>
              <w:rPr>
                <w:rFonts w:hAnsi="宋体" w:cs="宋体"/>
                <w:color w:val="auto"/>
                <w:sz w:val="21"/>
                <w:highlight w:val="none"/>
              </w:rPr>
            </w:pPr>
            <w:r>
              <w:rPr>
                <w:rFonts w:hint="eastAsia" w:hAnsi="宋体" w:cs="宋体"/>
                <w:color w:val="auto"/>
                <w:sz w:val="21"/>
                <w:highlight w:val="none"/>
              </w:rPr>
              <w:t>质疑联系部门及联系方式：广西国泰招标咨询有限公司，质疑联系人：黄柳娜  联系电话：0771-2023496，通讯地址：广西南宁市民族大道141号中鼎万象东方大厦C区六层</w:t>
            </w:r>
          </w:p>
          <w:p w14:paraId="7806A60C">
            <w:pPr>
              <w:pStyle w:val="20"/>
              <w:snapToGrid w:val="0"/>
              <w:spacing w:line="360" w:lineRule="auto"/>
              <w:rPr>
                <w:rFonts w:hAnsi="宋体" w:cs="宋体"/>
                <w:color w:val="auto"/>
                <w:highlight w:val="none"/>
              </w:rPr>
            </w:pPr>
            <w:r>
              <w:rPr>
                <w:rFonts w:hint="eastAsia" w:hAnsi="宋体" w:cs="宋体"/>
                <w:color w:val="auto"/>
                <w:sz w:val="21"/>
                <w:highlight w:val="none"/>
              </w:rPr>
              <w:t>现场提交质疑办理业务时间：工作日，上午8:00-12:00；下午15:00-18:00（北京时间）</w:t>
            </w:r>
          </w:p>
        </w:tc>
      </w:tr>
      <w:tr w14:paraId="6E475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noWrap w:val="0"/>
            <w:vAlign w:val="center"/>
          </w:tcPr>
          <w:p w14:paraId="58EB99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8627" w:type="dxa"/>
            <w:noWrap w:val="0"/>
            <w:vAlign w:val="center"/>
          </w:tcPr>
          <w:p w14:paraId="73726ABE">
            <w:pPr>
              <w:pStyle w:val="20"/>
              <w:snapToGrid w:val="0"/>
              <w:spacing w:line="400" w:lineRule="exact"/>
              <w:rPr>
                <w:rFonts w:hAnsi="宋体" w:cs="宋体"/>
                <w:color w:val="auto"/>
                <w:sz w:val="21"/>
                <w:highlight w:val="none"/>
              </w:rPr>
            </w:pPr>
            <w:r>
              <w:rPr>
                <w:rFonts w:hint="eastAsia" w:hAnsi="宋体" w:cs="宋体"/>
                <w:color w:val="auto"/>
                <w:sz w:val="21"/>
                <w:highlight w:val="none"/>
              </w:rPr>
              <w:t>1、采购代理服务费支付方式：</w:t>
            </w:r>
            <w:r>
              <w:rPr>
                <w:rFonts w:hint="eastAsia" w:hAnsi="宋体"/>
                <w:color w:val="auto"/>
                <w:sz w:val="21"/>
                <w:highlight w:val="none"/>
              </w:rPr>
              <w:t>本项目的招标代理服务费按以下收费标准向</w:t>
            </w:r>
            <w:r>
              <w:rPr>
                <w:rFonts w:hint="eastAsia" w:hAnsi="宋体" w:cs="宋体"/>
                <w:color w:val="auto"/>
                <w:sz w:val="21"/>
                <w:highlight w:val="none"/>
              </w:rPr>
              <w:t>成交供应商</w:t>
            </w:r>
            <w:r>
              <w:rPr>
                <w:rFonts w:hint="eastAsia" w:hAnsi="宋体"/>
                <w:color w:val="auto"/>
                <w:sz w:val="21"/>
                <w:highlight w:val="none"/>
              </w:rPr>
              <w:t>收取，领取成交通知书前，</w:t>
            </w:r>
            <w:r>
              <w:rPr>
                <w:rFonts w:hint="eastAsia" w:hAnsi="宋体" w:cs="宋体"/>
                <w:color w:val="auto"/>
                <w:sz w:val="21"/>
                <w:highlight w:val="none"/>
              </w:rPr>
              <w:t>成交供应商</w:t>
            </w:r>
            <w:r>
              <w:rPr>
                <w:rFonts w:hint="eastAsia" w:hAnsi="宋体"/>
                <w:color w:val="auto"/>
                <w:sz w:val="21"/>
                <w:highlight w:val="none"/>
              </w:rPr>
              <w:t>应向采购代理机构一次付清招标代理服务费，否则采购代理机构有权不予以办理。</w:t>
            </w:r>
          </w:p>
          <w:p w14:paraId="0CCD640E">
            <w:pPr>
              <w:pStyle w:val="20"/>
              <w:snapToGrid w:val="0"/>
              <w:spacing w:line="400" w:lineRule="exact"/>
              <w:rPr>
                <w:rFonts w:hAnsi="宋体" w:cs="宋体"/>
                <w:color w:val="auto"/>
                <w:sz w:val="21"/>
                <w:highlight w:val="none"/>
              </w:rPr>
            </w:pPr>
            <w:r>
              <w:rPr>
                <w:rFonts w:hint="eastAsia" w:hAnsi="宋体" w:cs="宋体"/>
                <w:color w:val="auto"/>
                <w:sz w:val="21"/>
                <w:highlight w:val="none"/>
              </w:rPr>
              <w:t>2、采购代理服务费收取标准：以成交金额为计费额，按本须知正文第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w:t>
            </w:r>
            <w:r>
              <w:rPr>
                <w:rFonts w:hint="eastAsia" w:hAnsi="宋体" w:cs="宋体"/>
                <w:b/>
                <w:color w:val="auto"/>
                <w:sz w:val="21"/>
                <w:highlight w:val="none"/>
              </w:rPr>
              <w:t>服务类</w:t>
            </w:r>
            <w:r>
              <w:rPr>
                <w:rFonts w:hint="eastAsia" w:hAnsi="宋体" w:cs="宋体"/>
                <w:color w:val="auto"/>
                <w:sz w:val="21"/>
                <w:highlight w:val="none"/>
              </w:rPr>
              <w:t>）采用差额定率累进法计算出收费基准价格，采购代理服务费收费按收费基准价格收取。</w:t>
            </w:r>
          </w:p>
          <w:p w14:paraId="4F27E10A">
            <w:pPr>
              <w:pStyle w:val="20"/>
              <w:snapToGrid w:val="0"/>
              <w:spacing w:line="400" w:lineRule="exact"/>
              <w:rPr>
                <w:rFonts w:hAnsi="宋体" w:cs="宋体"/>
                <w:color w:val="auto"/>
                <w:sz w:val="21"/>
                <w:highlight w:val="none"/>
              </w:rPr>
            </w:pPr>
            <w:r>
              <w:rPr>
                <w:rFonts w:hint="eastAsia" w:hAnsi="宋体" w:cs="宋体"/>
                <w:color w:val="auto"/>
                <w:sz w:val="21"/>
                <w:highlight w:val="none"/>
              </w:rPr>
              <w:t>3、代理服务费缴费账户信息：</w:t>
            </w:r>
          </w:p>
          <w:p w14:paraId="76BE1A7D">
            <w:pPr>
              <w:pStyle w:val="20"/>
              <w:snapToGrid w:val="0"/>
              <w:spacing w:line="400" w:lineRule="exact"/>
              <w:rPr>
                <w:rFonts w:hAnsi="宋体" w:cs="宋体"/>
                <w:color w:val="auto"/>
                <w:sz w:val="21"/>
                <w:highlight w:val="none"/>
              </w:rPr>
            </w:pPr>
            <w:r>
              <w:rPr>
                <w:rFonts w:hint="eastAsia" w:hAnsi="宋体" w:cs="宋体"/>
                <w:color w:val="auto"/>
                <w:sz w:val="21"/>
                <w:highlight w:val="none"/>
              </w:rPr>
              <w:t>开户名称：广西国泰招标咨询有限公司南宁第五分公司</w:t>
            </w:r>
          </w:p>
          <w:p w14:paraId="286E0FB4">
            <w:pPr>
              <w:pStyle w:val="20"/>
              <w:snapToGrid w:val="0"/>
              <w:spacing w:line="400" w:lineRule="exact"/>
              <w:rPr>
                <w:rFonts w:hAnsi="宋体" w:cs="宋体"/>
                <w:color w:val="auto"/>
                <w:sz w:val="21"/>
                <w:highlight w:val="none"/>
              </w:rPr>
            </w:pPr>
            <w:r>
              <w:rPr>
                <w:rFonts w:hint="eastAsia" w:hAnsi="宋体" w:cs="宋体"/>
                <w:color w:val="auto"/>
                <w:sz w:val="21"/>
                <w:highlight w:val="none"/>
              </w:rPr>
              <w:t>开户银行：广西北部湾银行股份有限公司南宁市云景支行</w:t>
            </w:r>
          </w:p>
          <w:p w14:paraId="6E65B890">
            <w:pPr>
              <w:pStyle w:val="20"/>
              <w:snapToGrid w:val="0"/>
              <w:spacing w:line="400" w:lineRule="exact"/>
              <w:rPr>
                <w:rFonts w:hAnsi="宋体" w:cs="宋体"/>
                <w:color w:val="auto"/>
                <w:sz w:val="21"/>
                <w:highlight w:val="none"/>
              </w:rPr>
            </w:pPr>
            <w:r>
              <w:rPr>
                <w:rFonts w:hint="eastAsia" w:hAnsi="宋体" w:cs="宋体"/>
                <w:color w:val="auto"/>
                <w:sz w:val="21"/>
                <w:highlight w:val="none"/>
              </w:rPr>
              <w:t>银行账号：805022302700001</w:t>
            </w:r>
          </w:p>
        </w:tc>
      </w:tr>
      <w:tr w14:paraId="20D96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2CEE1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8627" w:type="dxa"/>
            <w:noWrap w:val="0"/>
            <w:vAlign w:val="center"/>
          </w:tcPr>
          <w:p w14:paraId="18816640">
            <w:pPr>
              <w:pStyle w:val="20"/>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BAE3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noWrap w:val="0"/>
            <w:vAlign w:val="center"/>
          </w:tcPr>
          <w:p w14:paraId="6553DB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8627" w:type="dxa"/>
            <w:noWrap w:val="0"/>
            <w:vAlign w:val="center"/>
          </w:tcPr>
          <w:p w14:paraId="648E79DE">
            <w:pPr>
              <w:pStyle w:val="20"/>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79614E56">
            <w:pPr>
              <w:pStyle w:val="20"/>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66154B21">
            <w:pPr>
              <w:pStyle w:val="20"/>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3、本磋商文件中描述供应商的“签字”是指供应商的法定代表人或者委托代理人在文件规定签署处签名（</w:t>
            </w:r>
            <w:r>
              <w:rPr>
                <w:rFonts w:hint="eastAsia" w:hAnsi="宋体" w:cs="宋体"/>
                <w:bCs/>
                <w:color w:val="auto"/>
                <w:sz w:val="21"/>
                <w:highlight w:val="none"/>
              </w:rPr>
              <w:t>含电子签署形式</w:t>
            </w:r>
            <w:r>
              <w:rPr>
                <w:rFonts w:hint="eastAsia" w:hAnsi="宋体" w:cs="宋体"/>
                <w:color w:val="auto"/>
                <w:sz w:val="21"/>
                <w:highlight w:val="none"/>
              </w:rPr>
              <w:t>）的行为，私章、印鉴等其他形式均不能代替签字。</w:t>
            </w:r>
          </w:p>
          <w:p w14:paraId="5FA5BCBC">
            <w:pPr>
              <w:pStyle w:val="20"/>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3EB58261">
            <w:pPr>
              <w:pStyle w:val="20"/>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w:t>
            </w:r>
          </w:p>
          <w:p w14:paraId="7BDABCA3">
            <w:pPr>
              <w:pStyle w:val="20"/>
              <w:snapToGrid w:val="0"/>
              <w:spacing w:line="360" w:lineRule="auto"/>
              <w:rPr>
                <w:rFonts w:hAnsi="宋体" w:cs="宋体"/>
                <w:color w:val="auto"/>
                <w:sz w:val="21"/>
                <w:highlight w:val="none"/>
              </w:rPr>
            </w:pPr>
            <w:r>
              <w:rPr>
                <w:rFonts w:hint="eastAsia" w:hAnsi="宋体" w:cs="宋体"/>
                <w:color w:val="auto"/>
                <w:sz w:val="21"/>
                <w:highlight w:val="none"/>
              </w:rPr>
              <w:t>过”“以外”，不包括本数。</w:t>
            </w:r>
          </w:p>
        </w:tc>
      </w:tr>
      <w:tr w14:paraId="175AD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1F271274">
            <w:pPr>
              <w:spacing w:line="360" w:lineRule="auto"/>
              <w:jc w:val="center"/>
              <w:rPr>
                <w:rFonts w:ascii="宋体" w:hAnsi="宋体" w:cs="宋体"/>
                <w:color w:val="auto"/>
                <w:szCs w:val="21"/>
                <w:highlight w:val="none"/>
              </w:rPr>
            </w:pPr>
          </w:p>
        </w:tc>
        <w:tc>
          <w:tcPr>
            <w:tcW w:w="8627" w:type="dxa"/>
            <w:tcBorders>
              <w:top w:val="single" w:color="000000" w:sz="4" w:space="0"/>
              <w:left w:val="single" w:color="000000" w:sz="4" w:space="0"/>
              <w:bottom w:val="single" w:color="000000" w:sz="4" w:space="0"/>
              <w:right w:val="single" w:color="000000" w:sz="4" w:space="0"/>
            </w:tcBorders>
            <w:noWrap w:val="0"/>
            <w:vAlign w:val="center"/>
          </w:tcPr>
          <w:p w14:paraId="0DAE4A7C">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供应商提供的响应文件资料必须是真实有效的，如存在提供虚假材料的情况，竞标无效，并没收竞标保证金；并按照中华人民共和国政府采购法及相关规定处理。给采购人造成损失的,依法承担赔偿责任；构成犯罪的，依法追究刑事责任。</w:t>
            </w:r>
          </w:p>
        </w:tc>
      </w:tr>
    </w:tbl>
    <w:p w14:paraId="1BD2A579">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195F8895">
      <w:pPr>
        <w:spacing w:line="400" w:lineRule="exact"/>
        <w:jc w:val="center"/>
        <w:rPr>
          <w:rFonts w:ascii="宋体" w:hAnsi="宋体" w:cs="宋体"/>
          <w:b/>
          <w:color w:val="auto"/>
          <w:sz w:val="32"/>
          <w:szCs w:val="32"/>
          <w:highlight w:val="none"/>
        </w:rPr>
      </w:pPr>
    </w:p>
    <w:p w14:paraId="1AA072AB">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一、总则</w:t>
      </w:r>
    </w:p>
    <w:p w14:paraId="1D046651">
      <w:pPr>
        <w:spacing w:line="400" w:lineRule="exact"/>
        <w:rPr>
          <w:rFonts w:ascii="宋体" w:hAnsi="宋体" w:cs="宋体"/>
          <w:color w:val="auto"/>
          <w:szCs w:val="21"/>
          <w:highlight w:val="none"/>
        </w:rPr>
      </w:pPr>
    </w:p>
    <w:p w14:paraId="61CE26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1E63E1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34A8F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D0312E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67183A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107368B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6FF778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4551E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4CB83A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33F26E0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5181499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34394D5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4412A34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5ECA27A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2.10“负偏离”，是指响应文件对磋商文件“采购需求”中有关条款作出的响应不满足条款要求，导致采购人要求不能得到满足的情形。</w:t>
      </w:r>
    </w:p>
    <w:p w14:paraId="7901F60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0D9328A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37FCA5F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428DA1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6D2A97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02AED5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754CDB6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2A2315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D12663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2315CD4F">
      <w:pPr>
        <w:pStyle w:val="6"/>
        <w:keepNext w:val="0"/>
        <w:keepLines w:val="0"/>
        <w:spacing w:before="0" w:after="0" w:line="360" w:lineRule="auto"/>
        <w:ind w:left="420" w:leftChars="200"/>
        <w:rPr>
          <w:rFonts w:ascii="宋体" w:hAnsi="宋体" w:cs="宋体"/>
          <w:b w:val="0"/>
          <w:color w:val="auto"/>
          <w:sz w:val="21"/>
          <w:szCs w:val="21"/>
          <w:highlight w:val="none"/>
        </w:rPr>
      </w:pPr>
      <w:bookmarkStart w:id="24" w:name="_Toc254970532"/>
      <w:bookmarkStart w:id="25" w:name="_Toc254970673"/>
      <w:r>
        <w:rPr>
          <w:rFonts w:hint="eastAsia" w:ascii="宋体" w:hAnsi="宋体" w:cs="宋体"/>
          <w:b w:val="0"/>
          <w:color w:val="auto"/>
          <w:sz w:val="21"/>
          <w:szCs w:val="21"/>
          <w:highlight w:val="none"/>
        </w:rPr>
        <w:t>6.1本项目不允许转包。</w:t>
      </w:r>
    </w:p>
    <w:p w14:paraId="4CA333B9">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D6B0E88">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F11AE0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24"/>
      <w:bookmarkEnd w:id="25"/>
    </w:p>
    <w:p w14:paraId="1989E263">
      <w:pPr>
        <w:spacing w:line="360" w:lineRule="auto"/>
        <w:ind w:firstLine="420" w:firstLineChars="200"/>
        <w:rPr>
          <w:rFonts w:ascii="宋体" w:hAnsi="宋体" w:cs="宋体"/>
          <w:color w:val="auto"/>
          <w:szCs w:val="21"/>
          <w:highlight w:val="none"/>
        </w:rPr>
      </w:pPr>
      <w:bookmarkStart w:id="26" w:name="_8.1提供相同品牌产品且通过资格审查、符合性审查的不同投标人参加同一合"/>
      <w:bookmarkEnd w:id="26"/>
      <w:r>
        <w:rPr>
          <w:rFonts w:hint="eastAsia" w:ascii="宋体" w:hAnsi="宋体" w:cs="宋体"/>
          <w:color w:val="auto"/>
          <w:szCs w:val="21"/>
          <w:highlight w:val="none"/>
        </w:rPr>
        <w:t>7.1</w:t>
      </w:r>
      <w:bookmarkStart w:id="27"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27"/>
    <w:p w14:paraId="47D3C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46B19D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7.3供应商在竞标活动中提供任何疑似虚假材料，将报监管部门查处；签订合同后发现的，成交供应商须依法赔偿采购人，且民事赔偿并不免除违法供应商的行政与刑事责任。</w:t>
      </w:r>
    </w:p>
    <w:p w14:paraId="7000F4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58149F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5501A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F0A55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205E7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0E63D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9FA11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1E19E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43256F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256075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47B93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7BA26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bookmarkStart w:id="150" w:name="_GoBack"/>
      <w:bookmarkEnd w:id="150"/>
    </w:p>
    <w:p w14:paraId="46EF0C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2F2A331">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3BA8CB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057890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3BD79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4FF10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B6A70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7261A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B3668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FC66F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4552077">
      <w:pPr>
        <w:spacing w:line="360" w:lineRule="auto"/>
        <w:ind w:firstLine="420" w:firstLineChars="200"/>
        <w:rPr>
          <w:rFonts w:ascii="宋体" w:hAnsi="宋体" w:cs="宋体"/>
          <w:color w:val="auto"/>
          <w:szCs w:val="21"/>
          <w:highlight w:val="none"/>
        </w:rPr>
      </w:pPr>
    </w:p>
    <w:p w14:paraId="5992D635">
      <w:pPr>
        <w:spacing w:line="360" w:lineRule="auto"/>
        <w:ind w:left="1" w:firstLine="417" w:firstLineChars="199"/>
        <w:jc w:val="center"/>
        <w:rPr>
          <w:rFonts w:ascii="宋体" w:hAnsi="宋体" w:cs="宋体"/>
          <w:color w:val="auto"/>
          <w:highlight w:val="none"/>
        </w:rPr>
      </w:pPr>
      <w:bookmarkStart w:id="28" w:name="_Toc254970675"/>
      <w:bookmarkStart w:id="29" w:name="_Toc254970534"/>
    </w:p>
    <w:p w14:paraId="0403133B">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二、磋商文件</w:t>
      </w:r>
      <w:bookmarkEnd w:id="28"/>
      <w:bookmarkEnd w:id="29"/>
    </w:p>
    <w:p w14:paraId="0736326B">
      <w:pPr>
        <w:spacing w:line="360" w:lineRule="auto"/>
        <w:ind w:firstLine="482" w:firstLineChars="200"/>
        <w:rPr>
          <w:rFonts w:ascii="宋体" w:hAnsi="宋体" w:cs="宋体"/>
          <w:b/>
          <w:bCs/>
          <w:color w:val="auto"/>
          <w:sz w:val="24"/>
          <w:highlight w:val="none"/>
        </w:rPr>
      </w:pPr>
    </w:p>
    <w:p w14:paraId="1514192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751FA75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14:paraId="690F8E7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61F7DBB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7FC4F21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14:paraId="78A72AD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14:paraId="0B168EE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14:paraId="028CA4E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7075CE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3EDB228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619EB91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271E452B">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10.2采购人和采购代理机构可以视采购具体情况，变更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14:paraId="57483C0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10.3</w:t>
      </w:r>
      <w:r>
        <w:rPr>
          <w:rFonts w:hint="eastAsia" w:ascii="宋体" w:hAnsi="宋体" w:cs="宋体"/>
          <w:color w:val="auto"/>
          <w:szCs w:val="21"/>
          <w:highlight w:val="none"/>
        </w:rPr>
        <w:t>磋商文件澄清、答复、修改、补充的内容为磋商文件的组成部分。</w:t>
      </w:r>
      <w:r>
        <w:rPr>
          <w:rFonts w:hint="eastAsia" w:ascii="宋体" w:hAnsi="宋体" w:cs="宋体"/>
          <w:b/>
          <w:color w:val="auto"/>
          <w:szCs w:val="21"/>
          <w:highlight w:val="none"/>
        </w:rPr>
        <w:t>当磋商文件与磋商文件的澄清、答复、修改、补充通知就同一内容的表述不一致时，以最后发出的文件为准。</w:t>
      </w:r>
    </w:p>
    <w:p w14:paraId="7244254D">
      <w:pPr>
        <w:spacing w:line="400" w:lineRule="exact"/>
        <w:ind w:firstLine="422" w:firstLineChars="200"/>
        <w:rPr>
          <w:rFonts w:ascii="宋体" w:hAnsi="宋体" w:cs="宋体"/>
          <w:b/>
          <w:color w:val="auto"/>
          <w:szCs w:val="21"/>
          <w:highlight w:val="none"/>
        </w:rPr>
      </w:pPr>
      <w:r>
        <w:rPr>
          <w:rFonts w:hint="eastAsia" w:ascii="宋体" w:hAnsi="宋体" w:cs="宋体"/>
          <w:b/>
          <w:color w:val="auto"/>
          <w:highlight w:val="none"/>
        </w:rPr>
        <w:t>10.4</w:t>
      </w:r>
      <w:r>
        <w:rPr>
          <w:rFonts w:hint="eastAsia" w:ascii="宋体" w:hAnsi="宋体" w:cs="宋体"/>
          <w:b/>
          <w:color w:val="auto"/>
          <w:szCs w:val="21"/>
          <w:highlight w:val="none"/>
        </w:rPr>
        <w:t>响应文件未按磋商文件的澄清、修改后的内容编制的，其响应文件作无效响应处理。</w:t>
      </w:r>
    </w:p>
    <w:p w14:paraId="1827C908">
      <w:pPr>
        <w:spacing w:line="400" w:lineRule="exact"/>
        <w:ind w:firstLine="422" w:firstLineChars="200"/>
        <w:rPr>
          <w:rFonts w:ascii="宋体" w:hAnsi="宋体" w:cs="宋体"/>
          <w:b/>
          <w:color w:val="auto"/>
          <w:szCs w:val="21"/>
          <w:highlight w:val="none"/>
        </w:rPr>
      </w:pPr>
    </w:p>
    <w:p w14:paraId="4BBDA1D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三、响应文件的编制</w:t>
      </w:r>
    </w:p>
    <w:p w14:paraId="15A41732">
      <w:pPr>
        <w:spacing w:line="360" w:lineRule="auto"/>
        <w:ind w:firstLine="482" w:firstLineChars="200"/>
        <w:rPr>
          <w:rFonts w:ascii="宋体" w:hAnsi="宋体" w:cs="宋体"/>
          <w:b/>
          <w:bCs/>
          <w:color w:val="auto"/>
          <w:sz w:val="24"/>
          <w:highlight w:val="none"/>
        </w:rPr>
      </w:pPr>
    </w:p>
    <w:p w14:paraId="5178987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00C940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34CD8F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1863A7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60F408BE">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6CEDBB0F">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14:paraId="110F786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217BCE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9B1E41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1D2CFC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A800BC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14:paraId="2655A455">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693993BE">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701E1876">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567518C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15.3.1供应商的竞标报价应符合以下要求，否则响应文件按无效响应处理：</w:t>
      </w:r>
    </w:p>
    <w:p w14:paraId="01651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1759DB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3C28EF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15.3.2最后报价超过所竞标规定的采购预算金额或者最高限价的，其响应文件将按无效响应处理。</w:t>
      </w:r>
      <w:bookmarkStart w:id="30" w:name="_Hlk42592874"/>
    </w:p>
    <w:bookmarkEnd w:id="30"/>
    <w:p w14:paraId="2D68711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546212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91BB5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5E52EB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2BCA79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5637FF8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292D75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0AD76DFF">
      <w:pPr>
        <w:spacing w:line="360" w:lineRule="auto"/>
        <w:ind w:firstLine="420" w:firstLineChars="200"/>
        <w:rPr>
          <w:rFonts w:ascii="宋体" w:hAnsi="宋体" w:cs="宋体"/>
          <w:color w:val="auto"/>
          <w:szCs w:val="21"/>
          <w:highlight w:val="none"/>
        </w:rPr>
      </w:pPr>
      <w:bookmarkStart w:id="31"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31"/>
      <w:r>
        <w:rPr>
          <w:rFonts w:hint="eastAsia" w:ascii="宋体" w:hAnsi="宋体" w:cs="宋体"/>
          <w:color w:val="auto"/>
          <w:szCs w:val="21"/>
          <w:highlight w:val="none"/>
        </w:rPr>
        <w:t xml:space="preserve"> </w:t>
      </w:r>
    </w:p>
    <w:p w14:paraId="68DB293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1FAF7D2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50D296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6C2830F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1174321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1B2B92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7E41B24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655C59B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3A6BF69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4A4F12BF">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18.1供应商应按本磋商文件规定的格式和顺序编制响应文件并标注页码，响应文件内容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14:paraId="5B9E09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18.2响应文件应按资格证明文件、报价商务技术文件分别编制电子文件，并按“广西政府采购云平台”的要求编制、加密、上传。</w:t>
      </w:r>
    </w:p>
    <w:p w14:paraId="779C22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32" w:name="_Hlk65832699"/>
      <w:r>
        <w:rPr>
          <w:rFonts w:hint="eastAsia" w:ascii="宋体" w:hAnsi="宋体" w:cs="宋体"/>
          <w:color w:val="auto"/>
          <w:szCs w:val="21"/>
          <w:highlight w:val="none"/>
        </w:rPr>
        <w:t>3响应文件须由供应商在规定位置盖公章并签字</w:t>
      </w:r>
      <w:bookmarkStart w:id="33" w:name="_Hlk65832569"/>
      <w:r>
        <w:rPr>
          <w:rFonts w:hint="eastAsia" w:ascii="宋体" w:hAnsi="宋体" w:cs="宋体"/>
          <w:color w:val="auto"/>
          <w:szCs w:val="21"/>
          <w:highlight w:val="none"/>
        </w:rPr>
        <w:t>（具体以供应商须知前附表或响应文件格式规定为准）</w:t>
      </w:r>
      <w:bookmarkEnd w:id="32"/>
      <w:bookmarkEnd w:id="33"/>
      <w:r>
        <w:rPr>
          <w:rFonts w:hint="eastAsia" w:ascii="宋体" w:hAnsi="宋体" w:cs="宋体"/>
          <w:color w:val="auto"/>
          <w:szCs w:val="21"/>
          <w:highlight w:val="none"/>
        </w:rPr>
        <w:t>，否则其响应文件按无效响应处理。</w:t>
      </w:r>
    </w:p>
    <w:p w14:paraId="1F0760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18.4响应文件中标注的供应商名称应与营业执照（事业单位法人证书、执业许可证、自然人身份证）及公章一致，否则其响应文件按无效响应处理。</w:t>
      </w:r>
    </w:p>
    <w:p w14:paraId="2D0E4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39EBBA2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19.响应文件的加密、解密</w:t>
      </w:r>
    </w:p>
    <w:p w14:paraId="4B1057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19.1电子响应文件编制完成后，供应商应按“广西政府采购云平台”的要求进行加密，并在规定时间内解密，否则，由此产生的后果由供应商自行负责。</w:t>
      </w:r>
    </w:p>
    <w:p w14:paraId="71AA814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256F5B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79A6DBD7">
      <w:pPr>
        <w:widowControl/>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20.2本项目为全流程电子化采购项目，通过“广西政府采购云平台”（https://www.gcy.zfcg.gxzf.gov.cn/）实行在线电子竞标，供应商应先安装“广西政府采购云平台新版客户端”（新版客户端下载路径：请自行前往“广西政府采购云平台”（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20BC399F">
      <w:pPr>
        <w:pStyle w:val="6"/>
        <w:keepNext w:val="0"/>
        <w:keepLines w:val="0"/>
        <w:spacing w:before="0" w:after="0" w:line="360" w:lineRule="auto"/>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20.3未在规定时间内上传或者未按“广西政府采购云平台”的要求编制、加密的电子响应文件，“广西政府采购云平台”将拒收。</w:t>
      </w:r>
    </w:p>
    <w:p w14:paraId="78EEF677">
      <w:pPr>
        <w:pStyle w:val="7"/>
        <w:rPr>
          <w:rFonts w:ascii="宋体" w:hAnsi="宋体" w:cs="宋体"/>
          <w:color w:val="auto"/>
          <w:szCs w:val="21"/>
          <w:highlight w:val="none"/>
        </w:rPr>
      </w:pPr>
      <w:r>
        <w:rPr>
          <w:rFonts w:hint="eastAsia" w:ascii="宋体" w:hAnsi="宋体" w:cs="宋体"/>
          <w:color w:val="auto"/>
          <w:szCs w:val="21"/>
          <w:highlight w:val="none"/>
        </w:rPr>
        <w:t>20.4电子响应文件提交方</w:t>
      </w:r>
      <w:r>
        <w:rPr>
          <w:rFonts w:hint="eastAsia" w:ascii="宋体" w:hAnsi="宋体" w:cs="宋体"/>
          <w:bCs/>
          <w:color w:val="auto"/>
          <w:szCs w:val="21"/>
          <w:highlight w:val="none"/>
        </w:rPr>
        <w:t>式见“竞争性磋商公告”</w:t>
      </w:r>
      <w:r>
        <w:rPr>
          <w:rFonts w:hint="eastAsia" w:ascii="宋体" w:hAnsi="宋体" w:cs="宋体"/>
          <w:color w:val="auto"/>
          <w:szCs w:val="21"/>
          <w:highlight w:val="none"/>
        </w:rPr>
        <w:t>中“四、响应文件提交”。</w:t>
      </w:r>
    </w:p>
    <w:p w14:paraId="2CD3347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77AD871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071612E1">
      <w:pPr>
        <w:spacing w:line="360" w:lineRule="auto"/>
        <w:ind w:firstLine="482" w:firstLineChars="200"/>
        <w:rPr>
          <w:rFonts w:ascii="宋体" w:hAnsi="宋体" w:cs="宋体"/>
          <w:b/>
          <w:bCs/>
          <w:color w:val="auto"/>
          <w:sz w:val="24"/>
          <w:highlight w:val="none"/>
        </w:rPr>
      </w:pPr>
      <w:bookmarkStart w:id="34" w:name="_Hlk45702405"/>
      <w:r>
        <w:rPr>
          <w:rFonts w:hint="eastAsia" w:ascii="宋体" w:hAnsi="宋体" w:cs="宋体"/>
          <w:b/>
          <w:bCs/>
          <w:color w:val="auto"/>
          <w:sz w:val="24"/>
          <w:highlight w:val="none"/>
        </w:rPr>
        <w:t>22. 首次响应文件的退回</w:t>
      </w:r>
    </w:p>
    <w:p w14:paraId="174CB64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177CD1F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3BC921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23.1供应商在首次响应文件提交截止时间后书面通知采购人、采购代理机构书面撤回响应文件的，将根据本须知正文17.4的规定不予退还其磋商保证金。</w:t>
      </w:r>
    </w:p>
    <w:bookmarkEnd w:id="34"/>
    <w:p w14:paraId="215657B7">
      <w:pPr>
        <w:spacing w:line="360" w:lineRule="auto"/>
        <w:rPr>
          <w:rFonts w:ascii="宋体" w:hAnsi="宋体" w:cs="宋体"/>
          <w:color w:val="auto"/>
          <w:szCs w:val="21"/>
          <w:highlight w:val="none"/>
        </w:rPr>
      </w:pPr>
    </w:p>
    <w:p w14:paraId="6902D5A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2E281D12">
      <w:pPr>
        <w:spacing w:line="360" w:lineRule="auto"/>
        <w:ind w:firstLine="482" w:firstLineChars="200"/>
        <w:rPr>
          <w:rFonts w:ascii="宋体" w:hAnsi="宋体" w:cs="宋体"/>
          <w:b/>
          <w:bCs/>
          <w:color w:val="auto"/>
          <w:sz w:val="24"/>
          <w:highlight w:val="none"/>
        </w:rPr>
      </w:pPr>
    </w:p>
    <w:p w14:paraId="67CE4E7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453231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80783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155F08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751C0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1D03EC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（解密异常情况处理：详见本章26.2电子交易活动的中止。）</w:t>
      </w:r>
    </w:p>
    <w:p w14:paraId="6F5CC9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25.3成功解密响应文件的供应商不足3家的，不得磋商。</w:t>
      </w:r>
    </w:p>
    <w:p w14:paraId="4627948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03EC31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60E6BE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26.2电子交易活动的中止。采购过程中出现以下情形，导致电子交易平台无法正常运行，或者无法保证电子交易的公平、公正和安全时，采购机构可中止电子交易活动：</w:t>
      </w:r>
    </w:p>
    <w:p w14:paraId="7CAA393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6F48E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5258A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0976FE8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01553DF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7892D42B">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26.3出现以上情形，不影响采购公平、公正性的，采购代理机构可以待上述情形消除后继续组织电子交易活动；影响或可能影响采购公平、公正性的，经采购代理机构确认后，应当重新采购。</w:t>
      </w:r>
    </w:p>
    <w:p w14:paraId="34394BF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47150D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A41F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5" w:name="_Hlk66782294"/>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35"/>
    </w:p>
    <w:p w14:paraId="4DF5F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5245F10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6FD2E64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0778957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28.2在履约保证金退还日期前，若成交供应商的开户名称、开户银行、帐号有变动的，请以书面形式通知履约保证金收取单位，否则由此产生的后果由成交供应商自行承担。</w:t>
      </w:r>
    </w:p>
    <w:p w14:paraId="28621E9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11BC4D9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29.1成交供应商在收到成交通知书（书面或电子）后，应当在签订合同时向采购人出示相关证明材料，具体内容详见 “供应商须知前附表”，经采购人核验合格后方可签订合同（书面或电子）。</w:t>
      </w:r>
    </w:p>
    <w:p w14:paraId="175F0DE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签订合同时间：按成交通知书规定的时间与采购人签订政府采购合同（最长不能超过25日）。</w:t>
      </w:r>
    </w:p>
    <w:p w14:paraId="66F32BB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29.3成交供应商拒绝与采购人签订合同的，按照本须知正文第27.3条的规定执行。</w:t>
      </w:r>
    </w:p>
    <w:p w14:paraId="2D811B7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192DB4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CFA099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70EE8843">
      <w:pPr>
        <w:pStyle w:val="7"/>
        <w:spacing w:line="360" w:lineRule="auto"/>
        <w:rPr>
          <w:rFonts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08EC8A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6F5D48B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6C3695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67AA4B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6264D8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F56997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28009CD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032D3E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008586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0407817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02021A4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5D9C218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64331C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29E84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C82AC2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7812F80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6A2614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2B3DB78">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C01DF6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212B3005">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.1代理服务费：代理服务收取标准及缴费账户详见“供应商须知前附表”。</w:t>
      </w:r>
    </w:p>
    <w:p w14:paraId="347ADE20">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BD3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2D06796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服务类型</w:t>
            </w:r>
          </w:p>
          <w:p w14:paraId="30C82960">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556FE885">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6F0A9D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5F5A1B9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6AA8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E5FDBDA">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5E1B216F">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4AD7368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08BD85C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127F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405ED30">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6E2CCAB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77ECE25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140669D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679D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1DB2986">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19EA453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0861618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3F45D71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01A9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094DE16">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22E715C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73BA8E9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162AA94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7E7B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40A3AC0">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275D2EC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492B29B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36A9EFB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39E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4FED626">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7605630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5CD80C1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4084C67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BB8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B38B22B">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5146479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0AC7799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6A93A88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5EFC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406B1AE">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180D04A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47CF073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238CBE3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689D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02AA64B">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4711567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7F7E836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6843D25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1158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5748531">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6DEE942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00D8F4F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6A5E056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3A18B41E">
      <w:pPr>
        <w:spacing w:line="360" w:lineRule="auto"/>
        <w:ind w:firstLine="420" w:firstLineChars="200"/>
        <w:rPr>
          <w:rFonts w:ascii="宋体" w:hAnsi="宋体" w:cs="宋体"/>
          <w:color w:val="auto"/>
          <w:highlight w:val="none"/>
        </w:rPr>
      </w:pPr>
    </w:p>
    <w:p w14:paraId="3BE666B3">
      <w:pPr>
        <w:spacing w:line="360" w:lineRule="auto"/>
        <w:ind w:firstLine="420" w:firstLineChars="200"/>
        <w:rPr>
          <w:rFonts w:ascii="宋体" w:hAnsi="宋体" w:cs="宋体"/>
          <w:color w:val="auto"/>
          <w:highlight w:val="none"/>
        </w:rPr>
      </w:pPr>
    </w:p>
    <w:p w14:paraId="0FBBBCA0">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52D498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w:t>
      </w:r>
      <w:r>
        <w:rPr>
          <w:rFonts w:hint="eastAsia" w:ascii="宋体" w:hAnsi="宋体" w:cs="宋体"/>
          <w:color w:val="auto"/>
          <w:szCs w:val="21"/>
          <w:highlight w:val="none"/>
        </w:rPr>
        <w:t>金额</w:t>
      </w:r>
      <w:r>
        <w:rPr>
          <w:rFonts w:ascii="宋体" w:hAnsi="宋体" w:cs="宋体"/>
          <w:color w:val="auto"/>
          <w:highlight w:val="none"/>
        </w:rPr>
        <w:t>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77D7FAB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1524F5C5">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3E0040A0">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0A9C828C">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38253709">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6CBF2A23">
      <w:pPr>
        <w:spacing w:line="360" w:lineRule="auto"/>
        <w:ind w:firstLine="420" w:firstLineChars="200"/>
        <w:rPr>
          <w:rFonts w:ascii="宋体" w:hAnsi="宋体" w:cs="宋体"/>
          <w:color w:val="auto"/>
          <w:kern w:val="0"/>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.3</w:t>
      </w:r>
      <w:r>
        <w:rPr>
          <w:rFonts w:hint="eastAsia" w:ascii="宋体" w:hAnsi="宋体" w:cs="宋体"/>
          <w:color w:val="auto"/>
          <w:kern w:val="0"/>
          <w:szCs w:val="21"/>
          <w:highlight w:val="none"/>
        </w:rPr>
        <w:t>代理服务费交纳</w:t>
      </w:r>
      <w:r>
        <w:rPr>
          <w:rFonts w:ascii="宋体" w:hAnsi="宋体" w:cs="宋体"/>
          <w:color w:val="auto"/>
          <w:kern w:val="0"/>
          <w:szCs w:val="21"/>
          <w:highlight w:val="none"/>
        </w:rPr>
        <w:t>银行帐号信息</w:t>
      </w:r>
    </w:p>
    <w:p w14:paraId="24D1521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开户名称：广西国泰招标咨询有限公司南宁第五分公司</w:t>
      </w:r>
    </w:p>
    <w:p w14:paraId="437CC57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开户银行：广西北部湾银行股份有限公司南宁市云景支行</w:t>
      </w:r>
    </w:p>
    <w:p w14:paraId="639DBC5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银行账号：805022302700001</w:t>
      </w:r>
    </w:p>
    <w:p w14:paraId="7C1D954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1C0FB814">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14:paraId="4A842B2D">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 其他事项详见“供应商须知前附表”。</w:t>
      </w:r>
    </w:p>
    <w:p w14:paraId="42D207C6">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7C4ADE6">
      <w:pPr>
        <w:pStyle w:val="20"/>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9535828">
      <w:pPr>
        <w:pStyle w:val="20"/>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27B8905D">
      <w:pPr>
        <w:pStyle w:val="20"/>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ED515A5">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FBEDE0E">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77A23B0B">
      <w:pPr>
        <w:pStyle w:val="3"/>
        <w:spacing w:line="360" w:lineRule="auto"/>
        <w:rPr>
          <w:rFonts w:ascii="宋体" w:hAnsi="宋体" w:cs="宋体"/>
          <w:color w:val="auto"/>
          <w:highlight w:val="none"/>
        </w:rPr>
      </w:pPr>
      <w:r>
        <w:rPr>
          <w:rFonts w:hint="eastAsia" w:ascii="宋体" w:hAnsi="宋体" w:cs="宋体"/>
          <w:color w:val="auto"/>
          <w:highlight w:val="none"/>
        </w:rPr>
        <w:br w:type="page"/>
      </w:r>
      <w:bookmarkStart w:id="36" w:name="_Toc14902"/>
      <w:bookmarkStart w:id="37" w:name="_Toc8379"/>
      <w:r>
        <w:rPr>
          <w:rFonts w:hint="eastAsia" w:ascii="宋体" w:hAnsi="宋体" w:cs="宋体"/>
          <w:color w:val="auto"/>
          <w:highlight w:val="none"/>
        </w:rPr>
        <w:t>第三章 采购需求</w:t>
      </w:r>
      <w:bookmarkEnd w:id="36"/>
      <w:bookmarkEnd w:id="37"/>
    </w:p>
    <w:p w14:paraId="4D4E6D75">
      <w:pPr>
        <w:spacing w:line="440" w:lineRule="exact"/>
        <w:jc w:val="center"/>
        <w:rPr>
          <w:rFonts w:ascii="宋体" w:hAnsi="宋体" w:cs="宋体"/>
          <w:b/>
          <w:color w:val="auto"/>
          <w:sz w:val="32"/>
          <w:szCs w:val="32"/>
          <w:highlight w:val="none"/>
        </w:rPr>
      </w:pPr>
    </w:p>
    <w:p w14:paraId="724A5B33">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说明：</w:t>
      </w:r>
    </w:p>
    <w:p w14:paraId="26A6117D">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00306171">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2、根据《财政部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号）的规定，采购需求中如有货物产品，且货物产品属于节能产品政府采购品目清单内标注“★”的，供应商的竞标货物必须使用政府强制采购的节能产品，否则响应文件作无效响应处理。</w:t>
      </w:r>
    </w:p>
    <w:p w14:paraId="462BEFB4">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3、如供应商竞标产品存在侵犯他人的知识产权或者专利成果行为的，由供应商自行承担相应法律责任。</w:t>
      </w:r>
    </w:p>
    <w:p w14:paraId="0E4CAF4A">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4、“实质性要求”是指竞争性磋商文件中已经指明不满足则响应无效的条款，或者不能负偏离的条款，或者采购需求中带“▲”的条款。</w:t>
      </w:r>
    </w:p>
    <w:p w14:paraId="291547D0">
      <w:pPr>
        <w:spacing w:line="360" w:lineRule="auto"/>
        <w:ind w:firstLine="310" w:firstLineChars="147"/>
        <w:jc w:val="left"/>
        <w:rPr>
          <w:rFonts w:hint="eastAsia" w:ascii="宋体" w:hAnsi="宋体" w:cs="宋体"/>
          <w:b/>
          <w:color w:val="auto"/>
          <w:szCs w:val="21"/>
          <w:highlight w:val="none"/>
        </w:rPr>
      </w:pPr>
    </w:p>
    <w:p w14:paraId="16403F59">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rPr>
        <w:t>多媒体教室及会商室运维服务        采购预算：</w:t>
      </w:r>
      <w:r>
        <w:rPr>
          <w:rFonts w:hint="eastAsia" w:ascii="宋体" w:hAnsi="宋体"/>
          <w:b/>
          <w:bCs/>
          <w:color w:val="auto"/>
          <w:szCs w:val="21"/>
          <w:highlight w:val="none"/>
          <w:u w:val="single"/>
        </w:rPr>
        <w:t xml:space="preserve"> 15.04万元</w:t>
      </w: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5D7AD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noWrap w:val="0"/>
            <w:vAlign w:val="center"/>
          </w:tcPr>
          <w:p w14:paraId="3EE87CE9">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6" w:type="dxa"/>
            <w:gridSpan w:val="2"/>
            <w:noWrap w:val="0"/>
            <w:vAlign w:val="center"/>
          </w:tcPr>
          <w:p w14:paraId="17ECFAB0">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050" w:type="dxa"/>
            <w:noWrap w:val="0"/>
            <w:vAlign w:val="center"/>
          </w:tcPr>
          <w:p w14:paraId="5EB198A1">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7" w:type="dxa"/>
            <w:noWrap w:val="0"/>
            <w:vAlign w:val="center"/>
          </w:tcPr>
          <w:p w14:paraId="08D2C074">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0A48EA86">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416" w:type="dxa"/>
            <w:noWrap w:val="0"/>
            <w:vAlign w:val="center"/>
          </w:tcPr>
          <w:p w14:paraId="47A923F8">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00F5B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noWrap w:val="0"/>
            <w:vAlign w:val="center"/>
          </w:tcPr>
          <w:p w14:paraId="43CA2866">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516" w:type="dxa"/>
            <w:gridSpan w:val="2"/>
            <w:noWrap w:val="0"/>
            <w:vAlign w:val="center"/>
          </w:tcPr>
          <w:p w14:paraId="19D2B23C">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多媒体教室运维服务</w:t>
            </w:r>
          </w:p>
        </w:tc>
        <w:tc>
          <w:tcPr>
            <w:tcW w:w="1050" w:type="dxa"/>
            <w:noWrap w:val="0"/>
            <w:vAlign w:val="center"/>
          </w:tcPr>
          <w:p w14:paraId="65626352">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项</w:t>
            </w:r>
          </w:p>
        </w:tc>
        <w:tc>
          <w:tcPr>
            <w:tcW w:w="1077" w:type="dxa"/>
            <w:noWrap w:val="0"/>
            <w:vAlign w:val="center"/>
          </w:tcPr>
          <w:p w14:paraId="454D2BE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noWrap w:val="0"/>
            <w:vAlign w:val="center"/>
          </w:tcPr>
          <w:p w14:paraId="5C74EE4D">
            <w:pPr>
              <w:spacing w:before="251" w:line="400" w:lineRule="exact"/>
              <w:ind w:left="121"/>
              <w:rPr>
                <w:color w:val="auto"/>
                <w:highlight w:val="none"/>
              </w:rPr>
            </w:pPr>
            <w:r>
              <w:rPr>
                <w:color w:val="auto"/>
                <w:highlight w:val="none"/>
              </w:rPr>
              <w:t>一、对多媒体教室提供设备、系统的故障诊断、远程支持、设备巡检，系统联调、网络优化等服务，在会议召开前提供会议系统及扩声系统调试、会议召开过程提供全程工程师现场保障服务，对所有设备进行每月巡检1次，出具巡检报告，提供激光投影维保、升降器维修和维护、 电脑配件更换、监控系统</w:t>
            </w:r>
            <w:r>
              <w:rPr>
                <w:rFonts w:hint="eastAsia"/>
                <w:color w:val="auto"/>
                <w:highlight w:val="none"/>
              </w:rPr>
              <w:t>维修</w:t>
            </w:r>
            <w:r>
              <w:rPr>
                <w:color w:val="auto"/>
                <w:highlight w:val="none"/>
              </w:rPr>
              <w:t>等服务</w:t>
            </w:r>
            <w:r>
              <w:rPr>
                <w:rFonts w:hint="eastAsia"/>
                <w:color w:val="auto"/>
                <w:highlight w:val="none"/>
              </w:rPr>
              <w:t>。</w:t>
            </w:r>
          </w:p>
          <w:p w14:paraId="37C58A06">
            <w:pPr>
              <w:spacing w:before="251" w:line="320" w:lineRule="exact"/>
              <w:ind w:left="121"/>
              <w:rPr>
                <w:color w:val="auto"/>
                <w:highlight w:val="none"/>
              </w:rPr>
            </w:pPr>
            <w:r>
              <w:rPr>
                <w:color w:val="auto"/>
                <w:highlight w:val="none"/>
              </w:rPr>
              <w:t>二、维护内容：</w:t>
            </w:r>
          </w:p>
          <w:p w14:paraId="53F9404E">
            <w:pPr>
              <w:spacing w:before="251" w:line="320" w:lineRule="exact"/>
              <w:ind w:left="119"/>
              <w:rPr>
                <w:color w:val="auto"/>
                <w:highlight w:val="none"/>
              </w:rPr>
            </w:pPr>
            <w:r>
              <w:rPr>
                <w:color w:val="auto"/>
                <w:highlight w:val="none"/>
              </w:rPr>
              <w:t>（1）多媒体教室翻转器维护，系统升级，部分故障机维修更换。</w:t>
            </w:r>
          </w:p>
          <w:p w14:paraId="73292201">
            <w:pPr>
              <w:spacing w:before="251" w:line="320" w:lineRule="exact"/>
              <w:ind w:left="119"/>
              <w:rPr>
                <w:color w:val="auto"/>
                <w:highlight w:val="none"/>
              </w:rPr>
            </w:pPr>
            <w:r>
              <w:rPr>
                <w:color w:val="auto"/>
                <w:highlight w:val="none"/>
              </w:rPr>
              <w:t>（2）多媒体教室及会商室计算机维护.系统升级。部分故障计算机更换配件。</w:t>
            </w:r>
          </w:p>
          <w:p w14:paraId="42FB3140">
            <w:pPr>
              <w:spacing w:before="251" w:line="320" w:lineRule="exact"/>
              <w:ind w:left="119"/>
              <w:rPr>
                <w:color w:val="auto"/>
                <w:highlight w:val="none"/>
              </w:rPr>
            </w:pPr>
            <w:r>
              <w:rPr>
                <w:color w:val="auto"/>
                <w:highlight w:val="none"/>
              </w:rPr>
              <w:t>（3）鼠标键盘更换和维护。</w:t>
            </w:r>
          </w:p>
          <w:p w14:paraId="394C1BD0">
            <w:pPr>
              <w:spacing w:before="251" w:line="320" w:lineRule="exact"/>
              <w:ind w:left="119"/>
              <w:rPr>
                <w:color w:val="auto"/>
                <w:highlight w:val="none"/>
              </w:rPr>
            </w:pPr>
            <w:r>
              <w:rPr>
                <w:color w:val="auto"/>
                <w:highlight w:val="none"/>
              </w:rPr>
              <w:t>（4）投影机升降器维修和维护。</w:t>
            </w:r>
          </w:p>
          <w:p w14:paraId="0500EB28">
            <w:pPr>
              <w:spacing w:before="251" w:line="320" w:lineRule="exact"/>
              <w:ind w:left="119"/>
              <w:rPr>
                <w:color w:val="auto"/>
                <w:highlight w:val="none"/>
              </w:rPr>
            </w:pPr>
            <w:r>
              <w:rPr>
                <w:color w:val="auto"/>
                <w:highlight w:val="none"/>
              </w:rPr>
              <w:t>（5）会议室音响系统巡检和维护。</w:t>
            </w:r>
          </w:p>
          <w:p w14:paraId="52BDE28B">
            <w:pPr>
              <w:spacing w:before="251" w:line="320" w:lineRule="exact"/>
              <w:ind w:left="119"/>
              <w:rPr>
                <w:color w:val="auto"/>
                <w:highlight w:val="none"/>
              </w:rPr>
            </w:pPr>
            <w:r>
              <w:rPr>
                <w:color w:val="auto"/>
                <w:highlight w:val="none"/>
              </w:rPr>
              <w:t>（6）监控系统维修维护。</w:t>
            </w:r>
          </w:p>
          <w:p w14:paraId="505A03DC">
            <w:pPr>
              <w:spacing w:before="251" w:line="320" w:lineRule="exact"/>
              <w:ind w:left="119"/>
              <w:rPr>
                <w:color w:val="auto"/>
                <w:highlight w:val="none"/>
              </w:rPr>
            </w:pPr>
            <w:r>
              <w:rPr>
                <w:color w:val="auto"/>
                <w:highlight w:val="none"/>
              </w:rPr>
              <w:t>（7）拼接屏、投影机等显示设备维护。</w:t>
            </w:r>
          </w:p>
          <w:p w14:paraId="385D5CD9">
            <w:pPr>
              <w:spacing w:before="251" w:line="320" w:lineRule="exact"/>
              <w:ind w:left="119"/>
              <w:rPr>
                <w:color w:val="auto"/>
                <w:highlight w:val="none"/>
              </w:rPr>
            </w:pPr>
            <w:r>
              <w:rPr>
                <w:color w:val="auto"/>
                <w:highlight w:val="none"/>
              </w:rPr>
              <w:t>（8）</w:t>
            </w:r>
            <w:r>
              <w:rPr>
                <w:rFonts w:hint="eastAsia"/>
                <w:color w:val="auto"/>
                <w:highlight w:val="none"/>
              </w:rPr>
              <w:t>录播系统</w:t>
            </w:r>
            <w:r>
              <w:rPr>
                <w:color w:val="auto"/>
                <w:highlight w:val="none"/>
              </w:rPr>
              <w:t>巡检和维护</w:t>
            </w:r>
          </w:p>
          <w:p w14:paraId="3AA364E9">
            <w:pPr>
              <w:spacing w:before="251" w:line="320" w:lineRule="exact"/>
              <w:ind w:left="119"/>
              <w:rPr>
                <w:color w:val="auto"/>
                <w:highlight w:val="none"/>
              </w:rPr>
            </w:pPr>
            <w:r>
              <w:rPr>
                <w:color w:val="auto"/>
                <w:highlight w:val="none"/>
              </w:rPr>
              <w:t>（</w:t>
            </w:r>
            <w:r>
              <w:rPr>
                <w:rFonts w:hint="eastAsia"/>
                <w:color w:val="auto"/>
                <w:highlight w:val="none"/>
              </w:rPr>
              <w:t>9</w:t>
            </w:r>
            <w:r>
              <w:rPr>
                <w:color w:val="auto"/>
                <w:highlight w:val="none"/>
              </w:rPr>
              <w:t>）</w:t>
            </w:r>
            <w:r>
              <w:rPr>
                <w:rFonts w:hint="eastAsia"/>
                <w:color w:val="auto"/>
                <w:highlight w:val="none"/>
              </w:rPr>
              <w:t>消防系统每个月定期巡检和维护</w:t>
            </w:r>
          </w:p>
          <w:p w14:paraId="2A182E2C">
            <w:pPr>
              <w:spacing w:before="251" w:line="320" w:lineRule="exact"/>
              <w:ind w:left="119"/>
              <w:rPr>
                <w:color w:val="auto"/>
                <w:highlight w:val="none"/>
              </w:rPr>
            </w:pPr>
            <w:r>
              <w:rPr>
                <w:color w:val="auto"/>
                <w:highlight w:val="none"/>
              </w:rPr>
              <w:t>（</w:t>
            </w:r>
            <w:r>
              <w:rPr>
                <w:rFonts w:hint="eastAsia"/>
                <w:color w:val="auto"/>
                <w:highlight w:val="none"/>
              </w:rPr>
              <w:t>10</w:t>
            </w:r>
            <w:r>
              <w:rPr>
                <w:color w:val="auto"/>
                <w:highlight w:val="none"/>
              </w:rPr>
              <w:t>）大型会议1名设备维护人员驻会场保障服务。</w:t>
            </w:r>
          </w:p>
          <w:p w14:paraId="3AEC5F8E">
            <w:pPr>
              <w:spacing w:before="251" w:line="400" w:lineRule="exact"/>
              <w:ind w:left="121"/>
              <w:rPr>
                <w:color w:val="auto"/>
                <w:highlight w:val="none"/>
              </w:rPr>
            </w:pPr>
            <w:r>
              <w:rPr>
                <w:color w:val="auto"/>
                <w:highlight w:val="none"/>
              </w:rPr>
              <w:t>三、巡检服务：供应商每个月定期进行巡检和维护，发现问题及时处理，并做好巡检记录。</w:t>
            </w:r>
          </w:p>
          <w:p w14:paraId="05A2B737">
            <w:pPr>
              <w:spacing w:before="251" w:line="400" w:lineRule="exact"/>
              <w:ind w:left="121"/>
              <w:rPr>
                <w:color w:val="auto"/>
                <w:highlight w:val="none"/>
              </w:rPr>
            </w:pPr>
            <w:r>
              <w:rPr>
                <w:color w:val="auto"/>
                <w:highlight w:val="none"/>
              </w:rPr>
              <w:t>四、设备的维修及升级等服务</w:t>
            </w:r>
          </w:p>
          <w:p w14:paraId="7C5A78A3">
            <w:pPr>
              <w:spacing w:before="251" w:line="400" w:lineRule="exact"/>
              <w:ind w:left="121"/>
              <w:rPr>
                <w:color w:val="auto"/>
                <w:highlight w:val="none"/>
              </w:rPr>
            </w:pPr>
            <w:r>
              <w:rPr>
                <w:color w:val="auto"/>
                <w:highlight w:val="none"/>
              </w:rPr>
              <w:t>供应商应在本地准备充足的备品、备件，保障相关备用设施设备能够按需正常 启用。维护范围内设备部件发生故障，根据服务时限要求更换备件（备件为原 厂生产）</w:t>
            </w:r>
            <w:r>
              <w:rPr>
                <w:rFonts w:hint="eastAsia"/>
                <w:color w:val="auto"/>
                <w:highlight w:val="none"/>
              </w:rPr>
              <w:t>，</w:t>
            </w:r>
            <w:r>
              <w:rPr>
                <w:color w:val="auto"/>
                <w:highlight w:val="none"/>
              </w:rPr>
              <w:t>并负责解决在维护期内发生的、与上述设备相关的支撑软件系统（如： 操作系统）的故障。若在规定的时间内不能及时更换，应在现场采取应急措施，确保系统正常运行。</w:t>
            </w:r>
          </w:p>
          <w:p w14:paraId="25B16C04">
            <w:pPr>
              <w:spacing w:before="251" w:line="400" w:lineRule="exact"/>
              <w:ind w:left="121"/>
              <w:rPr>
                <w:color w:val="auto"/>
                <w:highlight w:val="none"/>
              </w:rPr>
            </w:pPr>
            <w:r>
              <w:rPr>
                <w:color w:val="auto"/>
                <w:highlight w:val="none"/>
              </w:rPr>
              <w:t>（1）翻转器维修保养，包括翻转器的电源模块、控制主板、机械装置等部件的维保。</w:t>
            </w:r>
          </w:p>
          <w:p w14:paraId="68AF4D55">
            <w:pPr>
              <w:spacing w:before="251" w:line="400" w:lineRule="exact"/>
              <w:ind w:left="121"/>
              <w:rPr>
                <w:color w:val="auto"/>
                <w:highlight w:val="none"/>
              </w:rPr>
            </w:pPr>
            <w:r>
              <w:rPr>
                <w:color w:val="auto"/>
                <w:highlight w:val="none"/>
              </w:rPr>
              <w:t>（2）对翻转器故障设备进行新件替换，在新件替换上，可采用同等性能的新品进行替换。</w:t>
            </w:r>
          </w:p>
          <w:p w14:paraId="406D2F04">
            <w:pPr>
              <w:spacing w:before="251" w:line="400" w:lineRule="exact"/>
              <w:ind w:left="121"/>
              <w:rPr>
                <w:color w:val="auto"/>
                <w:highlight w:val="none"/>
              </w:rPr>
            </w:pPr>
            <w:r>
              <w:rPr>
                <w:color w:val="auto"/>
                <w:highlight w:val="none"/>
              </w:rPr>
              <w:t>（3）计算机设备维修保养，包括计算机设备的操作系统、电源、主板、内存、硬盘、屏幕等部件的维保。</w:t>
            </w:r>
          </w:p>
          <w:p w14:paraId="72AA480B">
            <w:pPr>
              <w:spacing w:before="251" w:line="400" w:lineRule="exact"/>
              <w:ind w:left="121"/>
              <w:rPr>
                <w:color w:val="auto"/>
                <w:highlight w:val="none"/>
              </w:rPr>
            </w:pPr>
            <w:r>
              <w:rPr>
                <w:color w:val="auto"/>
                <w:highlight w:val="none"/>
              </w:rPr>
              <w:t>（4）计算机设备故障设备进行新件替换，在新件替换上，可采用同等性能的新品进行替换。</w:t>
            </w:r>
          </w:p>
          <w:p w14:paraId="5872CFEC">
            <w:pPr>
              <w:spacing w:before="251" w:line="400" w:lineRule="exact"/>
              <w:ind w:left="121"/>
              <w:rPr>
                <w:color w:val="auto"/>
                <w:highlight w:val="none"/>
              </w:rPr>
            </w:pPr>
            <w:r>
              <w:rPr>
                <w:color w:val="auto"/>
                <w:highlight w:val="none"/>
              </w:rPr>
              <w:t>（5）监控设备维修保养，包括监控的主机、摄像头、 电源、硬盘等部件的维保。</w:t>
            </w:r>
          </w:p>
          <w:p w14:paraId="5D178FFA">
            <w:pPr>
              <w:spacing w:before="251" w:line="400" w:lineRule="exact"/>
              <w:ind w:left="121"/>
              <w:rPr>
                <w:color w:val="auto"/>
                <w:highlight w:val="none"/>
              </w:rPr>
            </w:pPr>
            <w:r>
              <w:rPr>
                <w:color w:val="auto"/>
                <w:highlight w:val="none"/>
              </w:rPr>
              <w:t>（6）对监控设备故障设备进行新件替换，在新件替换上，可采用同等性能的新品进行替换。</w:t>
            </w:r>
          </w:p>
          <w:p w14:paraId="7F8DAA7F">
            <w:pPr>
              <w:spacing w:before="251" w:line="400" w:lineRule="exact"/>
              <w:ind w:left="121"/>
              <w:rPr>
                <w:color w:val="auto"/>
                <w:highlight w:val="none"/>
              </w:rPr>
            </w:pPr>
            <w:r>
              <w:rPr>
                <w:color w:val="auto"/>
                <w:highlight w:val="none"/>
              </w:rPr>
              <w:t>（7）升级服务：采购人需要设备进行新购产品升级时，提供产品的安装及调试服务。</w:t>
            </w:r>
          </w:p>
          <w:p w14:paraId="1DFFDC79">
            <w:pPr>
              <w:spacing w:before="251" w:line="400" w:lineRule="exact"/>
              <w:ind w:left="121"/>
              <w:rPr>
                <w:color w:val="auto"/>
                <w:highlight w:val="none"/>
              </w:rPr>
            </w:pPr>
            <w:r>
              <w:rPr>
                <w:color w:val="auto"/>
                <w:highlight w:val="none"/>
              </w:rPr>
              <w:t>（8）</w:t>
            </w:r>
            <w:r>
              <w:rPr>
                <w:rFonts w:hint="eastAsia"/>
                <w:color w:val="auto"/>
                <w:highlight w:val="none"/>
              </w:rPr>
              <w:t>录播设备维护，确保视频图像质量完好、流畅、清晰；对录播设备损坏的配件给予维修或更换。</w:t>
            </w:r>
          </w:p>
          <w:p w14:paraId="6F64C49F">
            <w:pPr>
              <w:spacing w:before="251" w:line="400" w:lineRule="exact"/>
              <w:ind w:left="121"/>
              <w:rPr>
                <w:color w:val="auto"/>
                <w:highlight w:val="none"/>
              </w:rPr>
            </w:pPr>
            <w:r>
              <w:rPr>
                <w:rFonts w:hint="eastAsia"/>
                <w:color w:val="auto"/>
                <w:highlight w:val="none"/>
              </w:rPr>
              <w:t>（9）对火灾报警系统部件检修、更换和储气瓶相关部位的检修等。</w:t>
            </w:r>
          </w:p>
          <w:p w14:paraId="482DD398">
            <w:pPr>
              <w:spacing w:before="251" w:line="400" w:lineRule="exact"/>
              <w:ind w:left="121"/>
              <w:rPr>
                <w:color w:val="auto"/>
                <w:highlight w:val="none"/>
              </w:rPr>
            </w:pPr>
            <w:r>
              <w:rPr>
                <w:rFonts w:hint="eastAsia"/>
                <w:color w:val="auto"/>
                <w:highlight w:val="none"/>
              </w:rPr>
              <w:t>（10）</w:t>
            </w:r>
            <w:r>
              <w:rPr>
                <w:color w:val="auto"/>
                <w:highlight w:val="none"/>
              </w:rPr>
              <w:t>提供技术支撑服务，当采购人因业务需要，需要对所维护设备进行迁移、安装、升级、配置时，提供相关的技术服务。</w:t>
            </w:r>
          </w:p>
          <w:p w14:paraId="289E4A56">
            <w:pPr>
              <w:autoSpaceDE w:val="0"/>
              <w:autoSpaceDN w:val="0"/>
              <w:adjustRightInd w:val="0"/>
              <w:spacing w:before="50" w:after="50" w:line="400" w:lineRule="exact"/>
              <w:ind w:firstLine="420"/>
              <w:jc w:val="left"/>
              <w:rPr>
                <w:rFonts w:ascii="宋体" w:hAnsi="宋体" w:cs="宋体"/>
                <w:color w:val="auto"/>
                <w:szCs w:val="21"/>
                <w:highlight w:val="none"/>
              </w:rPr>
            </w:pPr>
            <w:r>
              <w:rPr>
                <w:color w:val="auto"/>
                <w:highlight w:val="none"/>
              </w:rPr>
              <w:t>五、维保设备见文件</w:t>
            </w:r>
            <w:r>
              <w:rPr>
                <w:rFonts w:hint="eastAsia"/>
                <w:color w:val="auto"/>
                <w:highlight w:val="none"/>
                <w:lang w:eastAsia="zh-CN"/>
              </w:rPr>
              <w:t>附表1</w:t>
            </w:r>
            <w:r>
              <w:rPr>
                <w:color w:val="auto"/>
                <w:highlight w:val="none"/>
              </w:rPr>
              <w:t>《多媒体教室及会商室设备维保清单》多媒体教室内容。</w:t>
            </w:r>
          </w:p>
        </w:tc>
      </w:tr>
      <w:tr w14:paraId="33AC9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noWrap w:val="0"/>
            <w:vAlign w:val="center"/>
          </w:tcPr>
          <w:p w14:paraId="31BE0ABC">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6" w:type="dxa"/>
            <w:gridSpan w:val="2"/>
            <w:noWrap w:val="0"/>
            <w:vAlign w:val="center"/>
          </w:tcPr>
          <w:p w14:paraId="14491677">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二楼会商室运维服务</w:t>
            </w:r>
          </w:p>
        </w:tc>
        <w:tc>
          <w:tcPr>
            <w:tcW w:w="1050" w:type="dxa"/>
            <w:noWrap w:val="0"/>
            <w:vAlign w:val="center"/>
          </w:tcPr>
          <w:p w14:paraId="4DC027E2">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1 项</w:t>
            </w:r>
          </w:p>
        </w:tc>
        <w:tc>
          <w:tcPr>
            <w:tcW w:w="1077" w:type="dxa"/>
            <w:noWrap w:val="0"/>
            <w:vAlign w:val="center"/>
          </w:tcPr>
          <w:p w14:paraId="1FACA9A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noWrap w:val="0"/>
            <w:vAlign w:val="center"/>
          </w:tcPr>
          <w:p w14:paraId="709C5D38">
            <w:pPr>
              <w:spacing w:before="251" w:line="400" w:lineRule="exact"/>
              <w:ind w:left="121"/>
              <w:rPr>
                <w:color w:val="auto"/>
                <w:highlight w:val="none"/>
              </w:rPr>
            </w:pPr>
            <w:r>
              <w:rPr>
                <w:color w:val="auto"/>
                <w:highlight w:val="none"/>
              </w:rPr>
              <w:t>一、对二楼会商室运维服务提供设备、系统的故障诊断、远程支持、设备巡检、系统联调、网络优化等服务，在会议召开前提供会议系统及扩声系统调试等全 程工程师现场保障服务，对所有设备进行每月巡检1次，出具巡检报告，提供拼接屏维保、音响系统维护、电脑配件更换、灯具更换等服务。</w:t>
            </w:r>
          </w:p>
          <w:p w14:paraId="2B688837">
            <w:pPr>
              <w:spacing w:before="251" w:line="320" w:lineRule="exact"/>
              <w:ind w:left="119"/>
              <w:rPr>
                <w:color w:val="auto"/>
                <w:highlight w:val="none"/>
              </w:rPr>
            </w:pPr>
            <w:r>
              <w:rPr>
                <w:color w:val="auto"/>
                <w:highlight w:val="none"/>
              </w:rPr>
              <w:t>二、维护内容：</w:t>
            </w:r>
          </w:p>
          <w:p w14:paraId="7EABBEDB">
            <w:pPr>
              <w:spacing w:before="251" w:line="320" w:lineRule="exact"/>
              <w:ind w:left="119"/>
              <w:rPr>
                <w:color w:val="auto"/>
                <w:highlight w:val="none"/>
              </w:rPr>
            </w:pPr>
            <w:r>
              <w:rPr>
                <w:color w:val="auto"/>
                <w:highlight w:val="none"/>
              </w:rPr>
              <w:t>（1）会商室翻转器维护，系统升级，部分故障机维修更换。</w:t>
            </w:r>
          </w:p>
          <w:p w14:paraId="502376B9">
            <w:pPr>
              <w:spacing w:before="251" w:line="320" w:lineRule="exact"/>
              <w:ind w:left="119"/>
              <w:rPr>
                <w:color w:val="auto"/>
                <w:highlight w:val="none"/>
              </w:rPr>
            </w:pPr>
            <w:r>
              <w:rPr>
                <w:color w:val="auto"/>
                <w:highlight w:val="none"/>
              </w:rPr>
              <w:t>（2）会商室计算机维护.系统升级。部分故障计算机更换配件。</w:t>
            </w:r>
          </w:p>
          <w:p w14:paraId="63F9DAD5">
            <w:pPr>
              <w:spacing w:before="251" w:line="320" w:lineRule="exact"/>
              <w:ind w:left="119"/>
              <w:rPr>
                <w:color w:val="auto"/>
                <w:highlight w:val="none"/>
              </w:rPr>
            </w:pPr>
            <w:r>
              <w:rPr>
                <w:color w:val="auto"/>
                <w:highlight w:val="none"/>
              </w:rPr>
              <w:t>（3）鼠标键盘更换和维护。</w:t>
            </w:r>
          </w:p>
          <w:p w14:paraId="28AB1CD6">
            <w:pPr>
              <w:spacing w:before="251" w:line="320" w:lineRule="exact"/>
              <w:ind w:left="119"/>
              <w:rPr>
                <w:color w:val="auto"/>
                <w:highlight w:val="none"/>
              </w:rPr>
            </w:pPr>
            <w:r>
              <w:rPr>
                <w:color w:val="auto"/>
                <w:highlight w:val="none"/>
              </w:rPr>
              <w:t>（4）拼接屏维修和维护。</w:t>
            </w:r>
          </w:p>
          <w:p w14:paraId="75BA5A0C">
            <w:pPr>
              <w:spacing w:before="251" w:line="320" w:lineRule="exact"/>
              <w:ind w:left="119"/>
              <w:rPr>
                <w:color w:val="auto"/>
                <w:highlight w:val="none"/>
              </w:rPr>
            </w:pPr>
            <w:r>
              <w:rPr>
                <w:color w:val="auto"/>
                <w:highlight w:val="none"/>
              </w:rPr>
              <w:t>（5）会议室音响系统巡检和维护。</w:t>
            </w:r>
          </w:p>
          <w:p w14:paraId="14E2E71A">
            <w:pPr>
              <w:spacing w:before="251" w:line="320" w:lineRule="exact"/>
              <w:ind w:left="119"/>
              <w:rPr>
                <w:color w:val="auto"/>
                <w:highlight w:val="none"/>
              </w:rPr>
            </w:pPr>
            <w:r>
              <w:rPr>
                <w:color w:val="auto"/>
                <w:highlight w:val="none"/>
              </w:rPr>
              <w:t>（6）监控系统维修维护。</w:t>
            </w:r>
          </w:p>
          <w:p w14:paraId="22F86BDE">
            <w:pPr>
              <w:spacing w:before="251" w:line="320" w:lineRule="exact"/>
              <w:ind w:left="119"/>
              <w:rPr>
                <w:color w:val="auto"/>
                <w:highlight w:val="none"/>
              </w:rPr>
            </w:pPr>
            <w:r>
              <w:rPr>
                <w:color w:val="auto"/>
                <w:highlight w:val="none"/>
              </w:rPr>
              <w:t>（7）显示设备维护、投影机等。</w:t>
            </w:r>
          </w:p>
          <w:p w14:paraId="57E7B511">
            <w:pPr>
              <w:spacing w:before="251" w:line="320" w:lineRule="exact"/>
              <w:ind w:left="119"/>
              <w:rPr>
                <w:color w:val="auto"/>
                <w:highlight w:val="none"/>
              </w:rPr>
            </w:pPr>
            <w:r>
              <w:rPr>
                <w:color w:val="auto"/>
                <w:highlight w:val="none"/>
              </w:rPr>
              <w:t>（8）每个月定期巡检和维护。</w:t>
            </w:r>
          </w:p>
          <w:p w14:paraId="691DDFE6">
            <w:pPr>
              <w:spacing w:before="251" w:line="320" w:lineRule="exact"/>
              <w:ind w:left="119"/>
              <w:rPr>
                <w:color w:val="auto"/>
                <w:highlight w:val="none"/>
              </w:rPr>
            </w:pPr>
            <w:r>
              <w:rPr>
                <w:color w:val="auto"/>
                <w:highlight w:val="none"/>
              </w:rPr>
              <w:t>（9）大型会议1名设备维护人员驻会场保障服务。</w:t>
            </w:r>
          </w:p>
          <w:p w14:paraId="5CAB3325">
            <w:pPr>
              <w:spacing w:before="251" w:line="320" w:lineRule="exact"/>
              <w:ind w:left="119"/>
              <w:rPr>
                <w:color w:val="auto"/>
                <w:highlight w:val="none"/>
              </w:rPr>
            </w:pPr>
            <w:r>
              <w:rPr>
                <w:color w:val="auto"/>
                <w:highlight w:val="none"/>
              </w:rPr>
              <w:t>三、设备的维修及升级等服务</w:t>
            </w:r>
          </w:p>
          <w:p w14:paraId="29AA0EDF">
            <w:pPr>
              <w:spacing w:before="251" w:line="400" w:lineRule="exact"/>
              <w:ind w:left="121"/>
              <w:rPr>
                <w:color w:val="auto"/>
                <w:highlight w:val="none"/>
              </w:rPr>
            </w:pPr>
            <w:r>
              <w:rPr>
                <w:color w:val="auto"/>
                <w:highlight w:val="none"/>
              </w:rPr>
              <w:t>供应商应在本地准备充足的备品、备件，保障相关备用设施设备能够按需正常启用。维护范围内设备部件发生故障，根据服务时限要求更换备件（备件为原厂生产）</w:t>
            </w:r>
            <w:r>
              <w:rPr>
                <w:rFonts w:hint="eastAsia"/>
                <w:color w:val="auto"/>
                <w:highlight w:val="none"/>
              </w:rPr>
              <w:t>，</w:t>
            </w:r>
            <w:r>
              <w:rPr>
                <w:color w:val="auto"/>
                <w:highlight w:val="none"/>
              </w:rPr>
              <w:t>并负责解决在维护期内发生的、与上述设备相关的支撑软件系统（如： 操作系统）的故障。若在规定的时间内不能及时更换，应在现场采取应急措施，确保系统正常运行。</w:t>
            </w:r>
          </w:p>
          <w:p w14:paraId="66EAAF3E">
            <w:pPr>
              <w:spacing w:before="251" w:line="400" w:lineRule="exact"/>
              <w:ind w:left="121"/>
              <w:rPr>
                <w:color w:val="auto"/>
                <w:highlight w:val="none"/>
              </w:rPr>
            </w:pPr>
            <w:r>
              <w:rPr>
                <w:color w:val="auto"/>
                <w:highlight w:val="none"/>
              </w:rPr>
              <w:t>（1）计算机设备维修保养，包括计算机设备的操作系统、电源、主板、内存、硬盘、屏幕等部件的维保。</w:t>
            </w:r>
          </w:p>
          <w:p w14:paraId="31C7853B">
            <w:pPr>
              <w:spacing w:before="251" w:line="400" w:lineRule="exact"/>
              <w:ind w:left="121"/>
              <w:rPr>
                <w:color w:val="auto"/>
                <w:highlight w:val="none"/>
              </w:rPr>
            </w:pPr>
            <w:r>
              <w:rPr>
                <w:color w:val="auto"/>
                <w:highlight w:val="none"/>
              </w:rPr>
              <w:t>（2）计算机设备故障设备进行新件替换，在新件替换上，可采用同等性能的新品进行替换。</w:t>
            </w:r>
          </w:p>
          <w:p w14:paraId="537EA089">
            <w:pPr>
              <w:spacing w:before="251" w:line="400" w:lineRule="exact"/>
              <w:ind w:left="121"/>
              <w:rPr>
                <w:color w:val="auto"/>
                <w:highlight w:val="none"/>
              </w:rPr>
            </w:pPr>
            <w:r>
              <w:rPr>
                <w:color w:val="auto"/>
                <w:highlight w:val="none"/>
              </w:rPr>
              <w:t>（3）监控设备维修保养，包括监控的主机、摄像头、 电源、硬盘等部件的维保。</w:t>
            </w:r>
          </w:p>
          <w:p w14:paraId="57A08B5F">
            <w:pPr>
              <w:spacing w:before="251" w:line="400" w:lineRule="exact"/>
              <w:ind w:left="121"/>
              <w:rPr>
                <w:color w:val="auto"/>
                <w:highlight w:val="none"/>
              </w:rPr>
            </w:pPr>
            <w:r>
              <w:rPr>
                <w:color w:val="auto"/>
                <w:highlight w:val="none"/>
              </w:rPr>
              <w:t>（4）对拼接屏设备故障设备进行维修或更新替换。</w:t>
            </w:r>
          </w:p>
          <w:p w14:paraId="246E0FB2">
            <w:pPr>
              <w:spacing w:before="251" w:line="400" w:lineRule="exact"/>
              <w:ind w:left="121"/>
              <w:rPr>
                <w:color w:val="auto"/>
                <w:highlight w:val="none"/>
              </w:rPr>
            </w:pPr>
            <w:r>
              <w:rPr>
                <w:color w:val="auto"/>
                <w:highlight w:val="none"/>
              </w:rPr>
              <w:t>（5）升级服务：采购人需要设备进行新购产品升级时，提供产品的安装及调试服务。</w:t>
            </w:r>
          </w:p>
          <w:p w14:paraId="62687478">
            <w:pPr>
              <w:spacing w:before="251" w:line="400" w:lineRule="exact"/>
              <w:ind w:left="121"/>
              <w:rPr>
                <w:color w:val="auto"/>
                <w:highlight w:val="none"/>
              </w:rPr>
            </w:pPr>
            <w:r>
              <w:rPr>
                <w:color w:val="auto"/>
                <w:highlight w:val="none"/>
              </w:rPr>
              <w:t>（6）提供技术支撑服务，当采购人因业务需要，需要对所维护设备进行迁移、安装、升级、配置时，提供相关的技术服务。</w:t>
            </w:r>
          </w:p>
          <w:p w14:paraId="052973D6">
            <w:pPr>
              <w:autoSpaceDE w:val="0"/>
              <w:autoSpaceDN w:val="0"/>
              <w:adjustRightInd w:val="0"/>
              <w:spacing w:before="50" w:after="50" w:line="400" w:lineRule="exact"/>
              <w:ind w:firstLine="420"/>
              <w:jc w:val="left"/>
              <w:rPr>
                <w:rFonts w:ascii="宋体" w:hAnsi="宋体" w:cs="宋体"/>
                <w:color w:val="auto"/>
                <w:szCs w:val="21"/>
                <w:highlight w:val="none"/>
              </w:rPr>
            </w:pPr>
            <w:r>
              <w:rPr>
                <w:rFonts w:ascii="Calibri" w:hAnsi="Calibri" w:eastAsia="宋体" w:cs="Times New Roman"/>
                <w:color w:val="auto"/>
                <w:highlight w:val="none"/>
              </w:rPr>
              <w:t>四、维保设备见文件</w:t>
            </w:r>
            <w:r>
              <w:rPr>
                <w:rFonts w:hint="eastAsia" w:ascii="Calibri" w:hAnsi="Calibri" w:cs="Times New Roman"/>
                <w:color w:val="auto"/>
                <w:highlight w:val="none"/>
                <w:lang w:eastAsia="zh-CN"/>
              </w:rPr>
              <w:t>附表1</w:t>
            </w:r>
            <w:r>
              <w:rPr>
                <w:rFonts w:ascii="Calibri" w:hAnsi="Calibri" w:eastAsia="宋体" w:cs="Times New Roman"/>
                <w:color w:val="auto"/>
                <w:highlight w:val="none"/>
              </w:rPr>
              <w:t>《多媒体教室及会商室设备维保清单》二楼会商室内容</w:t>
            </w:r>
            <w:r>
              <w:rPr>
                <w:rFonts w:hint="eastAsia" w:ascii="Calibri" w:hAnsi="Calibri" w:eastAsia="宋体" w:cs="Times New Roman"/>
                <w:color w:val="auto"/>
                <w:highlight w:val="none"/>
              </w:rPr>
              <w:t>。</w:t>
            </w:r>
          </w:p>
        </w:tc>
      </w:tr>
      <w:tr w14:paraId="71ECD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noWrap w:val="0"/>
            <w:vAlign w:val="center"/>
          </w:tcPr>
          <w:p w14:paraId="0C5EBB29">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516" w:type="dxa"/>
            <w:gridSpan w:val="2"/>
            <w:noWrap w:val="0"/>
            <w:vAlign w:val="center"/>
          </w:tcPr>
          <w:p w14:paraId="2CCA3156">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三楼会商室运维服务</w:t>
            </w:r>
          </w:p>
        </w:tc>
        <w:tc>
          <w:tcPr>
            <w:tcW w:w="1050" w:type="dxa"/>
            <w:noWrap w:val="0"/>
            <w:vAlign w:val="center"/>
          </w:tcPr>
          <w:p w14:paraId="197EE819">
            <w:pPr>
              <w:tabs>
                <w:tab w:val="left" w:pos="1418"/>
              </w:tabs>
              <w:autoSpaceDE w:val="0"/>
              <w:autoSpaceDN w:val="0"/>
              <w:adjustRightIn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1 项</w:t>
            </w:r>
          </w:p>
        </w:tc>
        <w:tc>
          <w:tcPr>
            <w:tcW w:w="1077" w:type="dxa"/>
            <w:noWrap w:val="0"/>
            <w:vAlign w:val="center"/>
          </w:tcPr>
          <w:p w14:paraId="4C44811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416" w:type="dxa"/>
            <w:noWrap w:val="0"/>
            <w:vAlign w:val="center"/>
          </w:tcPr>
          <w:p w14:paraId="606E6DE6">
            <w:pPr>
              <w:spacing w:before="251" w:line="400" w:lineRule="exact"/>
              <w:ind w:left="121"/>
              <w:rPr>
                <w:color w:val="auto"/>
                <w:highlight w:val="none"/>
              </w:rPr>
            </w:pPr>
            <w:r>
              <w:rPr>
                <w:color w:val="auto"/>
                <w:highlight w:val="none"/>
              </w:rPr>
              <w:t>一、对三楼会商室运维服务提供设备、系统的故障诊断、远程支持、设备巡检， 系统联调、网络优化等服务，在会议召开前提供会议系统及扩声系统调试等全 程工程师现场保障服务，对所有设备进行每月巡检1次，出具巡检报告，提供拼接屏维保、音响系统维护、电脑配件更换、灯具更换等服务。</w:t>
            </w:r>
          </w:p>
          <w:p w14:paraId="5A3BA7F3">
            <w:pPr>
              <w:spacing w:before="251" w:line="320" w:lineRule="exact"/>
              <w:ind w:left="119"/>
              <w:rPr>
                <w:color w:val="auto"/>
                <w:highlight w:val="none"/>
              </w:rPr>
            </w:pPr>
            <w:r>
              <w:rPr>
                <w:color w:val="auto"/>
                <w:highlight w:val="none"/>
              </w:rPr>
              <w:t>二、维护内容：</w:t>
            </w:r>
          </w:p>
          <w:p w14:paraId="17B9FFF5">
            <w:pPr>
              <w:spacing w:before="251" w:line="320" w:lineRule="exact"/>
              <w:ind w:left="119"/>
              <w:rPr>
                <w:color w:val="auto"/>
                <w:highlight w:val="none"/>
              </w:rPr>
            </w:pPr>
            <w:r>
              <w:rPr>
                <w:color w:val="auto"/>
                <w:highlight w:val="none"/>
              </w:rPr>
              <w:t>（1）会商室计算机维护.系统升级。部分故障计算机更换配件。</w:t>
            </w:r>
          </w:p>
          <w:p w14:paraId="1517FB37">
            <w:pPr>
              <w:spacing w:before="251" w:line="320" w:lineRule="exact"/>
              <w:ind w:left="119"/>
              <w:rPr>
                <w:color w:val="auto"/>
                <w:highlight w:val="none"/>
              </w:rPr>
            </w:pPr>
            <w:r>
              <w:rPr>
                <w:color w:val="auto"/>
                <w:highlight w:val="none"/>
              </w:rPr>
              <w:t>（2）鼠标键盘更换和维护。</w:t>
            </w:r>
          </w:p>
          <w:p w14:paraId="2D7CFA5B">
            <w:pPr>
              <w:spacing w:before="251" w:line="320" w:lineRule="exact"/>
              <w:ind w:left="119"/>
              <w:rPr>
                <w:color w:val="auto"/>
                <w:highlight w:val="none"/>
              </w:rPr>
            </w:pPr>
            <w:r>
              <w:rPr>
                <w:color w:val="auto"/>
                <w:highlight w:val="none"/>
              </w:rPr>
              <w:t>（3）会议室音响系统巡检和维护。</w:t>
            </w:r>
          </w:p>
          <w:p w14:paraId="7B2BD49D">
            <w:pPr>
              <w:spacing w:before="251" w:line="320" w:lineRule="exact"/>
              <w:ind w:left="119"/>
              <w:rPr>
                <w:color w:val="auto"/>
                <w:highlight w:val="none"/>
              </w:rPr>
            </w:pPr>
            <w:r>
              <w:rPr>
                <w:color w:val="auto"/>
                <w:highlight w:val="none"/>
              </w:rPr>
              <w:t>（4）显示设备维护，拼接屏等。</w:t>
            </w:r>
          </w:p>
          <w:p w14:paraId="470CB4AA">
            <w:pPr>
              <w:spacing w:before="251" w:line="320" w:lineRule="exact"/>
              <w:ind w:left="119"/>
              <w:rPr>
                <w:color w:val="auto"/>
                <w:highlight w:val="none"/>
              </w:rPr>
            </w:pPr>
            <w:r>
              <w:rPr>
                <w:color w:val="auto"/>
                <w:highlight w:val="none"/>
              </w:rPr>
              <w:t>（7）每个月定期巡检和维护。</w:t>
            </w:r>
          </w:p>
          <w:p w14:paraId="0346E766">
            <w:pPr>
              <w:spacing w:before="251" w:line="320" w:lineRule="exact"/>
              <w:ind w:left="119"/>
              <w:rPr>
                <w:color w:val="auto"/>
                <w:highlight w:val="none"/>
              </w:rPr>
            </w:pPr>
            <w:r>
              <w:rPr>
                <w:color w:val="auto"/>
                <w:highlight w:val="none"/>
              </w:rPr>
              <w:t>（8）大型会议1名设备维护人员驻会场保障服务。</w:t>
            </w:r>
          </w:p>
          <w:p w14:paraId="6A088675">
            <w:pPr>
              <w:spacing w:before="251" w:line="320" w:lineRule="exact"/>
              <w:ind w:left="119"/>
              <w:rPr>
                <w:color w:val="auto"/>
                <w:highlight w:val="none"/>
              </w:rPr>
            </w:pPr>
            <w:r>
              <w:rPr>
                <w:color w:val="auto"/>
                <w:highlight w:val="none"/>
              </w:rPr>
              <w:t>三、设备的维修及升级等服务</w:t>
            </w:r>
          </w:p>
          <w:p w14:paraId="19E4362D">
            <w:pPr>
              <w:spacing w:before="251" w:line="400" w:lineRule="exact"/>
              <w:ind w:left="121"/>
              <w:rPr>
                <w:color w:val="auto"/>
                <w:highlight w:val="none"/>
              </w:rPr>
            </w:pPr>
            <w:r>
              <w:rPr>
                <w:color w:val="auto"/>
                <w:highlight w:val="none"/>
              </w:rPr>
              <w:t>供应商应在本地准备充足的备品、备件，保障相关备用设施设备能够按需正常 启用。维护范围内设备部件发生故障，根据服务时限要求更换备件（备件为原 厂生产）</w:t>
            </w:r>
            <w:r>
              <w:rPr>
                <w:rFonts w:hint="eastAsia"/>
                <w:color w:val="auto"/>
                <w:highlight w:val="none"/>
              </w:rPr>
              <w:t>，</w:t>
            </w:r>
            <w:r>
              <w:rPr>
                <w:color w:val="auto"/>
                <w:highlight w:val="none"/>
              </w:rPr>
              <w:t>并负责解决在维护期内发生的、与上述设备相关的支撑软件系统（如： 操作系统）的故障。若在规定的时间内不能及时更换，应在现场采取应急措施，确保系统正常运行。</w:t>
            </w:r>
          </w:p>
          <w:p w14:paraId="400934A4">
            <w:pPr>
              <w:spacing w:before="251" w:line="400" w:lineRule="exact"/>
              <w:ind w:left="121"/>
              <w:rPr>
                <w:color w:val="auto"/>
                <w:highlight w:val="none"/>
              </w:rPr>
            </w:pPr>
            <w:r>
              <w:rPr>
                <w:color w:val="auto"/>
                <w:highlight w:val="none"/>
              </w:rPr>
              <w:t>（1）翻转器维修保养，包括翻转器的电源模块、控制主板、机械装置等部件的维保。</w:t>
            </w:r>
          </w:p>
          <w:p w14:paraId="0802C6A2">
            <w:pPr>
              <w:spacing w:before="251" w:line="400" w:lineRule="exact"/>
              <w:ind w:left="121"/>
              <w:rPr>
                <w:color w:val="auto"/>
                <w:highlight w:val="none"/>
              </w:rPr>
            </w:pPr>
            <w:r>
              <w:rPr>
                <w:color w:val="auto"/>
                <w:highlight w:val="none"/>
              </w:rPr>
              <w:t>（2）对翻转器故障设备进行新件替换，在新件替换上，可采用同等性能的新品进行替换。</w:t>
            </w:r>
          </w:p>
          <w:p w14:paraId="017BEC8B">
            <w:pPr>
              <w:spacing w:before="251" w:line="400" w:lineRule="exact"/>
              <w:ind w:left="121"/>
              <w:rPr>
                <w:color w:val="auto"/>
                <w:highlight w:val="none"/>
              </w:rPr>
            </w:pPr>
            <w:r>
              <w:rPr>
                <w:color w:val="auto"/>
                <w:highlight w:val="none"/>
              </w:rPr>
              <w:t>（3）计算机设备维修保养，包括计算机设备的操作系统、电源、主板、内存、</w:t>
            </w:r>
          </w:p>
          <w:p w14:paraId="7D490846">
            <w:pPr>
              <w:spacing w:before="251" w:line="400" w:lineRule="exact"/>
              <w:ind w:left="121"/>
              <w:rPr>
                <w:color w:val="auto"/>
                <w:highlight w:val="none"/>
              </w:rPr>
            </w:pPr>
            <w:r>
              <w:rPr>
                <w:color w:val="auto"/>
                <w:highlight w:val="none"/>
              </w:rPr>
              <w:t>硬盘、屏幕等部件的维保。</w:t>
            </w:r>
          </w:p>
          <w:p w14:paraId="703A1A8B">
            <w:pPr>
              <w:spacing w:before="251" w:line="400" w:lineRule="exact"/>
              <w:ind w:left="121"/>
              <w:rPr>
                <w:color w:val="auto"/>
                <w:highlight w:val="none"/>
              </w:rPr>
            </w:pPr>
            <w:r>
              <w:rPr>
                <w:color w:val="auto"/>
                <w:highlight w:val="none"/>
              </w:rPr>
              <w:t>（4）计算机设备故障设备进行新件替换，在新件替换上，可采用同等性能的新品进行替换。</w:t>
            </w:r>
          </w:p>
          <w:p w14:paraId="7B5F98D7">
            <w:pPr>
              <w:spacing w:before="251" w:line="400" w:lineRule="exact"/>
              <w:ind w:left="121"/>
              <w:rPr>
                <w:color w:val="auto"/>
                <w:highlight w:val="none"/>
              </w:rPr>
            </w:pPr>
            <w:r>
              <w:rPr>
                <w:color w:val="auto"/>
                <w:highlight w:val="none"/>
              </w:rPr>
              <w:t>（5）监控设备维修保养，包括监控的主机、摄像头、 电源、硬盘等部件的维保。</w:t>
            </w:r>
          </w:p>
          <w:p w14:paraId="3E5A551E">
            <w:pPr>
              <w:spacing w:before="251" w:line="400" w:lineRule="exact"/>
              <w:ind w:left="121"/>
              <w:rPr>
                <w:color w:val="auto"/>
                <w:highlight w:val="none"/>
              </w:rPr>
            </w:pPr>
            <w:r>
              <w:rPr>
                <w:color w:val="auto"/>
                <w:highlight w:val="none"/>
              </w:rPr>
              <w:t>（6）对拼接屏设备故障设备进行维修或更新替换。</w:t>
            </w:r>
          </w:p>
          <w:p w14:paraId="57AB2541">
            <w:pPr>
              <w:spacing w:before="251" w:line="400" w:lineRule="exact"/>
              <w:ind w:left="121"/>
              <w:rPr>
                <w:color w:val="auto"/>
                <w:highlight w:val="none"/>
              </w:rPr>
            </w:pPr>
            <w:r>
              <w:rPr>
                <w:color w:val="auto"/>
                <w:highlight w:val="none"/>
              </w:rPr>
              <w:t>（7）升级服务：采购人需要设备进行新购产品升级时，提供产品的安装及调试服务。</w:t>
            </w:r>
          </w:p>
          <w:p w14:paraId="4ED85C59">
            <w:pPr>
              <w:spacing w:before="251" w:line="400" w:lineRule="exact"/>
              <w:ind w:left="121"/>
              <w:rPr>
                <w:color w:val="auto"/>
                <w:highlight w:val="none"/>
              </w:rPr>
            </w:pPr>
            <w:r>
              <w:rPr>
                <w:color w:val="auto"/>
                <w:highlight w:val="none"/>
              </w:rPr>
              <w:t>（8）提供技术支撑服务，当采购人因业务需要，需要对所维护设备进行迁移、安装、升级、配置时，提供相关的技术服务。</w:t>
            </w:r>
          </w:p>
          <w:p w14:paraId="0020BC7C">
            <w:pPr>
              <w:autoSpaceDE w:val="0"/>
              <w:autoSpaceDN w:val="0"/>
              <w:adjustRightInd w:val="0"/>
              <w:spacing w:before="50" w:after="50" w:line="400" w:lineRule="exact"/>
              <w:ind w:firstLine="420"/>
              <w:jc w:val="left"/>
              <w:rPr>
                <w:rFonts w:ascii="宋体" w:hAnsi="宋体" w:cs="宋体"/>
                <w:color w:val="auto"/>
                <w:szCs w:val="21"/>
                <w:highlight w:val="none"/>
              </w:rPr>
            </w:pPr>
            <w:r>
              <w:rPr>
                <w:color w:val="auto"/>
                <w:highlight w:val="none"/>
              </w:rPr>
              <w:t>三、维保设备见文件</w:t>
            </w:r>
            <w:r>
              <w:rPr>
                <w:rFonts w:hint="eastAsia"/>
                <w:color w:val="auto"/>
                <w:highlight w:val="none"/>
                <w:lang w:eastAsia="zh-CN"/>
              </w:rPr>
              <w:t>附表1</w:t>
            </w:r>
            <w:r>
              <w:rPr>
                <w:color w:val="auto"/>
                <w:highlight w:val="none"/>
              </w:rPr>
              <w:t>《多媒体教室及会商室设备维保清单》三楼会商室内容</w:t>
            </w:r>
            <w:r>
              <w:rPr>
                <w:rFonts w:hint="eastAsia"/>
                <w:color w:val="auto"/>
                <w:highlight w:val="none"/>
              </w:rPr>
              <w:t>。</w:t>
            </w:r>
          </w:p>
        </w:tc>
      </w:tr>
      <w:tr w14:paraId="457B7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noWrap w:val="0"/>
            <w:vAlign w:val="top"/>
          </w:tcPr>
          <w:p w14:paraId="6B62D7C3">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41156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7" w:hRule="atLeast"/>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469A036D">
            <w:pPr>
              <w:spacing w:line="400" w:lineRule="exact"/>
              <w:jc w:val="center"/>
              <w:rPr>
                <w:rFonts w:ascii="宋体" w:hAnsi="宋体" w:cs="宋体"/>
                <w:b/>
                <w:color w:val="auto"/>
                <w:szCs w:val="21"/>
                <w:highlight w:val="none"/>
              </w:rPr>
            </w:pPr>
            <w:r>
              <w:rPr>
                <w:rFonts w:hint="eastAsia"/>
                <w:color w:val="auto"/>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noWrap w:val="0"/>
            <w:vAlign w:val="center"/>
          </w:tcPr>
          <w:p w14:paraId="77DEF659">
            <w:pPr>
              <w:spacing w:line="400" w:lineRule="exact"/>
              <w:ind w:firstLine="420" w:firstLineChars="200"/>
              <w:rPr>
                <w:color w:val="auto"/>
                <w:highlight w:val="none"/>
              </w:rPr>
            </w:pPr>
            <w:r>
              <w:rPr>
                <w:rFonts w:hint="eastAsia"/>
                <w:color w:val="auto"/>
                <w:highlight w:val="none"/>
              </w:rPr>
              <w:t>报价必须含以下部分，包括（但不限于）：</w:t>
            </w:r>
          </w:p>
          <w:p w14:paraId="589B3F8E">
            <w:pPr>
              <w:spacing w:line="400" w:lineRule="exact"/>
              <w:ind w:firstLine="420" w:firstLineChars="200"/>
              <w:rPr>
                <w:color w:val="auto"/>
                <w:highlight w:val="none"/>
              </w:rPr>
            </w:pPr>
            <w:r>
              <w:rPr>
                <w:rFonts w:hint="eastAsia"/>
                <w:color w:val="auto"/>
                <w:highlight w:val="none"/>
              </w:rPr>
              <w:t>本项目磋商报价为报出本项目服务所需的所有费用，含本项目所有服务的价格；必要的保险费用和各项税金；其他（如设备的维护保养、调试、培训、技术支持、后续服务、驻场人员差旅费、人员工资等与完成本项目所必需的费用）。本项目至验收合格，采购人不另支付任何费用。</w:t>
            </w:r>
          </w:p>
        </w:tc>
      </w:tr>
      <w:tr w14:paraId="7C992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0D827EC9">
            <w:pPr>
              <w:spacing w:line="400" w:lineRule="exact"/>
              <w:jc w:val="center"/>
              <w:rPr>
                <w:rFonts w:ascii="宋体" w:hAnsi="宋体" w:cs="宋体"/>
                <w:b/>
                <w:color w:val="auto"/>
                <w:szCs w:val="21"/>
                <w:highlight w:val="none"/>
              </w:rPr>
            </w:pPr>
            <w:r>
              <w:rPr>
                <w:rFonts w:hint="eastAsia"/>
                <w:color w:val="auto"/>
                <w:highlight w:val="none"/>
              </w:rPr>
              <w:t>▲</w:t>
            </w:r>
            <w:r>
              <w:rPr>
                <w:rFonts w:hint="eastAsia"/>
                <w:color w:val="auto"/>
                <w:highlight w:val="none"/>
                <w:lang w:eastAsia="zh-CN"/>
              </w:rPr>
              <w:t>合同履约期限</w:t>
            </w:r>
            <w:r>
              <w:rPr>
                <w:rFonts w:hint="eastAsia"/>
                <w:color w:val="auto"/>
                <w:highlight w:val="none"/>
              </w:rPr>
              <w:t>、地点</w:t>
            </w:r>
          </w:p>
        </w:tc>
        <w:tc>
          <w:tcPr>
            <w:tcW w:w="7614" w:type="dxa"/>
            <w:gridSpan w:val="4"/>
            <w:tcBorders>
              <w:top w:val="single" w:color="auto" w:sz="4" w:space="0"/>
              <w:left w:val="single" w:color="auto" w:sz="4" w:space="0"/>
              <w:bottom w:val="single" w:color="auto" w:sz="4" w:space="0"/>
              <w:right w:val="single" w:color="auto" w:sz="4" w:space="0"/>
            </w:tcBorders>
            <w:noWrap w:val="0"/>
            <w:vAlign w:val="center"/>
          </w:tcPr>
          <w:p w14:paraId="3EBBE906">
            <w:pPr>
              <w:spacing w:line="400" w:lineRule="exact"/>
              <w:ind w:firstLine="210" w:firstLineChars="100"/>
              <w:rPr>
                <w:color w:val="auto"/>
                <w:highlight w:val="none"/>
              </w:rPr>
            </w:pPr>
            <w:r>
              <w:rPr>
                <w:rFonts w:hint="eastAsia"/>
                <w:color w:val="auto"/>
                <w:highlight w:val="none"/>
              </w:rPr>
              <w:t>1、</w:t>
            </w:r>
            <w:r>
              <w:rPr>
                <w:rFonts w:hint="eastAsia"/>
                <w:color w:val="auto"/>
                <w:highlight w:val="none"/>
                <w:lang w:eastAsia="zh-CN"/>
              </w:rPr>
              <w:t>合同履约期限</w:t>
            </w:r>
            <w:r>
              <w:rPr>
                <w:rFonts w:hint="eastAsia"/>
                <w:color w:val="auto"/>
                <w:highlight w:val="none"/>
              </w:rPr>
              <w:t>：自2025年7月25日起一年。</w:t>
            </w:r>
          </w:p>
          <w:p w14:paraId="690A8EE5">
            <w:pPr>
              <w:spacing w:line="400" w:lineRule="exact"/>
              <w:ind w:firstLine="210" w:firstLineChars="100"/>
              <w:rPr>
                <w:color w:val="auto"/>
                <w:highlight w:val="none"/>
              </w:rPr>
            </w:pPr>
            <w:r>
              <w:rPr>
                <w:rFonts w:hint="eastAsia"/>
                <w:color w:val="auto"/>
                <w:highlight w:val="none"/>
              </w:rPr>
              <w:t>2、地点：采购人指定地点。</w:t>
            </w:r>
          </w:p>
        </w:tc>
      </w:tr>
      <w:tr w14:paraId="67D05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4022A183">
            <w:pPr>
              <w:spacing w:line="400" w:lineRule="exact"/>
              <w:jc w:val="center"/>
              <w:rPr>
                <w:color w:val="auto"/>
                <w:highlight w:val="none"/>
              </w:rPr>
            </w:pPr>
          </w:p>
          <w:p w14:paraId="4C82308E">
            <w:pPr>
              <w:spacing w:line="400" w:lineRule="exact"/>
              <w:jc w:val="center"/>
              <w:rPr>
                <w:color w:val="auto"/>
                <w:highlight w:val="none"/>
              </w:rPr>
            </w:pPr>
          </w:p>
          <w:p w14:paraId="25D5BF17">
            <w:pPr>
              <w:spacing w:line="400" w:lineRule="exact"/>
              <w:jc w:val="center"/>
              <w:rPr>
                <w:rFonts w:ascii="宋体" w:hAnsi="宋体" w:cs="宋体"/>
                <w:b/>
                <w:color w:val="auto"/>
                <w:szCs w:val="21"/>
                <w:highlight w:val="none"/>
              </w:rPr>
            </w:pPr>
            <w:r>
              <w:rPr>
                <w:rFonts w:hint="eastAsia"/>
                <w:color w:val="auto"/>
                <w:highlight w:val="none"/>
              </w:rPr>
              <w:t>验收标准、规范</w:t>
            </w:r>
          </w:p>
        </w:tc>
        <w:tc>
          <w:tcPr>
            <w:tcW w:w="7614" w:type="dxa"/>
            <w:gridSpan w:val="4"/>
            <w:tcBorders>
              <w:top w:val="single" w:color="auto" w:sz="4" w:space="0"/>
              <w:left w:val="single" w:color="auto" w:sz="4" w:space="0"/>
              <w:bottom w:val="single" w:color="auto" w:sz="4" w:space="0"/>
              <w:right w:val="single" w:color="auto" w:sz="4" w:space="0"/>
            </w:tcBorders>
            <w:noWrap w:val="0"/>
            <w:vAlign w:val="center"/>
          </w:tcPr>
          <w:p w14:paraId="4427CB86">
            <w:pPr>
              <w:spacing w:line="400" w:lineRule="exact"/>
              <w:ind w:firstLine="210" w:firstLineChars="100"/>
              <w:rPr>
                <w:color w:val="auto"/>
                <w:highlight w:val="none"/>
              </w:rPr>
            </w:pPr>
            <w:r>
              <w:rPr>
                <w:rFonts w:hint="eastAsia"/>
                <w:color w:val="auto"/>
                <w:highlight w:val="none"/>
              </w:rPr>
              <w:t>1、验收考核过程中所产生的一切费用均由成交</w:t>
            </w:r>
            <w:r>
              <w:rPr>
                <w:rFonts w:hint="eastAsia"/>
                <w:color w:val="auto"/>
                <w:highlight w:val="none"/>
                <w:lang w:eastAsia="zh-CN"/>
              </w:rPr>
              <w:t>供应商</w:t>
            </w:r>
            <w:r>
              <w:rPr>
                <w:rFonts w:hint="eastAsia"/>
                <w:color w:val="auto"/>
                <w:highlight w:val="none"/>
              </w:rPr>
              <w:t>承担。报价时应考虑相关费用。</w:t>
            </w:r>
          </w:p>
          <w:p w14:paraId="1770FADC">
            <w:pPr>
              <w:spacing w:line="400" w:lineRule="exact"/>
              <w:ind w:firstLine="210" w:firstLineChars="100"/>
              <w:rPr>
                <w:rFonts w:ascii="宋体" w:hAnsi="宋体" w:cs="宋体"/>
                <w:color w:val="auto"/>
                <w:szCs w:val="22"/>
                <w:highlight w:val="none"/>
              </w:rPr>
            </w:pPr>
            <w:r>
              <w:rPr>
                <w:rFonts w:hint="eastAsia"/>
                <w:color w:val="auto"/>
                <w:highlight w:val="none"/>
              </w:rPr>
              <w:t>2、在服务验收时由采购人对照磋商</w:t>
            </w:r>
            <w:r>
              <w:rPr>
                <w:rFonts w:hint="eastAsia"/>
                <w:color w:val="auto"/>
                <w:highlight w:val="none"/>
                <w:lang w:eastAsia="zh-CN"/>
              </w:rPr>
              <w:t>文件</w:t>
            </w:r>
            <w:r>
              <w:rPr>
                <w:rFonts w:hint="eastAsia"/>
                <w:color w:val="auto"/>
                <w:highlight w:val="none"/>
              </w:rPr>
              <w:t>及响应文件的功能目标及服务指标全面核对检验，如不符合响应文件的服务承诺和其他承诺以及提供虚假承诺的，按相关规定做违约处理，成交供应商承担所有责任和费用，采购人保留进一步追究责任的权利。</w:t>
            </w:r>
          </w:p>
        </w:tc>
      </w:tr>
      <w:tr w14:paraId="1DB67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7" w:hRule="atLeast"/>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29913EA3">
            <w:pPr>
              <w:spacing w:line="400" w:lineRule="exact"/>
              <w:jc w:val="center"/>
              <w:rPr>
                <w:color w:val="auto"/>
                <w:highlight w:val="none"/>
              </w:rPr>
            </w:pPr>
          </w:p>
          <w:p w14:paraId="2CD0B601">
            <w:pPr>
              <w:spacing w:line="400" w:lineRule="exact"/>
              <w:jc w:val="center"/>
              <w:rPr>
                <w:rFonts w:ascii="宋体" w:hAnsi="宋体" w:cs="宋体"/>
                <w:color w:val="auto"/>
                <w:szCs w:val="21"/>
                <w:highlight w:val="none"/>
              </w:rPr>
            </w:pPr>
            <w:r>
              <w:rPr>
                <w:rFonts w:hint="eastAsia"/>
                <w:color w:val="auto"/>
                <w:highlight w:val="none"/>
              </w:rPr>
              <w:t>服务要求</w:t>
            </w:r>
          </w:p>
        </w:tc>
        <w:tc>
          <w:tcPr>
            <w:tcW w:w="7614" w:type="dxa"/>
            <w:gridSpan w:val="4"/>
            <w:tcBorders>
              <w:top w:val="single" w:color="auto" w:sz="4" w:space="0"/>
              <w:left w:val="single" w:color="auto" w:sz="4" w:space="0"/>
              <w:bottom w:val="single" w:color="auto" w:sz="4" w:space="0"/>
              <w:right w:val="single" w:color="auto" w:sz="4" w:space="0"/>
            </w:tcBorders>
            <w:noWrap w:val="0"/>
            <w:vAlign w:val="center"/>
          </w:tcPr>
          <w:p w14:paraId="288152C3">
            <w:pPr>
              <w:spacing w:line="400" w:lineRule="exact"/>
              <w:ind w:firstLine="210" w:firstLineChars="100"/>
              <w:rPr>
                <w:color w:val="auto"/>
                <w:highlight w:val="none"/>
              </w:rPr>
            </w:pPr>
            <w:r>
              <w:rPr>
                <w:rFonts w:hint="eastAsia"/>
                <w:color w:val="auto"/>
                <w:highlight w:val="none"/>
              </w:rPr>
              <w:t>1、供应商除提供驻场运维团队以外，还需配备相应的技术支持团队，为本项目多媒体教室及相关软件 系统、网络安全系统等方面提供技术咨询服务，定期与采购人进行相关技术发展进行交流，必要时提供优化方案，协助采购人优化多媒体教室服务能力。</w:t>
            </w:r>
          </w:p>
          <w:p w14:paraId="0526D11C">
            <w:pPr>
              <w:spacing w:line="400" w:lineRule="exact"/>
              <w:ind w:firstLine="210" w:firstLineChars="100"/>
              <w:rPr>
                <w:rFonts w:ascii="宋体" w:hAnsi="宋体" w:cs="宋体"/>
                <w:bCs/>
                <w:color w:val="auto"/>
                <w:szCs w:val="22"/>
                <w:highlight w:val="none"/>
              </w:rPr>
            </w:pPr>
            <w:r>
              <w:rPr>
                <w:rFonts w:hint="eastAsia"/>
                <w:color w:val="auto"/>
                <w:highlight w:val="none"/>
              </w:rPr>
              <w:t>2、供应商承诺提供 1 台以上（含）计算机或路由器作为备件放置在采购人现场。</w:t>
            </w:r>
          </w:p>
        </w:tc>
      </w:tr>
      <w:tr w14:paraId="42FA8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7" w:hRule="atLeast"/>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3B9D06BB">
            <w:pPr>
              <w:spacing w:line="400" w:lineRule="exact"/>
              <w:jc w:val="center"/>
              <w:rPr>
                <w:rFonts w:ascii="宋体" w:hAnsi="宋体"/>
                <w:color w:val="auto"/>
                <w:szCs w:val="21"/>
                <w:highlight w:val="none"/>
              </w:rPr>
            </w:pPr>
            <w:r>
              <w:rPr>
                <w:rFonts w:hint="eastAsia"/>
                <w:color w:val="auto"/>
                <w:highlight w:val="none"/>
              </w:rPr>
              <w:t>▲付款条件</w:t>
            </w:r>
          </w:p>
        </w:tc>
        <w:tc>
          <w:tcPr>
            <w:tcW w:w="7614" w:type="dxa"/>
            <w:gridSpan w:val="4"/>
            <w:tcBorders>
              <w:top w:val="single" w:color="auto" w:sz="4" w:space="0"/>
              <w:left w:val="single" w:color="auto" w:sz="4" w:space="0"/>
              <w:bottom w:val="single" w:color="auto" w:sz="4" w:space="0"/>
              <w:right w:val="single" w:color="auto" w:sz="4" w:space="0"/>
            </w:tcBorders>
            <w:noWrap w:val="0"/>
            <w:vAlign w:val="center"/>
          </w:tcPr>
          <w:p w14:paraId="6B340A05">
            <w:pPr>
              <w:spacing w:line="400" w:lineRule="exact"/>
              <w:ind w:firstLine="420" w:firstLineChars="200"/>
              <w:rPr>
                <w:color w:val="auto"/>
                <w:highlight w:val="none"/>
              </w:rPr>
            </w:pPr>
            <w:r>
              <w:rPr>
                <w:color w:val="auto"/>
                <w:highlight w:val="none"/>
              </w:rPr>
              <w:t>供应商提供</w:t>
            </w:r>
            <w:r>
              <w:rPr>
                <w:rFonts w:hint="eastAsia"/>
                <w:color w:val="auto"/>
                <w:highlight w:val="none"/>
                <w:lang w:eastAsia="zh-CN"/>
              </w:rPr>
              <w:t>维保</w:t>
            </w:r>
            <w:r>
              <w:rPr>
                <w:color w:val="auto"/>
                <w:highlight w:val="none"/>
              </w:rPr>
              <w:t>服务后，15 个工作日内，采购人支付</w:t>
            </w:r>
            <w:r>
              <w:rPr>
                <w:rFonts w:hint="eastAsia"/>
                <w:color w:val="auto"/>
                <w:highlight w:val="none"/>
              </w:rPr>
              <w:t>4</w:t>
            </w:r>
            <w:r>
              <w:rPr>
                <w:color w:val="auto"/>
                <w:highlight w:val="none"/>
              </w:rPr>
              <w:t xml:space="preserve">0%的合同款给成交供应商。实施服务后支付 </w:t>
            </w:r>
            <w:r>
              <w:rPr>
                <w:rFonts w:hint="eastAsia"/>
                <w:color w:val="auto"/>
                <w:highlight w:val="none"/>
              </w:rPr>
              <w:t>5</w:t>
            </w:r>
            <w:r>
              <w:rPr>
                <w:color w:val="auto"/>
                <w:highlight w:val="none"/>
              </w:rPr>
              <w:t>0%，运维服务</w:t>
            </w:r>
            <w:r>
              <w:rPr>
                <w:rFonts w:hint="eastAsia"/>
                <w:color w:val="auto"/>
                <w:highlight w:val="none"/>
              </w:rPr>
              <w:t>初步</w:t>
            </w:r>
            <w:r>
              <w:rPr>
                <w:color w:val="auto"/>
                <w:highlight w:val="none"/>
              </w:rPr>
              <w:t xml:space="preserve">验收合格后 15 个工作日内，采购人支付合同金额 </w:t>
            </w:r>
            <w:r>
              <w:rPr>
                <w:rFonts w:hint="eastAsia"/>
                <w:color w:val="auto"/>
                <w:highlight w:val="none"/>
              </w:rPr>
              <w:t>1</w:t>
            </w:r>
            <w:r>
              <w:rPr>
                <w:color w:val="auto"/>
                <w:highlight w:val="none"/>
              </w:rPr>
              <w:t>0%合同款给成交供应商，供应商自收到合同款之日起 15 个工作日内开具发票给采购人。</w:t>
            </w:r>
          </w:p>
        </w:tc>
      </w:tr>
      <w:tr w14:paraId="68ABC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42A6737B">
            <w:pPr>
              <w:spacing w:line="400" w:lineRule="exact"/>
              <w:jc w:val="left"/>
              <w:rPr>
                <w:color w:val="auto"/>
                <w:highlight w:val="none"/>
              </w:rPr>
            </w:pPr>
          </w:p>
          <w:p w14:paraId="2B439BC4">
            <w:pPr>
              <w:spacing w:line="400" w:lineRule="exact"/>
              <w:jc w:val="center"/>
              <w:rPr>
                <w:color w:val="auto"/>
                <w:highlight w:val="none"/>
              </w:rPr>
            </w:pPr>
            <w:r>
              <w:rPr>
                <w:rFonts w:hint="eastAsia"/>
                <w:color w:val="auto"/>
                <w:highlight w:val="none"/>
              </w:rPr>
              <w:t>其他要求</w:t>
            </w:r>
          </w:p>
        </w:tc>
        <w:tc>
          <w:tcPr>
            <w:tcW w:w="7614" w:type="dxa"/>
            <w:gridSpan w:val="4"/>
            <w:tcBorders>
              <w:top w:val="single" w:color="auto" w:sz="4" w:space="0"/>
              <w:left w:val="single" w:color="auto" w:sz="4" w:space="0"/>
              <w:bottom w:val="single" w:color="auto" w:sz="4" w:space="0"/>
              <w:right w:val="single" w:color="auto" w:sz="4" w:space="0"/>
            </w:tcBorders>
            <w:noWrap w:val="0"/>
            <w:vAlign w:val="center"/>
          </w:tcPr>
          <w:p w14:paraId="334D1792">
            <w:pPr>
              <w:spacing w:line="400" w:lineRule="exact"/>
              <w:jc w:val="left"/>
              <w:rPr>
                <w:color w:val="auto"/>
                <w:highlight w:val="none"/>
              </w:rPr>
            </w:pPr>
            <w:r>
              <w:rPr>
                <w:rFonts w:hint="eastAsia"/>
                <w:color w:val="auto"/>
                <w:highlight w:val="none"/>
              </w:rPr>
              <w:t>供应商应严格遵守国家有关保密法律法规，不得泄露与本项目有关的秘密，不得将其用于履行本项目之外的其他用途，造成泄密的，将依法追究有关人员的法律责任。</w:t>
            </w:r>
          </w:p>
        </w:tc>
      </w:tr>
    </w:tbl>
    <w:p w14:paraId="155A2461">
      <w:pPr>
        <w:rPr>
          <w:rFonts w:ascii="宋体" w:hAnsi="宋体" w:cs="宋体"/>
          <w:color w:val="auto"/>
          <w:highlight w:val="none"/>
        </w:rPr>
      </w:pPr>
    </w:p>
    <w:p w14:paraId="2C9CEB09">
      <w:pPr>
        <w:rPr>
          <w:b/>
          <w:bCs/>
          <w:color w:val="auto"/>
          <w:sz w:val="32"/>
          <w:szCs w:val="32"/>
          <w:highlight w:val="none"/>
        </w:rPr>
      </w:pPr>
      <w:r>
        <w:rPr>
          <w:rFonts w:hint="eastAsia"/>
          <w:b/>
          <w:bCs/>
          <w:color w:val="auto"/>
          <w:sz w:val="32"/>
          <w:szCs w:val="32"/>
          <w:highlight w:val="none"/>
        </w:rPr>
        <w:t xml:space="preserve">附件 </w:t>
      </w:r>
      <w:r>
        <w:rPr>
          <w:rFonts w:hint="eastAsia"/>
          <w:b/>
          <w:bCs/>
          <w:color w:val="auto"/>
          <w:sz w:val="32"/>
          <w:szCs w:val="32"/>
          <w:highlight w:val="none"/>
          <w:lang w:val="en-US" w:eastAsia="zh-CN"/>
        </w:rPr>
        <w:t>1</w:t>
      </w:r>
      <w:r>
        <w:rPr>
          <w:rFonts w:hint="eastAsia"/>
          <w:b/>
          <w:bCs/>
          <w:color w:val="auto"/>
          <w:sz w:val="32"/>
          <w:szCs w:val="32"/>
          <w:highlight w:val="none"/>
        </w:rPr>
        <w:t>：《多媒体教室及会商室设备维保清单》</w:t>
      </w:r>
    </w:p>
    <w:p w14:paraId="3620C529">
      <w:pPr>
        <w:spacing w:line="142" w:lineRule="exact"/>
        <w:ind w:firstLine="240"/>
        <w:rPr>
          <w:rFonts w:ascii="Arial"/>
          <w:color w:val="auto"/>
          <w:sz w:val="12"/>
          <w:highlight w:val="none"/>
        </w:rPr>
      </w:pPr>
    </w:p>
    <w:tbl>
      <w:tblPr>
        <w:tblStyle w:val="32"/>
        <w:tblW w:w="8168" w:type="dxa"/>
        <w:tblInd w:w="93" w:type="dxa"/>
        <w:tblLayout w:type="autofit"/>
        <w:tblCellMar>
          <w:top w:w="0" w:type="dxa"/>
          <w:left w:w="108" w:type="dxa"/>
          <w:bottom w:w="0" w:type="dxa"/>
          <w:right w:w="108" w:type="dxa"/>
        </w:tblCellMar>
      </w:tblPr>
      <w:tblGrid>
        <w:gridCol w:w="780"/>
        <w:gridCol w:w="1215"/>
        <w:gridCol w:w="5133"/>
        <w:gridCol w:w="1040"/>
      </w:tblGrid>
      <w:tr w14:paraId="690673D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6D2742">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1284888">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设备厂家</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1086FBEE">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设备型号</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BF39A74">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数量</w:t>
            </w:r>
          </w:p>
        </w:tc>
      </w:tr>
      <w:tr w14:paraId="6FE05CCF">
        <w:tblPrEx>
          <w:tblCellMar>
            <w:top w:w="0" w:type="dxa"/>
            <w:left w:w="108" w:type="dxa"/>
            <w:bottom w:w="0" w:type="dxa"/>
            <w:right w:w="108" w:type="dxa"/>
          </w:tblCellMar>
        </w:tblPrEx>
        <w:trPr>
          <w:trHeight w:val="270" w:hRule="atLeast"/>
        </w:trPr>
        <w:tc>
          <w:tcPr>
            <w:tcW w:w="8168" w:type="dxa"/>
            <w:gridSpan w:val="4"/>
            <w:tcBorders>
              <w:top w:val="single" w:color="000000" w:sz="4" w:space="0"/>
              <w:left w:val="single" w:color="000000" w:sz="4" w:space="0"/>
              <w:bottom w:val="single" w:color="000000" w:sz="4" w:space="0"/>
              <w:right w:val="single" w:color="000000" w:sz="4" w:space="0"/>
            </w:tcBorders>
            <w:noWrap w:val="0"/>
            <w:vAlign w:val="center"/>
          </w:tcPr>
          <w:p w14:paraId="38A0F5D4">
            <w:pPr>
              <w:widowControl/>
              <w:jc w:val="left"/>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（一）多媒体教室</w:t>
            </w:r>
          </w:p>
        </w:tc>
      </w:tr>
      <w:tr w14:paraId="4F15983C">
        <w:tblPrEx>
          <w:tblCellMar>
            <w:top w:w="0" w:type="dxa"/>
            <w:left w:w="108" w:type="dxa"/>
            <w:bottom w:w="0" w:type="dxa"/>
            <w:right w:w="108" w:type="dxa"/>
          </w:tblCellMar>
        </w:tblPrEx>
        <w:trPr>
          <w:trHeight w:val="51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FD86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901C843">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美格</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02AA7D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桌面翻转器、Mger-CY19液晶屏翻转器</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9775F5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70</w:t>
            </w:r>
          </w:p>
        </w:tc>
      </w:tr>
      <w:tr w14:paraId="5B8A375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F22A9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F6B327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H3C</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40C9FB57">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交换机S5120-48-SI</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D1155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703A478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1C10A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5B90237">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H3C</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0B0D6E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无线AP WA3620i-AGN</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E311F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7387670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7B84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67111E2">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交换机</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7A656F8A">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H3C S1650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52F52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1000ABD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28160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FBAFB80">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589CBE80">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编程软件 CREATOR IPPANEL</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46E2D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187E5179">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DA61E3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999C76D">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天道启科</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2E7E985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录播一体机型号IPAV  HD-TK2II</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4E87D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9C507E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CA4E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ABE06C2">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捷扬</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0ABB0FBC">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高清彩色摄像机 型号LUMENS VC200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57994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3B184B9">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6AC58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B7CCA98">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台湾逊卡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73E35854">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吊装话筒</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4ADC5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5B67834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62F6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AA56DD3">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63B9EC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主扩扬声器、型号：Medusa-10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D5F7F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4086F32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7B9D9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B0514F4">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630229B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辅助扬声器 型号：Hector-50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73B48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6A57AFC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8580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112107A">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2EE70B37">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功率放大器 型号：Apollo-1200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649AE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4E061B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C4F4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C93BC8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5D3085FB">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功率放大器 艾型号：VT-800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7C7A9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D1E001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3043E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1F9250B">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3BD4BA67">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12路调音台 型号：Cadmus-12</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954E2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E80A144">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AAC7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3297F48">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76439BBC">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反馈抑制器ICON，I.FBQ-1000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A69FBD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ABD6AE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CC332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0BBCCE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45CDBB93">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音频数字处理 型号：Chiron-204</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ABC455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FA2850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9661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9B44104">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033C80C7">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双31段均衡器 型号：Smith-TQ231</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51180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133D3F7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2192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6F2334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艾肯</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6773E755">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8路电源时序器 型号：PS-801</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DF204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1E5BB01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D29D5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6B63C2B">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60947BCD">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数字会议主机 型号CR-M4101</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EC31DB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28AAC2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9BA8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19</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1BFB342">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松下</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5A8958CC">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投影机SLZ67C</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65986A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8133CA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543F6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B825A16">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和力</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0020B3F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投影机电动吊架</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88184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E29265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D6E15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EB78C93">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红</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19B79079">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叶电动幕布、电动幕布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667FA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1FF7A76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DFBD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B6F1C5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强力</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44D0FD0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LED电子墙F3.75单红色</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72609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B0163A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18D1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25970F0">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大华</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47667857">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红外摄像机 型号DH-IPC-HDW2100P</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3462A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r>
      <w:tr w14:paraId="3C08EDC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CA4A9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1182EA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大华</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7999B95A">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16路硬盘录像机DH-DVR0804HG-S</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7A44E3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A7B0C7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29E02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9A617C8">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创维</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5851AC72">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监视器55E7BRE</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D4C0F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652B67C">
        <w:tblPrEx>
          <w:tblCellMar>
            <w:top w:w="0" w:type="dxa"/>
            <w:left w:w="108" w:type="dxa"/>
            <w:bottom w:w="0" w:type="dxa"/>
            <w:right w:w="108" w:type="dxa"/>
          </w:tblCellMar>
        </w:tblPrEx>
        <w:trPr>
          <w:trHeight w:val="51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80F8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F08AF29">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1D3B30AF">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中央控制主机CREATOR  CR-PGMIII GX-C30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DD2C9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06EBDF7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D61C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34E4C58">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01602DBD">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红外发射棒CREATOR  CRIRP</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A4F8B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r>
      <w:tr w14:paraId="21E05B0B">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1317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FD06EF7">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05858D53">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电源控制器CREATOR CR-POWER8III</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5137FE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CDDD8B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30A2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29</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7DD9DE8">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3735BC49">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VGA矩阵CREATOR  Pt-VGA0804-A</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10B6A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F88D359">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0124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EB70FF5">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3243587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DVI矩阵CREATOR   Pt-DVI0404-A</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AFF33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026837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D5831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F1F0912">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联想</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5EBDF799">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台式电脑 联想 ThinkCentre M4350Q</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8C49E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r>
      <w:tr w14:paraId="3DED9B4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DB0F41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0F1E1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联想</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75C0F71E">
            <w:pPr>
              <w:widowControl/>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台式电脑 联想 M4350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EEBF6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70</w:t>
            </w:r>
          </w:p>
        </w:tc>
      </w:tr>
      <w:tr w14:paraId="17BDEF8A">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23C8D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39D96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5F15E1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台面式数字会议代表单元 快捷 CR-M4102B</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2E2CA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1CB53D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6364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11294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H3C</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549EB4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交换机  S3600V2-52TP-EI</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3336FE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1DAFD54D">
        <w:tblPrEx>
          <w:tblCellMar>
            <w:top w:w="0" w:type="dxa"/>
            <w:left w:w="108" w:type="dxa"/>
            <w:bottom w:w="0" w:type="dxa"/>
            <w:right w:w="108" w:type="dxa"/>
          </w:tblCellMar>
        </w:tblPrEx>
        <w:trPr>
          <w:trHeight w:val="270" w:hRule="atLeast"/>
        </w:trPr>
        <w:tc>
          <w:tcPr>
            <w:tcW w:w="7128" w:type="dxa"/>
            <w:gridSpan w:val="3"/>
            <w:tcBorders>
              <w:top w:val="single" w:color="000000" w:sz="4" w:space="0"/>
              <w:left w:val="single" w:color="000000" w:sz="4" w:space="0"/>
              <w:bottom w:val="single" w:color="000000" w:sz="4" w:space="0"/>
              <w:right w:val="single" w:color="000000" w:sz="4" w:space="0"/>
            </w:tcBorders>
            <w:noWrap w:val="0"/>
            <w:vAlign w:val="center"/>
          </w:tcPr>
          <w:p w14:paraId="3AC55683">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小计</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0AE8946">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200</w:t>
            </w:r>
          </w:p>
        </w:tc>
      </w:tr>
      <w:tr w14:paraId="09E291B6">
        <w:tblPrEx>
          <w:tblCellMar>
            <w:top w:w="0" w:type="dxa"/>
            <w:left w:w="108" w:type="dxa"/>
            <w:bottom w:w="0" w:type="dxa"/>
            <w:right w:w="108" w:type="dxa"/>
          </w:tblCellMar>
        </w:tblPrEx>
        <w:trPr>
          <w:trHeight w:val="270" w:hRule="atLeast"/>
        </w:trPr>
        <w:tc>
          <w:tcPr>
            <w:tcW w:w="8168" w:type="dxa"/>
            <w:gridSpan w:val="4"/>
            <w:tcBorders>
              <w:top w:val="single" w:color="000000" w:sz="4" w:space="0"/>
              <w:left w:val="single" w:color="000000" w:sz="4" w:space="0"/>
              <w:bottom w:val="single" w:color="000000" w:sz="4" w:space="0"/>
              <w:right w:val="single" w:color="000000" w:sz="4" w:space="0"/>
            </w:tcBorders>
            <w:noWrap w:val="0"/>
            <w:vAlign w:val="center"/>
          </w:tcPr>
          <w:p w14:paraId="3D504AF0">
            <w:pPr>
              <w:widowControl/>
              <w:jc w:val="left"/>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（二）二楼会商室</w:t>
            </w:r>
          </w:p>
        </w:tc>
      </w:tr>
      <w:tr w14:paraId="4C122BBD">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9852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F8F35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利亚德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3CEED1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视频设备拼接屏/TVF012（5.231㎡）</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E541D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1D00ED8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AD1E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F404D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利亚德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43DF49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视频控制系统/MCTRL500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362AC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461B5C70">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64F7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E4E50A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利亚德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20D263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视频拼接处理器/MVC-II Plus-04-8D-8D</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EE753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36F312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5EDFE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E267A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3517CC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主音箱CHANSTEKFD-8</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2C2AFA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667EC365">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2410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024B0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2017743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主功放CHANSTEKGMX-2500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CF6C6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14CD2C2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0357A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FC75B2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6512DCB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电子分频器 CHANSTEKDP-260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D28CC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989FBA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F773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EDDE18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587107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会议系统反馈抑制器CHANSTEKAFS-224</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344E0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40CC8A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15A68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BA0E5B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404F60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数字调音CHANSTEKVI16</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79660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FC6154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6BC73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356820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1AF0935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一拖二无线话筒 CHANSTEK、CW-8020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A0240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5E68266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CD0F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6CE1C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365644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12路电源净化器 CHANSTEKKPX-12W</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47DD2B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79A36D3">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1F9CC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FD72E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70C8A7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全数字网络型会议系统主机 CHANSTEKACN-4600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10073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6B4B650">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DAC7B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999A3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4173C3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会议主席单元 CHANSTEKACN-430C</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90559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0DB95D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648C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A0C53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创思特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4B952F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会议代表单元 CHANSTEKACN-430D</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D97D8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r>
      <w:tr w14:paraId="16C06402">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54A13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271BC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0D7F1D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分布式网络型控制器 CREATOR/CR-PGMIII</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E7FBE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5692D29">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29C9E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FE188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5C8E39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xPad许可 CREATOR/天誉创高智能中控嵌入式软件V2.0.8</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3AB527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E0AE36B">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C946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35403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570AC5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12路模块化矩阵切换箱 CREATOR/PRO-MAX1616</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F5B0E1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524B43E">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6EB57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84E40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2AC3C9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控制平板 CR -WIFI G7S</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A1C69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4203A8D">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43107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33DAF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13D22F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HDMI光纤发送器 CREATOR/CR-uSF HD 200T-D</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0D6168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04D3FC32">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809D1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19</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ECBFC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2B7631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HDMI光纤接收器 CREATOR/CR-uSF HDMI 200R-D</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D48822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51D7C774">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E5A0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0AE15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创维</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7DC6C0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预监显示屏/世界观43</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9351A5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FB01EF4">
        <w:tblPrEx>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7E93A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CBC98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0670F1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8路网络电源控制器 CREATOR/CR-POWER8 IV</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2991D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B2D21B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2B28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43D3BD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山特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1CB98E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UPS主机</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E3BC3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A95225B">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4020B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64777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海康威视</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387D507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硬盘录像机/DS-7804</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2750D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2D59409">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E1DC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467CC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九鼎</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01E80B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网络云拼接处理器系统GS-6000H</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22E88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2D80CF1">
        <w:tblPrEx>
          <w:tblCellMar>
            <w:top w:w="0" w:type="dxa"/>
            <w:left w:w="108" w:type="dxa"/>
            <w:bottom w:w="0" w:type="dxa"/>
            <w:right w:w="108" w:type="dxa"/>
          </w:tblCellMar>
        </w:tblPrEx>
        <w:trPr>
          <w:trHeight w:val="270" w:hRule="atLeast"/>
        </w:trPr>
        <w:tc>
          <w:tcPr>
            <w:tcW w:w="7128" w:type="dxa"/>
            <w:gridSpan w:val="3"/>
            <w:tcBorders>
              <w:top w:val="single" w:color="000000" w:sz="4" w:space="0"/>
              <w:left w:val="single" w:color="000000" w:sz="4" w:space="0"/>
              <w:bottom w:val="single" w:color="000000" w:sz="4" w:space="0"/>
              <w:right w:val="single" w:color="000000" w:sz="4" w:space="0"/>
            </w:tcBorders>
            <w:noWrap w:val="0"/>
            <w:vAlign w:val="center"/>
          </w:tcPr>
          <w:p w14:paraId="09C411C1">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小计</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2632888">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48</w:t>
            </w:r>
          </w:p>
        </w:tc>
      </w:tr>
      <w:tr w14:paraId="29FDE9B9">
        <w:tblPrEx>
          <w:tblCellMar>
            <w:top w:w="0" w:type="dxa"/>
            <w:left w:w="108" w:type="dxa"/>
            <w:bottom w:w="0" w:type="dxa"/>
            <w:right w:w="108" w:type="dxa"/>
          </w:tblCellMar>
        </w:tblPrEx>
        <w:trPr>
          <w:trHeight w:val="270" w:hRule="atLeast"/>
        </w:trPr>
        <w:tc>
          <w:tcPr>
            <w:tcW w:w="8168" w:type="dxa"/>
            <w:gridSpan w:val="4"/>
            <w:tcBorders>
              <w:top w:val="single" w:color="000000" w:sz="4" w:space="0"/>
              <w:left w:val="single" w:color="000000" w:sz="4" w:space="0"/>
              <w:bottom w:val="single" w:color="000000" w:sz="4" w:space="0"/>
              <w:right w:val="single" w:color="000000" w:sz="4" w:space="0"/>
            </w:tcBorders>
            <w:noWrap w:val="0"/>
            <w:vAlign w:val="center"/>
          </w:tcPr>
          <w:p w14:paraId="6086895E">
            <w:pPr>
              <w:widowControl/>
              <w:jc w:val="left"/>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（三）三楼会商室</w:t>
            </w:r>
          </w:p>
        </w:tc>
      </w:tr>
      <w:tr w14:paraId="2597561C">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514F2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E86ED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三星</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006AE0B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LCD 拼接屏单元 UD55C</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CDBF61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r>
      <w:tr w14:paraId="47E8C348">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226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11C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山特</w:t>
            </w:r>
          </w:p>
        </w:tc>
        <w:tc>
          <w:tcPr>
            <w:tcW w:w="5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C5B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UPS SANTAK C10KS</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1C0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4ADF1A1">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4AA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3105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鑫晨</w:t>
            </w:r>
          </w:p>
        </w:tc>
        <w:tc>
          <w:tcPr>
            <w:tcW w:w="5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E1E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桌面屏幕翻转器 XS-Y19JF</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CAD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r>
      <w:tr w14:paraId="7D2EAC33">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DBBA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0610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095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电源时序器 D6572II</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D67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4CCCA76">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C4A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0A5D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快捷</w:t>
            </w:r>
          </w:p>
        </w:tc>
        <w:tc>
          <w:tcPr>
            <w:tcW w:w="5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5F12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集中控制主机 PGM-III</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6C4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0DAF292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05BB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1CB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C5B5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会议系统控制主机 DSPPA D6201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DDF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E7E7D1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28A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857B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YAMAHA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E9A8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调音台 MG124C</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891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1C165A1A">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D6F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7590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 DSPPA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0DE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嵌入式会议系统代表单元 DSPPA D6234</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F6E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061526F">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A2A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55E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737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功放 MX1000II</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8CF7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F243FA2">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8E81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D29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w:t>
            </w:r>
          </w:p>
        </w:tc>
        <w:tc>
          <w:tcPr>
            <w:tcW w:w="5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A68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功放 MX1500II</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B1E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48A09F7">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E455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E56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联想</w:t>
            </w:r>
          </w:p>
        </w:tc>
        <w:tc>
          <w:tcPr>
            <w:tcW w:w="5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430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联想 ThinkCentre M4500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85E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550C8AE">
        <w:tblPrEx>
          <w:tblCellMar>
            <w:top w:w="0" w:type="dxa"/>
            <w:left w:w="108" w:type="dxa"/>
            <w:bottom w:w="0" w:type="dxa"/>
            <w:right w:w="108" w:type="dxa"/>
          </w:tblCellMar>
        </w:tblPrEx>
        <w:trPr>
          <w:trHeight w:val="270" w:hRule="atLeast"/>
        </w:trPr>
        <w:tc>
          <w:tcPr>
            <w:tcW w:w="7128" w:type="dxa"/>
            <w:gridSpan w:val="3"/>
            <w:tcBorders>
              <w:top w:val="single" w:color="000000" w:sz="4" w:space="0"/>
              <w:left w:val="single" w:color="000000" w:sz="4" w:space="0"/>
              <w:bottom w:val="single" w:color="000000" w:sz="4" w:space="0"/>
              <w:right w:val="single" w:color="000000" w:sz="4" w:space="0"/>
            </w:tcBorders>
            <w:noWrap w:val="0"/>
            <w:vAlign w:val="center"/>
          </w:tcPr>
          <w:p w14:paraId="5007092C">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小计</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C6BBEB3">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34</w:t>
            </w:r>
          </w:p>
        </w:tc>
      </w:tr>
    </w:tbl>
    <w:p w14:paraId="3B4AA7A4">
      <w:pPr>
        <w:pStyle w:val="3"/>
        <w:spacing w:line="240" w:lineRule="auto"/>
        <w:jc w:val="left"/>
        <w:rPr>
          <w:rFonts w:ascii="宋体" w:hAnsi="宋体" w:cs="宋体"/>
          <w:color w:val="auto"/>
          <w:sz w:val="21"/>
          <w:szCs w:val="21"/>
          <w:highlight w:val="none"/>
        </w:rPr>
      </w:pPr>
    </w:p>
    <w:p w14:paraId="3CF21C7D">
      <w:pPr>
        <w:rPr>
          <w:rFonts w:ascii="宋体" w:hAnsi="宋体" w:cs="宋体"/>
          <w:color w:val="auto"/>
          <w:highlight w:val="none"/>
        </w:rPr>
      </w:pPr>
      <w:r>
        <w:rPr>
          <w:rFonts w:hint="eastAsia"/>
          <w:color w:val="auto"/>
          <w:sz w:val="24"/>
          <w:highlight w:val="none"/>
        </w:rPr>
        <w:br w:type="page"/>
      </w:r>
    </w:p>
    <w:p w14:paraId="62485353">
      <w:pPr>
        <w:rPr>
          <w:rFonts w:ascii="宋体" w:hAnsi="宋体" w:cs="宋体"/>
          <w:color w:val="auto"/>
          <w:highlight w:val="none"/>
        </w:rPr>
      </w:pPr>
    </w:p>
    <w:p w14:paraId="33F243B2">
      <w:pPr>
        <w:rPr>
          <w:rFonts w:ascii="宋体" w:hAnsi="宋体" w:cs="宋体"/>
          <w:color w:val="auto"/>
          <w:highlight w:val="none"/>
        </w:rPr>
      </w:pPr>
    </w:p>
    <w:p w14:paraId="68BCB628">
      <w:pPr>
        <w:pStyle w:val="3"/>
        <w:rPr>
          <w:rFonts w:ascii="宋体" w:hAnsi="宋体" w:cs="宋体"/>
          <w:color w:val="auto"/>
          <w:highlight w:val="none"/>
        </w:rPr>
      </w:pPr>
      <w:bookmarkStart w:id="38" w:name="_Toc31276"/>
      <w:bookmarkStart w:id="39" w:name="_Toc9102"/>
      <w:r>
        <w:rPr>
          <w:rFonts w:hint="eastAsia" w:ascii="宋体" w:hAnsi="宋体" w:cs="宋体"/>
          <w:color w:val="auto"/>
          <w:highlight w:val="none"/>
        </w:rPr>
        <w:t>第四章  评审程序、评审方法和评审标准</w:t>
      </w:r>
      <w:bookmarkEnd w:id="38"/>
      <w:bookmarkEnd w:id="39"/>
    </w:p>
    <w:p w14:paraId="08E163D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17F4DAAC">
      <w:pPr>
        <w:spacing w:line="360" w:lineRule="auto"/>
        <w:ind w:firstLine="482" w:firstLineChars="200"/>
        <w:rPr>
          <w:rFonts w:ascii="宋体" w:hAnsi="宋体" w:cs="宋体"/>
          <w:b/>
          <w:bCs/>
          <w:color w:val="auto"/>
          <w:sz w:val="24"/>
          <w:highlight w:val="none"/>
        </w:rPr>
      </w:pPr>
    </w:p>
    <w:p w14:paraId="6E9B513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6382CE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19B5E22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highlight w:val="none"/>
        </w:rPr>
        <w:t>www.ccgp.gov.cn</w:t>
      </w:r>
      <w:r>
        <w:rPr>
          <w:rFonts w:hint="eastAsia" w:ascii="宋体" w:hAnsi="宋体" w:cs="宋体"/>
          <w:color w:val="auto"/>
          <w:highlight w:val="none"/>
        </w:rPr>
        <w:fldChar w:fldCharType="end"/>
      </w:r>
      <w:r>
        <w:rPr>
          <w:rFonts w:hint="eastAsia" w:ascii="宋体" w:hAnsi="宋体" w:cs="宋体"/>
          <w:color w:val="auto"/>
          <w:szCs w:val="21"/>
          <w:highlight w:val="none"/>
        </w:rPr>
        <w:t>）</w:t>
      </w:r>
    </w:p>
    <w:p w14:paraId="1AC257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6BE9B33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（3）查询记录和证据留存方式：通过广西政府采购云平台链接到相关查询网站进行查询及记录。</w:t>
      </w:r>
    </w:p>
    <w:p w14:paraId="6453768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108065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744E72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773272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3932D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14:paraId="1F00C6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29584C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5AF03A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5D5FAD9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0A15816A">
      <w:pPr>
        <w:spacing w:line="360" w:lineRule="auto"/>
        <w:ind w:firstLine="420" w:firstLineChars="200"/>
        <w:rPr>
          <w:rFonts w:ascii="宋体" w:hAnsi="宋体" w:cs="宋体"/>
          <w:color w:val="auto"/>
          <w:szCs w:val="21"/>
          <w:highlight w:val="none"/>
        </w:rPr>
      </w:pPr>
      <w:bookmarkStart w:id="40" w:name="_Hlk42528882"/>
      <w:r>
        <w:rPr>
          <w:rFonts w:hint="eastAsia" w:ascii="宋体" w:hAnsi="宋体" w:cs="宋体"/>
          <w:color w:val="auto"/>
          <w:szCs w:val="21"/>
          <w:highlight w:val="none"/>
        </w:rPr>
        <w:t>2.1由磋商小组对资格审查的合格供应商的响应文件的竞标报价、商务、技术等实质性要求进行符合性审查，以确定其是否满足磋商文件的实质性要求。</w:t>
      </w:r>
    </w:p>
    <w:bookmarkEnd w:id="40"/>
    <w:p w14:paraId="44A8E3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E6F89A">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highlight w:val="none"/>
        </w:rPr>
        <w:t>。供应商为自然人的，必须由本人签字并附身份证明。</w:t>
      </w:r>
    </w:p>
    <w:p w14:paraId="139FEADF">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63976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8E1F5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A626C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04F25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0EC32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1D0D4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14:paraId="149EF9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7346B5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1255D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5FDA77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4A465B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08A407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3423D5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14:paraId="495868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007647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296062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01A33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5EF66C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10）属于“供应商须知正文”第7.5条情形；</w:t>
      </w:r>
    </w:p>
    <w:p w14:paraId="798AB8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11）技术要求中标“▲”的条款发生负偏离或允许负偏离的条款数超过“供应商须知前附表”规定项数的；</w:t>
      </w:r>
    </w:p>
    <w:p w14:paraId="3A24EF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12）虚假竞标，或者出现其他情形而导致被磋商小组认定无效；</w:t>
      </w:r>
    </w:p>
    <w:p w14:paraId="783499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bookmarkStart w:id="41"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41"/>
    </w:p>
    <w:p w14:paraId="66C085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14）响应文件标注的项目名称或者项目编号与磋商文件标注的项目名称或者项目编号不一致的；</w:t>
      </w:r>
    </w:p>
    <w:p w14:paraId="0BB859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15）竞争性磋商文件明确不允许分包，响应文件拟分包的；</w:t>
      </w:r>
    </w:p>
    <w:p w14:paraId="30784D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16）未响应磋商文件实质性要求；</w:t>
      </w:r>
    </w:p>
    <w:p w14:paraId="0880A9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617781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59D9D2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报价商务技术文件中规定的“竞标报价表”；</w:t>
      </w:r>
    </w:p>
    <w:p w14:paraId="0C1B32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681DA0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27A770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42" w:name="_Hlk42596405"/>
      <w:r>
        <w:rPr>
          <w:rFonts w:hint="eastAsia" w:ascii="宋体" w:hAnsi="宋体" w:cs="宋体"/>
          <w:color w:val="auto"/>
          <w:szCs w:val="21"/>
          <w:highlight w:val="none"/>
        </w:rPr>
        <w:t xml:space="preserve"> </w:t>
      </w:r>
      <w:bookmarkEnd w:id="42"/>
    </w:p>
    <w:p w14:paraId="35A8D6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0CDDC1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0F5742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1D872E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9B675F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3.磋商程序</w:t>
      </w:r>
    </w:p>
    <w:p w14:paraId="735EA037">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512E8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10334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3.3对磋商文件作出的实质性变动是磋商文件的有效组成部分，由磋商小组及时以电子磋商记录形式同时通知所有参加磋商的供应商。</w:t>
      </w:r>
    </w:p>
    <w:p w14:paraId="43962C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3BE8F9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5576791E">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3.6对磋商过程提交的响应文件进行有效性、完整性和响应程度审查，通过审查的合格供应商不足3家的，采购人或者采购代理机构应当重新开展采购活动。</w:t>
      </w:r>
    </w:p>
    <w:p w14:paraId="6419F9C0">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0E4F2AA">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14:paraId="2BCBDD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由磋商小组要求所有继续参加磋商的供应商在规定时间内以电子文件形式提交最后报价，除本章第2.7、3.7、4.3条外，提交最后报价的供应商不得少于3家，否则必须重新采购。</w:t>
      </w:r>
    </w:p>
    <w:p w14:paraId="4805EE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67D17D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color w:val="auto"/>
          <w:highlight w:val="none"/>
        </w:rPr>
        <w:t>本章第3.8条情形的，</w:t>
      </w:r>
      <w:r>
        <w:rPr>
          <w:rFonts w:hint="eastAsia" w:ascii="宋体" w:hAnsi="宋体" w:cs="宋体"/>
          <w:color w:val="auto"/>
          <w:szCs w:val="21"/>
          <w:highlight w:val="none"/>
        </w:rPr>
        <w:t>提交最后报价的供应商可以为2家。</w:t>
      </w:r>
    </w:p>
    <w:p w14:paraId="2156BD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70896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w:t>
      </w:r>
    </w:p>
    <w:p w14:paraId="1FFC2B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4.6磋商小组收齐某一分标最后报价后或达到规定时间后统一开启，磋商小组对最后报价进行有效性、完整性和响应程度的审查。</w:t>
      </w:r>
    </w:p>
    <w:p w14:paraId="227BA5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14:paraId="31EE8F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4.8经供应商确认修正后的最后报价作为评审及签订合同的依据。</w:t>
      </w:r>
    </w:p>
    <w:p w14:paraId="631322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4.9供应商出现最后报价按无效响应处理或者响应文件按无效响应处理时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10FCE9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4.10最后报价结束后，磋商小组不得再与供应商进行任何形式的商谈。</w:t>
      </w:r>
    </w:p>
    <w:p w14:paraId="56AA57E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2CDBF4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14:paraId="5182C0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456CC4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2337B3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D2703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85235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5.4评标价为供应商的最后报价进行政策性扣除后的价格，评标价只是作为评审时使用。最终成交供应商的成交金额等于最后报价（如有修正，以确认修正后的最后报价为准）。</w:t>
      </w:r>
    </w:p>
    <w:p w14:paraId="753CAA6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w:t>
      </w:r>
      <w:r>
        <w:rPr>
          <w:rFonts w:hint="eastAsia" w:ascii="宋体" w:hAnsi="宋体" w:cs="宋体"/>
          <w:color w:val="auto"/>
          <w:szCs w:val="21"/>
          <w:highlight w:val="none"/>
        </w:rPr>
        <w:t>2.7、3.7、4.3</w:t>
      </w:r>
      <w:r>
        <w:rPr>
          <w:rFonts w:hint="eastAsia" w:ascii="宋体" w:hAnsi="宋体" w:cs="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2AD10090">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BCAC43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二、评审标准</w:t>
      </w:r>
    </w:p>
    <w:p w14:paraId="3BF6ABE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6.评审依据：磋商小组将以磋商响应文件为评审依据，对供应商的报价、技术、商务等方面内容按百分制打分（计分方法按四舍五入取至百分位）。</w:t>
      </w:r>
    </w:p>
    <w:p w14:paraId="48DC97F0">
      <w:pPr>
        <w:spacing w:line="360" w:lineRule="auto"/>
        <w:rPr>
          <w:rFonts w:ascii="宋体" w:hAnsi="宋体" w:cs="宋体"/>
          <w:b/>
          <w:color w:val="auto"/>
          <w:szCs w:val="21"/>
          <w:highlight w:val="none"/>
        </w:rPr>
      </w:pP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171"/>
        <w:gridCol w:w="5738"/>
      </w:tblGrid>
      <w:tr w14:paraId="064B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0"/>
            <w:vAlign w:val="center"/>
          </w:tcPr>
          <w:p w14:paraId="5CA6CD6A">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noWrap w:val="0"/>
            <w:vAlign w:val="center"/>
          </w:tcPr>
          <w:p w14:paraId="33E94FEB">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noWrap w:val="0"/>
            <w:vAlign w:val="center"/>
          </w:tcPr>
          <w:p w14:paraId="4181F9B6">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noWrap w:val="0"/>
            <w:vAlign w:val="center"/>
          </w:tcPr>
          <w:p w14:paraId="5EC648E2">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2744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1E7F1F5D">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noWrap w:val="0"/>
            <w:vAlign w:val="center"/>
          </w:tcPr>
          <w:p w14:paraId="6258C27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noWrap w:val="0"/>
            <w:vAlign w:val="center"/>
          </w:tcPr>
          <w:p w14:paraId="607C520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0分</w:t>
            </w:r>
          </w:p>
        </w:tc>
        <w:tc>
          <w:tcPr>
            <w:tcW w:w="6909" w:type="dxa"/>
            <w:gridSpan w:val="2"/>
            <w:noWrap w:val="0"/>
            <w:vAlign w:val="center"/>
          </w:tcPr>
          <w:p w14:paraId="7993D604">
            <w:pPr>
              <w:pStyle w:val="20"/>
              <w:spacing w:line="360" w:lineRule="auto"/>
              <w:ind w:firstLine="422" w:firstLineChars="200"/>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14:paraId="04E9E2F3">
            <w:pPr>
              <w:pStyle w:val="20"/>
              <w:spacing w:line="360" w:lineRule="auto"/>
              <w:ind w:firstLine="420" w:firstLineChars="200"/>
              <w:rPr>
                <w:rFonts w:hAnsi="宋体" w:cs="宋体"/>
                <w:color w:val="auto"/>
                <w:highlight w:val="none"/>
              </w:rPr>
            </w:pPr>
            <w:r>
              <w:rPr>
                <w:rFonts w:hint="eastAsia" w:hAnsi="宋体"/>
                <w:bCs/>
                <w:color w:val="auto"/>
                <w:sz w:val="21"/>
                <w:highlight w:val="none"/>
              </w:rPr>
              <w:t>1、本</w:t>
            </w:r>
            <w:r>
              <w:rPr>
                <w:rFonts w:hint="eastAsia" w:hAnsi="宋体"/>
                <w:bCs/>
                <w:color w:val="auto"/>
                <w:sz w:val="21"/>
                <w:highlight w:val="none"/>
                <w:lang w:eastAsia="zh-CN"/>
              </w:rPr>
              <w:t>项目</w:t>
            </w:r>
            <w:r>
              <w:rPr>
                <w:rFonts w:hint="eastAsia" w:hAnsi="宋体"/>
                <w:bCs/>
                <w:color w:val="auto"/>
                <w:sz w:val="21"/>
                <w:highlight w:val="none"/>
              </w:rPr>
              <w:t>属于专门面向</w:t>
            </w:r>
            <w:r>
              <w:rPr>
                <w:rFonts w:hint="eastAsia" w:hAnsi="宋体"/>
                <w:bCs/>
                <w:color w:val="auto"/>
                <w:sz w:val="21"/>
                <w:highlight w:val="none"/>
                <w:lang w:eastAsia="zh-CN"/>
              </w:rPr>
              <w:t>小微</w:t>
            </w:r>
            <w:r>
              <w:rPr>
                <w:rFonts w:hint="eastAsia" w:hAnsi="宋体"/>
                <w:bCs/>
                <w:color w:val="auto"/>
                <w:sz w:val="21"/>
                <w:highlight w:val="none"/>
              </w:rPr>
              <w:t>企业采购的项目，不再享受价格扣除优惠政策。</w:t>
            </w:r>
          </w:p>
          <w:p w14:paraId="0144A9E6">
            <w:pPr>
              <w:rPr>
                <w:b/>
                <w:bCs/>
                <w:color w:val="auto"/>
                <w:highlight w:val="none"/>
              </w:rPr>
            </w:pPr>
            <w:r>
              <w:rPr>
                <w:rFonts w:hint="eastAsia"/>
                <w:b/>
                <w:bCs/>
                <w:color w:val="auto"/>
                <w:highlight w:val="none"/>
              </w:rPr>
              <w:t>二、报价分（满分</w:t>
            </w:r>
            <w:r>
              <w:rPr>
                <w:rFonts w:hint="eastAsia"/>
                <w:b/>
                <w:bCs/>
                <w:color w:val="auto"/>
                <w:highlight w:val="none"/>
                <w:lang w:val="en-US" w:eastAsia="zh-CN"/>
              </w:rPr>
              <w:t>1</w:t>
            </w:r>
            <w:r>
              <w:rPr>
                <w:rFonts w:hint="eastAsia"/>
                <w:b/>
                <w:bCs/>
                <w:color w:val="auto"/>
                <w:highlight w:val="none"/>
              </w:rPr>
              <w:t>0分）</w:t>
            </w:r>
          </w:p>
          <w:p w14:paraId="4739752A">
            <w:pPr>
              <w:pStyle w:val="20"/>
              <w:spacing w:line="42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报价分采用低价优先法计算，满足磋商文件要求且最后报价最低的有效供应商的评标价为评标基准价，其报价分为满分。</w:t>
            </w:r>
          </w:p>
          <w:p w14:paraId="29719C1C">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6C923B84">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w:t>
            </w:r>
            <w:r>
              <w:rPr>
                <w:rFonts w:hint="eastAsia" w:hAnsi="宋体" w:cs="宋体"/>
                <w:bCs/>
                <w:color w:val="auto"/>
                <w:sz w:val="21"/>
                <w:highlight w:val="none"/>
                <w:lang w:val="en-US" w:eastAsia="zh-CN"/>
              </w:rPr>
              <w:t>1</w:t>
            </w:r>
            <w:r>
              <w:rPr>
                <w:rFonts w:hint="eastAsia" w:hAnsi="宋体" w:cs="宋体"/>
                <w:bCs/>
                <w:color w:val="auto"/>
                <w:sz w:val="21"/>
                <w:highlight w:val="none"/>
              </w:rPr>
              <w:t>0分</w:t>
            </w:r>
          </w:p>
        </w:tc>
      </w:tr>
      <w:tr w14:paraId="275B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30" w:type="dxa"/>
            <w:vMerge w:val="restart"/>
            <w:noWrap w:val="0"/>
            <w:vAlign w:val="center"/>
          </w:tcPr>
          <w:p w14:paraId="6B578EF8">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noWrap w:val="0"/>
            <w:vAlign w:val="center"/>
          </w:tcPr>
          <w:p w14:paraId="6B0420E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noWrap w:val="0"/>
            <w:vAlign w:val="center"/>
          </w:tcPr>
          <w:p w14:paraId="536D6E8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4分</w:t>
            </w:r>
          </w:p>
        </w:tc>
        <w:tc>
          <w:tcPr>
            <w:tcW w:w="1171" w:type="dxa"/>
            <w:noWrap w:val="0"/>
            <w:vAlign w:val="center"/>
          </w:tcPr>
          <w:p w14:paraId="32EA28F3">
            <w:pPr>
              <w:spacing w:line="360" w:lineRule="auto"/>
              <w:rPr>
                <w:rFonts w:ascii="宋体" w:hAnsi="宋体" w:cs="宋体"/>
                <w:bCs/>
                <w:color w:val="auto"/>
                <w:szCs w:val="21"/>
                <w:highlight w:val="none"/>
              </w:rPr>
            </w:pPr>
            <w:r>
              <w:rPr>
                <w:rFonts w:hint="eastAsia" w:ascii="宋体" w:hAnsi="宋体" w:cs="宋体"/>
                <w:b/>
                <w:bCs/>
                <w:color w:val="auto"/>
                <w:szCs w:val="21"/>
                <w:highlight w:val="none"/>
              </w:rPr>
              <w:t>技术服务方案（满分3</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分）</w:t>
            </w:r>
          </w:p>
        </w:tc>
        <w:tc>
          <w:tcPr>
            <w:tcW w:w="5738" w:type="dxa"/>
            <w:noWrap w:val="0"/>
            <w:vAlign w:val="center"/>
          </w:tcPr>
          <w:p w14:paraId="53A87D79">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由磋商小组在打分前根据供应商</w:t>
            </w:r>
            <w:r>
              <w:rPr>
                <w:rFonts w:hint="eastAsia" w:ascii="宋体" w:hAnsi="宋体" w:cs="宋体"/>
                <w:color w:val="auto"/>
                <w:spacing w:val="-3"/>
                <w:szCs w:val="21"/>
                <w:highlight w:val="none"/>
                <w:lang w:eastAsia="zh-CN"/>
              </w:rPr>
              <w:t>提供的方案</w:t>
            </w:r>
            <w:r>
              <w:rPr>
                <w:rFonts w:hint="eastAsia" w:ascii="宋体" w:hAnsi="宋体" w:cs="宋体"/>
                <w:color w:val="auto"/>
                <w:spacing w:val="-3"/>
                <w:szCs w:val="21"/>
                <w:highlight w:val="none"/>
              </w:rPr>
              <w:t>确定各供应商所属档次及得分。达不到一档要求或不提供的得0分。</w:t>
            </w:r>
          </w:p>
          <w:p w14:paraId="6E6F912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一档（1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分）：方案简单，基本符合采购要求的；</w:t>
            </w:r>
          </w:p>
          <w:p w14:paraId="4D7B111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二档（2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分）：方案符合采购要求，结构合理、内容较完整，能够详细说明设备情况，能够提供有针对性的详细的服务方案，并提供有针对性的故障问题解决方案和对设备合理的维护服务说明；</w:t>
            </w:r>
          </w:p>
          <w:p w14:paraId="010C14A4">
            <w:pPr>
              <w:spacing w:line="360" w:lineRule="auto"/>
              <w:ind w:firstLine="420"/>
              <w:rPr>
                <w:rFonts w:cs="宋体"/>
                <w:bCs/>
                <w:color w:val="auto"/>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 xml:space="preserve"> 分）：方案完全符合采购要求，结构清晰全面、措施到位、 可操作性及针对性强，能够详细说明设备情况；能够提供有针对性的详细的服务方案，并提供有针对性的故障问题解决方案和对设备合理的维护服务说明；技术维护方案在设计时充分考虑采购人现有资源，能进行合理的调整，提供设备维护优化方案。</w:t>
            </w:r>
          </w:p>
        </w:tc>
      </w:tr>
      <w:tr w14:paraId="5554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continue"/>
            <w:noWrap w:val="0"/>
            <w:vAlign w:val="center"/>
          </w:tcPr>
          <w:p w14:paraId="273E5DD5">
            <w:pPr>
              <w:adjustRightInd w:val="0"/>
              <w:spacing w:line="360" w:lineRule="auto"/>
              <w:jc w:val="center"/>
              <w:textAlignment w:val="baseline"/>
              <w:rPr>
                <w:rFonts w:ascii="宋体" w:hAnsi="宋体" w:cs="宋体"/>
                <w:b/>
                <w:color w:val="auto"/>
                <w:szCs w:val="21"/>
                <w:highlight w:val="none"/>
              </w:rPr>
            </w:pPr>
          </w:p>
        </w:tc>
        <w:tc>
          <w:tcPr>
            <w:tcW w:w="1280" w:type="dxa"/>
            <w:vMerge w:val="continue"/>
            <w:noWrap w:val="0"/>
            <w:vAlign w:val="center"/>
          </w:tcPr>
          <w:p w14:paraId="68D0152E">
            <w:pPr>
              <w:adjustRightInd w:val="0"/>
              <w:spacing w:line="360" w:lineRule="auto"/>
              <w:jc w:val="center"/>
              <w:textAlignment w:val="baseline"/>
              <w:rPr>
                <w:rFonts w:ascii="宋体" w:hAnsi="宋体" w:cs="宋体"/>
                <w:b/>
                <w:color w:val="auto"/>
                <w:szCs w:val="21"/>
                <w:highlight w:val="none"/>
              </w:rPr>
            </w:pPr>
          </w:p>
        </w:tc>
        <w:tc>
          <w:tcPr>
            <w:tcW w:w="709" w:type="dxa"/>
            <w:vMerge w:val="continue"/>
            <w:noWrap w:val="0"/>
            <w:vAlign w:val="center"/>
          </w:tcPr>
          <w:p w14:paraId="740FC84F">
            <w:pPr>
              <w:adjustRightInd w:val="0"/>
              <w:spacing w:line="360" w:lineRule="auto"/>
              <w:jc w:val="center"/>
              <w:textAlignment w:val="baseline"/>
              <w:rPr>
                <w:rFonts w:ascii="宋体" w:hAnsi="宋体" w:cs="宋体"/>
                <w:b/>
                <w:color w:val="auto"/>
                <w:szCs w:val="21"/>
                <w:highlight w:val="none"/>
              </w:rPr>
            </w:pPr>
          </w:p>
        </w:tc>
        <w:tc>
          <w:tcPr>
            <w:tcW w:w="1171" w:type="dxa"/>
            <w:noWrap w:val="0"/>
            <w:vAlign w:val="center"/>
          </w:tcPr>
          <w:p w14:paraId="5A9409FA">
            <w:pPr>
              <w:spacing w:line="360" w:lineRule="auto"/>
              <w:rPr>
                <w:rFonts w:hAnsi="宋体" w:cs="宋体"/>
                <w:bCs/>
                <w:color w:val="auto"/>
                <w:highlight w:val="none"/>
              </w:rPr>
            </w:pPr>
            <w:r>
              <w:rPr>
                <w:rFonts w:hint="eastAsia" w:ascii="宋体" w:hAnsi="宋体" w:cs="宋体"/>
                <w:b/>
                <w:color w:val="auto"/>
                <w:szCs w:val="21"/>
                <w:highlight w:val="none"/>
              </w:rPr>
              <w:t>组织实施方案分（满分</w:t>
            </w:r>
            <w:r>
              <w:rPr>
                <w:rFonts w:hint="eastAsia" w:ascii="宋体" w:hAnsi="宋体" w:cs="宋体"/>
                <w:b/>
                <w:color w:val="auto"/>
                <w:szCs w:val="21"/>
                <w:highlight w:val="none"/>
                <w:lang w:val="en-US" w:eastAsia="zh-CN"/>
              </w:rPr>
              <w:t>36</w:t>
            </w:r>
            <w:r>
              <w:rPr>
                <w:rFonts w:hint="eastAsia" w:ascii="宋体" w:hAnsi="宋体" w:cs="宋体"/>
                <w:b/>
                <w:color w:val="auto"/>
                <w:szCs w:val="21"/>
                <w:highlight w:val="none"/>
              </w:rPr>
              <w:t>分）</w:t>
            </w:r>
          </w:p>
        </w:tc>
        <w:tc>
          <w:tcPr>
            <w:tcW w:w="5738" w:type="dxa"/>
            <w:noWrap w:val="0"/>
            <w:vAlign w:val="center"/>
          </w:tcPr>
          <w:p w14:paraId="1E4AB67E">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由磋商小组在打分前根据供应商</w:t>
            </w:r>
            <w:r>
              <w:rPr>
                <w:rFonts w:hint="eastAsia" w:ascii="宋体" w:hAnsi="宋体" w:cs="宋体"/>
                <w:color w:val="auto"/>
                <w:spacing w:val="-3"/>
                <w:szCs w:val="21"/>
                <w:highlight w:val="none"/>
                <w:lang w:eastAsia="zh-CN"/>
              </w:rPr>
              <w:t>提供的方案</w:t>
            </w:r>
            <w:r>
              <w:rPr>
                <w:rFonts w:hint="eastAsia" w:ascii="宋体" w:hAnsi="宋体" w:cs="宋体"/>
                <w:color w:val="auto"/>
                <w:spacing w:val="-3"/>
                <w:szCs w:val="21"/>
                <w:highlight w:val="none"/>
              </w:rPr>
              <w:t>确定各供应商所属档次及得分。达不到一档要求或不提供的得0分。</w:t>
            </w:r>
          </w:p>
          <w:p w14:paraId="172503C2">
            <w:pPr>
              <w:pStyle w:val="20"/>
              <w:spacing w:line="360" w:lineRule="auto"/>
              <w:ind w:firstLine="436" w:firstLineChars="216"/>
              <w:rPr>
                <w:rFonts w:hAnsi="宋体" w:cs="宋体"/>
                <w:color w:val="auto"/>
                <w:spacing w:val="-4"/>
                <w:sz w:val="21"/>
                <w:highlight w:val="none"/>
              </w:rPr>
            </w:pPr>
            <w:r>
              <w:rPr>
                <w:rFonts w:hint="eastAsia" w:hAnsi="宋体" w:cs="宋体"/>
                <w:color w:val="auto"/>
                <w:spacing w:val="-4"/>
                <w:sz w:val="21"/>
                <w:highlight w:val="none"/>
              </w:rPr>
              <w:t>一档（</w:t>
            </w:r>
            <w:r>
              <w:rPr>
                <w:rFonts w:hint="eastAsia" w:hAnsi="宋体" w:cs="宋体"/>
                <w:color w:val="auto"/>
                <w:spacing w:val="-4"/>
                <w:sz w:val="21"/>
                <w:highlight w:val="none"/>
                <w:lang w:val="en-US" w:eastAsia="zh-CN"/>
              </w:rPr>
              <w:t>12</w:t>
            </w:r>
            <w:r>
              <w:rPr>
                <w:rFonts w:hint="eastAsia" w:hAnsi="宋体" w:cs="宋体"/>
                <w:color w:val="auto"/>
                <w:spacing w:val="-4"/>
                <w:sz w:val="21"/>
                <w:highlight w:val="none"/>
              </w:rPr>
              <w:t>分）：较准确理解本项目的特点；方案较全面，提出较完整可行的建设实施方案，可行性较高；</w:t>
            </w:r>
          </w:p>
          <w:p w14:paraId="32C5A755">
            <w:pPr>
              <w:pStyle w:val="20"/>
              <w:spacing w:line="360" w:lineRule="auto"/>
              <w:ind w:firstLine="436" w:firstLineChars="216"/>
              <w:rPr>
                <w:rFonts w:hAnsi="宋体" w:cs="宋体"/>
                <w:color w:val="auto"/>
                <w:spacing w:val="-4"/>
                <w:sz w:val="21"/>
                <w:highlight w:val="none"/>
              </w:rPr>
            </w:pPr>
            <w:r>
              <w:rPr>
                <w:rFonts w:hint="eastAsia" w:hAnsi="宋体" w:cs="宋体"/>
                <w:color w:val="auto"/>
                <w:spacing w:val="-4"/>
                <w:sz w:val="21"/>
                <w:highlight w:val="none"/>
              </w:rPr>
              <w:t>二档（</w:t>
            </w:r>
            <w:r>
              <w:rPr>
                <w:rFonts w:hint="eastAsia" w:hAnsi="宋体" w:cs="宋体"/>
                <w:color w:val="auto"/>
                <w:spacing w:val="-4"/>
                <w:sz w:val="21"/>
                <w:highlight w:val="none"/>
                <w:lang w:val="en-US" w:eastAsia="zh-CN"/>
              </w:rPr>
              <w:t>24</w:t>
            </w:r>
            <w:r>
              <w:rPr>
                <w:rFonts w:hint="eastAsia" w:hAnsi="宋体" w:cs="宋体"/>
                <w:color w:val="auto"/>
                <w:spacing w:val="-4"/>
                <w:sz w:val="21"/>
                <w:highlight w:val="none"/>
              </w:rPr>
              <w:t>分）：理解本项目的特点及需求，有针对性的提供了建设实施方案，措施可落地且科学合理，符合采购人的需求，可控性强；</w:t>
            </w:r>
          </w:p>
          <w:p w14:paraId="01750D3B">
            <w:pPr>
              <w:pStyle w:val="20"/>
              <w:spacing w:line="360" w:lineRule="auto"/>
              <w:ind w:firstLine="436" w:firstLineChars="216"/>
              <w:rPr>
                <w:rFonts w:cs="宋体"/>
                <w:bCs/>
                <w:color w:val="auto"/>
                <w:highlight w:val="none"/>
              </w:rPr>
            </w:pPr>
            <w:r>
              <w:rPr>
                <w:rFonts w:hint="eastAsia" w:hAnsi="宋体" w:cs="宋体"/>
                <w:color w:val="auto"/>
                <w:spacing w:val="-4"/>
                <w:sz w:val="21"/>
                <w:highlight w:val="none"/>
              </w:rPr>
              <w:t>三档（</w:t>
            </w:r>
            <w:r>
              <w:rPr>
                <w:rFonts w:hint="eastAsia" w:hAnsi="宋体" w:cs="宋体"/>
                <w:color w:val="auto"/>
                <w:spacing w:val="-4"/>
                <w:sz w:val="21"/>
                <w:highlight w:val="none"/>
                <w:lang w:val="en-US" w:eastAsia="zh-CN"/>
              </w:rPr>
              <w:t>36</w:t>
            </w:r>
            <w:r>
              <w:rPr>
                <w:rFonts w:hint="eastAsia" w:hAnsi="宋体" w:cs="宋体"/>
                <w:color w:val="auto"/>
                <w:spacing w:val="-4"/>
                <w:sz w:val="21"/>
                <w:highlight w:val="none"/>
              </w:rPr>
              <w:t xml:space="preserve"> 分）：对采购人需求和本项目的特点理解透彻，对背景、现状认识全面；对相关政策理解深刻，对政策的把握性强；技术方案全面、准确、科学合理，方案内容完善、理念创新、思路清晰，对方案把控度强、可行性高、整合措施到位、有明确具体的各项安排，能在满足采购人的要求的基础上提出好的合理化建议。</w:t>
            </w:r>
            <w:r>
              <w:rPr>
                <w:rFonts w:hint="eastAsia" w:hAnsi="宋体" w:cs="宋体"/>
                <w:color w:val="auto"/>
                <w:spacing w:val="-4"/>
                <w:sz w:val="21"/>
                <w:highlight w:val="none"/>
                <w:lang w:eastAsia="zh-CN"/>
              </w:rPr>
              <w:t>承诺</w:t>
            </w:r>
            <w:r>
              <w:rPr>
                <w:rFonts w:hint="eastAsia" w:hAnsi="宋体" w:cs="宋体"/>
                <w:color w:val="auto"/>
                <w:spacing w:val="-4"/>
                <w:sz w:val="21"/>
                <w:highlight w:val="none"/>
              </w:rPr>
              <w:t>能提供本项目翻转器等主要设备同型号 5 台以上（含）计算机或网络设备作为备件放置在采购人现场并出具承诺函。</w:t>
            </w:r>
          </w:p>
        </w:tc>
      </w:tr>
      <w:tr w14:paraId="4A1A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noWrap w:val="0"/>
            <w:vAlign w:val="center"/>
          </w:tcPr>
          <w:p w14:paraId="7D46A752">
            <w:pPr>
              <w:adjustRightInd w:val="0"/>
              <w:spacing w:line="360" w:lineRule="auto"/>
              <w:jc w:val="center"/>
              <w:textAlignment w:val="baseline"/>
              <w:rPr>
                <w:rFonts w:ascii="宋体" w:hAnsi="宋体" w:cs="宋体"/>
                <w:b/>
                <w:color w:val="auto"/>
                <w:szCs w:val="21"/>
                <w:highlight w:val="none"/>
              </w:rPr>
            </w:pPr>
          </w:p>
        </w:tc>
        <w:tc>
          <w:tcPr>
            <w:tcW w:w="1280" w:type="dxa"/>
            <w:vMerge w:val="continue"/>
            <w:noWrap w:val="0"/>
            <w:vAlign w:val="center"/>
          </w:tcPr>
          <w:p w14:paraId="1B6EC446">
            <w:pPr>
              <w:adjustRightInd w:val="0"/>
              <w:spacing w:line="360" w:lineRule="auto"/>
              <w:jc w:val="center"/>
              <w:textAlignment w:val="baseline"/>
              <w:rPr>
                <w:rFonts w:ascii="宋体" w:hAnsi="宋体" w:cs="宋体"/>
                <w:b/>
                <w:color w:val="auto"/>
                <w:szCs w:val="21"/>
                <w:highlight w:val="none"/>
              </w:rPr>
            </w:pPr>
          </w:p>
        </w:tc>
        <w:tc>
          <w:tcPr>
            <w:tcW w:w="709" w:type="dxa"/>
            <w:vMerge w:val="continue"/>
            <w:noWrap w:val="0"/>
            <w:vAlign w:val="center"/>
          </w:tcPr>
          <w:p w14:paraId="2B630AB8">
            <w:pPr>
              <w:adjustRightInd w:val="0"/>
              <w:spacing w:line="360" w:lineRule="auto"/>
              <w:jc w:val="center"/>
              <w:textAlignment w:val="baseline"/>
              <w:rPr>
                <w:rFonts w:ascii="宋体" w:hAnsi="宋体" w:cs="宋体"/>
                <w:b/>
                <w:color w:val="auto"/>
                <w:szCs w:val="21"/>
                <w:highlight w:val="none"/>
              </w:rPr>
            </w:pPr>
          </w:p>
        </w:tc>
        <w:tc>
          <w:tcPr>
            <w:tcW w:w="1171" w:type="dxa"/>
            <w:noWrap w:val="0"/>
            <w:vAlign w:val="center"/>
          </w:tcPr>
          <w:p w14:paraId="44E00643">
            <w:pPr>
              <w:spacing w:line="360" w:lineRule="auto"/>
              <w:rPr>
                <w:rFonts w:ascii="宋体" w:hAnsi="宋体" w:cs="宋体"/>
                <w:bCs/>
                <w:color w:val="auto"/>
                <w:szCs w:val="21"/>
                <w:highlight w:val="none"/>
              </w:rPr>
            </w:pPr>
            <w:r>
              <w:rPr>
                <w:rFonts w:hint="eastAsia" w:ascii="宋体" w:hAnsi="宋体" w:cs="宋体"/>
                <w:b/>
                <w:bCs/>
                <w:color w:val="auto"/>
                <w:kern w:val="1"/>
                <w:szCs w:val="21"/>
                <w:highlight w:val="none"/>
                <w:lang w:eastAsia="zh-CN"/>
              </w:rPr>
              <w:t>服务承诺方案分</w:t>
            </w:r>
            <w:r>
              <w:rPr>
                <w:rFonts w:hint="eastAsia" w:ascii="宋体" w:hAnsi="宋体" w:cs="宋体"/>
                <w:b/>
                <w:bCs/>
                <w:color w:val="auto"/>
                <w:kern w:val="1"/>
                <w:szCs w:val="21"/>
                <w:highlight w:val="none"/>
              </w:rPr>
              <w:t>（满分</w:t>
            </w:r>
            <w:r>
              <w:rPr>
                <w:rFonts w:hint="eastAsia" w:ascii="宋体" w:hAnsi="宋体" w:cs="宋体"/>
                <w:b/>
                <w:bCs/>
                <w:color w:val="auto"/>
                <w:kern w:val="1"/>
                <w:szCs w:val="21"/>
                <w:highlight w:val="none"/>
                <w:lang w:val="en-US" w:eastAsia="zh-CN"/>
              </w:rPr>
              <w:t>12</w:t>
            </w:r>
            <w:r>
              <w:rPr>
                <w:rFonts w:hint="eastAsia" w:ascii="宋体" w:hAnsi="宋体" w:cs="宋体"/>
                <w:b/>
                <w:bCs/>
                <w:color w:val="auto"/>
                <w:kern w:val="1"/>
                <w:szCs w:val="21"/>
                <w:highlight w:val="none"/>
              </w:rPr>
              <w:t>分）</w:t>
            </w:r>
          </w:p>
        </w:tc>
        <w:tc>
          <w:tcPr>
            <w:tcW w:w="5738" w:type="dxa"/>
            <w:noWrap w:val="0"/>
            <w:vAlign w:val="center"/>
          </w:tcPr>
          <w:p w14:paraId="748F4BAC">
            <w:pPr>
              <w:spacing w:line="360" w:lineRule="auto"/>
              <w:ind w:firstLine="420" w:firstLineChars="200"/>
              <w:rPr>
                <w:color w:val="auto"/>
                <w:szCs w:val="21"/>
                <w:highlight w:val="none"/>
              </w:rPr>
            </w:pPr>
            <w:r>
              <w:rPr>
                <w:rFonts w:hint="eastAsia"/>
                <w:color w:val="auto"/>
                <w:szCs w:val="21"/>
                <w:highlight w:val="none"/>
              </w:rPr>
              <w:t>由磋商小组在打分前根据供应商提供的</w:t>
            </w:r>
            <w:r>
              <w:rPr>
                <w:rFonts w:hint="eastAsia"/>
                <w:color w:val="auto"/>
                <w:szCs w:val="21"/>
                <w:highlight w:val="none"/>
                <w:lang w:eastAsia="zh-CN"/>
              </w:rPr>
              <w:t>方案</w:t>
            </w:r>
            <w:r>
              <w:rPr>
                <w:rFonts w:hint="eastAsia"/>
                <w:color w:val="auto"/>
                <w:szCs w:val="21"/>
                <w:highlight w:val="none"/>
              </w:rPr>
              <w:t>确定各供应商所属档次及得分。</w:t>
            </w:r>
            <w:r>
              <w:rPr>
                <w:rFonts w:hint="eastAsia" w:ascii="宋体" w:hAnsi="宋体" w:cs="宋体"/>
                <w:color w:val="auto"/>
                <w:spacing w:val="-3"/>
                <w:szCs w:val="21"/>
                <w:highlight w:val="none"/>
              </w:rPr>
              <w:t>达不到一档要求或不提供的得0分。</w:t>
            </w:r>
          </w:p>
          <w:p w14:paraId="324C4063">
            <w:pPr>
              <w:pStyle w:val="91"/>
              <w:spacing w:line="420" w:lineRule="exact"/>
              <w:ind w:firstLine="420"/>
              <w:rPr>
                <w:rStyle w:val="92"/>
                <w:rFonts w:hint="eastAsia" w:ascii="宋体" w:hAnsi="宋体" w:eastAsia="宋体" w:cs="宋体"/>
                <w:bCs/>
                <w:color w:val="auto"/>
                <w:szCs w:val="20"/>
                <w:highlight w:val="none"/>
              </w:rPr>
            </w:pPr>
            <w:r>
              <w:rPr>
                <w:rStyle w:val="92"/>
                <w:rFonts w:hint="eastAsia" w:ascii="宋体" w:hAnsi="宋体" w:eastAsia="宋体" w:cs="宋体"/>
                <w:bCs/>
                <w:color w:val="auto"/>
                <w:szCs w:val="20"/>
                <w:highlight w:val="none"/>
              </w:rPr>
              <w:t>一档（</w:t>
            </w:r>
            <w:r>
              <w:rPr>
                <w:rStyle w:val="92"/>
                <w:rFonts w:hint="eastAsia" w:hAnsi="宋体" w:eastAsia="宋体" w:cs="宋体"/>
                <w:bCs/>
                <w:color w:val="auto"/>
                <w:szCs w:val="20"/>
                <w:highlight w:val="none"/>
                <w:lang w:val="en-US"/>
              </w:rPr>
              <w:t>4</w:t>
            </w:r>
            <w:r>
              <w:rPr>
                <w:rStyle w:val="92"/>
                <w:rFonts w:hint="eastAsia" w:ascii="宋体" w:hAnsi="宋体" w:eastAsia="宋体" w:cs="宋体"/>
                <w:bCs/>
                <w:color w:val="auto"/>
                <w:szCs w:val="20"/>
                <w:highlight w:val="none"/>
              </w:rPr>
              <w:t>分）：服务承诺方案内容和服务保障措施简单，基本满足项目服务需求。</w:t>
            </w:r>
          </w:p>
          <w:p w14:paraId="52672951">
            <w:pPr>
              <w:pStyle w:val="91"/>
              <w:spacing w:line="420" w:lineRule="exact"/>
              <w:ind w:firstLine="420"/>
              <w:rPr>
                <w:rStyle w:val="92"/>
                <w:rFonts w:hint="eastAsia" w:ascii="宋体" w:hAnsi="宋体" w:eastAsia="宋体" w:cs="宋体"/>
                <w:bCs/>
                <w:color w:val="auto"/>
                <w:szCs w:val="20"/>
                <w:highlight w:val="none"/>
              </w:rPr>
            </w:pPr>
            <w:r>
              <w:rPr>
                <w:rStyle w:val="92"/>
                <w:rFonts w:hint="eastAsia" w:ascii="宋体" w:hAnsi="宋体" w:eastAsia="宋体" w:cs="宋体"/>
                <w:bCs/>
                <w:color w:val="auto"/>
                <w:szCs w:val="20"/>
                <w:highlight w:val="none"/>
              </w:rPr>
              <w:t>二档（</w:t>
            </w:r>
            <w:r>
              <w:rPr>
                <w:rStyle w:val="92"/>
                <w:rFonts w:hint="eastAsia" w:hAnsi="宋体" w:eastAsia="宋体" w:cs="宋体"/>
                <w:bCs/>
                <w:color w:val="auto"/>
                <w:szCs w:val="20"/>
                <w:highlight w:val="none"/>
                <w:lang w:val="en-US"/>
              </w:rPr>
              <w:t>8</w:t>
            </w:r>
            <w:r>
              <w:rPr>
                <w:rStyle w:val="92"/>
                <w:rFonts w:hint="eastAsia" w:ascii="宋体" w:hAnsi="宋体" w:eastAsia="宋体" w:cs="宋体"/>
                <w:bCs/>
                <w:color w:val="auto"/>
                <w:szCs w:val="20"/>
                <w:highlight w:val="none"/>
              </w:rPr>
              <w:t>分）：服务承诺方案内容</w:t>
            </w:r>
            <w:r>
              <w:rPr>
                <w:rFonts w:hint="eastAsia" w:ascii="宋体" w:hAnsi="宋体" w:eastAsia="宋体" w:cs="宋体"/>
                <w:color w:val="auto"/>
                <w:szCs w:val="21"/>
                <w:highlight w:val="none"/>
                <w:lang w:val="en-US" w:eastAsia="zh-CN"/>
              </w:rPr>
              <w:t>较详细</w:t>
            </w:r>
            <w:r>
              <w:rPr>
                <w:rStyle w:val="92"/>
                <w:rFonts w:hint="eastAsia" w:ascii="宋体" w:hAnsi="宋体" w:eastAsia="宋体" w:cs="宋体"/>
                <w:bCs/>
                <w:color w:val="auto"/>
                <w:szCs w:val="20"/>
                <w:highlight w:val="none"/>
              </w:rPr>
              <w:t>，项目服务保障措施基本可行，对服务方式、方法有具体描述，满足项目服务需求。</w:t>
            </w:r>
          </w:p>
          <w:p w14:paraId="3496FA8E">
            <w:pPr>
              <w:pStyle w:val="91"/>
              <w:spacing w:line="420" w:lineRule="exact"/>
              <w:ind w:firstLine="420"/>
              <w:rPr>
                <w:color w:val="auto"/>
                <w:highlight w:val="none"/>
              </w:rPr>
            </w:pPr>
            <w:r>
              <w:rPr>
                <w:rStyle w:val="92"/>
                <w:rFonts w:hint="eastAsia" w:ascii="宋体" w:hAnsi="宋体" w:eastAsia="宋体" w:cs="宋体"/>
                <w:bCs/>
                <w:color w:val="auto"/>
                <w:szCs w:val="20"/>
                <w:highlight w:val="none"/>
              </w:rPr>
              <w:t>三档（</w:t>
            </w:r>
            <w:r>
              <w:rPr>
                <w:rStyle w:val="92"/>
                <w:rFonts w:hint="eastAsia" w:hAnsi="宋体" w:eastAsia="宋体" w:cs="宋体"/>
                <w:bCs/>
                <w:color w:val="auto"/>
                <w:szCs w:val="20"/>
                <w:highlight w:val="none"/>
                <w:lang w:val="en-US"/>
              </w:rPr>
              <w:t>12</w:t>
            </w:r>
            <w:r>
              <w:rPr>
                <w:rStyle w:val="92"/>
                <w:rFonts w:hint="eastAsia" w:ascii="宋体" w:hAnsi="宋体" w:eastAsia="宋体" w:cs="宋体"/>
                <w:bCs/>
                <w:color w:val="auto"/>
                <w:szCs w:val="20"/>
                <w:highlight w:val="none"/>
              </w:rPr>
              <w:t>分）：服务承诺方案内容详细，服务承诺方案有明确的质量保证措施和步骤，且具有针对性，满足项目服务需求。</w:t>
            </w:r>
          </w:p>
        </w:tc>
      </w:tr>
      <w:tr w14:paraId="5999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noWrap w:val="0"/>
            <w:vAlign w:val="center"/>
          </w:tcPr>
          <w:p w14:paraId="5C95B62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noWrap w:val="0"/>
            <w:vAlign w:val="center"/>
          </w:tcPr>
          <w:p w14:paraId="1480825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noWrap w:val="0"/>
            <w:vAlign w:val="center"/>
          </w:tcPr>
          <w:p w14:paraId="398C661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6分</w:t>
            </w:r>
          </w:p>
        </w:tc>
        <w:tc>
          <w:tcPr>
            <w:tcW w:w="6909" w:type="dxa"/>
            <w:gridSpan w:val="2"/>
            <w:noWrap w:val="0"/>
            <w:vAlign w:val="center"/>
          </w:tcPr>
          <w:p w14:paraId="4F6FA416">
            <w:pPr>
              <w:spacing w:line="360" w:lineRule="auto"/>
              <w:ind w:firstLine="420"/>
              <w:rPr>
                <w:rFonts w:ascii="宋体" w:hAnsi="宋体" w:cs="宋体"/>
                <w:color w:val="auto"/>
                <w:kern w:val="1"/>
                <w:szCs w:val="21"/>
                <w:highlight w:val="none"/>
              </w:rPr>
            </w:pPr>
            <w:r>
              <w:rPr>
                <w:rFonts w:hint="eastAsia"/>
                <w:color w:val="auto"/>
                <w:szCs w:val="21"/>
                <w:highlight w:val="none"/>
              </w:rPr>
              <w:t>供应商自 202</w:t>
            </w:r>
            <w:r>
              <w:rPr>
                <w:rFonts w:hint="eastAsia"/>
                <w:color w:val="auto"/>
                <w:szCs w:val="21"/>
                <w:highlight w:val="none"/>
                <w:lang w:val="en-US" w:eastAsia="zh-CN"/>
              </w:rPr>
              <w:t>1</w:t>
            </w:r>
            <w:r>
              <w:rPr>
                <w:rFonts w:hint="eastAsia"/>
                <w:color w:val="auto"/>
                <w:szCs w:val="21"/>
                <w:highlight w:val="none"/>
              </w:rPr>
              <w:t xml:space="preserve"> 年以来具维护服务项目的成功案例（以有效的合同或中标（成交）通知书复印件为准，原件备查），每有一份得 2 分，</w:t>
            </w:r>
            <w:r>
              <w:rPr>
                <w:rFonts w:hint="eastAsia"/>
                <w:b/>
                <w:bCs/>
                <w:color w:val="auto"/>
                <w:szCs w:val="21"/>
                <w:highlight w:val="none"/>
              </w:rPr>
              <w:t xml:space="preserve">满分 </w:t>
            </w:r>
            <w:r>
              <w:rPr>
                <w:rFonts w:hint="eastAsia"/>
                <w:b/>
                <w:bCs/>
                <w:color w:val="auto"/>
                <w:szCs w:val="21"/>
                <w:highlight w:val="none"/>
                <w:lang w:val="en-US" w:eastAsia="zh-CN"/>
              </w:rPr>
              <w:t>6</w:t>
            </w:r>
            <w:r>
              <w:rPr>
                <w:rFonts w:hint="eastAsia"/>
                <w:b/>
                <w:bCs/>
                <w:color w:val="auto"/>
                <w:szCs w:val="21"/>
                <w:highlight w:val="none"/>
              </w:rPr>
              <w:t xml:space="preserve"> 分。</w:t>
            </w:r>
          </w:p>
        </w:tc>
      </w:tr>
      <w:tr w14:paraId="6BB7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28" w:type="dxa"/>
            <w:gridSpan w:val="5"/>
            <w:noWrap w:val="0"/>
            <w:vAlign w:val="center"/>
          </w:tcPr>
          <w:p w14:paraId="13F4CE82">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58D48417">
      <w:pPr>
        <w:rPr>
          <w:rFonts w:ascii="宋体" w:hAnsi="宋体" w:cs="宋体"/>
          <w:bCs/>
          <w:color w:val="auto"/>
          <w:szCs w:val="21"/>
          <w:highlight w:val="none"/>
        </w:rPr>
      </w:pPr>
    </w:p>
    <w:p w14:paraId="7F406E59">
      <w:pPr>
        <w:rPr>
          <w:rFonts w:ascii="宋体" w:hAnsi="宋体" w:cs="宋体"/>
          <w:color w:val="auto"/>
          <w:highlight w:val="none"/>
        </w:rPr>
      </w:pPr>
      <w:r>
        <w:rPr>
          <w:rFonts w:hint="eastAsia" w:ascii="宋体" w:hAnsi="宋体" w:cs="宋体"/>
          <w:bCs/>
          <w:color w:val="auto"/>
          <w:szCs w:val="21"/>
          <w:highlight w:val="none"/>
        </w:rPr>
        <w:t>7.由磋商小组根据综合评分情况，按照评审得分由高到低顺序推荐3名成交候选供应商，并编写评审报告。符合本章第</w:t>
      </w:r>
      <w:r>
        <w:rPr>
          <w:rFonts w:hint="eastAsia" w:ascii="宋体" w:hAnsi="宋体" w:cs="宋体"/>
          <w:color w:val="auto"/>
          <w:szCs w:val="21"/>
          <w:highlight w:val="none"/>
        </w:rPr>
        <w:t>2.7、3.7、4.3</w:t>
      </w:r>
      <w:r>
        <w:rPr>
          <w:rFonts w:hint="eastAsia" w:ascii="宋体" w:hAnsi="宋体" w:cs="宋体"/>
          <w:bCs/>
          <w:color w:val="auto"/>
          <w:szCs w:val="21"/>
          <w:highlight w:val="none"/>
        </w:rPr>
        <w:t>条情形的，可以推荐2家成交候选供应商。评审得分相同的，按照最后报价（不计算价格折扣）由低到高的顺序推荐。评审得分且最后报价（不计算价格折扣）相同的，按照技术分高低顺序推荐。</w:t>
      </w:r>
    </w:p>
    <w:p w14:paraId="307EAF2B">
      <w:pPr>
        <w:pStyle w:val="3"/>
        <w:rPr>
          <w:rFonts w:ascii="宋体" w:hAnsi="宋体" w:cs="宋体"/>
          <w:color w:val="auto"/>
          <w:highlight w:val="none"/>
        </w:rPr>
      </w:pPr>
      <w:r>
        <w:rPr>
          <w:rFonts w:hint="eastAsia" w:ascii="宋体" w:hAnsi="宋体" w:cs="宋体"/>
          <w:color w:val="auto"/>
          <w:highlight w:val="none"/>
        </w:rPr>
        <w:br w:type="page"/>
      </w:r>
    </w:p>
    <w:p w14:paraId="07C4E410">
      <w:pPr>
        <w:pStyle w:val="3"/>
        <w:rPr>
          <w:rFonts w:ascii="宋体" w:hAnsi="宋体" w:cs="宋体"/>
          <w:color w:val="auto"/>
          <w:highlight w:val="none"/>
        </w:rPr>
      </w:pPr>
      <w:bookmarkStart w:id="43" w:name="_Toc16056"/>
      <w:bookmarkStart w:id="44" w:name="_Toc22926"/>
      <w:r>
        <w:rPr>
          <w:rFonts w:hint="eastAsia" w:ascii="宋体" w:hAnsi="宋体" w:cs="宋体"/>
          <w:color w:val="auto"/>
          <w:highlight w:val="none"/>
        </w:rPr>
        <w:t>第五章 响应文件格式</w:t>
      </w:r>
      <w:bookmarkEnd w:id="43"/>
      <w:bookmarkEnd w:id="44"/>
    </w:p>
    <w:p w14:paraId="0D1FCAD7">
      <w:pPr>
        <w:spacing w:line="240" w:lineRule="atLeast"/>
        <w:rPr>
          <w:rFonts w:ascii="宋体" w:hAnsi="宋体" w:cs="宋体"/>
          <w:b/>
          <w:color w:val="auto"/>
          <w:sz w:val="32"/>
          <w:szCs w:val="32"/>
          <w:highlight w:val="none"/>
        </w:rPr>
      </w:pPr>
    </w:p>
    <w:p w14:paraId="6F6323DE">
      <w:pPr>
        <w:spacing w:line="240" w:lineRule="atLeast"/>
        <w:rPr>
          <w:rFonts w:ascii="宋体" w:hAnsi="宋体" w:cs="宋体"/>
          <w:b/>
          <w:color w:val="auto"/>
          <w:sz w:val="32"/>
          <w:szCs w:val="32"/>
          <w:highlight w:val="none"/>
        </w:rPr>
      </w:pPr>
    </w:p>
    <w:p w14:paraId="03D6295C">
      <w:pPr>
        <w:spacing w:line="240" w:lineRule="atLeast"/>
        <w:rPr>
          <w:rFonts w:ascii="宋体" w:hAnsi="宋体" w:cs="宋体"/>
          <w:b/>
          <w:color w:val="auto"/>
          <w:sz w:val="32"/>
          <w:szCs w:val="32"/>
          <w:highlight w:val="none"/>
        </w:rPr>
      </w:pPr>
    </w:p>
    <w:p w14:paraId="4EA02FB3">
      <w:pPr>
        <w:spacing w:line="240" w:lineRule="atLeast"/>
        <w:rPr>
          <w:rFonts w:ascii="宋体" w:hAnsi="宋体" w:cs="宋体"/>
          <w:b/>
          <w:color w:val="auto"/>
          <w:sz w:val="32"/>
          <w:szCs w:val="32"/>
          <w:highlight w:val="none"/>
        </w:rPr>
      </w:pPr>
    </w:p>
    <w:p w14:paraId="70FFF333">
      <w:pPr>
        <w:spacing w:line="240" w:lineRule="atLeast"/>
        <w:rPr>
          <w:rFonts w:ascii="宋体" w:hAnsi="宋体" w:cs="宋体"/>
          <w:b/>
          <w:color w:val="auto"/>
          <w:sz w:val="32"/>
          <w:szCs w:val="32"/>
          <w:highlight w:val="none"/>
        </w:rPr>
      </w:pPr>
    </w:p>
    <w:p w14:paraId="74AC598D">
      <w:pPr>
        <w:spacing w:line="240" w:lineRule="atLeast"/>
        <w:rPr>
          <w:rFonts w:ascii="宋体" w:hAnsi="宋体" w:cs="宋体"/>
          <w:b/>
          <w:color w:val="auto"/>
          <w:sz w:val="32"/>
          <w:szCs w:val="32"/>
          <w:highlight w:val="none"/>
        </w:rPr>
      </w:pPr>
    </w:p>
    <w:p w14:paraId="269AE4D6">
      <w:pPr>
        <w:spacing w:line="240" w:lineRule="atLeast"/>
        <w:rPr>
          <w:rFonts w:ascii="宋体" w:hAnsi="宋体" w:cs="宋体"/>
          <w:b/>
          <w:color w:val="auto"/>
          <w:sz w:val="32"/>
          <w:szCs w:val="32"/>
          <w:highlight w:val="none"/>
        </w:rPr>
      </w:pPr>
    </w:p>
    <w:p w14:paraId="5C5F4E55">
      <w:pPr>
        <w:spacing w:line="240" w:lineRule="atLeast"/>
        <w:rPr>
          <w:rFonts w:ascii="宋体" w:hAnsi="宋体" w:cs="宋体"/>
          <w:b/>
          <w:color w:val="auto"/>
          <w:sz w:val="32"/>
          <w:szCs w:val="32"/>
          <w:highlight w:val="none"/>
        </w:rPr>
      </w:pPr>
    </w:p>
    <w:p w14:paraId="3D4665EE">
      <w:pPr>
        <w:spacing w:line="240" w:lineRule="atLeast"/>
        <w:rPr>
          <w:rFonts w:ascii="宋体" w:hAnsi="宋体" w:cs="宋体"/>
          <w:b/>
          <w:color w:val="auto"/>
          <w:sz w:val="32"/>
          <w:szCs w:val="32"/>
          <w:highlight w:val="none"/>
        </w:rPr>
      </w:pPr>
    </w:p>
    <w:p w14:paraId="2387F0D1">
      <w:pPr>
        <w:spacing w:line="240" w:lineRule="atLeast"/>
        <w:rPr>
          <w:rFonts w:ascii="宋体" w:hAnsi="宋体" w:cs="宋体"/>
          <w:bCs/>
          <w:color w:val="auto"/>
          <w:sz w:val="32"/>
          <w:szCs w:val="32"/>
          <w:highlight w:val="none"/>
        </w:rPr>
      </w:pPr>
    </w:p>
    <w:p w14:paraId="60B7AB88">
      <w:pPr>
        <w:rPr>
          <w:rFonts w:ascii="宋体" w:hAnsi="宋体" w:cs="宋体"/>
          <w:b/>
          <w:color w:val="auto"/>
          <w:sz w:val="32"/>
          <w:szCs w:val="32"/>
          <w:highlight w:val="none"/>
        </w:rPr>
      </w:pPr>
      <w:bookmarkStart w:id="45" w:name="_Toc35611438"/>
      <w:bookmarkStart w:id="46" w:name="_Toc44229899"/>
      <w:bookmarkStart w:id="47" w:name="_Toc35611516"/>
      <w:bookmarkStart w:id="48" w:name="_Toc31723070"/>
      <w:bookmarkStart w:id="49" w:name="_Toc71365925"/>
      <w:bookmarkStart w:id="50" w:name="_Toc31728084"/>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45"/>
      <w:bookmarkEnd w:id="46"/>
      <w:bookmarkEnd w:id="47"/>
      <w:bookmarkEnd w:id="48"/>
      <w:bookmarkEnd w:id="49"/>
      <w:bookmarkEnd w:id="50"/>
    </w:p>
    <w:p w14:paraId="67818926">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5229A383">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3A778252">
      <w:pPr>
        <w:snapToGrid w:val="0"/>
        <w:spacing w:before="156" w:beforeLines="50" w:after="50"/>
        <w:rPr>
          <w:rFonts w:ascii="宋体" w:hAnsi="宋体" w:cs="宋体"/>
          <w:color w:val="auto"/>
          <w:sz w:val="24"/>
          <w:szCs w:val="20"/>
          <w:highlight w:val="none"/>
        </w:rPr>
      </w:pPr>
    </w:p>
    <w:p w14:paraId="68306036">
      <w:pPr>
        <w:snapToGrid w:val="0"/>
        <w:spacing w:before="156" w:beforeLines="50" w:after="50"/>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1943F0E1">
      <w:pPr>
        <w:snapToGrid w:val="0"/>
        <w:spacing w:before="156" w:beforeLines="50" w:after="50"/>
        <w:jc w:val="center"/>
        <w:rPr>
          <w:rFonts w:ascii="宋体" w:hAnsi="宋体" w:cs="宋体"/>
          <w:bCs/>
          <w:color w:val="auto"/>
          <w:sz w:val="44"/>
          <w:szCs w:val="44"/>
          <w:highlight w:val="none"/>
        </w:rPr>
      </w:pPr>
    </w:p>
    <w:p w14:paraId="772F867F">
      <w:pPr>
        <w:snapToGrid w:val="0"/>
        <w:spacing w:before="156"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  格  证  明  文  件</w:t>
      </w:r>
    </w:p>
    <w:p w14:paraId="58B6CC52">
      <w:pPr>
        <w:snapToGrid w:val="0"/>
        <w:spacing w:before="156" w:beforeLines="50" w:after="50"/>
        <w:rPr>
          <w:rFonts w:ascii="宋体" w:hAnsi="宋体" w:cs="宋体"/>
          <w:bCs/>
          <w:color w:val="auto"/>
          <w:sz w:val="24"/>
          <w:szCs w:val="20"/>
          <w:highlight w:val="none"/>
        </w:rPr>
      </w:pPr>
    </w:p>
    <w:p w14:paraId="4C30C173">
      <w:pPr>
        <w:snapToGrid w:val="0"/>
        <w:spacing w:before="156" w:beforeLines="50" w:after="50"/>
        <w:rPr>
          <w:rFonts w:ascii="宋体" w:hAnsi="宋体" w:cs="宋体"/>
          <w:bCs/>
          <w:color w:val="auto"/>
          <w:sz w:val="24"/>
          <w:szCs w:val="20"/>
          <w:highlight w:val="none"/>
        </w:rPr>
      </w:pPr>
    </w:p>
    <w:p w14:paraId="1275262E">
      <w:pPr>
        <w:snapToGrid w:val="0"/>
        <w:spacing w:before="156" w:beforeLines="50" w:after="50"/>
        <w:rPr>
          <w:rFonts w:ascii="宋体" w:hAnsi="宋体" w:cs="宋体"/>
          <w:bCs/>
          <w:color w:val="auto"/>
          <w:sz w:val="24"/>
          <w:szCs w:val="20"/>
          <w:highlight w:val="none"/>
        </w:rPr>
      </w:pPr>
    </w:p>
    <w:p w14:paraId="525BD6F9">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452EBFEE">
      <w:pPr>
        <w:snapToGrid w:val="0"/>
        <w:spacing w:before="156" w:beforeLines="50" w:after="50"/>
        <w:ind w:firstLine="720" w:firstLineChars="225"/>
        <w:rPr>
          <w:rFonts w:ascii="宋体" w:hAnsi="宋体" w:cs="宋体"/>
          <w:bCs/>
          <w:color w:val="auto"/>
          <w:sz w:val="32"/>
          <w:szCs w:val="32"/>
          <w:highlight w:val="none"/>
        </w:rPr>
      </w:pPr>
    </w:p>
    <w:p w14:paraId="40145748">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0C40039">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4271A28">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w:t>
      </w:r>
    </w:p>
    <w:p w14:paraId="4DF26455">
      <w:pPr>
        <w:snapToGrid w:val="0"/>
        <w:spacing w:before="156" w:beforeLines="50" w:after="50"/>
        <w:ind w:firstLine="720" w:firstLineChars="225"/>
        <w:rPr>
          <w:rFonts w:ascii="宋体" w:hAnsi="宋体" w:cs="宋体"/>
          <w:bCs/>
          <w:color w:val="auto"/>
          <w:sz w:val="32"/>
          <w:szCs w:val="32"/>
          <w:highlight w:val="none"/>
        </w:rPr>
      </w:pPr>
    </w:p>
    <w:p w14:paraId="1B05CE44">
      <w:pPr>
        <w:pStyle w:val="7"/>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0C62C36">
      <w:pPr>
        <w:pStyle w:val="7"/>
        <w:snapToGrid w:val="0"/>
        <w:spacing w:before="50" w:after="50"/>
        <w:ind w:firstLine="720" w:firstLineChars="225"/>
        <w:rPr>
          <w:rFonts w:ascii="宋体" w:hAnsi="宋体" w:cs="宋体"/>
          <w:bCs/>
          <w:color w:val="auto"/>
          <w:sz w:val="32"/>
          <w:szCs w:val="32"/>
          <w:highlight w:val="none"/>
        </w:rPr>
      </w:pPr>
    </w:p>
    <w:p w14:paraId="00E312F3">
      <w:pPr>
        <w:pStyle w:val="7"/>
        <w:snapToGrid w:val="0"/>
        <w:spacing w:before="50" w:after="50"/>
        <w:ind w:firstLine="720" w:firstLineChars="225"/>
        <w:rPr>
          <w:rFonts w:ascii="宋体" w:hAnsi="宋体" w:cs="宋体"/>
          <w:bCs/>
          <w:color w:val="auto"/>
          <w:sz w:val="32"/>
          <w:szCs w:val="32"/>
          <w:highlight w:val="none"/>
        </w:rPr>
      </w:pPr>
    </w:p>
    <w:p w14:paraId="4745C29B">
      <w:pPr>
        <w:pStyle w:val="7"/>
        <w:snapToGrid w:val="0"/>
        <w:spacing w:before="50" w:after="50"/>
        <w:ind w:firstLine="1280" w:firstLineChars="400"/>
        <w:rPr>
          <w:rFonts w:ascii="宋体" w:hAnsi="宋体" w:cs="宋体"/>
          <w:bCs/>
          <w:color w:val="auto"/>
          <w:sz w:val="32"/>
          <w:szCs w:val="32"/>
          <w:highlight w:val="none"/>
        </w:rPr>
      </w:pPr>
    </w:p>
    <w:p w14:paraId="7790068E">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15D51C0">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4C72DED2">
      <w:pPr>
        <w:snapToGrid w:val="0"/>
        <w:spacing w:before="156"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60E59312">
      <w:pPr>
        <w:snapToGrid w:val="0"/>
        <w:spacing w:before="156"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32D2836B">
      <w:pPr>
        <w:spacing w:line="300" w:lineRule="auto"/>
        <w:rPr>
          <w:rFonts w:ascii="宋体" w:hAnsi="宋体" w:cs="宋体"/>
          <w:color w:val="auto"/>
          <w:szCs w:val="21"/>
          <w:highlight w:val="none"/>
        </w:rPr>
      </w:pPr>
    </w:p>
    <w:p w14:paraId="6B26B218">
      <w:pPr>
        <w:spacing w:line="300" w:lineRule="auto"/>
        <w:rPr>
          <w:rFonts w:ascii="宋体" w:hAnsi="宋体" w:cs="宋体"/>
          <w:color w:val="auto"/>
          <w:szCs w:val="21"/>
          <w:highlight w:val="none"/>
        </w:rPr>
      </w:pPr>
    </w:p>
    <w:p w14:paraId="3CCC9196">
      <w:pPr>
        <w:spacing w:line="300" w:lineRule="auto"/>
        <w:rPr>
          <w:rFonts w:ascii="宋体" w:hAnsi="宋体" w:cs="宋体"/>
          <w:color w:val="auto"/>
          <w:szCs w:val="21"/>
          <w:highlight w:val="none"/>
        </w:rPr>
      </w:pPr>
    </w:p>
    <w:p w14:paraId="2B122100">
      <w:pPr>
        <w:spacing w:line="300" w:lineRule="auto"/>
        <w:rPr>
          <w:rFonts w:ascii="宋体" w:hAnsi="宋体" w:cs="宋体"/>
          <w:color w:val="auto"/>
          <w:szCs w:val="21"/>
          <w:highlight w:val="none"/>
        </w:rPr>
      </w:pPr>
    </w:p>
    <w:p w14:paraId="6B8304EC">
      <w:pPr>
        <w:spacing w:line="300" w:lineRule="auto"/>
        <w:rPr>
          <w:rFonts w:ascii="宋体" w:hAnsi="宋体" w:cs="宋体"/>
          <w:color w:val="auto"/>
          <w:szCs w:val="21"/>
          <w:highlight w:val="none"/>
        </w:rPr>
      </w:pPr>
    </w:p>
    <w:p w14:paraId="363D9FB5">
      <w:pPr>
        <w:spacing w:line="300" w:lineRule="auto"/>
        <w:rPr>
          <w:rFonts w:ascii="宋体" w:hAnsi="宋体" w:cs="宋体"/>
          <w:color w:val="auto"/>
          <w:szCs w:val="21"/>
          <w:highlight w:val="none"/>
        </w:rPr>
      </w:pPr>
    </w:p>
    <w:p w14:paraId="1C4D4C9A">
      <w:pPr>
        <w:spacing w:line="300" w:lineRule="auto"/>
        <w:rPr>
          <w:rFonts w:ascii="宋体" w:hAnsi="宋体" w:cs="宋体"/>
          <w:color w:val="auto"/>
          <w:szCs w:val="21"/>
          <w:highlight w:val="none"/>
        </w:rPr>
      </w:pPr>
    </w:p>
    <w:p w14:paraId="2A3B74FA">
      <w:pPr>
        <w:spacing w:line="300" w:lineRule="auto"/>
        <w:rPr>
          <w:rFonts w:ascii="宋体" w:hAnsi="宋体" w:cs="宋体"/>
          <w:color w:val="auto"/>
          <w:szCs w:val="21"/>
          <w:highlight w:val="none"/>
        </w:rPr>
      </w:pPr>
    </w:p>
    <w:p w14:paraId="0C114AAC">
      <w:pPr>
        <w:spacing w:line="300" w:lineRule="auto"/>
        <w:rPr>
          <w:rFonts w:ascii="宋体" w:hAnsi="宋体" w:cs="宋体"/>
          <w:color w:val="auto"/>
          <w:szCs w:val="21"/>
          <w:highlight w:val="none"/>
        </w:rPr>
      </w:pPr>
    </w:p>
    <w:p w14:paraId="07A6E351">
      <w:pPr>
        <w:spacing w:line="300" w:lineRule="auto"/>
        <w:rPr>
          <w:rFonts w:ascii="宋体" w:hAnsi="宋体" w:cs="宋体"/>
          <w:color w:val="auto"/>
          <w:szCs w:val="21"/>
          <w:highlight w:val="none"/>
        </w:rPr>
      </w:pPr>
    </w:p>
    <w:p w14:paraId="49F18E4C">
      <w:pPr>
        <w:spacing w:line="300" w:lineRule="auto"/>
        <w:rPr>
          <w:rFonts w:ascii="宋体" w:hAnsi="宋体" w:cs="宋体"/>
          <w:color w:val="auto"/>
          <w:szCs w:val="21"/>
          <w:highlight w:val="none"/>
        </w:rPr>
      </w:pPr>
    </w:p>
    <w:p w14:paraId="48F0EF22">
      <w:pPr>
        <w:spacing w:line="300" w:lineRule="auto"/>
        <w:rPr>
          <w:rFonts w:ascii="宋体" w:hAnsi="宋体" w:cs="宋体"/>
          <w:color w:val="auto"/>
          <w:szCs w:val="21"/>
          <w:highlight w:val="none"/>
        </w:rPr>
      </w:pPr>
    </w:p>
    <w:p w14:paraId="5DA91CAB">
      <w:pPr>
        <w:spacing w:line="300" w:lineRule="auto"/>
        <w:rPr>
          <w:rFonts w:ascii="宋体" w:hAnsi="宋体" w:cs="宋体"/>
          <w:color w:val="auto"/>
          <w:szCs w:val="21"/>
          <w:highlight w:val="none"/>
        </w:rPr>
      </w:pPr>
    </w:p>
    <w:p w14:paraId="6DFFDAAD">
      <w:pPr>
        <w:spacing w:line="300" w:lineRule="auto"/>
        <w:rPr>
          <w:rFonts w:ascii="宋体" w:hAnsi="宋体" w:cs="宋体"/>
          <w:color w:val="auto"/>
          <w:szCs w:val="21"/>
          <w:highlight w:val="none"/>
        </w:rPr>
      </w:pPr>
    </w:p>
    <w:p w14:paraId="148C14FC">
      <w:pPr>
        <w:spacing w:line="300" w:lineRule="auto"/>
        <w:rPr>
          <w:rFonts w:ascii="宋体" w:hAnsi="宋体" w:cs="宋体"/>
          <w:color w:val="auto"/>
          <w:szCs w:val="21"/>
          <w:highlight w:val="none"/>
        </w:rPr>
      </w:pPr>
    </w:p>
    <w:p w14:paraId="14E05BA2">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p>
    <w:p w14:paraId="07B8D4BD">
      <w:pPr>
        <w:wordWrap w:val="0"/>
        <w:spacing w:before="156" w:beforeLines="50" w:after="50" w:line="320" w:lineRule="exact"/>
        <w:ind w:right="482" w:firstLine="210" w:firstLineChars="100"/>
        <w:contextualSpacing/>
        <w:jc w:val="center"/>
        <w:rPr>
          <w:rFonts w:ascii="宋体" w:hAnsi="宋体" w:cs="宋体"/>
          <w:color w:val="auto"/>
          <w:szCs w:val="21"/>
          <w:highlight w:val="none"/>
        </w:rPr>
      </w:pPr>
    </w:p>
    <w:p w14:paraId="20898EE7">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5441927E">
      <w:pPr>
        <w:snapToGrid w:val="0"/>
        <w:spacing w:before="156" w:beforeLines="50" w:after="50" w:line="360" w:lineRule="auto"/>
        <w:jc w:val="center"/>
        <w:rPr>
          <w:rFonts w:ascii="宋体" w:hAnsi="宋体" w:cs="宋体"/>
          <w:b/>
          <w:color w:val="auto"/>
          <w:sz w:val="24"/>
          <w:highlight w:val="none"/>
        </w:rPr>
      </w:pPr>
    </w:p>
    <w:p w14:paraId="10CFF486">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5D503B60">
      <w:pPr>
        <w:spacing w:line="360" w:lineRule="auto"/>
        <w:contextualSpacing/>
        <w:jc w:val="center"/>
        <w:rPr>
          <w:rFonts w:ascii="宋体" w:hAnsi="宋体" w:cs="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128215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B3FAD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3B27D3">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4F3D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1AB173">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FAC9F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411A6D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68070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EC185A">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17CBDE">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276846">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3FEAAC">
            <w:pPr>
              <w:widowControl/>
              <w:spacing w:line="360" w:lineRule="auto"/>
              <w:contextualSpacing/>
              <w:jc w:val="center"/>
              <w:rPr>
                <w:rFonts w:ascii="宋体" w:hAnsi="宋体" w:cs="宋体"/>
                <w:color w:val="auto"/>
                <w:kern w:val="0"/>
                <w:sz w:val="24"/>
                <w:highlight w:val="none"/>
              </w:rPr>
            </w:pPr>
          </w:p>
        </w:tc>
      </w:tr>
      <w:tr w14:paraId="5E6F501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BAF09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B64DC4">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FBD9FD">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C6A0B5">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FE3323">
            <w:pPr>
              <w:widowControl/>
              <w:spacing w:line="360" w:lineRule="auto"/>
              <w:contextualSpacing/>
              <w:jc w:val="center"/>
              <w:rPr>
                <w:rFonts w:ascii="宋体" w:hAnsi="宋体" w:cs="宋体"/>
                <w:color w:val="auto"/>
                <w:kern w:val="0"/>
                <w:sz w:val="24"/>
                <w:highlight w:val="none"/>
              </w:rPr>
            </w:pPr>
          </w:p>
        </w:tc>
      </w:tr>
      <w:tr w14:paraId="3768B23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CD28A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ECB7F1">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EC9262">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967131">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883E18">
            <w:pPr>
              <w:widowControl/>
              <w:spacing w:line="360" w:lineRule="auto"/>
              <w:contextualSpacing/>
              <w:jc w:val="center"/>
              <w:rPr>
                <w:rFonts w:ascii="宋体" w:hAnsi="宋体" w:cs="宋体"/>
                <w:color w:val="auto"/>
                <w:kern w:val="0"/>
                <w:sz w:val="24"/>
                <w:highlight w:val="none"/>
              </w:rPr>
            </w:pPr>
          </w:p>
        </w:tc>
      </w:tr>
      <w:tr w14:paraId="4E03892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D627F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27B805">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34C5F6">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822058">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994F2B">
            <w:pPr>
              <w:widowControl/>
              <w:spacing w:line="360" w:lineRule="auto"/>
              <w:contextualSpacing/>
              <w:jc w:val="center"/>
              <w:rPr>
                <w:rFonts w:ascii="宋体" w:hAnsi="宋体" w:cs="宋体"/>
                <w:color w:val="auto"/>
                <w:kern w:val="0"/>
                <w:sz w:val="24"/>
                <w:highlight w:val="none"/>
              </w:rPr>
            </w:pPr>
          </w:p>
        </w:tc>
      </w:tr>
    </w:tbl>
    <w:p w14:paraId="0B99B542">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4E8AB9A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2F0F10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0496FD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140A4F88">
      <w:pPr>
        <w:snapToGrid w:val="0"/>
        <w:spacing w:line="360" w:lineRule="auto"/>
        <w:jc w:val="left"/>
        <w:rPr>
          <w:rFonts w:ascii="宋体" w:hAnsi="宋体" w:cs="宋体"/>
          <w:color w:val="auto"/>
          <w:sz w:val="24"/>
          <w:highlight w:val="none"/>
        </w:rPr>
      </w:pPr>
    </w:p>
    <w:p w14:paraId="19ADF671">
      <w:pPr>
        <w:snapToGrid w:val="0"/>
        <w:spacing w:line="360" w:lineRule="auto"/>
        <w:jc w:val="left"/>
        <w:rPr>
          <w:rFonts w:ascii="宋体" w:hAnsi="宋体" w:cs="宋体"/>
          <w:color w:val="auto"/>
          <w:sz w:val="24"/>
          <w:highlight w:val="none"/>
        </w:rPr>
      </w:pPr>
    </w:p>
    <w:p w14:paraId="4E8CCD6C">
      <w:pPr>
        <w:snapToGrid w:val="0"/>
        <w:spacing w:line="360" w:lineRule="auto"/>
        <w:jc w:val="left"/>
        <w:rPr>
          <w:rFonts w:ascii="宋体" w:hAnsi="宋体" w:cs="宋体"/>
          <w:color w:val="auto"/>
          <w:sz w:val="24"/>
          <w:highlight w:val="none"/>
        </w:rPr>
      </w:pPr>
    </w:p>
    <w:p w14:paraId="4FFF2B37">
      <w:pPr>
        <w:snapToGrid w:val="0"/>
        <w:spacing w:before="156" w:beforeLines="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7B5E7F7A">
      <w:pPr>
        <w:snapToGrid w:val="0"/>
        <w:spacing w:before="156" w:beforeLines="50" w:after="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供应商（盖公章 ）：</w:t>
      </w:r>
      <w:r>
        <w:rPr>
          <w:rFonts w:hint="eastAsia" w:ascii="宋体" w:hAnsi="宋体" w:cs="宋体"/>
          <w:color w:val="auto"/>
          <w:sz w:val="24"/>
          <w:highlight w:val="none"/>
          <w:u w:val="single"/>
        </w:rPr>
        <w:t xml:space="preserve">                           </w:t>
      </w:r>
    </w:p>
    <w:p w14:paraId="2D92888B">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632B7BA7">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06CD139A">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6A5B2717">
      <w:pPr>
        <w:snapToGrid w:val="0"/>
        <w:spacing w:line="360" w:lineRule="auto"/>
        <w:jc w:val="center"/>
        <w:rPr>
          <w:rFonts w:ascii="宋体" w:hAnsi="宋体" w:cs="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6A2049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41711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C8E58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6C381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C55B7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3EF7A9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4141E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086DB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86EA66">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B3B5AF">
            <w:pPr>
              <w:widowControl/>
              <w:spacing w:line="360" w:lineRule="auto"/>
              <w:contextualSpacing/>
              <w:jc w:val="center"/>
              <w:rPr>
                <w:rFonts w:ascii="宋体" w:hAnsi="宋体" w:cs="宋体"/>
                <w:color w:val="auto"/>
                <w:kern w:val="0"/>
                <w:sz w:val="24"/>
                <w:highlight w:val="none"/>
              </w:rPr>
            </w:pPr>
          </w:p>
        </w:tc>
      </w:tr>
      <w:tr w14:paraId="3D75D42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0771A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94BF64">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338CCD">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DA55E0">
            <w:pPr>
              <w:widowControl/>
              <w:spacing w:line="360" w:lineRule="auto"/>
              <w:contextualSpacing/>
              <w:jc w:val="center"/>
              <w:rPr>
                <w:rFonts w:ascii="宋体" w:hAnsi="宋体" w:cs="宋体"/>
                <w:color w:val="auto"/>
                <w:kern w:val="0"/>
                <w:sz w:val="24"/>
                <w:highlight w:val="none"/>
              </w:rPr>
            </w:pPr>
          </w:p>
        </w:tc>
      </w:tr>
      <w:tr w14:paraId="1AC3CE3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33EB2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C24579">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FC3CDD">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9193CB">
            <w:pPr>
              <w:widowControl/>
              <w:spacing w:line="360" w:lineRule="auto"/>
              <w:contextualSpacing/>
              <w:jc w:val="center"/>
              <w:rPr>
                <w:rFonts w:ascii="宋体" w:hAnsi="宋体" w:cs="宋体"/>
                <w:color w:val="auto"/>
                <w:kern w:val="0"/>
                <w:sz w:val="24"/>
                <w:highlight w:val="none"/>
              </w:rPr>
            </w:pPr>
          </w:p>
        </w:tc>
      </w:tr>
      <w:tr w14:paraId="0A0EFB6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05E0B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4E2665">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9C0631">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713FCD">
            <w:pPr>
              <w:widowControl/>
              <w:spacing w:line="360" w:lineRule="auto"/>
              <w:contextualSpacing/>
              <w:jc w:val="center"/>
              <w:rPr>
                <w:rFonts w:ascii="宋体" w:hAnsi="宋体" w:cs="宋体"/>
                <w:color w:val="auto"/>
                <w:kern w:val="0"/>
                <w:sz w:val="24"/>
                <w:highlight w:val="none"/>
              </w:rPr>
            </w:pPr>
          </w:p>
        </w:tc>
      </w:tr>
    </w:tbl>
    <w:p w14:paraId="023C1D4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4FCD244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61D321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7C49DFC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3FA70D42">
      <w:pPr>
        <w:spacing w:line="360" w:lineRule="auto"/>
        <w:contextualSpacing/>
        <w:jc w:val="left"/>
        <w:rPr>
          <w:rFonts w:ascii="宋体" w:hAnsi="宋体" w:cs="宋体"/>
          <w:color w:val="auto"/>
          <w:sz w:val="24"/>
          <w:highlight w:val="none"/>
        </w:rPr>
      </w:pPr>
    </w:p>
    <w:p w14:paraId="0E369337">
      <w:pPr>
        <w:spacing w:line="360" w:lineRule="auto"/>
        <w:contextualSpacing/>
        <w:jc w:val="left"/>
        <w:rPr>
          <w:rFonts w:ascii="宋体" w:hAnsi="宋体" w:cs="宋体"/>
          <w:color w:val="auto"/>
          <w:sz w:val="24"/>
          <w:highlight w:val="none"/>
        </w:rPr>
      </w:pPr>
    </w:p>
    <w:p w14:paraId="66C67AA9">
      <w:pPr>
        <w:spacing w:line="360" w:lineRule="auto"/>
        <w:contextualSpacing/>
        <w:jc w:val="left"/>
        <w:rPr>
          <w:rFonts w:ascii="宋体" w:hAnsi="宋体" w:cs="宋体"/>
          <w:color w:val="auto"/>
          <w:sz w:val="24"/>
          <w:highlight w:val="none"/>
        </w:rPr>
      </w:pPr>
    </w:p>
    <w:p w14:paraId="5886E72E">
      <w:pPr>
        <w:spacing w:line="360" w:lineRule="auto"/>
        <w:contextualSpacing/>
        <w:jc w:val="left"/>
        <w:rPr>
          <w:rFonts w:ascii="宋体" w:hAnsi="宋体" w:cs="宋体"/>
          <w:color w:val="auto"/>
          <w:sz w:val="24"/>
          <w:highlight w:val="none"/>
        </w:rPr>
      </w:pPr>
    </w:p>
    <w:p w14:paraId="6070C2A0">
      <w:pPr>
        <w:spacing w:line="360" w:lineRule="auto"/>
        <w:contextualSpacing/>
        <w:jc w:val="left"/>
        <w:rPr>
          <w:rFonts w:ascii="宋体" w:hAnsi="宋体" w:cs="宋体"/>
          <w:color w:val="auto"/>
          <w:sz w:val="24"/>
          <w:highlight w:val="none"/>
        </w:rPr>
      </w:pPr>
    </w:p>
    <w:p w14:paraId="3F45480D">
      <w:pPr>
        <w:spacing w:line="360" w:lineRule="auto"/>
        <w:contextualSpacing/>
        <w:jc w:val="left"/>
        <w:rPr>
          <w:rFonts w:ascii="宋体" w:hAnsi="宋体" w:cs="宋体"/>
          <w:color w:val="auto"/>
          <w:sz w:val="24"/>
          <w:highlight w:val="none"/>
        </w:rPr>
      </w:pPr>
    </w:p>
    <w:p w14:paraId="771BF391">
      <w:pPr>
        <w:spacing w:line="360" w:lineRule="auto"/>
        <w:ind w:right="480" w:firstLine="3360" w:firstLineChars="1400"/>
        <w:contextualSpacing/>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72D5FF04">
      <w:pPr>
        <w:spacing w:line="360" w:lineRule="auto"/>
        <w:ind w:right="480" w:firstLine="3360" w:firstLineChars="1400"/>
        <w:contextualSpacing/>
        <w:rPr>
          <w:rFonts w:ascii="宋体" w:hAnsi="宋体" w:cs="宋体"/>
          <w:color w:val="auto"/>
          <w:sz w:val="24"/>
          <w:highlight w:val="non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p>
    <w:p w14:paraId="01E5243E">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14:paraId="42D0E05B">
      <w:pPr>
        <w:spacing w:line="320" w:lineRule="exact"/>
        <w:jc w:val="center"/>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竞标声明</w:t>
      </w:r>
    </w:p>
    <w:p w14:paraId="0531447B">
      <w:pPr>
        <w:spacing w:line="320" w:lineRule="exact"/>
        <w:jc w:val="center"/>
        <w:rPr>
          <w:rFonts w:ascii="宋体" w:hAnsi="宋体" w:cs="宋体"/>
          <w:color w:val="auto"/>
          <w:sz w:val="24"/>
          <w:szCs w:val="20"/>
          <w:highlight w:val="none"/>
        </w:rPr>
      </w:pPr>
    </w:p>
    <w:p w14:paraId="23513AB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09E75D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49FA5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4A305E9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D16073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685FE46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3F0B4B2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AA6BBE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86256C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508B13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663BF99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335D578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E0E0EB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BC30C7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56C902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608F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B2EF4A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F4CB6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479694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3C3751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A3203A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65DE78C">
      <w:pPr>
        <w:pStyle w:val="20"/>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40552146">
      <w:pPr>
        <w:pStyle w:val="20"/>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44337888">
      <w:pPr>
        <w:pStyle w:val="19"/>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09BACF0F">
      <w:pPr>
        <w:pStyle w:val="19"/>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1A6192D">
      <w:pPr>
        <w:pStyle w:val="19"/>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64D40812">
      <w:pPr>
        <w:pStyle w:val="19"/>
        <w:tabs>
          <w:tab w:val="left" w:pos="939"/>
        </w:tabs>
        <w:spacing w:line="360" w:lineRule="auto"/>
        <w:ind w:left="0" w:leftChars="0" w:firstLine="480" w:firstLineChars="200"/>
        <w:rPr>
          <w:rFonts w:ascii="宋体" w:hAnsi="宋体" w:cs="宋体"/>
          <w:color w:val="auto"/>
          <w:sz w:val="24"/>
          <w:highlight w:val="none"/>
        </w:rPr>
      </w:pPr>
    </w:p>
    <w:p w14:paraId="7A5ED705">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AB0E162">
      <w:pPr>
        <w:spacing w:line="360" w:lineRule="auto"/>
        <w:ind w:firstLine="4320" w:firstLineChars="1800"/>
        <w:contextualSpacing/>
        <w:rPr>
          <w:rFonts w:ascii="宋体" w:hAnsi="宋体" w:cs="宋体"/>
          <w:color w:val="auto"/>
          <w:sz w:val="24"/>
          <w:highlight w:val="none"/>
          <w:u w:val="singl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44EDAE8">
      <w:pPr>
        <w:spacing w:line="360" w:lineRule="auto"/>
        <w:ind w:right="480" w:firstLine="240" w:firstLineChars="10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2B8BD5BD">
      <w:pPr>
        <w:snapToGrid w:val="0"/>
        <w:spacing w:before="156" w:beforeLines="50" w:after="50" w:line="360" w:lineRule="auto"/>
        <w:ind w:right="480"/>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14:paraId="183B61D6">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14:paraId="5FF60839">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709FD047">
      <w:pPr>
        <w:snapToGrid w:val="0"/>
        <w:spacing w:before="156" w:beforeLines="50" w:after="50"/>
        <w:rPr>
          <w:rFonts w:ascii="宋体" w:hAnsi="宋体" w:cs="宋体"/>
          <w:color w:val="auto"/>
          <w:sz w:val="24"/>
          <w:szCs w:val="20"/>
          <w:highlight w:val="none"/>
        </w:rPr>
      </w:pPr>
    </w:p>
    <w:p w14:paraId="37E5D085">
      <w:pPr>
        <w:snapToGrid w:val="0"/>
        <w:spacing w:before="156" w:beforeLines="50" w:after="50"/>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2492D177">
      <w:pPr>
        <w:snapToGrid w:val="0"/>
        <w:spacing w:before="156"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  价  商  务  技  术  文  件</w:t>
      </w:r>
    </w:p>
    <w:p w14:paraId="3ACE73D5">
      <w:pPr>
        <w:snapToGrid w:val="0"/>
        <w:spacing w:before="156" w:beforeLines="50" w:after="50"/>
        <w:rPr>
          <w:rFonts w:ascii="宋体" w:hAnsi="宋体" w:cs="宋体"/>
          <w:bCs/>
          <w:color w:val="auto"/>
          <w:sz w:val="24"/>
          <w:szCs w:val="20"/>
          <w:highlight w:val="none"/>
        </w:rPr>
      </w:pPr>
    </w:p>
    <w:p w14:paraId="7A8056F4">
      <w:pPr>
        <w:snapToGrid w:val="0"/>
        <w:spacing w:before="156" w:beforeLines="50" w:after="50"/>
        <w:rPr>
          <w:rFonts w:ascii="宋体" w:hAnsi="宋体" w:cs="宋体"/>
          <w:bCs/>
          <w:color w:val="auto"/>
          <w:sz w:val="24"/>
          <w:szCs w:val="20"/>
          <w:highlight w:val="none"/>
        </w:rPr>
      </w:pPr>
    </w:p>
    <w:p w14:paraId="4D0684D2">
      <w:pPr>
        <w:snapToGrid w:val="0"/>
        <w:spacing w:before="156" w:beforeLines="50" w:after="50"/>
        <w:rPr>
          <w:rFonts w:ascii="宋体" w:hAnsi="宋体" w:cs="宋体"/>
          <w:bCs/>
          <w:color w:val="auto"/>
          <w:sz w:val="24"/>
          <w:szCs w:val="20"/>
          <w:highlight w:val="none"/>
        </w:rPr>
      </w:pPr>
    </w:p>
    <w:p w14:paraId="23F21344">
      <w:pPr>
        <w:snapToGrid w:val="0"/>
        <w:spacing w:before="156" w:beforeLines="50" w:after="50"/>
        <w:rPr>
          <w:rFonts w:ascii="宋体" w:hAnsi="宋体" w:cs="宋体"/>
          <w:bCs/>
          <w:color w:val="auto"/>
          <w:sz w:val="24"/>
          <w:szCs w:val="20"/>
          <w:highlight w:val="none"/>
        </w:rPr>
      </w:pPr>
    </w:p>
    <w:p w14:paraId="37990318">
      <w:pPr>
        <w:snapToGrid w:val="0"/>
        <w:spacing w:before="156" w:beforeLines="50" w:after="50"/>
        <w:rPr>
          <w:rFonts w:ascii="宋体" w:hAnsi="宋体" w:cs="宋体"/>
          <w:bCs/>
          <w:color w:val="auto"/>
          <w:sz w:val="24"/>
          <w:szCs w:val="20"/>
          <w:highlight w:val="none"/>
        </w:rPr>
      </w:pPr>
    </w:p>
    <w:p w14:paraId="468EE4DD">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77E192EC">
      <w:pPr>
        <w:snapToGrid w:val="0"/>
        <w:spacing w:before="156" w:beforeLines="50" w:after="50"/>
        <w:ind w:firstLine="720" w:firstLineChars="225"/>
        <w:rPr>
          <w:rFonts w:ascii="宋体" w:hAnsi="宋体" w:cs="宋体"/>
          <w:bCs/>
          <w:color w:val="auto"/>
          <w:sz w:val="32"/>
          <w:szCs w:val="32"/>
          <w:highlight w:val="none"/>
        </w:rPr>
      </w:pPr>
    </w:p>
    <w:p w14:paraId="72A120BB">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12ADC43B">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069A5C6E">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w:t>
      </w:r>
    </w:p>
    <w:p w14:paraId="604114D3">
      <w:pPr>
        <w:snapToGrid w:val="0"/>
        <w:spacing w:before="156" w:beforeLines="50" w:after="50"/>
        <w:ind w:firstLine="720" w:firstLineChars="225"/>
        <w:rPr>
          <w:rFonts w:ascii="宋体" w:hAnsi="宋体" w:cs="宋体"/>
          <w:bCs/>
          <w:color w:val="auto"/>
          <w:sz w:val="32"/>
          <w:szCs w:val="32"/>
          <w:highlight w:val="none"/>
        </w:rPr>
      </w:pPr>
    </w:p>
    <w:p w14:paraId="0A687FD0">
      <w:pPr>
        <w:pStyle w:val="7"/>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94EB713">
      <w:pPr>
        <w:pStyle w:val="7"/>
        <w:snapToGrid w:val="0"/>
        <w:spacing w:before="50" w:after="50"/>
        <w:ind w:firstLine="720" w:firstLineChars="225"/>
        <w:rPr>
          <w:rFonts w:ascii="宋体" w:hAnsi="宋体" w:cs="宋体"/>
          <w:bCs/>
          <w:color w:val="auto"/>
          <w:sz w:val="32"/>
          <w:szCs w:val="32"/>
          <w:highlight w:val="none"/>
        </w:rPr>
      </w:pPr>
    </w:p>
    <w:p w14:paraId="1461588B">
      <w:pPr>
        <w:pStyle w:val="7"/>
        <w:snapToGrid w:val="0"/>
        <w:spacing w:before="50" w:after="50"/>
        <w:ind w:firstLine="720" w:firstLineChars="225"/>
        <w:rPr>
          <w:rFonts w:ascii="宋体" w:hAnsi="宋体" w:cs="宋体"/>
          <w:bCs/>
          <w:color w:val="auto"/>
          <w:sz w:val="32"/>
          <w:szCs w:val="32"/>
          <w:highlight w:val="none"/>
        </w:rPr>
      </w:pPr>
    </w:p>
    <w:p w14:paraId="2FC41641">
      <w:pPr>
        <w:pStyle w:val="7"/>
        <w:snapToGrid w:val="0"/>
        <w:spacing w:before="50" w:after="50"/>
        <w:ind w:firstLine="1280" w:firstLineChars="400"/>
        <w:rPr>
          <w:rFonts w:ascii="宋体" w:hAnsi="宋体" w:cs="宋体"/>
          <w:bCs/>
          <w:color w:val="auto"/>
          <w:sz w:val="32"/>
          <w:szCs w:val="32"/>
          <w:highlight w:val="none"/>
        </w:rPr>
      </w:pPr>
    </w:p>
    <w:p w14:paraId="03C145E2">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F859E79">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14:paraId="6629779C">
      <w:pPr>
        <w:snapToGrid w:val="0"/>
        <w:spacing w:before="156" w:beforeLines="50" w:after="50"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39850714">
      <w:pPr>
        <w:spacing w:line="400" w:lineRule="exact"/>
        <w:rPr>
          <w:rFonts w:ascii="宋体" w:hAnsi="宋体" w:cs="宋体"/>
          <w:color w:val="auto"/>
          <w:sz w:val="32"/>
          <w:szCs w:val="32"/>
          <w:highlight w:val="none"/>
        </w:rPr>
      </w:pPr>
    </w:p>
    <w:p w14:paraId="05E19E3A">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14:paraId="55638A65">
      <w:pPr>
        <w:spacing w:line="360" w:lineRule="auto"/>
        <w:ind w:firstLine="640" w:firstLineChars="200"/>
        <w:contextualSpacing/>
        <w:rPr>
          <w:rFonts w:ascii="宋体" w:hAnsi="宋体" w:cs="宋体"/>
          <w:color w:val="auto"/>
          <w:sz w:val="32"/>
          <w:szCs w:val="32"/>
          <w:highlight w:val="none"/>
        </w:rPr>
      </w:pPr>
    </w:p>
    <w:p w14:paraId="40B49F5B">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79798DF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14:paraId="7915670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2263022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143968F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14:paraId="4C53227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1037896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186E8E32">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071031C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669A311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1B0E5A3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52178EA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4A2FC7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AEAD75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4D5B51B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53015248">
      <w:pPr>
        <w:spacing w:line="360" w:lineRule="auto"/>
        <w:ind w:firstLine="480" w:firstLineChars="200"/>
        <w:contextualSpacing/>
        <w:rPr>
          <w:rFonts w:ascii="宋体" w:hAnsi="宋体" w:cs="宋体"/>
          <w:color w:val="auto"/>
          <w:sz w:val="24"/>
          <w:highlight w:val="none"/>
        </w:rPr>
      </w:pPr>
    </w:p>
    <w:p w14:paraId="6DC96EAE">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69ECBF5C">
      <w:pPr>
        <w:spacing w:line="360" w:lineRule="auto"/>
        <w:contextualSpacing/>
        <w:rPr>
          <w:rFonts w:ascii="宋体" w:hAnsi="宋体" w:cs="宋体"/>
          <w:color w:val="auto"/>
          <w:sz w:val="24"/>
          <w:highlight w:val="none"/>
        </w:rPr>
      </w:pPr>
    </w:p>
    <w:p w14:paraId="35008035">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供应商（盖公章）：</w:t>
      </w:r>
    </w:p>
    <w:p w14:paraId="707A4A89">
      <w:pPr>
        <w:spacing w:line="360" w:lineRule="auto"/>
        <w:ind w:firstLine="480" w:firstLineChars="200"/>
        <w:contextualSpacing/>
        <w:jc w:val="center"/>
        <w:rPr>
          <w:rFonts w:ascii="宋体" w:hAnsi="宋体" w:cs="宋体"/>
          <w:color w:val="auto"/>
          <w:sz w:val="32"/>
          <w:szCs w:val="32"/>
          <w:highlight w:val="none"/>
        </w:rPr>
      </w:pPr>
      <w:r>
        <w:rPr>
          <w:rFonts w:hint="eastAsia" w:ascii="宋体" w:hAnsi="宋体" w:cs="宋体"/>
          <w:color w:val="auto"/>
          <w:sz w:val="24"/>
          <w:highlight w:val="none"/>
        </w:rPr>
        <w:t xml:space="preserve">                               年   月   日</w:t>
      </w:r>
    </w:p>
    <w:p w14:paraId="6F95E8B3">
      <w:pPr>
        <w:pStyle w:val="25"/>
        <w:tabs>
          <w:tab w:val="right" w:leader="dot" w:pos="8398"/>
        </w:tabs>
        <w:rPr>
          <w:color w:val="auto"/>
          <w:highlight w:val="none"/>
        </w:rPr>
      </w:pPr>
      <w:r>
        <w:rPr>
          <w:rFonts w:hint="eastAsia" w:ascii="宋体" w:hAnsi="宋体" w:cs="宋体"/>
          <w:bCs/>
          <w:color w:val="auto"/>
          <w:sz w:val="44"/>
          <w:szCs w:val="44"/>
          <w:highlight w:val="none"/>
        </w:rPr>
        <w:br w:type="page"/>
      </w:r>
    </w:p>
    <w:p w14:paraId="2EB936BC">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t>竞  标  报  价  表</w:t>
      </w:r>
    </w:p>
    <w:p w14:paraId="405700D9">
      <w:pPr>
        <w:spacing w:line="440" w:lineRule="exact"/>
        <w:jc w:val="center"/>
        <w:rPr>
          <w:rFonts w:ascii="宋体" w:hAnsi="宋体" w:cs="宋体"/>
          <w:bCs/>
          <w:color w:val="auto"/>
          <w:sz w:val="32"/>
          <w:szCs w:val="32"/>
          <w:highlight w:val="none"/>
        </w:rPr>
      </w:pPr>
    </w:p>
    <w:p w14:paraId="77C83799">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445FBA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F319D8E">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单位：元</w:t>
      </w:r>
    </w:p>
    <w:tbl>
      <w:tblPr>
        <w:tblStyle w:val="32"/>
        <w:tblW w:w="9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33"/>
        <w:gridCol w:w="1009"/>
        <w:gridCol w:w="767"/>
        <w:gridCol w:w="2044"/>
        <w:gridCol w:w="1303"/>
        <w:gridCol w:w="1327"/>
      </w:tblGrid>
      <w:tr w14:paraId="72FA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tcBorders>
              <w:top w:val="single" w:color="auto" w:sz="4" w:space="0"/>
              <w:left w:val="single" w:color="auto" w:sz="4" w:space="0"/>
              <w:bottom w:val="single" w:color="auto" w:sz="4" w:space="0"/>
              <w:right w:val="single" w:color="auto" w:sz="4" w:space="0"/>
            </w:tcBorders>
            <w:noWrap w:val="0"/>
            <w:vAlign w:val="center"/>
          </w:tcPr>
          <w:p w14:paraId="162F5989">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EE66549">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30735CAD">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1722C598">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单位</w:t>
            </w:r>
          </w:p>
        </w:tc>
        <w:tc>
          <w:tcPr>
            <w:tcW w:w="2044" w:type="dxa"/>
            <w:tcBorders>
              <w:top w:val="single" w:color="auto" w:sz="4" w:space="0"/>
              <w:left w:val="single" w:color="auto" w:sz="4" w:space="0"/>
              <w:bottom w:val="single" w:color="auto" w:sz="4" w:space="0"/>
              <w:right w:val="single" w:color="auto" w:sz="4" w:space="0"/>
            </w:tcBorders>
            <w:noWrap w:val="0"/>
            <w:vAlign w:val="center"/>
          </w:tcPr>
          <w:p w14:paraId="4C83C4B3">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单价</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74CE9F65">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总价</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5C8DA2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备注</w:t>
            </w:r>
          </w:p>
        </w:tc>
      </w:tr>
      <w:tr w14:paraId="6FFE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tcBorders>
              <w:top w:val="single" w:color="auto" w:sz="4" w:space="0"/>
              <w:left w:val="single" w:color="auto" w:sz="4" w:space="0"/>
              <w:bottom w:val="single" w:color="auto" w:sz="4" w:space="0"/>
              <w:right w:val="single" w:color="auto" w:sz="4" w:space="0"/>
            </w:tcBorders>
            <w:noWrap w:val="0"/>
            <w:vAlign w:val="center"/>
          </w:tcPr>
          <w:p w14:paraId="435FE7AF">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37BF11A">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多媒体教室运维服务</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190A7983">
            <w:pPr>
              <w:spacing w:line="360" w:lineRule="auto"/>
              <w:contextualSpacing/>
              <w:jc w:val="center"/>
              <w:rPr>
                <w:rFonts w:ascii="宋体" w:hAnsi="宋体" w:cs="宋体"/>
                <w:color w:val="auto"/>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top"/>
          </w:tcPr>
          <w:p w14:paraId="39D79F26">
            <w:pPr>
              <w:spacing w:line="360" w:lineRule="auto"/>
              <w:contextualSpacing/>
              <w:rPr>
                <w:rFonts w:ascii="宋体" w:hAnsi="宋体" w:cs="宋体"/>
                <w:color w:val="auto"/>
                <w:sz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top"/>
          </w:tcPr>
          <w:p w14:paraId="75F942EA">
            <w:pPr>
              <w:spacing w:line="360" w:lineRule="auto"/>
              <w:contextualSpacing/>
              <w:rPr>
                <w:rFonts w:ascii="宋体" w:hAnsi="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top"/>
          </w:tcPr>
          <w:p w14:paraId="3A290627">
            <w:pPr>
              <w:spacing w:line="360" w:lineRule="auto"/>
              <w:contextualSpacing/>
              <w:rPr>
                <w:rFonts w:ascii="宋体" w:hAnsi="宋体" w:cs="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8220ACE">
            <w:pPr>
              <w:spacing w:line="360" w:lineRule="auto"/>
              <w:contextualSpacing/>
              <w:rPr>
                <w:rFonts w:ascii="宋体" w:hAnsi="宋体" w:cs="宋体"/>
                <w:color w:val="auto"/>
                <w:sz w:val="24"/>
                <w:highlight w:val="none"/>
              </w:rPr>
            </w:pPr>
          </w:p>
        </w:tc>
      </w:tr>
      <w:tr w14:paraId="31CA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tcBorders>
              <w:top w:val="single" w:color="auto" w:sz="4" w:space="0"/>
              <w:left w:val="single" w:color="auto" w:sz="4" w:space="0"/>
              <w:bottom w:val="single" w:color="auto" w:sz="4" w:space="0"/>
              <w:right w:val="single" w:color="auto" w:sz="4" w:space="0"/>
            </w:tcBorders>
            <w:noWrap w:val="0"/>
            <w:vAlign w:val="center"/>
          </w:tcPr>
          <w:p w14:paraId="38DF1E6D">
            <w:pPr>
              <w:spacing w:line="360" w:lineRule="auto"/>
              <w:contextualSpacing/>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F760D2E">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二楼会商室运维服务</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23978787">
            <w:pPr>
              <w:spacing w:line="360" w:lineRule="auto"/>
              <w:contextualSpacing/>
              <w:jc w:val="center"/>
              <w:rPr>
                <w:rFonts w:ascii="宋体" w:hAnsi="宋体" w:cs="宋体"/>
                <w:color w:val="auto"/>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top"/>
          </w:tcPr>
          <w:p w14:paraId="4827ECA4">
            <w:pPr>
              <w:spacing w:line="360" w:lineRule="auto"/>
              <w:contextualSpacing/>
              <w:rPr>
                <w:rFonts w:ascii="宋体" w:hAnsi="宋体" w:cs="宋体"/>
                <w:color w:val="auto"/>
                <w:sz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top"/>
          </w:tcPr>
          <w:p w14:paraId="155E07F1">
            <w:pPr>
              <w:spacing w:line="360" w:lineRule="auto"/>
              <w:contextualSpacing/>
              <w:rPr>
                <w:rFonts w:ascii="宋体" w:hAnsi="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top"/>
          </w:tcPr>
          <w:p w14:paraId="7394B859">
            <w:pPr>
              <w:spacing w:line="360" w:lineRule="auto"/>
              <w:contextualSpacing/>
              <w:rPr>
                <w:rFonts w:ascii="宋体" w:hAnsi="宋体" w:cs="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4E91ABC">
            <w:pPr>
              <w:spacing w:line="360" w:lineRule="auto"/>
              <w:contextualSpacing/>
              <w:rPr>
                <w:rFonts w:ascii="宋体" w:hAnsi="宋体" w:cs="宋体"/>
                <w:color w:val="auto"/>
                <w:sz w:val="24"/>
                <w:highlight w:val="none"/>
              </w:rPr>
            </w:pPr>
          </w:p>
        </w:tc>
      </w:tr>
      <w:tr w14:paraId="66CB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tcBorders>
              <w:top w:val="single" w:color="auto" w:sz="4" w:space="0"/>
              <w:left w:val="single" w:color="auto" w:sz="4" w:space="0"/>
              <w:bottom w:val="single" w:color="auto" w:sz="4" w:space="0"/>
              <w:right w:val="single" w:color="auto" w:sz="4" w:space="0"/>
            </w:tcBorders>
            <w:noWrap w:val="0"/>
            <w:vAlign w:val="center"/>
          </w:tcPr>
          <w:p w14:paraId="53FDC880">
            <w:pPr>
              <w:spacing w:line="360" w:lineRule="auto"/>
              <w:contextualSpacing/>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6DDF2E5">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三楼会商室运维服务</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258AFE70">
            <w:pPr>
              <w:spacing w:line="360" w:lineRule="auto"/>
              <w:contextualSpacing/>
              <w:jc w:val="center"/>
              <w:rPr>
                <w:rFonts w:ascii="宋体" w:hAnsi="宋体" w:cs="宋体"/>
                <w:color w:val="auto"/>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top"/>
          </w:tcPr>
          <w:p w14:paraId="50F712AE">
            <w:pPr>
              <w:spacing w:line="360" w:lineRule="auto"/>
              <w:contextualSpacing/>
              <w:rPr>
                <w:rFonts w:ascii="宋体" w:hAnsi="宋体" w:cs="宋体"/>
                <w:color w:val="auto"/>
                <w:sz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top"/>
          </w:tcPr>
          <w:p w14:paraId="000ED0CD">
            <w:pPr>
              <w:spacing w:line="360" w:lineRule="auto"/>
              <w:contextualSpacing/>
              <w:rPr>
                <w:rFonts w:ascii="宋体" w:hAnsi="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top"/>
          </w:tcPr>
          <w:p w14:paraId="43E9ACD7">
            <w:pPr>
              <w:spacing w:line="360" w:lineRule="auto"/>
              <w:contextualSpacing/>
              <w:rPr>
                <w:rFonts w:ascii="宋体" w:hAnsi="宋体" w:cs="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EECB1E3">
            <w:pPr>
              <w:spacing w:line="360" w:lineRule="auto"/>
              <w:contextualSpacing/>
              <w:rPr>
                <w:rFonts w:ascii="宋体" w:hAnsi="宋体" w:cs="宋体"/>
                <w:color w:val="auto"/>
                <w:sz w:val="24"/>
                <w:highlight w:val="none"/>
              </w:rPr>
            </w:pPr>
          </w:p>
        </w:tc>
      </w:tr>
      <w:tr w14:paraId="4415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14:paraId="0730786E">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0ED4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14:paraId="372F5FF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合同履约期限：</w:t>
            </w:r>
          </w:p>
        </w:tc>
      </w:tr>
    </w:tbl>
    <w:p w14:paraId="7498CA16">
      <w:pPr>
        <w:spacing w:line="360" w:lineRule="auto"/>
        <w:contextualSpacing/>
        <w:jc w:val="left"/>
        <w:rPr>
          <w:rFonts w:ascii="宋体" w:hAnsi="宋体" w:cs="宋体"/>
          <w:color w:val="auto"/>
          <w:sz w:val="24"/>
          <w:highlight w:val="none"/>
        </w:rPr>
      </w:pPr>
    </w:p>
    <w:p w14:paraId="7F1B2F7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4F28344B">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1644C043">
      <w:pPr>
        <w:spacing w:line="360" w:lineRule="auto"/>
        <w:ind w:firstLine="480" w:firstLineChars="200"/>
        <w:contextualSpacing/>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7B1AED7B">
      <w:pPr>
        <w:spacing w:line="360" w:lineRule="auto"/>
        <w:ind w:right="-817" w:rightChars="-389"/>
        <w:contextualSpacing/>
        <w:rPr>
          <w:rFonts w:ascii="宋体" w:hAnsi="宋体" w:cs="宋体"/>
          <w:color w:val="auto"/>
          <w:sz w:val="24"/>
          <w:highlight w:val="none"/>
        </w:rPr>
      </w:pPr>
    </w:p>
    <w:p w14:paraId="6D4BC67F">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4151DDEF">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46A244E2">
      <w:pPr>
        <w:spacing w:line="360" w:lineRule="auto"/>
        <w:ind w:right="-817" w:rightChars="-389" w:firstLine="4080" w:firstLineChars="1700"/>
        <w:contextualSpacing/>
        <w:rPr>
          <w:rFonts w:ascii="宋体" w:hAnsi="宋体" w:cs="宋体"/>
          <w:b/>
          <w:color w:val="auto"/>
          <w:sz w:val="24"/>
          <w:highlight w:val="none"/>
        </w:rPr>
      </w:pPr>
      <w:r>
        <w:rPr>
          <w:rFonts w:hint="eastAsia" w:ascii="宋体" w:hAnsi="宋体" w:cs="宋体"/>
          <w:color w:val="auto"/>
          <w:sz w:val="24"/>
          <w:highlight w:val="none"/>
        </w:rPr>
        <w:t>日期：   年   月   日</w:t>
      </w:r>
    </w:p>
    <w:p w14:paraId="0A0DF1D5">
      <w:pPr>
        <w:spacing w:before="312" w:beforeLines="100" w:after="156" w:afterLines="50" w:line="520" w:lineRule="exact"/>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Cs/>
          <w:color w:val="auto"/>
          <w:sz w:val="44"/>
          <w:szCs w:val="44"/>
          <w:highlight w:val="none"/>
        </w:rPr>
        <w:t>法定代表人身份证明</w:t>
      </w:r>
    </w:p>
    <w:p w14:paraId="17517BFF">
      <w:pPr>
        <w:spacing w:line="360" w:lineRule="auto"/>
        <w:ind w:left="540"/>
        <w:contextualSpacing/>
        <w:rPr>
          <w:rFonts w:ascii="宋体" w:hAnsi="宋体" w:cs="宋体"/>
          <w:color w:val="auto"/>
          <w:sz w:val="32"/>
          <w:szCs w:val="32"/>
          <w:highlight w:val="none"/>
        </w:rPr>
      </w:pPr>
    </w:p>
    <w:p w14:paraId="51EA134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52CAD40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50DD0FE">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2CB40AA">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11DE44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9AF15A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72EC8CA2">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686A6A46">
      <w:pPr>
        <w:spacing w:line="360" w:lineRule="auto"/>
        <w:ind w:left="540"/>
        <w:contextualSpacing/>
        <w:rPr>
          <w:rFonts w:ascii="宋体" w:hAnsi="宋体" w:cs="宋体"/>
          <w:color w:val="auto"/>
          <w:sz w:val="24"/>
          <w:highlight w:val="none"/>
        </w:rPr>
      </w:pPr>
    </w:p>
    <w:p w14:paraId="7978285F">
      <w:pPr>
        <w:spacing w:line="360" w:lineRule="auto"/>
        <w:ind w:left="540"/>
        <w:contextualSpacing/>
        <w:rPr>
          <w:rFonts w:ascii="宋体" w:hAnsi="宋体" w:cs="宋体"/>
          <w:color w:val="auto"/>
          <w:sz w:val="24"/>
          <w:highlight w:val="none"/>
        </w:rPr>
      </w:pPr>
    </w:p>
    <w:p w14:paraId="452BDA59">
      <w:pPr>
        <w:spacing w:line="360" w:lineRule="auto"/>
        <w:ind w:left="540"/>
        <w:contextualSpacing/>
        <w:rPr>
          <w:rFonts w:ascii="宋体" w:hAnsi="宋体" w:cs="宋体"/>
          <w:color w:val="auto"/>
          <w:sz w:val="24"/>
          <w:highlight w:val="none"/>
        </w:rPr>
      </w:pPr>
    </w:p>
    <w:p w14:paraId="53FE5119">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E89A21E">
      <w:pPr>
        <w:spacing w:line="360" w:lineRule="auto"/>
        <w:ind w:left="540"/>
        <w:contextualSpacing/>
        <w:rPr>
          <w:rFonts w:ascii="宋体" w:hAnsi="宋体" w:cs="宋体"/>
          <w:color w:val="auto"/>
          <w:sz w:val="24"/>
          <w:highlight w:val="none"/>
        </w:rPr>
      </w:pPr>
    </w:p>
    <w:p w14:paraId="3079F0E2">
      <w:pPr>
        <w:spacing w:line="360" w:lineRule="auto"/>
        <w:ind w:left="54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供应商（盖公章）：</w:t>
      </w:r>
      <w:r>
        <w:rPr>
          <w:rFonts w:hint="eastAsia" w:ascii="宋体" w:hAnsi="宋体" w:cs="宋体"/>
          <w:color w:val="auto"/>
          <w:sz w:val="24"/>
          <w:highlight w:val="none"/>
          <w:u w:val="single"/>
        </w:rPr>
        <w:t xml:space="preserve">               </w:t>
      </w:r>
    </w:p>
    <w:p w14:paraId="2C3AF83C">
      <w:pPr>
        <w:spacing w:line="360" w:lineRule="auto"/>
        <w:contextualSpacing/>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845E148">
      <w:pPr>
        <w:spacing w:line="360" w:lineRule="auto"/>
        <w:contextualSpacing/>
        <w:jc w:val="center"/>
        <w:rPr>
          <w:rFonts w:ascii="宋体" w:hAnsi="宋体" w:cs="宋体"/>
          <w:b/>
          <w:color w:val="auto"/>
          <w:sz w:val="24"/>
          <w:highlight w:val="none"/>
        </w:rPr>
      </w:pPr>
    </w:p>
    <w:p w14:paraId="784E3D3A">
      <w:pPr>
        <w:spacing w:line="360" w:lineRule="auto"/>
        <w:contextualSpacing/>
        <w:jc w:val="left"/>
        <w:rPr>
          <w:rFonts w:ascii="宋体" w:hAnsi="宋体" w:cs="宋体"/>
          <w:color w:val="auto"/>
          <w:sz w:val="24"/>
          <w:highlight w:val="none"/>
        </w:rPr>
      </w:pPr>
    </w:p>
    <w:p w14:paraId="3555C51D">
      <w:pPr>
        <w:adjustRightInd w:val="0"/>
        <w:snapToGrid w:val="0"/>
        <w:spacing w:line="300" w:lineRule="auto"/>
        <w:jc w:val="left"/>
        <w:rPr>
          <w:rFonts w:ascii="宋体" w:hAnsi="宋体" w:cs="宋体"/>
          <w:b/>
          <w:color w:val="auto"/>
          <w:szCs w:val="21"/>
          <w:highlight w:val="none"/>
        </w:rPr>
      </w:pPr>
    </w:p>
    <w:p w14:paraId="52DAD26B">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 xml:space="preserve"> </w:t>
      </w:r>
    </w:p>
    <w:p w14:paraId="50AC7E74">
      <w:pPr>
        <w:spacing w:line="520" w:lineRule="exact"/>
        <w:jc w:val="center"/>
        <w:rPr>
          <w:rFonts w:ascii="宋体" w:hAnsi="宋体" w:cs="宋体"/>
          <w:color w:val="auto"/>
          <w:sz w:val="44"/>
          <w:szCs w:val="44"/>
          <w:highlight w:val="none"/>
        </w:rPr>
      </w:pPr>
      <w:bookmarkStart w:id="51" w:name="_Hlk65853643"/>
      <w:r>
        <w:rPr>
          <w:rFonts w:hint="eastAsia" w:ascii="宋体" w:hAnsi="宋体" w:cs="宋体"/>
          <w:color w:val="auto"/>
          <w:sz w:val="44"/>
          <w:szCs w:val="44"/>
          <w:highlight w:val="none"/>
        </w:rPr>
        <w:t>授权委托书</w:t>
      </w:r>
    </w:p>
    <w:p w14:paraId="0969AB75">
      <w:pPr>
        <w:spacing w:line="52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14:paraId="1D5E5D49">
      <w:pPr>
        <w:spacing w:line="520" w:lineRule="exact"/>
        <w:rPr>
          <w:rFonts w:ascii="宋体" w:hAnsi="宋体" w:cs="宋体"/>
          <w:color w:val="auto"/>
          <w:sz w:val="32"/>
          <w:szCs w:val="32"/>
          <w:highlight w:val="none"/>
        </w:rPr>
      </w:pPr>
    </w:p>
    <w:p w14:paraId="05C6C986">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D5E16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4CD09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784601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2D472B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4B9AA4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7C501356">
      <w:pPr>
        <w:spacing w:line="360" w:lineRule="auto"/>
        <w:rPr>
          <w:rFonts w:ascii="宋体" w:hAnsi="宋体" w:cs="宋体"/>
          <w:color w:val="auto"/>
          <w:sz w:val="24"/>
          <w:highlight w:val="none"/>
        </w:rPr>
      </w:pPr>
    </w:p>
    <w:p w14:paraId="0AD9AC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法定代表人（签字或者盖章）：                    </w:t>
      </w:r>
    </w:p>
    <w:p w14:paraId="39D6FA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548B50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70736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供应商（盖公章）：                      </w:t>
      </w:r>
    </w:p>
    <w:p w14:paraId="4A257F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2C041FFB">
      <w:pPr>
        <w:spacing w:line="360" w:lineRule="auto"/>
        <w:rPr>
          <w:rFonts w:ascii="宋体" w:hAnsi="宋体" w:cs="宋体"/>
          <w:color w:val="auto"/>
          <w:sz w:val="24"/>
          <w:highlight w:val="none"/>
        </w:rPr>
      </w:pPr>
    </w:p>
    <w:p w14:paraId="702CC944">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14:paraId="5E44C05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bookmarkStart w:id="52" w:name="_Hlk65853109"/>
      <w:bookmarkStart w:id="53" w:name="_Hlk65853542"/>
      <w:r>
        <w:rPr>
          <w:rFonts w:hint="eastAsia" w:ascii="宋体" w:hAnsi="宋体" w:cs="宋体"/>
          <w:color w:val="auto"/>
          <w:sz w:val="24"/>
          <w:highlight w:val="none"/>
        </w:rPr>
        <w:t>法人、其他组织竞标时“我方”是指“我单位”，自然人竞标时“我方”是指“本人”。</w:t>
      </w:r>
      <w:bookmarkEnd w:id="52"/>
    </w:p>
    <w:bookmarkEnd w:id="53"/>
    <w:p w14:paraId="668B6631">
      <w:pPr>
        <w:spacing w:line="360" w:lineRule="auto"/>
        <w:ind w:firstLine="420" w:firstLineChars="200"/>
        <w:jc w:val="left"/>
        <w:rPr>
          <w:rFonts w:ascii="宋体" w:hAnsi="宋体" w:cs="宋体"/>
          <w:color w:val="auto"/>
          <w:szCs w:val="21"/>
          <w:highlight w:val="none"/>
        </w:rPr>
      </w:pPr>
    </w:p>
    <w:bookmarkEnd w:id="51"/>
    <w:p w14:paraId="7BB8E734">
      <w:pP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5B55F624">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商务要求偏离表</w:t>
      </w:r>
    </w:p>
    <w:p w14:paraId="1C357ADD">
      <w:pPr>
        <w:spacing w:line="360" w:lineRule="auto"/>
        <w:contextualSpacing/>
        <w:jc w:val="left"/>
        <w:rPr>
          <w:rFonts w:ascii="宋体" w:hAnsi="宋体" w:cs="宋体"/>
          <w:color w:val="auto"/>
          <w:sz w:val="24"/>
          <w:highlight w:val="none"/>
        </w:rPr>
      </w:pPr>
    </w:p>
    <w:p w14:paraId="553EE97C">
      <w:pPr>
        <w:spacing w:line="360" w:lineRule="auto"/>
        <w:contextualSpacing/>
        <w:jc w:val="left"/>
        <w:rPr>
          <w:rFonts w:ascii="宋体" w:hAnsi="宋体" w:cs="宋体"/>
          <w:color w:val="auto"/>
          <w:sz w:val="24"/>
          <w:highlight w:val="none"/>
          <w:u w:val="single"/>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2E35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2C45B8C">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D6CF5A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B76A514">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561D90A8">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19103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0E1D998">
            <w:pPr>
              <w:jc w:val="center"/>
              <w:rPr>
                <w:rFonts w:ascii="宋体" w:hAnsi="宋体" w:cs="宋体"/>
                <w:color w:val="auto"/>
                <w:sz w:val="24"/>
                <w:highlight w:val="none"/>
              </w:rPr>
            </w:pPr>
            <w:r>
              <w:rPr>
                <w:rFonts w:hint="eastAsia" w:ascii="宋体" w:hAnsi="宋体" w:cs="宋体"/>
                <w:bCs/>
                <w:color w:val="auto"/>
                <w:sz w:val="24"/>
                <w:highlight w:val="none"/>
              </w:rPr>
              <w:t>磋商报价要求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24BE1EA">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78787A3">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AFA87A0">
            <w:pPr>
              <w:spacing w:line="360" w:lineRule="auto"/>
              <w:contextualSpacing/>
              <w:jc w:val="center"/>
              <w:rPr>
                <w:rFonts w:ascii="宋体" w:hAnsi="宋体" w:cs="宋体"/>
                <w:color w:val="auto"/>
                <w:sz w:val="24"/>
                <w:highlight w:val="none"/>
              </w:rPr>
            </w:pPr>
          </w:p>
        </w:tc>
      </w:tr>
      <w:tr w14:paraId="1BC1C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F9E1D21">
            <w:pPr>
              <w:jc w:val="center"/>
              <w:rPr>
                <w:rFonts w:ascii="宋体" w:hAnsi="宋体" w:cs="宋体"/>
                <w:color w:val="auto"/>
                <w:sz w:val="24"/>
                <w:highlight w:val="none"/>
              </w:rPr>
            </w:pPr>
            <w:r>
              <w:rPr>
                <w:rFonts w:hint="eastAsia" w:ascii="宋体" w:hAnsi="宋体" w:cs="宋体"/>
                <w:color w:val="auto"/>
                <w:sz w:val="24"/>
                <w:highlight w:val="none"/>
              </w:rPr>
              <w:t>合同履约期限</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1B8BCFE">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E561685">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70EF82D">
            <w:pPr>
              <w:spacing w:line="360" w:lineRule="auto"/>
              <w:ind w:left="43"/>
              <w:contextualSpacing/>
              <w:jc w:val="center"/>
              <w:rPr>
                <w:rFonts w:ascii="宋体" w:hAnsi="宋体" w:cs="宋体"/>
                <w:color w:val="auto"/>
                <w:sz w:val="24"/>
                <w:highlight w:val="none"/>
              </w:rPr>
            </w:pPr>
          </w:p>
        </w:tc>
      </w:tr>
      <w:tr w14:paraId="7CCE9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686E68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DB27585">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DA4D775">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FFA7FF5">
            <w:pPr>
              <w:spacing w:line="360" w:lineRule="auto"/>
              <w:contextualSpacing/>
              <w:jc w:val="center"/>
              <w:rPr>
                <w:rFonts w:ascii="宋体" w:hAnsi="宋体" w:cs="宋体"/>
                <w:color w:val="auto"/>
                <w:sz w:val="24"/>
                <w:highlight w:val="none"/>
              </w:rPr>
            </w:pPr>
          </w:p>
        </w:tc>
      </w:tr>
      <w:tr w14:paraId="718E8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3DB1F8D2">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0CC4458">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4CD124B">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086D5E1">
            <w:pPr>
              <w:spacing w:line="360" w:lineRule="auto"/>
              <w:contextualSpacing/>
              <w:jc w:val="center"/>
              <w:rPr>
                <w:rFonts w:ascii="宋体" w:hAnsi="宋体" w:cs="宋体"/>
                <w:color w:val="auto"/>
                <w:sz w:val="24"/>
                <w:highlight w:val="none"/>
              </w:rPr>
            </w:pPr>
          </w:p>
        </w:tc>
      </w:tr>
    </w:tbl>
    <w:p w14:paraId="4A67A275">
      <w:pPr>
        <w:pStyle w:val="14"/>
        <w:spacing w:after="0" w:line="360" w:lineRule="auto"/>
        <w:contextualSpacing/>
        <w:rPr>
          <w:rFonts w:ascii="宋体" w:hAnsi="宋体" w:cs="宋体"/>
          <w:color w:val="auto"/>
          <w:kern w:val="0"/>
          <w:sz w:val="24"/>
          <w:szCs w:val="24"/>
          <w:highlight w:val="none"/>
        </w:rPr>
      </w:pPr>
    </w:p>
    <w:p w14:paraId="16DE8FA6">
      <w:pPr>
        <w:pStyle w:val="14"/>
        <w:spacing w:after="0" w:line="360" w:lineRule="auto"/>
        <w:ind w:firstLine="240" w:firstLineChars="100"/>
        <w:contextualSpacing/>
        <w:rPr>
          <w:rFonts w:hint="eastAsia" w:ascii="宋体" w:hAnsi="宋体" w:cs="宋体"/>
          <w:color w:val="auto"/>
          <w:kern w:val="0"/>
          <w:sz w:val="24"/>
          <w:szCs w:val="24"/>
          <w:highlight w:val="none"/>
        </w:rPr>
      </w:pPr>
    </w:p>
    <w:p w14:paraId="3DD29574">
      <w:pPr>
        <w:pStyle w:val="14"/>
        <w:spacing w:after="0" w:line="360" w:lineRule="auto"/>
        <w:ind w:firstLine="240" w:firstLineChars="100"/>
        <w:contextualSpacing/>
        <w:rPr>
          <w:rFonts w:hint="eastAsia" w:ascii="宋体" w:hAnsi="宋体" w:cs="宋体"/>
          <w:color w:val="auto"/>
          <w:kern w:val="0"/>
          <w:sz w:val="24"/>
          <w:szCs w:val="24"/>
          <w:highlight w:val="none"/>
        </w:rPr>
      </w:pPr>
    </w:p>
    <w:p w14:paraId="6A2FE1F0">
      <w:pPr>
        <w:pStyle w:val="14"/>
        <w:spacing w:after="0" w:line="360" w:lineRule="auto"/>
        <w:ind w:firstLine="240" w:firstLineChars="100"/>
        <w:contextualSpacing/>
        <w:rPr>
          <w:rFonts w:hint="eastAsia" w:ascii="宋体" w:hAnsi="宋体" w:cs="宋体"/>
          <w:color w:val="auto"/>
          <w:kern w:val="0"/>
          <w:sz w:val="24"/>
          <w:szCs w:val="24"/>
          <w:highlight w:val="none"/>
        </w:rPr>
      </w:pPr>
    </w:p>
    <w:p w14:paraId="729408D2">
      <w:pPr>
        <w:pStyle w:val="14"/>
        <w:spacing w:after="0" w:line="360" w:lineRule="auto"/>
        <w:ind w:firstLine="240" w:firstLineChars="100"/>
        <w:contextualSpacing/>
        <w:rPr>
          <w:rFonts w:hint="eastAsia" w:ascii="宋体" w:hAnsi="宋体" w:cs="宋体"/>
          <w:color w:val="auto"/>
          <w:kern w:val="0"/>
          <w:sz w:val="24"/>
          <w:szCs w:val="24"/>
          <w:highlight w:val="none"/>
        </w:rPr>
      </w:pPr>
    </w:p>
    <w:p w14:paraId="52CCF00B">
      <w:pPr>
        <w:pStyle w:val="14"/>
        <w:spacing w:after="0" w:line="360" w:lineRule="auto"/>
        <w:ind w:firstLine="240" w:firstLineChars="100"/>
        <w:contextualSpacing/>
        <w:rPr>
          <w:rFonts w:hint="eastAsia" w:ascii="宋体" w:hAnsi="宋体" w:cs="宋体"/>
          <w:color w:val="auto"/>
          <w:kern w:val="0"/>
          <w:sz w:val="24"/>
          <w:szCs w:val="24"/>
          <w:highlight w:val="none"/>
        </w:rPr>
      </w:pPr>
    </w:p>
    <w:p w14:paraId="1953526C">
      <w:pPr>
        <w:pStyle w:val="14"/>
        <w:spacing w:after="0" w:line="360" w:lineRule="auto"/>
        <w:ind w:firstLine="240" w:firstLineChars="100"/>
        <w:contextualSpacing/>
        <w:rPr>
          <w:rFonts w:hint="eastAsia" w:ascii="宋体" w:hAnsi="宋体" w:cs="宋体"/>
          <w:color w:val="auto"/>
          <w:kern w:val="0"/>
          <w:sz w:val="24"/>
          <w:szCs w:val="24"/>
          <w:highlight w:val="none"/>
        </w:rPr>
      </w:pPr>
    </w:p>
    <w:p w14:paraId="1B1792E6">
      <w:pPr>
        <w:pStyle w:val="14"/>
        <w:spacing w:after="0" w:line="360" w:lineRule="auto"/>
        <w:ind w:firstLine="240" w:firstLineChars="1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349E55CE">
      <w:pPr>
        <w:pStyle w:val="14"/>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说明：应对照磋商文件“第三章 采购需求”中的商务要求逐条作出明确响应，并作出偏离说明。</w:t>
      </w:r>
    </w:p>
    <w:p w14:paraId="07D5B7CD">
      <w:pPr>
        <w:spacing w:line="360" w:lineRule="auto"/>
        <w:contextualSpacing/>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14:paraId="243D0CD5">
      <w:pPr>
        <w:spacing w:line="360" w:lineRule="auto"/>
        <w:ind w:right="-817" w:rightChars="-389"/>
        <w:contextualSpacing/>
        <w:rPr>
          <w:rFonts w:ascii="宋体" w:hAnsi="宋体" w:cs="宋体"/>
          <w:color w:val="auto"/>
          <w:sz w:val="24"/>
          <w:highlight w:val="none"/>
        </w:rPr>
      </w:pPr>
    </w:p>
    <w:p w14:paraId="1D1FE3DE">
      <w:pPr>
        <w:spacing w:line="360" w:lineRule="auto"/>
        <w:ind w:right="-817" w:rightChars="-389" w:firstLine="4800" w:firstLineChars="20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45F218B3">
      <w:pPr>
        <w:spacing w:line="360" w:lineRule="auto"/>
        <w:ind w:right="-817" w:rightChars="-389" w:firstLine="4800" w:firstLineChars="20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066D3380">
      <w:pPr>
        <w:spacing w:line="360" w:lineRule="auto"/>
        <w:ind w:right="-817" w:rightChars="-389" w:firstLine="4800" w:firstLineChars="2000"/>
        <w:contextualSpacing/>
        <w:rPr>
          <w:rFonts w:ascii="宋体" w:hAnsi="宋体" w:cs="宋体"/>
          <w:b/>
          <w:color w:val="auto"/>
          <w:sz w:val="32"/>
          <w:szCs w:val="32"/>
          <w:highlight w:val="none"/>
        </w:rPr>
      </w:pPr>
      <w:r>
        <w:rPr>
          <w:rFonts w:hint="eastAsia" w:ascii="宋体" w:hAnsi="宋体" w:cs="宋体"/>
          <w:color w:val="auto"/>
          <w:sz w:val="24"/>
          <w:highlight w:val="none"/>
        </w:rPr>
        <w:t>日期：   年   月   日</w:t>
      </w:r>
    </w:p>
    <w:p w14:paraId="60E3DA52">
      <w:pPr>
        <w:adjustRightInd w:val="0"/>
        <w:snapToGrid w:val="0"/>
        <w:spacing w:line="520" w:lineRule="exact"/>
        <w:ind w:firstLine="7040" w:firstLineChars="1600"/>
        <w:jc w:val="center"/>
        <w:rPr>
          <w:rFonts w:ascii="宋体" w:hAnsi="宋体" w:cs="宋体"/>
          <w:bCs/>
          <w:color w:val="auto"/>
          <w:sz w:val="44"/>
          <w:szCs w:val="44"/>
          <w:highlight w:val="none"/>
        </w:rPr>
      </w:pPr>
    </w:p>
    <w:p w14:paraId="09B9D429">
      <w:pPr>
        <w:adjustRightInd w:val="0"/>
        <w:snapToGrid w:val="0"/>
        <w:spacing w:line="520" w:lineRule="exact"/>
        <w:ind w:firstLine="7040" w:firstLineChars="1600"/>
        <w:jc w:val="center"/>
        <w:rPr>
          <w:rFonts w:ascii="宋体" w:hAnsi="宋体" w:cs="宋体"/>
          <w:bCs/>
          <w:color w:val="auto"/>
          <w:sz w:val="44"/>
          <w:szCs w:val="44"/>
          <w:highlight w:val="none"/>
        </w:rPr>
      </w:pPr>
    </w:p>
    <w:p w14:paraId="5E923624">
      <w:pPr>
        <w:adjustRightInd w:val="0"/>
        <w:snapToGrid w:val="0"/>
        <w:spacing w:line="520" w:lineRule="exact"/>
        <w:ind w:firstLine="7040" w:firstLineChars="1600"/>
        <w:jc w:val="center"/>
        <w:rPr>
          <w:rFonts w:ascii="宋体" w:hAnsi="宋体" w:cs="宋体"/>
          <w:bCs/>
          <w:color w:val="auto"/>
          <w:sz w:val="44"/>
          <w:szCs w:val="44"/>
          <w:highlight w:val="none"/>
        </w:rPr>
      </w:pPr>
    </w:p>
    <w:p w14:paraId="4CB38802">
      <w:pPr>
        <w:adjustRightInd w:val="0"/>
        <w:snapToGrid w:val="0"/>
        <w:spacing w:line="520" w:lineRule="exact"/>
        <w:ind w:firstLine="7040" w:firstLineChars="1600"/>
        <w:jc w:val="center"/>
        <w:rPr>
          <w:rFonts w:ascii="宋体" w:hAnsi="宋体" w:cs="宋体"/>
          <w:bCs/>
          <w:color w:val="auto"/>
          <w:sz w:val="44"/>
          <w:szCs w:val="44"/>
          <w:highlight w:val="none"/>
        </w:rPr>
      </w:pPr>
    </w:p>
    <w:p w14:paraId="6CDC4BB2">
      <w:pPr>
        <w:adjustRightInd w:val="0"/>
        <w:snapToGrid w:val="0"/>
        <w:spacing w:line="30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rPr>
        <w:t>技术要求偏离表</w:t>
      </w:r>
    </w:p>
    <w:p w14:paraId="37FA0976">
      <w:pPr>
        <w:spacing w:line="520" w:lineRule="exact"/>
        <w:rPr>
          <w:rFonts w:ascii="宋体" w:hAnsi="宋体" w:cs="宋体"/>
          <w:color w:val="auto"/>
          <w:sz w:val="32"/>
          <w:szCs w:val="32"/>
          <w:highlight w:val="none"/>
        </w:rPr>
      </w:pPr>
    </w:p>
    <w:p w14:paraId="2020AD3A">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083E8C0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4"/>
        <w:gridCol w:w="1014"/>
        <w:gridCol w:w="3368"/>
        <w:gridCol w:w="3031"/>
        <w:gridCol w:w="1655"/>
      </w:tblGrid>
      <w:tr w14:paraId="3AA2D4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56860C7">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54" w:name="_Toc254970729"/>
            <w:bookmarkStart w:id="55" w:name="_Toc173066401"/>
            <w:bookmarkStart w:id="56" w:name="_Toc254970588"/>
            <w:bookmarkStart w:id="57" w:name="_Toc295404981"/>
            <w:bookmarkStart w:id="58" w:name="_Toc373333689"/>
            <w:bookmarkStart w:id="59" w:name="_Toc297193185"/>
            <w:bookmarkStart w:id="60" w:name="_Toc383699906"/>
            <w:bookmarkStart w:id="61" w:name="_Toc301781611"/>
            <w:bookmarkStart w:id="62" w:name="_Toc173211900"/>
            <w:r>
              <w:rPr>
                <w:rFonts w:hint="eastAsia" w:ascii="宋体" w:hAnsi="宋体" w:eastAsia="宋体" w:cs="宋体"/>
                <w:color w:val="auto"/>
                <w:kern w:val="2"/>
                <w:sz w:val="24"/>
                <w:szCs w:val="24"/>
                <w:highlight w:val="none"/>
              </w:rPr>
              <w:t>序号</w:t>
            </w:r>
            <w:bookmarkEnd w:id="54"/>
            <w:bookmarkEnd w:id="55"/>
            <w:bookmarkEnd w:id="56"/>
            <w:bookmarkEnd w:id="57"/>
            <w:bookmarkEnd w:id="58"/>
            <w:bookmarkEnd w:id="59"/>
            <w:bookmarkEnd w:id="60"/>
            <w:bookmarkEnd w:id="61"/>
            <w:bookmarkEnd w:id="62"/>
          </w:p>
        </w:tc>
        <w:tc>
          <w:tcPr>
            <w:tcW w:w="503" w:type="pct"/>
            <w:tcBorders>
              <w:right w:val="single" w:color="auto" w:sz="4" w:space="0"/>
            </w:tcBorders>
            <w:noWrap w:val="0"/>
            <w:vAlign w:val="center"/>
          </w:tcPr>
          <w:p w14:paraId="2C566CE3">
            <w:pPr>
              <w:pStyle w:val="18"/>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670" w:type="pct"/>
            <w:tcBorders>
              <w:left w:val="single" w:color="auto" w:sz="4" w:space="0"/>
            </w:tcBorders>
            <w:noWrap w:val="0"/>
            <w:vAlign w:val="center"/>
          </w:tcPr>
          <w:p w14:paraId="22FE5427">
            <w:pPr>
              <w:pStyle w:val="18"/>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1503" w:type="pct"/>
            <w:noWrap w:val="0"/>
            <w:vAlign w:val="center"/>
          </w:tcPr>
          <w:p w14:paraId="6002F3F8">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63" w:name="_Toc373333691"/>
            <w:bookmarkStart w:id="64" w:name="_Toc295404983"/>
            <w:bookmarkStart w:id="65" w:name="_Toc301781613"/>
            <w:bookmarkStart w:id="66" w:name="_Toc173211902"/>
            <w:bookmarkStart w:id="67" w:name="_Toc383699908"/>
            <w:bookmarkStart w:id="68" w:name="_Toc297193187"/>
            <w:bookmarkStart w:id="69" w:name="_Toc254970590"/>
            <w:bookmarkStart w:id="70" w:name="_Toc173066403"/>
            <w:bookmarkStart w:id="71" w:name="_Toc254970731"/>
            <w:r>
              <w:rPr>
                <w:rFonts w:hint="eastAsia" w:ascii="宋体" w:hAnsi="宋体" w:eastAsia="宋体" w:cs="宋体"/>
                <w:color w:val="auto"/>
                <w:kern w:val="2"/>
                <w:sz w:val="24"/>
                <w:szCs w:val="24"/>
                <w:highlight w:val="none"/>
              </w:rPr>
              <w:t>竞标响应</w:t>
            </w:r>
            <w:bookmarkEnd w:id="63"/>
            <w:bookmarkEnd w:id="64"/>
            <w:bookmarkEnd w:id="65"/>
            <w:bookmarkEnd w:id="66"/>
            <w:bookmarkEnd w:id="67"/>
            <w:bookmarkEnd w:id="68"/>
            <w:bookmarkEnd w:id="69"/>
            <w:bookmarkEnd w:id="70"/>
            <w:bookmarkEnd w:id="71"/>
          </w:p>
        </w:tc>
        <w:tc>
          <w:tcPr>
            <w:tcW w:w="820" w:type="pct"/>
            <w:noWrap w:val="0"/>
            <w:vAlign w:val="center"/>
          </w:tcPr>
          <w:p w14:paraId="0D72DB09">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72" w:name="_Toc297193188"/>
            <w:bookmarkStart w:id="73" w:name="_Toc254970732"/>
            <w:bookmarkStart w:id="74" w:name="_Toc383699909"/>
            <w:bookmarkStart w:id="75" w:name="_Toc301781614"/>
            <w:bookmarkStart w:id="76" w:name="_Toc254970591"/>
            <w:bookmarkStart w:id="77" w:name="_Toc173066404"/>
            <w:bookmarkStart w:id="78" w:name="_Toc373333692"/>
            <w:bookmarkStart w:id="79" w:name="_Toc295404984"/>
            <w:bookmarkStart w:id="80" w:name="_Toc173211903"/>
            <w:r>
              <w:rPr>
                <w:rFonts w:hint="eastAsia" w:ascii="宋体" w:hAnsi="宋体" w:eastAsia="宋体" w:cs="宋体"/>
                <w:color w:val="auto"/>
                <w:kern w:val="2"/>
                <w:sz w:val="24"/>
                <w:szCs w:val="24"/>
                <w:highlight w:val="none"/>
              </w:rPr>
              <w:t>偏离</w:t>
            </w:r>
            <w:bookmarkEnd w:id="72"/>
            <w:bookmarkEnd w:id="73"/>
            <w:bookmarkEnd w:id="74"/>
            <w:bookmarkEnd w:id="75"/>
            <w:bookmarkEnd w:id="76"/>
            <w:bookmarkEnd w:id="77"/>
            <w:bookmarkEnd w:id="78"/>
            <w:bookmarkEnd w:id="79"/>
            <w:bookmarkEnd w:id="80"/>
            <w:bookmarkStart w:id="81" w:name="_Toc173211904"/>
            <w:bookmarkStart w:id="82" w:name="_Toc295404985"/>
            <w:bookmarkStart w:id="83" w:name="_Toc301781615"/>
            <w:bookmarkStart w:id="84" w:name="_Toc373333693"/>
            <w:bookmarkStart w:id="85" w:name="_Toc383699910"/>
            <w:bookmarkStart w:id="86" w:name="_Toc254970733"/>
            <w:bookmarkStart w:id="87" w:name="_Toc254970592"/>
            <w:bookmarkStart w:id="88" w:name="_Toc173066405"/>
            <w:bookmarkStart w:id="89" w:name="_Toc297193189"/>
            <w:r>
              <w:rPr>
                <w:rFonts w:hint="eastAsia" w:ascii="宋体" w:hAnsi="宋体" w:eastAsia="宋体" w:cs="宋体"/>
                <w:color w:val="auto"/>
                <w:kern w:val="2"/>
                <w:sz w:val="24"/>
                <w:szCs w:val="24"/>
                <w:highlight w:val="none"/>
              </w:rPr>
              <w:t>说明</w:t>
            </w:r>
            <w:bookmarkEnd w:id="81"/>
            <w:bookmarkEnd w:id="82"/>
            <w:bookmarkEnd w:id="83"/>
            <w:bookmarkEnd w:id="84"/>
            <w:bookmarkEnd w:id="85"/>
            <w:bookmarkEnd w:id="86"/>
            <w:bookmarkEnd w:id="87"/>
            <w:bookmarkEnd w:id="88"/>
            <w:bookmarkEnd w:id="89"/>
          </w:p>
        </w:tc>
      </w:tr>
      <w:tr w14:paraId="7FB38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289034E">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90" w:name="_Toc254970593"/>
            <w:bookmarkStart w:id="91" w:name="_Toc295404986"/>
            <w:bookmarkStart w:id="92" w:name="_Toc301781616"/>
            <w:bookmarkStart w:id="93" w:name="_Toc373333694"/>
            <w:bookmarkStart w:id="94" w:name="_Toc173066406"/>
            <w:bookmarkStart w:id="95" w:name="_Toc297193190"/>
            <w:bookmarkStart w:id="96" w:name="_Toc254970734"/>
            <w:bookmarkStart w:id="97" w:name="_Toc383699911"/>
            <w:bookmarkStart w:id="98" w:name="_Toc173211905"/>
            <w:r>
              <w:rPr>
                <w:rFonts w:hint="eastAsia" w:ascii="宋体" w:hAnsi="宋体" w:eastAsia="宋体" w:cs="宋体"/>
                <w:color w:val="auto"/>
                <w:kern w:val="2"/>
                <w:sz w:val="24"/>
                <w:szCs w:val="24"/>
                <w:highlight w:val="none"/>
              </w:rPr>
              <w:t>1</w:t>
            </w:r>
            <w:bookmarkEnd w:id="90"/>
            <w:bookmarkEnd w:id="91"/>
            <w:bookmarkEnd w:id="92"/>
            <w:bookmarkEnd w:id="93"/>
            <w:bookmarkEnd w:id="94"/>
            <w:bookmarkEnd w:id="95"/>
            <w:bookmarkEnd w:id="96"/>
            <w:bookmarkEnd w:id="97"/>
            <w:bookmarkEnd w:id="98"/>
          </w:p>
        </w:tc>
        <w:tc>
          <w:tcPr>
            <w:tcW w:w="503" w:type="pct"/>
            <w:tcBorders>
              <w:right w:val="single" w:color="auto" w:sz="4" w:space="0"/>
            </w:tcBorders>
            <w:noWrap w:val="0"/>
            <w:vAlign w:val="center"/>
          </w:tcPr>
          <w:p w14:paraId="3778EC45">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noWrap w:val="0"/>
            <w:vAlign w:val="center"/>
          </w:tcPr>
          <w:p w14:paraId="2B7BEDDD">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noWrap w:val="0"/>
            <w:vAlign w:val="center"/>
          </w:tcPr>
          <w:p w14:paraId="18CFBF2B">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noWrap w:val="0"/>
            <w:vAlign w:val="center"/>
          </w:tcPr>
          <w:p w14:paraId="6A4C7480">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11DAF3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43818CF">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99" w:name="_Toc254970594"/>
            <w:bookmarkStart w:id="100" w:name="_Toc173066407"/>
            <w:bookmarkStart w:id="101" w:name="_Toc297193191"/>
            <w:bookmarkStart w:id="102" w:name="_Toc173211906"/>
            <w:bookmarkStart w:id="103" w:name="_Toc373333695"/>
            <w:bookmarkStart w:id="104" w:name="_Toc295404987"/>
            <w:bookmarkStart w:id="105" w:name="_Toc383699912"/>
            <w:bookmarkStart w:id="106" w:name="_Toc301781617"/>
            <w:bookmarkStart w:id="107" w:name="_Toc254970735"/>
            <w:r>
              <w:rPr>
                <w:rFonts w:hint="eastAsia" w:ascii="宋体" w:hAnsi="宋体" w:eastAsia="宋体" w:cs="宋体"/>
                <w:color w:val="auto"/>
                <w:kern w:val="2"/>
                <w:sz w:val="24"/>
                <w:szCs w:val="24"/>
                <w:highlight w:val="none"/>
              </w:rPr>
              <w:t>2</w:t>
            </w:r>
            <w:bookmarkEnd w:id="99"/>
            <w:bookmarkEnd w:id="100"/>
            <w:bookmarkEnd w:id="101"/>
            <w:bookmarkEnd w:id="102"/>
            <w:bookmarkEnd w:id="103"/>
            <w:bookmarkEnd w:id="104"/>
            <w:bookmarkEnd w:id="105"/>
            <w:bookmarkEnd w:id="106"/>
            <w:bookmarkEnd w:id="107"/>
          </w:p>
        </w:tc>
        <w:tc>
          <w:tcPr>
            <w:tcW w:w="503" w:type="pct"/>
            <w:tcBorders>
              <w:right w:val="single" w:color="auto" w:sz="4" w:space="0"/>
            </w:tcBorders>
            <w:noWrap w:val="0"/>
            <w:vAlign w:val="center"/>
          </w:tcPr>
          <w:p w14:paraId="075711E6">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noWrap w:val="0"/>
            <w:vAlign w:val="center"/>
          </w:tcPr>
          <w:p w14:paraId="55672848">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noWrap w:val="0"/>
            <w:vAlign w:val="center"/>
          </w:tcPr>
          <w:p w14:paraId="76656FEE">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noWrap w:val="0"/>
            <w:vAlign w:val="center"/>
          </w:tcPr>
          <w:p w14:paraId="0FF8918F">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063A7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945D89D">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08" w:name="_Toc383699913"/>
            <w:bookmarkStart w:id="109" w:name="_Toc254970595"/>
            <w:bookmarkStart w:id="110" w:name="_Toc301781618"/>
            <w:bookmarkStart w:id="111" w:name="_Toc173066408"/>
            <w:bookmarkStart w:id="112" w:name="_Toc173211907"/>
            <w:bookmarkStart w:id="113" w:name="_Toc297193192"/>
            <w:bookmarkStart w:id="114" w:name="_Toc373333696"/>
            <w:bookmarkStart w:id="115" w:name="_Toc254970736"/>
            <w:bookmarkStart w:id="116" w:name="_Toc295404988"/>
            <w:r>
              <w:rPr>
                <w:rFonts w:hint="eastAsia" w:ascii="宋体" w:hAnsi="宋体" w:eastAsia="宋体" w:cs="宋体"/>
                <w:color w:val="auto"/>
                <w:kern w:val="2"/>
                <w:sz w:val="24"/>
                <w:szCs w:val="24"/>
                <w:highlight w:val="none"/>
              </w:rPr>
              <w:t>3</w:t>
            </w:r>
            <w:bookmarkEnd w:id="108"/>
            <w:bookmarkEnd w:id="109"/>
            <w:bookmarkEnd w:id="110"/>
            <w:bookmarkEnd w:id="111"/>
            <w:bookmarkEnd w:id="112"/>
            <w:bookmarkEnd w:id="113"/>
            <w:bookmarkEnd w:id="114"/>
            <w:bookmarkEnd w:id="115"/>
            <w:bookmarkEnd w:id="116"/>
          </w:p>
        </w:tc>
        <w:tc>
          <w:tcPr>
            <w:tcW w:w="503" w:type="pct"/>
            <w:tcBorders>
              <w:right w:val="single" w:color="auto" w:sz="4" w:space="0"/>
            </w:tcBorders>
            <w:noWrap w:val="0"/>
            <w:vAlign w:val="center"/>
          </w:tcPr>
          <w:p w14:paraId="29664E75">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noWrap w:val="0"/>
            <w:vAlign w:val="center"/>
          </w:tcPr>
          <w:p w14:paraId="4C7052EC">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noWrap w:val="0"/>
            <w:vAlign w:val="center"/>
          </w:tcPr>
          <w:p w14:paraId="6338F900">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noWrap w:val="0"/>
            <w:vAlign w:val="center"/>
          </w:tcPr>
          <w:p w14:paraId="5F4365AC">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2BCDD8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E9E0D2A">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17" w:name="_Toc173211908"/>
            <w:bookmarkStart w:id="118" w:name="_Toc383699914"/>
            <w:bookmarkStart w:id="119" w:name="_Toc254970737"/>
            <w:bookmarkStart w:id="120" w:name="_Toc295404989"/>
            <w:bookmarkStart w:id="121" w:name="_Toc301781619"/>
            <w:bookmarkStart w:id="122" w:name="_Toc254970596"/>
            <w:bookmarkStart w:id="123" w:name="_Toc373333697"/>
            <w:bookmarkStart w:id="124" w:name="_Toc173066409"/>
            <w:bookmarkStart w:id="125" w:name="_Toc297193193"/>
            <w:r>
              <w:rPr>
                <w:rFonts w:hint="eastAsia" w:ascii="宋体" w:hAnsi="宋体" w:eastAsia="宋体" w:cs="宋体"/>
                <w:color w:val="auto"/>
                <w:kern w:val="2"/>
                <w:sz w:val="24"/>
                <w:szCs w:val="24"/>
                <w:highlight w:val="none"/>
              </w:rPr>
              <w:t>4</w:t>
            </w:r>
            <w:bookmarkEnd w:id="117"/>
            <w:bookmarkEnd w:id="118"/>
            <w:bookmarkEnd w:id="119"/>
            <w:bookmarkEnd w:id="120"/>
            <w:bookmarkEnd w:id="121"/>
            <w:bookmarkEnd w:id="122"/>
            <w:bookmarkEnd w:id="123"/>
            <w:bookmarkEnd w:id="124"/>
            <w:bookmarkEnd w:id="125"/>
          </w:p>
        </w:tc>
        <w:tc>
          <w:tcPr>
            <w:tcW w:w="503" w:type="pct"/>
            <w:tcBorders>
              <w:right w:val="single" w:color="auto" w:sz="4" w:space="0"/>
            </w:tcBorders>
            <w:noWrap w:val="0"/>
            <w:vAlign w:val="center"/>
          </w:tcPr>
          <w:p w14:paraId="764B0ABD">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noWrap w:val="0"/>
            <w:vAlign w:val="center"/>
          </w:tcPr>
          <w:p w14:paraId="7EB89AC9">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noWrap w:val="0"/>
            <w:vAlign w:val="center"/>
          </w:tcPr>
          <w:p w14:paraId="2A091B98">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noWrap w:val="0"/>
            <w:vAlign w:val="center"/>
          </w:tcPr>
          <w:p w14:paraId="6EEA2A5B">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5A6E20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588DE9C">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26" w:name="_Toc295404990"/>
            <w:bookmarkStart w:id="127" w:name="_Toc383699915"/>
            <w:bookmarkStart w:id="128" w:name="_Toc297193194"/>
            <w:bookmarkStart w:id="129" w:name="_Toc373333698"/>
            <w:bookmarkStart w:id="130" w:name="_Toc254970738"/>
            <w:bookmarkStart w:id="131" w:name="_Toc173211909"/>
            <w:bookmarkStart w:id="132" w:name="_Toc173066410"/>
            <w:bookmarkStart w:id="133" w:name="_Toc254970597"/>
            <w:bookmarkStart w:id="134" w:name="_Toc301781620"/>
            <w:r>
              <w:rPr>
                <w:rFonts w:hint="eastAsia" w:ascii="宋体" w:hAnsi="宋体" w:eastAsia="宋体" w:cs="宋体"/>
                <w:color w:val="auto"/>
                <w:kern w:val="2"/>
                <w:sz w:val="24"/>
                <w:szCs w:val="24"/>
                <w:highlight w:val="none"/>
              </w:rPr>
              <w:t>5</w:t>
            </w:r>
            <w:bookmarkEnd w:id="126"/>
            <w:bookmarkEnd w:id="127"/>
            <w:bookmarkEnd w:id="128"/>
            <w:bookmarkEnd w:id="129"/>
            <w:bookmarkEnd w:id="130"/>
            <w:bookmarkEnd w:id="131"/>
            <w:bookmarkEnd w:id="132"/>
            <w:bookmarkEnd w:id="133"/>
            <w:bookmarkEnd w:id="134"/>
          </w:p>
        </w:tc>
        <w:tc>
          <w:tcPr>
            <w:tcW w:w="503" w:type="pct"/>
            <w:tcBorders>
              <w:right w:val="single" w:color="auto" w:sz="4" w:space="0"/>
            </w:tcBorders>
            <w:noWrap w:val="0"/>
            <w:vAlign w:val="center"/>
          </w:tcPr>
          <w:p w14:paraId="7ED712DE">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noWrap w:val="0"/>
            <w:vAlign w:val="center"/>
          </w:tcPr>
          <w:p w14:paraId="7276797D">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noWrap w:val="0"/>
            <w:vAlign w:val="center"/>
          </w:tcPr>
          <w:p w14:paraId="33E2F986">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noWrap w:val="0"/>
            <w:vAlign w:val="center"/>
          </w:tcPr>
          <w:p w14:paraId="36E6C55A">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73ABE5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39D952F5">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35" w:name="_Toc254970743"/>
            <w:bookmarkStart w:id="136" w:name="_Toc295404991"/>
            <w:bookmarkStart w:id="137" w:name="_Toc301781621"/>
            <w:bookmarkStart w:id="138" w:name="_Toc373333699"/>
            <w:bookmarkStart w:id="139" w:name="_Toc297193195"/>
            <w:bookmarkStart w:id="140" w:name="_Toc173211914"/>
            <w:bookmarkStart w:id="141" w:name="_Toc254970602"/>
            <w:bookmarkStart w:id="142" w:name="_Toc383699916"/>
            <w:bookmarkStart w:id="143" w:name="_Toc173066415"/>
            <w:r>
              <w:rPr>
                <w:rFonts w:hint="eastAsia" w:ascii="宋体" w:hAnsi="宋体" w:eastAsia="宋体" w:cs="宋体"/>
                <w:color w:val="auto"/>
                <w:kern w:val="2"/>
                <w:sz w:val="24"/>
                <w:szCs w:val="24"/>
                <w:highlight w:val="none"/>
              </w:rPr>
              <w:t>…</w:t>
            </w:r>
            <w:bookmarkEnd w:id="135"/>
            <w:bookmarkEnd w:id="136"/>
            <w:bookmarkEnd w:id="137"/>
            <w:bookmarkEnd w:id="138"/>
            <w:bookmarkEnd w:id="139"/>
            <w:bookmarkEnd w:id="140"/>
            <w:bookmarkEnd w:id="141"/>
            <w:bookmarkEnd w:id="142"/>
            <w:bookmarkEnd w:id="143"/>
          </w:p>
        </w:tc>
        <w:tc>
          <w:tcPr>
            <w:tcW w:w="503" w:type="pct"/>
            <w:tcBorders>
              <w:right w:val="single" w:color="auto" w:sz="4" w:space="0"/>
            </w:tcBorders>
            <w:noWrap w:val="0"/>
            <w:vAlign w:val="center"/>
          </w:tcPr>
          <w:p w14:paraId="2CE578C0">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noWrap w:val="0"/>
            <w:vAlign w:val="center"/>
          </w:tcPr>
          <w:p w14:paraId="50E4B2C8">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noWrap w:val="0"/>
            <w:vAlign w:val="center"/>
          </w:tcPr>
          <w:p w14:paraId="12B99337">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tcBorders>
              <w:right w:val="single" w:color="auto" w:sz="4" w:space="0"/>
            </w:tcBorders>
            <w:noWrap w:val="0"/>
            <w:vAlign w:val="center"/>
          </w:tcPr>
          <w:p w14:paraId="50AD635B">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bl>
    <w:p w14:paraId="49629520">
      <w:pPr>
        <w:adjustRightInd w:val="0"/>
        <w:spacing w:line="360" w:lineRule="auto"/>
        <w:contextualSpacing/>
        <w:rPr>
          <w:rFonts w:ascii="宋体" w:hAnsi="宋体" w:cs="宋体"/>
          <w:color w:val="auto"/>
          <w:sz w:val="24"/>
          <w:highlight w:val="none"/>
        </w:rPr>
      </w:pPr>
    </w:p>
    <w:p w14:paraId="62FE2743">
      <w:pPr>
        <w:pStyle w:val="18"/>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919F68F">
      <w:pPr>
        <w:pStyle w:val="18"/>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采购需求”中的技术要求逐条作出明确响应，并作出偏离说明。</w:t>
      </w:r>
    </w:p>
    <w:p w14:paraId="5CD1C766">
      <w:pPr>
        <w:pStyle w:val="18"/>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3706358C">
      <w:pPr>
        <w:spacing w:line="360" w:lineRule="auto"/>
        <w:ind w:right="-817" w:rightChars="-389"/>
        <w:contextualSpacing/>
        <w:rPr>
          <w:rFonts w:ascii="宋体" w:hAnsi="宋体" w:cs="宋体"/>
          <w:color w:val="auto"/>
          <w:sz w:val="24"/>
          <w:highlight w:val="none"/>
        </w:rPr>
      </w:pPr>
    </w:p>
    <w:p w14:paraId="171C5B41">
      <w:pPr>
        <w:spacing w:line="360" w:lineRule="auto"/>
        <w:ind w:right="-817" w:rightChars="-389" w:firstLine="960" w:firstLineChars="4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3E52E552">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7EDEF413">
      <w:pPr>
        <w:spacing w:line="360" w:lineRule="auto"/>
        <w:ind w:right="-817" w:rightChars="-389" w:firstLine="4080" w:firstLineChars="1700"/>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7C9ABFC8">
      <w:pPr>
        <w:snapToGrid w:val="0"/>
        <w:spacing w:before="156" w:beforeLines="50" w:after="50"/>
        <w:ind w:left="142"/>
        <w:jc w:val="left"/>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项目实施人员一览表格式</w:t>
      </w:r>
    </w:p>
    <w:p w14:paraId="1A6F8EDE">
      <w:pPr>
        <w:snapToGrid w:val="0"/>
        <w:spacing w:before="156" w:beforeLines="50" w:after="50"/>
        <w:ind w:left="142"/>
        <w:jc w:val="left"/>
        <w:rPr>
          <w:rFonts w:ascii="宋体" w:hAnsi="宋体" w:cs="宋体"/>
          <w:b/>
          <w:color w:val="auto"/>
          <w:sz w:val="24"/>
          <w:highlight w:val="none"/>
        </w:rPr>
      </w:pPr>
    </w:p>
    <w:p w14:paraId="49B34855">
      <w:pPr>
        <w:spacing w:line="360" w:lineRule="auto"/>
        <w:ind w:left="142"/>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05"/>
        <w:gridCol w:w="1309"/>
        <w:gridCol w:w="1956"/>
        <w:gridCol w:w="1935"/>
      </w:tblGrid>
      <w:tr w14:paraId="512E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9CEAF20">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noWrap w:val="0"/>
            <w:vAlign w:val="center"/>
          </w:tcPr>
          <w:p w14:paraId="55170FB0">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2905" w:type="dxa"/>
            <w:noWrap w:val="0"/>
            <w:vAlign w:val="center"/>
          </w:tcPr>
          <w:p w14:paraId="4107361B">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09" w:type="dxa"/>
            <w:noWrap w:val="0"/>
            <w:vAlign w:val="center"/>
          </w:tcPr>
          <w:p w14:paraId="5EE28E62">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956" w:type="dxa"/>
            <w:noWrap w:val="0"/>
            <w:vAlign w:val="center"/>
          </w:tcPr>
          <w:p w14:paraId="6113633A">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619A6B99">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935" w:type="dxa"/>
            <w:noWrap w:val="0"/>
            <w:vAlign w:val="center"/>
          </w:tcPr>
          <w:p w14:paraId="5DFF460E">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7D17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ACF6494">
            <w:pPr>
              <w:spacing w:line="360" w:lineRule="auto"/>
              <w:contextualSpacing/>
              <w:jc w:val="center"/>
              <w:rPr>
                <w:rFonts w:ascii="宋体" w:hAnsi="宋体" w:cs="宋体"/>
                <w:color w:val="auto"/>
                <w:sz w:val="24"/>
                <w:szCs w:val="20"/>
                <w:highlight w:val="none"/>
              </w:rPr>
            </w:pPr>
          </w:p>
        </w:tc>
        <w:tc>
          <w:tcPr>
            <w:tcW w:w="709" w:type="dxa"/>
            <w:noWrap w:val="0"/>
            <w:vAlign w:val="center"/>
          </w:tcPr>
          <w:p w14:paraId="6E0D34DC">
            <w:pPr>
              <w:spacing w:line="360" w:lineRule="auto"/>
              <w:contextualSpacing/>
              <w:jc w:val="center"/>
              <w:rPr>
                <w:rFonts w:ascii="宋体" w:hAnsi="宋体" w:cs="宋体"/>
                <w:color w:val="auto"/>
                <w:sz w:val="24"/>
                <w:szCs w:val="20"/>
                <w:highlight w:val="none"/>
              </w:rPr>
            </w:pPr>
          </w:p>
        </w:tc>
        <w:tc>
          <w:tcPr>
            <w:tcW w:w="2905" w:type="dxa"/>
            <w:noWrap w:val="0"/>
            <w:vAlign w:val="center"/>
          </w:tcPr>
          <w:p w14:paraId="7ABA1814">
            <w:pPr>
              <w:spacing w:line="360" w:lineRule="auto"/>
              <w:contextualSpacing/>
              <w:jc w:val="center"/>
              <w:rPr>
                <w:rFonts w:ascii="宋体" w:hAnsi="宋体" w:cs="宋体"/>
                <w:color w:val="auto"/>
                <w:sz w:val="24"/>
                <w:szCs w:val="20"/>
                <w:highlight w:val="none"/>
              </w:rPr>
            </w:pPr>
          </w:p>
        </w:tc>
        <w:tc>
          <w:tcPr>
            <w:tcW w:w="1309" w:type="dxa"/>
            <w:noWrap w:val="0"/>
            <w:vAlign w:val="center"/>
          </w:tcPr>
          <w:p w14:paraId="40541CD1">
            <w:pPr>
              <w:spacing w:line="360" w:lineRule="auto"/>
              <w:contextualSpacing/>
              <w:jc w:val="center"/>
              <w:rPr>
                <w:rFonts w:ascii="宋体" w:hAnsi="宋体" w:cs="宋体"/>
                <w:color w:val="auto"/>
                <w:sz w:val="24"/>
                <w:szCs w:val="20"/>
                <w:highlight w:val="none"/>
              </w:rPr>
            </w:pPr>
          </w:p>
        </w:tc>
        <w:tc>
          <w:tcPr>
            <w:tcW w:w="1956" w:type="dxa"/>
            <w:noWrap w:val="0"/>
            <w:vAlign w:val="center"/>
          </w:tcPr>
          <w:p w14:paraId="38327E8E">
            <w:pPr>
              <w:spacing w:line="360" w:lineRule="auto"/>
              <w:contextualSpacing/>
              <w:jc w:val="center"/>
              <w:rPr>
                <w:rFonts w:ascii="宋体" w:hAnsi="宋体" w:cs="宋体"/>
                <w:color w:val="auto"/>
                <w:sz w:val="24"/>
                <w:szCs w:val="20"/>
                <w:highlight w:val="none"/>
              </w:rPr>
            </w:pPr>
          </w:p>
        </w:tc>
        <w:tc>
          <w:tcPr>
            <w:tcW w:w="1935" w:type="dxa"/>
            <w:noWrap w:val="0"/>
            <w:vAlign w:val="center"/>
          </w:tcPr>
          <w:p w14:paraId="1C1392CF">
            <w:pPr>
              <w:spacing w:line="360" w:lineRule="auto"/>
              <w:contextualSpacing/>
              <w:jc w:val="center"/>
              <w:rPr>
                <w:rFonts w:ascii="宋体" w:hAnsi="宋体" w:cs="宋体"/>
                <w:color w:val="auto"/>
                <w:sz w:val="24"/>
                <w:szCs w:val="20"/>
                <w:highlight w:val="none"/>
              </w:rPr>
            </w:pPr>
          </w:p>
        </w:tc>
      </w:tr>
      <w:tr w14:paraId="012E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436E922">
            <w:pPr>
              <w:spacing w:line="360" w:lineRule="auto"/>
              <w:contextualSpacing/>
              <w:jc w:val="center"/>
              <w:rPr>
                <w:rFonts w:ascii="宋体" w:hAnsi="宋体" w:cs="宋体"/>
                <w:color w:val="auto"/>
                <w:sz w:val="24"/>
                <w:szCs w:val="20"/>
                <w:highlight w:val="none"/>
              </w:rPr>
            </w:pPr>
          </w:p>
        </w:tc>
        <w:tc>
          <w:tcPr>
            <w:tcW w:w="709" w:type="dxa"/>
            <w:noWrap w:val="0"/>
            <w:vAlign w:val="center"/>
          </w:tcPr>
          <w:p w14:paraId="3222C84A">
            <w:pPr>
              <w:spacing w:line="360" w:lineRule="auto"/>
              <w:contextualSpacing/>
              <w:jc w:val="center"/>
              <w:rPr>
                <w:rFonts w:ascii="宋体" w:hAnsi="宋体" w:cs="宋体"/>
                <w:color w:val="auto"/>
                <w:sz w:val="24"/>
                <w:szCs w:val="20"/>
                <w:highlight w:val="none"/>
              </w:rPr>
            </w:pPr>
          </w:p>
        </w:tc>
        <w:tc>
          <w:tcPr>
            <w:tcW w:w="2905" w:type="dxa"/>
            <w:noWrap w:val="0"/>
            <w:vAlign w:val="center"/>
          </w:tcPr>
          <w:p w14:paraId="01820B7B">
            <w:pPr>
              <w:spacing w:line="360" w:lineRule="auto"/>
              <w:contextualSpacing/>
              <w:jc w:val="center"/>
              <w:rPr>
                <w:rFonts w:ascii="宋体" w:hAnsi="宋体" w:cs="宋体"/>
                <w:color w:val="auto"/>
                <w:sz w:val="24"/>
                <w:szCs w:val="20"/>
                <w:highlight w:val="none"/>
              </w:rPr>
            </w:pPr>
          </w:p>
        </w:tc>
        <w:tc>
          <w:tcPr>
            <w:tcW w:w="1309" w:type="dxa"/>
            <w:noWrap w:val="0"/>
            <w:vAlign w:val="center"/>
          </w:tcPr>
          <w:p w14:paraId="6BF6CC49">
            <w:pPr>
              <w:spacing w:line="360" w:lineRule="auto"/>
              <w:contextualSpacing/>
              <w:jc w:val="center"/>
              <w:rPr>
                <w:rFonts w:ascii="宋体" w:hAnsi="宋体" w:cs="宋体"/>
                <w:color w:val="auto"/>
                <w:sz w:val="24"/>
                <w:szCs w:val="20"/>
                <w:highlight w:val="none"/>
              </w:rPr>
            </w:pPr>
          </w:p>
        </w:tc>
        <w:tc>
          <w:tcPr>
            <w:tcW w:w="1956" w:type="dxa"/>
            <w:noWrap w:val="0"/>
            <w:vAlign w:val="center"/>
          </w:tcPr>
          <w:p w14:paraId="68CD3CD2">
            <w:pPr>
              <w:spacing w:line="360" w:lineRule="auto"/>
              <w:contextualSpacing/>
              <w:jc w:val="center"/>
              <w:rPr>
                <w:rFonts w:ascii="宋体" w:hAnsi="宋体" w:cs="宋体"/>
                <w:color w:val="auto"/>
                <w:sz w:val="24"/>
                <w:szCs w:val="20"/>
                <w:highlight w:val="none"/>
              </w:rPr>
            </w:pPr>
          </w:p>
        </w:tc>
        <w:tc>
          <w:tcPr>
            <w:tcW w:w="1935" w:type="dxa"/>
            <w:noWrap w:val="0"/>
            <w:vAlign w:val="center"/>
          </w:tcPr>
          <w:p w14:paraId="1F163BFE">
            <w:pPr>
              <w:spacing w:line="360" w:lineRule="auto"/>
              <w:contextualSpacing/>
              <w:jc w:val="center"/>
              <w:rPr>
                <w:rFonts w:ascii="宋体" w:hAnsi="宋体" w:cs="宋体"/>
                <w:color w:val="auto"/>
                <w:sz w:val="24"/>
                <w:szCs w:val="20"/>
                <w:highlight w:val="none"/>
              </w:rPr>
            </w:pPr>
          </w:p>
        </w:tc>
      </w:tr>
      <w:tr w14:paraId="3060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DBCFCF0">
            <w:pPr>
              <w:spacing w:line="360" w:lineRule="auto"/>
              <w:contextualSpacing/>
              <w:jc w:val="center"/>
              <w:rPr>
                <w:rFonts w:ascii="宋体" w:hAnsi="宋体" w:cs="宋体"/>
                <w:color w:val="auto"/>
                <w:sz w:val="24"/>
                <w:szCs w:val="20"/>
                <w:highlight w:val="none"/>
              </w:rPr>
            </w:pPr>
          </w:p>
        </w:tc>
        <w:tc>
          <w:tcPr>
            <w:tcW w:w="709" w:type="dxa"/>
            <w:noWrap w:val="0"/>
            <w:vAlign w:val="center"/>
          </w:tcPr>
          <w:p w14:paraId="29582ED8">
            <w:pPr>
              <w:spacing w:line="360" w:lineRule="auto"/>
              <w:contextualSpacing/>
              <w:jc w:val="center"/>
              <w:rPr>
                <w:rFonts w:ascii="宋体" w:hAnsi="宋体" w:cs="宋体"/>
                <w:color w:val="auto"/>
                <w:sz w:val="24"/>
                <w:szCs w:val="20"/>
                <w:highlight w:val="none"/>
              </w:rPr>
            </w:pPr>
          </w:p>
        </w:tc>
        <w:tc>
          <w:tcPr>
            <w:tcW w:w="2905" w:type="dxa"/>
            <w:noWrap w:val="0"/>
            <w:vAlign w:val="center"/>
          </w:tcPr>
          <w:p w14:paraId="506929C4">
            <w:pPr>
              <w:spacing w:line="360" w:lineRule="auto"/>
              <w:contextualSpacing/>
              <w:jc w:val="center"/>
              <w:rPr>
                <w:rFonts w:ascii="宋体" w:hAnsi="宋体" w:cs="宋体"/>
                <w:color w:val="auto"/>
                <w:sz w:val="24"/>
                <w:szCs w:val="20"/>
                <w:highlight w:val="none"/>
              </w:rPr>
            </w:pPr>
          </w:p>
        </w:tc>
        <w:tc>
          <w:tcPr>
            <w:tcW w:w="1309" w:type="dxa"/>
            <w:noWrap w:val="0"/>
            <w:vAlign w:val="center"/>
          </w:tcPr>
          <w:p w14:paraId="4DC0DE39">
            <w:pPr>
              <w:spacing w:line="360" w:lineRule="auto"/>
              <w:contextualSpacing/>
              <w:jc w:val="center"/>
              <w:rPr>
                <w:rFonts w:ascii="宋体" w:hAnsi="宋体" w:cs="宋体"/>
                <w:color w:val="auto"/>
                <w:sz w:val="24"/>
                <w:szCs w:val="20"/>
                <w:highlight w:val="none"/>
              </w:rPr>
            </w:pPr>
          </w:p>
        </w:tc>
        <w:tc>
          <w:tcPr>
            <w:tcW w:w="1956" w:type="dxa"/>
            <w:noWrap w:val="0"/>
            <w:vAlign w:val="center"/>
          </w:tcPr>
          <w:p w14:paraId="1BAAE37D">
            <w:pPr>
              <w:spacing w:line="360" w:lineRule="auto"/>
              <w:contextualSpacing/>
              <w:jc w:val="center"/>
              <w:rPr>
                <w:rFonts w:ascii="宋体" w:hAnsi="宋体" w:cs="宋体"/>
                <w:color w:val="auto"/>
                <w:sz w:val="24"/>
                <w:szCs w:val="20"/>
                <w:highlight w:val="none"/>
              </w:rPr>
            </w:pPr>
          </w:p>
        </w:tc>
        <w:tc>
          <w:tcPr>
            <w:tcW w:w="1935" w:type="dxa"/>
            <w:noWrap w:val="0"/>
            <w:vAlign w:val="center"/>
          </w:tcPr>
          <w:p w14:paraId="58A8B2CD">
            <w:pPr>
              <w:spacing w:line="360" w:lineRule="auto"/>
              <w:contextualSpacing/>
              <w:jc w:val="center"/>
              <w:rPr>
                <w:rFonts w:ascii="宋体" w:hAnsi="宋体" w:cs="宋体"/>
                <w:color w:val="auto"/>
                <w:sz w:val="24"/>
                <w:szCs w:val="20"/>
                <w:highlight w:val="none"/>
              </w:rPr>
            </w:pPr>
          </w:p>
        </w:tc>
      </w:tr>
    </w:tbl>
    <w:p w14:paraId="3D408797">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7C430F26">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1.在填写时，如本表格不适合供应商的实际情况，可根据本表格式自行制表填写。</w:t>
      </w:r>
    </w:p>
    <w:p w14:paraId="66133CB5">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2.供应商应当附本表所列证书的复印件并加盖供应商公章。</w:t>
      </w:r>
    </w:p>
    <w:p w14:paraId="4C3F4EB1">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14573C1E">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供应商（盖公章）：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6A889F3">
      <w:pPr>
        <w:snapToGrid w:val="0"/>
        <w:spacing w:before="50" w:after="156" w:afterLines="50"/>
        <w:jc w:val="left"/>
        <w:rPr>
          <w:rFonts w:ascii="宋体" w:hAnsi="宋体" w:cs="宋体"/>
          <w:color w:val="auto"/>
          <w:sz w:val="24"/>
          <w:szCs w:val="20"/>
          <w:highlight w:val="none"/>
        </w:rPr>
      </w:pPr>
    </w:p>
    <w:p w14:paraId="5553FB99">
      <w:pPr>
        <w:snapToGrid w:val="0"/>
        <w:spacing w:before="50" w:after="50" w:line="360" w:lineRule="auto"/>
        <w:ind w:right="-817" w:rightChars="-389" w:firstLine="5461" w:firstLineChars="1700"/>
        <w:rPr>
          <w:rFonts w:ascii="宋体" w:hAnsi="宋体" w:cs="宋体"/>
          <w:b/>
          <w:color w:val="auto"/>
          <w:sz w:val="32"/>
          <w:szCs w:val="32"/>
          <w:highlight w:val="none"/>
        </w:rPr>
      </w:pPr>
    </w:p>
    <w:p w14:paraId="38A6164C">
      <w:pPr>
        <w:spacing w:line="300" w:lineRule="auto"/>
        <w:rPr>
          <w:rFonts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其他文书、文件格式</w:t>
      </w:r>
    </w:p>
    <w:p w14:paraId="1808D710">
      <w:pPr>
        <w:jc w:val="center"/>
        <w:rPr>
          <w:rFonts w:ascii="宋体" w:hAnsi="宋体" w:cs="宋体"/>
          <w:color w:val="auto"/>
          <w:sz w:val="44"/>
          <w:szCs w:val="44"/>
          <w:highlight w:val="none"/>
        </w:rPr>
      </w:pPr>
      <w:bookmarkStart w:id="144" w:name="_Toc71365926"/>
      <w:r>
        <w:rPr>
          <w:rFonts w:hint="eastAsia" w:ascii="宋体" w:hAnsi="宋体" w:cs="宋体"/>
          <w:color w:val="auto"/>
          <w:sz w:val="44"/>
          <w:szCs w:val="44"/>
          <w:highlight w:val="none"/>
        </w:rPr>
        <w:t>中小企业声明函（服务）</w:t>
      </w:r>
      <w:bookmarkEnd w:id="144"/>
    </w:p>
    <w:p w14:paraId="1D5798AE">
      <w:pPr>
        <w:spacing w:before="2" w:line="500" w:lineRule="exact"/>
        <w:ind w:firstLine="708" w:firstLineChars="294"/>
        <w:rPr>
          <w:rFonts w:ascii="宋体" w:hAnsi="宋体" w:cs="宋体"/>
          <w:b/>
          <w:bCs/>
          <w:color w:val="auto"/>
          <w:sz w:val="24"/>
          <w:highlight w:val="none"/>
        </w:rPr>
      </w:pPr>
    </w:p>
    <w:p w14:paraId="39CE0570">
      <w:pPr>
        <w:pStyle w:val="15"/>
        <w:spacing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8BADB58">
      <w:pPr>
        <w:tabs>
          <w:tab w:val="left" w:pos="1384"/>
          <w:tab w:val="left" w:pos="4562"/>
          <w:tab w:val="left" w:pos="6803"/>
        </w:tabs>
        <w:spacing w:before="13" w:line="500" w:lineRule="exact"/>
        <w:ind w:right="142" w:firstLine="772" w:firstLineChars="322"/>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多媒体教室运维服务</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21073941">
      <w:pPr>
        <w:tabs>
          <w:tab w:val="left" w:pos="1065"/>
          <w:tab w:val="left" w:pos="4262"/>
          <w:tab w:val="left" w:pos="6477"/>
        </w:tabs>
        <w:spacing w:before="20" w:line="500" w:lineRule="exact"/>
        <w:ind w:right="84" w:firstLine="772" w:firstLineChars="322"/>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二楼会商室运维服务</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1DB3CB93">
      <w:pPr>
        <w:tabs>
          <w:tab w:val="left" w:pos="1065"/>
          <w:tab w:val="left" w:pos="4262"/>
          <w:tab w:val="left" w:pos="6477"/>
        </w:tabs>
        <w:spacing w:before="20" w:line="500" w:lineRule="exact"/>
        <w:ind w:right="84" w:firstLine="772" w:firstLineChars="322"/>
        <w:rPr>
          <w:rFonts w:ascii="宋体" w:hAnsi="宋体" w:cs="宋体"/>
          <w:color w:val="auto"/>
          <w:sz w:val="24"/>
          <w:highlight w:val="none"/>
          <w:u w:val="singl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三楼会商室运维服务</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71FA896E">
      <w:pPr>
        <w:pStyle w:val="15"/>
        <w:spacing w:before="34"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91F50D">
      <w:pPr>
        <w:pStyle w:val="15"/>
        <w:spacing w:before="25"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F65C33C">
      <w:pPr>
        <w:pStyle w:val="15"/>
        <w:spacing w:before="56" w:line="500" w:lineRule="exact"/>
        <w:ind w:right="1808" w:firstLine="705" w:firstLineChars="294"/>
        <w:rPr>
          <w:rFonts w:ascii="宋体" w:hAnsi="宋体" w:cs="宋体"/>
          <w:color w:val="auto"/>
          <w:sz w:val="24"/>
          <w:highlight w:val="none"/>
        </w:rPr>
      </w:pPr>
    </w:p>
    <w:p w14:paraId="13293870">
      <w:pPr>
        <w:pStyle w:val="15"/>
        <w:spacing w:before="56" w:line="500" w:lineRule="exact"/>
        <w:ind w:right="650" w:firstLine="5625" w:firstLineChars="2344"/>
        <w:rPr>
          <w:rFonts w:ascii="宋体" w:hAnsi="宋体" w:cs="宋体"/>
          <w:color w:val="auto"/>
          <w:sz w:val="24"/>
          <w:highlight w:val="none"/>
        </w:rPr>
      </w:pPr>
      <w:r>
        <w:rPr>
          <w:rFonts w:hint="eastAsia" w:ascii="宋体" w:hAnsi="宋体" w:cs="宋体"/>
          <w:color w:val="auto"/>
          <w:sz w:val="24"/>
          <w:highlight w:val="none"/>
        </w:rPr>
        <w:t xml:space="preserve">企业名称（章）： </w:t>
      </w:r>
    </w:p>
    <w:p w14:paraId="6BE0773D">
      <w:pPr>
        <w:pStyle w:val="15"/>
        <w:spacing w:before="56" w:line="500" w:lineRule="exact"/>
        <w:ind w:right="1808" w:firstLine="5625" w:firstLineChars="2344"/>
        <w:rPr>
          <w:rFonts w:ascii="宋体" w:hAnsi="宋体" w:cs="宋体"/>
          <w:color w:val="auto"/>
          <w:sz w:val="24"/>
          <w:highlight w:val="none"/>
        </w:rPr>
      </w:pPr>
      <w:r>
        <w:rPr>
          <w:rFonts w:hint="eastAsia" w:ascii="宋体" w:hAnsi="宋体" w:cs="宋体"/>
          <w:color w:val="auto"/>
          <w:sz w:val="24"/>
          <w:highlight w:val="none"/>
        </w:rPr>
        <w:t>日 期：</w:t>
      </w:r>
    </w:p>
    <w:p w14:paraId="0A027F12">
      <w:pPr>
        <w:spacing w:line="520" w:lineRule="exact"/>
        <w:jc w:val="left"/>
        <w:rPr>
          <w:rFonts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23D71FC">
      <w:pPr>
        <w:spacing w:line="520" w:lineRule="exact"/>
        <w:jc w:val="center"/>
        <w:rPr>
          <w:rFonts w:ascii="宋体" w:hAnsi="宋体" w:cs="宋体"/>
          <w:color w:val="auto"/>
          <w:sz w:val="24"/>
          <w:highlight w:val="none"/>
        </w:rPr>
      </w:pPr>
    </w:p>
    <w:p w14:paraId="0D51BD68">
      <w:pPr>
        <w:pStyle w:val="20"/>
        <w:jc w:val="left"/>
        <w:rPr>
          <w:rFonts w:hAnsi="宋体" w:cs="宋体"/>
          <w:color w:val="auto"/>
          <w:sz w:val="32"/>
          <w:szCs w:val="32"/>
          <w:highlight w:val="none"/>
        </w:rPr>
      </w:pPr>
      <w:r>
        <w:rPr>
          <w:rFonts w:hint="eastAsia" w:hAnsi="宋体" w:cs="宋体"/>
          <w:color w:val="auto"/>
          <w:sz w:val="24"/>
          <w:highlight w:val="none"/>
        </w:rPr>
        <w:br w:type="page"/>
      </w:r>
      <w:r>
        <w:rPr>
          <w:rFonts w:hint="eastAsia" w:hAnsi="宋体" w:cs="宋体"/>
          <w:color w:val="auto"/>
          <w:sz w:val="32"/>
          <w:szCs w:val="32"/>
          <w:highlight w:val="none"/>
        </w:rPr>
        <w:t>附：</w:t>
      </w:r>
    </w:p>
    <w:p w14:paraId="2A666CE9">
      <w:pPr>
        <w:jc w:val="center"/>
        <w:rPr>
          <w:rFonts w:ascii="宋体" w:hAnsi="宋体" w:cs="宋体"/>
          <w:color w:val="auto"/>
          <w:sz w:val="44"/>
          <w:szCs w:val="44"/>
          <w:highlight w:val="none"/>
        </w:rPr>
      </w:pPr>
      <w:r>
        <w:rPr>
          <w:rFonts w:hint="eastAsia" w:ascii="宋体" w:hAnsi="宋体" w:cs="宋体"/>
          <w:color w:val="auto"/>
          <w:sz w:val="44"/>
          <w:szCs w:val="44"/>
          <w:highlight w:val="none"/>
        </w:rPr>
        <w:t>中小微企业划型标准</w:t>
      </w:r>
    </w:p>
    <w:p w14:paraId="6AFD83A9">
      <w:pPr>
        <w:ind w:left="1871"/>
        <w:rPr>
          <w:rFonts w:ascii="宋体" w:hAnsi="宋体" w:cs="宋体"/>
          <w:color w:val="auto"/>
          <w:szCs w:val="21"/>
          <w:highlight w:val="none"/>
        </w:rPr>
      </w:pPr>
    </w:p>
    <w:tbl>
      <w:tblPr>
        <w:tblStyle w:val="32"/>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26A94654">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237D055E">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236F0A65">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36B26186">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14:paraId="5C737716">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14:paraId="7439B15A">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14:paraId="742E703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5FA38DBD">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4D41AFB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14:paraId="237B52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2C047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7FAF19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6836E3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14:paraId="0236FD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79A321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EA344E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14:paraId="124B5E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38639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49228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6C24F3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78E9ED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84261F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C73E466">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7C72E5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5FEE53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464D8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14:paraId="581299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14:paraId="39A0C7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C7B137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85C866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14:paraId="1749D7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01A57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3FFD6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14:paraId="7E78BE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14:paraId="049D92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1DEF59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9195FFF">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12CC22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247F20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A94D8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14:paraId="4684E9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14:paraId="0E5CE8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873FB2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642D5C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14:paraId="1FE7E5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A564E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4F609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14:paraId="2B1DB1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14:paraId="31EE68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548CE7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29515DD">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8A600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9B301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6B014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14:paraId="7982FC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14:paraId="190771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CA42D1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0F2D337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14:paraId="252E37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DD6ED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C01C2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14:paraId="716E6F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14:paraId="25D6DF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D0E506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FA2F6C4">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05ADCB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9714D3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1AB26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74605E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14:paraId="454911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6178A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2A5D28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14:paraId="0A80B1B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C77C4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EC95B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045063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77C8AB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DF4ADB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9EF61F3">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A0EB8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29041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5F768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14:paraId="7644A7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14:paraId="40F7AF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1DBB2C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DF927F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14:paraId="03F2BF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08D8A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BE8D2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14:paraId="5B6CD9F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14:paraId="521F16F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14F84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AA20229">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EC1F84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A9805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4F608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14:paraId="6DE2BC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3C5C75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E21A52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81FF26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14:paraId="2D2F08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0565D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B4352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19FEB47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59380D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5854BF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4F42761">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181401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9CDB7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DD7CA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14:paraId="214D9E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5C651D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5A296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6D88C3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14:paraId="754BE77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78DFA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ED2AC7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071426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2B1E0EF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1C009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A44D5B0">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BBA8F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6A79F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71025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058B8A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3FBECD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486463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B06FA5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14:paraId="0BD182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16CB6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EF19F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336DD1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24DEED6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A575BD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9C81802">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ADBF0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25A9FE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8F601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43C82C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6A583B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36BDC4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D293C2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14:paraId="6990CD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3C6DA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7E762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14:paraId="620BAEF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487602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D6E598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3F5DBAE">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33D88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A3F28B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64724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14:paraId="61EA6E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5500F5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45F308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9373AB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3478CB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AD53B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A58A8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17F9E4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489B20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DA3DD0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12E0EEF">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B0EFA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ACFAF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0AA94B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14:paraId="78258D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14:paraId="743E9E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45AB30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83B489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14:paraId="018DFA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D4B6A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F0A43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14:paraId="7314D3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14:paraId="647313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72BB6A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63A8A044">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214BC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29BCC9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0275A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14:paraId="5BB33F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14:paraId="3DCA247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F0ED66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B8CCBE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14:paraId="4E94786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BEAE3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4F807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0A9D5F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14:paraId="3B8BEC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89E3E3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9C19AEF">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37B13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3F94C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A5D52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14:paraId="044D7B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14:paraId="6DFEDB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8C93FE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9A108C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0374FC4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7FCFE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59065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61B3AA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67BB7C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A70C4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0DE70EB">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184F68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72798E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A2730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14:paraId="58AD65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14:paraId="661ABD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E9B80CB">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2846E0B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14:paraId="57982A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3E2DE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9A9495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7127BD0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4BC9FF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E9C6160">
      <w:pPr>
        <w:spacing w:line="360" w:lineRule="auto"/>
        <w:ind w:firstLine="525" w:firstLineChars="250"/>
        <w:rPr>
          <w:rFonts w:ascii="宋体" w:hAnsi="宋体" w:cs="宋体"/>
          <w:color w:val="auto"/>
          <w:szCs w:val="21"/>
          <w:highlight w:val="none"/>
        </w:rPr>
      </w:pPr>
    </w:p>
    <w:p w14:paraId="7FBE1B44">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DA8EB1A">
      <w:pPr>
        <w:spacing w:line="520" w:lineRule="exact"/>
        <w:jc w:val="center"/>
        <w:rPr>
          <w:rFonts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残疾人福利性单位声明函</w:t>
      </w:r>
    </w:p>
    <w:p w14:paraId="2F81825E">
      <w:pPr>
        <w:spacing w:line="360" w:lineRule="auto"/>
        <w:contextualSpacing/>
        <w:rPr>
          <w:rFonts w:ascii="宋体" w:hAnsi="宋体" w:cs="宋体"/>
          <w:color w:val="auto"/>
          <w:sz w:val="32"/>
          <w:szCs w:val="32"/>
          <w:highlight w:val="none"/>
        </w:rPr>
      </w:pPr>
    </w:p>
    <w:p w14:paraId="4C776B2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D2B69E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6C0805E">
      <w:pPr>
        <w:spacing w:line="360" w:lineRule="auto"/>
        <w:contextualSpacing/>
        <w:rPr>
          <w:rFonts w:ascii="宋体" w:hAnsi="宋体" w:cs="宋体"/>
          <w:color w:val="auto"/>
          <w:sz w:val="24"/>
          <w:highlight w:val="none"/>
        </w:rPr>
      </w:pPr>
    </w:p>
    <w:p w14:paraId="752F3209">
      <w:pPr>
        <w:spacing w:line="360" w:lineRule="auto"/>
        <w:contextualSpacing/>
        <w:rPr>
          <w:rFonts w:ascii="宋体" w:hAnsi="宋体" w:cs="宋体"/>
          <w:color w:val="auto"/>
          <w:sz w:val="24"/>
          <w:highlight w:val="none"/>
        </w:rPr>
      </w:pPr>
    </w:p>
    <w:p w14:paraId="7EB19723">
      <w:pPr>
        <w:spacing w:line="360" w:lineRule="auto"/>
        <w:contextualSpacing/>
        <w:rPr>
          <w:rFonts w:ascii="宋体" w:hAnsi="宋体" w:cs="宋体"/>
          <w:color w:val="auto"/>
          <w:sz w:val="24"/>
          <w:highlight w:val="none"/>
        </w:rPr>
      </w:pPr>
    </w:p>
    <w:p w14:paraId="474766BD">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单位名称（盖章）：</w:t>
      </w:r>
    </w:p>
    <w:p w14:paraId="0B0400B1">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日  期：</w:t>
      </w:r>
    </w:p>
    <w:p w14:paraId="171EB00E">
      <w:pPr>
        <w:spacing w:line="360" w:lineRule="auto"/>
        <w:contextualSpacing/>
        <w:rPr>
          <w:rFonts w:ascii="宋体" w:hAnsi="宋体" w:cs="宋体"/>
          <w:color w:val="auto"/>
          <w:sz w:val="24"/>
          <w:highlight w:val="none"/>
        </w:rPr>
      </w:pPr>
    </w:p>
    <w:p w14:paraId="600B15F5">
      <w:pPr>
        <w:spacing w:line="360" w:lineRule="auto"/>
        <w:contextualSpacing/>
        <w:rPr>
          <w:rFonts w:ascii="宋体" w:hAnsi="宋体" w:cs="宋体"/>
          <w:color w:val="auto"/>
          <w:sz w:val="24"/>
          <w:highlight w:val="none"/>
        </w:rPr>
      </w:pPr>
    </w:p>
    <w:p w14:paraId="2CFB7D2A">
      <w:pPr>
        <w:spacing w:line="360" w:lineRule="auto"/>
        <w:contextualSpacing/>
        <w:rPr>
          <w:rFonts w:ascii="宋体" w:hAnsi="宋体" w:cs="宋体"/>
          <w:color w:val="auto"/>
          <w:sz w:val="24"/>
          <w:highlight w:val="none"/>
        </w:rPr>
      </w:pPr>
    </w:p>
    <w:p w14:paraId="4337267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FAA60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p>
    <w:p w14:paraId="126D3FE5">
      <w:pPr>
        <w:spacing w:line="360" w:lineRule="auto"/>
        <w:jc w:val="center"/>
        <w:rPr>
          <w:rFonts w:ascii="宋体" w:hAns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14:paraId="657D4A46">
      <w:pPr>
        <w:pStyle w:val="20"/>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25023FA5">
      <w:pPr>
        <w:pStyle w:val="20"/>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C75F08C">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3098675">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6D2884C">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0ADAADF2">
      <w:pPr>
        <w:pStyle w:val="20"/>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0EE8F3E">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5CDBB5B">
      <w:pPr>
        <w:pStyle w:val="20"/>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1708C9FC">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3447778B">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2271FA6F">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637E79E3">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3897A877">
      <w:pPr>
        <w:pStyle w:val="20"/>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5EE32F9B">
      <w:pPr>
        <w:pStyle w:val="20"/>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59C81B0D">
      <w:pPr>
        <w:pStyle w:val="20"/>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2A2BAB60">
      <w:pPr>
        <w:pStyle w:val="20"/>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7A259845">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7DE8C9A0">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0D115356">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4073E2E8">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22E188A8">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0A2CCBA1">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7D395265">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657E84F1">
      <w:pPr>
        <w:pStyle w:val="20"/>
        <w:spacing w:line="360" w:lineRule="auto"/>
        <w:ind w:left="25" w:leftChars="12" w:firstLine="352" w:firstLineChars="147"/>
        <w:contextualSpacing/>
        <w:rPr>
          <w:rFonts w:hAnsi="宋体" w:cs="宋体"/>
          <w:color w:val="auto"/>
          <w:sz w:val="24"/>
          <w:szCs w:val="24"/>
          <w:highlight w:val="none"/>
        </w:rPr>
      </w:pPr>
    </w:p>
    <w:p w14:paraId="38F7DDEE">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66121E71">
      <w:pPr>
        <w:pStyle w:val="20"/>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14:paraId="4F7AF017">
      <w:pPr>
        <w:pStyle w:val="20"/>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4C557E7A">
      <w:pPr>
        <w:pStyle w:val="20"/>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20CFB113">
      <w:pPr>
        <w:pStyle w:val="20"/>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A27861">
      <w:pPr>
        <w:pStyle w:val="20"/>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0451547A">
      <w:pPr>
        <w:pStyle w:val="20"/>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6E2E7103">
      <w:pPr>
        <w:pStyle w:val="20"/>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6C5C71C4">
      <w:pPr>
        <w:pStyle w:val="20"/>
        <w:snapToGrid w:val="0"/>
        <w:rPr>
          <w:rFonts w:hAnsi="宋体" w:cs="宋体"/>
          <w:b/>
          <w:color w:val="auto"/>
          <w:sz w:val="24"/>
          <w:szCs w:val="24"/>
          <w:highlight w:val="none"/>
        </w:rPr>
      </w:pPr>
    </w:p>
    <w:p w14:paraId="1FE6C435">
      <w:pPr>
        <w:rPr>
          <w:rFonts w:ascii="宋体" w:hAnsi="宋体" w:cs="宋体"/>
          <w:color w:val="auto"/>
          <w:sz w:val="32"/>
          <w:szCs w:val="40"/>
          <w:highlight w:val="none"/>
        </w:rPr>
      </w:pPr>
    </w:p>
    <w:p w14:paraId="392CF57B">
      <w:pPr>
        <w:rPr>
          <w:rFonts w:ascii="宋体" w:hAnsi="宋体" w:cs="宋体"/>
          <w:color w:val="auto"/>
          <w:sz w:val="32"/>
          <w:szCs w:val="40"/>
          <w:highlight w:val="none"/>
        </w:rPr>
      </w:pPr>
    </w:p>
    <w:p w14:paraId="5F6BCED7">
      <w:pPr>
        <w:rPr>
          <w:rFonts w:ascii="宋体" w:hAnsi="宋体" w:cs="宋体"/>
          <w:color w:val="auto"/>
          <w:sz w:val="32"/>
          <w:szCs w:val="40"/>
          <w:highlight w:val="none"/>
        </w:rPr>
      </w:pPr>
    </w:p>
    <w:p w14:paraId="7B2E4B92">
      <w:pPr>
        <w:rPr>
          <w:rFonts w:ascii="宋体" w:hAnsi="宋体" w:cs="宋体"/>
          <w:color w:val="auto"/>
          <w:sz w:val="32"/>
          <w:szCs w:val="40"/>
          <w:highlight w:val="none"/>
        </w:rPr>
      </w:pPr>
    </w:p>
    <w:p w14:paraId="46FF2739">
      <w:pPr>
        <w:rPr>
          <w:rFonts w:ascii="宋体" w:hAnsi="宋体" w:cs="宋体"/>
          <w:color w:val="auto"/>
          <w:sz w:val="32"/>
          <w:szCs w:val="40"/>
          <w:highlight w:val="none"/>
        </w:rPr>
      </w:pPr>
    </w:p>
    <w:p w14:paraId="6E047F46">
      <w:pPr>
        <w:rPr>
          <w:rFonts w:ascii="宋体" w:hAnsi="宋体" w:cs="宋体"/>
          <w:color w:val="auto"/>
          <w:sz w:val="32"/>
          <w:szCs w:val="40"/>
          <w:highlight w:val="none"/>
        </w:rPr>
      </w:pPr>
    </w:p>
    <w:p w14:paraId="301E9976">
      <w:pPr>
        <w:rPr>
          <w:rFonts w:ascii="宋体" w:hAnsi="宋体" w:cs="宋体"/>
          <w:color w:val="auto"/>
          <w:sz w:val="32"/>
          <w:szCs w:val="40"/>
          <w:highlight w:val="none"/>
        </w:rPr>
      </w:pPr>
    </w:p>
    <w:p w14:paraId="678C77A3">
      <w:pPr>
        <w:rPr>
          <w:rFonts w:ascii="宋体" w:hAnsi="宋体" w:cs="宋体"/>
          <w:color w:val="auto"/>
          <w:sz w:val="32"/>
          <w:szCs w:val="40"/>
          <w:highlight w:val="none"/>
        </w:rPr>
      </w:pPr>
    </w:p>
    <w:p w14:paraId="22CF695F">
      <w:pPr>
        <w:rPr>
          <w:rFonts w:ascii="宋体" w:hAnsi="宋体" w:cs="宋体"/>
          <w:color w:val="auto"/>
          <w:sz w:val="32"/>
          <w:szCs w:val="40"/>
          <w:highlight w:val="none"/>
        </w:rPr>
      </w:pPr>
    </w:p>
    <w:p w14:paraId="7ADFF747">
      <w:pPr>
        <w:rPr>
          <w:rFonts w:ascii="宋体" w:hAnsi="宋体" w:cs="宋体"/>
          <w:color w:val="auto"/>
          <w:sz w:val="32"/>
          <w:szCs w:val="40"/>
          <w:highlight w:val="none"/>
        </w:rPr>
      </w:pPr>
    </w:p>
    <w:p w14:paraId="7D8F4D97">
      <w:pPr>
        <w:rPr>
          <w:rFonts w:ascii="宋体" w:hAnsi="宋体" w:cs="宋体"/>
          <w:color w:val="auto"/>
          <w:sz w:val="32"/>
          <w:szCs w:val="40"/>
          <w:highlight w:val="none"/>
        </w:rPr>
      </w:pPr>
    </w:p>
    <w:p w14:paraId="79863171">
      <w:pPr>
        <w:rPr>
          <w:rFonts w:ascii="宋体" w:hAnsi="宋体" w:cs="宋体"/>
          <w:color w:val="auto"/>
          <w:sz w:val="32"/>
          <w:szCs w:val="40"/>
          <w:highlight w:val="none"/>
        </w:rPr>
      </w:pPr>
    </w:p>
    <w:p w14:paraId="42474646">
      <w:pPr>
        <w:rPr>
          <w:rFonts w:ascii="宋体" w:hAnsi="宋体" w:cs="宋体"/>
          <w:color w:val="auto"/>
          <w:sz w:val="32"/>
          <w:szCs w:val="40"/>
          <w:highlight w:val="none"/>
        </w:rPr>
      </w:pPr>
    </w:p>
    <w:p w14:paraId="31FF8D5F">
      <w:pPr>
        <w:rPr>
          <w:rFonts w:ascii="宋体" w:hAnsi="宋体" w:cs="宋体"/>
          <w:color w:val="auto"/>
          <w:sz w:val="32"/>
          <w:szCs w:val="40"/>
          <w:highlight w:val="none"/>
        </w:rPr>
      </w:pPr>
    </w:p>
    <w:p w14:paraId="6EB68A4B">
      <w:pPr>
        <w:spacing w:line="360" w:lineRule="auto"/>
        <w:jc w:val="center"/>
        <w:rPr>
          <w:rFonts w:ascii="宋体" w:hAnsi="宋体" w:cs="宋体"/>
          <w:color w:val="auto"/>
          <w:sz w:val="2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14:paraId="155D0D27">
      <w:pPr>
        <w:pStyle w:val="2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13BB32E8">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60F06E0">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095F22F">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1AF33BC1">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CA945DF">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ED2B997">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2185F11F">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6DBF6B8">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2F3F0422">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3D59A6D5">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C135054">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A292C4F">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6D4650B9">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0165F5A9">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3A072155">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750D5652">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881AE7D">
      <w:pPr>
        <w:pStyle w:val="2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5D26E374">
      <w:pPr>
        <w:pStyle w:val="20"/>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23B0BA6A">
      <w:pPr>
        <w:pStyle w:val="20"/>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13A1313D">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00853178">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13068FCB">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3C4B170B">
      <w:pPr>
        <w:pStyle w:val="20"/>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5C9AFB38">
      <w:pPr>
        <w:pStyle w:val="20"/>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3880721D">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3BE9FED6">
      <w:pPr>
        <w:pStyle w:val="20"/>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ABD15C9">
      <w:pPr>
        <w:pStyle w:val="20"/>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5D17F4CB">
      <w:pPr>
        <w:pStyle w:val="20"/>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6A53C407">
      <w:pPr>
        <w:pStyle w:val="20"/>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38557033">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052E3F4F">
      <w:pPr>
        <w:pStyle w:val="2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238D1A1">
      <w:pPr>
        <w:pStyle w:val="20"/>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39AD812E">
      <w:pPr>
        <w:pStyle w:val="2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F812C4D">
      <w:pPr>
        <w:pStyle w:val="20"/>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4C44EBE8">
      <w:pPr>
        <w:pStyle w:val="20"/>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0596B40F">
      <w:pPr>
        <w:pStyle w:val="20"/>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7A9250D6">
      <w:pPr>
        <w:pStyle w:val="20"/>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7C2D3ED3">
      <w:pPr>
        <w:pStyle w:val="20"/>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35634C44">
      <w:pPr>
        <w:pStyle w:val="20"/>
        <w:spacing w:line="360" w:lineRule="auto"/>
        <w:ind w:left="25" w:leftChars="12" w:firstLine="352" w:firstLineChars="147"/>
        <w:rPr>
          <w:rFonts w:hAnsi="宋体" w:cs="宋体"/>
          <w:color w:val="auto"/>
          <w:sz w:val="24"/>
          <w:szCs w:val="24"/>
          <w:highlight w:val="none"/>
        </w:rPr>
      </w:pPr>
    </w:p>
    <w:p w14:paraId="21C77C19">
      <w:pPr>
        <w:pStyle w:val="20"/>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79CF277">
      <w:pPr>
        <w:pStyle w:val="20"/>
        <w:spacing w:line="360" w:lineRule="auto"/>
        <w:ind w:left="25" w:leftChars="12" w:firstLine="352" w:firstLineChars="147"/>
        <w:rPr>
          <w:rFonts w:hAnsi="宋体" w:cs="宋体"/>
          <w:color w:val="auto"/>
          <w:sz w:val="24"/>
          <w:szCs w:val="24"/>
          <w:highlight w:val="none"/>
        </w:rPr>
      </w:pPr>
    </w:p>
    <w:p w14:paraId="556A9B10">
      <w:pPr>
        <w:pStyle w:val="20"/>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0EBC065D">
      <w:pPr>
        <w:pStyle w:val="20"/>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 xml:space="preserve">                                                                                 </w:t>
      </w:r>
    </w:p>
    <w:p w14:paraId="52BFB280">
      <w:pPr>
        <w:pStyle w:val="2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1AD65B98">
      <w:pPr>
        <w:pStyle w:val="20"/>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1640DE6F">
      <w:pPr>
        <w:pStyle w:val="20"/>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54D95F6">
      <w:pPr>
        <w:pStyle w:val="20"/>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37A37D71">
      <w:pPr>
        <w:pStyle w:val="20"/>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58E51E02">
      <w:pPr>
        <w:pStyle w:val="20"/>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530738A5">
      <w:pPr>
        <w:pStyle w:val="20"/>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3D1028E6">
      <w:pPr>
        <w:rPr>
          <w:color w:val="auto"/>
          <w:highlight w:val="none"/>
        </w:rPr>
      </w:pPr>
      <w:bookmarkStart w:id="145" w:name="_Toc10662"/>
      <w:bookmarkStart w:id="146" w:name="_Toc1723"/>
      <w:bookmarkStart w:id="147" w:name="_Toc20110"/>
      <w:bookmarkStart w:id="148" w:name="_Toc19603"/>
      <w:bookmarkStart w:id="149" w:name="_Toc11130"/>
      <w:r>
        <w:rPr>
          <w:rFonts w:hint="eastAsia"/>
          <w:color w:val="auto"/>
          <w:highlight w:val="none"/>
        </w:rPr>
        <w:br w:type="page"/>
      </w:r>
    </w:p>
    <w:p w14:paraId="72D7A2AC">
      <w:pPr>
        <w:pStyle w:val="3"/>
        <w:rPr>
          <w:rFonts w:ascii="宋体" w:hAnsi="宋体" w:cs="宋体"/>
          <w:color w:val="auto"/>
          <w:szCs w:val="21"/>
          <w:highlight w:val="none"/>
        </w:rPr>
      </w:pPr>
      <w:r>
        <w:rPr>
          <w:rFonts w:hint="eastAsia"/>
          <w:color w:val="auto"/>
          <w:highlight w:val="none"/>
        </w:rPr>
        <w:t>第六章 合同文本</w:t>
      </w:r>
      <w:bookmarkEnd w:id="145"/>
      <w:bookmarkEnd w:id="146"/>
      <w:bookmarkEnd w:id="147"/>
      <w:bookmarkEnd w:id="148"/>
      <w:bookmarkEnd w:id="149"/>
      <w:r>
        <w:rPr>
          <w:rFonts w:hint="eastAsia" w:ascii="宋体" w:hAnsi="宋体" w:cs="宋体"/>
          <w:color w:val="auto"/>
          <w:szCs w:val="21"/>
          <w:highlight w:val="none"/>
        </w:rPr>
        <w:t xml:space="preserve">                                                            </w:t>
      </w:r>
    </w:p>
    <w:p w14:paraId="36D21FFC">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5935AA0C">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57D98CC">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717136C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3B58DB07">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131B3C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11AB7AB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71B24D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0D27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5D7F5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87EAF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FEA7E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7C63B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A5347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C1ABB2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14:paraId="45347B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3F6A5D4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  价</w:t>
            </w:r>
          </w:p>
          <w:p w14:paraId="4D76C1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14:paraId="263C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B527167">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0F006F4">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E0AB33B">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C9CDCCC">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1D22959">
            <w:pPr>
              <w:spacing w:line="360" w:lineRule="auto"/>
              <w:jc w:val="center"/>
              <w:rPr>
                <w:rFonts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963C346">
            <w:pPr>
              <w:spacing w:line="360" w:lineRule="auto"/>
              <w:jc w:val="center"/>
              <w:rPr>
                <w:rFonts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4E2C49F1">
            <w:pPr>
              <w:spacing w:line="360" w:lineRule="auto"/>
              <w:jc w:val="center"/>
              <w:rPr>
                <w:rFonts w:ascii="宋体" w:hAnsi="宋体" w:cs="宋体"/>
                <w:color w:val="auto"/>
                <w:szCs w:val="21"/>
                <w:highlight w:val="none"/>
              </w:rPr>
            </w:pPr>
          </w:p>
        </w:tc>
      </w:tr>
      <w:tr w14:paraId="68D0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1F7765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详见报价表</w:t>
            </w:r>
          </w:p>
        </w:tc>
      </w:tr>
      <w:tr w14:paraId="791D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56BB4976">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02F3C2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的价格；包含竞标服务、货物、、运输（含保险）、安装（如有）、调试、检验、技术服务、培训、税费等所有费用。如磋商文件对其另有规定的，从其规定。</w:t>
      </w:r>
    </w:p>
    <w:p w14:paraId="727EE58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0A3611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684E693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29ABD6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1、乙方应保证所提供服务在使用时不会侵犯任何第三方的专利权、商标权、著作权等知识产权及其他合法权利，且所有权、处分权等没有受到任何限制。</w:t>
      </w:r>
    </w:p>
    <w:p w14:paraId="34FEF7D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37A047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C26A4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合同履约期限</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ACC77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3B71C9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38D206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50A872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5、甲乙双方应按照《广西壮族自治区政府采购项目履约验收管理办法》、双方合同、响应文件验收。</w:t>
      </w:r>
    </w:p>
    <w:p w14:paraId="7A8372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1A183A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7197A6D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第五条  </w:t>
      </w:r>
      <w:r>
        <w:rPr>
          <w:rFonts w:hint="eastAsia" w:ascii="宋体" w:hAnsi="宋体" w:cs="宋体"/>
          <w:b/>
          <w:color w:val="auto"/>
          <w:szCs w:val="21"/>
          <w:highlight w:val="none"/>
          <w:lang w:eastAsia="zh-CN"/>
        </w:rPr>
        <w:t>后续服务</w:t>
      </w:r>
      <w:r>
        <w:rPr>
          <w:rFonts w:hint="eastAsia" w:ascii="宋体" w:hAnsi="宋体" w:cs="宋体"/>
          <w:b/>
          <w:color w:val="auto"/>
          <w:szCs w:val="21"/>
          <w:highlight w:val="none"/>
        </w:rPr>
        <w:t>及培训</w:t>
      </w:r>
    </w:p>
    <w:p w14:paraId="538D22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承诺》要求为甲方提供相应的</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w:t>
      </w:r>
    </w:p>
    <w:p w14:paraId="0D7558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7BF93D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9DAFC9">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63560AE2">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付款方式：</w:t>
      </w:r>
      <w:r>
        <w:rPr>
          <w:rFonts w:hint="eastAsia" w:ascii="宋体" w:hAnsi="宋体" w:cs="宋体"/>
          <w:bCs/>
          <w:color w:val="auto"/>
          <w:szCs w:val="21"/>
          <w:highlight w:val="none"/>
          <w:u w:val="single"/>
        </w:rPr>
        <w:t xml:space="preserve">                       </w:t>
      </w:r>
    </w:p>
    <w:p w14:paraId="70FE1ED3">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65B2E1AF">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本项目不收取履约保证金</w:t>
      </w:r>
    </w:p>
    <w:p w14:paraId="31F286D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62A028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本合同执行中依法产生的应由甲方或者乙方承担的一切税费均由乙方负担，合同另有约定的除外。</w:t>
      </w:r>
    </w:p>
    <w:p w14:paraId="544CEDD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54667B8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1、除不可抗力原因外，乙方没有按照合同规定的时间提供服务的，甲方可要求乙方支付违约金。每推迟一天按合同金额的3‰支付违约金，该违约金累计不超过合同金额的10%。                                  </w:t>
      </w:r>
    </w:p>
    <w:p w14:paraId="28B329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2、乙方提供的服务如侵犯了第三方合法权益而引发的任何纠纷或者诉讼，均由乙方负责交涉并承担全部责任。同时，甲方有权单方解除合同，合同金额没有支付的，不再支付；已经支付的，甲方有权追回，</w:t>
      </w:r>
    </w:p>
    <w:p w14:paraId="6C5B83F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且乙方应按合同金额20%承担违约金，违约金无法弥补甲方损失的，乙方应当继续赔偿。</w:t>
      </w:r>
    </w:p>
    <w:p w14:paraId="69E136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3、甲方延期付款的，每天向乙方偿付延期款额3‰违约金，但违约金累计不得超过延期款额5%。</w:t>
      </w:r>
    </w:p>
    <w:p w14:paraId="4AF530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所提供的服务成果、数量、技术参数要求(技术参数需求)等不符合甲方要求的，应及时整改；乙方在甲方规定期限内不能完成整改的或无正当理由拒绝整改或经整改后仍不能达到甲方要求的，甲方有权终止合同，追回已付款项，并按本合同总价的10%计算违约金。</w:t>
      </w:r>
    </w:p>
    <w:p w14:paraId="231DED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有权依据采购文件、响应文件及乙方的磋商承诺对乙方的服务人员进行管理或要求更换，对于甲方要求更换服务人员的，乙方应无条件及时更换;乙方拒绝更换的，甲方有权终止合同，并按本合同总价的10%计算违约金。</w:t>
      </w:r>
    </w:p>
    <w:p w14:paraId="444A8B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6、乙方未按本合同和响应文件中规定的服务承诺提供</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的，乙方应按本合同总金额的5%/次向甲方支付违约金。</w:t>
      </w:r>
    </w:p>
    <w:p w14:paraId="3F71E0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7、乙方提供的服务及其成果在服务期及售后期内，因设计缺陷或其它质量原因造成的问题，由乙方负责处理并承担费用。</w:t>
      </w:r>
    </w:p>
    <w:p w14:paraId="022473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由于乙方提供的产品和服务达不到磋商文件规定的服务质量、技术要求，致使验收不合格的，甲方不予验收，直至乙方按合同要求进行整改使该项目完全达到规定的技术及服务要求，整改期间产生的一切费用由乙方负责并承担逾期交付的违约责任。</w:t>
      </w:r>
    </w:p>
    <w:p w14:paraId="721EE5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9、乙方不能就所成交的项目进行分包、转包，如发现乙方有分包、转包现象，甲方有权单方解除合同，同时乙方应向甲方支付合同总金额20%的违约金，由此造成的损失由乙方负责。</w:t>
      </w:r>
    </w:p>
    <w:p w14:paraId="00D1A0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10、本合同有效期内，乙方因自身原因要求终止或解除合同，应返还甲方已付款项，并按合同总价款的20%承担违约责任。</w:t>
      </w:r>
    </w:p>
    <w:p w14:paraId="7783A9B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11、如乙方违反合同约定的信息安全及保密要求，每违反一次收取合同总金额0.2%的违约金，累计不超过合同总金额的30%，违约金不足以弥补甲方实际损失的，乙方还应支付赔偿金。</w:t>
      </w:r>
    </w:p>
    <w:p w14:paraId="1F482E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12、其它违约行为按合同总金额的5%收取违约金。</w:t>
      </w:r>
    </w:p>
    <w:p w14:paraId="0E6ACE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13、本条所称损失是指一方因另一方违约而遭受的全部经济损失(包括但不限于直接损失、间接损失及实现债权的费用，如诉讼费、律师费、差旅费、调查费、财产保全责任险保险费等)。</w:t>
      </w:r>
    </w:p>
    <w:p w14:paraId="0332585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14:paraId="7A9AC2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99B6A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1ADDE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43C0557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14:paraId="3AF2FC2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0B2061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738BFA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390759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3724B0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w:t>
      </w:r>
    </w:p>
    <w:p w14:paraId="619B55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8ED0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22D4902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54E1BC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03AC6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581251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1E6276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14:paraId="7B5BE3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2、竞标报价表；</w:t>
      </w:r>
    </w:p>
    <w:p w14:paraId="00FB1F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197131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4、服务方案；</w:t>
      </w:r>
    </w:p>
    <w:p w14:paraId="5D10B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1C4164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4F616C51">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六</w:t>
      </w:r>
      <w:r>
        <w:rPr>
          <w:rFonts w:hint="eastAsia" w:ascii="宋体" w:hAnsi="宋体" w:cs="宋体"/>
          <w:color w:val="auto"/>
          <w:szCs w:val="21"/>
          <w:highlight w:val="none"/>
        </w:rPr>
        <w:t>份，具有同等法律效力，采购代理机构一份，甲方</w:t>
      </w:r>
      <w:r>
        <w:rPr>
          <w:rFonts w:hint="eastAsia" w:ascii="宋体" w:hAnsi="宋体" w:cs="宋体"/>
          <w:color w:val="auto"/>
          <w:szCs w:val="21"/>
          <w:highlight w:val="none"/>
          <w:lang w:eastAsia="zh-CN"/>
        </w:rPr>
        <w:t>三</w:t>
      </w:r>
      <w:r>
        <w:rPr>
          <w:rFonts w:hint="eastAsia" w:ascii="宋体" w:hAnsi="宋体" w:cs="宋体"/>
          <w:color w:val="auto"/>
          <w:szCs w:val="21"/>
          <w:highlight w:val="none"/>
        </w:rPr>
        <w:t>份、乙方两份。</w:t>
      </w:r>
    </w:p>
    <w:p w14:paraId="32F01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本合同甲乙双方签字盖章后生效，本合同自签订之日起2个工作日内，甲方应当将采购合同在广西壮族自治区财政厅指定的媒体上公告。</w:t>
      </w:r>
    </w:p>
    <w:tbl>
      <w:tblPr>
        <w:tblStyle w:val="32"/>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43F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69681F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1E9BE5B9">
            <w:pPr>
              <w:snapToGrid w:val="0"/>
              <w:spacing w:line="360" w:lineRule="auto"/>
              <w:rPr>
                <w:rFonts w:ascii="宋体" w:hAnsi="宋体" w:cs="宋体"/>
                <w:color w:val="auto"/>
                <w:szCs w:val="21"/>
                <w:highlight w:val="none"/>
              </w:rPr>
            </w:pPr>
          </w:p>
          <w:p w14:paraId="3CE80E0E">
            <w:pPr>
              <w:snapToGrid w:val="0"/>
              <w:spacing w:line="360" w:lineRule="auto"/>
              <w:rPr>
                <w:rFonts w:ascii="宋体" w:hAnsi="宋体" w:cs="宋体"/>
                <w:color w:val="auto"/>
                <w:szCs w:val="21"/>
                <w:highlight w:val="none"/>
              </w:rPr>
            </w:pPr>
          </w:p>
          <w:p w14:paraId="1653D74A">
            <w:pPr>
              <w:snapToGrid w:val="0"/>
              <w:spacing w:line="360" w:lineRule="auto"/>
              <w:ind w:firstLine="945" w:firstLineChars="450"/>
              <w:jc w:val="right"/>
              <w:rPr>
                <w:rFonts w:ascii="宋体" w:hAnsi="宋体" w:cs="宋体"/>
                <w:color w:val="auto"/>
                <w:szCs w:val="21"/>
                <w:highlight w:val="none"/>
              </w:rPr>
            </w:pPr>
          </w:p>
          <w:p w14:paraId="1A166783">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589DC2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3C7B0207">
            <w:pPr>
              <w:snapToGrid w:val="0"/>
              <w:spacing w:line="360" w:lineRule="auto"/>
              <w:rPr>
                <w:rFonts w:ascii="宋体" w:hAnsi="宋体" w:cs="宋体"/>
                <w:color w:val="auto"/>
                <w:szCs w:val="21"/>
                <w:highlight w:val="none"/>
              </w:rPr>
            </w:pPr>
          </w:p>
          <w:p w14:paraId="05AB954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31528E9A">
            <w:pPr>
              <w:snapToGrid w:val="0"/>
              <w:spacing w:line="360" w:lineRule="auto"/>
              <w:jc w:val="right"/>
              <w:rPr>
                <w:rFonts w:ascii="宋体" w:hAnsi="宋体" w:cs="宋体"/>
                <w:color w:val="auto"/>
                <w:szCs w:val="21"/>
                <w:highlight w:val="none"/>
              </w:rPr>
            </w:pPr>
          </w:p>
          <w:p w14:paraId="7F0D7CF3">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2B1F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8012EB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865887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3C95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40F776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3DD0B6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5CE6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197B1F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D585B1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70F6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55D1F2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F41703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2318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2E4E75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7B33BC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42F5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DBB14C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32D11D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2B1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825CF8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11BBE7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10754496">
      <w:pPr>
        <w:widowControl/>
        <w:jc w:val="left"/>
        <w:rPr>
          <w:rFonts w:ascii="宋体" w:hAnsi="宋体" w:cs="宋体"/>
          <w:color w:val="auto"/>
          <w:sz w:val="20"/>
          <w:szCs w:val="20"/>
          <w:highlight w:val="none"/>
        </w:rPr>
      </w:pPr>
    </w:p>
    <w:p w14:paraId="4CD462A4">
      <w:pPr>
        <w:spacing w:before="4"/>
        <w:rPr>
          <w:rFonts w:ascii="宋体" w:hAnsi="宋体" w:cs="宋体"/>
          <w:color w:val="auto"/>
          <w:sz w:val="6"/>
          <w:szCs w:val="6"/>
          <w:highlight w:val="none"/>
        </w:rPr>
      </w:pPr>
    </w:p>
    <w:p w14:paraId="7B3C565B">
      <w:pPr>
        <w:spacing w:before="4"/>
        <w:rPr>
          <w:rFonts w:ascii="宋体" w:hAnsi="宋体" w:cs="宋体"/>
          <w:color w:val="auto"/>
          <w:sz w:val="6"/>
          <w:szCs w:val="6"/>
          <w:highlight w:val="none"/>
        </w:rPr>
      </w:pPr>
    </w:p>
    <w:sectPr>
      <w:footerReference r:id="rId10" w:type="first"/>
      <w:footerReference r:id="rId9" w:type="default"/>
      <w:pgSz w:w="11906" w:h="16838"/>
      <w:pgMar w:top="1134" w:right="1020" w:bottom="1134" w:left="1020"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5560E">
    <w:pPr>
      <w:pStyle w:val="23"/>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DBA067">
                          <w:pPr>
                            <w:pStyle w:val="23"/>
                          </w:pPr>
                          <w:r>
                            <w:fldChar w:fldCharType="begin"/>
                          </w:r>
                          <w:r>
                            <w:instrText xml:space="preserve"> PAGE  \* MERGEFORMAT </w:instrText>
                          </w:r>
                          <w:r>
                            <w:fldChar w:fldCharType="separate"/>
                          </w:r>
                          <w:r>
                            <w:t>87</w:t>
                          </w:r>
                          <w:r>
                            <w:fldChar w:fldCharType="end"/>
                          </w:r>
                        </w:p>
                      </w:txbxContent>
                    </wps:txbx>
                    <wps:bodyPr vert="horz" wrap="none" lIns="0" tIns="0" rIns="0" bIns="0" anchor="t" anchorCtr="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HIMVN8BAADDAwAADgAAAAAA&#10;AAABACAAAAAeAQAAZHJzL2Uyb0RvYy54bWxQSwUGAAAAAAYABgBZAQAAbwUAAAAA&#10;">
              <v:fill on="f" focussize="0,0"/>
              <v:stroke on="f"/>
              <v:imagedata o:title=""/>
              <o:lock v:ext="edit" aspectratio="f"/>
              <v:textbox inset="0mm,0mm,0mm,0mm" style="mso-fit-shape-to-text:t;">
                <w:txbxContent>
                  <w:p w14:paraId="34DBA067">
                    <w:pPr>
                      <w:pStyle w:val="23"/>
                    </w:pPr>
                    <w:r>
                      <w:fldChar w:fldCharType="begin"/>
                    </w:r>
                    <w:r>
                      <w:instrText xml:space="preserve"> PAGE  \* MERGEFORMAT </w:instrText>
                    </w:r>
                    <w:r>
                      <w:fldChar w:fldCharType="separate"/>
                    </w:r>
                    <w:r>
                      <w:t>87</w:t>
                    </w:r>
                    <w:r>
                      <w:fldChar w:fldCharType="end"/>
                    </w:r>
                  </w:p>
                </w:txbxContent>
              </v:textbox>
            </v:shape>
          </w:pict>
        </mc:Fallback>
      </mc:AlternateContent>
    </w:r>
  </w:p>
  <w:p w14:paraId="761144B8">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C01C0">
    <w:pPr>
      <w:pStyle w:val="23"/>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E9CBD2"/>
                      </w:txbxContent>
                    </wps:txbx>
                    <wps:bodyPr vert="horz" wrap="none" lIns="0" tIns="0" rIns="0" bIns="0" anchor="t" anchorCtr="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sxJE3gEAAMMDAAAOAAAAAAAA&#10;AAEAIAAAAB4BAABkcnMvZTJvRG9jLnhtbFBLBQYAAAAABgAGAFkBAABuBQAAAAA=&#10;">
              <v:fill on="f" focussize="0,0"/>
              <v:stroke on="f"/>
              <v:imagedata o:title=""/>
              <o:lock v:ext="edit" aspectratio="f"/>
              <v:textbox inset="0mm,0mm,0mm,0mm" style="mso-fit-shape-to-text:t;">
                <w:txbxContent>
                  <w:p w14:paraId="6DE9CBD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7E15">
    <w:pPr>
      <w:pStyle w:val="23"/>
      <w:tabs>
        <w:tab w:val="center" w:pos="4439"/>
        <w:tab w:val="clear" w:pos="4153"/>
      </w:tabs>
      <w:jc w:val="both"/>
    </w:pPr>
  </w:p>
  <w:p w14:paraId="607515BF">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4A38">
    <w:pPr>
      <w:pStyle w:val="23"/>
      <w:tabs>
        <w:tab w:val="center" w:pos="443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405CFA"/>
                      </w:txbxContent>
                    </wps:txbx>
                    <wps:bodyPr vert="horz" wrap="none" lIns="0" tIns="0" rIns="0" bIns="0" anchor="t" anchorCtr="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SL0IN8BAADDAwAADgAAAAAA&#10;AAABACAAAAAeAQAAZHJzL2Uyb0RvYy54bWxQSwUGAAAAAAYABgBZAQAAbwUAAAAA&#10;">
              <v:fill on="f" focussize="0,0"/>
              <v:stroke on="f"/>
              <v:imagedata o:title=""/>
              <o:lock v:ext="edit" aspectratio="f"/>
              <v:textbox inset="0mm,0mm,0mm,0mm" style="mso-fit-shape-to-text:t;">
                <w:txbxContent>
                  <w:p w14:paraId="13405CFA"/>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E279A">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51772D">
                          <w:pPr>
                            <w:pStyle w:val="23"/>
                            <w:jc w:val="center"/>
                          </w:pPr>
                          <w:r>
                            <w:fldChar w:fldCharType="begin"/>
                          </w:r>
                          <w:r>
                            <w:instrText xml:space="preserve"> PAGE  \* MERGEFORMAT </w:instrText>
                          </w:r>
                          <w:r>
                            <w:fldChar w:fldCharType="separate"/>
                          </w:r>
                          <w:r>
                            <w:t>51</w:t>
                          </w:r>
                          <w:r>
                            <w:fldChar w:fldCharType="end"/>
                          </w:r>
                        </w:p>
                      </w:txbxContent>
                    </wps:txbx>
                    <wps:bodyPr vert="horz" wrap="none" lIns="0" tIns="0" rIns="0" bIns="0" anchor="t" anchorCtr="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uosE3gEAAMMDAAAOAAAAAAAA&#10;AAEAIAAAAB4BAABkcnMvZTJvRG9jLnhtbFBLBQYAAAAABgAGAFkBAABuBQAAAAA=&#10;">
              <v:fill on="f" focussize="0,0"/>
              <v:stroke on="f"/>
              <v:imagedata o:title=""/>
              <o:lock v:ext="edit" aspectratio="f"/>
              <v:textbox inset="0mm,0mm,0mm,0mm" style="mso-fit-shape-to-text:t;">
                <w:txbxContent>
                  <w:p w14:paraId="6451772D">
                    <w:pPr>
                      <w:pStyle w:val="23"/>
                      <w:jc w:val="center"/>
                    </w:pPr>
                    <w:r>
                      <w:fldChar w:fldCharType="begin"/>
                    </w:r>
                    <w:r>
                      <w:instrText xml:space="preserve"> PAGE  \* MERGEFORMAT </w:instrText>
                    </w:r>
                    <w:r>
                      <w:fldChar w:fldCharType="separate"/>
                    </w:r>
                    <w:r>
                      <w:t>51</w:t>
                    </w:r>
                    <w:r>
                      <w:fldChar w:fldCharType="end"/>
                    </w:r>
                  </w:p>
                </w:txbxContent>
              </v:textbox>
            </v:shape>
          </w:pict>
        </mc:Fallback>
      </mc:AlternateContent>
    </w:r>
  </w:p>
  <w:p w14:paraId="1BC8EBB3">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B8B1">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5EE073">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HccQs3gEAAMMDAAAOAAAAAAAA&#10;AAEAIAAAAB4BAABkcnMvZTJvRG9jLnhtbFBLBQYAAAAABgAGAFkBAABuBQAAAAA=&#10;">
              <v:fill on="f" focussize="0,0"/>
              <v:stroke on="f"/>
              <v:imagedata o:title=""/>
              <o:lock v:ext="edit" aspectratio="f"/>
              <v:textbox inset="0mm,0mm,0mm,0mm" style="mso-fit-shape-to-text:t;">
                <w:txbxContent>
                  <w:p w14:paraId="0E5EE073">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BE60">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50C96">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75099"/>
    <w:multiLevelType w:val="multilevel"/>
    <w:tmpl w:val="5EE75099"/>
    <w:lvl w:ilvl="0" w:tentative="0">
      <w:start w:val="1"/>
      <w:numFmt w:val="chineseCountingThousand"/>
      <w:pStyle w:val="85"/>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978"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firstLine="0"/>
      </w:pPr>
      <w:rPr>
        <w:rFonts w:hint="eastAsia" w:ascii="宋体" w:hAnsi="宋体" w:eastAsia="宋体" w:cs="宋体"/>
        <w:b/>
      </w:rPr>
    </w:lvl>
    <w:lvl w:ilvl="5" w:tentative="0">
      <w:start w:val="1"/>
      <w:numFmt w:val="decimal"/>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dit="readOnly" w:formatting="1" w:enforcement="1" w:cryptProviderType="rsaFull" w:cryptAlgorithmClass="hash" w:cryptAlgorithmType="typeAny" w:cryptAlgorithmSid="4" w:cryptSpinCount="0" w:hash="z7rfDhuW4H/1xI5O9hyC7xQW0mA=" w:salt="mhrirFAmbm1EvfJv/vX3dQ=="/>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Nzg2NzY5NzM5NWYzYjBlNTA3MTIyZDljZTlhZmEifQ=="/>
    <w:docVar w:name="KSO_WPS_MARK_KEY" w:val="b95ecb36-b825-4aab-a484-008294de2a68"/>
  </w:docVars>
  <w:rsids>
    <w:rsidRoot w:val="00F34B14"/>
    <w:rsid w:val="00000672"/>
    <w:rsid w:val="00001013"/>
    <w:rsid w:val="00001799"/>
    <w:rsid w:val="00001AF2"/>
    <w:rsid w:val="00001ECA"/>
    <w:rsid w:val="00002D29"/>
    <w:rsid w:val="00002EAF"/>
    <w:rsid w:val="00003B93"/>
    <w:rsid w:val="0000474D"/>
    <w:rsid w:val="00005164"/>
    <w:rsid w:val="00005FDF"/>
    <w:rsid w:val="00006851"/>
    <w:rsid w:val="00006AC0"/>
    <w:rsid w:val="000070B3"/>
    <w:rsid w:val="000076B8"/>
    <w:rsid w:val="000109DC"/>
    <w:rsid w:val="00010D39"/>
    <w:rsid w:val="0001172C"/>
    <w:rsid w:val="00011BC9"/>
    <w:rsid w:val="00011C99"/>
    <w:rsid w:val="00012854"/>
    <w:rsid w:val="000129DB"/>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7F2"/>
    <w:rsid w:val="00020813"/>
    <w:rsid w:val="000220B2"/>
    <w:rsid w:val="0002264C"/>
    <w:rsid w:val="00022731"/>
    <w:rsid w:val="00022792"/>
    <w:rsid w:val="00024463"/>
    <w:rsid w:val="00025461"/>
    <w:rsid w:val="00025636"/>
    <w:rsid w:val="00025E36"/>
    <w:rsid w:val="00026855"/>
    <w:rsid w:val="00026886"/>
    <w:rsid w:val="0002785D"/>
    <w:rsid w:val="000279F1"/>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2BC8"/>
    <w:rsid w:val="00073F47"/>
    <w:rsid w:val="0007492F"/>
    <w:rsid w:val="00074ED8"/>
    <w:rsid w:val="00075B7E"/>
    <w:rsid w:val="00077266"/>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0E"/>
    <w:rsid w:val="000860BD"/>
    <w:rsid w:val="0008694B"/>
    <w:rsid w:val="000871B8"/>
    <w:rsid w:val="00087B0A"/>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6829"/>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29A2"/>
    <w:rsid w:val="000D320C"/>
    <w:rsid w:val="000D341C"/>
    <w:rsid w:val="000D411D"/>
    <w:rsid w:val="000D4589"/>
    <w:rsid w:val="000D4809"/>
    <w:rsid w:val="000D73DD"/>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339"/>
    <w:rsid w:val="000F7AF4"/>
    <w:rsid w:val="000F7C33"/>
    <w:rsid w:val="000F7F0C"/>
    <w:rsid w:val="001004D6"/>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2B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2A96"/>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600"/>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541"/>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A20"/>
    <w:rsid w:val="001A6B27"/>
    <w:rsid w:val="001A6D8B"/>
    <w:rsid w:val="001A6DAA"/>
    <w:rsid w:val="001A7717"/>
    <w:rsid w:val="001A793A"/>
    <w:rsid w:val="001B125A"/>
    <w:rsid w:val="001B1EBA"/>
    <w:rsid w:val="001B2142"/>
    <w:rsid w:val="001B2C23"/>
    <w:rsid w:val="001B2F2B"/>
    <w:rsid w:val="001B327A"/>
    <w:rsid w:val="001B3338"/>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37B7"/>
    <w:rsid w:val="001C4287"/>
    <w:rsid w:val="001C4479"/>
    <w:rsid w:val="001C5190"/>
    <w:rsid w:val="001C6081"/>
    <w:rsid w:val="001C73EB"/>
    <w:rsid w:val="001C7B48"/>
    <w:rsid w:val="001C7CFB"/>
    <w:rsid w:val="001D0A5D"/>
    <w:rsid w:val="001D0CFB"/>
    <w:rsid w:val="001D1A0D"/>
    <w:rsid w:val="001D343C"/>
    <w:rsid w:val="001D4BBD"/>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6F91"/>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12F6"/>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495"/>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145"/>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4C"/>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5579"/>
    <w:rsid w:val="003667B0"/>
    <w:rsid w:val="003667DD"/>
    <w:rsid w:val="00366B48"/>
    <w:rsid w:val="00366E6E"/>
    <w:rsid w:val="00367764"/>
    <w:rsid w:val="00370316"/>
    <w:rsid w:val="00370D59"/>
    <w:rsid w:val="00370DC7"/>
    <w:rsid w:val="00371CBD"/>
    <w:rsid w:val="00371F20"/>
    <w:rsid w:val="003721E3"/>
    <w:rsid w:val="00372B98"/>
    <w:rsid w:val="003737B7"/>
    <w:rsid w:val="0037392D"/>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5130"/>
    <w:rsid w:val="003861F0"/>
    <w:rsid w:val="00387051"/>
    <w:rsid w:val="00387ECF"/>
    <w:rsid w:val="0039021B"/>
    <w:rsid w:val="003903F7"/>
    <w:rsid w:val="00390429"/>
    <w:rsid w:val="00390666"/>
    <w:rsid w:val="003906A0"/>
    <w:rsid w:val="00391E03"/>
    <w:rsid w:val="003931AF"/>
    <w:rsid w:val="0039366C"/>
    <w:rsid w:val="00393EC8"/>
    <w:rsid w:val="00394456"/>
    <w:rsid w:val="00395E42"/>
    <w:rsid w:val="00396409"/>
    <w:rsid w:val="00396A2D"/>
    <w:rsid w:val="00396FC3"/>
    <w:rsid w:val="003A1A94"/>
    <w:rsid w:val="003A204E"/>
    <w:rsid w:val="003A2D25"/>
    <w:rsid w:val="003A5728"/>
    <w:rsid w:val="003A60AB"/>
    <w:rsid w:val="003A60E7"/>
    <w:rsid w:val="003A7092"/>
    <w:rsid w:val="003A72A1"/>
    <w:rsid w:val="003A7611"/>
    <w:rsid w:val="003A7D1F"/>
    <w:rsid w:val="003A7D3E"/>
    <w:rsid w:val="003B0A61"/>
    <w:rsid w:val="003B0B6A"/>
    <w:rsid w:val="003B22F7"/>
    <w:rsid w:val="003B29CF"/>
    <w:rsid w:val="003B3A90"/>
    <w:rsid w:val="003B3D01"/>
    <w:rsid w:val="003B4D34"/>
    <w:rsid w:val="003B534F"/>
    <w:rsid w:val="003B751E"/>
    <w:rsid w:val="003B7A79"/>
    <w:rsid w:val="003C065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29B7"/>
    <w:rsid w:val="003F3232"/>
    <w:rsid w:val="003F3865"/>
    <w:rsid w:val="003F38AC"/>
    <w:rsid w:val="003F3D55"/>
    <w:rsid w:val="003F44E2"/>
    <w:rsid w:val="003F4632"/>
    <w:rsid w:val="003F47BA"/>
    <w:rsid w:val="003F4FE6"/>
    <w:rsid w:val="003F5638"/>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7AF"/>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1"/>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0879"/>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3C"/>
    <w:rsid w:val="004A6CB0"/>
    <w:rsid w:val="004A70FF"/>
    <w:rsid w:val="004A7EDE"/>
    <w:rsid w:val="004B0D93"/>
    <w:rsid w:val="004B1FA4"/>
    <w:rsid w:val="004B23EC"/>
    <w:rsid w:val="004B29AC"/>
    <w:rsid w:val="004B35DF"/>
    <w:rsid w:val="004B3627"/>
    <w:rsid w:val="004B4922"/>
    <w:rsid w:val="004B57DF"/>
    <w:rsid w:val="004B5976"/>
    <w:rsid w:val="004B60F7"/>
    <w:rsid w:val="004B6496"/>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4AF"/>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6A7"/>
    <w:rsid w:val="00543AF4"/>
    <w:rsid w:val="00543F53"/>
    <w:rsid w:val="00544191"/>
    <w:rsid w:val="0054440C"/>
    <w:rsid w:val="005448EC"/>
    <w:rsid w:val="00544C0A"/>
    <w:rsid w:val="00544F39"/>
    <w:rsid w:val="005457FB"/>
    <w:rsid w:val="005458CD"/>
    <w:rsid w:val="00546F89"/>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3D"/>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D7A7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359B3"/>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4E5D"/>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022"/>
    <w:rsid w:val="00690437"/>
    <w:rsid w:val="00690679"/>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0132"/>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D7E24"/>
    <w:rsid w:val="006E0754"/>
    <w:rsid w:val="006E2668"/>
    <w:rsid w:val="006E2D39"/>
    <w:rsid w:val="006E2D63"/>
    <w:rsid w:val="006E32B0"/>
    <w:rsid w:val="006E348E"/>
    <w:rsid w:val="006E396A"/>
    <w:rsid w:val="006E3D63"/>
    <w:rsid w:val="006E585E"/>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2656"/>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7A43"/>
    <w:rsid w:val="00727FF2"/>
    <w:rsid w:val="00730550"/>
    <w:rsid w:val="00730C2A"/>
    <w:rsid w:val="00730FB4"/>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053"/>
    <w:rsid w:val="00757673"/>
    <w:rsid w:val="0076106D"/>
    <w:rsid w:val="007623FB"/>
    <w:rsid w:val="00762517"/>
    <w:rsid w:val="00763240"/>
    <w:rsid w:val="0076354C"/>
    <w:rsid w:val="0076376A"/>
    <w:rsid w:val="007648AD"/>
    <w:rsid w:val="0076504E"/>
    <w:rsid w:val="0076554C"/>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1E6D"/>
    <w:rsid w:val="00791EB5"/>
    <w:rsid w:val="00793307"/>
    <w:rsid w:val="0079343F"/>
    <w:rsid w:val="00793696"/>
    <w:rsid w:val="007955DA"/>
    <w:rsid w:val="00796F65"/>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5065"/>
    <w:rsid w:val="007E6914"/>
    <w:rsid w:val="007E6B65"/>
    <w:rsid w:val="007E7F78"/>
    <w:rsid w:val="007F0179"/>
    <w:rsid w:val="007F1D16"/>
    <w:rsid w:val="007F2C13"/>
    <w:rsid w:val="007F2CEC"/>
    <w:rsid w:val="007F3327"/>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2B6"/>
    <w:rsid w:val="008166F6"/>
    <w:rsid w:val="00816BE9"/>
    <w:rsid w:val="00817D10"/>
    <w:rsid w:val="00822518"/>
    <w:rsid w:val="008226F5"/>
    <w:rsid w:val="00823109"/>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152"/>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063A"/>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0CEC"/>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3E75"/>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2B3"/>
    <w:rsid w:val="008F33A9"/>
    <w:rsid w:val="008F357B"/>
    <w:rsid w:val="008F44CA"/>
    <w:rsid w:val="008F49D3"/>
    <w:rsid w:val="008F6519"/>
    <w:rsid w:val="008F7012"/>
    <w:rsid w:val="008F75B6"/>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A73"/>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67F5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87F24"/>
    <w:rsid w:val="00990225"/>
    <w:rsid w:val="00991307"/>
    <w:rsid w:val="00992A13"/>
    <w:rsid w:val="00994AAD"/>
    <w:rsid w:val="00995150"/>
    <w:rsid w:val="00995475"/>
    <w:rsid w:val="00995D67"/>
    <w:rsid w:val="00996E5D"/>
    <w:rsid w:val="00997613"/>
    <w:rsid w:val="009A013B"/>
    <w:rsid w:val="009A02F4"/>
    <w:rsid w:val="009A06BF"/>
    <w:rsid w:val="009A0D17"/>
    <w:rsid w:val="009A2494"/>
    <w:rsid w:val="009A32B1"/>
    <w:rsid w:val="009A33A3"/>
    <w:rsid w:val="009A36F2"/>
    <w:rsid w:val="009A40C3"/>
    <w:rsid w:val="009A40D5"/>
    <w:rsid w:val="009A5268"/>
    <w:rsid w:val="009A57D0"/>
    <w:rsid w:val="009A5BAA"/>
    <w:rsid w:val="009A6559"/>
    <w:rsid w:val="009A68FC"/>
    <w:rsid w:val="009A6CE4"/>
    <w:rsid w:val="009A6EC3"/>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B7DC0"/>
    <w:rsid w:val="009C079D"/>
    <w:rsid w:val="009C0D70"/>
    <w:rsid w:val="009C13D1"/>
    <w:rsid w:val="009C2913"/>
    <w:rsid w:val="009C2BD4"/>
    <w:rsid w:val="009C3E72"/>
    <w:rsid w:val="009C4AE8"/>
    <w:rsid w:val="009C5848"/>
    <w:rsid w:val="009C5AFE"/>
    <w:rsid w:val="009C5F31"/>
    <w:rsid w:val="009C6606"/>
    <w:rsid w:val="009C6CE5"/>
    <w:rsid w:val="009C6D50"/>
    <w:rsid w:val="009C7547"/>
    <w:rsid w:val="009D0199"/>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833"/>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AEC"/>
    <w:rsid w:val="00A23C18"/>
    <w:rsid w:val="00A23E0A"/>
    <w:rsid w:val="00A247B8"/>
    <w:rsid w:val="00A2495A"/>
    <w:rsid w:val="00A24C7A"/>
    <w:rsid w:val="00A24D8F"/>
    <w:rsid w:val="00A25B8B"/>
    <w:rsid w:val="00A266D3"/>
    <w:rsid w:val="00A2689F"/>
    <w:rsid w:val="00A26ECA"/>
    <w:rsid w:val="00A27461"/>
    <w:rsid w:val="00A27B41"/>
    <w:rsid w:val="00A27D67"/>
    <w:rsid w:val="00A30ABC"/>
    <w:rsid w:val="00A322B4"/>
    <w:rsid w:val="00A33B74"/>
    <w:rsid w:val="00A34381"/>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5C"/>
    <w:rsid w:val="00A504FA"/>
    <w:rsid w:val="00A5102E"/>
    <w:rsid w:val="00A5132E"/>
    <w:rsid w:val="00A51375"/>
    <w:rsid w:val="00A51533"/>
    <w:rsid w:val="00A52D36"/>
    <w:rsid w:val="00A531D4"/>
    <w:rsid w:val="00A54572"/>
    <w:rsid w:val="00A54DA4"/>
    <w:rsid w:val="00A575B8"/>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9FA"/>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2C54"/>
    <w:rsid w:val="00AB38CB"/>
    <w:rsid w:val="00AB3BEC"/>
    <w:rsid w:val="00AB44E4"/>
    <w:rsid w:val="00AB499C"/>
    <w:rsid w:val="00AB4AEB"/>
    <w:rsid w:val="00AB4E5F"/>
    <w:rsid w:val="00AB5352"/>
    <w:rsid w:val="00AB56AE"/>
    <w:rsid w:val="00AB62D5"/>
    <w:rsid w:val="00AB65B5"/>
    <w:rsid w:val="00AB6DCD"/>
    <w:rsid w:val="00AB6EE0"/>
    <w:rsid w:val="00AB73DC"/>
    <w:rsid w:val="00AC08E9"/>
    <w:rsid w:val="00AC17A2"/>
    <w:rsid w:val="00AC40B7"/>
    <w:rsid w:val="00AC4680"/>
    <w:rsid w:val="00AC516B"/>
    <w:rsid w:val="00AC531F"/>
    <w:rsid w:val="00AC5AAA"/>
    <w:rsid w:val="00AC5B36"/>
    <w:rsid w:val="00AC6377"/>
    <w:rsid w:val="00AC66A4"/>
    <w:rsid w:val="00AC6CB1"/>
    <w:rsid w:val="00AC75E9"/>
    <w:rsid w:val="00AC7D6D"/>
    <w:rsid w:val="00AD0091"/>
    <w:rsid w:val="00AD1A28"/>
    <w:rsid w:val="00AD23EF"/>
    <w:rsid w:val="00AD2662"/>
    <w:rsid w:val="00AD307B"/>
    <w:rsid w:val="00AD4014"/>
    <w:rsid w:val="00AD41B3"/>
    <w:rsid w:val="00AD5721"/>
    <w:rsid w:val="00AD663B"/>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5DB7"/>
    <w:rsid w:val="00AE7280"/>
    <w:rsid w:val="00AF01FA"/>
    <w:rsid w:val="00AF033A"/>
    <w:rsid w:val="00AF082B"/>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3F1F"/>
    <w:rsid w:val="00B247BB"/>
    <w:rsid w:val="00B2504A"/>
    <w:rsid w:val="00B25EE6"/>
    <w:rsid w:val="00B2685C"/>
    <w:rsid w:val="00B30CD6"/>
    <w:rsid w:val="00B3115A"/>
    <w:rsid w:val="00B31825"/>
    <w:rsid w:val="00B31A5C"/>
    <w:rsid w:val="00B32265"/>
    <w:rsid w:val="00B3276D"/>
    <w:rsid w:val="00B33B06"/>
    <w:rsid w:val="00B33C19"/>
    <w:rsid w:val="00B359E2"/>
    <w:rsid w:val="00B35A15"/>
    <w:rsid w:val="00B35B45"/>
    <w:rsid w:val="00B36A99"/>
    <w:rsid w:val="00B40143"/>
    <w:rsid w:val="00B42264"/>
    <w:rsid w:val="00B42A5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167"/>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7712"/>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9719E"/>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49C7"/>
    <w:rsid w:val="00BC588C"/>
    <w:rsid w:val="00BC6785"/>
    <w:rsid w:val="00BC67FF"/>
    <w:rsid w:val="00BC6E73"/>
    <w:rsid w:val="00BC74D3"/>
    <w:rsid w:val="00BD0014"/>
    <w:rsid w:val="00BD01D8"/>
    <w:rsid w:val="00BD1A08"/>
    <w:rsid w:val="00BD255F"/>
    <w:rsid w:val="00BD2895"/>
    <w:rsid w:val="00BD4236"/>
    <w:rsid w:val="00BD483B"/>
    <w:rsid w:val="00BD5CD4"/>
    <w:rsid w:val="00BD65D9"/>
    <w:rsid w:val="00BD6DF3"/>
    <w:rsid w:val="00BD6E09"/>
    <w:rsid w:val="00BD6EF9"/>
    <w:rsid w:val="00BE0ACB"/>
    <w:rsid w:val="00BE180B"/>
    <w:rsid w:val="00BE2260"/>
    <w:rsid w:val="00BE32F3"/>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EB9"/>
    <w:rsid w:val="00C1711B"/>
    <w:rsid w:val="00C17AE2"/>
    <w:rsid w:val="00C20140"/>
    <w:rsid w:val="00C20F27"/>
    <w:rsid w:val="00C210A1"/>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4A36"/>
    <w:rsid w:val="00C46B95"/>
    <w:rsid w:val="00C4712A"/>
    <w:rsid w:val="00C47F88"/>
    <w:rsid w:val="00C5034F"/>
    <w:rsid w:val="00C50830"/>
    <w:rsid w:val="00C52479"/>
    <w:rsid w:val="00C5266E"/>
    <w:rsid w:val="00C52C59"/>
    <w:rsid w:val="00C5349E"/>
    <w:rsid w:val="00C539FF"/>
    <w:rsid w:val="00C544BD"/>
    <w:rsid w:val="00C549BB"/>
    <w:rsid w:val="00C54D3D"/>
    <w:rsid w:val="00C55A30"/>
    <w:rsid w:val="00C56384"/>
    <w:rsid w:val="00C568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6CCF"/>
    <w:rsid w:val="00C77818"/>
    <w:rsid w:val="00C8063F"/>
    <w:rsid w:val="00C80931"/>
    <w:rsid w:val="00C81282"/>
    <w:rsid w:val="00C827B4"/>
    <w:rsid w:val="00C82B40"/>
    <w:rsid w:val="00C83214"/>
    <w:rsid w:val="00C8329F"/>
    <w:rsid w:val="00C84F8A"/>
    <w:rsid w:val="00C85BA4"/>
    <w:rsid w:val="00C8618F"/>
    <w:rsid w:val="00C8625D"/>
    <w:rsid w:val="00C87F3F"/>
    <w:rsid w:val="00C90372"/>
    <w:rsid w:val="00C9041F"/>
    <w:rsid w:val="00C9112E"/>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1E61"/>
    <w:rsid w:val="00CA25C0"/>
    <w:rsid w:val="00CA3451"/>
    <w:rsid w:val="00CA35C6"/>
    <w:rsid w:val="00CA4669"/>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60E2"/>
    <w:rsid w:val="00CF7074"/>
    <w:rsid w:val="00CF7495"/>
    <w:rsid w:val="00D00E12"/>
    <w:rsid w:val="00D01CF9"/>
    <w:rsid w:val="00D02BF7"/>
    <w:rsid w:val="00D02FFD"/>
    <w:rsid w:val="00D0334D"/>
    <w:rsid w:val="00D0374D"/>
    <w:rsid w:val="00D06851"/>
    <w:rsid w:val="00D06D7B"/>
    <w:rsid w:val="00D06DA5"/>
    <w:rsid w:val="00D07191"/>
    <w:rsid w:val="00D07ECE"/>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6D"/>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FCE"/>
    <w:rsid w:val="00D9074A"/>
    <w:rsid w:val="00D9099E"/>
    <w:rsid w:val="00D9193A"/>
    <w:rsid w:val="00D923B2"/>
    <w:rsid w:val="00D92463"/>
    <w:rsid w:val="00D93E29"/>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BB4"/>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9AF"/>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A9"/>
    <w:rsid w:val="00E477C3"/>
    <w:rsid w:val="00E51E16"/>
    <w:rsid w:val="00E52DED"/>
    <w:rsid w:val="00E53730"/>
    <w:rsid w:val="00E5438D"/>
    <w:rsid w:val="00E54511"/>
    <w:rsid w:val="00E54E50"/>
    <w:rsid w:val="00E54EC9"/>
    <w:rsid w:val="00E55288"/>
    <w:rsid w:val="00E57577"/>
    <w:rsid w:val="00E60A2E"/>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342"/>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8A3"/>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1905"/>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414"/>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BED"/>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4849"/>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2E"/>
    <w:rsid w:val="00FD0AB7"/>
    <w:rsid w:val="00FD297D"/>
    <w:rsid w:val="00FD2D13"/>
    <w:rsid w:val="00FD374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6E91"/>
    <w:rsid w:val="00FE7A68"/>
    <w:rsid w:val="00FF0231"/>
    <w:rsid w:val="00FF1C9B"/>
    <w:rsid w:val="00FF1D49"/>
    <w:rsid w:val="00FF203B"/>
    <w:rsid w:val="00FF2562"/>
    <w:rsid w:val="00FF2B6C"/>
    <w:rsid w:val="00FF3A41"/>
    <w:rsid w:val="00FF3E5B"/>
    <w:rsid w:val="00FF4C8E"/>
    <w:rsid w:val="00FF57E4"/>
    <w:rsid w:val="00FF62AA"/>
    <w:rsid w:val="00FF78E5"/>
    <w:rsid w:val="010827C0"/>
    <w:rsid w:val="0119677B"/>
    <w:rsid w:val="012C5FAF"/>
    <w:rsid w:val="01AF3D99"/>
    <w:rsid w:val="01B52C2D"/>
    <w:rsid w:val="01F91C73"/>
    <w:rsid w:val="01F96404"/>
    <w:rsid w:val="0201302D"/>
    <w:rsid w:val="02200AAA"/>
    <w:rsid w:val="02247ACE"/>
    <w:rsid w:val="02337361"/>
    <w:rsid w:val="02511F9D"/>
    <w:rsid w:val="0296130E"/>
    <w:rsid w:val="02DB6B5E"/>
    <w:rsid w:val="03447834"/>
    <w:rsid w:val="034C02C0"/>
    <w:rsid w:val="035100F2"/>
    <w:rsid w:val="0351508B"/>
    <w:rsid w:val="036543A8"/>
    <w:rsid w:val="03654FA1"/>
    <w:rsid w:val="038F7090"/>
    <w:rsid w:val="03A03330"/>
    <w:rsid w:val="03A314B8"/>
    <w:rsid w:val="03B7227C"/>
    <w:rsid w:val="03BB1D6C"/>
    <w:rsid w:val="03C5243A"/>
    <w:rsid w:val="03D82B98"/>
    <w:rsid w:val="03E47515"/>
    <w:rsid w:val="03F83E8B"/>
    <w:rsid w:val="03FF37B7"/>
    <w:rsid w:val="04140663"/>
    <w:rsid w:val="04181B28"/>
    <w:rsid w:val="0451328B"/>
    <w:rsid w:val="046269DF"/>
    <w:rsid w:val="04BF763A"/>
    <w:rsid w:val="04CD61FB"/>
    <w:rsid w:val="04EF7F2B"/>
    <w:rsid w:val="050140F6"/>
    <w:rsid w:val="05067536"/>
    <w:rsid w:val="051929AB"/>
    <w:rsid w:val="05305068"/>
    <w:rsid w:val="05A131E3"/>
    <w:rsid w:val="05AC1B2E"/>
    <w:rsid w:val="05C56868"/>
    <w:rsid w:val="05CB2E5F"/>
    <w:rsid w:val="061C715B"/>
    <w:rsid w:val="06472F82"/>
    <w:rsid w:val="06705FB0"/>
    <w:rsid w:val="068F128E"/>
    <w:rsid w:val="0693415D"/>
    <w:rsid w:val="06EF31F8"/>
    <w:rsid w:val="06F2558C"/>
    <w:rsid w:val="06F62EB9"/>
    <w:rsid w:val="07017BB4"/>
    <w:rsid w:val="07131CDD"/>
    <w:rsid w:val="07A33592"/>
    <w:rsid w:val="07B72767"/>
    <w:rsid w:val="07BB67DE"/>
    <w:rsid w:val="07D63618"/>
    <w:rsid w:val="07E43A81"/>
    <w:rsid w:val="07FB4E2D"/>
    <w:rsid w:val="08077E72"/>
    <w:rsid w:val="0832086E"/>
    <w:rsid w:val="083245C7"/>
    <w:rsid w:val="0843490A"/>
    <w:rsid w:val="08492301"/>
    <w:rsid w:val="08882DD0"/>
    <w:rsid w:val="08946FCA"/>
    <w:rsid w:val="08B80099"/>
    <w:rsid w:val="09364131"/>
    <w:rsid w:val="093F3D8B"/>
    <w:rsid w:val="09666C3E"/>
    <w:rsid w:val="096B752A"/>
    <w:rsid w:val="097474D2"/>
    <w:rsid w:val="097F383C"/>
    <w:rsid w:val="0981726F"/>
    <w:rsid w:val="098F7F12"/>
    <w:rsid w:val="09925144"/>
    <w:rsid w:val="09C23374"/>
    <w:rsid w:val="09CA084E"/>
    <w:rsid w:val="09CC2AAC"/>
    <w:rsid w:val="09EF16FD"/>
    <w:rsid w:val="0A092713"/>
    <w:rsid w:val="0A09478D"/>
    <w:rsid w:val="0A256191"/>
    <w:rsid w:val="0A397E8E"/>
    <w:rsid w:val="0A3A5CCA"/>
    <w:rsid w:val="0A3D797F"/>
    <w:rsid w:val="0A423A07"/>
    <w:rsid w:val="0A4A5BF8"/>
    <w:rsid w:val="0A652D3E"/>
    <w:rsid w:val="0A6E5D8A"/>
    <w:rsid w:val="0A7F7F97"/>
    <w:rsid w:val="0AAF0151"/>
    <w:rsid w:val="0AD876A7"/>
    <w:rsid w:val="0B0E1130"/>
    <w:rsid w:val="0B305702"/>
    <w:rsid w:val="0B326F2A"/>
    <w:rsid w:val="0B372620"/>
    <w:rsid w:val="0B3E3044"/>
    <w:rsid w:val="0B5374D4"/>
    <w:rsid w:val="0BFE313E"/>
    <w:rsid w:val="0C1E2888"/>
    <w:rsid w:val="0C350E08"/>
    <w:rsid w:val="0C4C20FB"/>
    <w:rsid w:val="0C6531BD"/>
    <w:rsid w:val="0C8E61AF"/>
    <w:rsid w:val="0C8F1FE8"/>
    <w:rsid w:val="0C92213C"/>
    <w:rsid w:val="0CAF06D2"/>
    <w:rsid w:val="0CBE28CD"/>
    <w:rsid w:val="0CC2027E"/>
    <w:rsid w:val="0D7B16D9"/>
    <w:rsid w:val="0D84032B"/>
    <w:rsid w:val="0D860CD8"/>
    <w:rsid w:val="0DB13EEB"/>
    <w:rsid w:val="0DB735A4"/>
    <w:rsid w:val="0E14123E"/>
    <w:rsid w:val="0E6454B7"/>
    <w:rsid w:val="0E8A6F0A"/>
    <w:rsid w:val="0E9F1D9F"/>
    <w:rsid w:val="0E9F560A"/>
    <w:rsid w:val="0ECE329B"/>
    <w:rsid w:val="0EE428AF"/>
    <w:rsid w:val="0EF645A0"/>
    <w:rsid w:val="0F094436"/>
    <w:rsid w:val="0F20260A"/>
    <w:rsid w:val="0F2A74C4"/>
    <w:rsid w:val="0F5A5D56"/>
    <w:rsid w:val="0F620A10"/>
    <w:rsid w:val="0F711E78"/>
    <w:rsid w:val="0F7729A5"/>
    <w:rsid w:val="0FA61B22"/>
    <w:rsid w:val="0FE13208"/>
    <w:rsid w:val="10014FAA"/>
    <w:rsid w:val="101E5B5C"/>
    <w:rsid w:val="104717B1"/>
    <w:rsid w:val="104A1F3F"/>
    <w:rsid w:val="104A4BA3"/>
    <w:rsid w:val="107240FA"/>
    <w:rsid w:val="108D4996"/>
    <w:rsid w:val="10A27F31"/>
    <w:rsid w:val="10A65B52"/>
    <w:rsid w:val="10BC7C76"/>
    <w:rsid w:val="10DC1574"/>
    <w:rsid w:val="10E03CC6"/>
    <w:rsid w:val="11101D8E"/>
    <w:rsid w:val="113F5142"/>
    <w:rsid w:val="115B4B8E"/>
    <w:rsid w:val="118916FB"/>
    <w:rsid w:val="11927058"/>
    <w:rsid w:val="11BA7B07"/>
    <w:rsid w:val="11BD2243"/>
    <w:rsid w:val="11C14915"/>
    <w:rsid w:val="11F72B09"/>
    <w:rsid w:val="121045D6"/>
    <w:rsid w:val="122D02D9"/>
    <w:rsid w:val="122D2087"/>
    <w:rsid w:val="12743D83"/>
    <w:rsid w:val="128D0D77"/>
    <w:rsid w:val="12957C2C"/>
    <w:rsid w:val="12AD3208"/>
    <w:rsid w:val="12B96010"/>
    <w:rsid w:val="12FE2018"/>
    <w:rsid w:val="130628D8"/>
    <w:rsid w:val="131928BF"/>
    <w:rsid w:val="131B727A"/>
    <w:rsid w:val="135B2B22"/>
    <w:rsid w:val="137D5290"/>
    <w:rsid w:val="138A3509"/>
    <w:rsid w:val="13914897"/>
    <w:rsid w:val="13946135"/>
    <w:rsid w:val="13AF4F03"/>
    <w:rsid w:val="13E04CDB"/>
    <w:rsid w:val="144A092A"/>
    <w:rsid w:val="144C7098"/>
    <w:rsid w:val="14566FC5"/>
    <w:rsid w:val="14704A54"/>
    <w:rsid w:val="14736E66"/>
    <w:rsid w:val="147F458F"/>
    <w:rsid w:val="14947BFE"/>
    <w:rsid w:val="149A00A4"/>
    <w:rsid w:val="14B10388"/>
    <w:rsid w:val="14D174E6"/>
    <w:rsid w:val="14E44281"/>
    <w:rsid w:val="15033573"/>
    <w:rsid w:val="1534169A"/>
    <w:rsid w:val="156068E6"/>
    <w:rsid w:val="156D538C"/>
    <w:rsid w:val="159B506F"/>
    <w:rsid w:val="15C03E03"/>
    <w:rsid w:val="16140CAA"/>
    <w:rsid w:val="16290DB7"/>
    <w:rsid w:val="162A25EB"/>
    <w:rsid w:val="16353C00"/>
    <w:rsid w:val="165D7AA3"/>
    <w:rsid w:val="16735895"/>
    <w:rsid w:val="16816E45"/>
    <w:rsid w:val="16881F81"/>
    <w:rsid w:val="16A24A72"/>
    <w:rsid w:val="16B54D41"/>
    <w:rsid w:val="16C653F4"/>
    <w:rsid w:val="16D01B7A"/>
    <w:rsid w:val="16ED6288"/>
    <w:rsid w:val="16FA4BD2"/>
    <w:rsid w:val="16FD2A55"/>
    <w:rsid w:val="17001FDA"/>
    <w:rsid w:val="17067C1A"/>
    <w:rsid w:val="17233A58"/>
    <w:rsid w:val="173619DD"/>
    <w:rsid w:val="17366761"/>
    <w:rsid w:val="174E2EC4"/>
    <w:rsid w:val="17514A69"/>
    <w:rsid w:val="17567E8F"/>
    <w:rsid w:val="1763654B"/>
    <w:rsid w:val="176F6C9D"/>
    <w:rsid w:val="177C01F0"/>
    <w:rsid w:val="179E3EFA"/>
    <w:rsid w:val="17A252C5"/>
    <w:rsid w:val="17C84600"/>
    <w:rsid w:val="17CE6630"/>
    <w:rsid w:val="17F4641B"/>
    <w:rsid w:val="181D494B"/>
    <w:rsid w:val="18291A50"/>
    <w:rsid w:val="1844637C"/>
    <w:rsid w:val="184B6E30"/>
    <w:rsid w:val="18573BB3"/>
    <w:rsid w:val="185F6D12"/>
    <w:rsid w:val="18772542"/>
    <w:rsid w:val="187F3D33"/>
    <w:rsid w:val="18820F70"/>
    <w:rsid w:val="18972950"/>
    <w:rsid w:val="18F558C8"/>
    <w:rsid w:val="192F0F26"/>
    <w:rsid w:val="195474DE"/>
    <w:rsid w:val="195B507D"/>
    <w:rsid w:val="19BE25EF"/>
    <w:rsid w:val="19EE7E5D"/>
    <w:rsid w:val="1A1D50D7"/>
    <w:rsid w:val="1A5F0EA6"/>
    <w:rsid w:val="1A7B3BAB"/>
    <w:rsid w:val="1A8B76DB"/>
    <w:rsid w:val="1A98650B"/>
    <w:rsid w:val="1AA94BBC"/>
    <w:rsid w:val="1AAA4452"/>
    <w:rsid w:val="1AC252C2"/>
    <w:rsid w:val="1AC63078"/>
    <w:rsid w:val="1AD11A1D"/>
    <w:rsid w:val="1AFF0AFE"/>
    <w:rsid w:val="1B412001"/>
    <w:rsid w:val="1B4F19F8"/>
    <w:rsid w:val="1B5A7857"/>
    <w:rsid w:val="1BA972F6"/>
    <w:rsid w:val="1BAC616E"/>
    <w:rsid w:val="1BE50DD1"/>
    <w:rsid w:val="1C1F23FA"/>
    <w:rsid w:val="1C4306F9"/>
    <w:rsid w:val="1C4526C3"/>
    <w:rsid w:val="1C5D5C5E"/>
    <w:rsid w:val="1C6B432E"/>
    <w:rsid w:val="1C8101E5"/>
    <w:rsid w:val="1C8409D2"/>
    <w:rsid w:val="1C970A1D"/>
    <w:rsid w:val="1CCE2EE5"/>
    <w:rsid w:val="1CDA72AF"/>
    <w:rsid w:val="1CDF6F49"/>
    <w:rsid w:val="1CEF7146"/>
    <w:rsid w:val="1D0A6375"/>
    <w:rsid w:val="1D181B85"/>
    <w:rsid w:val="1D322C47"/>
    <w:rsid w:val="1DB7314C"/>
    <w:rsid w:val="1DBE272D"/>
    <w:rsid w:val="1DC31AF1"/>
    <w:rsid w:val="1DE1641B"/>
    <w:rsid w:val="1DE5046B"/>
    <w:rsid w:val="1E1F1D09"/>
    <w:rsid w:val="1E3E4FB4"/>
    <w:rsid w:val="1E4852D2"/>
    <w:rsid w:val="1E4F2A7A"/>
    <w:rsid w:val="1E694596"/>
    <w:rsid w:val="1E70765E"/>
    <w:rsid w:val="1E9621D4"/>
    <w:rsid w:val="1EB202A6"/>
    <w:rsid w:val="1EC76CCF"/>
    <w:rsid w:val="1ECC44FA"/>
    <w:rsid w:val="1ED6486B"/>
    <w:rsid w:val="1EDB63FC"/>
    <w:rsid w:val="1F063325"/>
    <w:rsid w:val="1F1617FB"/>
    <w:rsid w:val="1F1C1B35"/>
    <w:rsid w:val="1F1F5219"/>
    <w:rsid w:val="1F300115"/>
    <w:rsid w:val="1F3A0E0F"/>
    <w:rsid w:val="1F5642FC"/>
    <w:rsid w:val="1F5F3A9B"/>
    <w:rsid w:val="1FAE057F"/>
    <w:rsid w:val="1FBC5DF5"/>
    <w:rsid w:val="1FF90588"/>
    <w:rsid w:val="2018762F"/>
    <w:rsid w:val="202A22FB"/>
    <w:rsid w:val="202B5346"/>
    <w:rsid w:val="202C2386"/>
    <w:rsid w:val="20400F91"/>
    <w:rsid w:val="20514B81"/>
    <w:rsid w:val="2056255B"/>
    <w:rsid w:val="20574407"/>
    <w:rsid w:val="206A570B"/>
    <w:rsid w:val="20BD452B"/>
    <w:rsid w:val="20C3623F"/>
    <w:rsid w:val="20DA182C"/>
    <w:rsid w:val="20F46465"/>
    <w:rsid w:val="210900A7"/>
    <w:rsid w:val="212156C5"/>
    <w:rsid w:val="2148258B"/>
    <w:rsid w:val="21611D4D"/>
    <w:rsid w:val="216B4602"/>
    <w:rsid w:val="21771E62"/>
    <w:rsid w:val="21781212"/>
    <w:rsid w:val="21B83F86"/>
    <w:rsid w:val="21EA380F"/>
    <w:rsid w:val="221178A8"/>
    <w:rsid w:val="221213CF"/>
    <w:rsid w:val="22327A92"/>
    <w:rsid w:val="223D23F1"/>
    <w:rsid w:val="2254540E"/>
    <w:rsid w:val="226C668D"/>
    <w:rsid w:val="229162EF"/>
    <w:rsid w:val="22AD188F"/>
    <w:rsid w:val="22FF181D"/>
    <w:rsid w:val="230063DC"/>
    <w:rsid w:val="23151AAF"/>
    <w:rsid w:val="231D53A2"/>
    <w:rsid w:val="23447FE4"/>
    <w:rsid w:val="235B5EFE"/>
    <w:rsid w:val="236D5383"/>
    <w:rsid w:val="238620D3"/>
    <w:rsid w:val="23863CED"/>
    <w:rsid w:val="239A7798"/>
    <w:rsid w:val="239F377F"/>
    <w:rsid w:val="23A35E53"/>
    <w:rsid w:val="23B24AE2"/>
    <w:rsid w:val="23B7504C"/>
    <w:rsid w:val="23C84DE9"/>
    <w:rsid w:val="2419690F"/>
    <w:rsid w:val="24571307"/>
    <w:rsid w:val="24715ECA"/>
    <w:rsid w:val="24754E93"/>
    <w:rsid w:val="247E43DB"/>
    <w:rsid w:val="24967F5F"/>
    <w:rsid w:val="249C557D"/>
    <w:rsid w:val="24F829C8"/>
    <w:rsid w:val="25110A2A"/>
    <w:rsid w:val="25145328"/>
    <w:rsid w:val="25240D0A"/>
    <w:rsid w:val="256C0944"/>
    <w:rsid w:val="25733194"/>
    <w:rsid w:val="258F03E8"/>
    <w:rsid w:val="2593449F"/>
    <w:rsid w:val="25967363"/>
    <w:rsid w:val="259A582D"/>
    <w:rsid w:val="259F2E44"/>
    <w:rsid w:val="25E65E18"/>
    <w:rsid w:val="26446DE3"/>
    <w:rsid w:val="2674607E"/>
    <w:rsid w:val="267A740D"/>
    <w:rsid w:val="267E514F"/>
    <w:rsid w:val="269669E7"/>
    <w:rsid w:val="269E134D"/>
    <w:rsid w:val="26A270C1"/>
    <w:rsid w:val="26CE2F65"/>
    <w:rsid w:val="26D7699F"/>
    <w:rsid w:val="26FB054E"/>
    <w:rsid w:val="27174C5C"/>
    <w:rsid w:val="272C0399"/>
    <w:rsid w:val="277A5AEB"/>
    <w:rsid w:val="2789543C"/>
    <w:rsid w:val="27AA633E"/>
    <w:rsid w:val="27AF043B"/>
    <w:rsid w:val="27B0578B"/>
    <w:rsid w:val="27B87198"/>
    <w:rsid w:val="27BC5F2F"/>
    <w:rsid w:val="27DC037F"/>
    <w:rsid w:val="28177609"/>
    <w:rsid w:val="281E1EFD"/>
    <w:rsid w:val="282E5245"/>
    <w:rsid w:val="287B5CFE"/>
    <w:rsid w:val="28A3717E"/>
    <w:rsid w:val="28CA2DE2"/>
    <w:rsid w:val="28CB21A2"/>
    <w:rsid w:val="29260276"/>
    <w:rsid w:val="29283150"/>
    <w:rsid w:val="29316245"/>
    <w:rsid w:val="299802D6"/>
    <w:rsid w:val="29AE5D4B"/>
    <w:rsid w:val="29B75078"/>
    <w:rsid w:val="29D75F7F"/>
    <w:rsid w:val="29E22D43"/>
    <w:rsid w:val="29FB2613"/>
    <w:rsid w:val="2A13795C"/>
    <w:rsid w:val="2A1E2D2D"/>
    <w:rsid w:val="2A353998"/>
    <w:rsid w:val="2A9D41C3"/>
    <w:rsid w:val="2AA212FD"/>
    <w:rsid w:val="2AA607D0"/>
    <w:rsid w:val="2AF61758"/>
    <w:rsid w:val="2B095AA2"/>
    <w:rsid w:val="2B195E43"/>
    <w:rsid w:val="2B6C7A10"/>
    <w:rsid w:val="2B724B56"/>
    <w:rsid w:val="2B774624"/>
    <w:rsid w:val="2B81687D"/>
    <w:rsid w:val="2B8608E2"/>
    <w:rsid w:val="2B876854"/>
    <w:rsid w:val="2BA14AB8"/>
    <w:rsid w:val="2BB51EDD"/>
    <w:rsid w:val="2BD126E4"/>
    <w:rsid w:val="2BDD6474"/>
    <w:rsid w:val="2BEC6A86"/>
    <w:rsid w:val="2BEE242F"/>
    <w:rsid w:val="2BF52B8C"/>
    <w:rsid w:val="2C35005E"/>
    <w:rsid w:val="2C4026A4"/>
    <w:rsid w:val="2C45281E"/>
    <w:rsid w:val="2C7A72BE"/>
    <w:rsid w:val="2C864D5D"/>
    <w:rsid w:val="2C9A7D75"/>
    <w:rsid w:val="2CA64B3B"/>
    <w:rsid w:val="2CC17412"/>
    <w:rsid w:val="2CD60BF4"/>
    <w:rsid w:val="2CD86C3B"/>
    <w:rsid w:val="2CF77BF2"/>
    <w:rsid w:val="2D183B14"/>
    <w:rsid w:val="2D283E6C"/>
    <w:rsid w:val="2D770813"/>
    <w:rsid w:val="2D7C1E99"/>
    <w:rsid w:val="2D9350C5"/>
    <w:rsid w:val="2DA505AE"/>
    <w:rsid w:val="2DBE417C"/>
    <w:rsid w:val="2DC45B3D"/>
    <w:rsid w:val="2DE735DA"/>
    <w:rsid w:val="2DF57CF0"/>
    <w:rsid w:val="2DF87595"/>
    <w:rsid w:val="2E425D39"/>
    <w:rsid w:val="2E426A62"/>
    <w:rsid w:val="2E4507CD"/>
    <w:rsid w:val="2E4B4177"/>
    <w:rsid w:val="2E4C78E1"/>
    <w:rsid w:val="2E587F47"/>
    <w:rsid w:val="2E65368C"/>
    <w:rsid w:val="2E70537D"/>
    <w:rsid w:val="2E7B23A5"/>
    <w:rsid w:val="2E8452CD"/>
    <w:rsid w:val="2E9976CE"/>
    <w:rsid w:val="2E9A74E5"/>
    <w:rsid w:val="2EA60904"/>
    <w:rsid w:val="2EE00DC3"/>
    <w:rsid w:val="2EF01DEE"/>
    <w:rsid w:val="2F1877C3"/>
    <w:rsid w:val="2F3B2F8F"/>
    <w:rsid w:val="2F401D3C"/>
    <w:rsid w:val="2F4800A8"/>
    <w:rsid w:val="2F5051AF"/>
    <w:rsid w:val="2F5B24E1"/>
    <w:rsid w:val="2F80100D"/>
    <w:rsid w:val="2F9C5CDB"/>
    <w:rsid w:val="2FA23C5C"/>
    <w:rsid w:val="2FA95C88"/>
    <w:rsid w:val="2FBC149F"/>
    <w:rsid w:val="2FD61B58"/>
    <w:rsid w:val="2FD86E9B"/>
    <w:rsid w:val="2FDE37A5"/>
    <w:rsid w:val="2FE14059"/>
    <w:rsid w:val="2FF3270A"/>
    <w:rsid w:val="2FF80CC3"/>
    <w:rsid w:val="300B4DC1"/>
    <w:rsid w:val="30221C48"/>
    <w:rsid w:val="3034687E"/>
    <w:rsid w:val="303B19BB"/>
    <w:rsid w:val="3041370F"/>
    <w:rsid w:val="30570A65"/>
    <w:rsid w:val="3060369A"/>
    <w:rsid w:val="30B87FED"/>
    <w:rsid w:val="30CF0057"/>
    <w:rsid w:val="30D0332C"/>
    <w:rsid w:val="30E5141E"/>
    <w:rsid w:val="30FE2A72"/>
    <w:rsid w:val="31002774"/>
    <w:rsid w:val="310148F0"/>
    <w:rsid w:val="312406A1"/>
    <w:rsid w:val="312B50A3"/>
    <w:rsid w:val="313F18A3"/>
    <w:rsid w:val="31683980"/>
    <w:rsid w:val="31894FD2"/>
    <w:rsid w:val="318F27BC"/>
    <w:rsid w:val="31A55C86"/>
    <w:rsid w:val="31FF0F84"/>
    <w:rsid w:val="32057A20"/>
    <w:rsid w:val="3216448E"/>
    <w:rsid w:val="322A0A17"/>
    <w:rsid w:val="32453A27"/>
    <w:rsid w:val="32543208"/>
    <w:rsid w:val="3263064A"/>
    <w:rsid w:val="32A43132"/>
    <w:rsid w:val="32AC0C06"/>
    <w:rsid w:val="32BD2B5B"/>
    <w:rsid w:val="32EC7456"/>
    <w:rsid w:val="33272EB3"/>
    <w:rsid w:val="33344EF5"/>
    <w:rsid w:val="333472C1"/>
    <w:rsid w:val="334868C9"/>
    <w:rsid w:val="335135AD"/>
    <w:rsid w:val="335C05C6"/>
    <w:rsid w:val="338C209D"/>
    <w:rsid w:val="33C00B55"/>
    <w:rsid w:val="33E47F39"/>
    <w:rsid w:val="3438197C"/>
    <w:rsid w:val="345B691E"/>
    <w:rsid w:val="3463556B"/>
    <w:rsid w:val="346F4329"/>
    <w:rsid w:val="349A203C"/>
    <w:rsid w:val="34AB094C"/>
    <w:rsid w:val="34D20697"/>
    <w:rsid w:val="34ED4B27"/>
    <w:rsid w:val="350607E9"/>
    <w:rsid w:val="35066A3B"/>
    <w:rsid w:val="35147F85"/>
    <w:rsid w:val="353177BD"/>
    <w:rsid w:val="3537750C"/>
    <w:rsid w:val="3537798C"/>
    <w:rsid w:val="35464696"/>
    <w:rsid w:val="356B2D42"/>
    <w:rsid w:val="356C32E1"/>
    <w:rsid w:val="35725E7F"/>
    <w:rsid w:val="35737CAC"/>
    <w:rsid w:val="35784B06"/>
    <w:rsid w:val="358E67B3"/>
    <w:rsid w:val="359671E2"/>
    <w:rsid w:val="35C13FC9"/>
    <w:rsid w:val="35EF127D"/>
    <w:rsid w:val="36032A68"/>
    <w:rsid w:val="36107446"/>
    <w:rsid w:val="361376DE"/>
    <w:rsid w:val="36154A5C"/>
    <w:rsid w:val="364257B6"/>
    <w:rsid w:val="365810C1"/>
    <w:rsid w:val="36CC7811"/>
    <w:rsid w:val="36CD03FF"/>
    <w:rsid w:val="36D64360"/>
    <w:rsid w:val="36EB413B"/>
    <w:rsid w:val="36ED7342"/>
    <w:rsid w:val="36F01751"/>
    <w:rsid w:val="370E7E29"/>
    <w:rsid w:val="37205E40"/>
    <w:rsid w:val="37226CD7"/>
    <w:rsid w:val="37246F13"/>
    <w:rsid w:val="373D24BC"/>
    <w:rsid w:val="373D42AF"/>
    <w:rsid w:val="37517D16"/>
    <w:rsid w:val="37537F32"/>
    <w:rsid w:val="376D14AF"/>
    <w:rsid w:val="37EA5922"/>
    <w:rsid w:val="38170F5F"/>
    <w:rsid w:val="381D69EA"/>
    <w:rsid w:val="38251228"/>
    <w:rsid w:val="38276B93"/>
    <w:rsid w:val="382C2678"/>
    <w:rsid w:val="386F48F8"/>
    <w:rsid w:val="387A3C2D"/>
    <w:rsid w:val="388C36FB"/>
    <w:rsid w:val="38A8605B"/>
    <w:rsid w:val="38AC3431"/>
    <w:rsid w:val="38CE39D9"/>
    <w:rsid w:val="38D66725"/>
    <w:rsid w:val="38E31989"/>
    <w:rsid w:val="38FC35F8"/>
    <w:rsid w:val="390A63CE"/>
    <w:rsid w:val="392F2E16"/>
    <w:rsid w:val="39522A4F"/>
    <w:rsid w:val="39B43358"/>
    <w:rsid w:val="39DE1D35"/>
    <w:rsid w:val="39E00529"/>
    <w:rsid w:val="3A0B64A7"/>
    <w:rsid w:val="3A2B2AA0"/>
    <w:rsid w:val="3A377697"/>
    <w:rsid w:val="3A3D0823"/>
    <w:rsid w:val="3A40479E"/>
    <w:rsid w:val="3A574DDA"/>
    <w:rsid w:val="3A7E2CEE"/>
    <w:rsid w:val="3AC32CD9"/>
    <w:rsid w:val="3AD3075A"/>
    <w:rsid w:val="3AF74C02"/>
    <w:rsid w:val="3B08125F"/>
    <w:rsid w:val="3B117D69"/>
    <w:rsid w:val="3B143534"/>
    <w:rsid w:val="3B1B48C3"/>
    <w:rsid w:val="3B535B37"/>
    <w:rsid w:val="3B6031D3"/>
    <w:rsid w:val="3B657F1A"/>
    <w:rsid w:val="3B6C15C2"/>
    <w:rsid w:val="3B890DC1"/>
    <w:rsid w:val="3BA0301A"/>
    <w:rsid w:val="3BA65070"/>
    <w:rsid w:val="3BBA50D2"/>
    <w:rsid w:val="3C0059A5"/>
    <w:rsid w:val="3C134E78"/>
    <w:rsid w:val="3C2D1349"/>
    <w:rsid w:val="3C406CD7"/>
    <w:rsid w:val="3C4A1903"/>
    <w:rsid w:val="3C4D31A2"/>
    <w:rsid w:val="3C526A0A"/>
    <w:rsid w:val="3C5E0698"/>
    <w:rsid w:val="3C6436E5"/>
    <w:rsid w:val="3C683F6D"/>
    <w:rsid w:val="3C686A41"/>
    <w:rsid w:val="3C88242C"/>
    <w:rsid w:val="3C885F88"/>
    <w:rsid w:val="3C8B21EB"/>
    <w:rsid w:val="3C926E07"/>
    <w:rsid w:val="3CA24F0A"/>
    <w:rsid w:val="3CB4104C"/>
    <w:rsid w:val="3CBD0327"/>
    <w:rsid w:val="3CCB6EDB"/>
    <w:rsid w:val="3D07507C"/>
    <w:rsid w:val="3D1141CF"/>
    <w:rsid w:val="3D1E051B"/>
    <w:rsid w:val="3D566798"/>
    <w:rsid w:val="3D580050"/>
    <w:rsid w:val="3D7F5B5C"/>
    <w:rsid w:val="3D812C57"/>
    <w:rsid w:val="3D8E57A9"/>
    <w:rsid w:val="3D9B618F"/>
    <w:rsid w:val="3DA05553"/>
    <w:rsid w:val="3DCC6348"/>
    <w:rsid w:val="3DEC579F"/>
    <w:rsid w:val="3DF6345D"/>
    <w:rsid w:val="3E0D0E3B"/>
    <w:rsid w:val="3E1B68A6"/>
    <w:rsid w:val="3E233DBE"/>
    <w:rsid w:val="3E2B5515"/>
    <w:rsid w:val="3E3D2CEB"/>
    <w:rsid w:val="3E3F4D6C"/>
    <w:rsid w:val="3E4D4F28"/>
    <w:rsid w:val="3E524A9F"/>
    <w:rsid w:val="3E817133"/>
    <w:rsid w:val="3E8E4943"/>
    <w:rsid w:val="3EBC63BD"/>
    <w:rsid w:val="3ECB7CDF"/>
    <w:rsid w:val="3ECC7453"/>
    <w:rsid w:val="3ED61746"/>
    <w:rsid w:val="3ED92EC4"/>
    <w:rsid w:val="3EE13701"/>
    <w:rsid w:val="3F1A4BB3"/>
    <w:rsid w:val="3F3874BF"/>
    <w:rsid w:val="3F3E3276"/>
    <w:rsid w:val="3F5A2E5F"/>
    <w:rsid w:val="3F713622"/>
    <w:rsid w:val="3FB362C2"/>
    <w:rsid w:val="3FB45515"/>
    <w:rsid w:val="3FB6105E"/>
    <w:rsid w:val="3FB90C6E"/>
    <w:rsid w:val="3FC731E3"/>
    <w:rsid w:val="3FCA4E37"/>
    <w:rsid w:val="3FEC0F24"/>
    <w:rsid w:val="3FEE07F8"/>
    <w:rsid w:val="400022D9"/>
    <w:rsid w:val="40153FD6"/>
    <w:rsid w:val="40192BA6"/>
    <w:rsid w:val="40D44BB8"/>
    <w:rsid w:val="40F63E08"/>
    <w:rsid w:val="40F8373D"/>
    <w:rsid w:val="41114D6F"/>
    <w:rsid w:val="416274F1"/>
    <w:rsid w:val="416B088F"/>
    <w:rsid w:val="41760AA5"/>
    <w:rsid w:val="41766EA9"/>
    <w:rsid w:val="41866B13"/>
    <w:rsid w:val="41935450"/>
    <w:rsid w:val="41AD09C3"/>
    <w:rsid w:val="41B65373"/>
    <w:rsid w:val="41C218EF"/>
    <w:rsid w:val="41C77F5B"/>
    <w:rsid w:val="41DE664A"/>
    <w:rsid w:val="41E6725D"/>
    <w:rsid w:val="41F77652"/>
    <w:rsid w:val="4217445F"/>
    <w:rsid w:val="423D5A66"/>
    <w:rsid w:val="42550A18"/>
    <w:rsid w:val="426E308D"/>
    <w:rsid w:val="429D496A"/>
    <w:rsid w:val="42A038DB"/>
    <w:rsid w:val="42A16911"/>
    <w:rsid w:val="42C4395D"/>
    <w:rsid w:val="42F473A1"/>
    <w:rsid w:val="431A7B56"/>
    <w:rsid w:val="43362BE2"/>
    <w:rsid w:val="437217EA"/>
    <w:rsid w:val="4392187A"/>
    <w:rsid w:val="43AB7156"/>
    <w:rsid w:val="43DE0B83"/>
    <w:rsid w:val="43FA02BC"/>
    <w:rsid w:val="441E62C0"/>
    <w:rsid w:val="442102EF"/>
    <w:rsid w:val="442D4712"/>
    <w:rsid w:val="4434212B"/>
    <w:rsid w:val="443C665A"/>
    <w:rsid w:val="44916AD9"/>
    <w:rsid w:val="449D7506"/>
    <w:rsid w:val="44A71A4C"/>
    <w:rsid w:val="45062140"/>
    <w:rsid w:val="45325D14"/>
    <w:rsid w:val="45327DE5"/>
    <w:rsid w:val="45571063"/>
    <w:rsid w:val="456F23DB"/>
    <w:rsid w:val="45811C7C"/>
    <w:rsid w:val="45906116"/>
    <w:rsid w:val="45917908"/>
    <w:rsid w:val="45931B8C"/>
    <w:rsid w:val="459B015E"/>
    <w:rsid w:val="459B6D2C"/>
    <w:rsid w:val="45DF4F21"/>
    <w:rsid w:val="45EF2552"/>
    <w:rsid w:val="460B6AC0"/>
    <w:rsid w:val="463B22BD"/>
    <w:rsid w:val="464C1EC6"/>
    <w:rsid w:val="466E61EE"/>
    <w:rsid w:val="46733CB9"/>
    <w:rsid w:val="467550A7"/>
    <w:rsid w:val="468B3EFB"/>
    <w:rsid w:val="468E6891"/>
    <w:rsid w:val="46955E71"/>
    <w:rsid w:val="46A013FB"/>
    <w:rsid w:val="46C95B1B"/>
    <w:rsid w:val="46FA2EE3"/>
    <w:rsid w:val="4705606A"/>
    <w:rsid w:val="470A6193"/>
    <w:rsid w:val="471548BC"/>
    <w:rsid w:val="47385210"/>
    <w:rsid w:val="47555600"/>
    <w:rsid w:val="475F1FDB"/>
    <w:rsid w:val="476D1D47"/>
    <w:rsid w:val="47A0743D"/>
    <w:rsid w:val="47A617A5"/>
    <w:rsid w:val="47C56F66"/>
    <w:rsid w:val="47D31E1A"/>
    <w:rsid w:val="47DC4F5C"/>
    <w:rsid w:val="4840005F"/>
    <w:rsid w:val="484F7DD9"/>
    <w:rsid w:val="48552BC8"/>
    <w:rsid w:val="485F53F7"/>
    <w:rsid w:val="48B40671"/>
    <w:rsid w:val="48BC6F7A"/>
    <w:rsid w:val="48CF0271"/>
    <w:rsid w:val="48F8074C"/>
    <w:rsid w:val="49042FF5"/>
    <w:rsid w:val="49076335"/>
    <w:rsid w:val="4922291D"/>
    <w:rsid w:val="492B4C09"/>
    <w:rsid w:val="492B6619"/>
    <w:rsid w:val="49604478"/>
    <w:rsid w:val="499B5738"/>
    <w:rsid w:val="499F244D"/>
    <w:rsid w:val="49B900C8"/>
    <w:rsid w:val="49CF169A"/>
    <w:rsid w:val="4A1953E5"/>
    <w:rsid w:val="4A1E617D"/>
    <w:rsid w:val="4A7E670F"/>
    <w:rsid w:val="4A970798"/>
    <w:rsid w:val="4A973F3F"/>
    <w:rsid w:val="4A9D48C2"/>
    <w:rsid w:val="4ABB577A"/>
    <w:rsid w:val="4ABC3301"/>
    <w:rsid w:val="4AC31D20"/>
    <w:rsid w:val="4AC83F74"/>
    <w:rsid w:val="4ACE1952"/>
    <w:rsid w:val="4AF96BC7"/>
    <w:rsid w:val="4B0C003F"/>
    <w:rsid w:val="4B136655"/>
    <w:rsid w:val="4B643D98"/>
    <w:rsid w:val="4B702A09"/>
    <w:rsid w:val="4B862A85"/>
    <w:rsid w:val="4B8F39AF"/>
    <w:rsid w:val="4BA53E30"/>
    <w:rsid w:val="4BB94F2D"/>
    <w:rsid w:val="4BDD0672"/>
    <w:rsid w:val="4BE33F9B"/>
    <w:rsid w:val="4BF36441"/>
    <w:rsid w:val="4C2832E3"/>
    <w:rsid w:val="4C4D68A6"/>
    <w:rsid w:val="4C6A0734"/>
    <w:rsid w:val="4C7E1155"/>
    <w:rsid w:val="4C8E7362"/>
    <w:rsid w:val="4C9F7D59"/>
    <w:rsid w:val="4CA010CC"/>
    <w:rsid w:val="4CB708CE"/>
    <w:rsid w:val="4CD7788D"/>
    <w:rsid w:val="4CDB23B6"/>
    <w:rsid w:val="4CDE5035"/>
    <w:rsid w:val="4CE54D31"/>
    <w:rsid w:val="4CEF36E2"/>
    <w:rsid w:val="4CEF4DC5"/>
    <w:rsid w:val="4D1D595E"/>
    <w:rsid w:val="4D2E492A"/>
    <w:rsid w:val="4D514280"/>
    <w:rsid w:val="4D5674A9"/>
    <w:rsid w:val="4DAD1323"/>
    <w:rsid w:val="4DAE0576"/>
    <w:rsid w:val="4DB43081"/>
    <w:rsid w:val="4DBA440F"/>
    <w:rsid w:val="4DCC61A3"/>
    <w:rsid w:val="4DDA7116"/>
    <w:rsid w:val="4E257655"/>
    <w:rsid w:val="4E263853"/>
    <w:rsid w:val="4E2D4BE1"/>
    <w:rsid w:val="4E375A60"/>
    <w:rsid w:val="4E4A29CE"/>
    <w:rsid w:val="4E5A1BC6"/>
    <w:rsid w:val="4E612ADD"/>
    <w:rsid w:val="4E7B70F2"/>
    <w:rsid w:val="4EA26FA3"/>
    <w:rsid w:val="4EA54611"/>
    <w:rsid w:val="4ED01321"/>
    <w:rsid w:val="4EE01C53"/>
    <w:rsid w:val="4EF56E5A"/>
    <w:rsid w:val="4EFF09F2"/>
    <w:rsid w:val="4F017C92"/>
    <w:rsid w:val="4F372380"/>
    <w:rsid w:val="4F372FFB"/>
    <w:rsid w:val="4F373BA2"/>
    <w:rsid w:val="4F50685F"/>
    <w:rsid w:val="4F552D33"/>
    <w:rsid w:val="4F604F02"/>
    <w:rsid w:val="4F6D6A9E"/>
    <w:rsid w:val="4FAC106B"/>
    <w:rsid w:val="4FAD6032"/>
    <w:rsid w:val="4FDC1C12"/>
    <w:rsid w:val="4FDD1914"/>
    <w:rsid w:val="4FED287A"/>
    <w:rsid w:val="500D6A78"/>
    <w:rsid w:val="50137E07"/>
    <w:rsid w:val="501F792A"/>
    <w:rsid w:val="502320A0"/>
    <w:rsid w:val="5025116D"/>
    <w:rsid w:val="505C3744"/>
    <w:rsid w:val="505E5526"/>
    <w:rsid w:val="50AB003F"/>
    <w:rsid w:val="50CE76FD"/>
    <w:rsid w:val="50DE66D4"/>
    <w:rsid w:val="5119769F"/>
    <w:rsid w:val="511F7661"/>
    <w:rsid w:val="51262341"/>
    <w:rsid w:val="512978E2"/>
    <w:rsid w:val="513E4D75"/>
    <w:rsid w:val="517F61AE"/>
    <w:rsid w:val="519C2EC4"/>
    <w:rsid w:val="51B94AD4"/>
    <w:rsid w:val="51D07D5D"/>
    <w:rsid w:val="51DF6918"/>
    <w:rsid w:val="521B663F"/>
    <w:rsid w:val="52395ECD"/>
    <w:rsid w:val="52575E63"/>
    <w:rsid w:val="52650DED"/>
    <w:rsid w:val="52860CDE"/>
    <w:rsid w:val="52887E58"/>
    <w:rsid w:val="52BD6456"/>
    <w:rsid w:val="52C10D75"/>
    <w:rsid w:val="52E71BFE"/>
    <w:rsid w:val="53120DFC"/>
    <w:rsid w:val="533F163E"/>
    <w:rsid w:val="53586243"/>
    <w:rsid w:val="53626BF3"/>
    <w:rsid w:val="53832C97"/>
    <w:rsid w:val="538536A3"/>
    <w:rsid w:val="53C27FF8"/>
    <w:rsid w:val="53D76A77"/>
    <w:rsid w:val="544246B9"/>
    <w:rsid w:val="54494881"/>
    <w:rsid w:val="54794B5F"/>
    <w:rsid w:val="549E1A80"/>
    <w:rsid w:val="54A13C33"/>
    <w:rsid w:val="54A77640"/>
    <w:rsid w:val="54BA1986"/>
    <w:rsid w:val="54C658F4"/>
    <w:rsid w:val="54EB3100"/>
    <w:rsid w:val="5503044A"/>
    <w:rsid w:val="550C4BD7"/>
    <w:rsid w:val="55102A40"/>
    <w:rsid w:val="55275A0F"/>
    <w:rsid w:val="554B0C61"/>
    <w:rsid w:val="554C1D56"/>
    <w:rsid w:val="555109BF"/>
    <w:rsid w:val="555278AF"/>
    <w:rsid w:val="55572986"/>
    <w:rsid w:val="55757355"/>
    <w:rsid w:val="558E2819"/>
    <w:rsid w:val="55991055"/>
    <w:rsid w:val="55C37BD9"/>
    <w:rsid w:val="55CE6CAA"/>
    <w:rsid w:val="55D2686D"/>
    <w:rsid w:val="55E942E3"/>
    <w:rsid w:val="56233DAE"/>
    <w:rsid w:val="564E6D54"/>
    <w:rsid w:val="56507986"/>
    <w:rsid w:val="565340FA"/>
    <w:rsid w:val="565A22EB"/>
    <w:rsid w:val="565C6063"/>
    <w:rsid w:val="566841AB"/>
    <w:rsid w:val="568C38D5"/>
    <w:rsid w:val="568D27BB"/>
    <w:rsid w:val="56AD5F59"/>
    <w:rsid w:val="56AE5057"/>
    <w:rsid w:val="56B04601"/>
    <w:rsid w:val="56B22127"/>
    <w:rsid w:val="56E764C8"/>
    <w:rsid w:val="570C524E"/>
    <w:rsid w:val="575136EE"/>
    <w:rsid w:val="57645F73"/>
    <w:rsid w:val="576E2576"/>
    <w:rsid w:val="579049BE"/>
    <w:rsid w:val="579B0E0D"/>
    <w:rsid w:val="57A40B60"/>
    <w:rsid w:val="57A66625"/>
    <w:rsid w:val="57AB06F3"/>
    <w:rsid w:val="57B12A52"/>
    <w:rsid w:val="57BB4B36"/>
    <w:rsid w:val="57E01845"/>
    <w:rsid w:val="57EE5248"/>
    <w:rsid w:val="584658BF"/>
    <w:rsid w:val="58777AE3"/>
    <w:rsid w:val="588F4785"/>
    <w:rsid w:val="58C5233B"/>
    <w:rsid w:val="58C70DCE"/>
    <w:rsid w:val="59080725"/>
    <w:rsid w:val="59114324"/>
    <w:rsid w:val="5952374E"/>
    <w:rsid w:val="59777658"/>
    <w:rsid w:val="597C6A1D"/>
    <w:rsid w:val="598F0487"/>
    <w:rsid w:val="598F04FE"/>
    <w:rsid w:val="59A860E0"/>
    <w:rsid w:val="59B43CF0"/>
    <w:rsid w:val="59E30CB0"/>
    <w:rsid w:val="59EA7E2A"/>
    <w:rsid w:val="59EE5D29"/>
    <w:rsid w:val="5A161AA5"/>
    <w:rsid w:val="5A1E62F5"/>
    <w:rsid w:val="5A2F2CC8"/>
    <w:rsid w:val="5A5534F6"/>
    <w:rsid w:val="5A6516AD"/>
    <w:rsid w:val="5A7F64E2"/>
    <w:rsid w:val="5A8D7AED"/>
    <w:rsid w:val="5A8E77E6"/>
    <w:rsid w:val="5A981634"/>
    <w:rsid w:val="5A9E0BA0"/>
    <w:rsid w:val="5AB67D0C"/>
    <w:rsid w:val="5ADB6D24"/>
    <w:rsid w:val="5AE05C9A"/>
    <w:rsid w:val="5AF947C9"/>
    <w:rsid w:val="5B060C94"/>
    <w:rsid w:val="5B1F1D55"/>
    <w:rsid w:val="5B20432C"/>
    <w:rsid w:val="5B317B51"/>
    <w:rsid w:val="5B4D68C3"/>
    <w:rsid w:val="5B5E10B5"/>
    <w:rsid w:val="5B6657AD"/>
    <w:rsid w:val="5B697EEF"/>
    <w:rsid w:val="5BD06439"/>
    <w:rsid w:val="5C10702D"/>
    <w:rsid w:val="5C1212B5"/>
    <w:rsid w:val="5C152601"/>
    <w:rsid w:val="5C2238AB"/>
    <w:rsid w:val="5C563555"/>
    <w:rsid w:val="5C581F57"/>
    <w:rsid w:val="5C591F03"/>
    <w:rsid w:val="5C5B5602"/>
    <w:rsid w:val="5C877BB2"/>
    <w:rsid w:val="5C8A1B2F"/>
    <w:rsid w:val="5C9F4EFC"/>
    <w:rsid w:val="5CBB785C"/>
    <w:rsid w:val="5CCB58BF"/>
    <w:rsid w:val="5D2C3FDA"/>
    <w:rsid w:val="5D3F048D"/>
    <w:rsid w:val="5D501790"/>
    <w:rsid w:val="5D693414"/>
    <w:rsid w:val="5D7142FE"/>
    <w:rsid w:val="5D79648E"/>
    <w:rsid w:val="5D7E58D3"/>
    <w:rsid w:val="5D95186C"/>
    <w:rsid w:val="5DB744C7"/>
    <w:rsid w:val="5DE1109B"/>
    <w:rsid w:val="5DED477A"/>
    <w:rsid w:val="5DF66D9E"/>
    <w:rsid w:val="5DFB43B4"/>
    <w:rsid w:val="5DFC351B"/>
    <w:rsid w:val="5E1426A9"/>
    <w:rsid w:val="5E251431"/>
    <w:rsid w:val="5E6D09FC"/>
    <w:rsid w:val="5E954808"/>
    <w:rsid w:val="5EA22C56"/>
    <w:rsid w:val="5EBA0DC9"/>
    <w:rsid w:val="5F324EA1"/>
    <w:rsid w:val="5F3B73F3"/>
    <w:rsid w:val="5F447FDD"/>
    <w:rsid w:val="5F463F63"/>
    <w:rsid w:val="5F561B72"/>
    <w:rsid w:val="5F5924E9"/>
    <w:rsid w:val="5FBA204D"/>
    <w:rsid w:val="5FCF5AF8"/>
    <w:rsid w:val="5FF44DA7"/>
    <w:rsid w:val="5FF732CD"/>
    <w:rsid w:val="5FF75D1E"/>
    <w:rsid w:val="600D6620"/>
    <w:rsid w:val="6037544B"/>
    <w:rsid w:val="603900D0"/>
    <w:rsid w:val="603B318E"/>
    <w:rsid w:val="6052125F"/>
    <w:rsid w:val="606007BB"/>
    <w:rsid w:val="60771CEC"/>
    <w:rsid w:val="609E54CA"/>
    <w:rsid w:val="60AC7F66"/>
    <w:rsid w:val="60C50CA9"/>
    <w:rsid w:val="60C95281"/>
    <w:rsid w:val="60EE58F6"/>
    <w:rsid w:val="611F485D"/>
    <w:rsid w:val="6149254E"/>
    <w:rsid w:val="615B1CEA"/>
    <w:rsid w:val="61730EFA"/>
    <w:rsid w:val="6180680C"/>
    <w:rsid w:val="6181445A"/>
    <w:rsid w:val="61AB60F1"/>
    <w:rsid w:val="61BF10D9"/>
    <w:rsid w:val="61FC6D54"/>
    <w:rsid w:val="620470D5"/>
    <w:rsid w:val="62224475"/>
    <w:rsid w:val="623B56C7"/>
    <w:rsid w:val="62400F9F"/>
    <w:rsid w:val="625B6730"/>
    <w:rsid w:val="627209BD"/>
    <w:rsid w:val="628726BA"/>
    <w:rsid w:val="62AC22DC"/>
    <w:rsid w:val="62E418BB"/>
    <w:rsid w:val="62EF025F"/>
    <w:rsid w:val="632838CD"/>
    <w:rsid w:val="632B4122"/>
    <w:rsid w:val="638A3663"/>
    <w:rsid w:val="638E37D8"/>
    <w:rsid w:val="63972D7A"/>
    <w:rsid w:val="63A22BFD"/>
    <w:rsid w:val="63BA6ABF"/>
    <w:rsid w:val="63CB6517"/>
    <w:rsid w:val="63D30291"/>
    <w:rsid w:val="63D61FE2"/>
    <w:rsid w:val="63E35DF8"/>
    <w:rsid w:val="63F33C04"/>
    <w:rsid w:val="64055F8C"/>
    <w:rsid w:val="645542BC"/>
    <w:rsid w:val="6472739A"/>
    <w:rsid w:val="648053BF"/>
    <w:rsid w:val="64E45EF7"/>
    <w:rsid w:val="64F16511"/>
    <w:rsid w:val="64F56A29"/>
    <w:rsid w:val="64F91EF5"/>
    <w:rsid w:val="64FD3107"/>
    <w:rsid w:val="6507580D"/>
    <w:rsid w:val="6523128F"/>
    <w:rsid w:val="65353AE7"/>
    <w:rsid w:val="657607C4"/>
    <w:rsid w:val="65802BD8"/>
    <w:rsid w:val="65AA03FB"/>
    <w:rsid w:val="65B5753E"/>
    <w:rsid w:val="65BD4645"/>
    <w:rsid w:val="65F659AF"/>
    <w:rsid w:val="660E46E0"/>
    <w:rsid w:val="665C0356"/>
    <w:rsid w:val="66640969"/>
    <w:rsid w:val="6691014E"/>
    <w:rsid w:val="6692427B"/>
    <w:rsid w:val="66B909D7"/>
    <w:rsid w:val="66BA15B6"/>
    <w:rsid w:val="66C64D00"/>
    <w:rsid w:val="66C87CCE"/>
    <w:rsid w:val="66C969E6"/>
    <w:rsid w:val="670C5884"/>
    <w:rsid w:val="6731217B"/>
    <w:rsid w:val="67424E02"/>
    <w:rsid w:val="674F5576"/>
    <w:rsid w:val="675D3EA4"/>
    <w:rsid w:val="677060D3"/>
    <w:rsid w:val="677243C5"/>
    <w:rsid w:val="677435B2"/>
    <w:rsid w:val="67902011"/>
    <w:rsid w:val="67C21F06"/>
    <w:rsid w:val="67CB3049"/>
    <w:rsid w:val="67EF75F1"/>
    <w:rsid w:val="680372D4"/>
    <w:rsid w:val="68352BB8"/>
    <w:rsid w:val="68412CE1"/>
    <w:rsid w:val="684F4F11"/>
    <w:rsid w:val="6859473E"/>
    <w:rsid w:val="68644A48"/>
    <w:rsid w:val="68AA5354"/>
    <w:rsid w:val="68BE60F6"/>
    <w:rsid w:val="68CF4DBB"/>
    <w:rsid w:val="68D128E1"/>
    <w:rsid w:val="68DD74D8"/>
    <w:rsid w:val="68E151AE"/>
    <w:rsid w:val="69034A64"/>
    <w:rsid w:val="69104F01"/>
    <w:rsid w:val="69110F2F"/>
    <w:rsid w:val="69124F16"/>
    <w:rsid w:val="692C3C07"/>
    <w:rsid w:val="69540E1C"/>
    <w:rsid w:val="6973675D"/>
    <w:rsid w:val="69BA15C7"/>
    <w:rsid w:val="69CD5C14"/>
    <w:rsid w:val="69CF0D33"/>
    <w:rsid w:val="69CF2482"/>
    <w:rsid w:val="69D72179"/>
    <w:rsid w:val="69FF347E"/>
    <w:rsid w:val="6A077EF9"/>
    <w:rsid w:val="6A2B7301"/>
    <w:rsid w:val="6A4378D2"/>
    <w:rsid w:val="6A503CD9"/>
    <w:rsid w:val="6AB57FE0"/>
    <w:rsid w:val="6ADB40DC"/>
    <w:rsid w:val="6B4D4DA6"/>
    <w:rsid w:val="6B9946B3"/>
    <w:rsid w:val="6BAC13E3"/>
    <w:rsid w:val="6BD13793"/>
    <w:rsid w:val="6BDD0871"/>
    <w:rsid w:val="6BED1E3D"/>
    <w:rsid w:val="6BF402A7"/>
    <w:rsid w:val="6C1E27F0"/>
    <w:rsid w:val="6C276F3A"/>
    <w:rsid w:val="6C5C5C0D"/>
    <w:rsid w:val="6C7007C7"/>
    <w:rsid w:val="6C763D3D"/>
    <w:rsid w:val="6C7C7008"/>
    <w:rsid w:val="6C8549F4"/>
    <w:rsid w:val="6C8B2DA7"/>
    <w:rsid w:val="6C8E32FA"/>
    <w:rsid w:val="6CEA5182"/>
    <w:rsid w:val="6CED5B4D"/>
    <w:rsid w:val="6D0B5802"/>
    <w:rsid w:val="6D6F1396"/>
    <w:rsid w:val="6D7361B0"/>
    <w:rsid w:val="6D7636BA"/>
    <w:rsid w:val="6D7952F5"/>
    <w:rsid w:val="6D945A51"/>
    <w:rsid w:val="6DA32372"/>
    <w:rsid w:val="6DB16529"/>
    <w:rsid w:val="6DBC51E2"/>
    <w:rsid w:val="6DD96DB6"/>
    <w:rsid w:val="6DE76850"/>
    <w:rsid w:val="6E296D1B"/>
    <w:rsid w:val="6E66310E"/>
    <w:rsid w:val="6E932DE0"/>
    <w:rsid w:val="6EA7112B"/>
    <w:rsid w:val="6ECE2FB7"/>
    <w:rsid w:val="6EE47802"/>
    <w:rsid w:val="6EE97C7B"/>
    <w:rsid w:val="6EF91340"/>
    <w:rsid w:val="6EFB3C2C"/>
    <w:rsid w:val="6EFC020C"/>
    <w:rsid w:val="6EFD3419"/>
    <w:rsid w:val="6F1141AB"/>
    <w:rsid w:val="6F1B6617"/>
    <w:rsid w:val="6F234695"/>
    <w:rsid w:val="6F2A7F88"/>
    <w:rsid w:val="6F385179"/>
    <w:rsid w:val="6F4E5CAC"/>
    <w:rsid w:val="6F4F27B2"/>
    <w:rsid w:val="6F5E1A6F"/>
    <w:rsid w:val="6F80296B"/>
    <w:rsid w:val="6FB20BD4"/>
    <w:rsid w:val="6FB27657"/>
    <w:rsid w:val="6FBA59BE"/>
    <w:rsid w:val="6FE949B4"/>
    <w:rsid w:val="70296B3E"/>
    <w:rsid w:val="7049646A"/>
    <w:rsid w:val="7057153F"/>
    <w:rsid w:val="70611204"/>
    <w:rsid w:val="70BC724E"/>
    <w:rsid w:val="710C6DC7"/>
    <w:rsid w:val="7119271A"/>
    <w:rsid w:val="71621977"/>
    <w:rsid w:val="7165620F"/>
    <w:rsid w:val="717039F8"/>
    <w:rsid w:val="718F6E95"/>
    <w:rsid w:val="7197202C"/>
    <w:rsid w:val="71EC42E8"/>
    <w:rsid w:val="71FD3831"/>
    <w:rsid w:val="721B697B"/>
    <w:rsid w:val="721C028A"/>
    <w:rsid w:val="72233A82"/>
    <w:rsid w:val="72565C05"/>
    <w:rsid w:val="72605B9A"/>
    <w:rsid w:val="727367B7"/>
    <w:rsid w:val="72971B60"/>
    <w:rsid w:val="729726A7"/>
    <w:rsid w:val="72C264DB"/>
    <w:rsid w:val="72C54B39"/>
    <w:rsid w:val="72C6616E"/>
    <w:rsid w:val="72D07765"/>
    <w:rsid w:val="72EB459F"/>
    <w:rsid w:val="72F35B4A"/>
    <w:rsid w:val="72FA0C86"/>
    <w:rsid w:val="73027B3B"/>
    <w:rsid w:val="730648A1"/>
    <w:rsid w:val="734B6169"/>
    <w:rsid w:val="735E7467"/>
    <w:rsid w:val="73707765"/>
    <w:rsid w:val="737E5413"/>
    <w:rsid w:val="739104B2"/>
    <w:rsid w:val="73942F67"/>
    <w:rsid w:val="73C951CB"/>
    <w:rsid w:val="73EB6821"/>
    <w:rsid w:val="74281823"/>
    <w:rsid w:val="74327C85"/>
    <w:rsid w:val="744C0855"/>
    <w:rsid w:val="74673DB7"/>
    <w:rsid w:val="747A3D00"/>
    <w:rsid w:val="747B1BB4"/>
    <w:rsid w:val="74A0585D"/>
    <w:rsid w:val="74BA1345"/>
    <w:rsid w:val="74D13AD5"/>
    <w:rsid w:val="74E50DAE"/>
    <w:rsid w:val="74FA2C30"/>
    <w:rsid w:val="7521699E"/>
    <w:rsid w:val="752C4326"/>
    <w:rsid w:val="752D668A"/>
    <w:rsid w:val="754D5C4B"/>
    <w:rsid w:val="755723C0"/>
    <w:rsid w:val="755E0526"/>
    <w:rsid w:val="75D27C98"/>
    <w:rsid w:val="75E82186"/>
    <w:rsid w:val="75FD6934"/>
    <w:rsid w:val="761024BB"/>
    <w:rsid w:val="76183420"/>
    <w:rsid w:val="7630676D"/>
    <w:rsid w:val="764F0490"/>
    <w:rsid w:val="76591EC6"/>
    <w:rsid w:val="766F3739"/>
    <w:rsid w:val="76751ABE"/>
    <w:rsid w:val="76BA0E58"/>
    <w:rsid w:val="76C240A7"/>
    <w:rsid w:val="76CE33B8"/>
    <w:rsid w:val="76D637B8"/>
    <w:rsid w:val="76DA416A"/>
    <w:rsid w:val="76F229C2"/>
    <w:rsid w:val="770E33B0"/>
    <w:rsid w:val="771D13E7"/>
    <w:rsid w:val="77336515"/>
    <w:rsid w:val="774B7D02"/>
    <w:rsid w:val="775246B7"/>
    <w:rsid w:val="775815DC"/>
    <w:rsid w:val="776D5ECB"/>
    <w:rsid w:val="77705C44"/>
    <w:rsid w:val="7772528F"/>
    <w:rsid w:val="777C610E"/>
    <w:rsid w:val="77BA09E4"/>
    <w:rsid w:val="77DC4DFE"/>
    <w:rsid w:val="780A719E"/>
    <w:rsid w:val="781E69D1"/>
    <w:rsid w:val="78395DAD"/>
    <w:rsid w:val="78914753"/>
    <w:rsid w:val="78957D19"/>
    <w:rsid w:val="78B90C9C"/>
    <w:rsid w:val="78B95140"/>
    <w:rsid w:val="78BD30E4"/>
    <w:rsid w:val="78E81581"/>
    <w:rsid w:val="7901747F"/>
    <w:rsid w:val="7908420F"/>
    <w:rsid w:val="79781D2E"/>
    <w:rsid w:val="798E4CA2"/>
    <w:rsid w:val="79AD7444"/>
    <w:rsid w:val="79C36276"/>
    <w:rsid w:val="79E32474"/>
    <w:rsid w:val="7A0B6B44"/>
    <w:rsid w:val="7A263B6B"/>
    <w:rsid w:val="7A2B5BC9"/>
    <w:rsid w:val="7A3C7DD6"/>
    <w:rsid w:val="7A454EDD"/>
    <w:rsid w:val="7A650681"/>
    <w:rsid w:val="7A7A34B3"/>
    <w:rsid w:val="7AA1584C"/>
    <w:rsid w:val="7AD87333"/>
    <w:rsid w:val="7AEF309B"/>
    <w:rsid w:val="7AF46346"/>
    <w:rsid w:val="7AF53DCD"/>
    <w:rsid w:val="7B0F5EBF"/>
    <w:rsid w:val="7B130FB9"/>
    <w:rsid w:val="7B324450"/>
    <w:rsid w:val="7B4F1915"/>
    <w:rsid w:val="7B5A4FB8"/>
    <w:rsid w:val="7B5B0730"/>
    <w:rsid w:val="7B656EB9"/>
    <w:rsid w:val="7B6B4BCD"/>
    <w:rsid w:val="7B705F89"/>
    <w:rsid w:val="7BD32BE2"/>
    <w:rsid w:val="7BD71E38"/>
    <w:rsid w:val="7BD826EA"/>
    <w:rsid w:val="7BDF6C6B"/>
    <w:rsid w:val="7BE84708"/>
    <w:rsid w:val="7BEE62DE"/>
    <w:rsid w:val="7BF64EDE"/>
    <w:rsid w:val="7C09018C"/>
    <w:rsid w:val="7C400C1E"/>
    <w:rsid w:val="7C4128C5"/>
    <w:rsid w:val="7C75137E"/>
    <w:rsid w:val="7CBE0F77"/>
    <w:rsid w:val="7CF8403B"/>
    <w:rsid w:val="7D0C419B"/>
    <w:rsid w:val="7D181A6A"/>
    <w:rsid w:val="7D3D633F"/>
    <w:rsid w:val="7D513B99"/>
    <w:rsid w:val="7D537911"/>
    <w:rsid w:val="7D80675E"/>
    <w:rsid w:val="7D8F476B"/>
    <w:rsid w:val="7D951CD7"/>
    <w:rsid w:val="7DA03048"/>
    <w:rsid w:val="7DA37C8F"/>
    <w:rsid w:val="7DD11708"/>
    <w:rsid w:val="7DEE4A4F"/>
    <w:rsid w:val="7E036801"/>
    <w:rsid w:val="7E1339DF"/>
    <w:rsid w:val="7E171E3C"/>
    <w:rsid w:val="7E2412AD"/>
    <w:rsid w:val="7E2748F9"/>
    <w:rsid w:val="7E3358F5"/>
    <w:rsid w:val="7E402F77"/>
    <w:rsid w:val="7EAE6230"/>
    <w:rsid w:val="7EBD579E"/>
    <w:rsid w:val="7EC167BD"/>
    <w:rsid w:val="7ECA3C03"/>
    <w:rsid w:val="7ED14F91"/>
    <w:rsid w:val="7EFE4FFA"/>
    <w:rsid w:val="7F0E3631"/>
    <w:rsid w:val="7F272D9E"/>
    <w:rsid w:val="7F823E73"/>
    <w:rsid w:val="7F961332"/>
    <w:rsid w:val="7FA206DC"/>
    <w:rsid w:val="7FCF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9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
    <w:pPr>
      <w:keepNext/>
      <w:keepLines/>
      <w:spacing w:before="340" w:after="330" w:line="578" w:lineRule="auto"/>
      <w:jc w:val="center"/>
      <w:outlineLvl w:val="0"/>
    </w:pPr>
    <w:rPr>
      <w:b/>
      <w:bCs/>
      <w:kern w:val="44"/>
      <w:sz w:val="36"/>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7"/>
    <w:link w:val="40"/>
    <w:qFormat/>
    <w:uiPriority w:val="9"/>
    <w:pPr>
      <w:keepNext/>
      <w:keepLines/>
      <w:spacing w:before="280" w:after="290" w:line="376" w:lineRule="auto"/>
      <w:outlineLvl w:val="4"/>
    </w:pPr>
    <w:rPr>
      <w:b/>
      <w:bCs/>
      <w:sz w:val="28"/>
      <w:szCs w:val="28"/>
    </w:rPr>
  </w:style>
  <w:style w:type="paragraph" w:styleId="8">
    <w:name w:val="heading 7"/>
    <w:basedOn w:val="1"/>
    <w:next w:val="1"/>
    <w:link w:val="41"/>
    <w:qFormat/>
    <w:uiPriority w:val="0"/>
    <w:pPr>
      <w:keepNext/>
      <w:keepLines/>
      <w:spacing w:before="240" w:after="64" w:line="320" w:lineRule="auto"/>
      <w:outlineLvl w:val="6"/>
    </w:pPr>
    <w:rPr>
      <w:b/>
      <w:bCs/>
      <w:sz w:val="24"/>
    </w:rPr>
  </w:style>
  <w:style w:type="paragraph" w:styleId="9">
    <w:name w:val="heading 8"/>
    <w:basedOn w:val="1"/>
    <w:next w:val="1"/>
    <w:link w:val="42"/>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annotation text"/>
    <w:basedOn w:val="1"/>
    <w:link w:val="43"/>
    <w:qFormat/>
    <w:uiPriority w:val="0"/>
    <w:pPr>
      <w:jc w:val="left"/>
    </w:pPr>
  </w:style>
  <w:style w:type="paragraph" w:styleId="14">
    <w:name w:val="Body Text 3"/>
    <w:basedOn w:val="1"/>
    <w:link w:val="44"/>
    <w:unhideWhenUsed/>
    <w:qFormat/>
    <w:uiPriority w:val="99"/>
    <w:pPr>
      <w:spacing w:after="120"/>
    </w:pPr>
    <w:rPr>
      <w:sz w:val="16"/>
      <w:szCs w:val="16"/>
    </w:rPr>
  </w:style>
  <w:style w:type="paragraph" w:styleId="15">
    <w:name w:val="Body Text"/>
    <w:basedOn w:val="1"/>
    <w:next w:val="16"/>
    <w:link w:val="45"/>
    <w:unhideWhenUsed/>
    <w:qFormat/>
    <w:uiPriority w:val="0"/>
    <w:pPr>
      <w:spacing w:after="120"/>
    </w:pPr>
  </w:style>
  <w:style w:type="paragraph" w:styleId="16">
    <w:name w:val="Body Text First Indent"/>
    <w:basedOn w:val="15"/>
    <w:next w:val="17"/>
    <w:unhideWhenUsed/>
    <w:qFormat/>
    <w:uiPriority w:val="99"/>
    <w:pPr>
      <w:ind w:firstLine="420" w:firstLineChars="100"/>
    </w:pPr>
  </w:style>
  <w:style w:type="paragraph" w:styleId="17">
    <w:name w:val="toc 6"/>
    <w:basedOn w:val="1"/>
    <w:next w:val="1"/>
    <w:semiHidden/>
    <w:qFormat/>
    <w:uiPriority w:val="99"/>
    <w:pPr>
      <w:ind w:left="2100" w:leftChars="1000"/>
    </w:pPr>
  </w:style>
  <w:style w:type="paragraph" w:styleId="18">
    <w:name w:val="Body Text Indent"/>
    <w:basedOn w:val="1"/>
    <w:link w:val="46"/>
    <w:qFormat/>
    <w:uiPriority w:val="0"/>
    <w:pPr>
      <w:ind w:firstLine="830" w:firstLineChars="352"/>
    </w:pPr>
    <w:rPr>
      <w:rFonts w:ascii="仿宋_GB2312" w:eastAsia="仿宋_GB2312"/>
      <w:kern w:val="0"/>
      <w:sz w:val="32"/>
      <w:szCs w:val="20"/>
    </w:rPr>
  </w:style>
  <w:style w:type="paragraph" w:styleId="19">
    <w:name w:val="List 2"/>
    <w:basedOn w:val="1"/>
    <w:unhideWhenUsed/>
    <w:qFormat/>
    <w:uiPriority w:val="99"/>
    <w:pPr>
      <w:ind w:left="100" w:leftChars="200" w:hanging="200" w:hangingChars="200"/>
      <w:contextualSpacing/>
    </w:pPr>
  </w:style>
  <w:style w:type="paragraph" w:styleId="20">
    <w:name w:val="Plain Text"/>
    <w:basedOn w:val="1"/>
    <w:next w:val="1"/>
    <w:link w:val="47"/>
    <w:qFormat/>
    <w:uiPriority w:val="0"/>
    <w:rPr>
      <w:rFonts w:ascii="宋体" w:hAnsi="Courier New"/>
      <w:kern w:val="0"/>
      <w:sz w:val="20"/>
      <w:szCs w:val="21"/>
    </w:rPr>
  </w:style>
  <w:style w:type="paragraph" w:styleId="21">
    <w:name w:val="Date"/>
    <w:basedOn w:val="1"/>
    <w:next w:val="1"/>
    <w:link w:val="48"/>
    <w:unhideWhenUsed/>
    <w:qFormat/>
    <w:uiPriority w:val="99"/>
    <w:pPr>
      <w:ind w:left="100" w:leftChars="2500"/>
    </w:pPr>
  </w:style>
  <w:style w:type="paragraph" w:styleId="22">
    <w:name w:val="Balloon Text"/>
    <w:basedOn w:val="1"/>
    <w:semiHidden/>
    <w:qFormat/>
    <w:uiPriority w:val="0"/>
    <w:rPr>
      <w:sz w:val="18"/>
      <w:szCs w:val="18"/>
    </w:rPr>
  </w:style>
  <w:style w:type="paragraph" w:styleId="23">
    <w:name w:val="footer"/>
    <w:basedOn w:val="1"/>
    <w:link w:val="49"/>
    <w:unhideWhenUsed/>
    <w:qFormat/>
    <w:uiPriority w:val="0"/>
    <w:pPr>
      <w:tabs>
        <w:tab w:val="center" w:pos="4153"/>
        <w:tab w:val="right" w:pos="8306"/>
      </w:tabs>
      <w:snapToGrid w:val="0"/>
      <w:jc w:val="left"/>
    </w:pPr>
    <w:rPr>
      <w:kern w:val="0"/>
      <w:sz w:val="18"/>
      <w:szCs w:val="18"/>
    </w:rPr>
  </w:style>
  <w:style w:type="paragraph" w:styleId="24">
    <w:name w:val="header"/>
    <w:basedOn w:val="1"/>
    <w:link w:val="5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style>
  <w:style w:type="paragraph" w:styleId="26">
    <w:name w:val="toc 2"/>
    <w:basedOn w:val="1"/>
    <w:next w:val="1"/>
    <w:unhideWhenUsed/>
    <w:qFormat/>
    <w:uiPriority w:val="39"/>
    <w:pPr>
      <w:tabs>
        <w:tab w:val="right" w:leader="dot" w:pos="8296"/>
      </w:tabs>
      <w:ind w:left="420" w:leftChars="200"/>
    </w:pPr>
  </w:style>
  <w:style w:type="paragraph" w:styleId="27">
    <w:name w:val="Body Text 2"/>
    <w:basedOn w:val="1"/>
    <w:next w:val="15"/>
    <w:qFormat/>
    <w:uiPriority w:val="0"/>
    <w:pPr>
      <w:spacing w:line="480" w:lineRule="auto"/>
    </w:pPr>
    <w:rPr>
      <w:kern w:val="0"/>
      <w:sz w:val="20"/>
    </w:rPr>
  </w:style>
  <w:style w:type="paragraph" w:styleId="28">
    <w:name w:val="Normal (Web)"/>
    <w:basedOn w:val="1"/>
    <w:unhideWhenUsed/>
    <w:qFormat/>
    <w:uiPriority w:val="99"/>
    <w:rPr>
      <w:rFonts w:ascii="Calibri" w:hAnsi="Calibri"/>
      <w:kern w:val="0"/>
      <w:sz w:val="24"/>
    </w:rPr>
  </w:style>
  <w:style w:type="paragraph" w:styleId="29">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30">
    <w:name w:val="annotation subject"/>
    <w:basedOn w:val="13"/>
    <w:next w:val="13"/>
    <w:link w:val="51"/>
    <w:qFormat/>
    <w:uiPriority w:val="99"/>
    <w:rPr>
      <w:b/>
      <w:bCs/>
    </w:rPr>
  </w:style>
  <w:style w:type="paragraph" w:styleId="31">
    <w:name w:val="Body Text First Indent 2"/>
    <w:basedOn w:val="18"/>
    <w:next w:val="1"/>
    <w:qFormat/>
    <w:uiPriority w:val="0"/>
    <w:pPr>
      <w:spacing w:line="360" w:lineRule="auto"/>
      <w:ind w:firstLine="0"/>
    </w:pPr>
    <w:rPr>
      <w:sz w:val="24"/>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unhideWhenUsed/>
    <w:qFormat/>
    <w:uiPriority w:val="99"/>
    <w:rPr>
      <w:vertAlign w:val="superscript"/>
    </w:rPr>
  </w:style>
  <w:style w:type="character" w:styleId="36">
    <w:name w:val="Hyperlink"/>
    <w:unhideWhenUsed/>
    <w:qFormat/>
    <w:uiPriority w:val="99"/>
    <w:rPr>
      <w:color w:val="0000FF"/>
      <w:u w:val="single"/>
    </w:rPr>
  </w:style>
  <w:style w:type="character" w:styleId="37">
    <w:name w:val="annotation reference"/>
    <w:qFormat/>
    <w:uiPriority w:val="0"/>
    <w:rPr>
      <w:sz w:val="21"/>
      <w:szCs w:val="21"/>
    </w:rPr>
  </w:style>
  <w:style w:type="character" w:customStyle="1" w:styleId="38">
    <w:name w:val="标题 1 Char"/>
    <w:link w:val="3"/>
    <w:qFormat/>
    <w:uiPriority w:val="9"/>
    <w:rPr>
      <w:rFonts w:ascii="Times New Roman" w:hAnsi="Times New Roman" w:eastAsia="宋体"/>
      <w:b/>
      <w:bCs/>
      <w:kern w:val="44"/>
      <w:sz w:val="36"/>
      <w:szCs w:val="44"/>
    </w:rPr>
  </w:style>
  <w:style w:type="character" w:customStyle="1" w:styleId="39">
    <w:name w:val="标题 2 Char1"/>
    <w:link w:val="4"/>
    <w:qFormat/>
    <w:uiPriority w:val="9"/>
    <w:rPr>
      <w:rFonts w:ascii="Cambria" w:hAnsi="Cambria" w:eastAsia="宋体" w:cs="Times New Roman"/>
      <w:b/>
      <w:bCs/>
      <w:kern w:val="2"/>
      <w:sz w:val="32"/>
      <w:szCs w:val="32"/>
    </w:rPr>
  </w:style>
  <w:style w:type="character" w:customStyle="1" w:styleId="40">
    <w:name w:val="标题 5 Char"/>
    <w:link w:val="6"/>
    <w:semiHidden/>
    <w:qFormat/>
    <w:uiPriority w:val="9"/>
    <w:rPr>
      <w:rFonts w:ascii="Times New Roman" w:hAnsi="Times New Roman"/>
      <w:b/>
      <w:bCs/>
      <w:kern w:val="2"/>
      <w:sz w:val="28"/>
      <w:szCs w:val="28"/>
    </w:rPr>
  </w:style>
  <w:style w:type="character" w:customStyle="1" w:styleId="41">
    <w:name w:val="标题 7 Char"/>
    <w:link w:val="8"/>
    <w:qFormat/>
    <w:uiPriority w:val="0"/>
    <w:rPr>
      <w:b/>
      <w:bCs/>
      <w:kern w:val="2"/>
      <w:sz w:val="24"/>
      <w:szCs w:val="24"/>
    </w:rPr>
  </w:style>
  <w:style w:type="character" w:customStyle="1" w:styleId="42">
    <w:name w:val="标题 8 Char1"/>
    <w:link w:val="9"/>
    <w:semiHidden/>
    <w:qFormat/>
    <w:uiPriority w:val="9"/>
    <w:rPr>
      <w:rFonts w:ascii="等线 Light" w:hAnsi="等线 Light" w:eastAsia="等线 Light" w:cs="Times New Roman"/>
      <w:kern w:val="2"/>
      <w:sz w:val="24"/>
      <w:szCs w:val="24"/>
    </w:rPr>
  </w:style>
  <w:style w:type="character" w:customStyle="1" w:styleId="43">
    <w:name w:val="批注文字 Char1"/>
    <w:link w:val="13"/>
    <w:qFormat/>
    <w:uiPriority w:val="0"/>
    <w:rPr>
      <w:rFonts w:ascii="Times New Roman" w:hAnsi="Times New Roman"/>
      <w:kern w:val="2"/>
      <w:sz w:val="21"/>
      <w:szCs w:val="24"/>
    </w:rPr>
  </w:style>
  <w:style w:type="character" w:customStyle="1" w:styleId="44">
    <w:name w:val="正文文本 3 Char"/>
    <w:link w:val="14"/>
    <w:semiHidden/>
    <w:qFormat/>
    <w:uiPriority w:val="99"/>
    <w:rPr>
      <w:kern w:val="2"/>
      <w:sz w:val="16"/>
      <w:szCs w:val="16"/>
    </w:rPr>
  </w:style>
  <w:style w:type="character" w:customStyle="1" w:styleId="45">
    <w:name w:val="正文文本 Char1"/>
    <w:link w:val="15"/>
    <w:qFormat/>
    <w:uiPriority w:val="0"/>
    <w:rPr>
      <w:rFonts w:ascii="Times New Roman" w:hAnsi="Times New Roman"/>
      <w:kern w:val="2"/>
      <w:sz w:val="21"/>
      <w:szCs w:val="24"/>
    </w:rPr>
  </w:style>
  <w:style w:type="character" w:customStyle="1" w:styleId="46">
    <w:name w:val="正文文本缩进 Char"/>
    <w:link w:val="18"/>
    <w:qFormat/>
    <w:uiPriority w:val="0"/>
    <w:rPr>
      <w:rFonts w:ascii="仿宋_GB2312" w:hAnsi="Times New Roman" w:eastAsia="仿宋_GB2312" w:cs="Times New Roman"/>
      <w:sz w:val="32"/>
      <w:szCs w:val="20"/>
    </w:rPr>
  </w:style>
  <w:style w:type="character" w:customStyle="1" w:styleId="47">
    <w:name w:val="纯文本 Char1"/>
    <w:link w:val="20"/>
    <w:qFormat/>
    <w:uiPriority w:val="0"/>
    <w:rPr>
      <w:rFonts w:ascii="宋体" w:hAnsi="Courier New" w:eastAsia="宋体" w:cs="Courier New"/>
      <w:szCs w:val="21"/>
    </w:rPr>
  </w:style>
  <w:style w:type="character" w:customStyle="1" w:styleId="48">
    <w:name w:val="日期 Char"/>
    <w:link w:val="21"/>
    <w:semiHidden/>
    <w:qFormat/>
    <w:uiPriority w:val="99"/>
    <w:rPr>
      <w:rFonts w:ascii="Times New Roman" w:hAnsi="Times New Roman"/>
      <w:kern w:val="2"/>
      <w:sz w:val="21"/>
      <w:szCs w:val="24"/>
    </w:rPr>
  </w:style>
  <w:style w:type="character" w:customStyle="1" w:styleId="49">
    <w:name w:val="页脚 Char"/>
    <w:link w:val="23"/>
    <w:qFormat/>
    <w:uiPriority w:val="0"/>
    <w:rPr>
      <w:sz w:val="18"/>
      <w:szCs w:val="18"/>
    </w:rPr>
  </w:style>
  <w:style w:type="character" w:customStyle="1" w:styleId="50">
    <w:name w:val="页眉 Char"/>
    <w:link w:val="24"/>
    <w:qFormat/>
    <w:uiPriority w:val="99"/>
    <w:rPr>
      <w:sz w:val="18"/>
      <w:szCs w:val="18"/>
    </w:rPr>
  </w:style>
  <w:style w:type="character" w:customStyle="1" w:styleId="51">
    <w:name w:val="批注主题 Char"/>
    <w:link w:val="30"/>
    <w:qFormat/>
    <w:uiPriority w:val="99"/>
    <w:rPr>
      <w:rFonts w:ascii="Times New Roman" w:hAnsi="Times New Roman"/>
      <w:b/>
      <w:bCs/>
      <w:kern w:val="2"/>
      <w:sz w:val="21"/>
      <w:szCs w:val="24"/>
    </w:rPr>
  </w:style>
  <w:style w:type="paragraph" w:customStyle="1" w:styleId="52">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53">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54">
    <w:name w:val="表格文字"/>
    <w:basedOn w:val="1"/>
    <w:qFormat/>
    <w:uiPriority w:val="99"/>
    <w:pPr>
      <w:spacing w:before="25" w:after="25"/>
      <w:jc w:val="left"/>
    </w:pPr>
    <w:rPr>
      <w:bCs/>
      <w:spacing w:val="10"/>
      <w:kern w:val="0"/>
      <w:sz w:val="24"/>
    </w:rPr>
  </w:style>
  <w:style w:type="character" w:customStyle="1" w:styleId="55">
    <w:name w:val="标题 1 字符1"/>
    <w:qFormat/>
    <w:uiPriority w:val="0"/>
    <w:rPr>
      <w:b/>
      <w:bCs/>
      <w:kern w:val="44"/>
      <w:sz w:val="44"/>
      <w:szCs w:val="44"/>
    </w:rPr>
  </w:style>
  <w:style w:type="character" w:customStyle="1" w:styleId="56">
    <w:name w:val="textcontents"/>
    <w:qFormat/>
    <w:uiPriority w:val="0"/>
  </w:style>
  <w:style w:type="character" w:customStyle="1" w:styleId="57">
    <w:name w:val="批注文字 Char"/>
    <w:qFormat/>
    <w:uiPriority w:val="0"/>
    <w:rPr>
      <w:rFonts w:ascii="Times New Roman" w:hAnsi="Times New Roman"/>
      <w:kern w:val="2"/>
      <w:sz w:val="21"/>
      <w:szCs w:val="24"/>
    </w:rPr>
  </w:style>
  <w:style w:type="character" w:customStyle="1" w:styleId="58">
    <w:name w:val="纯文本 字符"/>
    <w:qFormat/>
    <w:uiPriority w:val="0"/>
    <w:rPr>
      <w:rFonts w:ascii="宋体" w:hAnsi="Courier New" w:eastAsia="宋体" w:cs="Courier New"/>
      <w:szCs w:val="21"/>
    </w:rPr>
  </w:style>
  <w:style w:type="character" w:customStyle="1" w:styleId="59">
    <w:name w:val="纯文本 Char"/>
    <w:qFormat/>
    <w:uiPriority w:val="0"/>
    <w:rPr>
      <w:rFonts w:ascii="宋体" w:hAnsi="Courier New" w:eastAsia="宋体" w:cs="Courier New"/>
      <w:szCs w:val="21"/>
    </w:rPr>
  </w:style>
  <w:style w:type="character" w:customStyle="1" w:styleId="60">
    <w:name w:val="纯文本 字符2"/>
    <w:qFormat/>
    <w:uiPriority w:val="0"/>
    <w:rPr>
      <w:rFonts w:ascii="宋体" w:hAnsi="Courier New" w:eastAsia="宋体" w:cs="Courier New"/>
      <w:szCs w:val="21"/>
    </w:rPr>
  </w:style>
  <w:style w:type="character" w:customStyle="1" w:styleId="61">
    <w:name w:val="批注文字 字符1"/>
    <w:qFormat/>
    <w:uiPriority w:val="0"/>
    <w:rPr>
      <w:rFonts w:ascii="Times New Roman" w:hAnsi="Times New Roman"/>
      <w:kern w:val="2"/>
      <w:sz w:val="21"/>
      <w:szCs w:val="24"/>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纯文本 字符1"/>
    <w:qFormat/>
    <w:uiPriority w:val="0"/>
    <w:rPr>
      <w:rFonts w:ascii="宋体" w:hAnsi="Courier New"/>
    </w:rPr>
  </w:style>
  <w:style w:type="character" w:customStyle="1" w:styleId="64">
    <w:name w:val="正文文本 Char"/>
    <w:qFormat/>
    <w:uiPriority w:val="0"/>
    <w:rPr>
      <w:rFonts w:ascii="Times New Roman" w:hAnsi="Times New Roman"/>
      <w:kern w:val="2"/>
      <w:sz w:val="21"/>
      <w:szCs w:val="24"/>
    </w:rPr>
  </w:style>
  <w:style w:type="character" w:customStyle="1" w:styleId="65">
    <w:name w:val="批注文字 字符"/>
    <w:qFormat/>
    <w:uiPriority w:val="0"/>
    <w:rPr>
      <w:rFonts w:ascii="Times New Roman" w:hAnsi="Times New Roman"/>
      <w:kern w:val="2"/>
      <w:sz w:val="21"/>
      <w:szCs w:val="24"/>
    </w:rPr>
  </w:style>
  <w:style w:type="character" w:customStyle="1" w:styleId="66">
    <w:name w:val="标题 2 Char"/>
    <w:qFormat/>
    <w:uiPriority w:val="9"/>
    <w:rPr>
      <w:rFonts w:ascii="Cambria" w:hAnsi="Cambria" w:eastAsia="宋体" w:cs="Times New Roman"/>
      <w:b/>
      <w:bCs/>
      <w:kern w:val="2"/>
      <w:sz w:val="32"/>
      <w:szCs w:val="32"/>
    </w:rPr>
  </w:style>
  <w:style w:type="character" w:customStyle="1" w:styleId="67">
    <w:name w:val="标题 8 Char"/>
    <w:qFormat/>
    <w:uiPriority w:val="0"/>
    <w:rPr>
      <w:rFonts w:ascii="Arial" w:hAnsi="Arial" w:eastAsia="黑体"/>
      <w:kern w:val="2"/>
      <w:sz w:val="24"/>
      <w:szCs w:val="24"/>
    </w:rPr>
  </w:style>
  <w:style w:type="character" w:customStyle="1" w:styleId="68">
    <w:name w:val="apple-style-span"/>
    <w:qFormat/>
    <w:uiPriority w:val="0"/>
  </w:style>
  <w:style w:type="paragraph" w:customStyle="1" w:styleId="69">
    <w:name w:val="默认段落字体 Para Char Char Char Char Char Char Char Char Char1 Char Char Char Char"/>
    <w:basedOn w:val="1"/>
    <w:qFormat/>
    <w:uiPriority w:val="0"/>
    <w:rPr>
      <w:rFonts w:ascii="Tahoma" w:hAnsi="Tahoma"/>
      <w:sz w:val="24"/>
      <w:szCs w:val="20"/>
    </w:rPr>
  </w:style>
  <w:style w:type="paragraph" w:customStyle="1" w:styleId="7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1">
    <w:name w:val="List Paragraph"/>
    <w:basedOn w:val="1"/>
    <w:qFormat/>
    <w:uiPriority w:val="34"/>
    <w:pPr>
      <w:ind w:firstLine="420" w:firstLineChars="200"/>
    </w:pPr>
  </w:style>
  <w:style w:type="paragraph" w:customStyle="1" w:styleId="72">
    <w:name w:val="Table Paragraph"/>
    <w:basedOn w:val="1"/>
    <w:qFormat/>
    <w:uiPriority w:val="1"/>
    <w:pPr>
      <w:jc w:val="left"/>
    </w:pPr>
    <w:rPr>
      <w:rFonts w:ascii="Calibri" w:hAnsi="Calibri"/>
      <w:kern w:val="0"/>
      <w:sz w:val="22"/>
      <w:szCs w:val="22"/>
      <w:lang w:eastAsia="en-US"/>
    </w:rPr>
  </w:style>
  <w:style w:type="character" w:customStyle="1" w:styleId="73">
    <w:name w:val="正文文本 字符"/>
    <w:qFormat/>
    <w:uiPriority w:val="0"/>
    <w:rPr>
      <w:rFonts w:ascii="Times New Roman" w:hAnsi="Times New Roman"/>
      <w:kern w:val="2"/>
      <w:sz w:val="21"/>
      <w:szCs w:val="24"/>
    </w:rPr>
  </w:style>
  <w:style w:type="character" w:customStyle="1" w:styleId="74">
    <w:name w:val="批注文字 Char2"/>
    <w:qFormat/>
    <w:uiPriority w:val="0"/>
    <w:rPr>
      <w:rFonts w:ascii="Times New Roman" w:hAnsi="Times New Roman"/>
      <w:kern w:val="2"/>
      <w:sz w:val="21"/>
      <w:szCs w:val="24"/>
    </w:rPr>
  </w:style>
  <w:style w:type="paragraph" w:customStyle="1" w:styleId="75">
    <w:name w:val="样式 正文缩进正文（首行缩进两字）首行缩进两字 + 首行缩进:  2 字符1"/>
    <w:basedOn w:val="7"/>
    <w:qFormat/>
    <w:uiPriority w:val="0"/>
    <w:pPr>
      <w:autoSpaceDE w:val="0"/>
      <w:autoSpaceDN w:val="0"/>
      <w:spacing w:beforeLines="50" w:afterLines="50" w:line="500" w:lineRule="exact"/>
      <w:ind w:firstLine="200"/>
      <w:jc w:val="left"/>
    </w:pPr>
    <w:rPr>
      <w:rFonts w:ascii="楷体_GB2312" w:eastAsia="楷体_GB2312"/>
      <w:color w:val="000000"/>
      <w:kern w:val="0"/>
      <w:sz w:val="28"/>
    </w:rPr>
  </w:style>
  <w:style w:type="paragraph" w:customStyle="1" w:styleId="76">
    <w:name w:val="列出段落3"/>
    <w:basedOn w:val="1"/>
    <w:qFormat/>
    <w:uiPriority w:val="0"/>
    <w:pPr>
      <w:widowControl/>
      <w:spacing w:line="400" w:lineRule="exact"/>
      <w:ind w:firstLine="420" w:firstLineChars="200"/>
      <w:jc w:val="left"/>
    </w:pPr>
  </w:style>
  <w:style w:type="paragraph" w:customStyle="1" w:styleId="77">
    <w:name w:val="正文文本2"/>
    <w:basedOn w:val="1"/>
    <w:qFormat/>
    <w:uiPriority w:val="0"/>
    <w:pPr>
      <w:shd w:val="clear" w:color="auto" w:fill="FFFFFF"/>
      <w:spacing w:after="300" w:line="0" w:lineRule="atLeast"/>
    </w:pPr>
    <w:rPr>
      <w:rFonts w:ascii="MingLiU" w:hAnsi="MingLiU" w:eastAsia="MingLiU"/>
      <w:color w:val="000000"/>
      <w:kern w:val="0"/>
      <w:sz w:val="22"/>
      <w:szCs w:val="22"/>
      <w:shd w:val="clear" w:color="auto" w:fill="FFFFFF"/>
      <w:lang w:val="zh-TW"/>
    </w:rPr>
  </w:style>
  <w:style w:type="paragraph" w:customStyle="1" w:styleId="78">
    <w:name w:val="列出段落1"/>
    <w:qFormat/>
    <w:uiPriority w:val="0"/>
    <w:pPr>
      <w:ind w:firstLine="200" w:firstLineChars="200"/>
    </w:pPr>
    <w:rPr>
      <w:rFonts w:ascii="Calibri" w:hAnsi="Calibri" w:eastAsia="宋体" w:cs="Times New Roman"/>
      <w:kern w:val="2"/>
      <w:sz w:val="21"/>
      <w:szCs w:val="22"/>
      <w:lang w:val="en-US" w:eastAsia="zh-CN" w:bidi="ar-SA"/>
    </w:rPr>
  </w:style>
  <w:style w:type="table" w:customStyle="1" w:styleId="79">
    <w:name w:val="Table Normal"/>
    <w:unhideWhenUsed/>
    <w:qFormat/>
    <w:uiPriority w:val="0"/>
    <w:tblPr>
      <w:tblCellMar>
        <w:top w:w="0" w:type="dxa"/>
        <w:left w:w="0" w:type="dxa"/>
        <w:bottom w:w="0" w:type="dxa"/>
        <w:right w:w="0" w:type="dxa"/>
      </w:tblCellMar>
    </w:tblPr>
  </w:style>
  <w:style w:type="paragraph" w:customStyle="1" w:styleId="80">
    <w:name w:val="正文文本首行缩进1"/>
    <w:basedOn w:val="15"/>
    <w:qFormat/>
    <w:uiPriority w:val="0"/>
    <w:pPr>
      <w:ind w:firstLine="100" w:firstLineChars="100"/>
    </w:pPr>
  </w:style>
  <w:style w:type="paragraph" w:customStyle="1" w:styleId="81">
    <w:name w:val="Table Text"/>
    <w:basedOn w:val="1"/>
    <w:semiHidden/>
    <w:qFormat/>
    <w:uiPriority w:val="0"/>
    <w:rPr>
      <w:rFonts w:ascii="宋体" w:hAnsi="宋体" w:cs="宋体"/>
      <w:sz w:val="24"/>
      <w:lang w:eastAsia="en-US"/>
    </w:rPr>
  </w:style>
  <w:style w:type="table" w:customStyle="1" w:styleId="82">
    <w:name w:val="网格型1"/>
    <w:basedOn w:val="3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3">
    <w:name w:val="正文缩进2"/>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84">
    <w:name w:val="正文@中勤招标"/>
    <w:basedOn w:val="1"/>
    <w:qFormat/>
    <w:uiPriority w:val="0"/>
    <w:pPr>
      <w:adjustRightInd w:val="0"/>
      <w:spacing w:line="360" w:lineRule="auto"/>
      <w:ind w:firstLine="200" w:firstLineChars="200"/>
    </w:pPr>
    <w:rPr>
      <w:rFonts w:ascii="宋体" w:hAnsi="宋体"/>
      <w:sz w:val="24"/>
      <w:szCs w:val="21"/>
      <w:lang w:eastAsia="zh-Hans"/>
    </w:rPr>
  </w:style>
  <w:style w:type="paragraph" w:customStyle="1" w:styleId="85">
    <w:name w:val="小标题"/>
    <w:basedOn w:val="1"/>
    <w:qFormat/>
    <w:uiPriority w:val="0"/>
    <w:pPr>
      <w:numPr>
        <w:ilvl w:val="0"/>
        <w:numId w:val="1"/>
      </w:numPr>
      <w:spacing w:line="360" w:lineRule="auto"/>
    </w:pPr>
    <w:rPr>
      <w:sz w:val="24"/>
    </w:rPr>
  </w:style>
  <w:style w:type="paragraph" w:customStyle="1" w:styleId="86">
    <w:name w:val="BodyText"/>
    <w:basedOn w:val="1"/>
    <w:qFormat/>
    <w:uiPriority w:val="0"/>
    <w:pPr>
      <w:spacing w:line="380" w:lineRule="exact"/>
      <w:textAlignment w:val="baseline"/>
    </w:pPr>
    <w:rPr>
      <w:kern w:val="0"/>
      <w:sz w:val="24"/>
    </w:rPr>
  </w:style>
  <w:style w:type="character" w:customStyle="1" w:styleId="87">
    <w:name w:val="font11"/>
    <w:basedOn w:val="34"/>
    <w:qFormat/>
    <w:uiPriority w:val="0"/>
    <w:rPr>
      <w:rFonts w:hint="eastAsia" w:ascii="宋体" w:hAnsi="宋体" w:eastAsia="宋体" w:cs="宋体"/>
      <w:b/>
      <w:bCs/>
      <w:color w:val="000000"/>
      <w:sz w:val="20"/>
      <w:szCs w:val="20"/>
      <w:u w:val="none"/>
    </w:rPr>
  </w:style>
  <w:style w:type="character" w:customStyle="1" w:styleId="88">
    <w:name w:val="font21"/>
    <w:basedOn w:val="34"/>
    <w:qFormat/>
    <w:uiPriority w:val="0"/>
    <w:rPr>
      <w:rFonts w:hint="eastAsia" w:ascii="宋体" w:hAnsi="宋体" w:eastAsia="宋体" w:cs="宋体"/>
      <w:color w:val="000000"/>
      <w:sz w:val="20"/>
      <w:szCs w:val="20"/>
      <w:u w:val="none"/>
    </w:rPr>
  </w:style>
  <w:style w:type="character" w:customStyle="1" w:styleId="89">
    <w:name w:val="font51"/>
    <w:basedOn w:val="34"/>
    <w:qFormat/>
    <w:uiPriority w:val="0"/>
    <w:rPr>
      <w:rFonts w:hint="default" w:ascii="Times New Roman" w:hAnsi="Times New Roman" w:cs="Times New Roman"/>
      <w:color w:val="000000"/>
      <w:sz w:val="20"/>
      <w:szCs w:val="20"/>
      <w:u w:val="none"/>
    </w:rPr>
  </w:style>
  <w:style w:type="character" w:customStyle="1" w:styleId="90">
    <w:name w:val="font41"/>
    <w:basedOn w:val="34"/>
    <w:qFormat/>
    <w:uiPriority w:val="0"/>
    <w:rPr>
      <w:rFonts w:hint="eastAsia" w:ascii="宋体" w:hAnsi="宋体" w:eastAsia="宋体" w:cs="宋体"/>
      <w:color w:val="000000"/>
      <w:sz w:val="20"/>
      <w:szCs w:val="20"/>
      <w:u w:val="none"/>
    </w:rPr>
  </w:style>
  <w:style w:type="paragraph" w:customStyle="1" w:styleId="91">
    <w:name w:val="PlainText"/>
    <w:basedOn w:val="1"/>
    <w:next w:val="21"/>
    <w:qFormat/>
    <w:uiPriority w:val="0"/>
    <w:rPr>
      <w:rFonts w:ascii="宋体" w:hAnsi="Courier New"/>
      <w:szCs w:val="20"/>
    </w:rPr>
  </w:style>
  <w:style w:type="character" w:customStyle="1" w:styleId="92">
    <w:name w:val="NormalCharacter"/>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广西国泰招标</Company>
  <Pages>64</Pages>
  <Words>19734</Words>
  <Characters>20964</Characters>
  <Lines>617</Lines>
  <Paragraphs>173</Paragraphs>
  <TotalTime>58</TotalTime>
  <ScaleCrop>false</ScaleCrop>
  <LinksUpToDate>false</LinksUpToDate>
  <CharactersWithSpaces>21344</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2025-04-15T08:30:00Z</dcterms:created>
  <dc:creator>广西国泰招标</dc:creator>
  <cp:lastModifiedBy>Administrator</cp:lastModifiedBy>
  <cp:lastPrinted>2025-04-22T02:08:00Z</cp:lastPrinted>
  <dcterms:modified xsi:type="dcterms:W3CDTF">2025-05-15T08:40:50Z</dcterms:modified>
  <dc:title>竞争性谈判文件规范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2EB7B4D9BE6347029CEBFE2E5D65EC25_13</vt:lpwstr>
  </property>
  <property fmtid="{D5CDD505-2E9C-101B-9397-08002B2CF9AE}" pid="4" name="KSOTemplateDocerSaveRecord">
    <vt:lpwstr>eyJoZGlkIjoiYmZiNzg2NzY5NzM5NWYzYjBlNTA3MTIyZDljZTlhZmEifQ==</vt:lpwstr>
  </property>
</Properties>
</file>