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30E40">
      <w:pPr>
        <w:pStyle w:val="20"/>
        <w:jc w:val="center"/>
        <w:rPr>
          <w:rFonts w:hAnsi="宋体" w:cs="宋体"/>
          <w:color w:val="auto"/>
          <w:spacing w:val="30"/>
          <w:kern w:val="52"/>
          <w:sz w:val="64"/>
          <w:szCs w:val="64"/>
          <w:highlight w:val="none"/>
        </w:rPr>
      </w:pPr>
      <w:r>
        <w:rPr>
          <w:rFonts w:hint="eastAsia" w:hAnsi="宋体" w:cs="宋体"/>
          <w:color w:val="auto"/>
          <w:highlight w:val="none"/>
        </w:rPr>
        <w:drawing>
          <wp:inline distT="0" distB="0" distL="114300" distR="114300">
            <wp:extent cx="1031875" cy="965835"/>
            <wp:effectExtent l="0" t="0" r="15875" b="5715"/>
            <wp:docPr id="2" name="图片 1" descr="国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泰标志"/>
                    <pic:cNvPicPr>
                      <a:picLocks noChangeAspect="1"/>
                    </pic:cNvPicPr>
                  </pic:nvPicPr>
                  <pic:blipFill>
                    <a:blip r:embed="rId12" cstate="print"/>
                    <a:stretch>
                      <a:fillRect/>
                    </a:stretch>
                  </pic:blipFill>
                  <pic:spPr>
                    <a:xfrm>
                      <a:off x="0" y="0"/>
                      <a:ext cx="1031875" cy="965835"/>
                    </a:xfrm>
                    <a:prstGeom prst="rect">
                      <a:avLst/>
                    </a:prstGeom>
                    <a:noFill/>
                    <a:ln>
                      <a:noFill/>
                    </a:ln>
                  </pic:spPr>
                </pic:pic>
              </a:graphicData>
            </a:graphic>
          </wp:inline>
        </w:drawing>
      </w:r>
    </w:p>
    <w:p w14:paraId="31B961AD">
      <w:pPr>
        <w:pStyle w:val="20"/>
        <w:jc w:val="center"/>
        <w:rPr>
          <w:rFonts w:hAnsi="宋体" w:cs="宋体"/>
          <w:color w:val="auto"/>
          <w:spacing w:val="30"/>
          <w:kern w:val="52"/>
          <w:sz w:val="64"/>
          <w:szCs w:val="64"/>
          <w:highlight w:val="none"/>
        </w:rPr>
      </w:pPr>
      <w:r>
        <w:rPr>
          <w:rFonts w:hint="eastAsia" w:hAnsi="宋体" w:cs="宋体"/>
          <w:color w:val="auto"/>
          <w:spacing w:val="30"/>
          <w:kern w:val="52"/>
          <w:sz w:val="64"/>
          <w:szCs w:val="64"/>
          <w:highlight w:val="none"/>
        </w:rPr>
        <w:t>广西国泰招标咨询有限公司</w:t>
      </w:r>
    </w:p>
    <w:p w14:paraId="50FAD0CC">
      <w:pPr>
        <w:pStyle w:val="20"/>
        <w:jc w:val="center"/>
        <w:rPr>
          <w:rFonts w:hAnsi="宋体" w:cs="宋体"/>
          <w:b/>
          <w:color w:val="auto"/>
          <w:sz w:val="44"/>
          <w:szCs w:val="44"/>
          <w:highlight w:val="none"/>
        </w:rPr>
      </w:pPr>
      <w:r>
        <w:rPr>
          <w:rFonts w:hAnsi="宋体" w:cs="宋体"/>
          <w:b/>
          <w:color w:val="auto"/>
          <w:spacing w:val="-18"/>
          <w:sz w:val="64"/>
          <w:szCs w:val="64"/>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1" name="直线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9pt;margin-top:7.8pt;height:0pt;width:432pt;z-index:25166438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awUM1AAAAAgBAAAP&#10;AAAAAAAAAAEAIAAAACIAAABkcnMvZG93bnJldi54bWxQSwECFAAUAAAACACHTuJAqlxkR+MBAADe&#10;AwAADgAAAAAAAAABACAAAAAjAQAAZHJzL2Uyb0RvYy54bWxQSwUGAAAAAAYABgBZAQAAeAUAAAAA&#10;">
                <v:fill on="f" focussize="0,0"/>
                <v:stroke weight="1pt" color="#000000" joinstyle="round"/>
                <v:imagedata o:title=""/>
                <o:lock v:ext="edit" aspectratio="f"/>
              </v:line>
            </w:pict>
          </mc:Fallback>
        </mc:AlternateContent>
      </w:r>
    </w:p>
    <w:p w14:paraId="272C2B15">
      <w:pPr>
        <w:snapToGrid w:val="0"/>
        <w:spacing w:before="156" w:beforeLines="50" w:line="360" w:lineRule="auto"/>
        <w:jc w:val="center"/>
        <w:rPr>
          <w:rFonts w:ascii="宋体" w:hAnsi="宋体" w:cs="宋体"/>
          <w:color w:val="auto"/>
          <w:sz w:val="120"/>
          <w:szCs w:val="120"/>
          <w:highlight w:val="none"/>
        </w:rPr>
      </w:pPr>
      <w:r>
        <w:rPr>
          <w:rFonts w:hint="eastAsia" w:ascii="宋体" w:hAnsi="宋体" w:cs="宋体"/>
          <w:color w:val="auto"/>
          <w:sz w:val="120"/>
          <w:szCs w:val="120"/>
          <w:highlight w:val="none"/>
        </w:rPr>
        <w:t>竞争性磋商文件</w:t>
      </w:r>
    </w:p>
    <w:p w14:paraId="7E162354">
      <w:pPr>
        <w:snapToGrid w:val="0"/>
        <w:spacing w:line="360" w:lineRule="auto"/>
        <w:rPr>
          <w:rFonts w:ascii="宋体" w:hAnsi="宋体" w:cs="宋体"/>
          <w:b/>
          <w:color w:val="auto"/>
          <w:sz w:val="48"/>
          <w:szCs w:val="48"/>
          <w:highlight w:val="none"/>
        </w:rPr>
      </w:pPr>
    </w:p>
    <w:p w14:paraId="67ABB3B5">
      <w:pPr>
        <w:pStyle w:val="20"/>
        <w:snapToGrid w:val="0"/>
        <w:spacing w:line="360" w:lineRule="auto"/>
        <w:ind w:firstLine="1205" w:firstLineChars="400"/>
        <w:rPr>
          <w:rFonts w:hAnsi="宋体" w:cs="宋体"/>
          <w:b/>
          <w:bCs/>
          <w:color w:val="auto"/>
          <w:sz w:val="30"/>
          <w:szCs w:val="30"/>
          <w:highlight w:val="none"/>
        </w:rPr>
      </w:pPr>
    </w:p>
    <w:p w14:paraId="2768478D">
      <w:pPr>
        <w:pStyle w:val="20"/>
        <w:snapToGrid w:val="0"/>
        <w:spacing w:line="360" w:lineRule="auto"/>
        <w:ind w:left="1804" w:leftChars="142" w:hanging="1506" w:hangingChars="5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color w:val="auto"/>
          <w:sz w:val="32"/>
          <w:szCs w:val="32"/>
          <w:highlight w:val="none"/>
          <w:lang w:eastAsia="zh-CN"/>
        </w:rPr>
        <w:t>机房专用及安全设备运维、农业云平台运维、点对点专线服务、无线网络数据流量服务、多媒体教室及会商室运维、网络安全服务及信息系统安全检测服务、异地容灾备份服务项目</w:t>
      </w:r>
    </w:p>
    <w:p w14:paraId="08DBFCC1">
      <w:pPr>
        <w:pStyle w:val="20"/>
        <w:snapToGrid w:val="0"/>
        <w:spacing w:line="360" w:lineRule="auto"/>
        <w:ind w:firstLine="1205" w:firstLineChars="4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项目编号：</w:t>
      </w:r>
      <w:r>
        <w:rPr>
          <w:rFonts w:hint="eastAsia" w:hAnsi="宋体" w:cs="宋体"/>
          <w:b/>
          <w:color w:val="auto"/>
          <w:sz w:val="32"/>
          <w:szCs w:val="32"/>
          <w:highlight w:val="none"/>
          <w:lang w:eastAsia="zh-CN"/>
        </w:rPr>
        <w:t>GXZC2025-C3-000888-GTZB</w:t>
      </w:r>
    </w:p>
    <w:p w14:paraId="7139287B">
      <w:pPr>
        <w:snapToGrid w:val="0"/>
        <w:spacing w:line="360" w:lineRule="auto"/>
        <w:rPr>
          <w:rFonts w:ascii="宋体" w:hAnsi="宋体" w:cs="宋体"/>
          <w:color w:val="auto"/>
          <w:sz w:val="30"/>
          <w:szCs w:val="72"/>
          <w:highlight w:val="none"/>
        </w:rPr>
      </w:pPr>
    </w:p>
    <w:p w14:paraId="0580D23F">
      <w:pPr>
        <w:pStyle w:val="20"/>
        <w:snapToGrid w:val="0"/>
        <w:spacing w:line="360" w:lineRule="auto"/>
        <w:ind w:firstLine="1431" w:firstLineChars="500"/>
        <w:rPr>
          <w:rFonts w:hAnsi="宋体" w:cs="宋体"/>
          <w:b/>
          <w:bCs/>
          <w:color w:val="auto"/>
          <w:w w:val="95"/>
          <w:sz w:val="30"/>
          <w:szCs w:val="30"/>
          <w:highlight w:val="none"/>
        </w:rPr>
      </w:pPr>
    </w:p>
    <w:p w14:paraId="05EFCE37">
      <w:pPr>
        <w:pStyle w:val="20"/>
        <w:snapToGrid w:val="0"/>
        <w:spacing w:line="360" w:lineRule="auto"/>
        <w:ind w:firstLine="1431" w:firstLineChars="500"/>
        <w:rPr>
          <w:rFonts w:hAnsi="宋体" w:cs="宋体"/>
          <w:b/>
          <w:bCs/>
          <w:color w:val="auto"/>
          <w:w w:val="95"/>
          <w:sz w:val="30"/>
          <w:szCs w:val="30"/>
          <w:highlight w:val="none"/>
        </w:rPr>
      </w:pPr>
    </w:p>
    <w:p w14:paraId="08F24A72">
      <w:pPr>
        <w:pStyle w:val="20"/>
        <w:snapToGrid w:val="0"/>
        <w:spacing w:line="360" w:lineRule="auto"/>
        <w:ind w:firstLine="1431" w:firstLineChars="500"/>
        <w:rPr>
          <w:rFonts w:hAnsi="宋体" w:cs="宋体"/>
          <w:b/>
          <w:bCs/>
          <w:color w:val="auto"/>
          <w:w w:val="95"/>
          <w:sz w:val="30"/>
          <w:szCs w:val="30"/>
          <w:highlight w:val="none"/>
        </w:rPr>
      </w:pPr>
      <w:r>
        <w:rPr>
          <w:rFonts w:hint="eastAsia" w:hAnsi="宋体" w:cs="宋体"/>
          <w:b/>
          <w:bCs/>
          <w:color w:val="auto"/>
          <w:w w:val="95"/>
          <w:sz w:val="30"/>
          <w:szCs w:val="30"/>
          <w:highlight w:val="none"/>
        </w:rPr>
        <w:t>采 购 人：</w:t>
      </w:r>
      <w:r>
        <w:rPr>
          <w:rFonts w:hint="eastAsia" w:hAnsi="宋体" w:cs="宋体"/>
          <w:b/>
          <w:color w:val="auto"/>
          <w:sz w:val="32"/>
          <w:szCs w:val="32"/>
          <w:highlight w:val="none"/>
        </w:rPr>
        <w:t>广西壮族自治区农业信息中心</w:t>
      </w:r>
    </w:p>
    <w:p w14:paraId="1FA51984">
      <w:pPr>
        <w:pStyle w:val="20"/>
        <w:snapToGrid w:val="0"/>
        <w:spacing w:line="360" w:lineRule="auto"/>
        <w:ind w:firstLine="1431" w:firstLineChars="500"/>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w:t>
      </w:r>
      <w:r>
        <w:rPr>
          <w:rFonts w:hint="eastAsia" w:hAnsi="宋体" w:cs="宋体"/>
          <w:b/>
          <w:color w:val="auto"/>
          <w:sz w:val="32"/>
          <w:szCs w:val="32"/>
          <w:highlight w:val="none"/>
        </w:rPr>
        <w:t>广西国泰招标咨询有限公司</w:t>
      </w:r>
    </w:p>
    <w:p w14:paraId="622DED22">
      <w:pPr>
        <w:pStyle w:val="20"/>
        <w:snapToGrid w:val="0"/>
        <w:spacing w:line="360" w:lineRule="auto"/>
        <w:ind w:left="420" w:firstLine="841" w:firstLineChars="294"/>
        <w:rPr>
          <w:rFonts w:hAnsi="宋体" w:cs="宋体"/>
          <w:b/>
          <w:bCs/>
          <w:color w:val="auto"/>
          <w:w w:val="95"/>
          <w:sz w:val="30"/>
          <w:szCs w:val="30"/>
          <w:highlight w:val="none"/>
        </w:rPr>
      </w:pPr>
      <w:r>
        <w:rPr>
          <w:rFonts w:hint="eastAsia" w:hAnsi="宋体" w:cs="宋体"/>
          <w:b/>
          <w:bCs/>
          <w:color w:val="auto"/>
          <w:w w:val="95"/>
          <w:sz w:val="30"/>
          <w:szCs w:val="30"/>
          <w:highlight w:val="none"/>
        </w:rPr>
        <w:t xml:space="preserve">                2025年4月</w:t>
      </w:r>
    </w:p>
    <w:p w14:paraId="5E7EBAAB">
      <w:pPr>
        <w:tabs>
          <w:tab w:val="left" w:pos="1080"/>
        </w:tabs>
        <w:spacing w:line="360" w:lineRule="auto"/>
        <w:ind w:firstLine="883" w:firstLineChars="200"/>
        <w:rPr>
          <w:rFonts w:ascii="宋体" w:hAnsi="宋体" w:cs="宋体"/>
          <w:b/>
          <w:color w:val="auto"/>
          <w:sz w:val="44"/>
          <w:szCs w:val="44"/>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7B9EF465">
      <w:pPr>
        <w:pStyle w:val="54"/>
        <w:rPr>
          <w:color w:val="auto"/>
          <w:highlight w:val="none"/>
        </w:rPr>
      </w:pPr>
    </w:p>
    <w:p w14:paraId="008ECF5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1DBACC04">
      <w:pPr>
        <w:spacing w:line="400" w:lineRule="exact"/>
        <w:jc w:val="center"/>
        <w:rPr>
          <w:rFonts w:ascii="宋体" w:hAnsi="宋体" w:cs="宋体"/>
          <w:b/>
          <w:color w:val="auto"/>
          <w:sz w:val="44"/>
          <w:szCs w:val="44"/>
          <w:highlight w:val="none"/>
        </w:rPr>
      </w:pPr>
    </w:p>
    <w:p w14:paraId="1816E54E">
      <w:pPr>
        <w:pStyle w:val="25"/>
        <w:tabs>
          <w:tab w:val="right" w:leader="dot" w:pos="8879"/>
        </w:tabs>
        <w:rPr>
          <w:rFonts w:ascii="宋体" w:hAnsi="宋体" w:cs="宋体"/>
          <w:b/>
          <w:bCs/>
          <w:color w:val="auto"/>
          <w:sz w:val="28"/>
          <w:szCs w:val="28"/>
          <w:highlight w:val="none"/>
        </w:rPr>
      </w:pPr>
      <w:r>
        <w:rPr>
          <w:rFonts w:ascii="宋体" w:hAnsi="宋体" w:cs="宋体"/>
          <w:b/>
          <w:color w:val="auto"/>
          <w:sz w:val="24"/>
          <w:highlight w:val="none"/>
        </w:rPr>
        <w:fldChar w:fldCharType="begin"/>
      </w:r>
      <w:r>
        <w:rPr>
          <w:rFonts w:ascii="宋体" w:hAnsi="宋体" w:cs="宋体"/>
          <w:b/>
          <w:color w:val="auto"/>
          <w:sz w:val="24"/>
          <w:highlight w:val="none"/>
        </w:rPr>
        <w:instrText xml:space="preserve">TOC \o "1-3" \h \u </w:instrText>
      </w:r>
      <w:r>
        <w:rPr>
          <w:rFonts w:ascii="宋体" w:hAnsi="宋体" w:cs="宋体"/>
          <w:b/>
          <w:color w:val="auto"/>
          <w:sz w:val="24"/>
          <w:highlight w:val="none"/>
        </w:rPr>
        <w:fldChar w:fldCharType="separate"/>
      </w:r>
      <w:r>
        <w:rPr>
          <w:color w:val="auto"/>
          <w:highlight w:val="none"/>
        </w:rPr>
        <w:fldChar w:fldCharType="begin"/>
      </w:r>
      <w:r>
        <w:rPr>
          <w:color w:val="auto"/>
          <w:highlight w:val="none"/>
        </w:rPr>
        <w:instrText xml:space="preserve"> HYPERLINK \l "_Toc24302" </w:instrText>
      </w:r>
      <w:r>
        <w:rPr>
          <w:color w:val="auto"/>
          <w:highlight w:val="none"/>
        </w:rPr>
        <w:fldChar w:fldCharType="separate"/>
      </w:r>
      <w:r>
        <w:rPr>
          <w:rFonts w:hint="eastAsia" w:ascii="宋体" w:hAnsi="宋体" w:cs="宋体"/>
          <w:b/>
          <w:bCs/>
          <w:color w:val="auto"/>
          <w:sz w:val="28"/>
          <w:szCs w:val="28"/>
          <w:highlight w:val="none"/>
        </w:rPr>
        <w:t>第一章 竞争性磋商公告</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_Toc24302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1</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358D070C">
      <w:pPr>
        <w:pStyle w:val="25"/>
        <w:tabs>
          <w:tab w:val="right" w:leader="dot" w:pos="8879"/>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"_Toc23903" </w:instrText>
      </w:r>
      <w:r>
        <w:rPr>
          <w:color w:val="auto"/>
          <w:highlight w:val="none"/>
        </w:rPr>
        <w:fldChar w:fldCharType="separate"/>
      </w:r>
      <w:r>
        <w:rPr>
          <w:rFonts w:hint="eastAsia" w:ascii="宋体" w:hAnsi="宋体" w:cs="宋体"/>
          <w:b/>
          <w:bCs/>
          <w:color w:val="auto"/>
          <w:sz w:val="28"/>
          <w:szCs w:val="28"/>
          <w:highlight w:val="none"/>
        </w:rPr>
        <w:t>第二章 供应商须知</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_Toc23903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6</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714D11A8">
      <w:pPr>
        <w:pStyle w:val="25"/>
        <w:tabs>
          <w:tab w:val="right" w:leader="dot" w:pos="8879"/>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"_Toc8379" </w:instrText>
      </w:r>
      <w:r>
        <w:rPr>
          <w:color w:val="auto"/>
          <w:highlight w:val="none"/>
        </w:rPr>
        <w:fldChar w:fldCharType="separate"/>
      </w:r>
      <w:r>
        <w:rPr>
          <w:rFonts w:hint="eastAsia" w:ascii="宋体" w:hAnsi="宋体" w:cs="宋体"/>
          <w:b/>
          <w:bCs/>
          <w:color w:val="auto"/>
          <w:sz w:val="28"/>
          <w:szCs w:val="28"/>
          <w:highlight w:val="none"/>
        </w:rPr>
        <w:t>第三章 采购需求</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_Toc8379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22</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0D9ADB20">
      <w:pPr>
        <w:pStyle w:val="25"/>
        <w:tabs>
          <w:tab w:val="right" w:leader="dot" w:pos="8879"/>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"_Toc9102" </w:instrText>
      </w:r>
      <w:r>
        <w:rPr>
          <w:color w:val="auto"/>
          <w:highlight w:val="none"/>
        </w:rPr>
        <w:fldChar w:fldCharType="separate"/>
      </w:r>
      <w:r>
        <w:rPr>
          <w:rFonts w:hint="eastAsia" w:ascii="宋体" w:hAnsi="宋体" w:cs="宋体"/>
          <w:b/>
          <w:bCs/>
          <w:color w:val="auto"/>
          <w:sz w:val="28"/>
          <w:szCs w:val="28"/>
          <w:highlight w:val="none"/>
        </w:rPr>
        <w:t>第四章  评审程序、评审方法和评审标准</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_Toc9102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67</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3425B02D">
      <w:pPr>
        <w:pStyle w:val="25"/>
        <w:tabs>
          <w:tab w:val="right" w:leader="dot" w:pos="8879"/>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"_Toc22926" </w:instrText>
      </w:r>
      <w:r>
        <w:rPr>
          <w:color w:val="auto"/>
          <w:highlight w:val="none"/>
        </w:rPr>
        <w:fldChar w:fldCharType="separate"/>
      </w:r>
      <w:r>
        <w:rPr>
          <w:rFonts w:hint="eastAsia" w:ascii="宋体" w:hAnsi="宋体" w:cs="宋体"/>
          <w:b/>
          <w:bCs/>
          <w:color w:val="auto"/>
          <w:sz w:val="28"/>
          <w:szCs w:val="28"/>
          <w:highlight w:val="none"/>
        </w:rPr>
        <w:t>第五章 响应文件格式</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_Toc22926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91</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43E15A82">
      <w:pPr>
        <w:pStyle w:val="25"/>
        <w:tabs>
          <w:tab w:val="right" w:leader="dot" w:pos="8879"/>
        </w:tabs>
        <w:rPr>
          <w:color w:val="auto"/>
          <w:highlight w:val="none"/>
        </w:rPr>
      </w:pPr>
      <w:r>
        <w:rPr>
          <w:color w:val="auto"/>
          <w:highlight w:val="none"/>
        </w:rPr>
        <w:fldChar w:fldCharType="begin"/>
      </w:r>
      <w:r>
        <w:rPr>
          <w:color w:val="auto"/>
          <w:highlight w:val="none"/>
        </w:rPr>
        <w:instrText xml:space="preserve"> HYPERLINK \l "_Toc19603" </w:instrText>
      </w:r>
      <w:r>
        <w:rPr>
          <w:color w:val="auto"/>
          <w:highlight w:val="none"/>
        </w:rPr>
        <w:fldChar w:fldCharType="separate"/>
      </w:r>
      <w:r>
        <w:rPr>
          <w:rFonts w:hint="eastAsia" w:ascii="宋体" w:hAnsi="宋体" w:cs="宋体"/>
          <w:b/>
          <w:bCs/>
          <w:color w:val="auto"/>
          <w:sz w:val="28"/>
          <w:szCs w:val="28"/>
          <w:highlight w:val="none"/>
        </w:rPr>
        <w:t>第六章 合同文本</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_Toc19603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114</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452DC3C9">
      <w:pPr>
        <w:pStyle w:val="26"/>
        <w:tabs>
          <w:tab w:val="right" w:leader="dot" w:pos="8931"/>
          <w:tab w:val="clear" w:pos="8296"/>
        </w:tabs>
        <w:snapToGrid w:val="0"/>
        <w:spacing w:line="500" w:lineRule="atLeast"/>
        <w:ind w:left="0" w:leftChars="0"/>
        <w:rPr>
          <w:rFonts w:ascii="宋体" w:hAnsi="宋体" w:cs="宋体"/>
          <w:b/>
          <w:color w:val="auto"/>
          <w:sz w:val="24"/>
          <w:highlight w:val="none"/>
        </w:rPr>
      </w:pPr>
      <w:r>
        <w:rPr>
          <w:rFonts w:ascii="宋体" w:hAnsi="宋体" w:cs="宋体"/>
          <w:color w:val="auto"/>
          <w:highlight w:val="none"/>
        </w:rPr>
        <w:fldChar w:fldCharType="end"/>
      </w:r>
    </w:p>
    <w:p w14:paraId="026213B5">
      <w:pPr>
        <w:spacing w:line="400" w:lineRule="exact"/>
        <w:jc w:val="left"/>
        <w:rPr>
          <w:rFonts w:ascii="宋体" w:hAnsi="宋体" w:cs="宋体"/>
          <w:b/>
          <w:color w:val="auto"/>
          <w:sz w:val="32"/>
          <w:szCs w:val="32"/>
          <w:highlight w:val="none"/>
        </w:rPr>
      </w:pPr>
    </w:p>
    <w:p w14:paraId="46E48A6A">
      <w:pPr>
        <w:spacing w:line="400" w:lineRule="exact"/>
        <w:jc w:val="center"/>
        <w:rPr>
          <w:rFonts w:ascii="宋体" w:hAnsi="宋体" w:cs="宋体"/>
          <w:b/>
          <w:color w:val="auto"/>
          <w:sz w:val="32"/>
          <w:szCs w:val="32"/>
          <w:highlight w:val="none"/>
        </w:rPr>
      </w:pPr>
    </w:p>
    <w:p w14:paraId="34C8688F">
      <w:pPr>
        <w:spacing w:line="400" w:lineRule="exact"/>
        <w:jc w:val="center"/>
        <w:rPr>
          <w:rFonts w:ascii="宋体" w:hAnsi="宋体" w:cs="宋体"/>
          <w:b/>
          <w:color w:val="auto"/>
          <w:sz w:val="32"/>
          <w:szCs w:val="32"/>
          <w:highlight w:val="none"/>
        </w:rPr>
      </w:pPr>
    </w:p>
    <w:p w14:paraId="2BBFCC29">
      <w:pPr>
        <w:spacing w:line="400" w:lineRule="exact"/>
        <w:jc w:val="center"/>
        <w:rPr>
          <w:rFonts w:ascii="宋体" w:hAnsi="宋体" w:cs="宋体"/>
          <w:b/>
          <w:color w:val="auto"/>
          <w:sz w:val="32"/>
          <w:szCs w:val="32"/>
          <w:highlight w:val="none"/>
        </w:rPr>
      </w:pPr>
    </w:p>
    <w:p w14:paraId="0D722954">
      <w:pPr>
        <w:spacing w:line="400" w:lineRule="exact"/>
        <w:rPr>
          <w:rFonts w:ascii="宋体" w:hAnsi="宋体" w:cs="宋体"/>
          <w:b/>
          <w:color w:val="auto"/>
          <w:sz w:val="32"/>
          <w:szCs w:val="32"/>
          <w:highlight w:val="none"/>
        </w:rPr>
      </w:pPr>
    </w:p>
    <w:p w14:paraId="57DA92E2">
      <w:pPr>
        <w:rPr>
          <w:color w:val="auto"/>
          <w:highlight w:val="none"/>
        </w:rPr>
      </w:pPr>
    </w:p>
    <w:p w14:paraId="276C26DB">
      <w:pPr>
        <w:rPr>
          <w:color w:val="auto"/>
          <w:highlight w:val="none"/>
        </w:rPr>
      </w:pPr>
    </w:p>
    <w:p w14:paraId="7FD6989E">
      <w:pPr>
        <w:rPr>
          <w:color w:val="auto"/>
          <w:highlight w:val="none"/>
        </w:rPr>
      </w:pPr>
    </w:p>
    <w:p w14:paraId="1B0C4070">
      <w:pPr>
        <w:rPr>
          <w:color w:val="auto"/>
          <w:highlight w:val="none"/>
        </w:rPr>
      </w:pPr>
    </w:p>
    <w:p w14:paraId="52C7765E">
      <w:pPr>
        <w:rPr>
          <w:color w:val="auto"/>
          <w:highlight w:val="none"/>
        </w:rPr>
      </w:pPr>
    </w:p>
    <w:p w14:paraId="5923FA06">
      <w:pPr>
        <w:rPr>
          <w:color w:val="auto"/>
          <w:highlight w:val="none"/>
        </w:rPr>
      </w:pPr>
    </w:p>
    <w:p w14:paraId="79AD037D">
      <w:pPr>
        <w:rPr>
          <w:color w:val="auto"/>
          <w:highlight w:val="none"/>
        </w:rPr>
      </w:pPr>
    </w:p>
    <w:p w14:paraId="0783D79D">
      <w:pPr>
        <w:rPr>
          <w:color w:val="auto"/>
          <w:highlight w:val="none"/>
        </w:rPr>
      </w:pPr>
    </w:p>
    <w:p w14:paraId="2BD1E9CD">
      <w:pPr>
        <w:rPr>
          <w:color w:val="auto"/>
          <w:highlight w:val="none"/>
        </w:rPr>
      </w:pPr>
    </w:p>
    <w:p w14:paraId="303A2159">
      <w:pPr>
        <w:rPr>
          <w:color w:val="auto"/>
          <w:highlight w:val="none"/>
        </w:rPr>
      </w:pPr>
    </w:p>
    <w:p w14:paraId="7EDB988C">
      <w:pPr>
        <w:rPr>
          <w:color w:val="auto"/>
          <w:highlight w:val="none"/>
        </w:rPr>
      </w:pPr>
    </w:p>
    <w:p w14:paraId="6EF72649">
      <w:pPr>
        <w:rPr>
          <w:color w:val="auto"/>
          <w:highlight w:val="none"/>
        </w:rPr>
      </w:pPr>
    </w:p>
    <w:p w14:paraId="679EAA14">
      <w:pPr>
        <w:rPr>
          <w:color w:val="auto"/>
          <w:highlight w:val="none"/>
        </w:rPr>
      </w:pPr>
    </w:p>
    <w:p w14:paraId="2D8AD81C">
      <w:pPr>
        <w:rPr>
          <w:color w:val="auto"/>
          <w:highlight w:val="none"/>
        </w:rPr>
      </w:pPr>
    </w:p>
    <w:p w14:paraId="08C1E252">
      <w:pPr>
        <w:rPr>
          <w:color w:val="auto"/>
          <w:highlight w:val="none"/>
        </w:rPr>
      </w:pPr>
    </w:p>
    <w:p w14:paraId="60401909">
      <w:pPr>
        <w:rPr>
          <w:color w:val="auto"/>
          <w:highlight w:val="none"/>
        </w:rPr>
      </w:pPr>
    </w:p>
    <w:p w14:paraId="0B404E24">
      <w:pPr>
        <w:rPr>
          <w:color w:val="auto"/>
          <w:highlight w:val="none"/>
        </w:rPr>
      </w:pPr>
    </w:p>
    <w:p w14:paraId="2DA7A869">
      <w:pPr>
        <w:rPr>
          <w:color w:val="auto"/>
          <w:highlight w:val="none"/>
        </w:rPr>
      </w:pPr>
    </w:p>
    <w:p w14:paraId="79AB36D2">
      <w:pPr>
        <w:rPr>
          <w:color w:val="auto"/>
          <w:highlight w:val="none"/>
        </w:rPr>
      </w:pPr>
    </w:p>
    <w:p w14:paraId="2DB9E569">
      <w:pPr>
        <w:tabs>
          <w:tab w:val="center" w:pos="4439"/>
        </w:tabs>
        <w:jc w:val="left"/>
        <w:rPr>
          <w:color w:val="auto"/>
          <w:highlight w:val="none"/>
        </w:rPr>
        <w:sectPr>
          <w:footerReference r:id="rId8" w:type="first"/>
          <w:footerReference r:id="rId7" w:type="default"/>
          <w:pgSz w:w="11906" w:h="16838"/>
          <w:pgMar w:top="1440" w:right="1440" w:bottom="1440" w:left="1587" w:header="851" w:footer="992" w:gutter="0"/>
          <w:pgNumType w:start="0"/>
          <w:cols w:space="720" w:num="1"/>
          <w:titlePg/>
          <w:docGrid w:type="lines" w:linePitch="312" w:charSpace="0"/>
        </w:sectPr>
      </w:pPr>
      <w:r>
        <w:rPr>
          <w:rFonts w:hint="eastAsia"/>
          <w:color w:val="auto"/>
          <w:highlight w:val="none"/>
        </w:rPr>
        <w:tab/>
      </w:r>
    </w:p>
    <w:p w14:paraId="78BF3CFD">
      <w:pPr>
        <w:pStyle w:val="2"/>
        <w:rPr>
          <w:rFonts w:ascii="宋体" w:hAnsi="宋体" w:cs="宋体"/>
          <w:color w:val="auto"/>
          <w:sz w:val="32"/>
          <w:szCs w:val="32"/>
          <w:highlight w:val="none"/>
        </w:rPr>
      </w:pPr>
      <w:bookmarkStart w:id="0" w:name="_Toc24302"/>
      <w:bookmarkStart w:id="1" w:name="_Toc24200"/>
      <w:r>
        <w:rPr>
          <w:rFonts w:hint="eastAsia"/>
          <w:color w:val="auto"/>
          <w:highlight w:val="none"/>
        </w:rPr>
        <w:t>第一章 竞争性磋商公告</w:t>
      </w:r>
      <w:bookmarkEnd w:id="0"/>
      <w:bookmarkEnd w:id="1"/>
    </w:p>
    <w:p w14:paraId="3E6290EA">
      <w:pPr>
        <w:pStyle w:val="20"/>
        <w:jc w:val="center"/>
        <w:rPr>
          <w:rFonts w:hAnsi="宋体" w:cs="宋体"/>
          <w:b/>
          <w:color w:val="auto"/>
          <w:sz w:val="32"/>
          <w:szCs w:val="32"/>
          <w:highlight w:val="none"/>
        </w:rPr>
      </w:pPr>
      <w:r>
        <w:rPr>
          <w:rFonts w:hint="eastAsia" w:hAnsi="宋体" w:cs="宋体"/>
          <w:b/>
          <w:color w:val="auto"/>
          <w:sz w:val="32"/>
          <w:szCs w:val="32"/>
          <w:highlight w:val="none"/>
        </w:rPr>
        <w:t>广西国泰招标咨询有限公司关于</w:t>
      </w:r>
    </w:p>
    <w:p w14:paraId="7B2559D3">
      <w:pPr>
        <w:pStyle w:val="20"/>
        <w:jc w:val="center"/>
        <w:rPr>
          <w:rFonts w:hint="eastAsia" w:hAnsi="宋体" w:cs="宋体"/>
          <w:b/>
          <w:color w:val="auto"/>
          <w:sz w:val="32"/>
          <w:szCs w:val="32"/>
          <w:highlight w:val="none"/>
        </w:rPr>
      </w:pPr>
      <w:r>
        <w:rPr>
          <w:rFonts w:hint="eastAsia" w:hAnsi="宋体" w:cs="宋体"/>
          <w:b/>
          <w:color w:val="auto"/>
          <w:sz w:val="32"/>
          <w:szCs w:val="32"/>
          <w:highlight w:val="none"/>
          <w:lang w:eastAsia="zh-CN"/>
        </w:rPr>
        <w:t>机房专用及安全设备运维、农业云平台运维、点对点专线服务、无线网络数据流量服务、多媒体教室及会商室运维、网络安全服务及信息系统安全检测服务、异地容灾备份服务项目</w:t>
      </w:r>
      <w:r>
        <w:rPr>
          <w:rFonts w:hint="eastAsia" w:hAnsi="宋体" w:cs="宋体"/>
          <w:b/>
          <w:color w:val="auto"/>
          <w:sz w:val="32"/>
          <w:szCs w:val="32"/>
          <w:highlight w:val="none"/>
        </w:rPr>
        <w:t>（</w:t>
      </w:r>
      <w:r>
        <w:rPr>
          <w:rFonts w:hint="eastAsia" w:hAnsi="宋体" w:cs="宋体"/>
          <w:b/>
          <w:color w:val="auto"/>
          <w:sz w:val="32"/>
          <w:szCs w:val="32"/>
          <w:highlight w:val="none"/>
          <w:lang w:eastAsia="zh-CN"/>
        </w:rPr>
        <w:t>GXZC2025-C3-000888-GTZB</w:t>
      </w:r>
      <w:r>
        <w:rPr>
          <w:rFonts w:hint="eastAsia" w:hAnsi="宋体" w:cs="宋体"/>
          <w:b/>
          <w:color w:val="auto"/>
          <w:sz w:val="32"/>
          <w:szCs w:val="32"/>
          <w:highlight w:val="none"/>
        </w:rPr>
        <w:t>）</w:t>
      </w:r>
    </w:p>
    <w:p w14:paraId="46FBF046">
      <w:pPr>
        <w:pStyle w:val="20"/>
        <w:jc w:val="center"/>
        <w:rPr>
          <w:rFonts w:hAnsi="宋体" w:cs="宋体"/>
          <w:b/>
          <w:color w:val="auto"/>
          <w:sz w:val="36"/>
          <w:szCs w:val="36"/>
          <w:highlight w:val="none"/>
        </w:rPr>
      </w:pPr>
      <w:r>
        <w:rPr>
          <w:rFonts w:hint="eastAsia" w:hAnsi="宋体" w:cs="宋体"/>
          <w:b/>
          <w:color w:val="auto"/>
          <w:sz w:val="32"/>
          <w:szCs w:val="32"/>
          <w:highlight w:val="none"/>
        </w:rPr>
        <w:t>竞争性磋商公告</w:t>
      </w:r>
    </w:p>
    <w:p w14:paraId="410C05C6">
      <w:pPr>
        <w:spacing w:line="360" w:lineRule="auto"/>
        <w:jc w:val="center"/>
        <w:rPr>
          <w:rFonts w:ascii="宋体" w:hAnsi="宋体" w:cs="宋体"/>
          <w:color w:val="auto"/>
          <w:szCs w:val="21"/>
          <w:highlight w:val="none"/>
        </w:rPr>
      </w:pPr>
    </w:p>
    <w:p w14:paraId="6DA4679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bookmarkStart w:id="2" w:name="_Hlk37430271"/>
      <w:r>
        <w:rPr>
          <w:rFonts w:hint="eastAsia" w:ascii="宋体" w:hAnsi="宋体" w:cs="宋体"/>
          <w:color w:val="auto"/>
          <w:szCs w:val="21"/>
          <w:highlight w:val="none"/>
        </w:rPr>
        <w:t>项目概况</w:t>
      </w:r>
    </w:p>
    <w:p w14:paraId="3C16FAF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机房专用及安全设备运维、农业云平台运维、点对点专线服务、无线网络数据流量服务、多媒体教室及会商室运维、网络安全服务及信息系统安全检测服务、异地容灾备份服务项目</w:t>
      </w:r>
      <w:r>
        <w:rPr>
          <w:rFonts w:hint="eastAsia" w:ascii="宋体" w:hAnsi="宋体" w:cs="宋体"/>
          <w:color w:val="auto"/>
          <w:szCs w:val="21"/>
          <w:highlight w:val="none"/>
        </w:rPr>
        <w:t>采购项目的潜在供应商应在广西政府采购云平台（https://www.gcy.zfcg.gxzf.gov.cn/）获取采购文件，并于</w:t>
      </w:r>
      <w:r>
        <w:rPr>
          <w:rFonts w:hint="eastAsia" w:ascii="宋体" w:hAnsi="宋体" w:cs="宋体"/>
          <w:color w:val="auto"/>
          <w:szCs w:val="21"/>
          <w:highlight w:val="none"/>
          <w:lang w:eastAsia="zh-CN"/>
        </w:rPr>
        <w:t>2025年5月6日</w:t>
      </w:r>
      <w:r>
        <w:rPr>
          <w:rFonts w:hint="eastAsia" w:ascii="宋体" w:hAnsi="宋体" w:cs="宋体"/>
          <w:color w:val="auto"/>
          <w:szCs w:val="21"/>
          <w:highlight w:val="none"/>
        </w:rPr>
        <w:t>09时00分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14:paraId="2E908081">
      <w:pPr>
        <w:spacing w:line="360" w:lineRule="auto"/>
        <w:ind w:firstLine="354" w:firstLineChars="147"/>
        <w:rPr>
          <w:rFonts w:ascii="宋体" w:hAnsi="宋体" w:cs="宋体"/>
          <w:b/>
          <w:color w:val="auto"/>
          <w:sz w:val="24"/>
          <w:highlight w:val="none"/>
        </w:rPr>
      </w:pPr>
      <w:bookmarkStart w:id="3" w:name="_Toc28359089"/>
      <w:bookmarkStart w:id="4" w:name="_Toc28359012"/>
      <w:bookmarkStart w:id="5" w:name="_Toc44229878"/>
      <w:bookmarkStart w:id="6" w:name="_Toc71365905"/>
      <w:bookmarkStart w:id="7" w:name="_Toc35393798"/>
      <w:bookmarkStart w:id="8" w:name="_Toc35393629"/>
    </w:p>
    <w:bookmarkEnd w:id="3"/>
    <w:bookmarkEnd w:id="4"/>
    <w:bookmarkEnd w:id="5"/>
    <w:bookmarkEnd w:id="6"/>
    <w:bookmarkEnd w:id="7"/>
    <w:bookmarkEnd w:id="8"/>
    <w:p w14:paraId="20DC0435">
      <w:pPr>
        <w:spacing w:line="360" w:lineRule="auto"/>
        <w:ind w:firstLine="354" w:firstLineChars="147"/>
        <w:rPr>
          <w:rFonts w:ascii="宋体" w:hAnsi="宋体" w:cs="宋体"/>
          <w:b/>
          <w:color w:val="auto"/>
          <w:sz w:val="24"/>
          <w:highlight w:val="none"/>
        </w:rPr>
      </w:pPr>
      <w:bookmarkStart w:id="9" w:name="_Hlk37429674"/>
      <w:bookmarkStart w:id="10" w:name="_Toc44229885"/>
      <w:bookmarkStart w:id="11" w:name="_Toc35393805"/>
      <w:bookmarkStart w:id="12" w:name="_Toc28359018"/>
      <w:bookmarkStart w:id="13" w:name="_Toc35393636"/>
      <w:bookmarkStart w:id="14" w:name="_Toc28359095"/>
      <w:r>
        <w:rPr>
          <w:rFonts w:hint="eastAsia" w:ascii="宋体" w:hAnsi="宋体" w:cs="宋体"/>
          <w:b/>
          <w:color w:val="auto"/>
          <w:sz w:val="24"/>
          <w:highlight w:val="none"/>
        </w:rPr>
        <w:t>一、项目基本情况</w:t>
      </w:r>
    </w:p>
    <w:p w14:paraId="5F09D2F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GXZC2025-C3-000888-GTZB</w:t>
      </w:r>
    </w:p>
    <w:p w14:paraId="494880BD">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机房专用及安全设备运维、农业云平台运维、点对点专线服务、无线网络数据流量服务、多媒体教室及会商室运维、网络安全服务及信息系统安全检测服务、异地容灾备份服务项目</w:t>
      </w:r>
    </w:p>
    <w:p w14:paraId="461745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采购方式：竞争性磋商</w:t>
      </w:r>
    </w:p>
    <w:p w14:paraId="5DF28B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olor w:val="auto"/>
          <w:highlight w:val="none"/>
        </w:rPr>
        <w:t>预算总金额为</w:t>
      </w:r>
      <w:r>
        <w:rPr>
          <w:rFonts w:hint="eastAsia" w:ascii="宋体" w:hAnsi="宋体" w:cs="宋体"/>
          <w:iCs/>
          <w:color w:val="auto"/>
          <w:szCs w:val="21"/>
          <w:highlight w:val="none"/>
        </w:rPr>
        <w:t>270.97万元</w:t>
      </w:r>
      <w:r>
        <w:rPr>
          <w:rFonts w:hint="eastAsia" w:ascii="宋体" w:hAnsi="宋体"/>
          <w:color w:val="auto"/>
          <w:highlight w:val="none"/>
        </w:rPr>
        <w:t>，其中：</w:t>
      </w:r>
      <w:r>
        <w:rPr>
          <w:rFonts w:hint="eastAsia" w:ascii="宋体" w:hAnsi="宋体"/>
          <w:color w:val="auto"/>
          <w:szCs w:val="21"/>
          <w:highlight w:val="none"/>
        </w:rPr>
        <w:t>分标1为76.1万元；分标2为 64.16万元</w:t>
      </w:r>
      <w:r>
        <w:rPr>
          <w:rFonts w:hint="eastAsia" w:ascii="宋体" w:hAnsi="宋体" w:cs="宋体"/>
          <w:color w:val="auto"/>
          <w:szCs w:val="21"/>
          <w:highlight w:val="none"/>
        </w:rPr>
        <w:t>；</w:t>
      </w:r>
      <w:r>
        <w:rPr>
          <w:rFonts w:hint="eastAsia" w:ascii="宋体" w:hAnsi="宋体"/>
          <w:color w:val="auto"/>
          <w:szCs w:val="21"/>
          <w:highlight w:val="none"/>
        </w:rPr>
        <w:t>分标3为10.68万元</w:t>
      </w:r>
      <w:r>
        <w:rPr>
          <w:rFonts w:hint="eastAsia" w:ascii="宋体" w:hAnsi="宋体" w:cs="宋体"/>
          <w:color w:val="auto"/>
          <w:szCs w:val="21"/>
          <w:highlight w:val="none"/>
        </w:rPr>
        <w:t>；</w:t>
      </w:r>
      <w:r>
        <w:rPr>
          <w:rFonts w:hint="eastAsia" w:ascii="宋体" w:hAnsi="宋体"/>
          <w:color w:val="auto"/>
          <w:szCs w:val="21"/>
          <w:highlight w:val="none"/>
        </w:rPr>
        <w:t>分标4为14.7万元</w:t>
      </w:r>
      <w:r>
        <w:rPr>
          <w:rFonts w:hint="eastAsia" w:ascii="宋体" w:hAnsi="宋体" w:cs="宋体"/>
          <w:color w:val="auto"/>
          <w:szCs w:val="21"/>
          <w:highlight w:val="none"/>
        </w:rPr>
        <w:t>；</w:t>
      </w:r>
      <w:r>
        <w:rPr>
          <w:rFonts w:hint="eastAsia" w:ascii="宋体" w:hAnsi="宋体"/>
          <w:color w:val="auto"/>
          <w:szCs w:val="21"/>
          <w:highlight w:val="none"/>
        </w:rPr>
        <w:t>分标5为15.04万元</w:t>
      </w:r>
      <w:r>
        <w:rPr>
          <w:rFonts w:hint="eastAsia" w:ascii="宋体" w:hAnsi="宋体" w:cs="宋体"/>
          <w:color w:val="auto"/>
          <w:szCs w:val="21"/>
          <w:highlight w:val="none"/>
        </w:rPr>
        <w:t>；</w:t>
      </w:r>
      <w:r>
        <w:rPr>
          <w:rFonts w:hint="eastAsia" w:ascii="宋体" w:hAnsi="宋体"/>
          <w:color w:val="auto"/>
          <w:szCs w:val="21"/>
          <w:highlight w:val="none"/>
        </w:rPr>
        <w:t>分标6为49.9万元；分标7为 40.39万元。</w:t>
      </w:r>
    </w:p>
    <w:p w14:paraId="21E0AB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olor w:val="auto"/>
          <w:highlight w:val="none"/>
        </w:rPr>
        <w:t>：</w:t>
      </w:r>
      <w:r>
        <w:rPr>
          <w:rFonts w:hint="eastAsia" w:ascii="宋体" w:hAnsi="宋体"/>
          <w:color w:val="auto"/>
          <w:szCs w:val="21"/>
          <w:highlight w:val="none"/>
        </w:rPr>
        <w:t>分标1为76.1万元；分标2为 64.16万元</w:t>
      </w:r>
      <w:r>
        <w:rPr>
          <w:rFonts w:hint="eastAsia" w:ascii="宋体" w:hAnsi="宋体" w:cs="宋体"/>
          <w:color w:val="auto"/>
          <w:szCs w:val="21"/>
          <w:highlight w:val="none"/>
        </w:rPr>
        <w:t>；</w:t>
      </w:r>
      <w:r>
        <w:rPr>
          <w:rFonts w:hint="eastAsia" w:ascii="宋体" w:hAnsi="宋体"/>
          <w:color w:val="auto"/>
          <w:szCs w:val="21"/>
          <w:highlight w:val="none"/>
        </w:rPr>
        <w:t>分标3为10.68万元</w:t>
      </w:r>
      <w:r>
        <w:rPr>
          <w:rFonts w:hint="eastAsia" w:ascii="宋体" w:hAnsi="宋体" w:cs="宋体"/>
          <w:color w:val="auto"/>
          <w:szCs w:val="21"/>
          <w:highlight w:val="none"/>
        </w:rPr>
        <w:t>；</w:t>
      </w:r>
      <w:r>
        <w:rPr>
          <w:rFonts w:hint="eastAsia" w:ascii="宋体" w:hAnsi="宋体"/>
          <w:color w:val="auto"/>
          <w:szCs w:val="21"/>
          <w:highlight w:val="none"/>
        </w:rPr>
        <w:t>分标4为14.7万元</w:t>
      </w:r>
      <w:r>
        <w:rPr>
          <w:rFonts w:hint="eastAsia" w:ascii="宋体" w:hAnsi="宋体" w:cs="宋体"/>
          <w:color w:val="auto"/>
          <w:szCs w:val="21"/>
          <w:highlight w:val="none"/>
        </w:rPr>
        <w:t>；</w:t>
      </w:r>
      <w:r>
        <w:rPr>
          <w:rFonts w:hint="eastAsia" w:ascii="宋体" w:hAnsi="宋体"/>
          <w:color w:val="auto"/>
          <w:szCs w:val="21"/>
          <w:highlight w:val="none"/>
        </w:rPr>
        <w:t>分标5为15.04万元</w:t>
      </w:r>
      <w:r>
        <w:rPr>
          <w:rFonts w:hint="eastAsia" w:ascii="宋体" w:hAnsi="宋体" w:cs="宋体"/>
          <w:color w:val="auto"/>
          <w:szCs w:val="21"/>
          <w:highlight w:val="none"/>
        </w:rPr>
        <w:t>；</w:t>
      </w:r>
      <w:r>
        <w:rPr>
          <w:rFonts w:hint="eastAsia" w:ascii="宋体" w:hAnsi="宋体"/>
          <w:color w:val="auto"/>
          <w:szCs w:val="21"/>
          <w:highlight w:val="none"/>
        </w:rPr>
        <w:t>分标6为49.9万元；分标7为 40.39万元。</w:t>
      </w:r>
    </w:p>
    <w:p w14:paraId="133DEB89">
      <w:pPr>
        <w:spacing w:line="360" w:lineRule="auto"/>
        <w:ind w:firstLine="422" w:firstLineChars="200"/>
        <w:rPr>
          <w:rFonts w:ascii="宋体" w:hAnsi="宋体"/>
          <w:color w:val="auto"/>
          <w:szCs w:val="21"/>
          <w:highlight w:val="none"/>
        </w:rPr>
      </w:pPr>
      <w:r>
        <w:rPr>
          <w:rFonts w:hint="eastAsia" w:ascii="宋体" w:hAnsi="宋体"/>
          <w:b/>
          <w:bCs/>
          <w:color w:val="auto"/>
          <w:szCs w:val="21"/>
          <w:highlight w:val="none"/>
        </w:rPr>
        <w:t>采购需求：</w:t>
      </w:r>
    </w:p>
    <w:tbl>
      <w:tblPr>
        <w:tblStyle w:val="3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67"/>
        <w:gridCol w:w="3424"/>
        <w:gridCol w:w="5791"/>
      </w:tblGrid>
      <w:tr w14:paraId="772E8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70A48682">
            <w:pPr>
              <w:snapToGrid w:val="0"/>
              <w:spacing w:line="360" w:lineRule="auto"/>
              <w:rPr>
                <w:rFonts w:ascii="宋体" w:hAnsi="宋体"/>
                <w:color w:val="auto"/>
                <w:szCs w:val="21"/>
                <w:highlight w:val="none"/>
              </w:rPr>
            </w:pPr>
            <w:r>
              <w:rPr>
                <w:rFonts w:hint="eastAsia" w:ascii="宋体" w:hAnsi="宋体"/>
                <w:b/>
                <w:bCs/>
                <w:color w:val="auto"/>
                <w:szCs w:val="21"/>
                <w:highlight w:val="none"/>
              </w:rPr>
              <w:t>分标1；预算金额：</w:t>
            </w:r>
            <w:r>
              <w:rPr>
                <w:rFonts w:hint="eastAsia" w:ascii="宋体" w:hAnsi="宋体"/>
                <w:b/>
                <w:bCs/>
                <w:color w:val="auto"/>
                <w:szCs w:val="21"/>
                <w:highlight w:val="none"/>
                <w:u w:val="single"/>
              </w:rPr>
              <w:t>76.1万元</w:t>
            </w:r>
            <w:r>
              <w:rPr>
                <w:rFonts w:hint="eastAsia" w:ascii="宋体" w:hAnsi="宋体" w:cs="宋体"/>
                <w:b/>
                <w:bCs/>
                <w:color w:val="auto"/>
                <w:szCs w:val="21"/>
                <w:highlight w:val="none"/>
                <w:u w:val="single"/>
              </w:rPr>
              <w:t xml:space="preserve"> </w:t>
            </w:r>
          </w:p>
        </w:tc>
      </w:tr>
      <w:tr w14:paraId="0ADC3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430" w:type="pct"/>
            <w:tcBorders>
              <w:top w:val="single" w:color="auto" w:sz="4" w:space="0"/>
              <w:left w:val="single" w:color="auto" w:sz="4" w:space="0"/>
              <w:bottom w:val="single" w:color="auto" w:sz="4" w:space="0"/>
              <w:right w:val="single" w:color="auto" w:sz="4" w:space="0"/>
            </w:tcBorders>
            <w:vAlign w:val="center"/>
          </w:tcPr>
          <w:p w14:paraId="7D3A9652">
            <w:pPr>
              <w:snapToGrid w:val="0"/>
              <w:spacing w:line="360" w:lineRule="auto"/>
              <w:jc w:val="center"/>
              <w:rPr>
                <w:rFonts w:ascii="宋体" w:hAnsi="宋体"/>
                <w:color w:val="auto"/>
                <w:szCs w:val="21"/>
                <w:highlight w:val="none"/>
                <w:u w:val="single"/>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vAlign w:val="center"/>
          </w:tcPr>
          <w:p w14:paraId="427F4899">
            <w:pPr>
              <w:snapToGrid w:val="0"/>
              <w:spacing w:line="360" w:lineRule="auto"/>
              <w:jc w:val="center"/>
              <w:rPr>
                <w:rFonts w:ascii="宋体" w:hAnsi="宋体"/>
                <w:color w:val="auto"/>
                <w:szCs w:val="21"/>
                <w:highlight w:val="none"/>
                <w:u w:val="single"/>
              </w:rPr>
            </w:pPr>
            <w:r>
              <w:rPr>
                <w:rFonts w:hint="eastAsia" w:ascii="宋体" w:hAnsi="宋体"/>
                <w:color w:val="auto"/>
                <w:szCs w:val="21"/>
                <w:highlight w:val="none"/>
              </w:rPr>
              <w:t>标项名称</w:t>
            </w:r>
          </w:p>
        </w:tc>
        <w:tc>
          <w:tcPr>
            <w:tcW w:w="2870" w:type="pct"/>
            <w:tcBorders>
              <w:top w:val="single" w:color="auto" w:sz="4" w:space="0"/>
              <w:left w:val="single" w:color="auto" w:sz="4" w:space="0"/>
              <w:bottom w:val="single" w:color="auto" w:sz="4" w:space="0"/>
              <w:right w:val="single" w:color="auto" w:sz="4" w:space="0"/>
            </w:tcBorders>
            <w:vAlign w:val="center"/>
          </w:tcPr>
          <w:p w14:paraId="5E6F5C5F">
            <w:pPr>
              <w:snapToGrid w:val="0"/>
              <w:spacing w:line="360" w:lineRule="auto"/>
              <w:jc w:val="center"/>
              <w:rPr>
                <w:rFonts w:ascii="宋体" w:hAnsi="宋体"/>
                <w:color w:val="auto"/>
                <w:szCs w:val="21"/>
                <w:highlight w:val="none"/>
                <w:u w:val="single"/>
              </w:rPr>
            </w:pPr>
            <w:r>
              <w:rPr>
                <w:rFonts w:hint="eastAsia" w:ascii="宋体" w:hAnsi="宋体"/>
                <w:color w:val="auto"/>
                <w:szCs w:val="21"/>
                <w:highlight w:val="none"/>
              </w:rPr>
              <w:t>简要规格描述或项目基本概况介绍、用途</w:t>
            </w:r>
          </w:p>
        </w:tc>
      </w:tr>
      <w:tr w14:paraId="1E65D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430" w:type="pct"/>
            <w:tcBorders>
              <w:top w:val="single" w:color="auto" w:sz="4" w:space="0"/>
              <w:left w:val="single" w:color="auto" w:sz="4" w:space="0"/>
              <w:right w:val="single" w:color="auto" w:sz="4" w:space="0"/>
            </w:tcBorders>
            <w:vAlign w:val="center"/>
          </w:tcPr>
          <w:p w14:paraId="31FA2D00">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vAlign w:val="center"/>
          </w:tcPr>
          <w:p w14:paraId="63B53528">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网络中心机房专用及安全设备运维服务</w:t>
            </w:r>
          </w:p>
        </w:tc>
        <w:tc>
          <w:tcPr>
            <w:tcW w:w="2870" w:type="pct"/>
            <w:tcBorders>
              <w:top w:val="single" w:color="auto" w:sz="4" w:space="0"/>
              <w:left w:val="single" w:color="auto" w:sz="4" w:space="0"/>
              <w:right w:val="single" w:color="auto" w:sz="4" w:space="0"/>
            </w:tcBorders>
            <w:vAlign w:val="center"/>
          </w:tcPr>
          <w:p w14:paraId="43B76AD5">
            <w:pPr>
              <w:tabs>
                <w:tab w:val="left" w:pos="180"/>
                <w:tab w:val="left" w:pos="1620"/>
              </w:tabs>
              <w:spacing w:line="360" w:lineRule="auto"/>
              <w:rPr>
                <w:rFonts w:ascii="宋体" w:hAnsi="宋体"/>
                <w:color w:val="auto"/>
                <w:szCs w:val="21"/>
                <w:highlight w:val="none"/>
              </w:rPr>
            </w:pPr>
            <w:r>
              <w:rPr>
                <w:rFonts w:hint="eastAsia" w:ascii="宋体" w:hAnsi="宋体" w:cs="宋体"/>
                <w:color w:val="auto"/>
                <w:szCs w:val="21"/>
                <w:highlight w:val="none"/>
              </w:rPr>
              <w:t>网络中心机房专用设备运维服务1项、机房网络安全设备及维保服务1项</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r w14:paraId="18932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495A0AA4">
            <w:pPr>
              <w:spacing w:line="360" w:lineRule="auto"/>
              <w:rPr>
                <w:rFonts w:ascii="宋体" w:hAnsi="宋体"/>
                <w:color w:val="auto"/>
                <w:szCs w:val="21"/>
                <w:highlight w:val="none"/>
              </w:rPr>
            </w:pPr>
            <w:r>
              <w:rPr>
                <w:rFonts w:hint="eastAsia" w:ascii="宋体" w:hAnsi="宋体"/>
                <w:b/>
                <w:bCs/>
                <w:color w:val="auto"/>
                <w:szCs w:val="21"/>
                <w:highlight w:val="none"/>
              </w:rPr>
              <w:t>分标2；预算金额：</w:t>
            </w:r>
            <w:r>
              <w:rPr>
                <w:rFonts w:hint="eastAsia" w:ascii="宋体" w:hAnsi="宋体"/>
                <w:b/>
                <w:bCs/>
                <w:color w:val="auto"/>
                <w:szCs w:val="21"/>
                <w:highlight w:val="none"/>
                <w:u w:val="single"/>
              </w:rPr>
              <w:t xml:space="preserve"> 64.16</w:t>
            </w:r>
            <w:r>
              <w:rPr>
                <w:rFonts w:hint="eastAsia" w:ascii="宋体" w:hAnsi="宋体" w:cs="宋体"/>
                <w:b/>
                <w:bCs/>
                <w:color w:val="auto"/>
                <w:szCs w:val="21"/>
                <w:highlight w:val="none"/>
              </w:rPr>
              <w:t>万元</w:t>
            </w:r>
          </w:p>
        </w:tc>
      </w:tr>
      <w:tr w14:paraId="489B1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430" w:type="pct"/>
            <w:tcBorders>
              <w:top w:val="single" w:color="auto" w:sz="4" w:space="0"/>
              <w:left w:val="single" w:color="auto" w:sz="4" w:space="0"/>
              <w:bottom w:val="single" w:color="auto" w:sz="4" w:space="0"/>
              <w:right w:val="single" w:color="auto" w:sz="4" w:space="0"/>
            </w:tcBorders>
            <w:vAlign w:val="center"/>
          </w:tcPr>
          <w:p w14:paraId="73C32A5E">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vAlign w:val="center"/>
          </w:tcPr>
          <w:p w14:paraId="12108419">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标项名称</w:t>
            </w:r>
          </w:p>
        </w:tc>
        <w:tc>
          <w:tcPr>
            <w:tcW w:w="2870" w:type="pct"/>
            <w:tcBorders>
              <w:top w:val="single" w:color="auto" w:sz="4" w:space="0"/>
              <w:left w:val="single" w:color="auto" w:sz="4" w:space="0"/>
              <w:bottom w:val="single" w:color="auto" w:sz="4" w:space="0"/>
              <w:right w:val="single" w:color="auto" w:sz="4" w:space="0"/>
            </w:tcBorders>
            <w:vAlign w:val="center"/>
          </w:tcPr>
          <w:p w14:paraId="1670BF29">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简要规格描述或项目基本概况介绍、用途</w:t>
            </w:r>
          </w:p>
        </w:tc>
      </w:tr>
      <w:tr w14:paraId="58420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2" w:hRule="atLeast"/>
          <w:jc w:val="center"/>
        </w:trPr>
        <w:tc>
          <w:tcPr>
            <w:tcW w:w="430" w:type="pct"/>
            <w:tcBorders>
              <w:top w:val="single" w:color="auto" w:sz="4" w:space="0"/>
              <w:left w:val="single" w:color="auto" w:sz="4" w:space="0"/>
              <w:right w:val="single" w:color="auto" w:sz="4" w:space="0"/>
            </w:tcBorders>
            <w:vAlign w:val="center"/>
          </w:tcPr>
          <w:p w14:paraId="48544994">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vAlign w:val="center"/>
          </w:tcPr>
          <w:p w14:paraId="39283724">
            <w:pPr>
              <w:autoSpaceDE w:val="0"/>
              <w:autoSpaceDN w:val="0"/>
              <w:adjustRightInd w:val="0"/>
              <w:spacing w:before="50" w:after="50" w:line="360" w:lineRule="auto"/>
              <w:jc w:val="center"/>
              <w:rPr>
                <w:rFonts w:ascii="宋体" w:hAnsi="宋体"/>
                <w:color w:val="auto"/>
                <w:szCs w:val="21"/>
                <w:highlight w:val="none"/>
              </w:rPr>
            </w:pPr>
            <w:r>
              <w:rPr>
                <w:rFonts w:hint="eastAsia" w:ascii="宋体" w:hAnsi="宋体"/>
                <w:color w:val="auto"/>
                <w:szCs w:val="21"/>
                <w:highlight w:val="none"/>
              </w:rPr>
              <w:t>广西农业云平台运维服务</w:t>
            </w:r>
          </w:p>
        </w:tc>
        <w:tc>
          <w:tcPr>
            <w:tcW w:w="2870" w:type="pct"/>
            <w:tcBorders>
              <w:top w:val="single" w:color="auto" w:sz="4" w:space="0"/>
              <w:left w:val="single" w:color="auto" w:sz="4" w:space="0"/>
              <w:right w:val="single" w:color="auto" w:sz="4" w:space="0"/>
            </w:tcBorders>
            <w:vAlign w:val="center"/>
          </w:tcPr>
          <w:p w14:paraId="2F8E247B">
            <w:pPr>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云管理平台软件续保及运维服务</w:t>
            </w:r>
            <w:r>
              <w:rPr>
                <w:rFonts w:hint="eastAsia" w:ascii="宋体" w:hAnsi="宋体" w:cs="宋体"/>
                <w:color w:val="auto"/>
                <w:kern w:val="0"/>
                <w:szCs w:val="21"/>
                <w:highlight w:val="none"/>
              </w:rPr>
              <w:t>1项、</w:t>
            </w:r>
            <w:r>
              <w:rPr>
                <w:rFonts w:hint="eastAsia" w:ascii="宋体" w:hAnsi="宋体" w:cs="宋体"/>
                <w:color w:val="auto"/>
                <w:szCs w:val="21"/>
                <w:highlight w:val="none"/>
              </w:rPr>
              <w:t>云平台服务器及存储设备运维服务1项</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r w14:paraId="201FC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70D0F74D">
            <w:pPr>
              <w:snapToGrid w:val="0"/>
              <w:spacing w:line="360" w:lineRule="auto"/>
              <w:jc w:val="left"/>
              <w:rPr>
                <w:rFonts w:ascii="宋体" w:hAnsi="宋体"/>
                <w:color w:val="auto"/>
                <w:szCs w:val="21"/>
                <w:highlight w:val="none"/>
              </w:rPr>
            </w:pPr>
            <w:r>
              <w:rPr>
                <w:rFonts w:hint="eastAsia" w:ascii="宋体" w:hAnsi="宋体"/>
                <w:b/>
                <w:bCs/>
                <w:color w:val="auto"/>
                <w:szCs w:val="21"/>
                <w:highlight w:val="none"/>
              </w:rPr>
              <w:t>分标3；预算金额：</w:t>
            </w:r>
            <w:r>
              <w:rPr>
                <w:rFonts w:hint="eastAsia" w:ascii="宋体" w:hAnsi="宋体"/>
                <w:b/>
                <w:bCs/>
                <w:color w:val="auto"/>
                <w:szCs w:val="21"/>
                <w:highlight w:val="none"/>
                <w:u w:val="single"/>
              </w:rPr>
              <w:t xml:space="preserve"> 10.68</w:t>
            </w:r>
            <w:r>
              <w:rPr>
                <w:rFonts w:hint="eastAsia" w:ascii="宋体" w:hAnsi="宋体" w:cs="宋体"/>
                <w:b/>
                <w:bCs/>
                <w:color w:val="auto"/>
                <w:szCs w:val="21"/>
                <w:highlight w:val="none"/>
              </w:rPr>
              <w:t>万元</w:t>
            </w:r>
          </w:p>
        </w:tc>
      </w:tr>
      <w:tr w14:paraId="47F36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430" w:type="pct"/>
            <w:tcBorders>
              <w:top w:val="single" w:color="auto" w:sz="4" w:space="0"/>
              <w:left w:val="single" w:color="auto" w:sz="4" w:space="0"/>
              <w:bottom w:val="single" w:color="auto" w:sz="4" w:space="0"/>
              <w:right w:val="single" w:color="auto" w:sz="4" w:space="0"/>
            </w:tcBorders>
            <w:vAlign w:val="center"/>
          </w:tcPr>
          <w:p w14:paraId="544DD6C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vAlign w:val="center"/>
          </w:tcPr>
          <w:p w14:paraId="21D0F85A">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标项名称</w:t>
            </w:r>
          </w:p>
        </w:tc>
        <w:tc>
          <w:tcPr>
            <w:tcW w:w="2870" w:type="pct"/>
            <w:tcBorders>
              <w:top w:val="single" w:color="auto" w:sz="4" w:space="0"/>
              <w:left w:val="single" w:color="auto" w:sz="4" w:space="0"/>
              <w:bottom w:val="single" w:color="auto" w:sz="4" w:space="0"/>
              <w:right w:val="single" w:color="auto" w:sz="4" w:space="0"/>
            </w:tcBorders>
            <w:vAlign w:val="center"/>
          </w:tcPr>
          <w:p w14:paraId="2ED7CC52">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简要规格描述或项目基本概况介绍、用途</w:t>
            </w:r>
          </w:p>
        </w:tc>
      </w:tr>
      <w:tr w14:paraId="0830C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430" w:type="pct"/>
            <w:tcBorders>
              <w:top w:val="single" w:color="auto" w:sz="4" w:space="0"/>
              <w:left w:val="single" w:color="auto" w:sz="4" w:space="0"/>
              <w:right w:val="single" w:color="auto" w:sz="4" w:space="0"/>
            </w:tcBorders>
            <w:vAlign w:val="center"/>
          </w:tcPr>
          <w:p w14:paraId="3396E4D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vAlign w:val="center"/>
          </w:tcPr>
          <w:p w14:paraId="03D4DCDF">
            <w:pPr>
              <w:snapToGrid w:val="0"/>
              <w:spacing w:line="360" w:lineRule="auto"/>
              <w:jc w:val="center"/>
              <w:rPr>
                <w:rFonts w:ascii="宋体" w:hAnsi="宋体"/>
                <w:b/>
                <w:bCs/>
                <w:color w:val="auto"/>
                <w:szCs w:val="21"/>
                <w:highlight w:val="none"/>
              </w:rPr>
            </w:pPr>
            <w:r>
              <w:rPr>
                <w:rFonts w:hint="eastAsia" w:ascii="宋体" w:hAnsi="宋体"/>
                <w:color w:val="auto"/>
                <w:szCs w:val="21"/>
                <w:highlight w:val="none"/>
              </w:rPr>
              <w:t>点对点专线服务</w:t>
            </w:r>
          </w:p>
        </w:tc>
        <w:tc>
          <w:tcPr>
            <w:tcW w:w="2870" w:type="pct"/>
            <w:tcBorders>
              <w:top w:val="single" w:color="auto" w:sz="4" w:space="0"/>
              <w:left w:val="single" w:color="auto" w:sz="4" w:space="0"/>
              <w:right w:val="single" w:color="auto" w:sz="4" w:space="0"/>
            </w:tcBorders>
            <w:vAlign w:val="center"/>
          </w:tcPr>
          <w:p w14:paraId="52E99F9E">
            <w:pPr>
              <w:snapToGrid w:val="0"/>
              <w:spacing w:line="360" w:lineRule="auto"/>
              <w:rPr>
                <w:rFonts w:ascii="宋体" w:hAnsi="宋体"/>
                <w:color w:val="auto"/>
                <w:szCs w:val="21"/>
                <w:highlight w:val="none"/>
              </w:rPr>
            </w:pPr>
            <w:r>
              <w:rPr>
                <w:rFonts w:hint="eastAsia" w:ascii="宋体" w:hAnsi="宋体"/>
                <w:color w:val="auto"/>
                <w:szCs w:val="21"/>
                <w:highlight w:val="none"/>
              </w:rPr>
              <w:t>点对点专线服务1项</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r w14:paraId="55E41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75938E67">
            <w:pPr>
              <w:snapToGrid w:val="0"/>
              <w:spacing w:line="360" w:lineRule="auto"/>
              <w:rPr>
                <w:rFonts w:ascii="宋体" w:hAnsi="宋体"/>
                <w:color w:val="auto"/>
                <w:szCs w:val="21"/>
                <w:highlight w:val="none"/>
              </w:rPr>
            </w:pPr>
            <w:r>
              <w:rPr>
                <w:rFonts w:hint="eastAsia" w:ascii="宋体" w:hAnsi="宋体"/>
                <w:b/>
                <w:bCs/>
                <w:color w:val="auto"/>
                <w:szCs w:val="21"/>
                <w:highlight w:val="none"/>
              </w:rPr>
              <w:t>分标4；预算金额：</w:t>
            </w:r>
            <w:r>
              <w:rPr>
                <w:rFonts w:hint="eastAsia" w:ascii="宋体" w:hAnsi="宋体"/>
                <w:b/>
                <w:bCs/>
                <w:color w:val="auto"/>
                <w:szCs w:val="21"/>
                <w:highlight w:val="none"/>
                <w:u w:val="single"/>
              </w:rPr>
              <w:t xml:space="preserve"> 14.7</w:t>
            </w:r>
            <w:r>
              <w:rPr>
                <w:rFonts w:hint="eastAsia" w:ascii="宋体" w:hAnsi="宋体" w:cs="宋体"/>
                <w:b/>
                <w:bCs/>
                <w:color w:val="auto"/>
                <w:szCs w:val="21"/>
                <w:highlight w:val="none"/>
              </w:rPr>
              <w:t>万元</w:t>
            </w:r>
          </w:p>
        </w:tc>
      </w:tr>
      <w:tr w14:paraId="7A8E8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430" w:type="pct"/>
            <w:tcBorders>
              <w:top w:val="single" w:color="auto" w:sz="4" w:space="0"/>
              <w:left w:val="single" w:color="auto" w:sz="4" w:space="0"/>
              <w:bottom w:val="single" w:color="auto" w:sz="4" w:space="0"/>
              <w:right w:val="single" w:color="auto" w:sz="4" w:space="0"/>
            </w:tcBorders>
            <w:vAlign w:val="center"/>
          </w:tcPr>
          <w:p w14:paraId="4ADEB2D2">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vAlign w:val="center"/>
          </w:tcPr>
          <w:p w14:paraId="2B909E2B">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标项名称</w:t>
            </w:r>
          </w:p>
        </w:tc>
        <w:tc>
          <w:tcPr>
            <w:tcW w:w="2870" w:type="pct"/>
            <w:tcBorders>
              <w:top w:val="single" w:color="auto" w:sz="4" w:space="0"/>
              <w:left w:val="single" w:color="auto" w:sz="4" w:space="0"/>
              <w:bottom w:val="single" w:color="auto" w:sz="4" w:space="0"/>
              <w:right w:val="single" w:color="auto" w:sz="4" w:space="0"/>
            </w:tcBorders>
            <w:vAlign w:val="center"/>
          </w:tcPr>
          <w:p w14:paraId="176122D3">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简要规格描述或项目基本概况介绍、用途</w:t>
            </w:r>
          </w:p>
        </w:tc>
      </w:tr>
      <w:tr w14:paraId="04932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0" w:type="pct"/>
            <w:tcBorders>
              <w:top w:val="single" w:color="auto" w:sz="4" w:space="0"/>
              <w:left w:val="single" w:color="auto" w:sz="4" w:space="0"/>
              <w:right w:val="single" w:color="auto" w:sz="4" w:space="0"/>
            </w:tcBorders>
            <w:vAlign w:val="center"/>
          </w:tcPr>
          <w:p w14:paraId="0A1B2E7B">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vAlign w:val="center"/>
          </w:tcPr>
          <w:p w14:paraId="138737CC">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无线网络数据流量服务</w:t>
            </w:r>
          </w:p>
        </w:tc>
        <w:tc>
          <w:tcPr>
            <w:tcW w:w="2870" w:type="pct"/>
            <w:tcBorders>
              <w:top w:val="single" w:color="auto" w:sz="4" w:space="0"/>
              <w:left w:val="single" w:color="auto" w:sz="4" w:space="0"/>
              <w:right w:val="single" w:color="auto" w:sz="4" w:space="0"/>
            </w:tcBorders>
            <w:vAlign w:val="center"/>
          </w:tcPr>
          <w:p w14:paraId="79D5B9D2">
            <w:pPr>
              <w:snapToGrid w:val="0"/>
              <w:spacing w:line="360" w:lineRule="auto"/>
              <w:rPr>
                <w:rFonts w:ascii="宋体" w:hAnsi="宋体"/>
                <w:color w:val="auto"/>
                <w:szCs w:val="21"/>
                <w:highlight w:val="none"/>
              </w:rPr>
            </w:pPr>
            <w:r>
              <w:rPr>
                <w:rFonts w:hint="eastAsia"/>
                <w:color w:val="auto"/>
                <w:highlight w:val="none"/>
              </w:rPr>
              <w:t>移动办公无线网络数据流量服务</w:t>
            </w:r>
            <w:r>
              <w:rPr>
                <w:rFonts w:hint="eastAsia" w:ascii="宋体" w:hAnsi="宋体" w:cs="宋体"/>
                <w:color w:val="auto"/>
                <w:szCs w:val="21"/>
                <w:highlight w:val="none"/>
              </w:rPr>
              <w:t>1项</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r w14:paraId="71EE0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4E471120">
            <w:pPr>
              <w:snapToGrid w:val="0"/>
              <w:spacing w:line="360" w:lineRule="auto"/>
              <w:rPr>
                <w:rFonts w:ascii="宋体" w:hAnsi="宋体"/>
                <w:color w:val="auto"/>
                <w:szCs w:val="21"/>
                <w:highlight w:val="none"/>
              </w:rPr>
            </w:pPr>
            <w:r>
              <w:rPr>
                <w:rFonts w:hint="eastAsia" w:ascii="宋体" w:hAnsi="宋体"/>
                <w:b/>
                <w:bCs/>
                <w:color w:val="auto"/>
                <w:szCs w:val="21"/>
                <w:highlight w:val="none"/>
              </w:rPr>
              <w:t>分标5；预算金额：</w:t>
            </w:r>
            <w:r>
              <w:rPr>
                <w:rFonts w:hint="eastAsia" w:ascii="宋体" w:hAnsi="宋体"/>
                <w:b/>
                <w:bCs/>
                <w:color w:val="auto"/>
                <w:szCs w:val="21"/>
                <w:highlight w:val="none"/>
                <w:u w:val="single"/>
              </w:rPr>
              <w:t xml:space="preserve"> 15.04 </w:t>
            </w:r>
            <w:r>
              <w:rPr>
                <w:rFonts w:hint="eastAsia" w:ascii="宋体" w:hAnsi="宋体" w:cs="宋体"/>
                <w:b/>
                <w:bCs/>
                <w:color w:val="auto"/>
                <w:szCs w:val="21"/>
                <w:highlight w:val="none"/>
              </w:rPr>
              <w:t>万元</w:t>
            </w:r>
          </w:p>
        </w:tc>
      </w:tr>
      <w:tr w14:paraId="4B619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430" w:type="pct"/>
            <w:tcBorders>
              <w:top w:val="single" w:color="auto" w:sz="4" w:space="0"/>
              <w:left w:val="single" w:color="auto" w:sz="4" w:space="0"/>
              <w:bottom w:val="single" w:color="auto" w:sz="4" w:space="0"/>
              <w:right w:val="single" w:color="auto" w:sz="4" w:space="0"/>
            </w:tcBorders>
            <w:vAlign w:val="center"/>
          </w:tcPr>
          <w:p w14:paraId="0692065C">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vAlign w:val="center"/>
          </w:tcPr>
          <w:p w14:paraId="1A625489">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标项名称</w:t>
            </w:r>
          </w:p>
        </w:tc>
        <w:tc>
          <w:tcPr>
            <w:tcW w:w="2870" w:type="pct"/>
            <w:tcBorders>
              <w:top w:val="single" w:color="auto" w:sz="4" w:space="0"/>
              <w:left w:val="single" w:color="auto" w:sz="4" w:space="0"/>
              <w:bottom w:val="single" w:color="auto" w:sz="4" w:space="0"/>
              <w:right w:val="single" w:color="auto" w:sz="4" w:space="0"/>
            </w:tcBorders>
            <w:vAlign w:val="center"/>
          </w:tcPr>
          <w:p w14:paraId="638D3171">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简要规格描述或项目基本概况介绍、用途</w:t>
            </w:r>
          </w:p>
        </w:tc>
      </w:tr>
      <w:tr w14:paraId="6C773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430" w:type="pct"/>
            <w:tcBorders>
              <w:top w:val="single" w:color="auto" w:sz="4" w:space="0"/>
              <w:left w:val="single" w:color="auto" w:sz="4" w:space="0"/>
              <w:right w:val="single" w:color="auto" w:sz="4" w:space="0"/>
            </w:tcBorders>
            <w:vAlign w:val="center"/>
          </w:tcPr>
          <w:p w14:paraId="11C2C044">
            <w:pPr>
              <w:widowControl/>
              <w:autoSpaceDE w:val="0"/>
              <w:autoSpaceDN w:val="0"/>
              <w:adjustRightInd w:val="0"/>
              <w:spacing w:line="360" w:lineRule="auto"/>
              <w:jc w:val="center"/>
              <w:rPr>
                <w:rFonts w:ascii="宋体" w:hAnsi="宋体"/>
                <w:color w:val="auto"/>
                <w:szCs w:val="21"/>
                <w:highlight w:val="none"/>
              </w:rPr>
            </w:pPr>
            <w:r>
              <w:rPr>
                <w:rFonts w:ascii="宋体" w:hAnsi="宋体" w:cs="宋体"/>
                <w:color w:val="auto"/>
                <w:kern w:val="0"/>
                <w:sz w:val="22"/>
                <w:szCs w:val="21"/>
                <w:highlight w:val="none"/>
              </w:rPr>
              <w:t>1</w:t>
            </w:r>
          </w:p>
        </w:tc>
        <w:tc>
          <w:tcPr>
            <w:tcW w:w="1698" w:type="pct"/>
            <w:tcBorders>
              <w:top w:val="single" w:color="auto" w:sz="4" w:space="0"/>
              <w:left w:val="single" w:color="auto" w:sz="4" w:space="0"/>
              <w:right w:val="single" w:color="auto" w:sz="4" w:space="0"/>
            </w:tcBorders>
            <w:vAlign w:val="center"/>
          </w:tcPr>
          <w:p w14:paraId="699DB509">
            <w:pPr>
              <w:tabs>
                <w:tab w:val="left" w:pos="1418"/>
              </w:tabs>
              <w:autoSpaceDE w:val="0"/>
              <w:autoSpaceDN w:val="0"/>
              <w:adjustRightInd w:val="0"/>
              <w:spacing w:before="50" w:after="50" w:line="360" w:lineRule="auto"/>
              <w:jc w:val="center"/>
              <w:rPr>
                <w:rFonts w:ascii="宋体" w:hAnsi="宋体"/>
                <w:color w:val="auto"/>
                <w:szCs w:val="21"/>
                <w:highlight w:val="none"/>
              </w:rPr>
            </w:pPr>
            <w:r>
              <w:rPr>
                <w:rFonts w:hint="eastAsia" w:ascii="宋体" w:hAnsi="宋体"/>
                <w:color w:val="auto"/>
                <w:szCs w:val="21"/>
                <w:highlight w:val="none"/>
              </w:rPr>
              <w:t>多媒体教室及会商室运维服务</w:t>
            </w:r>
          </w:p>
        </w:tc>
        <w:tc>
          <w:tcPr>
            <w:tcW w:w="2870" w:type="pct"/>
            <w:tcBorders>
              <w:top w:val="single" w:color="auto" w:sz="4" w:space="0"/>
              <w:left w:val="single" w:color="auto" w:sz="4" w:space="0"/>
              <w:bottom w:val="single" w:color="auto" w:sz="4" w:space="0"/>
              <w:right w:val="single" w:color="auto" w:sz="4" w:space="0"/>
            </w:tcBorders>
            <w:vAlign w:val="center"/>
          </w:tcPr>
          <w:p w14:paraId="1327AE50">
            <w:pPr>
              <w:snapToGrid w:val="0"/>
              <w:spacing w:line="360" w:lineRule="auto"/>
              <w:rPr>
                <w:rFonts w:ascii="宋体" w:hAnsi="宋体"/>
                <w:color w:val="auto"/>
                <w:szCs w:val="21"/>
                <w:highlight w:val="none"/>
              </w:rPr>
            </w:pPr>
            <w:r>
              <w:rPr>
                <w:rFonts w:ascii="宋体" w:hAnsi="宋体" w:cs="宋体"/>
                <w:color w:val="auto"/>
                <w:szCs w:val="21"/>
                <w:highlight w:val="none"/>
              </w:rPr>
              <w:t>多媒体教室运维服务</w:t>
            </w:r>
            <w:r>
              <w:rPr>
                <w:rFonts w:hint="eastAsia" w:ascii="宋体" w:hAnsi="宋体" w:cs="宋体"/>
                <w:color w:val="auto"/>
                <w:szCs w:val="21"/>
                <w:highlight w:val="none"/>
              </w:rPr>
              <w:t>1项、</w:t>
            </w:r>
            <w:r>
              <w:rPr>
                <w:rFonts w:ascii="宋体" w:hAnsi="宋体" w:cs="宋体"/>
                <w:color w:val="auto"/>
                <w:szCs w:val="21"/>
                <w:highlight w:val="none"/>
              </w:rPr>
              <w:t>二楼会商室运维服务</w:t>
            </w:r>
            <w:r>
              <w:rPr>
                <w:rFonts w:hint="eastAsia" w:ascii="宋体" w:hAnsi="宋体" w:cs="宋体"/>
                <w:color w:val="auto"/>
                <w:szCs w:val="21"/>
                <w:highlight w:val="none"/>
              </w:rPr>
              <w:t>1项、</w:t>
            </w:r>
            <w:r>
              <w:rPr>
                <w:rFonts w:ascii="宋体" w:hAnsi="宋体" w:cs="宋体"/>
                <w:color w:val="auto"/>
                <w:szCs w:val="21"/>
                <w:highlight w:val="none"/>
              </w:rPr>
              <w:t>三楼会商室运维服务</w:t>
            </w:r>
            <w:r>
              <w:rPr>
                <w:rFonts w:hint="eastAsia" w:ascii="宋体" w:hAnsi="宋体" w:cs="宋体"/>
                <w:color w:val="auto"/>
                <w:szCs w:val="21"/>
                <w:highlight w:val="none"/>
              </w:rPr>
              <w:t>1项</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r w14:paraId="43F11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0818E103">
            <w:pPr>
              <w:snapToGrid w:val="0"/>
              <w:spacing w:line="360" w:lineRule="auto"/>
              <w:rPr>
                <w:rFonts w:ascii="宋体" w:hAnsi="宋体"/>
                <w:color w:val="auto"/>
                <w:szCs w:val="21"/>
                <w:highlight w:val="none"/>
              </w:rPr>
            </w:pPr>
            <w:r>
              <w:rPr>
                <w:rFonts w:hint="eastAsia" w:ascii="宋体" w:hAnsi="宋体"/>
                <w:b/>
                <w:bCs/>
                <w:color w:val="auto"/>
                <w:szCs w:val="21"/>
                <w:highlight w:val="none"/>
              </w:rPr>
              <w:t>分标6；预算金额：</w:t>
            </w:r>
            <w:r>
              <w:rPr>
                <w:rFonts w:hint="eastAsia" w:ascii="宋体" w:hAnsi="宋体"/>
                <w:b/>
                <w:bCs/>
                <w:color w:val="auto"/>
                <w:szCs w:val="21"/>
                <w:highlight w:val="none"/>
                <w:u w:val="single"/>
              </w:rPr>
              <w:t xml:space="preserve"> 49.9</w:t>
            </w:r>
            <w:r>
              <w:rPr>
                <w:rFonts w:hint="eastAsia" w:ascii="宋体" w:hAnsi="宋体" w:cs="宋体"/>
                <w:b/>
                <w:bCs/>
                <w:color w:val="auto"/>
                <w:szCs w:val="21"/>
                <w:highlight w:val="none"/>
              </w:rPr>
              <w:t>万元</w:t>
            </w:r>
          </w:p>
        </w:tc>
      </w:tr>
      <w:tr w14:paraId="46AA2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430" w:type="pct"/>
            <w:tcBorders>
              <w:top w:val="single" w:color="auto" w:sz="4" w:space="0"/>
              <w:left w:val="single" w:color="auto" w:sz="4" w:space="0"/>
              <w:bottom w:val="single" w:color="auto" w:sz="4" w:space="0"/>
              <w:right w:val="single" w:color="auto" w:sz="4" w:space="0"/>
            </w:tcBorders>
            <w:vAlign w:val="center"/>
          </w:tcPr>
          <w:p w14:paraId="60058D07">
            <w:pPr>
              <w:widowControl/>
              <w:autoSpaceDE w:val="0"/>
              <w:autoSpaceDN w:val="0"/>
              <w:adjustRightInd w:val="0"/>
              <w:spacing w:line="360" w:lineRule="auto"/>
              <w:jc w:val="center"/>
              <w:rPr>
                <w:rFonts w:ascii="宋体" w:hAnsi="宋体" w:cs="宋体"/>
                <w:color w:val="auto"/>
                <w:kern w:val="0"/>
                <w:sz w:val="22"/>
                <w:szCs w:val="21"/>
                <w:highlight w:val="none"/>
              </w:rPr>
            </w:pPr>
            <w:r>
              <w:rPr>
                <w:rFonts w:hint="eastAsia" w:ascii="宋体" w:hAnsi="宋体" w:cs="宋体"/>
                <w:color w:val="auto"/>
                <w:kern w:val="0"/>
                <w:sz w:val="22"/>
                <w:szCs w:val="21"/>
                <w:highlight w:val="none"/>
              </w:rPr>
              <w:t>序号</w:t>
            </w:r>
          </w:p>
        </w:tc>
        <w:tc>
          <w:tcPr>
            <w:tcW w:w="1698" w:type="pct"/>
            <w:tcBorders>
              <w:top w:val="single" w:color="auto" w:sz="4" w:space="0"/>
              <w:left w:val="single" w:color="auto" w:sz="4" w:space="0"/>
              <w:right w:val="single" w:color="auto" w:sz="4" w:space="0"/>
            </w:tcBorders>
            <w:vAlign w:val="center"/>
          </w:tcPr>
          <w:p w14:paraId="30F66D27">
            <w:pPr>
              <w:autoSpaceDE w:val="0"/>
              <w:autoSpaceDN w:val="0"/>
              <w:adjustRightInd w:val="0"/>
              <w:spacing w:before="50" w:after="50" w:line="360" w:lineRule="auto"/>
              <w:jc w:val="center"/>
              <w:rPr>
                <w:rFonts w:ascii="宋体" w:hAnsi="宋体" w:cs="宋体"/>
                <w:color w:val="auto"/>
                <w:kern w:val="0"/>
                <w:sz w:val="22"/>
                <w:szCs w:val="21"/>
                <w:highlight w:val="none"/>
              </w:rPr>
            </w:pPr>
            <w:r>
              <w:rPr>
                <w:rFonts w:hint="eastAsia" w:ascii="宋体" w:hAnsi="宋体"/>
                <w:color w:val="auto"/>
                <w:szCs w:val="21"/>
                <w:highlight w:val="none"/>
              </w:rPr>
              <w:t>标项名称</w:t>
            </w:r>
          </w:p>
        </w:tc>
        <w:tc>
          <w:tcPr>
            <w:tcW w:w="2870" w:type="pct"/>
            <w:tcBorders>
              <w:top w:val="single" w:color="auto" w:sz="4" w:space="0"/>
              <w:left w:val="single" w:color="auto" w:sz="4" w:space="0"/>
              <w:right w:val="single" w:color="auto" w:sz="4" w:space="0"/>
            </w:tcBorders>
            <w:vAlign w:val="center"/>
          </w:tcPr>
          <w:p w14:paraId="4C4AAE8D">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简要规格描述或项目基本概况介绍、用途</w:t>
            </w:r>
          </w:p>
        </w:tc>
      </w:tr>
      <w:tr w14:paraId="58AE3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430" w:type="pct"/>
            <w:tcBorders>
              <w:top w:val="single" w:color="auto" w:sz="4" w:space="0"/>
              <w:left w:val="single" w:color="auto" w:sz="4" w:space="0"/>
              <w:bottom w:val="single" w:color="auto" w:sz="4" w:space="0"/>
              <w:right w:val="single" w:color="auto" w:sz="4" w:space="0"/>
            </w:tcBorders>
            <w:vAlign w:val="center"/>
          </w:tcPr>
          <w:p w14:paraId="6C09AC8E">
            <w:pPr>
              <w:widowControl/>
              <w:autoSpaceDE w:val="0"/>
              <w:autoSpaceDN w:val="0"/>
              <w:adjustRightInd w:val="0"/>
              <w:spacing w:line="360" w:lineRule="auto"/>
              <w:jc w:val="center"/>
              <w:rPr>
                <w:rFonts w:ascii="宋体" w:hAnsi="宋体" w:cs="宋体"/>
                <w:color w:val="auto"/>
                <w:kern w:val="0"/>
                <w:sz w:val="22"/>
                <w:szCs w:val="21"/>
                <w:highlight w:val="none"/>
              </w:rPr>
            </w:pPr>
            <w:r>
              <w:rPr>
                <w:rFonts w:hint="eastAsia" w:ascii="宋体" w:hAnsi="宋体" w:cs="宋体"/>
                <w:color w:val="auto"/>
                <w:kern w:val="0"/>
                <w:sz w:val="22"/>
                <w:szCs w:val="21"/>
                <w:highlight w:val="none"/>
              </w:rPr>
              <w:t>1</w:t>
            </w:r>
          </w:p>
        </w:tc>
        <w:tc>
          <w:tcPr>
            <w:tcW w:w="1698" w:type="pct"/>
            <w:tcBorders>
              <w:top w:val="single" w:color="auto" w:sz="4" w:space="0"/>
              <w:left w:val="single" w:color="auto" w:sz="4" w:space="0"/>
              <w:bottom w:val="single" w:color="auto" w:sz="4" w:space="0"/>
              <w:right w:val="single" w:color="auto" w:sz="4" w:space="0"/>
            </w:tcBorders>
            <w:vAlign w:val="center"/>
          </w:tcPr>
          <w:p w14:paraId="533599FB">
            <w:pPr>
              <w:autoSpaceDE w:val="0"/>
              <w:autoSpaceDN w:val="0"/>
              <w:adjustRightInd w:val="0"/>
              <w:spacing w:before="50" w:after="50" w:line="360" w:lineRule="auto"/>
              <w:jc w:val="center"/>
              <w:rPr>
                <w:rFonts w:ascii="宋体" w:hAnsi="宋体" w:cs="宋体"/>
                <w:color w:val="auto"/>
                <w:kern w:val="0"/>
                <w:sz w:val="22"/>
                <w:szCs w:val="21"/>
                <w:highlight w:val="none"/>
              </w:rPr>
            </w:pPr>
            <w:r>
              <w:rPr>
                <w:rFonts w:hint="eastAsia" w:ascii="宋体" w:hAnsi="宋体" w:cs="宋体"/>
                <w:color w:val="auto"/>
                <w:kern w:val="0"/>
                <w:szCs w:val="21"/>
                <w:highlight w:val="none"/>
              </w:rPr>
              <w:t>网络安全服务及信息系统安全检测服务</w:t>
            </w:r>
          </w:p>
        </w:tc>
        <w:tc>
          <w:tcPr>
            <w:tcW w:w="2870" w:type="pct"/>
            <w:tcBorders>
              <w:top w:val="single" w:color="auto" w:sz="4" w:space="0"/>
              <w:left w:val="single" w:color="auto" w:sz="4" w:space="0"/>
              <w:bottom w:val="single" w:color="auto" w:sz="4" w:space="0"/>
              <w:right w:val="single" w:color="auto" w:sz="4" w:space="0"/>
            </w:tcBorders>
            <w:vAlign w:val="center"/>
          </w:tcPr>
          <w:p w14:paraId="440EE88B">
            <w:pPr>
              <w:snapToGrid w:val="0"/>
              <w:spacing w:line="360" w:lineRule="auto"/>
              <w:rPr>
                <w:rFonts w:ascii="宋体" w:hAnsi="宋体"/>
                <w:color w:val="auto"/>
                <w:szCs w:val="21"/>
                <w:highlight w:val="none"/>
              </w:rPr>
            </w:pPr>
            <w:r>
              <w:rPr>
                <w:rFonts w:hint="eastAsia" w:ascii="宋体" w:hAnsi="宋体" w:cs="宋体"/>
                <w:color w:val="auto"/>
                <w:szCs w:val="21"/>
                <w:highlight w:val="none"/>
              </w:rPr>
              <w:t>网络安全态势感知服务1项、网络安全应急演练评估服务1项、重要时期安全保障服务1项、网络安全基线检查服务1项、</w:t>
            </w:r>
            <w:r>
              <w:rPr>
                <w:rFonts w:hint="eastAsia" w:ascii="宋体" w:hAnsi="宋体" w:cs="宋体"/>
                <w:color w:val="auto"/>
                <w:kern w:val="0"/>
                <w:szCs w:val="21"/>
                <w:highlight w:val="none"/>
                <w:lang w:bidi="ar"/>
              </w:rPr>
              <w:t>数据安全评估服务1项、</w:t>
            </w:r>
            <w:r>
              <w:rPr>
                <w:rFonts w:hint="eastAsia" w:ascii="宋体" w:hAnsi="宋体" w:cs="宋体"/>
                <w:color w:val="auto"/>
                <w:szCs w:val="21"/>
                <w:highlight w:val="none"/>
              </w:rPr>
              <w:t>渗透测试服务1项</w:t>
            </w:r>
            <w:r>
              <w:rPr>
                <w:rFonts w:hint="eastAsia" w:ascii="宋体" w:hAnsi="宋体" w:cs="宋体"/>
                <w:color w:val="auto"/>
                <w:kern w:val="0"/>
                <w:szCs w:val="21"/>
                <w:highlight w:val="none"/>
              </w:rPr>
              <w:t>；</w:t>
            </w:r>
            <w:r>
              <w:rPr>
                <w:rFonts w:hint="eastAsia" w:ascii="宋体" w:hAnsi="宋体"/>
                <w:color w:val="auto"/>
                <w:szCs w:val="21"/>
                <w:highlight w:val="none"/>
              </w:rPr>
              <w:t>详细内容详见磋商文件。</w:t>
            </w:r>
          </w:p>
        </w:tc>
      </w:tr>
      <w:tr w14:paraId="43CF8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67F4550B">
            <w:pPr>
              <w:snapToGrid w:val="0"/>
              <w:spacing w:line="360" w:lineRule="auto"/>
              <w:rPr>
                <w:rFonts w:ascii="宋体" w:hAnsi="宋体"/>
                <w:color w:val="auto"/>
                <w:szCs w:val="21"/>
                <w:highlight w:val="none"/>
              </w:rPr>
            </w:pPr>
            <w:r>
              <w:rPr>
                <w:rFonts w:hint="eastAsia" w:ascii="宋体" w:hAnsi="宋体"/>
                <w:b/>
                <w:bCs/>
                <w:color w:val="auto"/>
                <w:szCs w:val="21"/>
                <w:highlight w:val="none"/>
              </w:rPr>
              <w:t>分标7；预算金额：</w:t>
            </w:r>
            <w:r>
              <w:rPr>
                <w:rFonts w:hint="eastAsia" w:ascii="宋体" w:hAnsi="宋体"/>
                <w:b/>
                <w:bCs/>
                <w:color w:val="auto"/>
                <w:szCs w:val="21"/>
                <w:highlight w:val="none"/>
                <w:u w:val="single"/>
              </w:rPr>
              <w:t xml:space="preserve"> 40.39</w:t>
            </w:r>
            <w:r>
              <w:rPr>
                <w:rFonts w:hint="eastAsia" w:ascii="宋体" w:hAnsi="宋体" w:cs="宋体"/>
                <w:b/>
                <w:bCs/>
                <w:color w:val="auto"/>
                <w:szCs w:val="21"/>
                <w:highlight w:val="none"/>
              </w:rPr>
              <w:t>万元</w:t>
            </w:r>
          </w:p>
        </w:tc>
      </w:tr>
      <w:tr w14:paraId="3FA3B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430" w:type="pct"/>
            <w:tcBorders>
              <w:top w:val="single" w:color="auto" w:sz="4" w:space="0"/>
              <w:left w:val="single" w:color="auto" w:sz="4" w:space="0"/>
              <w:right w:val="single" w:color="auto" w:sz="4" w:space="0"/>
            </w:tcBorders>
            <w:vAlign w:val="center"/>
          </w:tcPr>
          <w:p w14:paraId="3AC9E246">
            <w:pPr>
              <w:widowControl/>
              <w:autoSpaceDE w:val="0"/>
              <w:autoSpaceDN w:val="0"/>
              <w:adjustRightInd w:val="0"/>
              <w:spacing w:line="360" w:lineRule="auto"/>
              <w:jc w:val="center"/>
              <w:rPr>
                <w:rFonts w:ascii="宋体" w:hAnsi="宋体" w:cs="宋体"/>
                <w:color w:val="auto"/>
                <w:kern w:val="0"/>
                <w:sz w:val="22"/>
                <w:szCs w:val="21"/>
                <w:highlight w:val="none"/>
              </w:rPr>
            </w:pPr>
            <w:r>
              <w:rPr>
                <w:rFonts w:hint="eastAsia" w:ascii="宋体" w:hAnsi="宋体" w:cs="宋体"/>
                <w:color w:val="auto"/>
                <w:kern w:val="0"/>
                <w:sz w:val="22"/>
                <w:szCs w:val="21"/>
                <w:highlight w:val="none"/>
              </w:rPr>
              <w:t>序号</w:t>
            </w:r>
          </w:p>
        </w:tc>
        <w:tc>
          <w:tcPr>
            <w:tcW w:w="1698" w:type="pct"/>
            <w:tcBorders>
              <w:top w:val="single" w:color="auto" w:sz="4" w:space="0"/>
              <w:left w:val="single" w:color="auto" w:sz="4" w:space="0"/>
              <w:right w:val="single" w:color="auto" w:sz="4" w:space="0"/>
            </w:tcBorders>
            <w:vAlign w:val="center"/>
          </w:tcPr>
          <w:p w14:paraId="4179C38D">
            <w:pPr>
              <w:autoSpaceDE w:val="0"/>
              <w:autoSpaceDN w:val="0"/>
              <w:adjustRightInd w:val="0"/>
              <w:spacing w:before="50" w:after="50" w:line="360" w:lineRule="auto"/>
              <w:jc w:val="center"/>
              <w:rPr>
                <w:rFonts w:ascii="宋体" w:hAnsi="宋体" w:cs="宋体"/>
                <w:color w:val="auto"/>
                <w:kern w:val="0"/>
                <w:sz w:val="22"/>
                <w:szCs w:val="21"/>
                <w:highlight w:val="none"/>
              </w:rPr>
            </w:pPr>
            <w:r>
              <w:rPr>
                <w:rFonts w:hint="eastAsia" w:ascii="宋体" w:hAnsi="宋体"/>
                <w:color w:val="auto"/>
                <w:szCs w:val="21"/>
                <w:highlight w:val="none"/>
              </w:rPr>
              <w:t>标项名称</w:t>
            </w:r>
          </w:p>
        </w:tc>
        <w:tc>
          <w:tcPr>
            <w:tcW w:w="2870" w:type="pct"/>
            <w:tcBorders>
              <w:top w:val="single" w:color="auto" w:sz="4" w:space="0"/>
              <w:left w:val="single" w:color="auto" w:sz="4" w:space="0"/>
              <w:bottom w:val="single" w:color="auto" w:sz="4" w:space="0"/>
              <w:right w:val="single" w:color="auto" w:sz="4" w:space="0"/>
            </w:tcBorders>
            <w:vAlign w:val="center"/>
          </w:tcPr>
          <w:p w14:paraId="3A552159">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简要规格描述或项目基本概况介绍、用途</w:t>
            </w:r>
          </w:p>
        </w:tc>
      </w:tr>
      <w:tr w14:paraId="4FEDA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430" w:type="pct"/>
            <w:tcBorders>
              <w:top w:val="single" w:color="auto" w:sz="4" w:space="0"/>
              <w:left w:val="single" w:color="auto" w:sz="4" w:space="0"/>
              <w:bottom w:val="single" w:color="auto" w:sz="4" w:space="0"/>
              <w:right w:val="single" w:color="auto" w:sz="4" w:space="0"/>
            </w:tcBorders>
            <w:vAlign w:val="center"/>
          </w:tcPr>
          <w:p w14:paraId="2ACABCB9">
            <w:pPr>
              <w:widowControl/>
              <w:autoSpaceDE w:val="0"/>
              <w:autoSpaceDN w:val="0"/>
              <w:adjustRightInd w:val="0"/>
              <w:spacing w:line="360" w:lineRule="auto"/>
              <w:jc w:val="center"/>
              <w:rPr>
                <w:rFonts w:ascii="宋体" w:hAnsi="宋体" w:cs="宋体"/>
                <w:color w:val="auto"/>
                <w:kern w:val="0"/>
                <w:sz w:val="22"/>
                <w:szCs w:val="21"/>
                <w:highlight w:val="none"/>
              </w:rPr>
            </w:pPr>
            <w:r>
              <w:rPr>
                <w:rFonts w:hint="eastAsia" w:ascii="宋体" w:hAnsi="宋体" w:cs="宋体"/>
                <w:color w:val="auto"/>
                <w:kern w:val="0"/>
                <w:sz w:val="22"/>
                <w:szCs w:val="21"/>
                <w:highlight w:val="none"/>
              </w:rPr>
              <w:t>1</w:t>
            </w:r>
          </w:p>
        </w:tc>
        <w:tc>
          <w:tcPr>
            <w:tcW w:w="1698" w:type="pct"/>
            <w:tcBorders>
              <w:top w:val="single" w:color="auto" w:sz="4" w:space="0"/>
              <w:left w:val="single" w:color="auto" w:sz="4" w:space="0"/>
              <w:bottom w:val="single" w:color="auto" w:sz="4" w:space="0"/>
              <w:right w:val="single" w:color="auto" w:sz="4" w:space="0"/>
            </w:tcBorders>
            <w:vAlign w:val="center"/>
          </w:tcPr>
          <w:p w14:paraId="57AB7A50">
            <w:pPr>
              <w:autoSpaceDE w:val="0"/>
              <w:autoSpaceDN w:val="0"/>
              <w:adjustRightInd w:val="0"/>
              <w:spacing w:before="50" w:after="50" w:line="360" w:lineRule="auto"/>
              <w:jc w:val="center"/>
              <w:rPr>
                <w:rFonts w:ascii="宋体" w:hAnsi="宋体" w:cs="宋体"/>
                <w:color w:val="auto"/>
                <w:kern w:val="0"/>
                <w:sz w:val="22"/>
                <w:szCs w:val="21"/>
                <w:highlight w:val="none"/>
              </w:rPr>
            </w:pPr>
            <w:r>
              <w:rPr>
                <w:rFonts w:hint="eastAsia" w:ascii="宋体" w:hAnsi="宋体" w:cs="宋体"/>
                <w:color w:val="auto"/>
                <w:kern w:val="0"/>
                <w:sz w:val="22"/>
                <w:szCs w:val="21"/>
                <w:highlight w:val="none"/>
              </w:rPr>
              <w:t>异地容灾备份服务</w:t>
            </w:r>
          </w:p>
        </w:tc>
        <w:tc>
          <w:tcPr>
            <w:tcW w:w="2870" w:type="pct"/>
            <w:tcBorders>
              <w:top w:val="single" w:color="auto" w:sz="4" w:space="0"/>
              <w:left w:val="single" w:color="auto" w:sz="4" w:space="0"/>
              <w:bottom w:val="single" w:color="auto" w:sz="4" w:space="0"/>
              <w:right w:val="single" w:color="auto" w:sz="4" w:space="0"/>
            </w:tcBorders>
            <w:vAlign w:val="center"/>
          </w:tcPr>
          <w:p w14:paraId="548FBDE7">
            <w:pPr>
              <w:snapToGrid w:val="0"/>
              <w:spacing w:line="360" w:lineRule="auto"/>
              <w:rPr>
                <w:rFonts w:ascii="宋体" w:hAnsi="宋体"/>
                <w:color w:val="auto"/>
                <w:szCs w:val="21"/>
                <w:highlight w:val="none"/>
              </w:rPr>
            </w:pPr>
            <w:r>
              <w:rPr>
                <w:rFonts w:hint="eastAsia" w:ascii="宋体" w:hAnsi="宋体"/>
                <w:color w:val="auto"/>
                <w:szCs w:val="21"/>
                <w:highlight w:val="none"/>
              </w:rPr>
              <w:t>异地容灾备份服务1项、</w:t>
            </w:r>
            <w:r>
              <w:rPr>
                <w:rFonts w:hint="eastAsia" w:ascii="宋体" w:hAnsi="宋体" w:cs="宋体"/>
                <w:color w:val="auto"/>
                <w:szCs w:val="21"/>
                <w:highlight w:val="none"/>
              </w:rPr>
              <w:t>点对点专线服务1项、备份一体机软件续保服务1项</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bl>
    <w:p w14:paraId="7068D830">
      <w:pPr>
        <w:spacing w:line="360" w:lineRule="auto"/>
        <w:ind w:firstLine="420" w:firstLineChars="200"/>
        <w:rPr>
          <w:color w:val="auto"/>
          <w:highlight w:val="none"/>
        </w:rPr>
      </w:pPr>
      <w:r>
        <w:rPr>
          <w:rFonts w:hint="eastAsia" w:ascii="宋体" w:hAnsi="宋体"/>
          <w:color w:val="auto"/>
          <w:szCs w:val="21"/>
          <w:highlight w:val="none"/>
        </w:rPr>
        <w:t>合同履约期限：</w:t>
      </w:r>
      <w:r>
        <w:rPr>
          <w:rFonts w:hint="eastAsia"/>
          <w:bCs/>
          <w:color w:val="auto"/>
          <w:highlight w:val="none"/>
        </w:rPr>
        <w:t>详见竞争性磋商文件。</w:t>
      </w:r>
    </w:p>
    <w:p w14:paraId="212290C9">
      <w:pPr>
        <w:spacing w:line="360" w:lineRule="auto"/>
        <w:ind w:firstLine="422" w:firstLineChars="200"/>
        <w:rPr>
          <w:rFonts w:ascii="宋体" w:hAnsi="宋体" w:cs="宋体"/>
          <w:b/>
          <w:bCs/>
          <w:color w:val="auto"/>
          <w:szCs w:val="21"/>
          <w:highlight w:val="none"/>
        </w:rPr>
      </w:pPr>
      <w:r>
        <w:rPr>
          <w:rFonts w:hint="eastAsia" w:ascii="宋体" w:hAnsi="宋体"/>
          <w:b/>
          <w:bCs/>
          <w:color w:val="auto"/>
          <w:szCs w:val="21"/>
          <w:highlight w:val="none"/>
        </w:rPr>
        <w:t>本项目不接受联合体。</w:t>
      </w:r>
    </w:p>
    <w:p w14:paraId="0929E7BD">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二、申请人的资格条件：</w:t>
      </w:r>
    </w:p>
    <w:p w14:paraId="2F761A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7205CD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2、落实政府采购政策需满足的资格要求：分标1、2、6专门面向中小企业采购，供应商应为中小微企业或监狱企业或残疾人福利性单位</w:t>
      </w:r>
      <w:r>
        <w:rPr>
          <w:rFonts w:hint="eastAsia" w:ascii="宋体" w:hAnsi="宋体" w:cs="宋体"/>
          <w:color w:val="auto"/>
          <w:szCs w:val="21"/>
          <w:highlight w:val="none"/>
          <w:lang w:eastAsia="zh-CN"/>
        </w:rPr>
        <w:t>；</w:t>
      </w:r>
      <w:r>
        <w:rPr>
          <w:rFonts w:hint="eastAsia" w:ascii="宋体" w:hAnsi="宋体" w:cs="宋体"/>
          <w:color w:val="auto"/>
          <w:szCs w:val="21"/>
          <w:highlight w:val="none"/>
        </w:rPr>
        <w:t>分标5专门面向</w:t>
      </w:r>
      <w:r>
        <w:rPr>
          <w:rFonts w:hint="eastAsia" w:ascii="宋体" w:hAnsi="宋体" w:cs="宋体"/>
          <w:color w:val="auto"/>
          <w:szCs w:val="21"/>
          <w:highlight w:val="none"/>
          <w:lang w:eastAsia="zh-CN"/>
        </w:rPr>
        <w:t>小微</w:t>
      </w:r>
      <w:r>
        <w:rPr>
          <w:rFonts w:hint="eastAsia" w:ascii="宋体" w:hAnsi="宋体" w:cs="宋体"/>
          <w:color w:val="auto"/>
          <w:szCs w:val="21"/>
          <w:highlight w:val="none"/>
        </w:rPr>
        <w:t>企业采购，供应商应为小微企业或监狱企业或残疾人福利性单位。 </w:t>
      </w:r>
    </w:p>
    <w:p w14:paraId="6D00A4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3、本项目的特定资格要求：无</w:t>
      </w:r>
    </w:p>
    <w:p w14:paraId="3765C15C">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三、获取竞争性磋商文件</w:t>
      </w:r>
    </w:p>
    <w:p w14:paraId="54B5EDDE">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color w:val="auto"/>
          <w:highlight w:val="none"/>
        </w:rPr>
        <w:t>2025年4月</w:t>
      </w:r>
      <w:r>
        <w:rPr>
          <w:rFonts w:hint="eastAsia" w:ascii="宋体" w:hAnsi="宋体" w:cs="宋体"/>
          <w:color w:val="auto"/>
          <w:highlight w:val="none"/>
          <w:lang w:val="en-US" w:eastAsia="zh-CN"/>
        </w:rPr>
        <w:t>23</w:t>
      </w:r>
      <w:r>
        <w:rPr>
          <w:rFonts w:hint="eastAsia" w:ascii="宋体" w:hAnsi="宋体" w:cs="宋体"/>
          <w:color w:val="auto"/>
          <w:highlight w:val="none"/>
        </w:rPr>
        <w:t>日</w:t>
      </w:r>
      <w:r>
        <w:rPr>
          <w:rFonts w:hint="eastAsia" w:ascii="宋体" w:hAnsi="宋体" w:cs="宋体"/>
          <w:color w:val="auto"/>
          <w:szCs w:val="21"/>
          <w:highlight w:val="none"/>
        </w:rPr>
        <w:t>至</w:t>
      </w:r>
      <w:r>
        <w:rPr>
          <w:rFonts w:hint="eastAsia" w:ascii="宋体" w:hAnsi="宋体" w:cs="宋体"/>
          <w:color w:val="auto"/>
          <w:highlight w:val="none"/>
        </w:rPr>
        <w:t>2025年4月</w:t>
      </w:r>
      <w:r>
        <w:rPr>
          <w:rFonts w:hint="eastAsia" w:ascii="宋体" w:hAnsi="宋体" w:cs="宋体"/>
          <w:color w:val="auto"/>
          <w:highlight w:val="none"/>
          <w:lang w:val="en-US" w:eastAsia="zh-CN"/>
        </w:rPr>
        <w:t>30</w:t>
      </w:r>
      <w:r>
        <w:rPr>
          <w:rFonts w:hint="eastAsia" w:ascii="宋体" w:hAnsi="宋体" w:cs="宋体"/>
          <w:color w:val="auto"/>
          <w:highlight w:val="none"/>
        </w:rPr>
        <w:t>日</w:t>
      </w:r>
      <w:r>
        <w:rPr>
          <w:rFonts w:hint="eastAsia" w:ascii="宋体" w:hAnsi="宋体" w:cs="宋体"/>
          <w:color w:val="auto"/>
          <w:szCs w:val="21"/>
          <w:highlight w:val="none"/>
        </w:rPr>
        <w:t>，每天上午00:00-12:00；下午1</w:t>
      </w:r>
      <w:r>
        <w:rPr>
          <w:rFonts w:hint="eastAsia" w:ascii="宋体" w:hAnsi="宋体" w:cs="宋体"/>
          <w:color w:val="auto"/>
          <w:highlight w:val="none"/>
        </w:rPr>
        <w:t>2</w:t>
      </w:r>
      <w:r>
        <w:rPr>
          <w:rFonts w:hint="eastAsia" w:ascii="宋体" w:hAnsi="宋体" w:cs="宋体"/>
          <w:color w:val="auto"/>
          <w:szCs w:val="21"/>
          <w:highlight w:val="none"/>
        </w:rPr>
        <w:t>:</w:t>
      </w:r>
      <w:r>
        <w:rPr>
          <w:rFonts w:hint="eastAsia" w:ascii="宋体" w:hAnsi="宋体" w:cs="宋体"/>
          <w:color w:val="auto"/>
          <w:highlight w:val="none"/>
        </w:rPr>
        <w:t>00</w:t>
      </w:r>
      <w:r>
        <w:rPr>
          <w:rFonts w:hint="eastAsia" w:ascii="宋体" w:hAnsi="宋体" w:cs="宋体"/>
          <w:color w:val="auto"/>
          <w:szCs w:val="21"/>
          <w:highlight w:val="none"/>
        </w:rPr>
        <w:t>-23:</w:t>
      </w:r>
      <w:r>
        <w:rPr>
          <w:rFonts w:hint="eastAsia" w:ascii="宋体" w:hAnsi="宋体" w:cs="宋体"/>
          <w:color w:val="auto"/>
          <w:highlight w:val="none"/>
        </w:rPr>
        <w:t>59</w:t>
      </w:r>
      <w:r>
        <w:rPr>
          <w:rFonts w:hint="eastAsia" w:ascii="宋体" w:hAnsi="宋体" w:cs="宋体"/>
          <w:color w:val="auto"/>
          <w:szCs w:val="21"/>
          <w:highlight w:val="none"/>
        </w:rPr>
        <w:t>（北京时间，法定节假日除外）</w:t>
      </w:r>
      <w:r>
        <w:rPr>
          <w:rFonts w:hint="eastAsia" w:ascii="宋体" w:hAnsi="宋体" w:cs="宋体"/>
          <w:bCs/>
          <w:color w:val="auto"/>
          <w:kern w:val="0"/>
          <w:szCs w:val="21"/>
          <w:highlight w:val="none"/>
        </w:rPr>
        <w:t>。</w:t>
      </w:r>
    </w:p>
    <w:p w14:paraId="316BDAFA">
      <w:pPr>
        <w:spacing w:line="360" w:lineRule="auto"/>
        <w:ind w:firstLine="420" w:firstLineChars="200"/>
        <w:rPr>
          <w:rFonts w:ascii="宋体" w:hAnsi="宋体" w:cs="宋体"/>
          <w:color w:val="auto"/>
          <w:highlight w:val="none"/>
        </w:rPr>
      </w:pPr>
      <w:r>
        <w:rPr>
          <w:rFonts w:hint="eastAsia" w:ascii="宋体" w:hAnsi="宋体" w:cs="宋体"/>
          <w:bCs/>
          <w:color w:val="auto"/>
          <w:kern w:val="0"/>
          <w:szCs w:val="21"/>
          <w:highlight w:val="none"/>
        </w:rPr>
        <w:t>地点：</w:t>
      </w:r>
      <w:r>
        <w:rPr>
          <w:rFonts w:hint="eastAsia" w:ascii="宋体" w:hAnsi="宋体" w:cs="宋体"/>
          <w:color w:val="auto"/>
          <w:highlight w:val="none"/>
        </w:rPr>
        <w:t>广西政府采购云平台（https://www.gcy.zfcg.gxzf.gov.cn/）。</w:t>
      </w:r>
    </w:p>
    <w:p w14:paraId="28B49CA1">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方式：网上下载。供应商登录广西政府采购云平台https://www.gcy.zfcg.gxzf.gov.cn/在线申请获取采购文件（进入“项目采购”应用，在获取采购文件菜单中选择项目，申请获取采购文件）。</w:t>
      </w:r>
    </w:p>
    <w:p w14:paraId="26C338A9">
      <w:pPr>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售价：0元。</w:t>
      </w:r>
    </w:p>
    <w:p w14:paraId="2BEFCB78">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四、响应文件提交</w:t>
      </w:r>
    </w:p>
    <w:p w14:paraId="19C2F0FB">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s="宋体"/>
          <w:bCs/>
          <w:color w:val="auto"/>
          <w:kern w:val="0"/>
          <w:szCs w:val="21"/>
          <w:highlight w:val="none"/>
          <w:lang w:eastAsia="zh-CN"/>
        </w:rPr>
        <w:t>2025年5月6日</w:t>
      </w:r>
      <w:r>
        <w:rPr>
          <w:rFonts w:hint="eastAsia" w:ascii="宋体" w:hAnsi="宋体" w:cs="宋体"/>
          <w:bCs/>
          <w:color w:val="auto"/>
          <w:kern w:val="0"/>
          <w:szCs w:val="21"/>
          <w:highlight w:val="none"/>
        </w:rPr>
        <w:t>09时00分（北京时间）</w:t>
      </w:r>
    </w:p>
    <w:p w14:paraId="3EC735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2、地点：通过广西政府采购云平台（https://www.gcy.zfcg.gxzf.gov.cn/）在线提交。</w:t>
      </w:r>
    </w:p>
    <w:p w14:paraId="317AF2F1">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五、开启</w:t>
      </w:r>
    </w:p>
    <w:p w14:paraId="5F2102BD">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1、首次响应文件开启时间：</w:t>
      </w:r>
      <w:r>
        <w:rPr>
          <w:rFonts w:hint="eastAsia" w:ascii="宋体" w:hAnsi="宋体" w:cs="宋体"/>
          <w:bCs/>
          <w:color w:val="auto"/>
          <w:kern w:val="0"/>
          <w:szCs w:val="21"/>
          <w:highlight w:val="none"/>
          <w:lang w:eastAsia="zh-CN"/>
        </w:rPr>
        <w:t>2025年5月6日</w:t>
      </w:r>
      <w:r>
        <w:rPr>
          <w:rFonts w:hint="eastAsia" w:ascii="宋体" w:hAnsi="宋体" w:cs="宋体"/>
          <w:bCs/>
          <w:color w:val="auto"/>
          <w:kern w:val="0"/>
          <w:szCs w:val="21"/>
          <w:highlight w:val="none"/>
        </w:rPr>
        <w:t>09时00分（北京时间）</w:t>
      </w:r>
    </w:p>
    <w:p w14:paraId="4C9EBF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2、地点：本项目将在广西政府采购云平台电子开标大厅解密、开启。</w:t>
      </w:r>
    </w:p>
    <w:p w14:paraId="08C78722">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六、公告期限</w:t>
      </w:r>
    </w:p>
    <w:p w14:paraId="28FF279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60604ACB">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七、其他补充事宜</w:t>
      </w:r>
    </w:p>
    <w:p w14:paraId="23961FE3">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1、磋商保证金（人民币）：</w:t>
      </w:r>
      <w:r>
        <w:rPr>
          <w:rFonts w:hint="eastAsia" w:ascii="宋体" w:hAnsi="宋体" w:cs="宋体"/>
          <w:color w:val="auto"/>
          <w:szCs w:val="21"/>
          <w:highlight w:val="none"/>
          <w:lang w:bidi="ar"/>
        </w:rPr>
        <w:t>分标1为7000.00元；分标2为6000.00元；分标3为1000.00元；分标4为1400.00元；分标5为1500.00元；分标6为4900.00元；分标7为4000.00元。</w:t>
      </w:r>
    </w:p>
    <w:p w14:paraId="2CD32631">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5F3BC62">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FA27EEA">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4、网上查询地址：中国政府采购网（www.ccgp.gov.cn）、广西政府采购网（zfcg.gxzf.gov.cn）。</w:t>
      </w:r>
    </w:p>
    <w:p w14:paraId="6760675E">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5、本项目需要落实的政府采购政策：</w:t>
      </w:r>
    </w:p>
    <w:p w14:paraId="0B6A1FE2">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（1）政府采购促进中小企业发展。</w:t>
      </w:r>
    </w:p>
    <w:p w14:paraId="42486302">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（2）政府采购支持采用本国产品的政策。</w:t>
      </w:r>
    </w:p>
    <w:p w14:paraId="2B1BF550">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（3）强制采购节能产品；优先采购节能产品、环境标志产品。</w:t>
      </w:r>
    </w:p>
    <w:p w14:paraId="0A21427E">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（4）政府采购促进残疾人就业政策。</w:t>
      </w:r>
    </w:p>
    <w:p w14:paraId="799A7112">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（5）政府采购支持监狱企业发展。</w:t>
      </w:r>
    </w:p>
    <w:p w14:paraId="77A857FB">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（6）扶持不发达地区和少数民族地区政策</w:t>
      </w:r>
    </w:p>
    <w:p w14:paraId="0750FB2E">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6、磋商注意事项：</w:t>
      </w:r>
    </w:p>
    <w:bookmarkEnd w:id="9"/>
    <w:p w14:paraId="67CBFCC8">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1）本项目为全流程电子化采购项目，通过“广西政府采购云平台”（https://www.gcy.zfcg.gxzf.gov.cn/）实行在线电子竞标，供应商应先安装“广西政府采购云平台新版客户端”（新版客户端下载路径：请自行前往广西政府采购网（访问地址http://zfcg.gxzf.gov.cn/）—办事服务—下载专区），并按照本项目竞争性磋商文件和“广西政府采购云平台”的要求编制、加密后在竞标截止时间前通过网络上传至 “广西政府采购云平台”，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竞标具体操作流程。</w:t>
      </w:r>
    </w:p>
    <w:p w14:paraId="2B0549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供应商应当在竞标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w:t>
      </w:r>
      <w:r>
        <w:rPr>
          <w:rFonts w:hint="eastAsia" w:ascii="宋体" w:hAnsi="宋体" w:cs="宋体"/>
          <w:bCs/>
          <w:color w:val="auto"/>
          <w:kern w:val="0"/>
          <w:szCs w:val="21"/>
          <w:highlight w:val="none"/>
        </w:rPr>
        <w:t>广西政府采购云平台</w:t>
      </w:r>
      <w:r>
        <w:rPr>
          <w:rFonts w:hint="eastAsia" w:ascii="宋体" w:hAnsi="宋体" w:cs="宋体"/>
          <w:color w:val="auto"/>
          <w:szCs w:val="21"/>
          <w:highlight w:val="none"/>
        </w:rPr>
        <w:t>客服热线：95763）。</w:t>
      </w:r>
    </w:p>
    <w:p w14:paraId="1F3BD6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（3）CA证书在线解密：供应商竞标时，需凭制作响应文件时用来加密的有效数字证书（CA认证）登录“广西政府采购云平台”电子开标大厅现场按规定时间对加密的响应文件进行解密，否则后果自负。</w:t>
      </w:r>
    </w:p>
    <w:p w14:paraId="273E2A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1）为确保网上操作合法、有效和安全，请供应商确保在电子投标过程中能够对相关数据电文进行加密和使用电子签章，妥善保管CA数字证书并使用有效的CA数字证书参与整个采购活动。2）供应商应当在竞标截止时间前完成电子响应文件的上传、提交，竞标截止时间前可以补充、修改或者撤回响应文件。补充或者修改响应文件的，应当先行撤回原响应文件，补充、修改后重新上传、提交，提交响应文件截止时间前未完成上传、提交的，视为撤回响应文件。提交响应文件截止时间以后上传递交的响应文件，“广西政府采购云平台”将予以拒收。</w:t>
      </w:r>
    </w:p>
    <w:p w14:paraId="623981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（4）供应商需要在具备有摄像头及语音功能且互联网网络状况良好的电脑登录“广西政府采购云平台”远程开标大厅参与本次磋商，否则后果自负。</w:t>
      </w:r>
    </w:p>
    <w:p w14:paraId="5152D8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若对项目采购电子交易系统操作有疑问，可登录“广西政府采购云平台”（https://www.gcy.zfcg.gxzf.gov.cn/），点击右侧咨询小采，获取采小蜜智能服务管家帮助，或拨打广西政府采购云平台服务热线95763获取热线服务帮助。</w:t>
      </w:r>
    </w:p>
    <w:p w14:paraId="3E74C697">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八、凡对本次采购提出询问，请按以下方式联系。</w:t>
      </w:r>
      <w:bookmarkEnd w:id="10"/>
      <w:bookmarkEnd w:id="11"/>
      <w:bookmarkEnd w:id="12"/>
      <w:bookmarkEnd w:id="13"/>
      <w:bookmarkEnd w:id="14"/>
    </w:p>
    <w:p w14:paraId="586C6104">
      <w:pPr>
        <w:spacing w:line="360" w:lineRule="auto"/>
        <w:ind w:firstLine="567" w:firstLineChars="270"/>
        <w:rPr>
          <w:rFonts w:ascii="宋体" w:hAnsi="宋体" w:cs="宋体"/>
          <w:color w:val="auto"/>
          <w:szCs w:val="21"/>
          <w:highlight w:val="none"/>
        </w:rPr>
      </w:pPr>
      <w:bookmarkStart w:id="15" w:name="_Toc28359096"/>
      <w:bookmarkStart w:id="16" w:name="_Toc35393637"/>
      <w:bookmarkStart w:id="17" w:name="_Toc35393806"/>
      <w:bookmarkStart w:id="18" w:name="_Toc28359019"/>
      <w:r>
        <w:rPr>
          <w:rFonts w:hint="eastAsia" w:ascii="宋体" w:hAnsi="宋体" w:cs="宋体"/>
          <w:color w:val="auto"/>
          <w:szCs w:val="21"/>
          <w:highlight w:val="none"/>
        </w:rPr>
        <w:t>1.采购人信息</w:t>
      </w:r>
    </w:p>
    <w:p w14:paraId="77036D37">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名 称：广西壮族自治区农业信息中心</w:t>
      </w:r>
    </w:p>
    <w:p w14:paraId="7AF9C249">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地址：广西南宁市七星路135号　</w:t>
      </w:r>
    </w:p>
    <w:p w14:paraId="743913EA">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联系方式：廖工　</w:t>
      </w:r>
      <w:bookmarkStart w:id="19" w:name="_Toc28359086"/>
      <w:bookmarkStart w:id="20" w:name="_Toc28359009"/>
      <w:r>
        <w:rPr>
          <w:rFonts w:hint="eastAsia" w:ascii="宋体" w:hAnsi="宋体" w:cs="宋体"/>
          <w:color w:val="auto"/>
          <w:szCs w:val="21"/>
          <w:highlight w:val="none"/>
        </w:rPr>
        <w:t xml:space="preserve"> 0771-2182852     </w:t>
      </w:r>
    </w:p>
    <w:p w14:paraId="4156229B">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2.采购代理机构信息</w:t>
      </w:r>
      <w:bookmarkEnd w:id="19"/>
      <w:bookmarkEnd w:id="20"/>
    </w:p>
    <w:p w14:paraId="66A8EEED">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名 称：广西国泰招标咨询有限公司</w:t>
      </w:r>
    </w:p>
    <w:p w14:paraId="1E96796C">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地　址：广西南宁市民族大道141号中鼎万象东方大厦D区六层D607</w:t>
      </w:r>
    </w:p>
    <w:p w14:paraId="66FE0EBB">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联系方式：</w:t>
      </w:r>
      <w:bookmarkStart w:id="21" w:name="_Toc28359087"/>
      <w:bookmarkStart w:id="22" w:name="_Toc28359010"/>
      <w:r>
        <w:rPr>
          <w:rFonts w:hint="eastAsia" w:ascii="宋体" w:hAnsi="宋体" w:cs="宋体"/>
          <w:color w:val="auto"/>
          <w:szCs w:val="21"/>
          <w:highlight w:val="none"/>
        </w:rPr>
        <w:t>黄工   0771-2023496　</w:t>
      </w:r>
    </w:p>
    <w:p w14:paraId="43903D9D">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3.项目联系方式</w:t>
      </w:r>
      <w:bookmarkEnd w:id="21"/>
      <w:bookmarkEnd w:id="22"/>
    </w:p>
    <w:p w14:paraId="4A63D467">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 xml:space="preserve">项目联系人：  黄工      </w:t>
      </w:r>
    </w:p>
    <w:p w14:paraId="5D16D60A">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电　话：　0771-2023496　　</w:t>
      </w:r>
    </w:p>
    <w:p w14:paraId="0CEB3CE6">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　　　　　　　　　　</w:t>
      </w:r>
    </w:p>
    <w:p w14:paraId="535012D7">
      <w:pPr>
        <w:spacing w:line="380" w:lineRule="exact"/>
        <w:rPr>
          <w:rFonts w:ascii="宋体" w:hAnsi="宋体" w:cs="宋体"/>
          <w:color w:val="auto"/>
          <w:szCs w:val="21"/>
          <w:highlight w:val="none"/>
        </w:rPr>
      </w:pPr>
    </w:p>
    <w:p w14:paraId="0A96E523">
      <w:pPr>
        <w:spacing w:line="360" w:lineRule="auto"/>
        <w:ind w:firstLine="6232" w:firstLineChars="2968"/>
        <w:rPr>
          <w:rFonts w:ascii="宋体" w:hAnsi="宋体" w:cs="宋体"/>
          <w:color w:val="auto"/>
          <w:szCs w:val="21"/>
          <w:highlight w:val="none"/>
        </w:rPr>
      </w:pPr>
      <w:r>
        <w:rPr>
          <w:rFonts w:hint="eastAsia" w:ascii="宋体" w:hAnsi="宋体" w:cs="宋体"/>
          <w:color w:val="auto"/>
          <w:szCs w:val="21"/>
          <w:highlight w:val="none"/>
        </w:rPr>
        <w:t>广西国泰招标咨询有限公司</w:t>
      </w:r>
    </w:p>
    <w:p w14:paraId="7BDEB424">
      <w:pPr>
        <w:spacing w:line="360" w:lineRule="auto"/>
        <w:ind w:firstLine="6652" w:firstLineChars="3168"/>
        <w:rPr>
          <w:rFonts w:ascii="宋体" w:hAnsi="宋体" w:cs="宋体"/>
          <w:color w:val="auto"/>
          <w:szCs w:val="21"/>
          <w:highlight w:val="none"/>
        </w:rPr>
      </w:pPr>
      <w:r>
        <w:rPr>
          <w:rFonts w:hint="eastAsia" w:ascii="宋体" w:hAnsi="宋体" w:cs="宋体"/>
          <w:color w:val="auto"/>
          <w:szCs w:val="21"/>
          <w:highlight w:val="none"/>
        </w:rPr>
        <w:t>2025年4月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日</w:t>
      </w:r>
    </w:p>
    <w:p w14:paraId="3A1FA0A7">
      <w:pPr>
        <w:pStyle w:val="2"/>
        <w:rPr>
          <w:rFonts w:ascii="宋体" w:hAnsi="宋体" w:cs="宋体"/>
          <w:color w:val="auto"/>
          <w:sz w:val="32"/>
          <w:szCs w:val="32"/>
          <w:highlight w:val="none"/>
        </w:rPr>
      </w:pPr>
      <w:r>
        <w:rPr>
          <w:rFonts w:hint="eastAsia" w:ascii="宋体" w:hAnsi="宋体" w:cs="宋体"/>
          <w:b w:val="0"/>
          <w:bCs w:val="0"/>
          <w:color w:val="auto"/>
          <w:kern w:val="2"/>
          <w:sz w:val="21"/>
          <w:szCs w:val="21"/>
          <w:highlight w:val="none"/>
        </w:rPr>
        <w:t xml:space="preserve">                                           </w:t>
      </w:r>
      <w:bookmarkEnd w:id="2"/>
      <w:bookmarkEnd w:id="15"/>
      <w:bookmarkEnd w:id="16"/>
      <w:bookmarkEnd w:id="17"/>
      <w:bookmarkEnd w:id="18"/>
      <w:r>
        <w:rPr>
          <w:rFonts w:hint="eastAsia" w:ascii="宋体" w:hAnsi="宋体" w:cs="宋体"/>
          <w:b w:val="0"/>
          <w:bCs w:val="0"/>
          <w:color w:val="auto"/>
          <w:kern w:val="2"/>
          <w:sz w:val="21"/>
          <w:szCs w:val="21"/>
          <w:highlight w:val="none"/>
        </w:rPr>
        <w:br w:type="page"/>
      </w:r>
      <w:bookmarkStart w:id="23" w:name="_Toc23903"/>
      <w:r>
        <w:rPr>
          <w:rFonts w:hint="eastAsia"/>
          <w:color w:val="auto"/>
          <w:highlight w:val="none"/>
        </w:rPr>
        <w:t xml:space="preserve">第二章 </w:t>
      </w:r>
      <w:r>
        <w:rPr>
          <w:rStyle w:val="40"/>
          <w:rFonts w:hint="eastAsia"/>
          <w:b/>
          <w:bCs/>
          <w:color w:val="auto"/>
          <w:highlight w:val="none"/>
        </w:rPr>
        <w:t>供应商须知</w:t>
      </w:r>
      <w:bookmarkEnd w:id="23"/>
    </w:p>
    <w:p w14:paraId="5B02B127">
      <w:pPr>
        <w:jc w:val="center"/>
        <w:rPr>
          <w:b/>
          <w:bCs/>
          <w:color w:val="auto"/>
          <w:sz w:val="32"/>
          <w:szCs w:val="32"/>
          <w:highlight w:val="none"/>
        </w:rPr>
      </w:pPr>
      <w:r>
        <w:rPr>
          <w:rFonts w:hint="eastAsia"/>
          <w:b/>
          <w:bCs/>
          <w:color w:val="auto"/>
          <w:sz w:val="32"/>
          <w:szCs w:val="32"/>
          <w:highlight w:val="none"/>
        </w:rPr>
        <w:t>供应商须知前附表</w:t>
      </w:r>
    </w:p>
    <w:p w14:paraId="25530EB1">
      <w:pPr>
        <w:rPr>
          <w:color w:val="auto"/>
          <w:highlight w:val="none"/>
        </w:rPr>
      </w:pPr>
    </w:p>
    <w:tbl>
      <w:tblPr>
        <w:tblStyle w:val="32"/>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51A21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6C16DD6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8627" w:type="dxa"/>
          </w:tcPr>
          <w:p w14:paraId="759E434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34E60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E20AC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8627" w:type="dxa"/>
            <w:vAlign w:val="center"/>
          </w:tcPr>
          <w:p w14:paraId="5BA95E72">
            <w:pPr>
              <w:spacing w:line="360" w:lineRule="auto"/>
              <w:rPr>
                <w:rFonts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725C4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B61A3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8627" w:type="dxa"/>
            <w:vAlign w:val="center"/>
          </w:tcPr>
          <w:p w14:paraId="30171F66">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是否接受联合体竞标：详见竞争性磋商公告</w:t>
            </w:r>
          </w:p>
        </w:tc>
      </w:tr>
      <w:tr w14:paraId="7B7C3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50391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8627" w:type="dxa"/>
            <w:vAlign w:val="center"/>
          </w:tcPr>
          <w:p w14:paraId="06E85226">
            <w:pPr>
              <w:pStyle w:val="13"/>
              <w:spacing w:line="400" w:lineRule="exact"/>
              <w:rPr>
                <w:rFonts w:ascii="宋体" w:hAnsi="宋体" w:cs="宋体"/>
                <w:color w:val="auto"/>
                <w:szCs w:val="21"/>
                <w:highlight w:val="none"/>
              </w:rPr>
            </w:pPr>
            <w:r>
              <w:rPr>
                <w:rFonts w:hint="eastAsia" w:ascii="宋体" w:hAnsi="宋体" w:cs="宋体"/>
                <w:color w:val="auto"/>
                <w:szCs w:val="21"/>
                <w:highlight w:val="none"/>
              </w:rPr>
              <w:t>本项目不允许分包。</w:t>
            </w:r>
          </w:p>
        </w:tc>
      </w:tr>
      <w:tr w14:paraId="5B2F7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095752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8627" w:type="dxa"/>
            <w:vAlign w:val="center"/>
          </w:tcPr>
          <w:p w14:paraId="068FC088">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67E48597">
            <w:pPr>
              <w:pStyle w:val="13"/>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FEF2E74">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 xml:space="preserve"> 2024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10 </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4 </w:t>
            </w:r>
            <w:r>
              <w:rPr>
                <w:rFonts w:hint="eastAsia" w:ascii="宋体" w:hAnsi="宋体" w:cs="宋体"/>
                <w:color w:val="auto"/>
                <w:szCs w:val="21"/>
                <w:highlight w:val="none"/>
              </w:rPr>
              <w:t>月内连续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w:t>
            </w:r>
            <w:r>
              <w:rPr>
                <w:rFonts w:hint="eastAsia" w:ascii="宋体" w:hAnsi="宋体" w:cs="宋体"/>
                <w:color w:val="auto"/>
                <w:highlight w:val="none"/>
              </w:rPr>
              <w:t>依法免税的，必须提供相应文件证明其依法免税。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33A9D00">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 xml:space="preserve">  2024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10 </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4</w:t>
            </w:r>
            <w:r>
              <w:rPr>
                <w:rFonts w:hint="eastAsia" w:ascii="宋体" w:hAnsi="宋体" w:cs="宋体"/>
                <w:color w:val="auto"/>
                <w:szCs w:val="21"/>
                <w:highlight w:val="none"/>
              </w:rPr>
              <w:t>月连续</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s="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42CC3D6">
            <w:pPr>
              <w:spacing w:line="360" w:lineRule="auto"/>
              <w:contextualSpacing/>
              <w:jc w:val="left"/>
              <w:rPr>
                <w:rFonts w:ascii="宋体" w:hAnsi="宋体" w:cs="宋体"/>
                <w:b/>
                <w:color w:val="auto"/>
                <w:szCs w:val="21"/>
                <w:highlight w:val="none"/>
              </w:rPr>
            </w:pPr>
            <w:r>
              <w:rPr>
                <w:rFonts w:hint="eastAsia" w:ascii="宋体" w:hAnsi="宋体" w:cs="宋体"/>
                <w:color w:val="auto"/>
                <w:szCs w:val="21"/>
                <w:highlight w:val="none"/>
              </w:rPr>
              <w:t>4、供应商财务状况报告（2023年度财务报表复印件或者银行出具的资信证明；供应商属于</w:t>
            </w:r>
            <w:r>
              <w:rPr>
                <w:rFonts w:hint="eastAsia" w:ascii="宋体" w:hAnsi="宋体" w:cs="宋体"/>
                <w:color w:val="auto"/>
                <w:highlight w:val="none"/>
              </w:rPr>
              <w:t>成立时间</w:t>
            </w:r>
            <w:r>
              <w:rPr>
                <w:rFonts w:hint="eastAsia" w:ascii="宋体" w:hAnsi="宋体" w:cs="宋体"/>
                <w:color w:val="auto"/>
                <w:kern w:val="0"/>
                <w:highlight w:val="none"/>
              </w:rPr>
              <w:t>在规定年度之后</w:t>
            </w:r>
            <w:r>
              <w:rPr>
                <w:rFonts w:hint="eastAsia" w:ascii="宋体" w:hAnsi="宋体" w:cs="宋体"/>
                <w:color w:val="auto"/>
                <w:highlight w:val="none"/>
              </w:rPr>
              <w:t>的</w:t>
            </w:r>
            <w:r>
              <w:rPr>
                <w:rFonts w:hint="eastAsia" w:ascii="宋体" w:hAnsi="宋体" w:cs="宋体"/>
                <w:color w:val="auto"/>
                <w:szCs w:val="21"/>
                <w:highlight w:val="none"/>
              </w:rPr>
              <w:t>法人或其他组织</w:t>
            </w:r>
            <w:r>
              <w:rPr>
                <w:rFonts w:hint="eastAsia" w:ascii="宋体" w:hAnsi="宋体" w:cs="宋体"/>
                <w:color w:val="auto"/>
                <w:highlight w:val="none"/>
              </w:rPr>
              <w:t>，需提供成立之日起至响应文件提交截止时间前的月报表</w:t>
            </w:r>
            <w:r>
              <w:rPr>
                <w:rFonts w:hint="eastAsia" w:ascii="宋体" w:hAnsi="宋体" w:cs="宋体"/>
                <w:color w:val="auto"/>
                <w:szCs w:val="21"/>
                <w:highlight w:val="none"/>
              </w:rPr>
              <w:t>或银行出具的资信证明；资信证明应在有效期内，未注明有效期的，银行出具时间至响应文件提交截止时间不超过一年）；</w:t>
            </w:r>
            <w:r>
              <w:rPr>
                <w:rFonts w:hint="eastAsia" w:ascii="宋体" w:hAnsi="宋体" w:cs="宋体"/>
                <w:bCs/>
                <w:color w:val="auto"/>
                <w:szCs w:val="21"/>
                <w:highlight w:val="none"/>
              </w:rPr>
              <w:t>（</w:t>
            </w:r>
            <w:r>
              <w:rPr>
                <w:rFonts w:hint="eastAsia" w:ascii="宋体" w:hAnsi="宋体" w:cs="宋体"/>
                <w:b/>
                <w:color w:val="auto"/>
                <w:szCs w:val="21"/>
                <w:highlight w:val="none"/>
              </w:rPr>
              <w:t>除自然人外必须提供，否则响应文件按无效响应处理</w:t>
            </w:r>
            <w:r>
              <w:rPr>
                <w:rFonts w:hint="eastAsia" w:ascii="宋体" w:hAnsi="宋体" w:cs="宋体"/>
                <w:bCs/>
                <w:color w:val="auto"/>
                <w:szCs w:val="21"/>
                <w:highlight w:val="none"/>
              </w:rPr>
              <w:t>）</w:t>
            </w:r>
          </w:p>
          <w:p w14:paraId="2ECA6E3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54E501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D2C25B8">
            <w:pPr>
              <w:snapToGrid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7、中小企业声明函或由省级以上监狱管理局、戒毒管理局（含新疆生产建设兵团）出具的属于监狱企业的证明文件或残疾人福利性单位声明函（格式后附）；（</w:t>
            </w:r>
            <w:r>
              <w:rPr>
                <w:rFonts w:hint="eastAsia" w:ascii="宋体" w:hAnsi="宋体" w:cs="宋体"/>
                <w:b/>
                <w:bCs/>
                <w:color w:val="auto"/>
                <w:szCs w:val="21"/>
                <w:highlight w:val="none"/>
              </w:rPr>
              <w:t>分标1、2、5、6</w:t>
            </w:r>
            <w:r>
              <w:rPr>
                <w:rFonts w:hint="eastAsia" w:ascii="宋体" w:hAnsi="宋体" w:cs="宋体"/>
                <w:b/>
                <w:color w:val="auto"/>
                <w:szCs w:val="21"/>
                <w:highlight w:val="none"/>
              </w:rPr>
              <w:t>必须提供，否则响应文件按无效响应处理；</w:t>
            </w:r>
            <w:r>
              <w:rPr>
                <w:rFonts w:hint="eastAsia" w:ascii="宋体" w:hAnsi="宋体" w:cs="宋体"/>
                <w:b/>
                <w:bCs/>
                <w:color w:val="auto"/>
                <w:szCs w:val="21"/>
                <w:highlight w:val="none"/>
              </w:rPr>
              <w:t>分标3、4、7如有，请提供</w:t>
            </w:r>
            <w:r>
              <w:rPr>
                <w:rFonts w:hint="eastAsia" w:ascii="宋体" w:hAnsi="宋体" w:cs="宋体"/>
                <w:color w:val="auto"/>
                <w:szCs w:val="21"/>
                <w:highlight w:val="none"/>
              </w:rPr>
              <w:t>）</w:t>
            </w:r>
          </w:p>
          <w:p w14:paraId="756D77F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8、除磋商文件规定必须提供以外，供应商认为需要提供的其他证明材料；</w:t>
            </w:r>
          </w:p>
          <w:p w14:paraId="29BF9F00">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注：</w:t>
            </w:r>
          </w:p>
          <w:p w14:paraId="25C2CA7A">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1、以上标明“必须提供”的材料属于复印件的，必须加盖供应商公章，否则响应文件按无效响应处理。</w:t>
            </w:r>
          </w:p>
          <w:p w14:paraId="4AFF9889">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2、竞标声明必须由法定代表人在规定签章处签字并加盖供应商公章，否则响应文件按无效响应处理。</w:t>
            </w:r>
          </w:p>
          <w:p w14:paraId="5E4428C1">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3、供应商直接控股、管理关系信息表必须由法定代表人或者委托代理人在规定签章处签字并加盖供应商公章，否则响应文件按无效响应处理。</w:t>
            </w:r>
          </w:p>
          <w:p w14:paraId="3A3F73F7">
            <w:pPr>
              <w:pStyle w:val="13"/>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w:t>
            </w:r>
            <w:r>
              <w:rPr>
                <w:rFonts w:hint="eastAsia" w:ascii="宋体" w:hAnsi="宋体" w:cs="宋体"/>
                <w:b/>
                <w:bCs/>
                <w:color w:val="auto"/>
                <w:szCs w:val="21"/>
                <w:highlight w:val="none"/>
              </w:rPr>
              <w:t>分公司参加竞标的，应当取得总公司授权，否则响应文件按无效响应处理。</w:t>
            </w:r>
          </w:p>
        </w:tc>
      </w:tr>
      <w:tr w14:paraId="4EEA1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516F40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8627" w:type="dxa"/>
            <w:vAlign w:val="center"/>
          </w:tcPr>
          <w:p w14:paraId="0FD52A5D">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报价商务技术文件</w:t>
            </w:r>
          </w:p>
          <w:p w14:paraId="767EA956">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22B48FE">
            <w:pPr>
              <w:spacing w:line="360" w:lineRule="auto"/>
              <w:rPr>
                <w:rFonts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9A00F5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3、法定代表人身份证明及法定代表人有效身份证正反面复印件（格式后附）；（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79B7C0C">
            <w:pPr>
              <w:spacing w:line="360" w:lineRule="auto"/>
              <w:rPr>
                <w:rFonts w:ascii="宋体" w:hAnsi="宋体" w:cs="宋体"/>
                <w:b/>
                <w:color w:val="auto"/>
                <w:szCs w:val="21"/>
                <w:highlight w:val="none"/>
              </w:rPr>
            </w:pPr>
            <w:r>
              <w:rPr>
                <w:rFonts w:hint="eastAsia" w:ascii="宋体" w:hAnsi="宋体" w:cs="宋体"/>
                <w:color w:val="auto"/>
                <w:szCs w:val="21"/>
                <w:highlight w:val="none"/>
              </w:rPr>
              <w:t>4、授权委托书及委托代理人有效身份证正反面复印件（格式后附）；（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4FFB75D6">
            <w:pPr>
              <w:spacing w:line="360" w:lineRule="auto"/>
              <w:rPr>
                <w:rFonts w:ascii="宋体" w:hAnsi="宋体" w:cs="宋体"/>
                <w:color w:val="auto"/>
                <w:szCs w:val="21"/>
                <w:highlight w:val="none"/>
              </w:rPr>
            </w:pPr>
            <w:r>
              <w:rPr>
                <w:rFonts w:hint="eastAsia" w:ascii="宋体" w:hAnsi="宋体" w:cs="宋体"/>
                <w:color w:val="auto"/>
                <w:szCs w:val="21"/>
                <w:highlight w:val="none"/>
              </w:rPr>
              <w:t>5、磋商保证金提交凭证；（</w:t>
            </w:r>
            <w:r>
              <w:rPr>
                <w:rFonts w:hint="eastAsia" w:ascii="宋体" w:hAnsi="宋体" w:cs="宋体"/>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0DB706E5">
            <w:pPr>
              <w:spacing w:line="360" w:lineRule="auto"/>
              <w:rPr>
                <w:rFonts w:ascii="宋体" w:hAnsi="宋体" w:cs="宋体"/>
                <w:color w:val="auto"/>
                <w:szCs w:val="21"/>
                <w:highlight w:val="none"/>
              </w:rPr>
            </w:pPr>
            <w:r>
              <w:rPr>
                <w:rFonts w:hint="eastAsia" w:ascii="宋体" w:hAnsi="宋体" w:cs="宋体"/>
                <w:color w:val="auto"/>
                <w:szCs w:val="21"/>
                <w:highlight w:val="none"/>
              </w:rPr>
              <w:t>6、商务要求偏离表（格式后附）；（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962EE33">
            <w:pPr>
              <w:spacing w:line="360" w:lineRule="auto"/>
              <w:rPr>
                <w:rFonts w:ascii="宋体" w:hAnsi="宋体" w:cs="宋体"/>
                <w:color w:val="auto"/>
                <w:szCs w:val="21"/>
                <w:highlight w:val="none"/>
              </w:rPr>
            </w:pPr>
            <w:r>
              <w:rPr>
                <w:rFonts w:hint="eastAsia" w:ascii="宋体" w:hAnsi="宋体" w:cs="宋体"/>
                <w:color w:val="auto"/>
                <w:szCs w:val="21"/>
                <w:highlight w:val="none"/>
              </w:rPr>
              <w:t>7、服务方案（格式自拟）；（</w:t>
            </w:r>
            <w:r>
              <w:rPr>
                <w:rFonts w:hint="eastAsia" w:ascii="宋体" w:hAnsi="宋体" w:cs="宋体"/>
                <w:b/>
                <w:color w:val="auto"/>
                <w:szCs w:val="21"/>
                <w:highlight w:val="none"/>
              </w:rPr>
              <w:t>根据竞争性磋商文件的要求提供</w:t>
            </w:r>
            <w:r>
              <w:rPr>
                <w:rFonts w:hint="eastAsia" w:ascii="宋体" w:hAnsi="宋体" w:cs="宋体"/>
                <w:color w:val="auto"/>
                <w:szCs w:val="21"/>
                <w:highlight w:val="none"/>
              </w:rPr>
              <w:t>）</w:t>
            </w:r>
          </w:p>
          <w:p w14:paraId="7A7402AB">
            <w:pPr>
              <w:spacing w:line="360" w:lineRule="auto"/>
              <w:rPr>
                <w:rFonts w:ascii="宋体" w:hAnsi="宋体" w:cs="宋体"/>
                <w:color w:val="auto"/>
                <w:szCs w:val="21"/>
                <w:highlight w:val="none"/>
              </w:rPr>
            </w:pPr>
            <w:r>
              <w:rPr>
                <w:rFonts w:hint="eastAsia" w:ascii="宋体" w:hAnsi="宋体" w:cs="宋体"/>
                <w:color w:val="auto"/>
                <w:szCs w:val="21"/>
                <w:highlight w:val="none"/>
              </w:rPr>
              <w:t>8、技术要求偏离表（格式后附）；（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5140AAE">
            <w:pPr>
              <w:spacing w:line="360" w:lineRule="auto"/>
              <w:rPr>
                <w:rFonts w:ascii="宋体" w:hAnsi="宋体" w:cs="宋体"/>
                <w:color w:val="auto"/>
                <w:szCs w:val="21"/>
                <w:highlight w:val="none"/>
              </w:rPr>
            </w:pPr>
            <w:r>
              <w:rPr>
                <w:rFonts w:hint="eastAsia" w:ascii="宋体" w:hAnsi="宋体" w:cs="宋体"/>
                <w:color w:val="auto"/>
                <w:szCs w:val="21"/>
                <w:highlight w:val="none"/>
              </w:rPr>
              <w:t>9、服务承诺书（格式自拟）；（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FC47593">
            <w:pPr>
              <w:spacing w:line="360" w:lineRule="auto"/>
              <w:rPr>
                <w:rFonts w:ascii="宋体" w:hAnsi="宋体" w:cs="宋体"/>
                <w:color w:val="auto"/>
                <w:szCs w:val="21"/>
                <w:highlight w:val="none"/>
              </w:rPr>
            </w:pPr>
            <w:r>
              <w:rPr>
                <w:rFonts w:hint="eastAsia" w:ascii="宋体" w:hAnsi="宋体" w:cs="宋体"/>
                <w:color w:val="auto"/>
                <w:szCs w:val="21"/>
                <w:highlight w:val="none"/>
              </w:rPr>
              <w:t>10、项目实施人员一览表（</w:t>
            </w:r>
            <w:r>
              <w:rPr>
                <w:rFonts w:hint="eastAsia" w:ascii="宋体" w:hAnsi="宋体" w:cs="宋体"/>
                <w:b/>
                <w:color w:val="auto"/>
                <w:szCs w:val="21"/>
                <w:highlight w:val="none"/>
              </w:rPr>
              <w:t>如有，请提供</w:t>
            </w:r>
            <w:r>
              <w:rPr>
                <w:rFonts w:hint="eastAsia" w:ascii="宋体" w:hAnsi="宋体" w:cs="宋体"/>
                <w:color w:val="auto"/>
                <w:szCs w:val="21"/>
                <w:highlight w:val="none"/>
              </w:rPr>
              <w:t xml:space="preserve">）； </w:t>
            </w:r>
          </w:p>
          <w:p w14:paraId="66425219">
            <w:pPr>
              <w:spacing w:line="360" w:lineRule="auto"/>
              <w:rPr>
                <w:rFonts w:ascii="宋体" w:hAnsi="宋体" w:cs="宋体"/>
                <w:color w:val="auto"/>
                <w:szCs w:val="21"/>
                <w:highlight w:val="none"/>
              </w:rPr>
            </w:pPr>
            <w:r>
              <w:rPr>
                <w:rFonts w:hint="eastAsia" w:ascii="宋体" w:hAnsi="宋体" w:cs="宋体"/>
                <w:color w:val="auto"/>
                <w:szCs w:val="21"/>
                <w:highlight w:val="none"/>
              </w:rPr>
              <w:t>11、对应采购需求的技术要求、商务要求提供的其他文件资料（格式自拟）；</w:t>
            </w:r>
          </w:p>
          <w:p w14:paraId="7E302DCB">
            <w:pPr>
              <w:spacing w:line="360" w:lineRule="auto"/>
              <w:rPr>
                <w:rFonts w:ascii="宋体" w:hAnsi="宋体" w:cs="宋体"/>
                <w:b/>
                <w:color w:val="auto"/>
                <w:szCs w:val="21"/>
                <w:highlight w:val="none"/>
              </w:rPr>
            </w:pPr>
            <w:r>
              <w:rPr>
                <w:rFonts w:hint="eastAsia" w:ascii="宋体" w:hAnsi="宋体" w:cs="宋体"/>
                <w:color w:val="auto"/>
                <w:szCs w:val="21"/>
                <w:highlight w:val="none"/>
              </w:rPr>
              <w:t>12、供应商认为需要提供的其他有关资料。</w:t>
            </w:r>
          </w:p>
          <w:p w14:paraId="01ED71C3">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注：以上标明“必须提供”的材料属于复印件的，必须加盖供应商公章，否则响应文件按无效响应处理。</w:t>
            </w:r>
          </w:p>
        </w:tc>
      </w:tr>
      <w:tr w14:paraId="40397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D69E82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8627" w:type="dxa"/>
            <w:vAlign w:val="center"/>
          </w:tcPr>
          <w:p w14:paraId="020D79AE">
            <w:pPr>
              <w:snapToGrid w:val="0"/>
              <w:spacing w:line="360" w:lineRule="auto"/>
              <w:jc w:val="left"/>
              <w:rPr>
                <w:rFonts w:ascii="宋体" w:hAnsi="宋体" w:cs="宋体"/>
                <w:color w:val="auto"/>
                <w:szCs w:val="21"/>
                <w:highlight w:val="none"/>
              </w:rPr>
            </w:pPr>
            <w:r>
              <w:rPr>
                <w:rFonts w:hint="eastAsia" w:ascii="宋体" w:hAnsi="宋体"/>
                <w:color w:val="auto"/>
                <w:szCs w:val="21"/>
                <w:highlight w:val="none"/>
              </w:rPr>
              <w:t>竞标报价是履行合同的最终价格，</w:t>
            </w:r>
            <w:r>
              <w:rPr>
                <w:rFonts w:hint="eastAsia" w:ascii="宋体" w:hAnsi="宋体" w:cs="宋体"/>
                <w:color w:val="auto"/>
                <w:szCs w:val="21"/>
                <w:highlight w:val="none"/>
              </w:rPr>
              <w:t>即满足全部采购需求所应提供的服务的价格；包括竞标服务的成本、运输（含保险）（如有）、技术服务、培训、税费等所有费用。</w:t>
            </w:r>
            <w:r>
              <w:rPr>
                <w:rFonts w:hint="eastAsia" w:ascii="宋体" w:hAnsi="宋体"/>
                <w:b/>
                <w:color w:val="auto"/>
                <w:szCs w:val="21"/>
                <w:highlight w:val="none"/>
              </w:rPr>
              <w:t>（采购需求另有约定的，从其约定。）</w:t>
            </w:r>
          </w:p>
        </w:tc>
      </w:tr>
      <w:tr w14:paraId="0F2F1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A1D39B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8627" w:type="dxa"/>
            <w:vAlign w:val="center"/>
          </w:tcPr>
          <w:p w14:paraId="47BFE8A6">
            <w:pPr>
              <w:spacing w:line="360" w:lineRule="auto"/>
              <w:rPr>
                <w:rFonts w:ascii="宋体" w:hAnsi="宋体" w:cs="宋体"/>
                <w:color w:val="auto"/>
                <w:szCs w:val="21"/>
                <w:highlight w:val="none"/>
              </w:rPr>
            </w:pPr>
            <w:r>
              <w:rPr>
                <w:rFonts w:hint="eastAsia" w:ascii="宋体" w:hAnsi="宋体" w:cs="宋体"/>
                <w:color w:val="auto"/>
                <w:szCs w:val="21"/>
                <w:highlight w:val="none"/>
              </w:rPr>
              <w:t>竞标有效期：首次响应文件提交截止之日起60天内。</w:t>
            </w:r>
          </w:p>
        </w:tc>
      </w:tr>
      <w:tr w14:paraId="2147D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F2FA52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8627" w:type="dxa"/>
            <w:vAlign w:val="center"/>
          </w:tcPr>
          <w:p w14:paraId="3BC683D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本项目收取磋商保证金，具体规定如下：</w:t>
            </w:r>
          </w:p>
          <w:p w14:paraId="2B537221">
            <w:pPr>
              <w:widowControl/>
              <w:spacing w:line="360" w:lineRule="auto"/>
              <w:rPr>
                <w:rFonts w:ascii="宋体" w:hAnsi="宋体" w:cs="宋体"/>
                <w:color w:val="auto"/>
                <w:szCs w:val="21"/>
                <w:highlight w:val="none"/>
                <w:lang w:bidi="ar"/>
              </w:rPr>
            </w:pPr>
            <w:r>
              <w:rPr>
                <w:rFonts w:hint="eastAsia" w:ascii="宋体" w:hAnsi="宋体" w:cs="宋体"/>
                <w:color w:val="auto"/>
                <w:szCs w:val="21"/>
                <w:highlight w:val="none"/>
                <w:lang w:bidi="ar"/>
              </w:rPr>
              <w:t>分标1</w:t>
            </w:r>
            <w:r>
              <w:rPr>
                <w:rFonts w:hint="eastAsia" w:ascii="宋体" w:hAnsi="宋体" w:cs="宋体"/>
                <w:color w:val="auto"/>
                <w:kern w:val="0"/>
                <w:szCs w:val="21"/>
                <w:highlight w:val="none"/>
              </w:rPr>
              <w:t>磋商保证金人民币</w:t>
            </w:r>
            <w:r>
              <w:rPr>
                <w:rFonts w:hint="eastAsia" w:ascii="宋体" w:hAnsi="宋体" w:cs="宋体"/>
                <w:color w:val="auto"/>
                <w:kern w:val="0"/>
                <w:szCs w:val="21"/>
                <w:highlight w:val="none"/>
                <w:u w:val="single"/>
              </w:rPr>
              <w:t xml:space="preserve"> 7000.00 </w:t>
            </w:r>
            <w:r>
              <w:rPr>
                <w:rFonts w:hint="eastAsia" w:ascii="宋体" w:hAnsi="宋体" w:cs="宋体"/>
                <w:color w:val="auto"/>
                <w:szCs w:val="21"/>
                <w:highlight w:val="none"/>
                <w:lang w:bidi="ar"/>
              </w:rPr>
              <w:t>元；</w:t>
            </w:r>
          </w:p>
          <w:p w14:paraId="448AA96F">
            <w:pPr>
              <w:widowControl/>
              <w:spacing w:line="360" w:lineRule="auto"/>
              <w:rPr>
                <w:rFonts w:ascii="宋体" w:hAnsi="宋体" w:cs="宋体"/>
                <w:color w:val="auto"/>
                <w:szCs w:val="21"/>
                <w:highlight w:val="none"/>
                <w:lang w:bidi="ar"/>
              </w:rPr>
            </w:pPr>
            <w:r>
              <w:rPr>
                <w:rFonts w:hint="eastAsia" w:ascii="宋体" w:hAnsi="宋体" w:cs="宋体"/>
                <w:color w:val="auto"/>
                <w:szCs w:val="21"/>
                <w:highlight w:val="none"/>
                <w:lang w:bidi="ar"/>
              </w:rPr>
              <w:t>分标2</w:t>
            </w:r>
            <w:r>
              <w:rPr>
                <w:rFonts w:hint="eastAsia" w:ascii="宋体" w:hAnsi="宋体" w:cs="宋体"/>
                <w:color w:val="auto"/>
                <w:kern w:val="0"/>
                <w:szCs w:val="21"/>
                <w:highlight w:val="none"/>
              </w:rPr>
              <w:t>磋商保证金人民币</w:t>
            </w:r>
            <w:r>
              <w:rPr>
                <w:rFonts w:hint="eastAsia" w:ascii="宋体" w:hAnsi="宋体" w:cs="宋体"/>
                <w:color w:val="auto"/>
                <w:szCs w:val="21"/>
                <w:highlight w:val="none"/>
                <w:u w:val="single"/>
                <w:lang w:bidi="ar"/>
              </w:rPr>
              <w:t xml:space="preserve"> 6000.00</w:t>
            </w:r>
            <w:r>
              <w:rPr>
                <w:rFonts w:hint="eastAsia" w:ascii="宋体" w:hAnsi="宋体" w:cs="宋体"/>
                <w:color w:val="auto"/>
                <w:szCs w:val="21"/>
                <w:highlight w:val="none"/>
                <w:lang w:bidi="ar"/>
              </w:rPr>
              <w:t>元；</w:t>
            </w:r>
          </w:p>
          <w:p w14:paraId="4F5764B7">
            <w:pPr>
              <w:widowControl/>
              <w:spacing w:line="360" w:lineRule="auto"/>
              <w:rPr>
                <w:rFonts w:ascii="宋体" w:hAnsi="宋体" w:cs="宋体"/>
                <w:color w:val="auto"/>
                <w:szCs w:val="21"/>
                <w:highlight w:val="none"/>
                <w:lang w:bidi="ar"/>
              </w:rPr>
            </w:pPr>
            <w:r>
              <w:rPr>
                <w:rFonts w:hint="eastAsia" w:ascii="宋体" w:hAnsi="宋体" w:cs="宋体"/>
                <w:color w:val="auto"/>
                <w:szCs w:val="21"/>
                <w:highlight w:val="none"/>
                <w:lang w:bidi="ar"/>
              </w:rPr>
              <w:t>分标3</w:t>
            </w:r>
            <w:r>
              <w:rPr>
                <w:rFonts w:hint="eastAsia" w:ascii="宋体" w:hAnsi="宋体" w:cs="宋体"/>
                <w:color w:val="auto"/>
                <w:kern w:val="0"/>
                <w:szCs w:val="21"/>
                <w:highlight w:val="none"/>
              </w:rPr>
              <w:t>磋商保证金人民币</w:t>
            </w:r>
            <w:r>
              <w:rPr>
                <w:rFonts w:hint="eastAsia" w:ascii="宋体" w:hAnsi="宋体" w:cs="宋体"/>
                <w:color w:val="auto"/>
                <w:szCs w:val="21"/>
                <w:highlight w:val="none"/>
                <w:u w:val="single"/>
                <w:lang w:bidi="ar"/>
              </w:rPr>
              <w:t xml:space="preserve"> 1000.00 </w:t>
            </w:r>
            <w:r>
              <w:rPr>
                <w:rFonts w:hint="eastAsia" w:ascii="宋体" w:hAnsi="宋体" w:cs="宋体"/>
                <w:color w:val="auto"/>
                <w:szCs w:val="21"/>
                <w:highlight w:val="none"/>
                <w:lang w:bidi="ar"/>
              </w:rPr>
              <w:t>元；</w:t>
            </w:r>
          </w:p>
          <w:p w14:paraId="253DC5F8">
            <w:pPr>
              <w:widowControl/>
              <w:spacing w:line="360" w:lineRule="auto"/>
              <w:rPr>
                <w:rFonts w:ascii="宋体" w:hAnsi="宋体" w:cs="宋体"/>
                <w:color w:val="auto"/>
                <w:szCs w:val="21"/>
                <w:highlight w:val="none"/>
                <w:lang w:bidi="ar"/>
              </w:rPr>
            </w:pPr>
            <w:r>
              <w:rPr>
                <w:rFonts w:hint="eastAsia" w:ascii="宋体" w:hAnsi="宋体" w:cs="宋体"/>
                <w:color w:val="auto"/>
                <w:szCs w:val="21"/>
                <w:highlight w:val="none"/>
                <w:lang w:bidi="ar"/>
              </w:rPr>
              <w:t>分标4</w:t>
            </w:r>
            <w:r>
              <w:rPr>
                <w:rFonts w:hint="eastAsia" w:ascii="宋体" w:hAnsi="宋体" w:cs="宋体"/>
                <w:color w:val="auto"/>
                <w:kern w:val="0"/>
                <w:szCs w:val="21"/>
                <w:highlight w:val="none"/>
              </w:rPr>
              <w:t>磋商保证金人民币</w:t>
            </w:r>
            <w:r>
              <w:rPr>
                <w:rFonts w:hint="eastAsia" w:ascii="宋体" w:hAnsi="宋体" w:cs="宋体"/>
                <w:color w:val="auto"/>
                <w:szCs w:val="21"/>
                <w:highlight w:val="none"/>
                <w:u w:val="single"/>
                <w:lang w:bidi="ar"/>
              </w:rPr>
              <w:t xml:space="preserve"> 1400.00</w:t>
            </w:r>
            <w:r>
              <w:rPr>
                <w:rFonts w:hint="eastAsia" w:ascii="宋体" w:hAnsi="宋体" w:cs="宋体"/>
                <w:color w:val="auto"/>
                <w:szCs w:val="21"/>
                <w:highlight w:val="none"/>
                <w:lang w:bidi="ar"/>
              </w:rPr>
              <w:t>元。</w:t>
            </w:r>
          </w:p>
          <w:p w14:paraId="466AE870">
            <w:pPr>
              <w:widowControl/>
              <w:spacing w:line="360" w:lineRule="auto"/>
              <w:rPr>
                <w:rFonts w:ascii="宋体" w:hAnsi="宋体" w:cs="宋体"/>
                <w:color w:val="auto"/>
                <w:szCs w:val="21"/>
                <w:highlight w:val="none"/>
                <w:lang w:bidi="ar"/>
              </w:rPr>
            </w:pPr>
            <w:r>
              <w:rPr>
                <w:rFonts w:hint="eastAsia" w:ascii="宋体" w:hAnsi="宋体" w:cs="宋体"/>
                <w:color w:val="auto"/>
                <w:szCs w:val="21"/>
                <w:highlight w:val="none"/>
                <w:lang w:bidi="ar"/>
              </w:rPr>
              <w:t>分标5</w:t>
            </w:r>
            <w:r>
              <w:rPr>
                <w:rFonts w:hint="eastAsia" w:ascii="宋体" w:hAnsi="宋体" w:cs="宋体"/>
                <w:color w:val="auto"/>
                <w:kern w:val="0"/>
                <w:szCs w:val="21"/>
                <w:highlight w:val="none"/>
              </w:rPr>
              <w:t>磋商保证金人民币</w:t>
            </w:r>
            <w:r>
              <w:rPr>
                <w:rFonts w:hint="eastAsia" w:ascii="宋体" w:hAnsi="宋体" w:cs="宋体"/>
                <w:color w:val="auto"/>
                <w:kern w:val="0"/>
                <w:szCs w:val="21"/>
                <w:highlight w:val="none"/>
                <w:u w:val="single"/>
              </w:rPr>
              <w:t xml:space="preserve"> 1500.00</w:t>
            </w:r>
            <w:r>
              <w:rPr>
                <w:rFonts w:hint="eastAsia" w:ascii="宋体" w:hAnsi="宋体" w:cs="宋体"/>
                <w:color w:val="auto"/>
                <w:szCs w:val="21"/>
                <w:highlight w:val="none"/>
                <w:lang w:bidi="ar"/>
              </w:rPr>
              <w:t>元；</w:t>
            </w:r>
          </w:p>
          <w:p w14:paraId="5E62FA42">
            <w:pPr>
              <w:widowControl/>
              <w:spacing w:line="360" w:lineRule="auto"/>
              <w:rPr>
                <w:rFonts w:ascii="宋体" w:hAnsi="宋体" w:cs="宋体"/>
                <w:color w:val="auto"/>
                <w:szCs w:val="21"/>
                <w:highlight w:val="none"/>
                <w:lang w:bidi="ar"/>
              </w:rPr>
            </w:pPr>
            <w:r>
              <w:rPr>
                <w:rFonts w:hint="eastAsia" w:ascii="宋体" w:hAnsi="宋体" w:cs="宋体"/>
                <w:color w:val="auto"/>
                <w:szCs w:val="21"/>
                <w:highlight w:val="none"/>
                <w:lang w:bidi="ar"/>
              </w:rPr>
              <w:t>分标6</w:t>
            </w:r>
            <w:r>
              <w:rPr>
                <w:rFonts w:hint="eastAsia" w:ascii="宋体" w:hAnsi="宋体" w:cs="宋体"/>
                <w:color w:val="auto"/>
                <w:kern w:val="0"/>
                <w:szCs w:val="21"/>
                <w:highlight w:val="none"/>
              </w:rPr>
              <w:t>磋商保证金人民币</w:t>
            </w:r>
            <w:r>
              <w:rPr>
                <w:rFonts w:hint="eastAsia" w:ascii="宋体" w:hAnsi="宋体" w:cs="宋体"/>
                <w:color w:val="auto"/>
                <w:szCs w:val="21"/>
                <w:highlight w:val="none"/>
                <w:u w:val="single"/>
                <w:lang w:bidi="ar"/>
              </w:rPr>
              <w:t xml:space="preserve"> 4900.00</w:t>
            </w:r>
            <w:r>
              <w:rPr>
                <w:rFonts w:hint="eastAsia" w:ascii="宋体" w:hAnsi="宋体" w:cs="宋体"/>
                <w:color w:val="auto"/>
                <w:szCs w:val="21"/>
                <w:highlight w:val="none"/>
                <w:lang w:bidi="ar"/>
              </w:rPr>
              <w:t>元；</w:t>
            </w:r>
          </w:p>
          <w:p w14:paraId="704F09C5">
            <w:pPr>
              <w:widowControl/>
              <w:spacing w:line="360" w:lineRule="auto"/>
              <w:rPr>
                <w:rFonts w:ascii="宋体" w:hAnsi="宋体" w:cs="宋体"/>
                <w:color w:val="auto"/>
                <w:szCs w:val="21"/>
                <w:highlight w:val="none"/>
                <w:lang w:bidi="ar"/>
              </w:rPr>
            </w:pPr>
            <w:r>
              <w:rPr>
                <w:rFonts w:hint="eastAsia" w:ascii="宋体" w:hAnsi="宋体" w:cs="宋体"/>
                <w:color w:val="auto"/>
                <w:szCs w:val="21"/>
                <w:highlight w:val="none"/>
                <w:lang w:bidi="ar"/>
              </w:rPr>
              <w:t>分标7</w:t>
            </w:r>
            <w:r>
              <w:rPr>
                <w:rFonts w:hint="eastAsia" w:ascii="宋体" w:hAnsi="宋体" w:cs="宋体"/>
                <w:color w:val="auto"/>
                <w:kern w:val="0"/>
                <w:szCs w:val="21"/>
                <w:highlight w:val="none"/>
              </w:rPr>
              <w:t>磋商保证金人民币</w:t>
            </w:r>
            <w:r>
              <w:rPr>
                <w:rFonts w:hint="eastAsia" w:ascii="宋体" w:hAnsi="宋体" w:cs="宋体"/>
                <w:color w:val="auto"/>
                <w:szCs w:val="21"/>
                <w:highlight w:val="none"/>
                <w:u w:val="single"/>
                <w:lang w:bidi="ar"/>
              </w:rPr>
              <w:t xml:space="preserve">4000.00 </w:t>
            </w:r>
            <w:r>
              <w:rPr>
                <w:rFonts w:hint="eastAsia" w:ascii="宋体" w:hAnsi="宋体" w:cs="宋体"/>
                <w:color w:val="auto"/>
                <w:szCs w:val="21"/>
                <w:highlight w:val="none"/>
                <w:lang w:bidi="ar"/>
              </w:rPr>
              <w:t>元；</w:t>
            </w:r>
          </w:p>
          <w:p w14:paraId="402338C9">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磋商保证金的交纳方式：银行转账、支票、汇票、本票或者金融、担保金融、担保机构出具的保函，禁止采用现钞方式。采用银行转账方式的，在响应文件提交截止时间前交至指定账户并且到账（开户银行：</w:t>
            </w:r>
            <w:r>
              <w:rPr>
                <w:rFonts w:hint="eastAsia" w:ascii="宋体" w:hAnsi="宋体" w:cs="宋体"/>
                <w:color w:val="auto"/>
                <w:kern w:val="0"/>
                <w:szCs w:val="21"/>
                <w:highlight w:val="none"/>
                <w:u w:val="single"/>
              </w:rPr>
              <w:t xml:space="preserve"> 广西北部湾银行股份有限公司南宁分行</w:t>
            </w: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u w:val="single"/>
              </w:rPr>
              <w:t xml:space="preserve"> 广西国泰招标咨询有限公司</w:t>
            </w: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u w:val="single"/>
              </w:rPr>
              <w:t xml:space="preserve"> 0101012090615711</w:t>
            </w:r>
            <w:r>
              <w:rPr>
                <w:rFonts w:hint="eastAsia" w:ascii="宋体" w:hAnsi="宋体" w:cs="宋体"/>
                <w:color w:val="auto"/>
                <w:kern w:val="0"/>
                <w:szCs w:val="21"/>
                <w:highlight w:val="none"/>
              </w:rPr>
              <w:t>）；采用支票、汇票、本票或者保函等方式的，在响应文件提交截止时间前，供应商必须提交支票、汇票、本票或者保函原件。否则视为无效磋商保证金。</w:t>
            </w:r>
          </w:p>
          <w:p w14:paraId="6A65FAD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相关要求：</w:t>
            </w:r>
          </w:p>
          <w:p w14:paraId="6374412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0DFE7942">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r>
              <w:rPr>
                <w:rFonts w:hint="eastAsia" w:ascii="宋体" w:hAnsi="宋体" w:cs="宋体"/>
                <w:b/>
                <w:color w:val="auto"/>
                <w:szCs w:val="21"/>
                <w:highlight w:val="none"/>
              </w:rPr>
              <w:t>供应商必须在首次响应文件提交截止时间前将支票、汇票、本票或者金融、</w:t>
            </w:r>
            <w:r>
              <w:rPr>
                <w:rFonts w:hint="eastAsia" w:ascii="宋体" w:hAnsi="宋体"/>
                <w:b/>
                <w:color w:val="auto"/>
                <w:szCs w:val="21"/>
                <w:highlight w:val="none"/>
              </w:rPr>
              <w:t>担保机构出具</w:t>
            </w:r>
            <w:r>
              <w:rPr>
                <w:rFonts w:hint="eastAsia" w:ascii="宋体" w:hAnsi="宋体"/>
                <w:b/>
                <w:bCs/>
                <w:color w:val="auto"/>
                <w:szCs w:val="21"/>
                <w:highlight w:val="none"/>
              </w:rPr>
              <w:t>的保函原件（电子保函的打印保函并加盖供应商公章）等单独密封提交给采购代理机构</w:t>
            </w:r>
            <w:r>
              <w:rPr>
                <w:rFonts w:hint="eastAsia" w:ascii="宋体" w:hAnsi="宋体" w:cs="宋体"/>
                <w:b/>
                <w:color w:val="auto"/>
                <w:szCs w:val="21"/>
                <w:highlight w:val="none"/>
              </w:rPr>
              <w:t>，由采购代理机构向供应商出具回执，并妥善保管，否则响应文件按无效响应处理。联系人：黄柳娜  联系电话：0771-2023496。</w:t>
            </w:r>
          </w:p>
          <w:p w14:paraId="6479EE56">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2338F9ED">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14:paraId="564CF817">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14:paraId="4147C2B9">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41F1D078">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7BD35DB3">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5、采用金融、担保机构出具保函的，必须为无条件保函，否则视为无效磋商保证金。</w:t>
            </w:r>
          </w:p>
          <w:p w14:paraId="3F402C6B">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6、保证金凭证应注明正确的项目编号、分标号（如有）等信息，否则，信息不明确或有误的将可能被视为无效磋商保证金，并有可能影响保证金的及时退付。</w:t>
            </w:r>
          </w:p>
        </w:tc>
      </w:tr>
      <w:tr w14:paraId="69223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346A37B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18.2</w:t>
            </w:r>
          </w:p>
        </w:tc>
        <w:tc>
          <w:tcPr>
            <w:tcW w:w="8627" w:type="dxa"/>
            <w:vAlign w:val="center"/>
          </w:tcPr>
          <w:p w14:paraId="33A95F32">
            <w:pPr>
              <w:spacing w:line="360" w:lineRule="auto"/>
              <w:rPr>
                <w:rFonts w:ascii="宋体" w:hAnsi="宋体" w:cs="宋体"/>
                <w:color w:val="auto"/>
                <w:szCs w:val="21"/>
                <w:highlight w:val="none"/>
              </w:rPr>
            </w:pPr>
            <w:r>
              <w:rPr>
                <w:rFonts w:hint="eastAsia" w:ascii="宋体" w:hAnsi="宋体" w:cs="宋体"/>
                <w:color w:val="auto"/>
                <w:szCs w:val="21"/>
                <w:highlight w:val="none"/>
              </w:rPr>
              <w:t>响应文件应按资格证明文件、报价商务技术文件分别编制，并按广西政府采购云平台的要求编制、加密、上传。</w:t>
            </w:r>
          </w:p>
        </w:tc>
      </w:tr>
      <w:tr w14:paraId="71162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249DB3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8627" w:type="dxa"/>
            <w:vAlign w:val="center"/>
          </w:tcPr>
          <w:p w14:paraId="035970BD">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首次响应文件提交截止时间：详见竞争性磋商公告。</w:t>
            </w:r>
          </w:p>
          <w:p w14:paraId="16B18D70">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tc>
      </w:tr>
      <w:tr w14:paraId="62292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576EE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8627" w:type="dxa"/>
            <w:vAlign w:val="center"/>
          </w:tcPr>
          <w:p w14:paraId="10692EF7">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磋商小组的人数：3人。</w:t>
            </w:r>
          </w:p>
        </w:tc>
      </w:tr>
      <w:tr w14:paraId="1045B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BAF91E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25.2</w:t>
            </w:r>
          </w:p>
        </w:tc>
        <w:tc>
          <w:tcPr>
            <w:tcW w:w="8627" w:type="dxa"/>
            <w:vAlign w:val="center"/>
          </w:tcPr>
          <w:p w14:paraId="5E74324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p>
        </w:tc>
      </w:tr>
      <w:tr w14:paraId="4861C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03C0456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8627" w:type="dxa"/>
            <w:vAlign w:val="center"/>
          </w:tcPr>
          <w:p w14:paraId="5335918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各分标商务要求评审中允许负偏离的条款数为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1039608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各分标技术要求评审中允许负偏离的条款数为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7EF8E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92" w:type="dxa"/>
            <w:vMerge w:val="continue"/>
            <w:vAlign w:val="center"/>
          </w:tcPr>
          <w:p w14:paraId="07AE1959">
            <w:pPr>
              <w:spacing w:line="360" w:lineRule="auto"/>
              <w:jc w:val="center"/>
              <w:rPr>
                <w:rFonts w:ascii="宋体" w:hAnsi="宋体" w:cs="宋体"/>
                <w:color w:val="auto"/>
                <w:szCs w:val="21"/>
                <w:highlight w:val="none"/>
              </w:rPr>
            </w:pPr>
          </w:p>
        </w:tc>
        <w:tc>
          <w:tcPr>
            <w:tcW w:w="8627" w:type="dxa"/>
            <w:vAlign w:val="center"/>
          </w:tcPr>
          <w:p w14:paraId="1A690D5E">
            <w:pPr>
              <w:pStyle w:val="13"/>
              <w:spacing w:line="320" w:lineRule="exact"/>
              <w:jc w:val="both"/>
              <w:rPr>
                <w:rFonts w:ascii="宋体" w:hAnsi="宋体" w:cs="宋体"/>
                <w:color w:val="auto"/>
                <w:szCs w:val="21"/>
                <w:highlight w:val="none"/>
              </w:rPr>
            </w:pPr>
            <w:r>
              <w:rPr>
                <w:rFonts w:hint="eastAsia" w:ascii="宋体" w:hAnsi="宋体" w:cs="宋体"/>
                <w:color w:val="auto"/>
                <w:szCs w:val="21"/>
                <w:highlight w:val="none"/>
              </w:rPr>
              <w:t>磋商的顺序：按“广西政府采购云平台”系统的编号顺序。</w:t>
            </w:r>
          </w:p>
          <w:p w14:paraId="5307C737">
            <w:pPr>
              <w:pStyle w:val="13"/>
              <w:spacing w:line="360" w:lineRule="auto"/>
              <w:jc w:val="both"/>
              <w:rPr>
                <w:rFonts w:ascii="宋体" w:hAnsi="宋体" w:cs="宋体"/>
                <w:b/>
                <w:color w:val="auto"/>
                <w:szCs w:val="21"/>
                <w:highlight w:val="none"/>
              </w:rPr>
            </w:pPr>
            <w:r>
              <w:rPr>
                <w:rFonts w:hint="eastAsia" w:ascii="宋体" w:hAnsi="宋体" w:cs="宋体"/>
                <w:b/>
                <w:color w:val="auto"/>
                <w:szCs w:val="21"/>
                <w:highlight w:val="none"/>
              </w:rPr>
              <w:t>符合磋商资格的供应商必须在接到磋商通知后规定时间内参加磋商，未在规定时间内参加磋商的视同放弃参加磋商权利，其响应文件按无效响应处理。</w:t>
            </w:r>
          </w:p>
          <w:p w14:paraId="16BBD496">
            <w:pPr>
              <w:pStyle w:val="13"/>
              <w:spacing w:line="360" w:lineRule="auto"/>
              <w:jc w:val="both"/>
              <w:rPr>
                <w:rFonts w:ascii="宋体" w:hAnsi="宋体" w:cs="宋体"/>
                <w:b/>
                <w:color w:val="auto"/>
                <w:szCs w:val="21"/>
                <w:highlight w:val="none"/>
              </w:rPr>
            </w:pPr>
            <w:r>
              <w:rPr>
                <w:rFonts w:hint="eastAsia" w:ascii="宋体" w:hAnsi="宋体" w:cs="宋体"/>
                <w:b/>
                <w:color w:val="auto"/>
                <w:szCs w:val="21"/>
                <w:highlight w:val="none"/>
              </w:rPr>
              <w:t>注：参与磋商前，供应商法定代表人或者委托代理人向磋商小组出示本人有效证件原件[有效证件可以是身份证（含临时身份证明）或者护照的其中一项]。</w:t>
            </w:r>
          </w:p>
        </w:tc>
      </w:tr>
      <w:tr w14:paraId="5B09A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BA9C45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28.1</w:t>
            </w:r>
          </w:p>
        </w:tc>
        <w:tc>
          <w:tcPr>
            <w:tcW w:w="8627" w:type="dxa"/>
            <w:vAlign w:val="center"/>
          </w:tcPr>
          <w:p w14:paraId="172B47E4">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1C40C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B58A3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29.1</w:t>
            </w:r>
          </w:p>
        </w:tc>
        <w:tc>
          <w:tcPr>
            <w:tcW w:w="8627" w:type="dxa"/>
            <w:vAlign w:val="center"/>
          </w:tcPr>
          <w:p w14:paraId="7EADC191">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14:paraId="4B4E491E">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1、委托代理人负责签订合同的，须携带授权委托书及委托代理人身份证原件等其他资格证件。</w:t>
            </w:r>
          </w:p>
          <w:p w14:paraId="5689325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2、法定代表人负责签订合同的，须携带法定代表人身份证明原件及身份证原件等其他证明材料。</w:t>
            </w:r>
          </w:p>
        </w:tc>
      </w:tr>
      <w:tr w14:paraId="0B777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A90110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8627" w:type="dxa"/>
            <w:vAlign w:val="center"/>
          </w:tcPr>
          <w:p w14:paraId="1FA244E8">
            <w:pPr>
              <w:pStyle w:val="20"/>
              <w:snapToGrid w:val="0"/>
              <w:spacing w:line="360" w:lineRule="auto"/>
              <w:rPr>
                <w:rFonts w:hAnsi="宋体" w:cs="宋体"/>
                <w:color w:val="auto"/>
                <w:sz w:val="21"/>
                <w:highlight w:val="none"/>
              </w:rPr>
            </w:pPr>
            <w:r>
              <w:rPr>
                <w:rFonts w:hint="eastAsia" w:hAnsi="宋体" w:cs="宋体"/>
                <w:color w:val="auto"/>
                <w:sz w:val="21"/>
                <w:highlight w:val="none"/>
              </w:rPr>
              <w:t>接收质疑函方式：以纸质书面形式。</w:t>
            </w:r>
          </w:p>
          <w:p w14:paraId="029888D8">
            <w:pPr>
              <w:pStyle w:val="20"/>
              <w:snapToGrid w:val="0"/>
              <w:spacing w:line="360" w:lineRule="auto"/>
              <w:rPr>
                <w:rFonts w:hAnsi="宋体" w:cs="宋体"/>
                <w:color w:val="auto"/>
                <w:sz w:val="21"/>
                <w:highlight w:val="none"/>
              </w:rPr>
            </w:pPr>
            <w:r>
              <w:rPr>
                <w:rFonts w:hint="eastAsia" w:hAnsi="宋体" w:cs="宋体"/>
                <w:color w:val="auto"/>
                <w:sz w:val="21"/>
                <w:highlight w:val="none"/>
              </w:rPr>
              <w:t>质疑联系部门及联系方式：广西国泰招标咨询有限公司，质疑联系人：黄柳娜  联系电话：0771-2023496，通讯地址：广西南宁市民族大道141号中鼎万象东方大厦C区六层</w:t>
            </w:r>
          </w:p>
          <w:p w14:paraId="17CF2F7A">
            <w:pPr>
              <w:pStyle w:val="20"/>
              <w:snapToGrid w:val="0"/>
              <w:spacing w:line="360" w:lineRule="auto"/>
              <w:rPr>
                <w:rFonts w:hAnsi="宋体" w:cs="宋体"/>
                <w:color w:val="auto"/>
                <w:highlight w:val="none"/>
              </w:rPr>
            </w:pPr>
            <w:r>
              <w:rPr>
                <w:rFonts w:hint="eastAsia" w:hAnsi="宋体" w:cs="宋体"/>
                <w:color w:val="auto"/>
                <w:sz w:val="21"/>
                <w:highlight w:val="none"/>
              </w:rPr>
              <w:t>现场提交质疑办理业务时间：工作日，上午8:00-12:00；下午15:00-18:00（北京时间）</w:t>
            </w:r>
          </w:p>
        </w:tc>
      </w:tr>
      <w:tr w14:paraId="66B20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7377F60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32.1</w:t>
            </w:r>
          </w:p>
        </w:tc>
        <w:tc>
          <w:tcPr>
            <w:tcW w:w="8627" w:type="dxa"/>
            <w:vAlign w:val="center"/>
          </w:tcPr>
          <w:p w14:paraId="5699E95E">
            <w:pPr>
              <w:pStyle w:val="20"/>
              <w:snapToGrid w:val="0"/>
              <w:spacing w:line="400" w:lineRule="exact"/>
              <w:rPr>
                <w:rFonts w:hAnsi="宋体" w:cs="宋体"/>
                <w:color w:val="auto"/>
                <w:sz w:val="21"/>
                <w:highlight w:val="none"/>
              </w:rPr>
            </w:pPr>
            <w:r>
              <w:rPr>
                <w:rFonts w:hint="eastAsia" w:hAnsi="宋体" w:cs="宋体"/>
                <w:color w:val="auto"/>
                <w:sz w:val="21"/>
                <w:highlight w:val="none"/>
              </w:rPr>
              <w:t>1、采购代理服务费支付方式：</w:t>
            </w:r>
            <w:r>
              <w:rPr>
                <w:rFonts w:hint="eastAsia" w:hAnsi="宋体"/>
                <w:color w:val="auto"/>
                <w:sz w:val="21"/>
                <w:highlight w:val="none"/>
              </w:rPr>
              <w:t>本项目的招标代理服务费按以下收费标准向</w:t>
            </w:r>
            <w:r>
              <w:rPr>
                <w:rFonts w:hint="eastAsia" w:hAnsi="宋体" w:cs="宋体"/>
                <w:color w:val="auto"/>
                <w:sz w:val="21"/>
                <w:highlight w:val="none"/>
              </w:rPr>
              <w:t>成交供应商</w:t>
            </w:r>
            <w:r>
              <w:rPr>
                <w:rFonts w:hint="eastAsia" w:hAnsi="宋体"/>
                <w:color w:val="auto"/>
                <w:sz w:val="21"/>
                <w:highlight w:val="none"/>
              </w:rPr>
              <w:t>收取，领取成交通知书前，</w:t>
            </w:r>
            <w:r>
              <w:rPr>
                <w:rFonts w:hint="eastAsia" w:hAnsi="宋体" w:cs="宋体"/>
                <w:color w:val="auto"/>
                <w:sz w:val="21"/>
                <w:highlight w:val="none"/>
              </w:rPr>
              <w:t>成交供应商</w:t>
            </w:r>
            <w:r>
              <w:rPr>
                <w:rFonts w:hint="eastAsia" w:hAnsi="宋体"/>
                <w:color w:val="auto"/>
                <w:sz w:val="21"/>
                <w:highlight w:val="none"/>
              </w:rPr>
              <w:t>应向采购代理机构一次付清招标代理服务费，否则采购代理机构有权不予以办理。</w:t>
            </w:r>
          </w:p>
          <w:p w14:paraId="07F830B6">
            <w:pPr>
              <w:pStyle w:val="20"/>
              <w:snapToGrid w:val="0"/>
              <w:spacing w:line="400" w:lineRule="exact"/>
              <w:rPr>
                <w:rFonts w:hAnsi="宋体" w:cs="宋体"/>
                <w:color w:val="auto"/>
                <w:sz w:val="21"/>
                <w:highlight w:val="none"/>
              </w:rPr>
            </w:pPr>
            <w:r>
              <w:rPr>
                <w:rFonts w:hint="eastAsia" w:hAnsi="宋体" w:cs="宋体"/>
                <w:color w:val="auto"/>
                <w:sz w:val="21"/>
                <w:highlight w:val="none"/>
              </w:rPr>
              <w:t>2、采购代理服务费收取标准：以各</w:t>
            </w:r>
            <w:r>
              <w:rPr>
                <w:rFonts w:hAnsi="宋体" w:cs="宋体"/>
                <w:color w:val="auto"/>
                <w:sz w:val="21"/>
                <w:highlight w:val="none"/>
              </w:rPr>
              <w:t>分标</w:t>
            </w:r>
            <w:r>
              <w:rPr>
                <w:rFonts w:hint="eastAsia" w:hAnsi="宋体" w:cs="宋体"/>
                <w:color w:val="auto"/>
                <w:sz w:val="21"/>
                <w:highlight w:val="none"/>
              </w:rPr>
              <w:t>成交金额为计费额，按本须知正文第</w:t>
            </w:r>
            <w:r>
              <w:rPr>
                <w:rFonts w:hAnsi="宋体" w:cs="宋体"/>
                <w:color w:val="auto"/>
                <w:sz w:val="21"/>
                <w:highlight w:val="none"/>
              </w:rPr>
              <w:t>32</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w:t>
            </w:r>
            <w:r>
              <w:rPr>
                <w:rFonts w:hint="eastAsia" w:hAnsi="宋体" w:cs="宋体"/>
                <w:b/>
                <w:color w:val="auto"/>
                <w:sz w:val="21"/>
                <w:highlight w:val="none"/>
              </w:rPr>
              <w:t>服务类</w:t>
            </w:r>
            <w:r>
              <w:rPr>
                <w:rFonts w:hint="eastAsia" w:hAnsi="宋体" w:cs="宋体"/>
                <w:color w:val="auto"/>
                <w:sz w:val="21"/>
                <w:highlight w:val="none"/>
              </w:rPr>
              <w:t>）采用差额定率累进法计算出收费基准价格，采购代理服务费收费按收费基准价格收取。</w:t>
            </w:r>
          </w:p>
          <w:p w14:paraId="6F5D1E92">
            <w:pPr>
              <w:pStyle w:val="20"/>
              <w:snapToGrid w:val="0"/>
              <w:spacing w:line="400" w:lineRule="exact"/>
              <w:rPr>
                <w:rFonts w:hAnsi="宋体" w:cs="宋体"/>
                <w:color w:val="auto"/>
                <w:sz w:val="21"/>
                <w:highlight w:val="none"/>
              </w:rPr>
            </w:pPr>
            <w:r>
              <w:rPr>
                <w:rFonts w:hint="eastAsia" w:hAnsi="宋体" w:cs="宋体"/>
                <w:color w:val="auto"/>
                <w:sz w:val="21"/>
                <w:highlight w:val="none"/>
              </w:rPr>
              <w:t>3、代理服务费缴费账户信息：</w:t>
            </w:r>
          </w:p>
          <w:p w14:paraId="68C25DFC">
            <w:pPr>
              <w:pStyle w:val="20"/>
              <w:snapToGrid w:val="0"/>
              <w:spacing w:line="400" w:lineRule="exact"/>
              <w:rPr>
                <w:rFonts w:hAnsi="宋体" w:cs="宋体"/>
                <w:color w:val="auto"/>
                <w:sz w:val="21"/>
                <w:highlight w:val="none"/>
              </w:rPr>
            </w:pPr>
            <w:r>
              <w:rPr>
                <w:rFonts w:hint="eastAsia" w:hAnsi="宋体" w:cs="宋体"/>
                <w:color w:val="auto"/>
                <w:sz w:val="21"/>
                <w:highlight w:val="none"/>
              </w:rPr>
              <w:t>开户名称：广西国泰招标咨询有限公司南宁第五分公司</w:t>
            </w:r>
          </w:p>
          <w:p w14:paraId="171E471F">
            <w:pPr>
              <w:pStyle w:val="20"/>
              <w:snapToGrid w:val="0"/>
              <w:spacing w:line="400" w:lineRule="exact"/>
              <w:rPr>
                <w:rFonts w:hAnsi="宋体" w:cs="宋体"/>
                <w:color w:val="auto"/>
                <w:sz w:val="21"/>
                <w:highlight w:val="none"/>
              </w:rPr>
            </w:pPr>
            <w:r>
              <w:rPr>
                <w:rFonts w:hint="eastAsia" w:hAnsi="宋体" w:cs="宋体"/>
                <w:color w:val="auto"/>
                <w:sz w:val="21"/>
                <w:highlight w:val="none"/>
              </w:rPr>
              <w:t>开户银行：广西北部湾银行股份有限公司南宁市云景支行</w:t>
            </w:r>
          </w:p>
          <w:p w14:paraId="72A60546">
            <w:pPr>
              <w:pStyle w:val="20"/>
              <w:snapToGrid w:val="0"/>
              <w:spacing w:line="400" w:lineRule="exact"/>
              <w:rPr>
                <w:rFonts w:hAnsi="宋体" w:cs="宋体"/>
                <w:color w:val="auto"/>
                <w:sz w:val="21"/>
                <w:highlight w:val="none"/>
              </w:rPr>
            </w:pPr>
            <w:r>
              <w:rPr>
                <w:rFonts w:hint="eastAsia" w:hAnsi="宋体" w:cs="宋体"/>
                <w:color w:val="auto"/>
                <w:sz w:val="21"/>
                <w:highlight w:val="none"/>
              </w:rPr>
              <w:t>银行账号：805022302700001</w:t>
            </w:r>
          </w:p>
        </w:tc>
      </w:tr>
      <w:tr w14:paraId="3C2EB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25A4DE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33.1</w:t>
            </w:r>
          </w:p>
        </w:tc>
        <w:tc>
          <w:tcPr>
            <w:tcW w:w="8627" w:type="dxa"/>
            <w:vAlign w:val="center"/>
          </w:tcPr>
          <w:p w14:paraId="421E4BC2">
            <w:pPr>
              <w:pStyle w:val="20"/>
              <w:snapToGrid w:val="0"/>
              <w:spacing w:line="360" w:lineRule="auto"/>
              <w:rPr>
                <w:rFonts w:hAnsi="宋体" w:cs="宋体"/>
                <w:color w:val="auto"/>
                <w:kern w:val="2"/>
                <w:sz w:val="21"/>
                <w:highlight w:val="none"/>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61044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425ED78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33.2</w:t>
            </w:r>
          </w:p>
        </w:tc>
        <w:tc>
          <w:tcPr>
            <w:tcW w:w="8627" w:type="dxa"/>
            <w:vAlign w:val="center"/>
          </w:tcPr>
          <w:p w14:paraId="018E9C8C">
            <w:pPr>
              <w:pStyle w:val="20"/>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34129659">
            <w:pPr>
              <w:pStyle w:val="20"/>
              <w:snapToGrid w:val="0"/>
              <w:spacing w:line="360" w:lineRule="auto"/>
              <w:rPr>
                <w:rFonts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3BCACBD5">
            <w:pPr>
              <w:pStyle w:val="20"/>
              <w:snapToGrid w:val="0"/>
              <w:spacing w:line="360" w:lineRule="auto"/>
              <w:rPr>
                <w:rFonts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3、本磋商文件中描述供应商的“签字”是指供应商的法定代表人或者委托代理人在文件规定签署处签名（</w:t>
            </w:r>
            <w:r>
              <w:rPr>
                <w:rFonts w:hint="eastAsia" w:hAnsi="宋体" w:cs="宋体"/>
                <w:bCs/>
                <w:color w:val="auto"/>
                <w:sz w:val="21"/>
                <w:highlight w:val="none"/>
              </w:rPr>
              <w:t>含电子签署形式</w:t>
            </w:r>
            <w:r>
              <w:rPr>
                <w:rFonts w:hint="eastAsia" w:hAnsi="宋体" w:cs="宋体"/>
                <w:color w:val="auto"/>
                <w:sz w:val="21"/>
                <w:highlight w:val="none"/>
              </w:rPr>
              <w:t>）的行为，私章、印鉴等其他形式均不能代替签字。</w:t>
            </w:r>
          </w:p>
          <w:p w14:paraId="05D5275B">
            <w:pPr>
              <w:pStyle w:val="20"/>
              <w:snapToGrid w:val="0"/>
              <w:spacing w:line="360" w:lineRule="auto"/>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7879A907">
            <w:pPr>
              <w:pStyle w:val="20"/>
              <w:snapToGrid w:val="0"/>
              <w:spacing w:line="360" w:lineRule="auto"/>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w:t>
            </w:r>
          </w:p>
          <w:p w14:paraId="749631A0">
            <w:pPr>
              <w:pStyle w:val="20"/>
              <w:snapToGrid w:val="0"/>
              <w:spacing w:line="360" w:lineRule="auto"/>
              <w:rPr>
                <w:rFonts w:hAnsi="宋体" w:cs="宋体"/>
                <w:color w:val="auto"/>
                <w:sz w:val="21"/>
                <w:highlight w:val="none"/>
              </w:rPr>
            </w:pPr>
            <w:r>
              <w:rPr>
                <w:rFonts w:hint="eastAsia" w:hAnsi="宋体" w:cs="宋体"/>
                <w:color w:val="auto"/>
                <w:sz w:val="21"/>
                <w:highlight w:val="none"/>
              </w:rPr>
              <w:t>过”“以外”，不包括本数。</w:t>
            </w:r>
          </w:p>
        </w:tc>
      </w:tr>
      <w:tr w14:paraId="3CC04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7CA00A79">
            <w:pPr>
              <w:spacing w:line="360" w:lineRule="auto"/>
              <w:jc w:val="center"/>
              <w:rPr>
                <w:rFonts w:ascii="宋体" w:hAnsi="宋体" w:cs="宋体"/>
                <w:color w:val="auto"/>
                <w:szCs w:val="21"/>
                <w:highlight w:val="none"/>
              </w:rPr>
            </w:pPr>
          </w:p>
        </w:tc>
        <w:tc>
          <w:tcPr>
            <w:tcW w:w="8627" w:type="dxa"/>
            <w:tcBorders>
              <w:top w:val="single" w:color="000000" w:sz="4" w:space="0"/>
              <w:left w:val="single" w:color="000000" w:sz="4" w:space="0"/>
              <w:bottom w:val="single" w:color="000000" w:sz="4" w:space="0"/>
              <w:right w:val="single" w:color="000000" w:sz="4" w:space="0"/>
            </w:tcBorders>
            <w:vAlign w:val="center"/>
          </w:tcPr>
          <w:p w14:paraId="337F2F52">
            <w:pPr>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供应商提供的响应文件资料必须是真实有效的，如存在提供虚假材料的情况，竞标无效，并没收竞标保证金；并按照中华人民共和国政府采购法及相关规定处理。给采购人造成损失的,依法承担赔偿责任；构成犯罪的，依法追究刑事责任。</w:t>
            </w:r>
          </w:p>
        </w:tc>
      </w:tr>
    </w:tbl>
    <w:p w14:paraId="0E2FDC33">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供应商须知正文</w:t>
      </w:r>
    </w:p>
    <w:p w14:paraId="440E0C1A">
      <w:pPr>
        <w:spacing w:line="400" w:lineRule="exact"/>
        <w:jc w:val="center"/>
        <w:rPr>
          <w:rFonts w:ascii="宋体" w:hAnsi="宋体" w:cs="宋体"/>
          <w:b/>
          <w:color w:val="auto"/>
          <w:sz w:val="32"/>
          <w:szCs w:val="32"/>
          <w:highlight w:val="none"/>
        </w:rPr>
      </w:pPr>
    </w:p>
    <w:p w14:paraId="291749F4">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一、总则</w:t>
      </w:r>
    </w:p>
    <w:p w14:paraId="17677725">
      <w:pPr>
        <w:spacing w:line="400" w:lineRule="exact"/>
        <w:rPr>
          <w:rFonts w:ascii="宋体" w:hAnsi="宋体" w:cs="宋体"/>
          <w:color w:val="auto"/>
          <w:szCs w:val="21"/>
          <w:highlight w:val="none"/>
        </w:rPr>
      </w:pPr>
    </w:p>
    <w:p w14:paraId="7BABB41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621845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6C819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728298C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4CF3E1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2F6C279F">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0FE453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5F9EA0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7DA8CD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1B59AA4D">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36E9B95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0AF52A8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27A7E680">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2ED617FD">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2.10“负偏离”，是指响应文件对磋商文件“采购需求”中有关条款作出的响应不满足条款要求，导致采购人要求不能得到满足的情形。</w:t>
      </w:r>
    </w:p>
    <w:p w14:paraId="218C04CD">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20B38314">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1170FB8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1101FC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341B105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4.竞标费用</w:t>
      </w:r>
    </w:p>
    <w:p w14:paraId="24503D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23DA71E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32A480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3B93DA6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6A75D1E0">
      <w:pPr>
        <w:pStyle w:val="6"/>
        <w:keepNext w:val="0"/>
        <w:keepLines w:val="0"/>
        <w:spacing w:before="0" w:after="0" w:line="360" w:lineRule="auto"/>
        <w:ind w:left="420" w:leftChars="200"/>
        <w:rPr>
          <w:rFonts w:ascii="宋体" w:hAnsi="宋体" w:cs="宋体"/>
          <w:b w:val="0"/>
          <w:color w:val="auto"/>
          <w:sz w:val="21"/>
          <w:szCs w:val="21"/>
          <w:highlight w:val="none"/>
        </w:rPr>
      </w:pPr>
      <w:bookmarkStart w:id="24" w:name="_Toc254970673"/>
      <w:bookmarkStart w:id="25" w:name="_Toc254970532"/>
      <w:r>
        <w:rPr>
          <w:rFonts w:hint="eastAsia" w:ascii="宋体" w:hAnsi="宋体" w:cs="宋体"/>
          <w:b w:val="0"/>
          <w:color w:val="auto"/>
          <w:sz w:val="21"/>
          <w:szCs w:val="21"/>
          <w:highlight w:val="none"/>
        </w:rPr>
        <w:t>6.1本项目不允许转包。</w:t>
      </w:r>
    </w:p>
    <w:p w14:paraId="24CB01C9">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5F496FDD">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06A3F83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7.特别说明</w:t>
      </w:r>
      <w:bookmarkEnd w:id="24"/>
      <w:bookmarkEnd w:id="25"/>
    </w:p>
    <w:p w14:paraId="4D3E6475">
      <w:pPr>
        <w:spacing w:line="360" w:lineRule="auto"/>
        <w:ind w:firstLine="420" w:firstLineChars="200"/>
        <w:rPr>
          <w:rFonts w:ascii="宋体" w:hAnsi="宋体" w:cs="宋体"/>
          <w:color w:val="auto"/>
          <w:szCs w:val="21"/>
          <w:highlight w:val="none"/>
        </w:rPr>
      </w:pPr>
      <w:bookmarkStart w:id="26" w:name="_8.1提供相同品牌产品且通过资格审查、符合性审查的不同投标人参加同一合"/>
      <w:bookmarkEnd w:id="26"/>
      <w:r>
        <w:rPr>
          <w:rFonts w:hint="eastAsia" w:ascii="宋体" w:hAnsi="宋体" w:cs="宋体"/>
          <w:color w:val="auto"/>
          <w:szCs w:val="21"/>
          <w:highlight w:val="none"/>
        </w:rPr>
        <w:t>7.1</w:t>
      </w:r>
      <w:bookmarkStart w:id="27"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27"/>
    <w:p w14:paraId="17F24F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701A85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7.3供应商在竞标活动中提供任何疑似虚假材料，将报监管部门查处；签订合同后发现的，成交供应商须依法赔偿采购人，且民事赔偿并不免除违法供应商的行政与刑事责任。</w:t>
      </w:r>
    </w:p>
    <w:p w14:paraId="25B5F9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19F1DE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5604D2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599A26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35D576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3E4CE0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3196EC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02BF6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26BC81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369AEE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4A1484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5A1C1C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76E50C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7FC5AF81">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0415B6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725133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0E20F1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7EB820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D7789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5052B5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5ACAE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4C32EB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119FD59D">
      <w:pPr>
        <w:spacing w:line="360" w:lineRule="auto"/>
        <w:ind w:firstLine="420" w:firstLineChars="200"/>
        <w:rPr>
          <w:rFonts w:ascii="宋体" w:hAnsi="宋体" w:cs="宋体"/>
          <w:color w:val="auto"/>
          <w:szCs w:val="21"/>
          <w:highlight w:val="none"/>
        </w:rPr>
      </w:pPr>
    </w:p>
    <w:p w14:paraId="1A716AB0">
      <w:pPr>
        <w:spacing w:line="360" w:lineRule="auto"/>
        <w:ind w:left="1" w:firstLine="417" w:firstLineChars="199"/>
        <w:jc w:val="center"/>
        <w:rPr>
          <w:rFonts w:ascii="宋体" w:hAnsi="宋体" w:cs="宋体"/>
          <w:color w:val="auto"/>
          <w:highlight w:val="none"/>
        </w:rPr>
      </w:pPr>
      <w:bookmarkStart w:id="28" w:name="_Toc254970675"/>
      <w:bookmarkStart w:id="29" w:name="_Toc254970534"/>
    </w:p>
    <w:p w14:paraId="227C9BBE">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二、磋商文件</w:t>
      </w:r>
      <w:bookmarkEnd w:id="28"/>
      <w:bookmarkEnd w:id="29"/>
    </w:p>
    <w:p w14:paraId="18687A32">
      <w:pPr>
        <w:spacing w:line="360" w:lineRule="auto"/>
        <w:ind w:firstLine="482" w:firstLineChars="200"/>
        <w:rPr>
          <w:rFonts w:ascii="宋体" w:hAnsi="宋体" w:cs="宋体"/>
          <w:b/>
          <w:bCs/>
          <w:color w:val="auto"/>
          <w:sz w:val="24"/>
          <w:highlight w:val="none"/>
        </w:rPr>
      </w:pPr>
    </w:p>
    <w:p w14:paraId="32E7AC8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69D7572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（1）竞争性磋商公告；</w:t>
      </w:r>
    </w:p>
    <w:p w14:paraId="10608DD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（2）供应商须知； </w:t>
      </w:r>
    </w:p>
    <w:p w14:paraId="468C968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（3）采购需求；</w:t>
      </w:r>
    </w:p>
    <w:p w14:paraId="731BA26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（4）评审程序、评审方法和评审标准；</w:t>
      </w:r>
    </w:p>
    <w:p w14:paraId="2524187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（5）响应文件格式；</w:t>
      </w:r>
    </w:p>
    <w:p w14:paraId="196DBAD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（6）合同文本。</w:t>
      </w:r>
    </w:p>
    <w:p w14:paraId="7BAB432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01B2AA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14:paraId="77E7D47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5D2A18E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5日前，在原公告发布媒体上发布更正公告；不足5日的，采购人、采购代理机构应当顺延提交首次响应文件截止时间。</w:t>
      </w:r>
    </w:p>
    <w:p w14:paraId="7D7245C8">
      <w:pPr>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rPr>
        <w:t>10.2采购人和采购代理机构可以视采购具体情况，变更</w:t>
      </w:r>
      <w:r>
        <w:rPr>
          <w:rFonts w:hint="eastAsia" w:ascii="宋体" w:hAnsi="宋体" w:cs="宋体"/>
          <w:color w:val="auto"/>
          <w:szCs w:val="21"/>
          <w:highlight w:val="none"/>
        </w:rPr>
        <w:t>首次响应文件提交截止时间和开启时间</w:t>
      </w:r>
      <w:r>
        <w:rPr>
          <w:rFonts w:hint="eastAsia" w:ascii="宋体" w:hAnsi="宋体" w:cs="宋体"/>
          <w:color w:val="auto"/>
          <w:highlight w:val="none"/>
        </w:rPr>
        <w:t>，并</w:t>
      </w:r>
      <w:r>
        <w:rPr>
          <w:rFonts w:hint="eastAsia" w:ascii="宋体" w:hAnsi="宋体" w:cs="宋体"/>
          <w:color w:val="auto"/>
          <w:szCs w:val="21"/>
          <w:highlight w:val="none"/>
        </w:rPr>
        <w:t>在原公告发布媒体上发布更正公告。</w:t>
      </w:r>
    </w:p>
    <w:p w14:paraId="68A9A47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10.3</w:t>
      </w:r>
      <w:r>
        <w:rPr>
          <w:rFonts w:hint="eastAsia" w:ascii="宋体" w:hAnsi="宋体" w:cs="宋体"/>
          <w:color w:val="auto"/>
          <w:szCs w:val="21"/>
          <w:highlight w:val="none"/>
        </w:rPr>
        <w:t>磋商文件澄清、答复、修改、补充的内容为磋商文件的组成部分。</w:t>
      </w:r>
      <w:r>
        <w:rPr>
          <w:rFonts w:hint="eastAsia" w:ascii="宋体" w:hAnsi="宋体" w:cs="宋体"/>
          <w:b/>
          <w:color w:val="auto"/>
          <w:szCs w:val="21"/>
          <w:highlight w:val="none"/>
        </w:rPr>
        <w:t>当磋商文件与磋商文件的澄清、答复、修改、补充通知就同一内容的表述不一致时，以最后发出的文件为准。</w:t>
      </w:r>
    </w:p>
    <w:p w14:paraId="33FD6FD2">
      <w:pPr>
        <w:spacing w:line="400" w:lineRule="exact"/>
        <w:ind w:firstLine="422" w:firstLineChars="200"/>
        <w:rPr>
          <w:rFonts w:ascii="宋体" w:hAnsi="宋体" w:cs="宋体"/>
          <w:b/>
          <w:color w:val="auto"/>
          <w:szCs w:val="21"/>
          <w:highlight w:val="none"/>
        </w:rPr>
      </w:pPr>
      <w:r>
        <w:rPr>
          <w:rFonts w:hint="eastAsia" w:ascii="宋体" w:hAnsi="宋体" w:cs="宋体"/>
          <w:b/>
          <w:color w:val="auto"/>
          <w:highlight w:val="none"/>
        </w:rPr>
        <w:t>10.4</w:t>
      </w:r>
      <w:r>
        <w:rPr>
          <w:rFonts w:hint="eastAsia" w:ascii="宋体" w:hAnsi="宋体" w:cs="宋体"/>
          <w:b/>
          <w:color w:val="auto"/>
          <w:szCs w:val="21"/>
          <w:highlight w:val="none"/>
        </w:rPr>
        <w:t>响应文件未按磋商文件的澄清、修改后的内容编制的，其响应文件作无效响应处理。</w:t>
      </w:r>
    </w:p>
    <w:p w14:paraId="2B87C00C">
      <w:pPr>
        <w:spacing w:line="400" w:lineRule="exact"/>
        <w:ind w:firstLine="422" w:firstLineChars="200"/>
        <w:rPr>
          <w:rFonts w:ascii="宋体" w:hAnsi="宋体" w:cs="宋体"/>
          <w:b/>
          <w:color w:val="auto"/>
          <w:szCs w:val="21"/>
          <w:highlight w:val="none"/>
        </w:rPr>
      </w:pPr>
    </w:p>
    <w:p w14:paraId="35B6135E">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三、响应文件的编制</w:t>
      </w:r>
    </w:p>
    <w:p w14:paraId="243EC24F">
      <w:pPr>
        <w:spacing w:line="360" w:lineRule="auto"/>
        <w:ind w:firstLine="482" w:firstLineChars="200"/>
        <w:rPr>
          <w:rFonts w:ascii="宋体" w:hAnsi="宋体" w:cs="宋体"/>
          <w:b/>
          <w:bCs/>
          <w:color w:val="auto"/>
          <w:sz w:val="24"/>
          <w:highlight w:val="none"/>
        </w:rPr>
      </w:pPr>
    </w:p>
    <w:p w14:paraId="73A70B9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2510A6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4B8A776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1D5A65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14:paraId="399CC30A">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09E523AF">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12.1.2报价商务技术文件：详见须知前附表</w:t>
      </w:r>
    </w:p>
    <w:p w14:paraId="3E9C5A3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6E6B36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2F50C9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22A5A6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2E528B4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15.竞标报价</w:t>
      </w:r>
    </w:p>
    <w:p w14:paraId="5A501E47">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72D69381">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27D60839">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081D2DAE">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15.3.1供应商的竞标报价应符合以下要求，否则响应文件按无效响应处理：</w:t>
      </w:r>
    </w:p>
    <w:p w14:paraId="2D00BD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74371C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2601A6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15.3.2最后报价超过所竞标规定的采购预算金额或者最高限价的，其响应文件将按无效响应处理。</w:t>
      </w:r>
      <w:bookmarkStart w:id="30" w:name="_Hlk42592874"/>
    </w:p>
    <w:bookmarkEnd w:id="30"/>
    <w:p w14:paraId="3D86132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7C355F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A645E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143F0D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02ECAAC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34E48791">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69194FF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5720C0A4">
      <w:pPr>
        <w:spacing w:line="360" w:lineRule="auto"/>
        <w:ind w:firstLine="420" w:firstLineChars="200"/>
        <w:rPr>
          <w:rFonts w:ascii="宋体" w:hAnsi="宋体" w:cs="宋体"/>
          <w:color w:val="auto"/>
          <w:szCs w:val="21"/>
          <w:highlight w:val="none"/>
        </w:rPr>
      </w:pPr>
      <w:bookmarkStart w:id="31"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成交供应商的磋商保证金自成交通知书发出之日起5个工作日内退还；</w:t>
      </w:r>
      <w:r>
        <w:rPr>
          <w:rFonts w:hint="eastAsia" w:ascii="宋体" w:hAnsi="宋体" w:cs="宋体"/>
          <w:color w:val="auto"/>
          <w:szCs w:val="21"/>
          <w:highlight w:val="none"/>
        </w:rPr>
        <w:t>成交供应商的磋商保证金自签订合同之日起5个工作日内退还。</w:t>
      </w:r>
      <w:bookmarkEnd w:id="31"/>
      <w:r>
        <w:rPr>
          <w:rFonts w:hint="eastAsia" w:ascii="宋体" w:hAnsi="宋体" w:cs="宋体"/>
          <w:color w:val="auto"/>
          <w:szCs w:val="21"/>
          <w:highlight w:val="none"/>
        </w:rPr>
        <w:t xml:space="preserve"> </w:t>
      </w:r>
    </w:p>
    <w:p w14:paraId="2A953B5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2016AB1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687CC5B3">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（1）供应商在提交首次响应文件截止时间后撤回响应文件的；</w:t>
      </w:r>
    </w:p>
    <w:p w14:paraId="3E6E11D7">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2AF829F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601B44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6B5DD203">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6E6EAED3">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5842C21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640BC113">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18.1供应商应按本磋商文件规定的格式和顺序编制响应文件并标注页码，响应文件内容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pacing w:val="-6"/>
          <w:szCs w:val="21"/>
          <w:highlight w:val="none"/>
        </w:rPr>
        <w:t>后果由供应商承担。</w:t>
      </w:r>
    </w:p>
    <w:p w14:paraId="1453A8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18.2响应文件应按资格证明文件、报价商务技术文件分别编制电子文件，并按“广西政府采购云平台”的要求编制、加密、上传。</w:t>
      </w:r>
    </w:p>
    <w:p w14:paraId="4324BA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32" w:name="_Hlk65832699"/>
      <w:r>
        <w:rPr>
          <w:rFonts w:hint="eastAsia" w:ascii="宋体" w:hAnsi="宋体" w:cs="宋体"/>
          <w:color w:val="auto"/>
          <w:szCs w:val="21"/>
          <w:highlight w:val="none"/>
        </w:rPr>
        <w:t>3响应文件须由供应商在规定位置盖公章并签字</w:t>
      </w:r>
      <w:bookmarkStart w:id="33" w:name="_Hlk65832569"/>
      <w:r>
        <w:rPr>
          <w:rFonts w:hint="eastAsia" w:ascii="宋体" w:hAnsi="宋体" w:cs="宋体"/>
          <w:color w:val="auto"/>
          <w:szCs w:val="21"/>
          <w:highlight w:val="none"/>
        </w:rPr>
        <w:t>（具体以供应商须知前附表或响应文件格式规定为准）</w:t>
      </w:r>
      <w:bookmarkEnd w:id="32"/>
      <w:bookmarkEnd w:id="33"/>
      <w:r>
        <w:rPr>
          <w:rFonts w:hint="eastAsia" w:ascii="宋体" w:hAnsi="宋体" w:cs="宋体"/>
          <w:color w:val="auto"/>
          <w:szCs w:val="21"/>
          <w:highlight w:val="none"/>
        </w:rPr>
        <w:t>，否则其响应文件按无效响应处理。</w:t>
      </w:r>
    </w:p>
    <w:p w14:paraId="1FA7CD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18.4响应文件中标注的供应商名称应与营业执照（事业单位法人证书、执业许可证、自然人身份证）及公章一致，否则其响应文件按无效响应处理。</w:t>
      </w:r>
    </w:p>
    <w:p w14:paraId="476EA9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30ECEF6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19.响应文件的加密、解密</w:t>
      </w:r>
    </w:p>
    <w:p w14:paraId="7DC3F4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19.1电子响应文件编制完成后，供应商应按“广西政府采购云平台”的要求进行加密，并在规定时间内解密，否则，由此产生的后果由供应商自行负责。</w:t>
      </w:r>
    </w:p>
    <w:p w14:paraId="0AC15F4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555904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496240C7">
      <w:pPr>
        <w:widowControl/>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20.2本项目为全流程电子化采购项目，通过“广西政府采购云平台”（https://www.gcy.zfcg.gxzf.gov.cn/）实行在线电子竞标，供应商应先安装“广西政府采购云平台新版客户端”（新版客户端下载路径：请自行前往“广西政府采购云平台”（访问地址http://zfcg.gxzf.gov.cn/）—办事服务—下载专区），并按照本项目竞争性磋商文件和“广西政府采购云平台”的要求编制、加密后在竞标截止时间前通过网络上传至 “广西政府采购云平台”，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竞标具体操作流程。</w:t>
      </w:r>
    </w:p>
    <w:p w14:paraId="5CE22F23">
      <w:pPr>
        <w:pStyle w:val="6"/>
        <w:keepNext w:val="0"/>
        <w:keepLines w:val="0"/>
        <w:spacing w:before="0" w:after="0" w:line="360" w:lineRule="auto"/>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20.3未在规定时间内上传或者未按“广西政府采购云平台”的要求编制、加密的电子响应文件，“广西政府采购云平台”将拒收。</w:t>
      </w:r>
    </w:p>
    <w:p w14:paraId="01AE2B8C">
      <w:pPr>
        <w:pStyle w:val="7"/>
        <w:rPr>
          <w:rFonts w:ascii="宋体" w:hAnsi="宋体" w:cs="宋体"/>
          <w:color w:val="auto"/>
          <w:szCs w:val="21"/>
          <w:highlight w:val="none"/>
        </w:rPr>
      </w:pPr>
      <w:r>
        <w:rPr>
          <w:rFonts w:hint="eastAsia" w:ascii="宋体" w:hAnsi="宋体" w:cs="宋体"/>
          <w:color w:val="auto"/>
          <w:szCs w:val="21"/>
          <w:highlight w:val="none"/>
        </w:rPr>
        <w:t>20.4电子响应文件提交方</w:t>
      </w:r>
      <w:r>
        <w:rPr>
          <w:rFonts w:hint="eastAsia" w:ascii="宋体" w:hAnsi="宋体" w:cs="宋体"/>
          <w:bCs/>
          <w:color w:val="auto"/>
          <w:szCs w:val="21"/>
          <w:highlight w:val="none"/>
        </w:rPr>
        <w:t>式见“竞争性磋商公告”</w:t>
      </w:r>
      <w:r>
        <w:rPr>
          <w:rFonts w:hint="eastAsia" w:ascii="宋体" w:hAnsi="宋体" w:cs="宋体"/>
          <w:color w:val="auto"/>
          <w:szCs w:val="21"/>
          <w:highlight w:val="none"/>
        </w:rPr>
        <w:t>中“四、响应文件提交”。</w:t>
      </w:r>
    </w:p>
    <w:p w14:paraId="3DCA197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326EB5D4">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07D6EEA7">
      <w:pPr>
        <w:spacing w:line="360" w:lineRule="auto"/>
        <w:ind w:firstLine="482" w:firstLineChars="200"/>
        <w:rPr>
          <w:rFonts w:ascii="宋体" w:hAnsi="宋体" w:cs="宋体"/>
          <w:b/>
          <w:bCs/>
          <w:color w:val="auto"/>
          <w:sz w:val="24"/>
          <w:highlight w:val="none"/>
        </w:rPr>
      </w:pPr>
      <w:bookmarkStart w:id="34" w:name="_Hlk45702405"/>
      <w:r>
        <w:rPr>
          <w:rFonts w:hint="eastAsia" w:ascii="宋体" w:hAnsi="宋体" w:cs="宋体"/>
          <w:b/>
          <w:bCs/>
          <w:color w:val="auto"/>
          <w:sz w:val="24"/>
          <w:highlight w:val="none"/>
        </w:rPr>
        <w:t>22. 首次响应文件的退回</w:t>
      </w:r>
    </w:p>
    <w:p w14:paraId="1D32745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14:paraId="2D4F0CD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14:paraId="642E82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23.1供应商在首次响应文件提交截止时间后书面通知采购人、采购代理机构书面撤回响应文件的，将根据本须知正文17.4的规定不予退还其磋商保证金。</w:t>
      </w:r>
    </w:p>
    <w:bookmarkEnd w:id="34"/>
    <w:p w14:paraId="173A68B0">
      <w:pPr>
        <w:spacing w:line="360" w:lineRule="auto"/>
        <w:rPr>
          <w:rFonts w:ascii="宋体" w:hAnsi="宋体" w:cs="宋体"/>
          <w:color w:val="auto"/>
          <w:szCs w:val="21"/>
          <w:highlight w:val="none"/>
        </w:rPr>
      </w:pPr>
    </w:p>
    <w:p w14:paraId="56F1AE47">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四、评审及磋商</w:t>
      </w:r>
    </w:p>
    <w:p w14:paraId="3ACE882F">
      <w:pPr>
        <w:spacing w:line="360" w:lineRule="auto"/>
        <w:ind w:firstLine="482" w:firstLineChars="200"/>
        <w:rPr>
          <w:rFonts w:ascii="宋体" w:hAnsi="宋体" w:cs="宋体"/>
          <w:b/>
          <w:bCs/>
          <w:color w:val="auto"/>
          <w:sz w:val="24"/>
          <w:highlight w:val="none"/>
        </w:rPr>
      </w:pPr>
    </w:p>
    <w:p w14:paraId="383E284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6D7740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D57F4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CD7E6D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3A38E9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6129C4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r>
        <w:rPr>
          <w:rFonts w:hint="eastAsia" w:ascii="宋体" w:hAnsi="宋体" w:cs="宋体"/>
          <w:color w:val="auto"/>
          <w:szCs w:val="21"/>
          <w:highlight w:val="none"/>
        </w:rPr>
        <w:t>（解密异常情况处理：详见本章26.2电子交易活动的中止。）</w:t>
      </w:r>
    </w:p>
    <w:p w14:paraId="4CDDE7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25.3成功解密响应文件的供应商不足3家的，不得磋商。</w:t>
      </w:r>
    </w:p>
    <w:p w14:paraId="6AD0FEB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439979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6126F4A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26.2电子交易活动的中止。采购过程中出现以下情形，导致电子交易平台无法正常运行，或者无法保证电子交易的公平、公正和安全时，采购机构可中止电子交易活动：</w:t>
      </w:r>
    </w:p>
    <w:p w14:paraId="05FDAEC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7B426F9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46B99FB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2C708DB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6FAD7D1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6770180A">
      <w:pPr>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rPr>
        <w:t>26.3出现以上情形，不影响采购公平、公正性的，采购代理机构可以待上述情形消除后继续组织电子交易活动；影响或可能影响采购公平、公正性的，经采购代理机构确认后，应当重新采购。</w:t>
      </w:r>
    </w:p>
    <w:p w14:paraId="03621DB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3A8DD1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796E0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r>
        <w:rPr>
          <w:rFonts w:hint="eastAsia" w:ascii="宋体" w:hAnsi="宋体" w:cs="宋体"/>
          <w:b/>
          <w:color w:val="auto"/>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Cs w:val="21"/>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35" w:name="_Hlk66782294"/>
      <w:r>
        <w:rPr>
          <w:rFonts w:hint="eastAsia" w:ascii="宋体" w:hAnsi="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35"/>
    </w:p>
    <w:p w14:paraId="346D2C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260365D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1EF9B74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28.1 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w:t>
      </w:r>
    </w:p>
    <w:p w14:paraId="5D8EBF69">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28.2在履约保证金退还日期前，若成交供应商的开户名称、开户银行、帐号有变动的，请以书面形式通知履约保证金收取单位，否则由此产生的后果由成交供应商自行承担。</w:t>
      </w:r>
    </w:p>
    <w:p w14:paraId="500E4D3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534FA4F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29.1成交供应商在收到成交通知书（书面或电子）后，应当在签订合同时向采购人出示相关证明材料，具体内容详见 “供应商须知前附表”，经采购人核验合格后方可签订合同（书面或电子）。</w:t>
      </w:r>
    </w:p>
    <w:p w14:paraId="51BFA02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 签订合同时间：按成交通知书规定的时间与采购人签订政府采购合同（最长不能超过25日）。</w:t>
      </w:r>
    </w:p>
    <w:p w14:paraId="3CD0F27F">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29.3成交供应商拒绝与采购人签订合同的，按照本须知正文第27.3条的规定执行。</w:t>
      </w:r>
    </w:p>
    <w:p w14:paraId="562DAE3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24344A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EFE65D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74F32703">
      <w:pPr>
        <w:pStyle w:val="7"/>
        <w:spacing w:line="360" w:lineRule="auto"/>
        <w:rPr>
          <w:rFonts w:ascii="宋体" w:hAnsi="宋体" w:cs="宋体"/>
          <w:color w:val="auto"/>
          <w:szCs w:val="21"/>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auto"/>
          <w:szCs w:val="21"/>
          <w:highlight w:val="none"/>
        </w:rPr>
        <w:t>但答复的内容不得涉及商业秘密</w:t>
      </w:r>
      <w:r>
        <w:rPr>
          <w:rFonts w:hint="eastAsia" w:ascii="宋体" w:hAnsi="宋体" w:cs="宋体"/>
          <w:color w:val="auto"/>
          <w:highlight w:val="none"/>
        </w:rPr>
        <w:t>。</w:t>
      </w:r>
    </w:p>
    <w:p w14:paraId="411A11D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31.2供应商认为磋商文件、采购过程或者成交结果使自己的合法权益受到损害的，应当在知道或者应知其权益受到损害之日起7个工作日内，以纸质书面形式向采购人、采购代理机构提出质疑，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03CB36D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（1）对可以质疑的磋商文件提出质疑的，为收到磋商文件之日或者竞争性磋商公告期限届满之日；</w:t>
      </w:r>
    </w:p>
    <w:p w14:paraId="2CA4688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012FF7F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022E1FA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712AE1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534D895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63C5FD3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5DD0DB1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4317BEB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5AFD3A4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6A17A2B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7DFBB9B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35BDB3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54E714C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（1）对采购文件提出的质疑，依法通过澄清或者修改可以继续开展采购活动的，澄清或者修改采购文件后继续开展采购活动；否则应当修改采购文件后重新开展采购活动。</w:t>
      </w:r>
    </w:p>
    <w:p w14:paraId="78C0614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26917F6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7718D51E">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41A92A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32.其他内容</w:t>
      </w:r>
    </w:p>
    <w:p w14:paraId="1A64640B">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.1代理服务费：代理服务收取标准及缴费账户详见“供应商须知前附表”。</w:t>
      </w:r>
    </w:p>
    <w:p w14:paraId="23AD9824">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F2C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31BEDFEF">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服务类型</w:t>
            </w:r>
          </w:p>
          <w:p w14:paraId="3811E1DD">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67BA359D">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229F2A2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5744449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25F6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C1BBEB9">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1A68139A">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0B895E6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034E02B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5B40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3F68757">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08BEE5D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6FA07D8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250545A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4AA8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F552CCA">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2F2B21AF">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545F34F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6DEF0D0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70C4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DE9B6FF">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14E48C6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74540F4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5FFE5F9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7650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DA2F5ED">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006B78E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1E2392A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178EF9F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0B5D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BDF54F5">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438BAA92">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11EAF60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1E712C2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0D04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420B8FE">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6D0F4424">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1B885F2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5DD2300C">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5E51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AAB3868">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38B6606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2856979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76CBC15C">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4077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91DC327">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034F62F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00E03D7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2D7AD3E8">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73A0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8AB23AF">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67803DF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64BCC33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5F796C78">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4F5A7862">
      <w:pPr>
        <w:spacing w:line="360" w:lineRule="auto"/>
        <w:ind w:firstLine="420" w:firstLineChars="200"/>
        <w:rPr>
          <w:rFonts w:ascii="宋体" w:hAnsi="宋体" w:cs="宋体"/>
          <w:color w:val="auto"/>
          <w:highlight w:val="none"/>
        </w:rPr>
      </w:pPr>
    </w:p>
    <w:p w14:paraId="4C233AF2">
      <w:pPr>
        <w:spacing w:line="360" w:lineRule="auto"/>
        <w:ind w:firstLine="420" w:firstLineChars="200"/>
        <w:rPr>
          <w:rFonts w:ascii="宋体" w:hAnsi="宋体" w:cs="宋体"/>
          <w:color w:val="auto"/>
          <w:highlight w:val="none"/>
        </w:rPr>
      </w:pPr>
    </w:p>
    <w:p w14:paraId="2B6528DC">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2C26BF0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w:t>
      </w:r>
      <w:r>
        <w:rPr>
          <w:rFonts w:hint="eastAsia" w:ascii="宋体" w:hAnsi="宋体" w:cs="宋体"/>
          <w:color w:val="auto"/>
          <w:szCs w:val="21"/>
          <w:highlight w:val="none"/>
        </w:rPr>
        <w:t>金额</w:t>
      </w:r>
      <w:r>
        <w:rPr>
          <w:rFonts w:ascii="宋体" w:hAnsi="宋体" w:cs="宋体"/>
          <w:color w:val="auto"/>
          <w:highlight w:val="none"/>
        </w:rPr>
        <w:t>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1527C30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77360F92">
      <w:pPr>
        <w:spacing w:line="360" w:lineRule="auto"/>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3BDA6A46">
      <w:pPr>
        <w:spacing w:line="360" w:lineRule="auto"/>
        <w:ind w:firstLine="420" w:firstLineChars="200"/>
        <w:rPr>
          <w:rFonts w:ascii="宋体" w:hAnsi="宋体" w:cs="宋体"/>
          <w:color w:val="auto"/>
          <w:highlight w:val="none"/>
        </w:rPr>
      </w:pPr>
      <w:r>
        <w:rPr>
          <w:rFonts w:ascii="宋体" w:hAnsi="宋体" w:cs="宋体"/>
          <w:color w:val="auto"/>
          <w:highlight w:val="none"/>
        </w:rPr>
        <w:t>100 万元 ×l.5 %＝ 1.5 万元</w:t>
      </w:r>
    </w:p>
    <w:p w14:paraId="059D3DA5">
      <w:pPr>
        <w:spacing w:line="360" w:lineRule="auto"/>
        <w:ind w:firstLine="420" w:firstLineChars="200"/>
        <w:rPr>
          <w:rFonts w:ascii="宋体" w:hAnsi="宋体" w:cs="宋体"/>
          <w:color w:val="auto"/>
          <w:highlight w:val="none"/>
        </w:rPr>
      </w:pPr>
      <w:r>
        <w:rPr>
          <w:rFonts w:ascii="宋体" w:hAnsi="宋体" w:cs="宋体"/>
          <w:color w:val="auto"/>
          <w:highlight w:val="none"/>
        </w:rPr>
        <w:t>（ 150 － 100 ）万元 ×0.8%＝ 0.4万元</w:t>
      </w:r>
    </w:p>
    <w:p w14:paraId="7FC972DC">
      <w:pPr>
        <w:spacing w:line="360" w:lineRule="auto"/>
        <w:ind w:firstLine="420" w:firstLineChars="200"/>
        <w:rPr>
          <w:rFonts w:ascii="宋体" w:hAnsi="宋体" w:cs="宋体"/>
          <w:color w:val="auto"/>
          <w:highlight w:val="none"/>
        </w:rPr>
      </w:pPr>
      <w:r>
        <w:rPr>
          <w:rFonts w:ascii="宋体" w:hAnsi="宋体" w:cs="宋体"/>
          <w:color w:val="auto"/>
          <w:highlight w:val="none"/>
        </w:rPr>
        <w:t>合计收费＝ 1.5 ＋ 0.4＝ 1.9 万元</w:t>
      </w:r>
    </w:p>
    <w:p w14:paraId="4622750F">
      <w:pPr>
        <w:spacing w:line="360" w:lineRule="auto"/>
        <w:ind w:firstLine="420" w:firstLineChars="200"/>
        <w:rPr>
          <w:rFonts w:ascii="宋体" w:hAnsi="宋体" w:cs="宋体"/>
          <w:color w:val="auto"/>
          <w:kern w:val="0"/>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.3</w:t>
      </w:r>
      <w:r>
        <w:rPr>
          <w:rFonts w:hint="eastAsia" w:ascii="宋体" w:hAnsi="宋体" w:cs="宋体"/>
          <w:color w:val="auto"/>
          <w:kern w:val="0"/>
          <w:szCs w:val="21"/>
          <w:highlight w:val="none"/>
        </w:rPr>
        <w:t>代理服务费交纳</w:t>
      </w:r>
      <w:r>
        <w:rPr>
          <w:rFonts w:ascii="宋体" w:hAnsi="宋体" w:cs="宋体"/>
          <w:color w:val="auto"/>
          <w:kern w:val="0"/>
          <w:szCs w:val="21"/>
          <w:highlight w:val="none"/>
        </w:rPr>
        <w:t>银行帐号信息</w:t>
      </w:r>
    </w:p>
    <w:p w14:paraId="7B35241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开户名称：广西国泰招标咨询有限公司南宁第五分公司</w:t>
      </w:r>
    </w:p>
    <w:p w14:paraId="7EABA47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开户银行：广西北部湾银行股份有限公司南宁市云景支行</w:t>
      </w:r>
    </w:p>
    <w:p w14:paraId="69AD810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银行账号：805022302700001</w:t>
      </w:r>
    </w:p>
    <w:p w14:paraId="121F916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33.需要补充的其他内容</w:t>
      </w:r>
    </w:p>
    <w:p w14:paraId="0EC7DF9E">
      <w:pPr>
        <w:pStyle w:val="20"/>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33.1本磋商文件解释规则详见“供应商须知前附表”。</w:t>
      </w:r>
    </w:p>
    <w:p w14:paraId="2FD46D24">
      <w:pPr>
        <w:pStyle w:val="20"/>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33.2 其他事项详见“供应商须知前附表”。</w:t>
      </w:r>
    </w:p>
    <w:p w14:paraId="25038485">
      <w:pPr>
        <w:pStyle w:val="20"/>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3E0739AF">
      <w:pPr>
        <w:pStyle w:val="20"/>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686346B6">
      <w:pPr>
        <w:pStyle w:val="20"/>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56560F0E">
      <w:pPr>
        <w:pStyle w:val="20"/>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0E2B69D">
      <w:pPr>
        <w:pStyle w:val="20"/>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5DEB745A">
      <w:pPr>
        <w:pStyle w:val="20"/>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3C43ECBB">
      <w:pPr>
        <w:pStyle w:val="2"/>
        <w:spacing w:line="360" w:lineRule="auto"/>
        <w:rPr>
          <w:rFonts w:ascii="宋体" w:hAnsi="宋体" w:cs="宋体"/>
          <w:color w:val="auto"/>
          <w:highlight w:val="none"/>
        </w:rPr>
      </w:pPr>
      <w:r>
        <w:rPr>
          <w:rFonts w:hint="eastAsia" w:ascii="宋体" w:hAnsi="宋体" w:cs="宋体"/>
          <w:color w:val="auto"/>
          <w:highlight w:val="none"/>
        </w:rPr>
        <w:br w:type="page"/>
      </w:r>
      <w:bookmarkStart w:id="36" w:name="_Toc8379"/>
      <w:bookmarkStart w:id="37" w:name="_Toc14902"/>
      <w:r>
        <w:rPr>
          <w:rFonts w:hint="eastAsia" w:ascii="宋体" w:hAnsi="宋体" w:cs="宋体"/>
          <w:color w:val="auto"/>
          <w:highlight w:val="none"/>
        </w:rPr>
        <w:t>第三章 采购需求</w:t>
      </w:r>
      <w:bookmarkEnd w:id="36"/>
      <w:bookmarkEnd w:id="37"/>
    </w:p>
    <w:p w14:paraId="2E0DDD90">
      <w:pPr>
        <w:spacing w:line="440" w:lineRule="exact"/>
        <w:jc w:val="center"/>
        <w:rPr>
          <w:rFonts w:ascii="宋体" w:hAnsi="宋体" w:cs="宋体"/>
          <w:b/>
          <w:color w:val="auto"/>
          <w:sz w:val="32"/>
          <w:szCs w:val="32"/>
          <w:highlight w:val="none"/>
        </w:rPr>
      </w:pPr>
    </w:p>
    <w:p w14:paraId="3B9FE2E3">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说明：</w:t>
      </w:r>
    </w:p>
    <w:p w14:paraId="24B8D88B">
      <w:pPr>
        <w:spacing w:line="360" w:lineRule="exact"/>
        <w:ind w:left="-10" w:leftChars="-5" w:right="2" w:rightChars="1" w:firstLine="422" w:firstLineChars="200"/>
        <w:rPr>
          <w:rFonts w:ascii="宋体" w:hAnsi="宋体" w:cs="宋体"/>
          <w:b/>
          <w:bCs/>
          <w:color w:val="auto"/>
          <w:highlight w:val="none"/>
        </w:rPr>
      </w:pPr>
      <w:r>
        <w:rPr>
          <w:rFonts w:hint="eastAsia" w:ascii="宋体" w:hAnsi="宋体" w:cs="宋体"/>
          <w:b/>
          <w:bCs/>
          <w:color w:val="auto"/>
          <w:highlight w:val="none"/>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中的技术要求。</w:t>
      </w:r>
    </w:p>
    <w:p w14:paraId="3C3C1581">
      <w:pPr>
        <w:spacing w:line="360" w:lineRule="exact"/>
        <w:ind w:left="-10" w:leftChars="-5" w:right="2" w:rightChars="1" w:firstLine="422" w:firstLineChars="200"/>
        <w:rPr>
          <w:rFonts w:ascii="宋体" w:hAnsi="宋体" w:cs="宋体"/>
          <w:b/>
          <w:bCs/>
          <w:color w:val="auto"/>
          <w:highlight w:val="none"/>
        </w:rPr>
      </w:pPr>
      <w:r>
        <w:rPr>
          <w:rFonts w:hint="eastAsia" w:ascii="宋体" w:hAnsi="宋体" w:cs="宋体"/>
          <w:b/>
          <w:bCs/>
          <w:color w:val="auto"/>
          <w:highlight w:val="none"/>
        </w:rPr>
        <w:t>2、根据《财政部 发展改革委 生态环境部 市场监管总局关于调整优化节能产品、环境标志产品政府采购执行机制的通知》（财库〔2019〕9 号）和《关于印发节能产品政府采购品目清单的通知》（财库〔2019〕19 号）的规定，采购需求中如有货物产品，且货物产品属于节能产品政府采购品目清单内标注“★”的，供应商的竞标货物必须使用政府强制采购的节能产品，否则响应文件作无效响应处理。</w:t>
      </w:r>
    </w:p>
    <w:p w14:paraId="7E918041">
      <w:pPr>
        <w:spacing w:line="360" w:lineRule="exact"/>
        <w:ind w:left="-10" w:leftChars="-5" w:right="2" w:rightChars="1" w:firstLine="422" w:firstLineChars="200"/>
        <w:rPr>
          <w:rFonts w:ascii="宋体" w:hAnsi="宋体" w:cs="宋体"/>
          <w:b/>
          <w:bCs/>
          <w:color w:val="auto"/>
          <w:highlight w:val="none"/>
        </w:rPr>
      </w:pPr>
      <w:r>
        <w:rPr>
          <w:rFonts w:hint="eastAsia" w:ascii="宋体" w:hAnsi="宋体" w:cs="宋体"/>
          <w:b/>
          <w:bCs/>
          <w:color w:val="auto"/>
          <w:highlight w:val="none"/>
        </w:rPr>
        <w:t>3、如供应商竞标产品存在侵犯他人的知识产权或者专利成果行为的，由供应商自行承担相应法律责任。</w:t>
      </w:r>
    </w:p>
    <w:p w14:paraId="21B9C05F">
      <w:pPr>
        <w:spacing w:line="360" w:lineRule="exact"/>
        <w:ind w:left="-10" w:leftChars="-5" w:right="2" w:rightChars="1" w:firstLine="422" w:firstLineChars="200"/>
        <w:rPr>
          <w:rFonts w:ascii="宋体" w:hAnsi="宋体" w:cs="宋体"/>
          <w:b/>
          <w:bCs/>
          <w:color w:val="auto"/>
          <w:highlight w:val="none"/>
        </w:rPr>
      </w:pPr>
      <w:r>
        <w:rPr>
          <w:rFonts w:hint="eastAsia" w:ascii="宋体" w:hAnsi="宋体" w:cs="宋体"/>
          <w:b/>
          <w:bCs/>
          <w:color w:val="auto"/>
          <w:highlight w:val="none"/>
        </w:rPr>
        <w:t>4、“实质性要求”是指竞争性磋商文件中已经指明不满足则响应无效的条款，或者不能负偏离的条款，或者采购需求中带“▲”的条款。</w:t>
      </w:r>
    </w:p>
    <w:p w14:paraId="68BF106B">
      <w:pPr>
        <w:spacing w:line="360" w:lineRule="auto"/>
        <w:ind w:firstLine="310" w:firstLineChars="147"/>
        <w:jc w:val="left"/>
        <w:rPr>
          <w:rFonts w:ascii="宋体" w:hAnsi="宋体" w:cs="宋体"/>
          <w:b/>
          <w:color w:val="auto"/>
          <w:szCs w:val="21"/>
          <w:highlight w:val="none"/>
        </w:rPr>
      </w:pPr>
    </w:p>
    <w:p w14:paraId="3807F2A2">
      <w:pPr>
        <w:spacing w:line="360" w:lineRule="auto"/>
        <w:ind w:firstLine="310" w:firstLineChars="147"/>
        <w:jc w:val="left"/>
        <w:rPr>
          <w:rFonts w:ascii="宋体" w:hAnsi="宋体" w:cs="宋体"/>
          <w:bCs/>
          <w:color w:val="auto"/>
          <w:szCs w:val="21"/>
          <w:highlight w:val="none"/>
          <w:u w:val="single"/>
        </w:rPr>
      </w:pPr>
      <w:r>
        <w:rPr>
          <w:rFonts w:hint="eastAsia" w:ascii="宋体" w:hAnsi="宋体" w:cs="宋体"/>
          <w:b/>
          <w:color w:val="auto"/>
          <w:szCs w:val="21"/>
          <w:highlight w:val="none"/>
        </w:rPr>
        <w:t>分标1（网络中心机房专用及安全设备运维服务）     采购预算：</w:t>
      </w:r>
      <w:r>
        <w:rPr>
          <w:rFonts w:hint="eastAsia" w:ascii="宋体" w:hAnsi="宋体"/>
          <w:b/>
          <w:bCs/>
          <w:color w:val="auto"/>
          <w:szCs w:val="21"/>
          <w:highlight w:val="none"/>
          <w:u w:val="single"/>
        </w:rPr>
        <w:t xml:space="preserve"> 76.1万元</w:t>
      </w: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1E192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09DBF4DC">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130A3D47">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0EB99405">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22E1F55C">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14:paraId="5EA8C277">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7B360AA5">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0070B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5" w:type="dxa"/>
            <w:vAlign w:val="center"/>
          </w:tcPr>
          <w:p w14:paraId="4D452B56">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516" w:type="dxa"/>
            <w:gridSpan w:val="2"/>
            <w:shd w:val="clear" w:color="auto" w:fill="auto"/>
            <w:vAlign w:val="center"/>
          </w:tcPr>
          <w:p w14:paraId="2BE5EDAB">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网络中心机房专用设备</w:t>
            </w:r>
          </w:p>
          <w:p w14:paraId="3B166095">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运维服务</w:t>
            </w:r>
          </w:p>
        </w:tc>
        <w:tc>
          <w:tcPr>
            <w:tcW w:w="1050" w:type="dxa"/>
            <w:shd w:val="clear" w:color="auto" w:fill="auto"/>
            <w:vAlign w:val="center"/>
          </w:tcPr>
          <w:p w14:paraId="0D12821A">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1077" w:type="dxa"/>
            <w:vAlign w:val="center"/>
          </w:tcPr>
          <w:p w14:paraId="685EF009">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c>
          <w:tcPr>
            <w:tcW w:w="5416" w:type="dxa"/>
            <w:vAlign w:val="center"/>
          </w:tcPr>
          <w:p w14:paraId="01A53483">
            <w:pPr>
              <w:spacing w:line="360" w:lineRule="auto"/>
              <w:rPr>
                <w:rFonts w:ascii="宋体" w:hAnsi="宋体" w:cs="宋体"/>
                <w:b/>
                <w:bCs/>
                <w:color w:val="auto"/>
                <w:szCs w:val="21"/>
                <w:highlight w:val="none"/>
              </w:rPr>
            </w:pPr>
            <w:r>
              <w:rPr>
                <w:rFonts w:hint="eastAsia" w:ascii="宋体" w:hAnsi="宋体" w:cs="宋体"/>
                <w:color w:val="auto"/>
                <w:szCs w:val="21"/>
                <w:highlight w:val="none"/>
              </w:rPr>
              <w:t>对网络中心机房及办公区内473台专用设备提供维保及运维服务。时间期限为一年，包含设备维保、所有配件更换费用及现场维修费用。具体设备维保运维清单详见附件1：《网络中心机房专用设备运维服务设备清单》。</w:t>
            </w:r>
          </w:p>
          <w:p w14:paraId="5ED1D6E1">
            <w:pPr>
              <w:widowControl/>
              <w:spacing w:line="600" w:lineRule="auto"/>
              <w:rPr>
                <w:rFonts w:ascii="宋体" w:hAnsi="宋体" w:cs="宋体"/>
                <w:b/>
                <w:bCs/>
                <w:color w:val="auto"/>
                <w:szCs w:val="21"/>
                <w:highlight w:val="none"/>
              </w:rPr>
            </w:pPr>
            <w:r>
              <w:rPr>
                <w:rFonts w:hint="eastAsia" w:ascii="宋体" w:hAnsi="宋体" w:cs="宋体"/>
                <w:b/>
                <w:bCs/>
                <w:color w:val="auto"/>
                <w:szCs w:val="21"/>
                <w:highlight w:val="none"/>
              </w:rPr>
              <w:t>一、精密空调维保及巡检服务</w:t>
            </w:r>
          </w:p>
          <w:p w14:paraId="4F22D078">
            <w:pPr>
              <w:spacing w:line="360" w:lineRule="auto"/>
              <w:rPr>
                <w:rFonts w:ascii="宋体" w:hAnsi="宋体" w:cs="宋体"/>
                <w:color w:val="auto"/>
                <w:szCs w:val="21"/>
                <w:highlight w:val="none"/>
              </w:rPr>
            </w:pPr>
            <w:r>
              <w:rPr>
                <w:rFonts w:hint="eastAsia" w:ascii="宋体" w:hAnsi="宋体" w:cs="宋体"/>
                <w:color w:val="auto"/>
                <w:szCs w:val="21"/>
                <w:highlight w:val="none"/>
              </w:rPr>
              <w:t>1、对机房原使用9台精密空调（艾默生精密空调PEX1030FA*2台、艾默生精密空调DME07MHP5*3台、维谛精密空调P1050DA13JHL12S1D000PE000*2台、维谛精密空调P1030DA036HL12S1D000PA033*1台、英维克精密空调CyberMate512BIU1AY*1台）进行维保，时间期限为一年；包含所有配件更换费用及现场维修费用。</w:t>
            </w:r>
          </w:p>
          <w:p w14:paraId="5C955910">
            <w:pPr>
              <w:spacing w:line="360" w:lineRule="auto"/>
              <w:rPr>
                <w:rFonts w:ascii="宋体" w:hAnsi="宋体" w:cs="宋体"/>
                <w:color w:val="auto"/>
                <w:szCs w:val="21"/>
                <w:highlight w:val="none"/>
              </w:rPr>
            </w:pPr>
            <w:r>
              <w:rPr>
                <w:rFonts w:hint="eastAsia" w:ascii="宋体" w:hAnsi="宋体" w:cs="宋体"/>
                <w:color w:val="auto"/>
                <w:szCs w:val="21"/>
                <w:highlight w:val="none"/>
              </w:rPr>
              <w:t>2、对精密空调机组每年进行定期的4次室外机清洗工作，对室外机冷凝器翅片的脏污和积灰进行清洗，检查冷凝风机马达是否正常运转，有无异常杂音，冷凝器的固定件是否有松动的迹象等，对空气过滤网积灰进行检查清洗，更换失效的过滤网。</w:t>
            </w:r>
          </w:p>
          <w:p w14:paraId="0DDB366F">
            <w:pPr>
              <w:spacing w:line="360" w:lineRule="auto"/>
              <w:rPr>
                <w:rFonts w:ascii="宋体" w:hAnsi="宋体" w:cs="宋体"/>
                <w:color w:val="auto"/>
                <w:szCs w:val="21"/>
                <w:highlight w:val="none"/>
              </w:rPr>
            </w:pPr>
            <w:r>
              <w:rPr>
                <w:rFonts w:hint="eastAsia" w:ascii="宋体" w:hAnsi="宋体" w:cs="宋体"/>
                <w:color w:val="auto"/>
                <w:szCs w:val="21"/>
                <w:highlight w:val="none"/>
              </w:rPr>
              <w:t>3、保障每台精密空调的正常运行工作，对精密空调系统进行含配件费用及现场维修费用的运维保障工作，如出现设备故障保证在3小时内到达现场，并进行故障判断及处理，现场给出专业的应急处理方案；如需更换备件，在保证机房环境有备用空调机组运行的情况下，10个工作日内解决故障配件问题；确保空调机组的安全稳定运行及各类数据的正确读取，确保可以在动力环境监控平台上正确读到精密空调机组的工作状态信息。</w:t>
            </w:r>
          </w:p>
          <w:p w14:paraId="134EDE43">
            <w:pPr>
              <w:spacing w:line="360" w:lineRule="auto"/>
              <w:rPr>
                <w:rFonts w:ascii="宋体" w:hAnsi="宋体" w:cs="宋体"/>
                <w:color w:val="auto"/>
                <w:szCs w:val="21"/>
                <w:highlight w:val="none"/>
              </w:rPr>
            </w:pPr>
            <w:r>
              <w:rPr>
                <w:rFonts w:hint="eastAsia" w:ascii="宋体" w:hAnsi="宋体" w:cs="宋体"/>
                <w:color w:val="auto"/>
                <w:szCs w:val="21"/>
                <w:highlight w:val="none"/>
              </w:rPr>
              <w:t>4、每天定时对空调系统设备进行巡察工作，巡察设备的运行状态，并做好巡察记录。</w:t>
            </w:r>
          </w:p>
          <w:p w14:paraId="1F4C8630">
            <w:pPr>
              <w:pStyle w:val="31"/>
              <w:ind w:firstLineChars="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5、对空调系统设备巡检中发现的隐患和故障要第一时间作出汇报，并做出相应的故障应急处理方案及巡检报告。</w:t>
            </w:r>
          </w:p>
          <w:p w14:paraId="2C1AC39C">
            <w:pPr>
              <w:spacing w:line="360" w:lineRule="auto"/>
              <w:rPr>
                <w:rFonts w:ascii="宋体" w:hAnsi="宋体" w:cs="宋体"/>
                <w:color w:val="auto"/>
                <w:szCs w:val="21"/>
                <w:highlight w:val="none"/>
              </w:rPr>
            </w:pPr>
            <w:r>
              <w:rPr>
                <w:rFonts w:hint="eastAsia" w:ascii="宋体" w:hAnsi="宋体" w:cs="宋体"/>
                <w:color w:val="auto"/>
                <w:szCs w:val="21"/>
                <w:highlight w:val="none"/>
              </w:rPr>
              <w:t>6、对空调系统设备巡检中发现的隐患和故障要第一时间作出汇报，并做出相应的故障应急处理方案。</w:t>
            </w:r>
          </w:p>
          <w:p w14:paraId="057B5744">
            <w:pPr>
              <w:spacing w:line="360" w:lineRule="auto"/>
              <w:rPr>
                <w:color w:val="auto"/>
                <w:highlight w:val="none"/>
              </w:rPr>
            </w:pPr>
            <w:r>
              <w:rPr>
                <w:rFonts w:hint="eastAsia" w:ascii="宋体" w:hAnsi="宋体" w:cs="宋体"/>
                <w:color w:val="auto"/>
                <w:szCs w:val="21"/>
                <w:highlight w:val="none"/>
              </w:rPr>
              <w:t>7、如巡查中发现设备故障，则对设备进行故障排查及维修处理。</w:t>
            </w:r>
          </w:p>
          <w:p w14:paraId="227DF9F9">
            <w:pPr>
              <w:pStyle w:val="16"/>
              <w:numPr>
                <w:ilvl w:val="0"/>
                <w:numId w:val="2"/>
              </w:numPr>
              <w:spacing w:after="0" w:line="60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环境监控系统维保及巡检、升级服务</w:t>
            </w:r>
          </w:p>
          <w:p w14:paraId="2A068537">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1、提供对原机房（数据中心机房、确权机房、青山路机房、新民路机房）使用的4套动力环境监控系统硬件及系统维保一年，包含所有配件更换费用及现场维修费用</w:t>
            </w:r>
            <w:r>
              <w:rPr>
                <w:rFonts w:hint="eastAsia" w:ascii="宋体" w:hAnsi="宋体" w:cs="宋体"/>
                <w:color w:val="auto"/>
                <w:szCs w:val="21"/>
                <w:highlight w:val="none"/>
                <w:lang w:eastAsia="zh-CN"/>
              </w:rPr>
              <w:t>。</w:t>
            </w:r>
          </w:p>
          <w:p w14:paraId="17D9C2D4">
            <w:pPr>
              <w:pStyle w:val="17"/>
              <w:spacing w:line="360" w:lineRule="auto"/>
              <w:ind w:left="0" w:leftChars="0"/>
              <w:rPr>
                <w:rFonts w:ascii="宋体" w:hAnsi="宋体" w:cs="宋体"/>
                <w:color w:val="auto"/>
                <w:highlight w:val="none"/>
              </w:rPr>
            </w:pPr>
            <w:r>
              <w:rPr>
                <w:rFonts w:hint="eastAsia" w:ascii="宋体" w:hAnsi="宋体" w:cs="宋体"/>
                <w:color w:val="auto"/>
                <w:highlight w:val="none"/>
              </w:rPr>
              <w:t>2、提供机房KVM KN2124V*1台，维保服务，包括软件及硬件维保服务一年。</w:t>
            </w:r>
          </w:p>
          <w:p w14:paraId="197BB040">
            <w:pPr>
              <w:pStyle w:val="17"/>
              <w:spacing w:line="360" w:lineRule="auto"/>
              <w:ind w:left="0" w:leftChars="0"/>
              <w:rPr>
                <w:rFonts w:ascii="宋体" w:hAnsi="宋体" w:cs="宋体"/>
                <w:color w:val="auto"/>
                <w:highlight w:val="none"/>
              </w:rPr>
            </w:pPr>
            <w:r>
              <w:rPr>
                <w:rFonts w:hint="eastAsia" w:ascii="宋体" w:hAnsi="宋体" w:cs="宋体"/>
                <w:color w:val="auto"/>
                <w:highlight w:val="none"/>
              </w:rPr>
              <w:t>3、提供每月、节前、年度进行设备定期现场巡检，巡检设备包括门禁设备、视频监控设备等环境监测设备运行情况及系统参数的检测，同时对系统隐患进行跟踪和分析，直至问题解决。</w:t>
            </w:r>
          </w:p>
          <w:p w14:paraId="4A1711B8">
            <w:pPr>
              <w:numPr>
                <w:ilvl w:val="0"/>
                <w:numId w:val="2"/>
              </w:numPr>
              <w:spacing w:line="600" w:lineRule="auto"/>
              <w:rPr>
                <w:rFonts w:ascii="宋体" w:hAnsi="宋体" w:cs="宋体"/>
                <w:b/>
                <w:bCs/>
                <w:color w:val="auto"/>
                <w:szCs w:val="21"/>
                <w:highlight w:val="none"/>
              </w:rPr>
            </w:pPr>
            <w:r>
              <w:rPr>
                <w:rFonts w:hint="eastAsia" w:ascii="宋体" w:hAnsi="宋体" w:cs="宋体"/>
                <w:b/>
                <w:bCs/>
                <w:color w:val="auto"/>
                <w:szCs w:val="21"/>
                <w:highlight w:val="none"/>
              </w:rPr>
              <w:t>机房不间断电源主机维保服务</w:t>
            </w:r>
          </w:p>
          <w:p w14:paraId="49809D6F">
            <w:pPr>
              <w:spacing w:line="360" w:lineRule="auto"/>
              <w:rPr>
                <w:rFonts w:ascii="宋体" w:hAnsi="宋体" w:cs="宋体"/>
                <w:color w:val="auto"/>
                <w:szCs w:val="21"/>
                <w:highlight w:val="none"/>
              </w:rPr>
            </w:pPr>
            <w:r>
              <w:rPr>
                <w:rFonts w:hint="eastAsia" w:ascii="宋体" w:hAnsi="宋体" w:cs="宋体"/>
                <w:color w:val="auto"/>
                <w:szCs w:val="21"/>
                <w:highlight w:val="none"/>
              </w:rPr>
              <w:t>1、对机房原使用的机房不间断电源主机（品牌：艾默生，型号：NX 60KVA*1台、VHA3R-016L*1台；品牌：维谛，型号：EX40KVA*1台）进行维保一年。包含所有配件更换费用及现场维修费用。</w:t>
            </w:r>
          </w:p>
          <w:p w14:paraId="11772774">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2、提供农业数据中心机房、确权机房、青山网络机房内UPS设备3套（农业数据中心机房容量60KVA/60KW，6组32节，12V 100AH蓄电池；确权机房容量16KVA/14.4KW，1组32节，12V 150AH蓄电池），提供一年两次检测报告。</w:t>
            </w:r>
          </w:p>
          <w:p w14:paraId="1A9105E1">
            <w:pPr>
              <w:pStyle w:val="16"/>
              <w:spacing w:after="0"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保障每台UPS电源主机及配件正常工作，对主机进行含配件费用及现场维修费用的运维保障工作，如出现设备故障保证在15分钟内到达现场，并进行故障判断及处理，现场给出专业的应急处理方案，保障设备供电的稳定及不间断供电；如需更换备件，在保证设备供电稳定的情况下，10个工作日内解决故障配件问题；确保主机的安全稳定运行及主机各类数据的正确读取，确保可以在动力环境监控平台上正确读到UPS主机的工作状态信息。</w:t>
            </w:r>
          </w:p>
          <w:p w14:paraId="41AD6A4B">
            <w:pPr>
              <w:pStyle w:val="31"/>
              <w:ind w:firstLineChars="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4、每天定时对UPS主机设备及电池组进行巡察工作，巡察设备的运行状态，并做好巡察记录。</w:t>
            </w:r>
          </w:p>
          <w:p w14:paraId="0FF03E22">
            <w:pPr>
              <w:spacing w:line="360" w:lineRule="auto"/>
              <w:rPr>
                <w:rFonts w:ascii="宋体" w:hAnsi="宋体" w:cs="宋体"/>
                <w:color w:val="auto"/>
                <w:szCs w:val="21"/>
                <w:highlight w:val="none"/>
              </w:rPr>
            </w:pPr>
            <w:r>
              <w:rPr>
                <w:rFonts w:hint="eastAsia" w:ascii="宋体" w:hAnsi="宋体" w:cs="宋体"/>
                <w:color w:val="auto"/>
                <w:szCs w:val="21"/>
                <w:highlight w:val="none"/>
              </w:rPr>
              <w:t>5、对UPS设备及电池巡检中发现的隐患和故障要第一时间作出汇报，并做出相应的故障应急处理方案及巡检报告。</w:t>
            </w:r>
          </w:p>
          <w:p w14:paraId="7A2D8201">
            <w:pPr>
              <w:spacing w:line="360" w:lineRule="auto"/>
              <w:rPr>
                <w:rFonts w:ascii="宋体" w:hAnsi="宋体" w:cs="宋体"/>
                <w:color w:val="auto"/>
                <w:highlight w:val="none"/>
              </w:rPr>
            </w:pPr>
            <w:r>
              <w:rPr>
                <w:rFonts w:hint="eastAsia" w:ascii="宋体" w:hAnsi="宋体" w:cs="宋体"/>
                <w:color w:val="auto"/>
                <w:szCs w:val="21"/>
                <w:highlight w:val="none"/>
              </w:rPr>
              <w:t>6、如巡查中发现设备故障，则对设备进行故障排查及维修处理。</w:t>
            </w:r>
          </w:p>
          <w:p w14:paraId="1588742F">
            <w:pPr>
              <w:numPr>
                <w:ilvl w:val="0"/>
                <w:numId w:val="2"/>
              </w:numPr>
              <w:spacing w:line="600" w:lineRule="auto"/>
              <w:rPr>
                <w:rFonts w:ascii="宋体" w:hAnsi="宋体" w:cs="宋体"/>
                <w:b/>
                <w:bCs/>
                <w:color w:val="auto"/>
                <w:szCs w:val="21"/>
                <w:highlight w:val="none"/>
              </w:rPr>
            </w:pPr>
            <w:r>
              <w:rPr>
                <w:rFonts w:hint="eastAsia" w:ascii="宋体" w:hAnsi="宋体" w:cs="宋体"/>
                <w:b/>
                <w:bCs/>
                <w:color w:val="auto"/>
                <w:szCs w:val="21"/>
                <w:highlight w:val="none"/>
              </w:rPr>
              <w:t>消防系统维保巡检服务</w:t>
            </w:r>
          </w:p>
          <w:p w14:paraId="21A3B0AB">
            <w:pPr>
              <w:spacing w:line="360" w:lineRule="auto"/>
              <w:rPr>
                <w:rFonts w:ascii="宋体" w:hAnsi="宋体" w:cs="宋体"/>
                <w:color w:val="auto"/>
                <w:szCs w:val="21"/>
                <w:highlight w:val="none"/>
              </w:rPr>
            </w:pPr>
            <w:r>
              <w:rPr>
                <w:rFonts w:hint="eastAsia" w:ascii="宋体" w:hAnsi="宋体" w:cs="宋体"/>
                <w:color w:val="auto"/>
                <w:szCs w:val="21"/>
                <w:highlight w:val="none"/>
              </w:rPr>
              <w:t>提供对农业数据中心机房、确权机房、青山网络机房、新民路机房内4套消防系统巡检服务，出具巡检服务报告；提供消防主机电池：12V,额定容量（20hr）：3.3Ah，4套，并出具服务报告。提供农业数据中心机房、确权机房、青山网络机房、新民路机房消防气体更换服务，1项。</w:t>
            </w:r>
          </w:p>
          <w:p w14:paraId="50C5B506">
            <w:pPr>
              <w:pStyle w:val="17"/>
              <w:numPr>
                <w:ilvl w:val="0"/>
                <w:numId w:val="2"/>
              </w:numPr>
              <w:spacing w:line="600" w:lineRule="auto"/>
              <w:ind w:left="0" w:leftChars="0"/>
              <w:rPr>
                <w:rFonts w:ascii="宋体" w:hAnsi="宋体" w:cs="宋体"/>
                <w:b/>
                <w:bCs/>
                <w:color w:val="auto"/>
                <w:szCs w:val="21"/>
                <w:highlight w:val="none"/>
              </w:rPr>
            </w:pPr>
            <w:r>
              <w:rPr>
                <w:rFonts w:hint="eastAsia" w:ascii="宋体" w:hAnsi="宋体" w:cs="宋体"/>
                <w:b/>
                <w:bCs/>
                <w:color w:val="auto"/>
                <w:szCs w:val="21"/>
                <w:highlight w:val="none"/>
              </w:rPr>
              <w:t>机房集成服务</w:t>
            </w:r>
          </w:p>
          <w:p w14:paraId="721758EE">
            <w:pPr>
              <w:numPr>
                <w:ilvl w:val="0"/>
                <w:numId w:val="3"/>
              </w:numPr>
              <w:spacing w:line="360" w:lineRule="auto"/>
              <w:rPr>
                <w:rFonts w:ascii="宋体" w:hAnsi="宋体" w:cs="宋体"/>
                <w:color w:val="auto"/>
                <w:szCs w:val="21"/>
                <w:highlight w:val="none"/>
              </w:rPr>
            </w:pPr>
            <w:r>
              <w:rPr>
                <w:rFonts w:hint="eastAsia" w:ascii="宋体" w:hAnsi="宋体" w:cs="宋体"/>
                <w:color w:val="auto"/>
                <w:szCs w:val="21"/>
                <w:highlight w:val="none"/>
              </w:rPr>
              <w:t>提供农业数据中心机房、确权机房、青山网络机房、新民路机房，按每季度及重大节日前整体环境和设备进行清洁，每年4次（每个季度1次）机房清洁服务，包括机房静电地板、机柜、设备表面等机房设施的清洁除尘。</w:t>
            </w:r>
          </w:p>
          <w:p w14:paraId="157AD780">
            <w:pPr>
              <w:pStyle w:val="16"/>
              <w:numPr>
                <w:ilvl w:val="0"/>
                <w:numId w:val="3"/>
              </w:numPr>
              <w:spacing w:after="0"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提供对农业数据中心机房、确权机房、青山网络机房、新民路机房内双绞线和光纤线路进行整理，对部分线路缺失标签进行完善，对部分未接地机柜完善接地工作服务。</w:t>
            </w:r>
          </w:p>
          <w:p w14:paraId="3C8E4852">
            <w:pPr>
              <w:pStyle w:val="17"/>
              <w:numPr>
                <w:ilvl w:val="0"/>
                <w:numId w:val="3"/>
              </w:numPr>
              <w:spacing w:line="360" w:lineRule="auto"/>
              <w:ind w:left="0" w:leftChars="0"/>
              <w:rPr>
                <w:rFonts w:ascii="宋体" w:hAnsi="宋体" w:cs="宋体"/>
                <w:color w:val="auto"/>
                <w:szCs w:val="21"/>
                <w:highlight w:val="none"/>
              </w:rPr>
            </w:pPr>
            <w:r>
              <w:rPr>
                <w:rFonts w:hint="eastAsia" w:ascii="宋体" w:hAnsi="宋体" w:cs="宋体"/>
                <w:color w:val="auto"/>
                <w:szCs w:val="21"/>
                <w:highlight w:val="none"/>
              </w:rPr>
              <w:t>提供机房鞋套带服务1项、监控系统通讯资费（四个机房短信资费1年）服务。</w:t>
            </w:r>
          </w:p>
          <w:p w14:paraId="1A393315">
            <w:pPr>
              <w:numPr>
                <w:ilvl w:val="0"/>
                <w:numId w:val="3"/>
              </w:numPr>
              <w:spacing w:line="360" w:lineRule="auto"/>
              <w:rPr>
                <w:rFonts w:ascii="宋体" w:hAnsi="宋体" w:cs="宋体"/>
                <w:color w:val="auto"/>
                <w:szCs w:val="21"/>
                <w:highlight w:val="none"/>
              </w:rPr>
            </w:pPr>
            <w:r>
              <w:rPr>
                <w:rFonts w:hint="eastAsia" w:ascii="宋体" w:hAnsi="宋体" w:cs="宋体"/>
                <w:color w:val="auto"/>
                <w:szCs w:val="21"/>
                <w:highlight w:val="none"/>
              </w:rPr>
              <w:t>根据年度防雷检测报告要求，提供防雷改造服务。</w:t>
            </w:r>
          </w:p>
          <w:p w14:paraId="7B1926BF">
            <w:pPr>
              <w:pStyle w:val="16"/>
              <w:numPr>
                <w:ilvl w:val="0"/>
                <w:numId w:val="3"/>
              </w:num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提供对H3C无线控制器 WX5004 一台一年维保服务。</w:t>
            </w:r>
          </w:p>
          <w:p w14:paraId="2FF63A1C">
            <w:pPr>
              <w:pStyle w:val="16"/>
              <w:numPr>
                <w:ilvl w:val="0"/>
                <w:numId w:val="3"/>
              </w:num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提供对信锐无线控制器 NAC-6380-Y  两台一年续保服务（包括软件升级及硬件维保）。</w:t>
            </w:r>
          </w:p>
          <w:p w14:paraId="0F9559BF">
            <w:pPr>
              <w:numPr>
                <w:ilvl w:val="0"/>
                <w:numId w:val="2"/>
              </w:num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机房运行管理保障服务</w:t>
            </w:r>
          </w:p>
          <w:p w14:paraId="3F27DC67">
            <w:pPr>
              <w:pStyle w:val="16"/>
              <w:spacing w:after="0" w:line="360" w:lineRule="auto"/>
              <w:ind w:firstLine="0" w:firstLineChars="0"/>
              <w:rPr>
                <w:rFonts w:ascii="宋体" w:hAnsi="宋体" w:cs="宋体"/>
                <w:b/>
                <w:bCs/>
                <w:color w:val="auto"/>
                <w:highlight w:val="none"/>
              </w:rPr>
            </w:pPr>
            <w:r>
              <w:rPr>
                <w:rFonts w:hint="eastAsia" w:ascii="宋体" w:hAnsi="宋体" w:cs="宋体"/>
                <w:b/>
                <w:bCs/>
                <w:color w:val="auto"/>
                <w:highlight w:val="none"/>
              </w:rPr>
              <w:t>（一）、维护服务对象范围</w:t>
            </w:r>
          </w:p>
          <w:p w14:paraId="0428A9D1">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1、本次维护服务对象范围包括农业数据中心机房、确权机房、青山网络机房、新民路机房及办公区的网络设备450台等提供设备的故障诊断、 远程支持、现场支持、软件升级、设备搬迁、网络优化、设备巡检、现场培训、技术交流、网络安全、网络建设建议等服务，每年12次上门深度巡检。 </w:t>
            </w:r>
          </w:p>
          <w:p w14:paraId="4FCDC805">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2、提供包括自治区农业农村厅七星办公区、青山办公区及新民路办公区工作人员终端电脑约800台、打印机及其它外设 120台，提供操作系统安装维护、补丁安装、防病毒软件安装及升级、设备故障处理、 通用办公软件安装、制定计算机使用规范等服务，具体设备维保运维清单详见附件 1：《机房专用设备清单》。</w:t>
            </w:r>
          </w:p>
          <w:p w14:paraId="215D4EDC">
            <w:pPr>
              <w:pStyle w:val="16"/>
              <w:spacing w:after="0" w:line="360" w:lineRule="auto"/>
              <w:ind w:firstLine="0" w:firstLineChars="0"/>
              <w:rPr>
                <w:rFonts w:ascii="宋体" w:hAnsi="宋体" w:cs="宋体"/>
                <w:b/>
                <w:bCs/>
                <w:color w:val="auto"/>
                <w:highlight w:val="none"/>
              </w:rPr>
            </w:pPr>
            <w:r>
              <w:rPr>
                <w:rFonts w:hint="eastAsia" w:ascii="宋体" w:hAnsi="宋体" w:cs="宋体"/>
                <w:b/>
                <w:bCs/>
                <w:color w:val="auto"/>
                <w:highlight w:val="none"/>
              </w:rPr>
              <w:t>（二）、维护服务内容要求</w:t>
            </w:r>
          </w:p>
          <w:p w14:paraId="40F80197">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需要维护方所提供的服务主要为：</w:t>
            </w:r>
          </w:p>
          <w:p w14:paraId="342B19F9">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现场值守服务、流量监控服务、远程技术支持服务、现场技术支持服务、紧急故障处理服务、定期巡检服务、机房清洁和线路整理服务及IT系统优化服务等。</w:t>
            </w:r>
          </w:p>
          <w:p w14:paraId="28E4AB5D">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具体服务内容：</w:t>
            </w:r>
          </w:p>
          <w:p w14:paraId="078916F0">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1、现场值守服务</w:t>
            </w:r>
          </w:p>
          <w:p w14:paraId="568E9034">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提供3名机房驻场运维工程师，5*8技术支持；现场值守服务， 现场处理各种故障，对设备运行情况进行监控管理。</w:t>
            </w:r>
          </w:p>
          <w:p w14:paraId="21642762">
            <w:pPr>
              <w:pStyle w:val="16"/>
              <w:numPr>
                <w:ilvl w:val="0"/>
                <w:numId w:val="4"/>
              </w:numPr>
              <w:spacing w:after="0" w:line="360" w:lineRule="auto"/>
              <w:ind w:firstLine="0" w:firstLineChars="0"/>
              <w:rPr>
                <w:rFonts w:ascii="宋体" w:hAnsi="宋体" w:cs="宋体"/>
                <w:color w:val="auto"/>
                <w:highlight w:val="none"/>
              </w:rPr>
            </w:pPr>
            <w:r>
              <w:rPr>
                <w:rFonts w:hint="eastAsia" w:ascii="宋体" w:hAnsi="宋体" w:cs="宋体"/>
                <w:color w:val="auto"/>
                <w:highlight w:val="none"/>
              </w:rPr>
              <w:t>远程技术支持服务</w:t>
            </w:r>
          </w:p>
          <w:p w14:paraId="2C62DE3A">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（1）热线电话支持服务 </w:t>
            </w:r>
          </w:p>
          <w:p w14:paraId="4608361F">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需要供应商提供专门的客户服务经理电话以及 2 名以上的工程师电话，设置专用热线电话，提供7×24小时10分钟响应，技术专家将直接同用户对话，帮助解决提出的疑难问题。同时，需要供应商提供7×24小时的投诉渠道，及时受理用户对服务方面不满意的投诉意见，并说明相关管理流程。 </w:t>
            </w:r>
          </w:p>
          <w:p w14:paraId="1C3B8C5B">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（2）远程接入支持服务 </w:t>
            </w:r>
          </w:p>
          <w:p w14:paraId="25C23BFC">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供应商在具备远程接入的条件下，应提供远程接入方式对采购人系统问题进行检查、诊断和分析。运维工程师仅在得到用户许可的情况下方可访问用户系统，运维工程师确保所访问系统的安全，同时保证数据完整性。 </w:t>
            </w:r>
          </w:p>
          <w:p w14:paraId="7DFC8C12">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3、现场技术支持服务 </w:t>
            </w:r>
          </w:p>
          <w:p w14:paraId="56C97285">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按照采购人要求，供应商在下列情况下应及时指派工程师提供现场支持服务。工程师必须在服务完成并得到确认后方可离开现场。 </w:t>
            </w:r>
          </w:p>
          <w:p w14:paraId="23CEB7A5">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（1）故障处理 </w:t>
            </w:r>
          </w:p>
          <w:p w14:paraId="52FC948D">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供应商应提供现场软、硬件故障定位和处理服务。 </w:t>
            </w:r>
          </w:p>
          <w:p w14:paraId="5C6D71EA">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（2）配合采购人进行系统故障定位 </w:t>
            </w:r>
          </w:p>
          <w:p w14:paraId="59BBDB8D">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采购人出现与各类硬件设备相关但难以准确定位故障原因的系统问题时，为了保证故障得到及时、准确的定位和处理，供应商运维工程师根据采购人的合理安排到达现场提供技术支持服务。供应商工程师配合用户和其他相关厂商工程师对故障进行分析定位并及时解决。 </w:t>
            </w:r>
          </w:p>
          <w:p w14:paraId="1E304F41">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（3）对系统进行优化实施 </w:t>
            </w:r>
          </w:p>
          <w:p w14:paraId="20F9E8EA">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根据各类硬件设备的运行情况，按照采购人的优化实施安排，供应商应提供现场技术支持服务。供应商工程师配其他相关厂商工程师对系统参数和运行情况进行分析，提出改进方案并协助采购人进行调整。 </w:t>
            </w:r>
          </w:p>
          <w:p w14:paraId="5D12B5BC">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4、紧急故障处理服务</w:t>
            </w:r>
          </w:p>
          <w:p w14:paraId="08F1A1E3">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紧急故障指：导致关键业务应用不可用的故障。 </w:t>
            </w:r>
          </w:p>
          <w:p w14:paraId="452C41C9">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当采购人系统发生紧急故障时，供应商应及时响应并进行故障处理，通过多种渠道提供技术支持服务。供应商在接到故障申告后应10分钟内由相关工程师做出响应并开始处理，同时根据采购人要求立即派遣工程师，2小时之内赶到现场，提供不间断故障处理服务。 </w:t>
            </w:r>
          </w:p>
          <w:p w14:paraId="1F066BDF">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5、重大系统变更驻场值守服务 </w:t>
            </w:r>
          </w:p>
          <w:p w14:paraId="3328857A">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服务期内，采购人在出现新系统上线、系统割接、设备扩容、移机、机房调整等重大系统变更事件时，维护方对维护设备提供设备安装调试、配置调整等现场服务。 对于不属于供应商维护设备范围内设备，需现场配合其他厂家，并提供必要的辅助服务。 </w:t>
            </w:r>
          </w:p>
          <w:p w14:paraId="237D5D8F">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6、定期巡检及预防性维护服务 </w:t>
            </w:r>
          </w:p>
          <w:p w14:paraId="1D7C087E">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（1）定期巡检服务 </w:t>
            </w:r>
          </w:p>
          <w:p w14:paraId="7AE5F01B">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对本项目涉及的设备进行每月一次的定期检测、保养，并且出具巡检报告。巡检服务内容主要包括： 网络设备检查、主机设备检查、存储设备检查、系统配置检查、 系统和数据备份检查、系统运行情况分析、系统总体性能评估等。 </w:t>
            </w:r>
          </w:p>
          <w:p w14:paraId="121D5020">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（2）重要时段系统全面检查服务 </w:t>
            </w:r>
          </w:p>
          <w:p w14:paraId="1B7AD734">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在包括节假日期间，在重点保障时段来临之前，提前对参保设备和系统进行全面检查，确保系统稳定运行。 </w:t>
            </w:r>
          </w:p>
          <w:p w14:paraId="597DB745">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7、系统性能诊断及优化调整服务 </w:t>
            </w:r>
          </w:p>
          <w:p w14:paraId="5B4AC833">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应用系统主要由主机、数据库、中间件应用服务器和应用等构成。 为了保证系统的性能和可用性，在服务期内提供相关工具进行诊断和调优服务。 </w:t>
            </w:r>
          </w:p>
          <w:p w14:paraId="22DA31B8">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（1）定期利用平台工具检查主动发现应用系统核心组件数据库和应用服务器中可能出现的问题。 </w:t>
            </w:r>
          </w:p>
          <w:p w14:paraId="7BAD35F5">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（2）发现问题或潜在的故障因素，利用平台工具能够快速判断问题，确定产生这些问题的根本原因，进行深入诊断。</w:t>
            </w:r>
          </w:p>
          <w:p w14:paraId="38A103BC">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（3）对所有纳入服务范围的系统，定期利用平台工具对其数据库、 应用服务器、HTTP 服务器作全面分析、诊断、优化。提升应用系统的使用质量。 </w:t>
            </w:r>
          </w:p>
          <w:p w14:paraId="7052A83D">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（4）对使用过程中遇到的疑难问题进行技术支持。 </w:t>
            </w:r>
          </w:p>
          <w:p w14:paraId="5C4D440E">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（5）对授权软件进行支持。 </w:t>
            </w:r>
          </w:p>
          <w:p w14:paraId="78AFC0E8">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（6）对系统性能优化和系统安全、网络配置提供建议及支持。 </w:t>
            </w:r>
          </w:p>
          <w:p w14:paraId="02096B77">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（7）现场进行疑难问题解决。 </w:t>
            </w:r>
          </w:p>
          <w:p w14:paraId="1D43C946">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（8）现场系统性能优化。 </w:t>
            </w:r>
          </w:p>
          <w:p w14:paraId="45D8098E">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（9）现场进行系统配置。 </w:t>
            </w:r>
          </w:p>
          <w:p w14:paraId="1550A7BC">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8、提供机房巡检及设备运维，出具巡检服务报告。 </w:t>
            </w:r>
          </w:p>
          <w:p w14:paraId="2B53DBF9">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9、信息安全优化服务 </w:t>
            </w:r>
          </w:p>
          <w:p w14:paraId="4794CF2E">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（1）对安全设备配置进行调整，包括优化设备对应用层协议和应用内容的访问控制，及时更新所有安全设备特征库至最新版本； </w:t>
            </w:r>
          </w:p>
          <w:p w14:paraId="569071D7">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（2）对计算环境配置进行调整，包括操作系统安全策略、数据库安全策略、应用安全策略的调整，以满足信息安全要求； </w:t>
            </w:r>
          </w:p>
          <w:p w14:paraId="7DDF58F2">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（3）定期执行漏洞扫描或渗透测试，对网络设备、安全设备、应用系统、系统管理软件进行漏洞扫描或渗透测试； </w:t>
            </w:r>
          </w:p>
          <w:p w14:paraId="3E722B02">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（4）对安全审计类设备进行调优，包括堡垒机、数据库审计、运维管理平台等系统，以满足信息安全管理要求； </w:t>
            </w:r>
          </w:p>
          <w:p w14:paraId="675B8D15">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（5）协助客户完善现有安全管理制度、系统检测文档和日常运维记录，形成全面的信息安全管理制度。 </w:t>
            </w:r>
          </w:p>
          <w:p w14:paraId="072B597E">
            <w:pPr>
              <w:pStyle w:val="16"/>
              <w:spacing w:after="0" w:line="360" w:lineRule="auto"/>
              <w:ind w:firstLine="0" w:firstLineChars="0"/>
              <w:rPr>
                <w:rFonts w:ascii="宋体" w:hAnsi="宋体" w:cs="宋体"/>
                <w:color w:val="auto"/>
                <w:szCs w:val="21"/>
                <w:highlight w:val="none"/>
              </w:rPr>
            </w:pPr>
            <w:r>
              <w:rPr>
                <w:rFonts w:hint="eastAsia" w:ascii="宋体" w:hAnsi="宋体" w:cs="宋体"/>
                <w:color w:val="auto"/>
                <w:highlight w:val="none"/>
              </w:rPr>
              <w:t>10、运维服务报告：根据业务需求，按月、季度和年度，提供不同时间段的运维报告，并对运维报告进行解读，加强交流，充分发挥运维的实效。</w:t>
            </w:r>
          </w:p>
        </w:tc>
      </w:tr>
      <w:tr w14:paraId="7ADD7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7ED45F7D">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516" w:type="dxa"/>
            <w:gridSpan w:val="2"/>
            <w:vAlign w:val="center"/>
          </w:tcPr>
          <w:p w14:paraId="5910F295">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机房</w:t>
            </w:r>
          </w:p>
          <w:p w14:paraId="74BE4DCF">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网络安全设备及维保服务</w:t>
            </w:r>
          </w:p>
        </w:tc>
        <w:tc>
          <w:tcPr>
            <w:tcW w:w="1050" w:type="dxa"/>
            <w:vAlign w:val="center"/>
          </w:tcPr>
          <w:p w14:paraId="0E714B88">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1077" w:type="dxa"/>
            <w:vAlign w:val="center"/>
          </w:tcPr>
          <w:p w14:paraId="409C7142">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c>
          <w:tcPr>
            <w:tcW w:w="5416" w:type="dxa"/>
            <w:vAlign w:val="center"/>
          </w:tcPr>
          <w:p w14:paraId="2BBA0419">
            <w:pPr>
              <w:pStyle w:val="17"/>
              <w:numPr>
                <w:ilvl w:val="0"/>
                <w:numId w:val="5"/>
              </w:numPr>
              <w:spacing w:line="600" w:lineRule="auto"/>
              <w:ind w:left="0" w:leftChars="0"/>
              <w:rPr>
                <w:rFonts w:ascii="宋体" w:hAnsi="宋体" w:cs="宋体"/>
                <w:b/>
                <w:bCs/>
                <w:color w:val="auto"/>
                <w:highlight w:val="none"/>
              </w:rPr>
            </w:pPr>
            <w:r>
              <w:rPr>
                <w:rFonts w:hint="eastAsia" w:ascii="宋体" w:hAnsi="宋体" w:cs="宋体"/>
                <w:b/>
                <w:bCs/>
                <w:color w:val="auto"/>
                <w:highlight w:val="none"/>
              </w:rPr>
              <w:t>提供安全设备（硬件维保和软件维保），具体如下：</w:t>
            </w:r>
          </w:p>
          <w:p w14:paraId="39E06A5D">
            <w:pPr>
              <w:numPr>
                <w:ilvl w:val="0"/>
                <w:numId w:val="6"/>
              </w:numPr>
              <w:spacing w:line="360" w:lineRule="auto"/>
              <w:rPr>
                <w:rFonts w:ascii="宋体" w:hAnsi="宋体" w:cs="宋体"/>
                <w:color w:val="auto"/>
                <w:highlight w:val="none"/>
              </w:rPr>
            </w:pPr>
            <w:r>
              <w:rPr>
                <w:rFonts w:hint="eastAsia" w:ascii="宋体" w:hAnsi="宋体" w:cs="宋体"/>
                <w:color w:val="auto"/>
                <w:highlight w:val="none"/>
              </w:rPr>
              <w:t>深信服   防火墙 AF-2000-B2100-1K 一台 一年续保服务（含特征库及软件版本升级，硬件保修服务）</w:t>
            </w:r>
          </w:p>
          <w:p w14:paraId="2E0676A0">
            <w:pPr>
              <w:numPr>
                <w:ilvl w:val="0"/>
                <w:numId w:val="6"/>
              </w:numPr>
              <w:spacing w:line="360" w:lineRule="auto"/>
              <w:rPr>
                <w:rFonts w:ascii="宋体" w:hAnsi="宋体" w:cs="宋体"/>
                <w:color w:val="auto"/>
                <w:highlight w:val="none"/>
              </w:rPr>
            </w:pPr>
            <w:r>
              <w:rPr>
                <w:rFonts w:hint="eastAsia" w:ascii="宋体" w:hAnsi="宋体" w:cs="宋体"/>
                <w:color w:val="auto"/>
                <w:highlight w:val="none"/>
              </w:rPr>
              <w:t>启明星辰  防火墙USG-FW-4000-T-NF3610一台 一年续保服务（含特征库及软件版本升级，硬件保修服务）</w:t>
            </w:r>
          </w:p>
          <w:p w14:paraId="12401763">
            <w:pPr>
              <w:pStyle w:val="16"/>
              <w:numPr>
                <w:ilvl w:val="0"/>
                <w:numId w:val="6"/>
              </w:numPr>
              <w:spacing w:line="360" w:lineRule="auto"/>
              <w:ind w:firstLine="0" w:firstLineChars="0"/>
              <w:rPr>
                <w:rFonts w:ascii="宋体" w:hAnsi="宋体" w:cs="宋体"/>
                <w:color w:val="auto"/>
                <w:highlight w:val="none"/>
              </w:rPr>
            </w:pPr>
            <w:r>
              <w:rPr>
                <w:rFonts w:hint="eastAsia" w:ascii="宋体" w:hAnsi="宋体" w:cs="宋体"/>
                <w:color w:val="auto"/>
                <w:highlight w:val="none"/>
              </w:rPr>
              <w:t>深信服   负载均衡 AD-1000-B1800-9Q 一台   一年维保服务（含特征库及软件版本升级，硬件保修服务）</w:t>
            </w:r>
          </w:p>
          <w:p w14:paraId="1CB98925">
            <w:pPr>
              <w:numPr>
                <w:ilvl w:val="0"/>
                <w:numId w:val="6"/>
              </w:numPr>
              <w:spacing w:line="360" w:lineRule="auto"/>
              <w:rPr>
                <w:rFonts w:ascii="宋体" w:hAnsi="宋体" w:cs="宋体"/>
                <w:color w:val="auto"/>
                <w:highlight w:val="none"/>
              </w:rPr>
            </w:pPr>
            <w:r>
              <w:rPr>
                <w:rFonts w:hint="eastAsia" w:ascii="宋体" w:hAnsi="宋体" w:cs="宋体"/>
                <w:color w:val="auto"/>
                <w:highlight w:val="none"/>
              </w:rPr>
              <w:t>启明星辰  防火墙USG-FW-4000-T-NF3610一台 一年续保服务（含特征库及软件版本升级，硬件保修服务）</w:t>
            </w:r>
          </w:p>
          <w:p w14:paraId="00988E1D">
            <w:pPr>
              <w:numPr>
                <w:ilvl w:val="0"/>
                <w:numId w:val="6"/>
              </w:numPr>
              <w:spacing w:line="360" w:lineRule="auto"/>
              <w:rPr>
                <w:rFonts w:ascii="宋体" w:hAnsi="宋体" w:cs="宋体"/>
                <w:color w:val="auto"/>
                <w:highlight w:val="none"/>
              </w:rPr>
            </w:pPr>
            <w:r>
              <w:rPr>
                <w:rFonts w:hint="eastAsia" w:ascii="宋体" w:hAnsi="宋体" w:cs="宋体"/>
                <w:color w:val="auto"/>
                <w:highlight w:val="none"/>
              </w:rPr>
              <w:t>启明星辰  防火墙USG-FW-4000-T-NF3610一台 一年续保服务（含特征库及软件版本升级，硬件保修服务）</w:t>
            </w:r>
          </w:p>
          <w:p w14:paraId="79AB851C">
            <w:pPr>
              <w:pStyle w:val="17"/>
              <w:numPr>
                <w:ilvl w:val="0"/>
                <w:numId w:val="6"/>
              </w:numPr>
              <w:spacing w:line="360" w:lineRule="auto"/>
              <w:ind w:left="0" w:leftChars="0"/>
              <w:rPr>
                <w:color w:val="auto"/>
                <w:highlight w:val="none"/>
              </w:rPr>
            </w:pPr>
            <w:r>
              <w:rPr>
                <w:rFonts w:hint="eastAsia"/>
                <w:color w:val="auto"/>
                <w:highlight w:val="none"/>
              </w:rPr>
              <w:t>深信服   AC-1000-B1500-1K  一台  一年维保服务（含特征库及软件版本升级，硬件保修服务）</w:t>
            </w:r>
          </w:p>
          <w:p w14:paraId="6F3A0ACF">
            <w:pPr>
              <w:numPr>
                <w:ilvl w:val="0"/>
                <w:numId w:val="6"/>
              </w:numPr>
              <w:spacing w:line="360" w:lineRule="auto"/>
              <w:rPr>
                <w:color w:val="auto"/>
                <w:highlight w:val="none"/>
              </w:rPr>
            </w:pPr>
            <w:r>
              <w:rPr>
                <w:rFonts w:hint="eastAsia"/>
                <w:color w:val="auto"/>
                <w:highlight w:val="none"/>
              </w:rPr>
              <w:t>北信源    网络接入控制系统  VRV BMG V6.0 一台  一年维保服务（含特征库版本升级，硬件保修服务）</w:t>
            </w:r>
          </w:p>
          <w:p w14:paraId="2C9E12C9">
            <w:pPr>
              <w:pStyle w:val="16"/>
              <w:spacing w:line="360" w:lineRule="auto"/>
              <w:ind w:firstLine="0" w:firstLineChars="0"/>
              <w:rPr>
                <w:color w:val="auto"/>
                <w:highlight w:val="none"/>
              </w:rPr>
            </w:pPr>
            <w:r>
              <w:rPr>
                <w:rFonts w:hint="eastAsia"/>
                <w:color w:val="auto"/>
                <w:highlight w:val="none"/>
              </w:rPr>
              <w:t>（8）启明星辰   入侵防御系统天清 NGIPS5000-M1 一台 一年维保服务(含特征库及软件版本升级，硬件保修服务)</w:t>
            </w:r>
          </w:p>
          <w:p w14:paraId="778C0C9E">
            <w:pPr>
              <w:pStyle w:val="16"/>
              <w:spacing w:line="360" w:lineRule="auto"/>
              <w:ind w:firstLine="0" w:firstLineChars="0"/>
              <w:rPr>
                <w:color w:val="auto"/>
                <w:highlight w:val="none"/>
              </w:rPr>
            </w:pPr>
            <w:r>
              <w:rPr>
                <w:rFonts w:hint="eastAsia"/>
                <w:color w:val="auto"/>
                <w:highlight w:val="none"/>
              </w:rPr>
              <w:t>（9）山石网科   万兆防火墙   SG6K-E3960-CN-036  一台 一年维保服务（含特征库及软件版本升级，硬件保修服务）</w:t>
            </w:r>
          </w:p>
          <w:p w14:paraId="4071683F">
            <w:pPr>
              <w:pStyle w:val="16"/>
              <w:spacing w:line="360" w:lineRule="auto"/>
              <w:ind w:firstLine="0" w:firstLineChars="0"/>
              <w:rPr>
                <w:color w:val="auto"/>
                <w:highlight w:val="none"/>
              </w:rPr>
            </w:pPr>
            <w:r>
              <w:rPr>
                <w:rFonts w:hint="eastAsia"/>
                <w:color w:val="auto"/>
                <w:highlight w:val="none"/>
              </w:rPr>
              <w:t>（10）深信服   防火墙 AF-2020 一台   一年维保服务（特征库及软件版本升级，硬件保修服务）</w:t>
            </w:r>
          </w:p>
          <w:p w14:paraId="10856E86">
            <w:pPr>
              <w:pStyle w:val="16"/>
              <w:spacing w:line="360" w:lineRule="auto"/>
              <w:ind w:firstLine="0" w:firstLineChars="0"/>
              <w:rPr>
                <w:color w:val="auto"/>
                <w:highlight w:val="none"/>
              </w:rPr>
            </w:pPr>
            <w:r>
              <w:rPr>
                <w:rFonts w:hint="eastAsia"/>
                <w:color w:val="auto"/>
                <w:highlight w:val="none"/>
              </w:rPr>
              <w:t>（11）天融信 防病毒网关 TF51638-Virus-CD 两台 一年维保服务 (含病毒库及软件版本升级，硬件保修服务)</w:t>
            </w:r>
          </w:p>
          <w:p w14:paraId="24A4CA43">
            <w:pPr>
              <w:pStyle w:val="16"/>
              <w:spacing w:line="360" w:lineRule="auto"/>
              <w:ind w:firstLine="0" w:firstLineChars="0"/>
              <w:rPr>
                <w:color w:val="auto"/>
                <w:highlight w:val="none"/>
              </w:rPr>
            </w:pPr>
            <w:r>
              <w:rPr>
                <w:rFonts w:hint="eastAsia"/>
                <w:color w:val="auto"/>
                <w:highlight w:val="none"/>
              </w:rPr>
              <w:t>（12）深信服 负载均衡 AD-6000-XN 两台 一年维保服务(含特征 库及软件版本升级，硬件保修服务)</w:t>
            </w:r>
          </w:p>
          <w:p w14:paraId="27118868">
            <w:pPr>
              <w:pStyle w:val="16"/>
              <w:spacing w:line="360" w:lineRule="auto"/>
              <w:ind w:firstLine="0" w:firstLineChars="0"/>
              <w:rPr>
                <w:color w:val="auto"/>
                <w:highlight w:val="none"/>
              </w:rPr>
            </w:pPr>
            <w:r>
              <w:rPr>
                <w:rFonts w:hint="eastAsia"/>
                <w:color w:val="auto"/>
                <w:highlight w:val="none"/>
              </w:rPr>
              <w:t>（13）深信服 上网行为管理 AC-4300-XN 两台 一年维保服务(特 征库及软件版本升级，硬件保修服务)</w:t>
            </w:r>
          </w:p>
          <w:p w14:paraId="53357D56">
            <w:pPr>
              <w:pStyle w:val="16"/>
              <w:spacing w:line="360" w:lineRule="auto"/>
              <w:ind w:firstLine="0" w:firstLineChars="0"/>
              <w:rPr>
                <w:color w:val="auto"/>
                <w:highlight w:val="none"/>
              </w:rPr>
            </w:pPr>
            <w:r>
              <w:rPr>
                <w:rFonts w:hint="eastAsia"/>
                <w:color w:val="auto"/>
                <w:highlight w:val="none"/>
              </w:rPr>
              <w:t>（14）深信服 VPN  VPN-4050-XN 两台 一年维保服务(含软件版本升级，硬件保修服务)</w:t>
            </w:r>
          </w:p>
          <w:p w14:paraId="5F92CD49">
            <w:pPr>
              <w:pStyle w:val="16"/>
              <w:spacing w:line="360" w:lineRule="auto"/>
              <w:ind w:firstLine="0" w:firstLineChars="0"/>
              <w:rPr>
                <w:color w:val="auto"/>
                <w:highlight w:val="none"/>
              </w:rPr>
            </w:pPr>
            <w:r>
              <w:rPr>
                <w:rFonts w:hint="eastAsia"/>
                <w:color w:val="auto"/>
                <w:highlight w:val="none"/>
              </w:rPr>
              <w:t>（15）深信服 防火墙 AF-3120-XN 两台一年维保服务(含特征库及 软件版本升级，硬件保修服务)</w:t>
            </w:r>
          </w:p>
          <w:p w14:paraId="5C90BB2A">
            <w:pPr>
              <w:pStyle w:val="17"/>
              <w:spacing w:line="360" w:lineRule="auto"/>
              <w:ind w:left="0" w:leftChars="0"/>
              <w:rPr>
                <w:color w:val="auto"/>
                <w:highlight w:val="none"/>
              </w:rPr>
            </w:pPr>
            <w:r>
              <w:rPr>
                <w:rFonts w:hint="eastAsia"/>
                <w:color w:val="auto"/>
                <w:highlight w:val="none"/>
              </w:rPr>
              <w:t>（16）绿盟 漏洞扫描 RSASNX3-X-C 一台 一年维保服务(含特征库及软件版本升级，硬件保修服务)</w:t>
            </w:r>
          </w:p>
          <w:p w14:paraId="3CF6E32E">
            <w:pPr>
              <w:pStyle w:val="17"/>
              <w:spacing w:line="360" w:lineRule="auto"/>
              <w:ind w:left="0" w:leftChars="0"/>
              <w:rPr>
                <w:color w:val="auto"/>
                <w:highlight w:val="none"/>
              </w:rPr>
            </w:pPr>
            <w:r>
              <w:rPr>
                <w:rFonts w:hint="eastAsia"/>
                <w:color w:val="auto"/>
                <w:highlight w:val="none"/>
              </w:rPr>
              <w:t>（17）绿盟 WAF  NX5 HD1600  两台 一年维保服务(含特征库及软件版本升级，硬件保修服务)</w:t>
            </w:r>
          </w:p>
          <w:p w14:paraId="5961C70E">
            <w:pPr>
              <w:pStyle w:val="17"/>
              <w:spacing w:line="360" w:lineRule="auto"/>
              <w:ind w:left="0" w:leftChars="0"/>
              <w:rPr>
                <w:color w:val="auto"/>
                <w:highlight w:val="none"/>
              </w:rPr>
            </w:pPr>
            <w:r>
              <w:rPr>
                <w:rFonts w:hint="eastAsia"/>
                <w:color w:val="auto"/>
                <w:highlight w:val="none"/>
              </w:rPr>
              <w:t>(18)天融信 安全及数据库审计系统 TA-11424-DB-CL 一台 一年 维保服务(含特征库及软件版本升级，硬件保修服务)</w:t>
            </w:r>
          </w:p>
          <w:p w14:paraId="77F8B52E">
            <w:pPr>
              <w:pStyle w:val="17"/>
              <w:spacing w:line="360" w:lineRule="auto"/>
              <w:ind w:left="0" w:leftChars="0"/>
              <w:rPr>
                <w:color w:val="auto"/>
                <w:highlight w:val="none"/>
              </w:rPr>
            </w:pPr>
            <w:r>
              <w:rPr>
                <w:rFonts w:hint="eastAsia"/>
                <w:color w:val="auto"/>
                <w:highlight w:val="none"/>
              </w:rPr>
              <w:t>(19)天融信 日志审计系统 TA-L-SE-QD 一台 一年维保服务(含软件版本升级，硬件保修服务)</w:t>
            </w:r>
          </w:p>
          <w:p w14:paraId="00629F1A">
            <w:pPr>
              <w:pStyle w:val="17"/>
              <w:spacing w:line="360" w:lineRule="auto"/>
              <w:ind w:left="0" w:leftChars="0"/>
              <w:rPr>
                <w:color w:val="auto"/>
                <w:highlight w:val="none"/>
              </w:rPr>
            </w:pPr>
            <w:r>
              <w:rPr>
                <w:rFonts w:hint="eastAsia"/>
                <w:color w:val="auto"/>
                <w:highlight w:val="none"/>
              </w:rPr>
              <w:t>（20）深信服 防火墙 AF-1820 一台 一年维保服务(含特征库及软件版本升级，硬件保修服务)</w:t>
            </w:r>
          </w:p>
          <w:p w14:paraId="3044AE6C">
            <w:pPr>
              <w:pStyle w:val="17"/>
              <w:numPr>
                <w:ilvl w:val="0"/>
                <w:numId w:val="5"/>
              </w:numPr>
              <w:spacing w:line="600" w:lineRule="auto"/>
              <w:ind w:left="0" w:leftChars="0"/>
              <w:rPr>
                <w:rFonts w:ascii="宋体" w:hAnsi="宋体" w:cs="宋体"/>
                <w:b/>
                <w:bCs/>
                <w:color w:val="auto"/>
                <w:highlight w:val="none"/>
              </w:rPr>
            </w:pPr>
            <w:r>
              <w:rPr>
                <w:rFonts w:hint="eastAsia" w:ascii="宋体" w:hAnsi="宋体" w:cs="宋体"/>
                <w:b/>
                <w:bCs/>
                <w:color w:val="auto"/>
                <w:highlight w:val="none"/>
              </w:rPr>
              <w:t xml:space="preserve">北塔智慧运维平台软件维保及升级服务 </w:t>
            </w:r>
          </w:p>
          <w:p w14:paraId="4A47F3A2">
            <w:pPr>
              <w:spacing w:line="360" w:lineRule="auto"/>
              <w:rPr>
                <w:color w:val="auto"/>
                <w:highlight w:val="none"/>
              </w:rPr>
            </w:pPr>
            <w:r>
              <w:rPr>
                <w:rFonts w:hint="eastAsia" w:ascii="宋体" w:hAnsi="宋体" w:cs="宋体"/>
                <w:color w:val="auto"/>
                <w:highlight w:val="none"/>
              </w:rPr>
              <w:t>提供北塔智慧运维平台软件一台一年续保及升级服务。在服务期内提供软件免费升级、bug解决服务、远程技术支持服务。</w:t>
            </w:r>
          </w:p>
          <w:p w14:paraId="17426A6A">
            <w:pPr>
              <w:numPr>
                <w:ilvl w:val="0"/>
                <w:numId w:val="7"/>
              </w:numPr>
              <w:spacing w:line="360" w:lineRule="auto"/>
              <w:rPr>
                <w:rFonts w:ascii="宋体" w:hAnsi="宋体" w:cs="宋体"/>
                <w:color w:val="auto"/>
                <w:highlight w:val="none"/>
              </w:rPr>
            </w:pPr>
            <w:r>
              <w:rPr>
                <w:rFonts w:hint="eastAsia" w:ascii="宋体" w:hAnsi="宋体" w:cs="宋体"/>
                <w:color w:val="auto"/>
                <w:highlight w:val="none"/>
              </w:rPr>
              <w:t>基础平台：</w:t>
            </w:r>
          </w:p>
          <w:p w14:paraId="2AE19D60">
            <w:pPr>
              <w:spacing w:line="360" w:lineRule="auto"/>
              <w:rPr>
                <w:rFonts w:ascii="宋体" w:hAnsi="宋体" w:cs="宋体"/>
                <w:color w:val="auto"/>
                <w:highlight w:val="none"/>
              </w:rPr>
            </w:pPr>
            <w:r>
              <w:rPr>
                <w:rFonts w:hint="eastAsia" w:ascii="宋体" w:hAnsi="宋体" w:cs="宋体"/>
                <w:color w:val="auto"/>
                <w:highlight w:val="none"/>
              </w:rPr>
              <w:t>部署在windows操作系统，实现各管理对象监控模型的管理，并实现采集数据的过滤、存储、查询功能。提供对采集指标进行实时阈值功能，提供性能数据1年的存储和接口查询能力。提供基于规则的单阈值告警检测和过滤功能。包含1个采集器，最大支持1000节点；基础平台默认带50个基础资源节点，20个IP示意节点；提供175个基础资源节点的授权。</w:t>
            </w:r>
          </w:p>
          <w:p w14:paraId="49F87A58">
            <w:pPr>
              <w:pStyle w:val="16"/>
              <w:numPr>
                <w:ilvl w:val="0"/>
                <w:numId w:val="7"/>
              </w:numPr>
              <w:spacing w:after="0" w:line="360" w:lineRule="auto"/>
              <w:ind w:firstLine="0" w:firstLineChars="0"/>
              <w:rPr>
                <w:rFonts w:ascii="宋体" w:hAnsi="宋体" w:cs="宋体"/>
                <w:color w:val="auto"/>
                <w:highlight w:val="none"/>
              </w:rPr>
            </w:pPr>
            <w:r>
              <w:rPr>
                <w:rFonts w:hint="eastAsia" w:ascii="宋体" w:hAnsi="宋体" w:cs="宋体"/>
                <w:color w:val="auto"/>
                <w:highlight w:val="none"/>
              </w:rPr>
              <w:t>扩展节点：</w:t>
            </w:r>
          </w:p>
          <w:p w14:paraId="511EEE3A">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包含网络设备（包含无线AC）、操作系统、数据库、Oracle-rac（clusterware)、中间件、标准应用、虚拟化宿主机、动环设备（具有IP网管能力）的节点授权。支持25个上述任一种节点的数据采集管理。</w:t>
            </w:r>
          </w:p>
          <w:p w14:paraId="5281A39B">
            <w:pPr>
              <w:pStyle w:val="17"/>
              <w:numPr>
                <w:ilvl w:val="0"/>
                <w:numId w:val="7"/>
              </w:numPr>
              <w:spacing w:line="360" w:lineRule="auto"/>
              <w:ind w:left="0" w:leftChars="0"/>
              <w:rPr>
                <w:rFonts w:ascii="宋体" w:hAnsi="宋体" w:cs="宋体"/>
                <w:color w:val="auto"/>
                <w:highlight w:val="none"/>
              </w:rPr>
            </w:pPr>
            <w:r>
              <w:rPr>
                <w:rFonts w:hint="eastAsia" w:ascii="宋体" w:hAnsi="宋体" w:cs="宋体"/>
                <w:color w:val="auto"/>
                <w:highlight w:val="none"/>
              </w:rPr>
              <w:t>基础管理：</w:t>
            </w:r>
          </w:p>
          <w:p w14:paraId="2B63A507">
            <w:pPr>
              <w:pStyle w:val="17"/>
              <w:spacing w:line="360" w:lineRule="auto"/>
              <w:ind w:left="0" w:leftChars="0"/>
              <w:rPr>
                <w:rFonts w:ascii="宋体" w:hAnsi="宋体" w:cs="宋体"/>
                <w:color w:val="auto"/>
                <w:highlight w:val="none"/>
              </w:rPr>
            </w:pPr>
            <w:r>
              <w:rPr>
                <w:rFonts w:hint="eastAsia" w:ascii="宋体" w:hAnsi="宋体" w:cs="宋体"/>
                <w:color w:val="auto"/>
                <w:highlight w:val="none"/>
              </w:rPr>
              <w:t>提供用户管理、操作审计、个性首页、应用导航、告警阈值判断等基本支撑能力。通过个性首页可以实现各类采集管理指标的不同业务目标的定制查看界面。提供阈值告警设置、实时告警查下看、历史告警分析等基础告警管理功能，支持最大10个并发用户同时方位用户。提供以硬件短信猫、邮件、CMD脚本调用、数据库脚本方式的告警输出，同时基于网页播放声音进行告警通知。</w:t>
            </w:r>
          </w:p>
          <w:p w14:paraId="5441BE05">
            <w:pPr>
              <w:pStyle w:val="17"/>
              <w:spacing w:line="360" w:lineRule="auto"/>
              <w:ind w:left="0" w:leftChars="0"/>
              <w:rPr>
                <w:rFonts w:ascii="宋体" w:hAnsi="宋体" w:cs="宋体"/>
                <w:color w:val="auto"/>
                <w:highlight w:val="none"/>
              </w:rPr>
            </w:pPr>
            <w:r>
              <w:rPr>
                <w:rFonts w:hint="eastAsia" w:ascii="宋体" w:hAnsi="宋体" w:cs="宋体"/>
                <w:color w:val="auto"/>
                <w:highlight w:val="none"/>
              </w:rPr>
              <w:t>4、报表与数据分析：</w:t>
            </w:r>
          </w:p>
          <w:p w14:paraId="770D4C51">
            <w:pPr>
              <w:pStyle w:val="17"/>
              <w:spacing w:line="360" w:lineRule="auto"/>
              <w:ind w:left="0" w:leftChars="0"/>
              <w:rPr>
                <w:rFonts w:ascii="宋体" w:hAnsi="宋体" w:cs="宋体"/>
                <w:color w:val="auto"/>
                <w:highlight w:val="none"/>
              </w:rPr>
            </w:pPr>
            <w:r>
              <w:rPr>
                <w:rFonts w:hint="eastAsia" w:ascii="宋体" w:hAnsi="宋体" w:cs="宋体"/>
                <w:color w:val="auto"/>
                <w:highlight w:val="none"/>
              </w:rPr>
              <w:t>（1）提供各类管理对象1年数据无压缩存储和查询能力，通过简单设置可实现不同管理域的个性化报表，同时可提供日周月季年多个统计周期的报表，并提供对资源各类关键的表格化数据进行实时快照记录，并提供手动对比功能，为动态数据提供有效的分析方法；</w:t>
            </w:r>
          </w:p>
          <w:p w14:paraId="5A320074">
            <w:pPr>
              <w:spacing w:line="360" w:lineRule="auto"/>
              <w:rPr>
                <w:rFonts w:ascii="宋体" w:hAnsi="宋体" w:cs="宋体"/>
                <w:color w:val="auto"/>
                <w:highlight w:val="none"/>
              </w:rPr>
            </w:pPr>
            <w:r>
              <w:rPr>
                <w:rFonts w:hint="eastAsia" w:ascii="宋体" w:hAnsi="宋体" w:cs="宋体"/>
                <w:color w:val="auto"/>
                <w:highlight w:val="none"/>
              </w:rPr>
              <w:t>（2）提供基础报表模板内容包括：可用率、性能负载、告警统计、容量分析相关统计报表。</w:t>
            </w:r>
          </w:p>
          <w:p w14:paraId="49123BC1">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5、基础监控管理：</w:t>
            </w:r>
          </w:p>
          <w:p w14:paraId="75A8FACE">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(1)操作系统管理：支持对于windows、linux、hp unix、Aix、solaris类型操作系统的管理，实现主机状态的集中查看和单个设备查看结合的管理，支持对于基本信息、运行状态、硬件状态、运行内容的一体化管理，购买本模板赠送系统拓扑视图模块；配合本模块可以使用内存泄露分析、高负载应用进程分析、空间增长分析策略。</w:t>
            </w:r>
          </w:p>
          <w:p w14:paraId="4C379AC1">
            <w:pPr>
              <w:pStyle w:val="17"/>
              <w:spacing w:line="360" w:lineRule="auto"/>
              <w:ind w:left="0" w:leftChars="0"/>
              <w:rPr>
                <w:rFonts w:ascii="宋体" w:hAnsi="宋体" w:cs="宋体"/>
                <w:color w:val="auto"/>
                <w:highlight w:val="none"/>
              </w:rPr>
            </w:pPr>
            <w:r>
              <w:rPr>
                <w:rFonts w:hint="eastAsia" w:ascii="宋体" w:hAnsi="宋体" w:cs="宋体"/>
                <w:color w:val="auto"/>
                <w:highlight w:val="none"/>
              </w:rPr>
              <w:t>（2）标准服务组件管理：提供数据库、中间件、标准应用单实例的管理，实现数状态、性能、相关进程的一体化管理，购买本模板赠送系统拓扑视图模块。配合本模块可以使用oracle异常现场组合快照分析，表空间增长分析智能分析方案。</w:t>
            </w:r>
          </w:p>
          <w:p w14:paraId="44D62E8B">
            <w:pPr>
              <w:spacing w:line="360" w:lineRule="auto"/>
              <w:rPr>
                <w:rFonts w:ascii="宋体" w:hAnsi="宋体" w:cs="宋体"/>
                <w:color w:val="auto"/>
                <w:highlight w:val="none"/>
              </w:rPr>
            </w:pPr>
            <w:r>
              <w:rPr>
                <w:rFonts w:hint="eastAsia" w:ascii="宋体" w:hAnsi="宋体" w:cs="宋体"/>
                <w:color w:val="auto"/>
                <w:highlight w:val="none"/>
              </w:rPr>
              <w:t>（3）网络拓扑管理：提供对网络设备拓扑关系展现、设备性能、设备状态的实时展现和监控。</w:t>
            </w:r>
          </w:p>
          <w:p w14:paraId="7362F49C">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6、智能巡检管理：</w:t>
            </w:r>
          </w:p>
          <w:p w14:paraId="61F4699F">
            <w:pPr>
              <w:pStyle w:val="17"/>
              <w:spacing w:line="360" w:lineRule="auto"/>
              <w:ind w:left="0" w:leftChars="0"/>
              <w:rPr>
                <w:rFonts w:ascii="宋体" w:hAnsi="宋体" w:cs="宋体"/>
                <w:color w:val="auto"/>
                <w:highlight w:val="none"/>
              </w:rPr>
            </w:pPr>
            <w:r>
              <w:rPr>
                <w:rFonts w:hint="eastAsia" w:ascii="宋体" w:hAnsi="宋体" w:cs="宋体"/>
                <w:color w:val="auto"/>
                <w:highlight w:val="none"/>
              </w:rPr>
              <w:t>提供日、周、月、季、年多种周期的巡检任务的设定，系统可以根据既定周期进行巡检巡检任务的自动执行；并可生成巡检报告统计；</w:t>
            </w:r>
          </w:p>
          <w:p w14:paraId="4CFA98DE">
            <w:pPr>
              <w:numPr>
                <w:ilvl w:val="0"/>
                <w:numId w:val="8"/>
              </w:numPr>
              <w:spacing w:line="360" w:lineRule="auto"/>
              <w:rPr>
                <w:rFonts w:ascii="宋体" w:hAnsi="宋体" w:cs="宋体"/>
                <w:color w:val="auto"/>
                <w:highlight w:val="none"/>
              </w:rPr>
            </w:pPr>
            <w:r>
              <w:rPr>
                <w:rFonts w:hint="eastAsia" w:ascii="宋体" w:hAnsi="宋体" w:cs="宋体"/>
                <w:color w:val="auto"/>
                <w:highlight w:val="none"/>
              </w:rPr>
              <w:t>标准技术服务：</w:t>
            </w:r>
          </w:p>
          <w:p w14:paraId="3EC9291C">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在服务期内提供软件免费升级、bug解决服务、远程技术支持服务。</w:t>
            </w:r>
          </w:p>
          <w:p w14:paraId="77E3E3B7">
            <w:pPr>
              <w:pStyle w:val="17"/>
              <w:spacing w:line="360" w:lineRule="auto"/>
              <w:ind w:left="0" w:leftChars="0"/>
              <w:rPr>
                <w:rFonts w:ascii="宋体" w:hAnsi="宋体" w:cs="宋体"/>
                <w:color w:val="auto"/>
                <w:highlight w:val="none"/>
              </w:rPr>
            </w:pPr>
            <w:r>
              <w:rPr>
                <w:rFonts w:hint="eastAsia" w:ascii="宋体" w:hAnsi="宋体" w:cs="宋体"/>
                <w:color w:val="auto"/>
                <w:highlight w:val="none"/>
              </w:rPr>
              <w:t>8、巡检服务：</w:t>
            </w:r>
          </w:p>
          <w:p w14:paraId="08016A5B">
            <w:pPr>
              <w:pStyle w:val="17"/>
              <w:spacing w:line="360" w:lineRule="auto"/>
              <w:ind w:left="0" w:leftChars="0"/>
              <w:rPr>
                <w:color w:val="auto"/>
                <w:highlight w:val="none"/>
              </w:rPr>
            </w:pPr>
            <w:r>
              <w:rPr>
                <w:rFonts w:hint="eastAsia" w:ascii="宋体" w:hAnsi="宋体" w:cs="宋体"/>
                <w:color w:val="auto"/>
                <w:highlight w:val="none"/>
              </w:rPr>
              <w:t>巡检服务每季度一次,并出具巡检服务报告。</w:t>
            </w:r>
          </w:p>
          <w:p w14:paraId="050DF8E2">
            <w:pPr>
              <w:pStyle w:val="17"/>
              <w:spacing w:line="600" w:lineRule="auto"/>
              <w:ind w:left="0" w:leftChars="0"/>
              <w:rPr>
                <w:rFonts w:ascii="宋体" w:hAnsi="宋体" w:cs="宋体"/>
                <w:b/>
                <w:bCs/>
                <w:color w:val="auto"/>
                <w:highlight w:val="none"/>
              </w:rPr>
            </w:pPr>
            <w:r>
              <w:rPr>
                <w:rFonts w:hint="eastAsia" w:ascii="宋体" w:hAnsi="宋体" w:cs="宋体"/>
                <w:b/>
                <w:bCs/>
                <w:color w:val="auto"/>
                <w:highlight w:val="none"/>
              </w:rPr>
              <w:t>三、安全软件升级维保服务</w:t>
            </w:r>
          </w:p>
          <w:p w14:paraId="0C6AC5CE">
            <w:pPr>
              <w:pStyle w:val="16"/>
              <w:spacing w:after="0" w:line="360" w:lineRule="auto"/>
              <w:ind w:firstLine="0" w:firstLineChars="0"/>
              <w:rPr>
                <w:rFonts w:ascii="宋体" w:hAnsi="宋体" w:cs="宋体"/>
                <w:color w:val="auto"/>
                <w:highlight w:val="none"/>
              </w:rPr>
            </w:pPr>
            <w:r>
              <w:rPr>
                <w:rFonts w:hint="eastAsia" w:ascii="宋体" w:hAnsi="宋体" w:cs="宋体"/>
                <w:color w:val="auto"/>
                <w:highlight w:val="none"/>
              </w:rPr>
              <w:t>提供终端检测响应平台原深信服</w:t>
            </w:r>
            <w:r>
              <w:rPr>
                <w:rFonts w:ascii="宋体" w:hAnsi="宋体" w:cs="宋体"/>
                <w:color w:val="auto"/>
                <w:highlight w:val="none"/>
              </w:rPr>
              <w:t>EDR</w:t>
            </w:r>
            <w:r>
              <w:rPr>
                <w:rFonts w:hint="eastAsia" w:ascii="宋体" w:hAnsi="宋体" w:cs="宋体"/>
                <w:color w:val="auto"/>
                <w:highlight w:val="none"/>
              </w:rPr>
              <w:t>续保及升级服务，包括终端检查响应平台</w:t>
            </w:r>
            <w:r>
              <w:rPr>
                <w:rFonts w:ascii="宋体" w:hAnsi="宋体" w:cs="宋体"/>
                <w:color w:val="auto"/>
                <w:highlight w:val="none"/>
              </w:rPr>
              <w:t>900</w:t>
            </w:r>
            <w:r>
              <w:rPr>
                <w:rFonts w:hint="eastAsia" w:ascii="宋体" w:hAnsi="宋体" w:cs="宋体"/>
                <w:color w:val="auto"/>
                <w:highlight w:val="none"/>
              </w:rPr>
              <w:t>个电脑终端，</w:t>
            </w:r>
            <w:r>
              <w:rPr>
                <w:rFonts w:ascii="宋体" w:hAnsi="宋体" w:cs="宋体"/>
                <w:color w:val="auto"/>
                <w:highlight w:val="none"/>
              </w:rPr>
              <w:t>200</w:t>
            </w:r>
            <w:r>
              <w:rPr>
                <w:rFonts w:hint="eastAsia" w:ascii="宋体" w:hAnsi="宋体" w:cs="宋体"/>
                <w:color w:val="auto"/>
                <w:highlight w:val="none"/>
              </w:rPr>
              <w:t xml:space="preserve">个服务器终端，提供 </w:t>
            </w:r>
            <w:r>
              <w:rPr>
                <w:rFonts w:ascii="宋体" w:hAnsi="宋体" w:cs="宋体"/>
                <w:color w:val="auto"/>
                <w:highlight w:val="none"/>
              </w:rPr>
              <w:t>1</w:t>
            </w:r>
            <w:r>
              <w:rPr>
                <w:rFonts w:hint="eastAsia" w:ascii="宋体" w:hAnsi="宋体" w:cs="宋体"/>
                <w:color w:val="auto"/>
                <w:highlight w:val="none"/>
              </w:rPr>
              <w:t>年软件升级、维保服务。运维服务内容包含日常巡检响应，月度巡检，季度巡检，重大事件、特殊时期应急保障技术支撑服务。</w:t>
            </w:r>
          </w:p>
          <w:p w14:paraId="748977B4">
            <w:pPr>
              <w:pStyle w:val="17"/>
              <w:numPr>
                <w:ilvl w:val="0"/>
                <w:numId w:val="9"/>
              </w:numPr>
              <w:spacing w:line="600" w:lineRule="auto"/>
              <w:ind w:left="0" w:leftChars="0"/>
              <w:rPr>
                <w:rFonts w:ascii="宋体" w:hAnsi="宋体" w:cs="宋体"/>
                <w:b/>
                <w:bCs/>
                <w:color w:val="auto"/>
                <w:highlight w:val="none"/>
              </w:rPr>
            </w:pPr>
            <w:r>
              <w:rPr>
                <w:rFonts w:hint="eastAsia" w:ascii="宋体" w:hAnsi="宋体" w:cs="宋体"/>
                <w:b/>
                <w:bCs/>
                <w:color w:val="auto"/>
                <w:highlight w:val="none"/>
              </w:rPr>
              <w:t>基础网络设备保障服务</w:t>
            </w:r>
          </w:p>
          <w:p w14:paraId="4A0EC309">
            <w:pPr>
              <w:numPr>
                <w:ilvl w:val="0"/>
                <w:numId w:val="10"/>
              </w:numPr>
              <w:spacing w:line="360" w:lineRule="auto"/>
              <w:rPr>
                <w:rFonts w:ascii="宋体" w:hAnsi="宋体" w:cs="宋体"/>
                <w:color w:val="auto"/>
                <w:szCs w:val="21"/>
                <w:highlight w:val="none"/>
              </w:rPr>
            </w:pPr>
            <w:r>
              <w:rPr>
                <w:rFonts w:hint="eastAsia" w:ascii="宋体" w:hAnsi="宋体" w:cs="宋体"/>
                <w:color w:val="auto"/>
                <w:highlight w:val="none"/>
              </w:rPr>
              <w:t>新增1项48千兆电口+4千兆光智能网管企业级网络交换机； 新增2项交换容量：336Gbps; 24千兆电口+4千兆光口智能网管企业级网络交换机；新增2项交换容量：56Gbps;24 千兆电口+4 千兆光口智能网管企业级网络交换机POE供电，新增2项内置天线双频，无线AP；作为备机及更换服务。</w:t>
            </w:r>
          </w:p>
        </w:tc>
      </w:tr>
      <w:tr w14:paraId="10343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left w:val="single" w:color="auto" w:sz="4" w:space="0"/>
              <w:bottom w:val="single" w:color="auto" w:sz="4" w:space="0"/>
              <w:right w:val="single" w:color="auto" w:sz="4" w:space="0"/>
            </w:tcBorders>
          </w:tcPr>
          <w:p w14:paraId="456B60A9">
            <w:pPr>
              <w:spacing w:line="360" w:lineRule="auto"/>
              <w:rPr>
                <w:rFonts w:ascii="宋体" w:hAnsi="宋体" w:cs="宋体"/>
                <w:color w:val="auto"/>
                <w:szCs w:val="21"/>
                <w:highlight w:val="none"/>
              </w:rPr>
            </w:pPr>
            <w:r>
              <w:rPr>
                <w:rFonts w:hint="eastAsia" w:ascii="宋体" w:hAnsi="宋体" w:cs="宋体"/>
                <w:b/>
                <w:color w:val="auto"/>
                <w:szCs w:val="21"/>
                <w:highlight w:val="none"/>
              </w:rPr>
              <w:t>商务要求</w:t>
            </w:r>
          </w:p>
        </w:tc>
      </w:tr>
      <w:tr w14:paraId="32F48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0ACDF4">
            <w:pPr>
              <w:widowControl/>
              <w:jc w:val="center"/>
              <w:rPr>
                <w:color w:val="auto"/>
                <w:szCs w:val="21"/>
                <w:highlight w:val="none"/>
              </w:rPr>
            </w:pPr>
            <w:r>
              <w:rPr>
                <w:rFonts w:hint="eastAsia" w:ascii="宋体" w:hAnsi="宋体" w:cs="宋体"/>
                <w:b/>
                <w:bCs/>
                <w:color w:val="auto"/>
                <w:highlight w:val="none"/>
              </w:rPr>
              <w:t>▲</w:t>
            </w:r>
            <w:r>
              <w:rPr>
                <w:rFonts w:hint="eastAsia" w:ascii="宋体" w:hAnsi="宋体" w:cs="宋体"/>
                <w:color w:val="auto"/>
                <w:kern w:val="0"/>
                <w:szCs w:val="21"/>
                <w:highlight w:val="none"/>
                <w:lang w:bidi="ar"/>
              </w:rPr>
              <w:t>磋商报价要求</w:t>
            </w:r>
          </w:p>
          <w:p w14:paraId="3DD87FDB">
            <w:pPr>
              <w:spacing w:line="360" w:lineRule="auto"/>
              <w:jc w:val="center"/>
              <w:rPr>
                <w:rFonts w:ascii="宋体" w:hAnsi="宋体" w:cs="宋体"/>
                <w:b/>
                <w:bCs/>
                <w:color w:val="auto"/>
                <w:szCs w:val="21"/>
                <w:highlight w:val="none"/>
              </w:rPr>
            </w:pPr>
          </w:p>
        </w:tc>
        <w:tc>
          <w:tcPr>
            <w:tcW w:w="76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58232B7">
            <w:pPr>
              <w:widowControl/>
              <w:spacing w:line="360" w:lineRule="auto"/>
              <w:jc w:val="left"/>
              <w:rPr>
                <w:rFonts w:ascii="宋体" w:hAnsi="宋体" w:cs="宋体"/>
                <w:b/>
                <w:bCs/>
                <w:color w:val="auto"/>
                <w:szCs w:val="21"/>
                <w:highlight w:val="none"/>
              </w:rPr>
            </w:pPr>
            <w:r>
              <w:rPr>
                <w:rFonts w:hint="eastAsia" w:ascii="宋体" w:hAnsi="宋体" w:cs="宋体"/>
                <w:color w:val="auto"/>
                <w:kern w:val="0"/>
                <w:szCs w:val="21"/>
                <w:highlight w:val="none"/>
                <w:lang w:bidi="ar"/>
              </w:rPr>
              <w:t>报价必须包含以下部分：与本项目服务所需的所有费用，含技术服务、派出工作人员的交通费、住宿费、伙食补助费及其他有关的费用。本项目至验收合格，采购人不另支付任何费用。必要的保险费用和各项税金。</w:t>
            </w:r>
          </w:p>
        </w:tc>
      </w:tr>
      <w:tr w14:paraId="7428B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BC5184">
            <w:pPr>
              <w:widowControl/>
              <w:jc w:val="center"/>
              <w:rPr>
                <w:color w:val="auto"/>
                <w:szCs w:val="21"/>
                <w:highlight w:val="none"/>
              </w:rPr>
            </w:pPr>
            <w:r>
              <w:rPr>
                <w:rFonts w:hint="eastAsia" w:ascii="宋体" w:hAnsi="宋体" w:cs="宋体"/>
                <w:b/>
                <w:bCs/>
                <w:color w:val="auto"/>
                <w:highlight w:val="none"/>
              </w:rPr>
              <w:t>▲</w:t>
            </w:r>
            <w:r>
              <w:rPr>
                <w:rFonts w:hint="eastAsia" w:ascii="宋体" w:hAnsi="宋体" w:cs="宋体"/>
                <w:color w:val="auto"/>
                <w:kern w:val="0"/>
                <w:szCs w:val="21"/>
                <w:highlight w:val="none"/>
                <w:lang w:bidi="ar"/>
              </w:rPr>
              <w:t>质量保证期</w:t>
            </w:r>
          </w:p>
          <w:p w14:paraId="0FC68931">
            <w:pPr>
              <w:spacing w:line="360" w:lineRule="auto"/>
              <w:jc w:val="center"/>
              <w:rPr>
                <w:rFonts w:ascii="宋体" w:hAnsi="宋体" w:cs="宋体"/>
                <w:b/>
                <w:bCs/>
                <w:color w:val="auto"/>
                <w:szCs w:val="21"/>
                <w:highlight w:val="none"/>
              </w:rPr>
            </w:pPr>
          </w:p>
        </w:tc>
        <w:tc>
          <w:tcPr>
            <w:tcW w:w="76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602C5E5">
            <w:pPr>
              <w:widowControl/>
              <w:spacing w:line="360" w:lineRule="auto"/>
              <w:ind w:firstLine="420" w:firstLineChars="200"/>
              <w:jc w:val="left"/>
              <w:rPr>
                <w:rFonts w:ascii="宋体" w:hAnsi="宋体" w:cs="宋体"/>
                <w:b/>
                <w:bCs/>
                <w:color w:val="auto"/>
                <w:szCs w:val="21"/>
                <w:highlight w:val="none"/>
              </w:rPr>
            </w:pPr>
            <w:r>
              <w:rPr>
                <w:rFonts w:hint="eastAsia" w:ascii="宋体" w:hAnsi="宋体" w:cs="宋体"/>
                <w:color w:val="auto"/>
                <w:kern w:val="0"/>
                <w:szCs w:val="21"/>
                <w:highlight w:val="none"/>
                <w:lang w:bidi="ar"/>
              </w:rPr>
              <w:t>按国家规定和厂家承诺实行“三包”。交货、安装调试完毕，产品验收合格之日起，除有特殊要求外，质保期不少于 1 年（若厂家质保期超过 1 年的， 按厂家规定全免费保修），在规定的保修期内，凡货物质量事故和质量缺陷由成交</w:t>
            </w:r>
            <w:r>
              <w:rPr>
                <w:rFonts w:hint="eastAsia" w:ascii="宋体" w:hAnsi="宋体" w:cs="宋体"/>
                <w:color w:val="auto"/>
                <w:kern w:val="0"/>
                <w:szCs w:val="21"/>
                <w:highlight w:val="none"/>
                <w:lang w:val="en-US" w:eastAsia="zh-CN" w:bidi="ar"/>
              </w:rPr>
              <w:t>供应商</w:t>
            </w:r>
            <w:r>
              <w:rPr>
                <w:rFonts w:hint="eastAsia" w:ascii="宋体" w:hAnsi="宋体" w:cs="宋体"/>
                <w:color w:val="auto"/>
                <w:kern w:val="0"/>
                <w:szCs w:val="21"/>
                <w:highlight w:val="none"/>
                <w:lang w:bidi="ar"/>
              </w:rPr>
              <w:t>无偿保修。定期回访以及对设备维修；质保期后提供终身维修服务。质保期结束后，成交供应商仍应负责对设备提供终身维修服务，但只能收取配件成本费，免收人工服务费。</w:t>
            </w:r>
          </w:p>
        </w:tc>
      </w:tr>
      <w:tr w14:paraId="2B78E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6" w:hRule="atLeast"/>
          <w:jc w:val="center"/>
        </w:trPr>
        <w:tc>
          <w:tcPr>
            <w:tcW w:w="2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978A4E">
            <w:pPr>
              <w:widowControl/>
              <w:rPr>
                <w:rFonts w:ascii="宋体" w:hAnsi="宋体" w:cs="宋体"/>
                <w:b/>
                <w:bCs/>
                <w:color w:val="auto"/>
                <w:szCs w:val="21"/>
                <w:highlight w:val="none"/>
              </w:rPr>
            </w:pPr>
            <w:r>
              <w:rPr>
                <w:rFonts w:hint="eastAsia" w:ascii="宋体" w:hAnsi="宋体" w:cs="宋体"/>
                <w:b/>
                <w:bCs/>
                <w:color w:val="auto"/>
                <w:highlight w:val="none"/>
              </w:rPr>
              <w:t>▲</w:t>
            </w:r>
            <w:r>
              <w:rPr>
                <w:rFonts w:hint="eastAsia" w:ascii="宋体" w:hAnsi="宋体" w:cs="宋体"/>
                <w:color w:val="auto"/>
                <w:kern w:val="0"/>
                <w:szCs w:val="21"/>
                <w:highlight w:val="none"/>
                <w:lang w:eastAsia="zh-CN" w:bidi="ar"/>
              </w:rPr>
              <w:t>合同履约期限</w:t>
            </w:r>
            <w:r>
              <w:rPr>
                <w:rFonts w:hint="eastAsia" w:ascii="宋体" w:hAnsi="宋体" w:cs="宋体"/>
                <w:color w:val="auto"/>
                <w:kern w:val="0"/>
                <w:szCs w:val="21"/>
                <w:highlight w:val="none"/>
                <w:lang w:bidi="ar"/>
              </w:rPr>
              <w:t>、地点</w:t>
            </w:r>
          </w:p>
        </w:tc>
        <w:tc>
          <w:tcPr>
            <w:tcW w:w="76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B298A58">
            <w:pPr>
              <w:widowControl/>
              <w:spacing w:line="360" w:lineRule="auto"/>
              <w:ind w:firstLine="420" w:firstLineChars="200"/>
              <w:jc w:val="left"/>
              <w:rPr>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合同履约期限</w:t>
            </w:r>
            <w:r>
              <w:rPr>
                <w:rFonts w:hint="eastAsia" w:ascii="宋体" w:hAnsi="宋体" w:cs="宋体"/>
                <w:color w:val="auto"/>
                <w:kern w:val="0"/>
                <w:szCs w:val="21"/>
                <w:highlight w:val="none"/>
                <w:lang w:bidi="ar"/>
              </w:rPr>
              <w:t xml:space="preserve">：本项目服务期限自2025年7月25日起 1 年；本项目货物类交付期限：签订合同之日起60日内交货安装调试完毕，并交付使用。 </w:t>
            </w:r>
          </w:p>
          <w:p w14:paraId="7952F4DE">
            <w:pPr>
              <w:widowControl/>
              <w:spacing w:line="360" w:lineRule="auto"/>
              <w:ind w:firstLine="420" w:firstLineChars="200"/>
              <w:jc w:val="left"/>
              <w:rPr>
                <w:rFonts w:ascii="宋体" w:hAnsi="宋体" w:cs="宋体"/>
                <w:b/>
                <w:bCs/>
                <w:color w:val="auto"/>
                <w:szCs w:val="21"/>
                <w:highlight w:val="none"/>
              </w:rPr>
            </w:pPr>
            <w:r>
              <w:rPr>
                <w:rFonts w:hint="eastAsia" w:ascii="宋体" w:hAnsi="宋体" w:cs="宋体"/>
                <w:color w:val="auto"/>
                <w:kern w:val="0"/>
                <w:szCs w:val="21"/>
                <w:highlight w:val="none"/>
                <w:lang w:bidi="ar"/>
              </w:rPr>
              <w:t>2、地点：采购人指定地点。</w:t>
            </w:r>
          </w:p>
        </w:tc>
      </w:tr>
      <w:tr w14:paraId="30E92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FC4DCD">
            <w:pPr>
              <w:widowControl/>
              <w:jc w:val="center"/>
              <w:rPr>
                <w:rFonts w:ascii="宋体" w:hAnsi="宋体" w:cs="宋体"/>
                <w:color w:val="auto"/>
                <w:kern w:val="0"/>
                <w:szCs w:val="21"/>
                <w:highlight w:val="none"/>
                <w:lang w:bidi="ar"/>
              </w:rPr>
            </w:pPr>
          </w:p>
          <w:p w14:paraId="491ECF73">
            <w:pPr>
              <w:widowControl/>
              <w:jc w:val="center"/>
              <w:rPr>
                <w:color w:val="auto"/>
                <w:szCs w:val="21"/>
                <w:highlight w:val="none"/>
              </w:rPr>
            </w:pPr>
            <w:r>
              <w:rPr>
                <w:rFonts w:hint="eastAsia" w:ascii="宋体" w:hAnsi="宋体" w:cs="宋体"/>
                <w:b/>
                <w:bCs/>
                <w:color w:val="auto"/>
                <w:highlight w:val="none"/>
              </w:rPr>
              <w:t>▲</w:t>
            </w:r>
            <w:r>
              <w:rPr>
                <w:rFonts w:hint="eastAsia" w:ascii="宋体" w:hAnsi="宋体" w:cs="宋体"/>
                <w:color w:val="auto"/>
                <w:kern w:val="0"/>
                <w:szCs w:val="21"/>
                <w:highlight w:val="none"/>
                <w:lang w:bidi="ar"/>
              </w:rPr>
              <w:t>付款条件</w:t>
            </w:r>
          </w:p>
          <w:p w14:paraId="5C499056">
            <w:pPr>
              <w:spacing w:line="360" w:lineRule="auto"/>
              <w:jc w:val="center"/>
              <w:rPr>
                <w:rFonts w:ascii="宋体" w:hAnsi="宋体" w:cs="宋体"/>
                <w:b/>
                <w:bCs/>
                <w:color w:val="auto"/>
                <w:szCs w:val="21"/>
                <w:highlight w:val="none"/>
              </w:rPr>
            </w:pPr>
          </w:p>
        </w:tc>
        <w:tc>
          <w:tcPr>
            <w:tcW w:w="76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2FA654F">
            <w:pPr>
              <w:widowControl/>
              <w:spacing w:line="360" w:lineRule="auto"/>
              <w:ind w:firstLine="420" w:firstLineChars="200"/>
              <w:jc w:val="left"/>
              <w:rPr>
                <w:rFonts w:ascii="宋体" w:hAnsi="宋体" w:cs="宋体"/>
                <w:b/>
                <w:bCs/>
                <w:color w:val="auto"/>
                <w:szCs w:val="21"/>
                <w:highlight w:val="none"/>
              </w:rPr>
            </w:pPr>
            <w:r>
              <w:rPr>
                <w:rFonts w:hint="eastAsia" w:ascii="宋体" w:hAnsi="宋体" w:cs="宋体"/>
                <w:color w:val="auto"/>
                <w:kern w:val="0"/>
                <w:szCs w:val="21"/>
                <w:highlight w:val="none"/>
                <w:lang w:bidi="ar"/>
              </w:rPr>
              <w:t>自签订合同，供应商提供驻场服务后，10个工作日内，采购人支付40% 的合同款给成交供应商，提供设备续保证明后，采购人支付50%的合同款给成交供应商。 经采购人初步验收合格确认后，采购人支付合同金额10%合同款给成交供应商，供应商自收到合同款之日起15个工作日内开具发票给采购人。</w:t>
            </w:r>
          </w:p>
        </w:tc>
      </w:tr>
      <w:tr w14:paraId="23746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2BAF6B">
            <w:pPr>
              <w:widowControl/>
              <w:jc w:val="center"/>
              <w:rPr>
                <w:rFonts w:ascii="宋体" w:hAnsi="宋体" w:cs="宋体"/>
                <w:color w:val="auto"/>
                <w:kern w:val="0"/>
                <w:szCs w:val="21"/>
                <w:highlight w:val="none"/>
                <w:lang w:bidi="ar"/>
              </w:rPr>
            </w:pPr>
          </w:p>
          <w:p w14:paraId="5F7A45CE">
            <w:pPr>
              <w:widowControl/>
              <w:jc w:val="center"/>
              <w:rPr>
                <w:rFonts w:hint="eastAsia" w:ascii="宋体" w:hAnsi="宋体" w:eastAsia="宋体" w:cs="宋体"/>
                <w:color w:val="auto"/>
                <w:szCs w:val="21"/>
                <w:highlight w:val="none"/>
                <w:lang w:eastAsia="zh-CN"/>
              </w:rPr>
            </w:pPr>
            <w:r>
              <w:rPr>
                <w:rFonts w:hint="eastAsia" w:ascii="宋体" w:hAnsi="宋体" w:cs="宋体"/>
                <w:b/>
                <w:bCs/>
                <w:color w:val="auto"/>
                <w:highlight w:val="none"/>
              </w:rPr>
              <w:t>▲</w:t>
            </w:r>
            <w:r>
              <w:rPr>
                <w:rFonts w:hint="eastAsia" w:ascii="宋体" w:hAnsi="宋体" w:cs="宋体"/>
                <w:color w:val="auto"/>
                <w:kern w:val="0"/>
                <w:szCs w:val="21"/>
                <w:highlight w:val="none"/>
                <w:lang w:eastAsia="zh-CN" w:bidi="ar"/>
              </w:rPr>
              <w:t>后续服务</w:t>
            </w:r>
          </w:p>
          <w:p w14:paraId="1F7953FB">
            <w:pPr>
              <w:spacing w:line="360" w:lineRule="auto"/>
              <w:jc w:val="center"/>
              <w:rPr>
                <w:rFonts w:ascii="宋体" w:hAnsi="宋体" w:cs="宋体"/>
                <w:b/>
                <w:bCs/>
                <w:color w:val="auto"/>
                <w:szCs w:val="21"/>
                <w:highlight w:val="none"/>
              </w:rPr>
            </w:pPr>
          </w:p>
        </w:tc>
        <w:tc>
          <w:tcPr>
            <w:tcW w:w="76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1915A45">
            <w:pPr>
              <w:widowControl/>
              <w:spacing w:line="360" w:lineRule="auto"/>
              <w:ind w:firstLine="420" w:firstLineChars="200"/>
              <w:jc w:val="left"/>
              <w:rPr>
                <w:rFonts w:ascii="宋体" w:hAnsi="宋体" w:cs="宋体"/>
                <w:b/>
                <w:bCs/>
                <w:color w:val="auto"/>
                <w:szCs w:val="21"/>
                <w:highlight w:val="none"/>
              </w:rPr>
            </w:pPr>
            <w:r>
              <w:rPr>
                <w:rFonts w:hint="eastAsia" w:ascii="宋体" w:hAnsi="宋体" w:cs="宋体"/>
                <w:color w:val="auto"/>
                <w:kern w:val="0"/>
                <w:szCs w:val="21"/>
                <w:highlight w:val="none"/>
                <w:lang w:bidi="ar"/>
              </w:rPr>
              <w:t>在使用过程中发生故障，1小时内响应，4小时内到达现场处理，一般故障处理时限不超过24小时修复，重大故障处理时限不超过48小时修复。需提供7×24 小时热线电话服务，质保期内定期回访及设备维护，保修期内出现故障，需派出技术工程师到达现场处理故障，并承担一切费用。响应文件中必须提供详细的后续服务承诺方案。</w:t>
            </w:r>
          </w:p>
        </w:tc>
      </w:tr>
      <w:tr w14:paraId="133F8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019EFF">
            <w:pPr>
              <w:widowControl/>
              <w:jc w:val="center"/>
              <w:rPr>
                <w:rFonts w:ascii="宋体" w:hAnsi="宋体" w:cs="宋体"/>
                <w:color w:val="auto"/>
                <w:kern w:val="0"/>
                <w:szCs w:val="21"/>
                <w:highlight w:val="none"/>
                <w:lang w:bidi="ar"/>
              </w:rPr>
            </w:pPr>
          </w:p>
          <w:p w14:paraId="1C2A809D">
            <w:pPr>
              <w:widowControl/>
              <w:jc w:val="center"/>
              <w:rPr>
                <w:rFonts w:ascii="宋体" w:hAnsi="宋体" w:cs="宋体"/>
                <w:color w:val="auto"/>
                <w:szCs w:val="21"/>
                <w:highlight w:val="none"/>
              </w:rPr>
            </w:pPr>
            <w:r>
              <w:rPr>
                <w:rFonts w:hint="eastAsia" w:ascii="宋体" w:hAnsi="宋体" w:cs="宋体"/>
                <w:color w:val="auto"/>
                <w:kern w:val="0"/>
                <w:szCs w:val="21"/>
                <w:highlight w:val="none"/>
                <w:lang w:bidi="ar"/>
              </w:rPr>
              <w:t>其他要求</w:t>
            </w:r>
          </w:p>
          <w:p w14:paraId="417D0653">
            <w:pPr>
              <w:spacing w:line="360" w:lineRule="auto"/>
              <w:jc w:val="center"/>
              <w:rPr>
                <w:rFonts w:ascii="宋体" w:hAnsi="宋体" w:cs="宋体"/>
                <w:b/>
                <w:bCs/>
                <w:color w:val="auto"/>
                <w:szCs w:val="21"/>
                <w:highlight w:val="none"/>
              </w:rPr>
            </w:pPr>
          </w:p>
        </w:tc>
        <w:tc>
          <w:tcPr>
            <w:tcW w:w="76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F832CC9">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1、竞标产品如果优于采购要求时，应提供足以证明的技术支持资料。 </w:t>
            </w:r>
          </w:p>
          <w:p w14:paraId="28EB50FA">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2、竞标产品必须是按厂家标准配置的整套全新，具备正规合法经销渠道的， 符合国家各项有关质量标准的合格产品。相关部件及服务满足以上各项要求。 若产品在运输过程中因包装或运输不当引起的外观或内部的损坏须无偿调换相同产品。 </w:t>
            </w:r>
          </w:p>
          <w:p w14:paraId="737F44E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3、竞标产品的所有技术参数必须如实填写，如有虚假，采购人有权根据实际情况对成交供应商进行处罚，罚款金额为采购金额千分之五以上千分之十以下，甚至退货，并由成交供应商赔偿采购人的相关损失。 </w:t>
            </w:r>
          </w:p>
          <w:p w14:paraId="42570A64">
            <w:pPr>
              <w:widowControl/>
              <w:spacing w:line="360" w:lineRule="auto"/>
              <w:ind w:firstLine="420" w:firstLineChars="200"/>
              <w:jc w:val="left"/>
              <w:rPr>
                <w:rFonts w:ascii="宋体" w:hAnsi="宋体" w:cs="宋体"/>
                <w:b/>
                <w:bCs/>
                <w:color w:val="auto"/>
                <w:szCs w:val="21"/>
                <w:highlight w:val="none"/>
              </w:rPr>
            </w:pPr>
            <w:r>
              <w:rPr>
                <w:rFonts w:hint="eastAsia" w:ascii="宋体" w:hAnsi="宋体" w:cs="宋体"/>
                <w:color w:val="auto"/>
                <w:kern w:val="0"/>
                <w:szCs w:val="21"/>
                <w:highlight w:val="none"/>
                <w:lang w:bidi="ar"/>
              </w:rPr>
              <w:t>4、免费送货上门并送至采购人指定地点，免费负责采购人维修、操作、技术人员的培训服务，并无偿提供培训资料和培训师资。使用户相关维修、操作人员具备了解设备结构、工作原理，熟练操作设备，并能排除一般故障的能力；交货及采购人安装调试过程中，成交供应商应免费派专业技术人员到交货安装现场进行技术指导及相关技术服务，向采购人提交相关试验数据、报告及采购人要求提供的相关技术文件，直至达到验收要求。</w:t>
            </w:r>
          </w:p>
        </w:tc>
      </w:tr>
      <w:tr w14:paraId="00740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861F3A">
            <w:pPr>
              <w:widowControl/>
              <w:jc w:val="center"/>
              <w:rPr>
                <w:rFonts w:ascii="宋体" w:hAnsi="宋体" w:cs="宋体"/>
                <w:color w:val="auto"/>
                <w:kern w:val="0"/>
                <w:szCs w:val="21"/>
                <w:highlight w:val="none"/>
                <w:lang w:bidi="ar"/>
              </w:rPr>
            </w:pPr>
          </w:p>
          <w:p w14:paraId="2E9B8C87">
            <w:pPr>
              <w:widowControl/>
              <w:jc w:val="center"/>
              <w:rPr>
                <w:rFonts w:ascii="宋体" w:hAnsi="宋体" w:cs="宋体"/>
                <w:color w:val="auto"/>
                <w:szCs w:val="21"/>
                <w:highlight w:val="none"/>
              </w:rPr>
            </w:pPr>
            <w:r>
              <w:rPr>
                <w:rFonts w:hint="eastAsia" w:ascii="宋体" w:hAnsi="宋体" w:cs="宋体"/>
                <w:color w:val="auto"/>
                <w:kern w:val="0"/>
                <w:szCs w:val="21"/>
                <w:highlight w:val="none"/>
                <w:lang w:bidi="ar"/>
              </w:rPr>
              <w:t>验收要求</w:t>
            </w:r>
          </w:p>
          <w:p w14:paraId="3478F5E1">
            <w:pPr>
              <w:spacing w:line="360" w:lineRule="auto"/>
              <w:jc w:val="center"/>
              <w:rPr>
                <w:rFonts w:ascii="宋体" w:hAnsi="宋体" w:cs="宋体"/>
                <w:b/>
                <w:bCs/>
                <w:color w:val="auto"/>
                <w:szCs w:val="21"/>
                <w:highlight w:val="none"/>
              </w:rPr>
            </w:pPr>
          </w:p>
        </w:tc>
        <w:tc>
          <w:tcPr>
            <w:tcW w:w="76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1435723">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1、交货验收时，采购人根据《广西壮族自治区政府采购项目履约验收管理办法》 的规定，由采购人及成交人双方共同进行验收，采购人可委托采购代理机构、国家认可的质量检测机构开展采购项目履约验收工作，验收费用由成交供应商承担；对不符合要求的产品，采购人有权拒绝验收，由此产生的一切后果，均由成交供应商承担。由此造成的不能按时、按质、按量完成项目要求的，将按照政府采购相关法规、合同相关条款进行处理。 </w:t>
            </w:r>
          </w:p>
          <w:p w14:paraId="13E72F07">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2、成交供应商交货前应对产品作出全面检查和对验收文件进行整理列出清单，作为采购人收货验收和使用的技术条件依据，检验的结果应随货物交采购人。 </w:t>
            </w:r>
          </w:p>
          <w:p w14:paraId="2006E61B">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3、采购人对成交</w:t>
            </w:r>
            <w:r>
              <w:rPr>
                <w:rFonts w:hint="eastAsia" w:ascii="宋体" w:hAnsi="宋体" w:cs="宋体"/>
                <w:color w:val="auto"/>
                <w:kern w:val="0"/>
                <w:szCs w:val="21"/>
                <w:highlight w:val="none"/>
                <w:lang w:eastAsia="zh-CN" w:bidi="ar"/>
              </w:rPr>
              <w:t>供应商</w:t>
            </w:r>
            <w:r>
              <w:rPr>
                <w:rFonts w:hint="eastAsia" w:ascii="宋体" w:hAnsi="宋体" w:cs="宋体"/>
                <w:color w:val="auto"/>
                <w:kern w:val="0"/>
                <w:szCs w:val="21"/>
                <w:highlight w:val="none"/>
                <w:lang w:bidi="ar"/>
              </w:rPr>
              <w:t xml:space="preserve">所交货物依照采购文件上的技术规格要求和国家有关标准进行现场验收，性能达到技术要求的，给予签收。验收不合格的不予签收，后果由成交供应商负责。 </w:t>
            </w:r>
          </w:p>
          <w:p w14:paraId="62E0E6A5">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4、采购人应在货到指定地点安装调试完毕之日起 7 个工作日内验收完毕，并 做出验收结果报告。验收时成交供应商必须在现场。 </w:t>
            </w:r>
          </w:p>
          <w:p w14:paraId="2EAFB60D">
            <w:pPr>
              <w:widowControl/>
              <w:spacing w:line="360" w:lineRule="auto"/>
              <w:ind w:firstLine="420" w:firstLineChars="200"/>
              <w:jc w:val="left"/>
              <w:rPr>
                <w:rFonts w:ascii="宋体" w:hAnsi="宋体" w:cs="宋体"/>
                <w:b/>
                <w:bCs/>
                <w:color w:val="auto"/>
                <w:szCs w:val="21"/>
                <w:highlight w:val="none"/>
              </w:rPr>
            </w:pPr>
            <w:r>
              <w:rPr>
                <w:rFonts w:hint="eastAsia" w:ascii="宋体" w:hAnsi="宋体" w:cs="宋体"/>
                <w:color w:val="auto"/>
                <w:kern w:val="0"/>
                <w:szCs w:val="21"/>
                <w:highlight w:val="none"/>
                <w:lang w:bidi="ar"/>
              </w:rPr>
              <w:t>5、本项目所有产品均严格按签订的政府采购合同、供应商响应和承诺的技术 参数及性能和国家有关标准进行验收，达不到要求的不予验收按提供虚假材料谋取中标，并按相关法律法规进行处罚。</w:t>
            </w:r>
          </w:p>
        </w:tc>
      </w:tr>
    </w:tbl>
    <w:p w14:paraId="04F88957">
      <w:pPr>
        <w:rPr>
          <w:rFonts w:ascii="宋体" w:hAnsi="宋体" w:cs="宋体"/>
          <w:color w:val="auto"/>
          <w:highlight w:val="none"/>
        </w:rPr>
      </w:pPr>
    </w:p>
    <w:p w14:paraId="354FFFDF">
      <w:pPr>
        <w:spacing w:line="360" w:lineRule="auto"/>
        <w:rPr>
          <w:rFonts w:ascii="宋体" w:hAnsi="宋体" w:cs="宋体"/>
          <w:b/>
          <w:bCs/>
          <w:color w:val="auto"/>
          <w:szCs w:val="21"/>
          <w:highlight w:val="none"/>
        </w:rPr>
      </w:pPr>
      <w:r>
        <w:rPr>
          <w:rFonts w:hint="eastAsia" w:ascii="宋体" w:hAnsi="宋体" w:cs="宋体"/>
          <w:color w:val="auto"/>
          <w:szCs w:val="21"/>
          <w:highlight w:val="none"/>
        </w:rPr>
        <w:t>附件1：《网络中心机房专用设备运维服务设备清单》。</w:t>
      </w:r>
    </w:p>
    <w:tbl>
      <w:tblPr>
        <w:tblStyle w:val="32"/>
        <w:tblW w:w="8196" w:type="dxa"/>
        <w:tblInd w:w="100" w:type="dxa"/>
        <w:tblLayout w:type="autofit"/>
        <w:tblCellMar>
          <w:top w:w="0" w:type="dxa"/>
          <w:left w:w="108" w:type="dxa"/>
          <w:bottom w:w="0" w:type="dxa"/>
          <w:right w:w="108" w:type="dxa"/>
        </w:tblCellMar>
      </w:tblPr>
      <w:tblGrid>
        <w:gridCol w:w="1019"/>
        <w:gridCol w:w="1020"/>
        <w:gridCol w:w="5387"/>
        <w:gridCol w:w="770"/>
      </w:tblGrid>
      <w:tr w14:paraId="295D12D7">
        <w:tblPrEx>
          <w:tblCellMar>
            <w:top w:w="0" w:type="dxa"/>
            <w:left w:w="108" w:type="dxa"/>
            <w:bottom w:w="0" w:type="dxa"/>
            <w:right w:w="108" w:type="dxa"/>
          </w:tblCellMar>
        </w:tblPrEx>
        <w:trPr>
          <w:trHeight w:val="440" w:hRule="atLeast"/>
          <w:tblHeader/>
        </w:trPr>
        <w:tc>
          <w:tcPr>
            <w:tcW w:w="1019" w:type="dxa"/>
            <w:tcBorders>
              <w:top w:val="single" w:color="000000" w:sz="4" w:space="0"/>
              <w:left w:val="single" w:color="000000" w:sz="4" w:space="0"/>
              <w:bottom w:val="single" w:color="000000" w:sz="4" w:space="0"/>
              <w:right w:val="single" w:color="000000" w:sz="4" w:space="0"/>
            </w:tcBorders>
            <w:vAlign w:val="center"/>
          </w:tcPr>
          <w:p w14:paraId="168F5045">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1020" w:type="dxa"/>
            <w:tcBorders>
              <w:top w:val="single" w:color="000000" w:sz="4" w:space="0"/>
              <w:left w:val="single" w:color="000000" w:sz="4" w:space="0"/>
              <w:bottom w:val="single" w:color="000000" w:sz="4" w:space="0"/>
              <w:right w:val="single" w:color="000000" w:sz="4" w:space="0"/>
            </w:tcBorders>
            <w:vAlign w:val="center"/>
          </w:tcPr>
          <w:p w14:paraId="5E1997E9">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设备厂家</w:t>
            </w:r>
          </w:p>
        </w:tc>
        <w:tc>
          <w:tcPr>
            <w:tcW w:w="5387" w:type="dxa"/>
            <w:tcBorders>
              <w:top w:val="single" w:color="000000" w:sz="4" w:space="0"/>
              <w:left w:val="single" w:color="000000" w:sz="4" w:space="0"/>
              <w:bottom w:val="single" w:color="000000" w:sz="4" w:space="0"/>
              <w:right w:val="single" w:color="000000" w:sz="4" w:space="0"/>
            </w:tcBorders>
            <w:vAlign w:val="center"/>
          </w:tcPr>
          <w:p w14:paraId="58EB6DB5">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设备型号</w:t>
            </w:r>
          </w:p>
        </w:tc>
        <w:tc>
          <w:tcPr>
            <w:tcW w:w="770" w:type="dxa"/>
            <w:tcBorders>
              <w:top w:val="single" w:color="000000" w:sz="4" w:space="0"/>
              <w:left w:val="single" w:color="000000" w:sz="4" w:space="0"/>
              <w:bottom w:val="single" w:color="000000" w:sz="4" w:space="0"/>
              <w:right w:val="single" w:color="000000" w:sz="4" w:space="0"/>
            </w:tcBorders>
            <w:vAlign w:val="center"/>
          </w:tcPr>
          <w:p w14:paraId="0C02E4D7">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数量</w:t>
            </w:r>
          </w:p>
        </w:tc>
      </w:tr>
      <w:tr w14:paraId="2BEE1C5D">
        <w:tblPrEx>
          <w:tblCellMar>
            <w:top w:w="0" w:type="dxa"/>
            <w:left w:w="108" w:type="dxa"/>
            <w:bottom w:w="0" w:type="dxa"/>
            <w:right w:w="108" w:type="dxa"/>
          </w:tblCellMar>
        </w:tblPrEx>
        <w:trPr>
          <w:trHeight w:val="440" w:hRule="atLeast"/>
        </w:trPr>
        <w:tc>
          <w:tcPr>
            <w:tcW w:w="8196" w:type="dxa"/>
            <w:gridSpan w:val="4"/>
            <w:tcBorders>
              <w:top w:val="single" w:color="000000" w:sz="4" w:space="0"/>
              <w:left w:val="single" w:color="000000" w:sz="4" w:space="0"/>
              <w:bottom w:val="single" w:color="000000" w:sz="4" w:space="0"/>
              <w:right w:val="single" w:color="000000" w:sz="4" w:space="0"/>
            </w:tcBorders>
            <w:vAlign w:val="center"/>
          </w:tcPr>
          <w:p w14:paraId="60D77A54">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（一）机房基础设备</w:t>
            </w:r>
          </w:p>
        </w:tc>
      </w:tr>
      <w:tr w14:paraId="681936CC">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2A6C9D0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20" w:type="dxa"/>
            <w:tcBorders>
              <w:top w:val="single" w:color="000000" w:sz="4" w:space="0"/>
              <w:left w:val="single" w:color="000000" w:sz="4" w:space="0"/>
              <w:bottom w:val="single" w:color="000000" w:sz="4" w:space="0"/>
              <w:right w:val="single" w:color="000000" w:sz="4" w:space="0"/>
            </w:tcBorders>
            <w:vAlign w:val="center"/>
          </w:tcPr>
          <w:p w14:paraId="244378D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金德泰</w:t>
            </w:r>
          </w:p>
        </w:tc>
        <w:tc>
          <w:tcPr>
            <w:tcW w:w="5387" w:type="dxa"/>
            <w:tcBorders>
              <w:top w:val="single" w:color="000000" w:sz="4" w:space="0"/>
              <w:left w:val="single" w:color="000000" w:sz="4" w:space="0"/>
              <w:bottom w:val="single" w:color="000000" w:sz="4" w:space="0"/>
              <w:right w:val="single" w:color="000000" w:sz="4" w:space="0"/>
            </w:tcBorders>
            <w:vAlign w:val="center"/>
          </w:tcPr>
          <w:p w14:paraId="0E0262F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ATS切换柜 XL-21</w:t>
            </w:r>
          </w:p>
        </w:tc>
        <w:tc>
          <w:tcPr>
            <w:tcW w:w="770" w:type="dxa"/>
            <w:tcBorders>
              <w:top w:val="single" w:color="000000" w:sz="4" w:space="0"/>
              <w:left w:val="single" w:color="000000" w:sz="4" w:space="0"/>
              <w:bottom w:val="single" w:color="000000" w:sz="4" w:space="0"/>
              <w:right w:val="single" w:color="000000" w:sz="4" w:space="0"/>
            </w:tcBorders>
            <w:vAlign w:val="center"/>
          </w:tcPr>
          <w:p w14:paraId="5CF04F3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4CA70C9F">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62097E6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20" w:type="dxa"/>
            <w:tcBorders>
              <w:top w:val="single" w:color="000000" w:sz="4" w:space="0"/>
              <w:left w:val="single" w:color="000000" w:sz="4" w:space="0"/>
              <w:bottom w:val="single" w:color="000000" w:sz="4" w:space="0"/>
              <w:right w:val="single" w:color="000000" w:sz="4" w:space="0"/>
            </w:tcBorders>
            <w:vAlign w:val="center"/>
          </w:tcPr>
          <w:p w14:paraId="1E52046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玉柴</w:t>
            </w:r>
          </w:p>
        </w:tc>
        <w:tc>
          <w:tcPr>
            <w:tcW w:w="5387" w:type="dxa"/>
            <w:tcBorders>
              <w:top w:val="single" w:color="000000" w:sz="4" w:space="0"/>
              <w:left w:val="single" w:color="000000" w:sz="4" w:space="0"/>
              <w:bottom w:val="single" w:color="000000" w:sz="4" w:space="0"/>
              <w:right w:val="single" w:color="000000" w:sz="4" w:space="0"/>
            </w:tcBorders>
            <w:vAlign w:val="center"/>
          </w:tcPr>
          <w:p w14:paraId="6370A73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柴油机发电机： YC6MJ480L-D20</w:t>
            </w:r>
          </w:p>
        </w:tc>
        <w:tc>
          <w:tcPr>
            <w:tcW w:w="770" w:type="dxa"/>
            <w:tcBorders>
              <w:top w:val="single" w:color="000000" w:sz="4" w:space="0"/>
              <w:left w:val="single" w:color="000000" w:sz="4" w:space="0"/>
              <w:bottom w:val="single" w:color="000000" w:sz="4" w:space="0"/>
              <w:right w:val="single" w:color="000000" w:sz="4" w:space="0"/>
            </w:tcBorders>
            <w:vAlign w:val="center"/>
          </w:tcPr>
          <w:p w14:paraId="770DC33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5C9014FA">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56755D4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20" w:type="dxa"/>
            <w:tcBorders>
              <w:top w:val="single" w:color="000000" w:sz="4" w:space="0"/>
              <w:left w:val="single" w:color="000000" w:sz="4" w:space="0"/>
              <w:bottom w:val="single" w:color="000000" w:sz="4" w:space="0"/>
              <w:right w:val="single" w:color="000000" w:sz="4" w:space="0"/>
            </w:tcBorders>
            <w:vAlign w:val="center"/>
          </w:tcPr>
          <w:p w14:paraId="46A3595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维谛</w:t>
            </w:r>
          </w:p>
        </w:tc>
        <w:tc>
          <w:tcPr>
            <w:tcW w:w="5387" w:type="dxa"/>
            <w:tcBorders>
              <w:top w:val="single" w:color="000000" w:sz="4" w:space="0"/>
              <w:left w:val="single" w:color="000000" w:sz="4" w:space="0"/>
              <w:bottom w:val="single" w:color="000000" w:sz="4" w:space="0"/>
              <w:right w:val="single" w:color="000000" w:sz="4" w:space="0"/>
            </w:tcBorders>
            <w:vAlign w:val="center"/>
          </w:tcPr>
          <w:p w14:paraId="0CD0ABE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精密空调 P1030DA036HL12S1D000PA033</w:t>
            </w:r>
          </w:p>
        </w:tc>
        <w:tc>
          <w:tcPr>
            <w:tcW w:w="770" w:type="dxa"/>
            <w:tcBorders>
              <w:top w:val="single" w:color="000000" w:sz="4" w:space="0"/>
              <w:left w:val="single" w:color="000000" w:sz="4" w:space="0"/>
              <w:bottom w:val="single" w:color="000000" w:sz="4" w:space="0"/>
              <w:right w:val="single" w:color="000000" w:sz="4" w:space="0"/>
            </w:tcBorders>
            <w:vAlign w:val="center"/>
          </w:tcPr>
          <w:p w14:paraId="5A2F792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5C767338">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6C23186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20" w:type="dxa"/>
            <w:tcBorders>
              <w:top w:val="single" w:color="000000" w:sz="4" w:space="0"/>
              <w:left w:val="single" w:color="000000" w:sz="4" w:space="0"/>
              <w:bottom w:val="single" w:color="000000" w:sz="4" w:space="0"/>
              <w:right w:val="single" w:color="000000" w:sz="4" w:space="0"/>
            </w:tcBorders>
            <w:vAlign w:val="center"/>
          </w:tcPr>
          <w:p w14:paraId="23B1D20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维谛</w:t>
            </w:r>
          </w:p>
        </w:tc>
        <w:tc>
          <w:tcPr>
            <w:tcW w:w="5387" w:type="dxa"/>
            <w:tcBorders>
              <w:top w:val="single" w:color="000000" w:sz="4" w:space="0"/>
              <w:left w:val="single" w:color="000000" w:sz="4" w:space="0"/>
              <w:bottom w:val="single" w:color="000000" w:sz="4" w:space="0"/>
              <w:right w:val="single" w:color="000000" w:sz="4" w:space="0"/>
            </w:tcBorders>
            <w:vAlign w:val="center"/>
          </w:tcPr>
          <w:p w14:paraId="2AF4FF8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UPS 主机EXS 40KVA</w:t>
            </w:r>
          </w:p>
        </w:tc>
        <w:tc>
          <w:tcPr>
            <w:tcW w:w="770" w:type="dxa"/>
            <w:tcBorders>
              <w:top w:val="single" w:color="000000" w:sz="4" w:space="0"/>
              <w:left w:val="single" w:color="000000" w:sz="4" w:space="0"/>
              <w:bottom w:val="single" w:color="000000" w:sz="4" w:space="0"/>
              <w:right w:val="single" w:color="000000" w:sz="4" w:space="0"/>
            </w:tcBorders>
            <w:vAlign w:val="center"/>
          </w:tcPr>
          <w:p w14:paraId="5D3199F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6072CC31">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02DE7F4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020" w:type="dxa"/>
            <w:tcBorders>
              <w:top w:val="single" w:color="000000" w:sz="4" w:space="0"/>
              <w:left w:val="single" w:color="000000" w:sz="4" w:space="0"/>
              <w:bottom w:val="single" w:color="000000" w:sz="4" w:space="0"/>
              <w:right w:val="single" w:color="000000" w:sz="4" w:space="0"/>
            </w:tcBorders>
            <w:vAlign w:val="center"/>
          </w:tcPr>
          <w:p w14:paraId="0ACCD0D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维谛</w:t>
            </w:r>
          </w:p>
        </w:tc>
        <w:tc>
          <w:tcPr>
            <w:tcW w:w="5387" w:type="dxa"/>
            <w:tcBorders>
              <w:top w:val="single" w:color="000000" w:sz="4" w:space="0"/>
              <w:left w:val="single" w:color="000000" w:sz="4" w:space="0"/>
              <w:bottom w:val="single" w:color="000000" w:sz="4" w:space="0"/>
              <w:right w:val="single" w:color="000000" w:sz="4" w:space="0"/>
            </w:tcBorders>
            <w:vAlign w:val="center"/>
          </w:tcPr>
          <w:p w14:paraId="336038F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精密空调P105DA13JHL12S1D000PE000</w:t>
            </w:r>
          </w:p>
        </w:tc>
        <w:tc>
          <w:tcPr>
            <w:tcW w:w="770" w:type="dxa"/>
            <w:tcBorders>
              <w:top w:val="single" w:color="000000" w:sz="4" w:space="0"/>
              <w:left w:val="single" w:color="000000" w:sz="4" w:space="0"/>
              <w:bottom w:val="single" w:color="000000" w:sz="4" w:space="0"/>
              <w:right w:val="single" w:color="000000" w:sz="4" w:space="0"/>
            </w:tcBorders>
            <w:vAlign w:val="center"/>
          </w:tcPr>
          <w:p w14:paraId="3B232F2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4D5086C8">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2319D17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020" w:type="dxa"/>
            <w:tcBorders>
              <w:top w:val="single" w:color="000000" w:sz="4" w:space="0"/>
              <w:left w:val="single" w:color="000000" w:sz="4" w:space="0"/>
              <w:bottom w:val="single" w:color="000000" w:sz="4" w:space="0"/>
              <w:right w:val="single" w:color="000000" w:sz="4" w:space="0"/>
            </w:tcBorders>
            <w:vAlign w:val="center"/>
          </w:tcPr>
          <w:p w14:paraId="4382A48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共济</w:t>
            </w:r>
          </w:p>
        </w:tc>
        <w:tc>
          <w:tcPr>
            <w:tcW w:w="5387" w:type="dxa"/>
            <w:tcBorders>
              <w:top w:val="single" w:color="000000" w:sz="4" w:space="0"/>
              <w:left w:val="single" w:color="000000" w:sz="4" w:space="0"/>
              <w:bottom w:val="single" w:color="000000" w:sz="4" w:space="0"/>
              <w:right w:val="single" w:color="000000" w:sz="4" w:space="0"/>
            </w:tcBorders>
            <w:vAlign w:val="center"/>
          </w:tcPr>
          <w:p w14:paraId="5670D61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动力和环境一体化监控系统（确权机房）</w:t>
            </w:r>
          </w:p>
        </w:tc>
        <w:tc>
          <w:tcPr>
            <w:tcW w:w="770" w:type="dxa"/>
            <w:tcBorders>
              <w:top w:val="single" w:color="000000" w:sz="4" w:space="0"/>
              <w:left w:val="single" w:color="000000" w:sz="4" w:space="0"/>
              <w:bottom w:val="single" w:color="000000" w:sz="4" w:space="0"/>
              <w:right w:val="single" w:color="000000" w:sz="4" w:space="0"/>
            </w:tcBorders>
            <w:vAlign w:val="center"/>
          </w:tcPr>
          <w:p w14:paraId="2302235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4AEB0A86">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6E0520F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020" w:type="dxa"/>
            <w:tcBorders>
              <w:top w:val="single" w:color="000000" w:sz="4" w:space="0"/>
              <w:left w:val="single" w:color="000000" w:sz="4" w:space="0"/>
              <w:bottom w:val="single" w:color="000000" w:sz="4" w:space="0"/>
              <w:right w:val="single" w:color="000000" w:sz="4" w:space="0"/>
            </w:tcBorders>
            <w:vAlign w:val="center"/>
          </w:tcPr>
          <w:p w14:paraId="7DE157E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艾默生</w:t>
            </w:r>
          </w:p>
        </w:tc>
        <w:tc>
          <w:tcPr>
            <w:tcW w:w="5387" w:type="dxa"/>
            <w:tcBorders>
              <w:top w:val="single" w:color="000000" w:sz="4" w:space="0"/>
              <w:left w:val="single" w:color="000000" w:sz="4" w:space="0"/>
              <w:bottom w:val="single" w:color="000000" w:sz="4" w:space="0"/>
              <w:right w:val="single" w:color="000000" w:sz="4" w:space="0"/>
            </w:tcBorders>
            <w:vAlign w:val="center"/>
          </w:tcPr>
          <w:p w14:paraId="3F83605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不间断电源VHA3R-0160L</w:t>
            </w:r>
          </w:p>
        </w:tc>
        <w:tc>
          <w:tcPr>
            <w:tcW w:w="770" w:type="dxa"/>
            <w:tcBorders>
              <w:top w:val="single" w:color="000000" w:sz="4" w:space="0"/>
              <w:left w:val="single" w:color="000000" w:sz="4" w:space="0"/>
              <w:bottom w:val="single" w:color="000000" w:sz="4" w:space="0"/>
              <w:right w:val="single" w:color="000000" w:sz="4" w:space="0"/>
            </w:tcBorders>
            <w:vAlign w:val="center"/>
          </w:tcPr>
          <w:p w14:paraId="4E7D3E8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48047889">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5605E60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020" w:type="dxa"/>
            <w:tcBorders>
              <w:top w:val="single" w:color="000000" w:sz="4" w:space="0"/>
              <w:left w:val="single" w:color="000000" w:sz="4" w:space="0"/>
              <w:bottom w:val="single" w:color="000000" w:sz="4" w:space="0"/>
              <w:right w:val="single" w:color="000000" w:sz="4" w:space="0"/>
            </w:tcBorders>
            <w:vAlign w:val="center"/>
          </w:tcPr>
          <w:p w14:paraId="2260507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ATEN</w:t>
            </w:r>
          </w:p>
        </w:tc>
        <w:tc>
          <w:tcPr>
            <w:tcW w:w="5387" w:type="dxa"/>
            <w:tcBorders>
              <w:top w:val="single" w:color="000000" w:sz="4" w:space="0"/>
              <w:left w:val="single" w:color="000000" w:sz="4" w:space="0"/>
              <w:bottom w:val="single" w:color="000000" w:sz="4" w:space="0"/>
              <w:right w:val="single" w:color="000000" w:sz="4" w:space="0"/>
            </w:tcBorders>
            <w:vAlign w:val="center"/>
          </w:tcPr>
          <w:p w14:paraId="23FDC4C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机房KVM KN2124V</w:t>
            </w:r>
          </w:p>
        </w:tc>
        <w:tc>
          <w:tcPr>
            <w:tcW w:w="770" w:type="dxa"/>
            <w:tcBorders>
              <w:top w:val="single" w:color="000000" w:sz="4" w:space="0"/>
              <w:left w:val="single" w:color="000000" w:sz="4" w:space="0"/>
              <w:bottom w:val="single" w:color="000000" w:sz="4" w:space="0"/>
              <w:right w:val="single" w:color="000000" w:sz="4" w:space="0"/>
            </w:tcBorders>
            <w:vAlign w:val="center"/>
          </w:tcPr>
          <w:p w14:paraId="3BB2B73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78B29BE8">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05C64DD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020" w:type="dxa"/>
            <w:tcBorders>
              <w:top w:val="single" w:color="000000" w:sz="4" w:space="0"/>
              <w:left w:val="single" w:color="000000" w:sz="4" w:space="0"/>
              <w:bottom w:val="single" w:color="000000" w:sz="4" w:space="0"/>
              <w:right w:val="single" w:color="000000" w:sz="4" w:space="0"/>
            </w:tcBorders>
            <w:vAlign w:val="center"/>
          </w:tcPr>
          <w:p w14:paraId="6CDFE1C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艾默生</w:t>
            </w:r>
          </w:p>
        </w:tc>
        <w:tc>
          <w:tcPr>
            <w:tcW w:w="5387" w:type="dxa"/>
            <w:tcBorders>
              <w:top w:val="single" w:color="000000" w:sz="4" w:space="0"/>
              <w:left w:val="single" w:color="000000" w:sz="4" w:space="0"/>
              <w:bottom w:val="single" w:color="000000" w:sz="4" w:space="0"/>
              <w:right w:val="single" w:color="000000" w:sz="4" w:space="0"/>
            </w:tcBorders>
            <w:vAlign w:val="center"/>
          </w:tcPr>
          <w:p w14:paraId="1090BF7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精密空调 DME07MHP5</w:t>
            </w:r>
          </w:p>
        </w:tc>
        <w:tc>
          <w:tcPr>
            <w:tcW w:w="770" w:type="dxa"/>
            <w:tcBorders>
              <w:top w:val="single" w:color="000000" w:sz="4" w:space="0"/>
              <w:left w:val="single" w:color="000000" w:sz="4" w:space="0"/>
              <w:bottom w:val="single" w:color="000000" w:sz="4" w:space="0"/>
              <w:right w:val="single" w:color="000000" w:sz="4" w:space="0"/>
            </w:tcBorders>
            <w:vAlign w:val="center"/>
          </w:tcPr>
          <w:p w14:paraId="11986C6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r>
      <w:tr w14:paraId="40CB97F1">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281DC87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1020" w:type="dxa"/>
            <w:tcBorders>
              <w:top w:val="single" w:color="000000" w:sz="4" w:space="0"/>
              <w:left w:val="single" w:color="000000" w:sz="4" w:space="0"/>
              <w:bottom w:val="single" w:color="000000" w:sz="4" w:space="0"/>
              <w:right w:val="single" w:color="000000" w:sz="4" w:space="0"/>
            </w:tcBorders>
            <w:vAlign w:val="center"/>
          </w:tcPr>
          <w:p w14:paraId="3010787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艾默生</w:t>
            </w:r>
          </w:p>
        </w:tc>
        <w:tc>
          <w:tcPr>
            <w:tcW w:w="5387" w:type="dxa"/>
            <w:tcBorders>
              <w:top w:val="single" w:color="000000" w:sz="4" w:space="0"/>
              <w:left w:val="single" w:color="000000" w:sz="4" w:space="0"/>
              <w:bottom w:val="single" w:color="000000" w:sz="4" w:space="0"/>
              <w:right w:val="single" w:color="000000" w:sz="4" w:space="0"/>
            </w:tcBorders>
            <w:vAlign w:val="center"/>
          </w:tcPr>
          <w:p w14:paraId="71C9D3D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UPS 主机 NX 60KVA</w:t>
            </w:r>
          </w:p>
        </w:tc>
        <w:tc>
          <w:tcPr>
            <w:tcW w:w="770" w:type="dxa"/>
            <w:tcBorders>
              <w:top w:val="single" w:color="000000" w:sz="4" w:space="0"/>
              <w:left w:val="single" w:color="000000" w:sz="4" w:space="0"/>
              <w:bottom w:val="single" w:color="000000" w:sz="4" w:space="0"/>
              <w:right w:val="single" w:color="000000" w:sz="4" w:space="0"/>
            </w:tcBorders>
            <w:vAlign w:val="center"/>
          </w:tcPr>
          <w:p w14:paraId="19EF507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5DE2E615">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4E79DA9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1020" w:type="dxa"/>
            <w:tcBorders>
              <w:top w:val="single" w:color="000000" w:sz="4" w:space="0"/>
              <w:left w:val="single" w:color="000000" w:sz="4" w:space="0"/>
              <w:bottom w:val="single" w:color="000000" w:sz="4" w:space="0"/>
              <w:right w:val="single" w:color="000000" w:sz="4" w:space="0"/>
            </w:tcBorders>
            <w:vAlign w:val="center"/>
          </w:tcPr>
          <w:p w14:paraId="5C7B75C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艾默生</w:t>
            </w:r>
          </w:p>
        </w:tc>
        <w:tc>
          <w:tcPr>
            <w:tcW w:w="5387" w:type="dxa"/>
            <w:tcBorders>
              <w:top w:val="single" w:color="000000" w:sz="4" w:space="0"/>
              <w:left w:val="single" w:color="000000" w:sz="4" w:space="0"/>
              <w:bottom w:val="single" w:color="000000" w:sz="4" w:space="0"/>
              <w:right w:val="single" w:color="000000" w:sz="4" w:space="0"/>
            </w:tcBorders>
            <w:vAlign w:val="center"/>
          </w:tcPr>
          <w:p w14:paraId="664DF6C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精密空调PEX1030FA</w:t>
            </w:r>
          </w:p>
        </w:tc>
        <w:tc>
          <w:tcPr>
            <w:tcW w:w="770" w:type="dxa"/>
            <w:tcBorders>
              <w:top w:val="single" w:color="000000" w:sz="4" w:space="0"/>
              <w:left w:val="single" w:color="000000" w:sz="4" w:space="0"/>
              <w:bottom w:val="single" w:color="000000" w:sz="4" w:space="0"/>
              <w:right w:val="single" w:color="000000" w:sz="4" w:space="0"/>
            </w:tcBorders>
            <w:vAlign w:val="center"/>
          </w:tcPr>
          <w:p w14:paraId="1058C85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3BEE9270">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1F3736A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1020" w:type="dxa"/>
            <w:tcBorders>
              <w:top w:val="single" w:color="000000" w:sz="4" w:space="0"/>
              <w:left w:val="single" w:color="000000" w:sz="4" w:space="0"/>
              <w:bottom w:val="single" w:color="000000" w:sz="4" w:space="0"/>
              <w:right w:val="single" w:color="000000" w:sz="4" w:space="0"/>
            </w:tcBorders>
            <w:vAlign w:val="center"/>
          </w:tcPr>
          <w:p w14:paraId="45881B1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共济</w:t>
            </w:r>
          </w:p>
        </w:tc>
        <w:tc>
          <w:tcPr>
            <w:tcW w:w="5387" w:type="dxa"/>
            <w:tcBorders>
              <w:top w:val="single" w:color="000000" w:sz="4" w:space="0"/>
              <w:left w:val="single" w:color="000000" w:sz="4" w:space="0"/>
              <w:bottom w:val="single" w:color="000000" w:sz="4" w:space="0"/>
              <w:right w:val="single" w:color="000000" w:sz="4" w:space="0"/>
            </w:tcBorders>
            <w:vAlign w:val="center"/>
          </w:tcPr>
          <w:p w14:paraId="61F407C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机房动力环境监控系统（数据中心机房）</w:t>
            </w:r>
          </w:p>
        </w:tc>
        <w:tc>
          <w:tcPr>
            <w:tcW w:w="770" w:type="dxa"/>
            <w:tcBorders>
              <w:top w:val="single" w:color="000000" w:sz="4" w:space="0"/>
              <w:left w:val="single" w:color="000000" w:sz="4" w:space="0"/>
              <w:bottom w:val="single" w:color="000000" w:sz="4" w:space="0"/>
              <w:right w:val="single" w:color="000000" w:sz="4" w:space="0"/>
            </w:tcBorders>
            <w:vAlign w:val="center"/>
          </w:tcPr>
          <w:p w14:paraId="0D23A26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70543141">
        <w:tblPrEx>
          <w:tblCellMar>
            <w:top w:w="0" w:type="dxa"/>
            <w:left w:w="108" w:type="dxa"/>
            <w:bottom w:w="0" w:type="dxa"/>
            <w:right w:w="108" w:type="dxa"/>
          </w:tblCellMar>
        </w:tblPrEx>
        <w:trPr>
          <w:trHeight w:val="440" w:hRule="atLeast"/>
        </w:trPr>
        <w:tc>
          <w:tcPr>
            <w:tcW w:w="7426" w:type="dxa"/>
            <w:gridSpan w:val="3"/>
            <w:tcBorders>
              <w:top w:val="single" w:color="000000" w:sz="4" w:space="0"/>
              <w:left w:val="single" w:color="000000" w:sz="4" w:space="0"/>
              <w:bottom w:val="single" w:color="000000" w:sz="4" w:space="0"/>
              <w:right w:val="single" w:color="000000" w:sz="4" w:space="0"/>
            </w:tcBorders>
            <w:vAlign w:val="center"/>
          </w:tcPr>
          <w:p w14:paraId="63428CE9">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小计：</w:t>
            </w:r>
          </w:p>
        </w:tc>
        <w:tc>
          <w:tcPr>
            <w:tcW w:w="770" w:type="dxa"/>
            <w:tcBorders>
              <w:top w:val="single" w:color="000000" w:sz="4" w:space="0"/>
              <w:left w:val="single" w:color="000000" w:sz="4" w:space="0"/>
              <w:bottom w:val="single" w:color="000000" w:sz="4" w:space="0"/>
              <w:right w:val="single" w:color="000000" w:sz="4" w:space="0"/>
            </w:tcBorders>
            <w:vAlign w:val="center"/>
          </w:tcPr>
          <w:p w14:paraId="2AAD2135">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16</w:t>
            </w:r>
          </w:p>
        </w:tc>
      </w:tr>
      <w:tr w14:paraId="7B316D54">
        <w:tblPrEx>
          <w:tblCellMar>
            <w:top w:w="0" w:type="dxa"/>
            <w:left w:w="108" w:type="dxa"/>
            <w:bottom w:w="0" w:type="dxa"/>
            <w:right w:w="108" w:type="dxa"/>
          </w:tblCellMar>
        </w:tblPrEx>
        <w:trPr>
          <w:trHeight w:val="440" w:hRule="atLeast"/>
        </w:trPr>
        <w:tc>
          <w:tcPr>
            <w:tcW w:w="8196" w:type="dxa"/>
            <w:gridSpan w:val="4"/>
            <w:tcBorders>
              <w:top w:val="single" w:color="000000" w:sz="4" w:space="0"/>
              <w:left w:val="single" w:color="000000" w:sz="4" w:space="0"/>
              <w:bottom w:val="single" w:color="000000" w:sz="4" w:space="0"/>
              <w:right w:val="single" w:color="000000" w:sz="4" w:space="0"/>
            </w:tcBorders>
            <w:vAlign w:val="center"/>
          </w:tcPr>
          <w:p w14:paraId="55BA30D8">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（二）网络设备</w:t>
            </w:r>
          </w:p>
        </w:tc>
      </w:tr>
      <w:tr w14:paraId="04B86B11">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69C254E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20" w:type="dxa"/>
            <w:tcBorders>
              <w:top w:val="single" w:color="000000" w:sz="4" w:space="0"/>
              <w:left w:val="single" w:color="000000" w:sz="4" w:space="0"/>
              <w:bottom w:val="single" w:color="000000" w:sz="4" w:space="0"/>
              <w:right w:val="single" w:color="000000" w:sz="4" w:space="0"/>
            </w:tcBorders>
          </w:tcPr>
          <w:p w14:paraId="7621CC7A">
            <w:pPr>
              <w:widowControl/>
              <w:jc w:val="center"/>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华为</w:t>
            </w:r>
          </w:p>
        </w:tc>
        <w:tc>
          <w:tcPr>
            <w:tcW w:w="5387" w:type="dxa"/>
            <w:tcBorders>
              <w:top w:val="single" w:color="000000" w:sz="4" w:space="0"/>
              <w:left w:val="single" w:color="000000" w:sz="4" w:space="0"/>
              <w:bottom w:val="single" w:color="000000" w:sz="4" w:space="0"/>
              <w:right w:val="single" w:color="000000" w:sz="4" w:space="0"/>
            </w:tcBorders>
            <w:vAlign w:val="center"/>
          </w:tcPr>
          <w:p w14:paraId="5ABDB52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交换机 S6730-H24X6C</w:t>
            </w:r>
          </w:p>
        </w:tc>
        <w:tc>
          <w:tcPr>
            <w:tcW w:w="770" w:type="dxa"/>
            <w:tcBorders>
              <w:top w:val="single" w:color="000000" w:sz="4" w:space="0"/>
              <w:left w:val="single" w:color="000000" w:sz="4" w:space="0"/>
              <w:bottom w:val="single" w:color="000000" w:sz="4" w:space="0"/>
              <w:right w:val="single" w:color="000000" w:sz="4" w:space="0"/>
            </w:tcBorders>
            <w:vAlign w:val="center"/>
          </w:tcPr>
          <w:p w14:paraId="1865BAE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60443F02">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5335FC0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20" w:type="dxa"/>
            <w:tcBorders>
              <w:top w:val="single" w:color="000000" w:sz="4" w:space="0"/>
              <w:left w:val="single" w:color="000000" w:sz="4" w:space="0"/>
              <w:bottom w:val="single" w:color="000000" w:sz="4" w:space="0"/>
              <w:right w:val="single" w:color="000000" w:sz="4" w:space="0"/>
            </w:tcBorders>
          </w:tcPr>
          <w:p w14:paraId="4BD24B66">
            <w:pPr>
              <w:widowControl/>
              <w:jc w:val="center"/>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华为</w:t>
            </w:r>
          </w:p>
        </w:tc>
        <w:tc>
          <w:tcPr>
            <w:tcW w:w="5387" w:type="dxa"/>
            <w:tcBorders>
              <w:top w:val="single" w:color="000000" w:sz="4" w:space="0"/>
              <w:left w:val="single" w:color="000000" w:sz="4" w:space="0"/>
              <w:bottom w:val="single" w:color="000000" w:sz="4" w:space="0"/>
              <w:right w:val="single" w:color="000000" w:sz="4" w:space="0"/>
            </w:tcBorders>
            <w:vAlign w:val="center"/>
          </w:tcPr>
          <w:p w14:paraId="2E86540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交换机 S6720S-26Q</w:t>
            </w:r>
          </w:p>
        </w:tc>
        <w:tc>
          <w:tcPr>
            <w:tcW w:w="770" w:type="dxa"/>
            <w:tcBorders>
              <w:top w:val="single" w:color="000000" w:sz="4" w:space="0"/>
              <w:left w:val="single" w:color="000000" w:sz="4" w:space="0"/>
              <w:bottom w:val="single" w:color="000000" w:sz="4" w:space="0"/>
              <w:right w:val="single" w:color="000000" w:sz="4" w:space="0"/>
            </w:tcBorders>
            <w:vAlign w:val="center"/>
          </w:tcPr>
          <w:p w14:paraId="45715CC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6AC3A823">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4C8201A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20" w:type="dxa"/>
            <w:tcBorders>
              <w:top w:val="single" w:color="000000" w:sz="4" w:space="0"/>
              <w:left w:val="single" w:color="000000" w:sz="4" w:space="0"/>
              <w:bottom w:val="single" w:color="000000" w:sz="4" w:space="0"/>
              <w:right w:val="single" w:color="000000" w:sz="4" w:space="0"/>
            </w:tcBorders>
          </w:tcPr>
          <w:p w14:paraId="7A44EDE0">
            <w:pPr>
              <w:widowControl/>
              <w:jc w:val="center"/>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华为</w:t>
            </w:r>
          </w:p>
        </w:tc>
        <w:tc>
          <w:tcPr>
            <w:tcW w:w="5387" w:type="dxa"/>
            <w:tcBorders>
              <w:top w:val="single" w:color="000000" w:sz="4" w:space="0"/>
              <w:left w:val="single" w:color="000000" w:sz="4" w:space="0"/>
              <w:bottom w:val="single" w:color="000000" w:sz="4" w:space="0"/>
              <w:right w:val="single" w:color="000000" w:sz="4" w:space="0"/>
            </w:tcBorders>
            <w:vAlign w:val="center"/>
          </w:tcPr>
          <w:p w14:paraId="6F7B252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交换机 5720S-52X</w:t>
            </w:r>
          </w:p>
        </w:tc>
        <w:tc>
          <w:tcPr>
            <w:tcW w:w="770" w:type="dxa"/>
            <w:tcBorders>
              <w:top w:val="single" w:color="000000" w:sz="4" w:space="0"/>
              <w:left w:val="single" w:color="000000" w:sz="4" w:space="0"/>
              <w:bottom w:val="single" w:color="000000" w:sz="4" w:space="0"/>
              <w:right w:val="single" w:color="000000" w:sz="4" w:space="0"/>
            </w:tcBorders>
            <w:vAlign w:val="center"/>
          </w:tcPr>
          <w:p w14:paraId="2791EBD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25</w:t>
            </w:r>
          </w:p>
        </w:tc>
      </w:tr>
      <w:tr w14:paraId="58E710D6">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581CE87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20" w:type="dxa"/>
            <w:tcBorders>
              <w:top w:val="single" w:color="000000" w:sz="4" w:space="0"/>
              <w:left w:val="single" w:color="000000" w:sz="4" w:space="0"/>
              <w:bottom w:val="single" w:color="000000" w:sz="4" w:space="0"/>
              <w:right w:val="single" w:color="000000" w:sz="4" w:space="0"/>
            </w:tcBorders>
            <w:vAlign w:val="center"/>
          </w:tcPr>
          <w:p w14:paraId="763034F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深信服</w:t>
            </w:r>
          </w:p>
        </w:tc>
        <w:tc>
          <w:tcPr>
            <w:tcW w:w="5387" w:type="dxa"/>
            <w:tcBorders>
              <w:top w:val="single" w:color="000000" w:sz="4" w:space="0"/>
              <w:left w:val="single" w:color="000000" w:sz="4" w:space="0"/>
              <w:bottom w:val="single" w:color="000000" w:sz="4" w:space="0"/>
              <w:right w:val="single" w:color="000000" w:sz="4" w:space="0"/>
            </w:tcBorders>
            <w:vAlign w:val="center"/>
          </w:tcPr>
          <w:p w14:paraId="4B061E1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aRS6300-24X-LI-15X</w:t>
            </w:r>
          </w:p>
        </w:tc>
        <w:tc>
          <w:tcPr>
            <w:tcW w:w="770" w:type="dxa"/>
            <w:tcBorders>
              <w:top w:val="single" w:color="000000" w:sz="4" w:space="0"/>
              <w:left w:val="single" w:color="000000" w:sz="4" w:space="0"/>
              <w:bottom w:val="single" w:color="000000" w:sz="4" w:space="0"/>
              <w:right w:val="single" w:color="000000" w:sz="4" w:space="0"/>
            </w:tcBorders>
            <w:vAlign w:val="center"/>
          </w:tcPr>
          <w:p w14:paraId="6F744AA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r>
      <w:tr w14:paraId="56440FA3">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1B07E49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020" w:type="dxa"/>
            <w:tcBorders>
              <w:top w:val="single" w:color="000000" w:sz="4" w:space="0"/>
              <w:left w:val="single" w:color="000000" w:sz="4" w:space="0"/>
              <w:bottom w:val="single" w:color="000000" w:sz="4" w:space="0"/>
              <w:right w:val="single" w:color="000000" w:sz="4" w:space="0"/>
            </w:tcBorders>
            <w:vAlign w:val="center"/>
          </w:tcPr>
          <w:p w14:paraId="2023F88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信锐</w:t>
            </w:r>
          </w:p>
        </w:tc>
        <w:tc>
          <w:tcPr>
            <w:tcW w:w="5387" w:type="dxa"/>
            <w:tcBorders>
              <w:top w:val="single" w:color="000000" w:sz="4" w:space="0"/>
              <w:left w:val="single" w:color="000000" w:sz="4" w:space="0"/>
              <w:bottom w:val="single" w:color="000000" w:sz="4" w:space="0"/>
              <w:right w:val="single" w:color="000000" w:sz="4" w:space="0"/>
            </w:tcBorders>
            <w:vAlign w:val="center"/>
          </w:tcPr>
          <w:p w14:paraId="603CAE7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管理交换机 aRS5300-28T-4F</w:t>
            </w:r>
          </w:p>
        </w:tc>
        <w:tc>
          <w:tcPr>
            <w:tcW w:w="770" w:type="dxa"/>
            <w:tcBorders>
              <w:top w:val="single" w:color="000000" w:sz="4" w:space="0"/>
              <w:left w:val="single" w:color="000000" w:sz="4" w:space="0"/>
              <w:bottom w:val="single" w:color="000000" w:sz="4" w:space="0"/>
              <w:right w:val="single" w:color="000000" w:sz="4" w:space="0"/>
            </w:tcBorders>
            <w:vAlign w:val="center"/>
          </w:tcPr>
          <w:p w14:paraId="1200816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2C4E3712">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0900E65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020" w:type="dxa"/>
            <w:tcBorders>
              <w:top w:val="single" w:color="000000" w:sz="4" w:space="0"/>
              <w:left w:val="single" w:color="000000" w:sz="4" w:space="0"/>
              <w:bottom w:val="single" w:color="000000" w:sz="4" w:space="0"/>
              <w:right w:val="single" w:color="000000" w:sz="4" w:space="0"/>
            </w:tcBorders>
            <w:vAlign w:val="center"/>
          </w:tcPr>
          <w:p w14:paraId="32FA186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华为</w:t>
            </w:r>
          </w:p>
        </w:tc>
        <w:tc>
          <w:tcPr>
            <w:tcW w:w="5387" w:type="dxa"/>
            <w:tcBorders>
              <w:top w:val="single" w:color="000000" w:sz="4" w:space="0"/>
              <w:left w:val="single" w:color="000000" w:sz="4" w:space="0"/>
              <w:bottom w:val="single" w:color="000000" w:sz="4" w:space="0"/>
              <w:right w:val="single" w:color="000000" w:sz="4" w:space="0"/>
            </w:tcBorders>
            <w:vAlign w:val="center"/>
          </w:tcPr>
          <w:p w14:paraId="1E2A1E0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云平台管理区接入交换机（CE5855-48T4S2Q-EI）</w:t>
            </w:r>
          </w:p>
        </w:tc>
        <w:tc>
          <w:tcPr>
            <w:tcW w:w="770" w:type="dxa"/>
            <w:tcBorders>
              <w:top w:val="single" w:color="000000" w:sz="4" w:space="0"/>
              <w:left w:val="single" w:color="000000" w:sz="4" w:space="0"/>
              <w:bottom w:val="single" w:color="000000" w:sz="4" w:space="0"/>
              <w:right w:val="single" w:color="000000" w:sz="4" w:space="0"/>
            </w:tcBorders>
            <w:vAlign w:val="center"/>
          </w:tcPr>
          <w:p w14:paraId="1D55A71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4F9B0A0A">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0EF80AF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020" w:type="dxa"/>
            <w:tcBorders>
              <w:top w:val="single" w:color="000000" w:sz="4" w:space="0"/>
              <w:left w:val="single" w:color="000000" w:sz="4" w:space="0"/>
              <w:bottom w:val="single" w:color="000000" w:sz="4" w:space="0"/>
              <w:right w:val="single" w:color="000000" w:sz="4" w:space="0"/>
            </w:tcBorders>
            <w:vAlign w:val="center"/>
          </w:tcPr>
          <w:p w14:paraId="38EE56F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华为</w:t>
            </w:r>
          </w:p>
        </w:tc>
        <w:tc>
          <w:tcPr>
            <w:tcW w:w="5387" w:type="dxa"/>
            <w:tcBorders>
              <w:top w:val="single" w:color="000000" w:sz="4" w:space="0"/>
              <w:left w:val="single" w:color="000000" w:sz="4" w:space="0"/>
              <w:bottom w:val="single" w:color="000000" w:sz="4" w:space="0"/>
              <w:right w:val="single" w:color="000000" w:sz="4" w:space="0"/>
            </w:tcBorders>
            <w:vAlign w:val="center"/>
          </w:tcPr>
          <w:p w14:paraId="312BF40C">
            <w:pPr>
              <w:widowControl/>
              <w:jc w:val="center"/>
              <w:textAlignment w:val="center"/>
              <w:rPr>
                <w:rFonts w:ascii="宋体" w:hAnsi="宋体" w:cs="宋体"/>
                <w:color w:val="auto"/>
                <w:sz w:val="20"/>
                <w:szCs w:val="20"/>
                <w:highlight w:val="none"/>
              </w:rPr>
            </w:pPr>
            <w:r>
              <w:rPr>
                <w:rStyle w:val="90"/>
                <w:color w:val="auto"/>
                <w:highlight w:val="none"/>
                <w:lang w:bidi="ar"/>
              </w:rPr>
              <w:t>SDN万兆交换机 CE6855-48S6Q-HI</w:t>
            </w:r>
          </w:p>
        </w:tc>
        <w:tc>
          <w:tcPr>
            <w:tcW w:w="770" w:type="dxa"/>
            <w:tcBorders>
              <w:top w:val="single" w:color="000000" w:sz="4" w:space="0"/>
              <w:left w:val="single" w:color="000000" w:sz="4" w:space="0"/>
              <w:bottom w:val="single" w:color="000000" w:sz="4" w:space="0"/>
              <w:right w:val="single" w:color="000000" w:sz="4" w:space="0"/>
            </w:tcBorders>
            <w:vAlign w:val="center"/>
          </w:tcPr>
          <w:p w14:paraId="253AFB2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2A9F5661">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33EFEC9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020" w:type="dxa"/>
            <w:tcBorders>
              <w:top w:val="single" w:color="000000" w:sz="4" w:space="0"/>
              <w:left w:val="single" w:color="000000" w:sz="4" w:space="0"/>
              <w:bottom w:val="single" w:color="000000" w:sz="4" w:space="0"/>
              <w:right w:val="single" w:color="000000" w:sz="4" w:space="0"/>
            </w:tcBorders>
            <w:vAlign w:val="center"/>
          </w:tcPr>
          <w:p w14:paraId="14FE2F6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H3C</w:t>
            </w:r>
          </w:p>
        </w:tc>
        <w:tc>
          <w:tcPr>
            <w:tcW w:w="5387" w:type="dxa"/>
            <w:tcBorders>
              <w:top w:val="single" w:color="000000" w:sz="4" w:space="0"/>
              <w:left w:val="single" w:color="000000" w:sz="4" w:space="0"/>
              <w:bottom w:val="single" w:color="000000" w:sz="4" w:space="0"/>
              <w:right w:val="single" w:color="000000" w:sz="4" w:space="0"/>
            </w:tcBorders>
            <w:vAlign w:val="center"/>
          </w:tcPr>
          <w:p w14:paraId="10CCA56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千兆交换机S5120-28P-SI</w:t>
            </w:r>
          </w:p>
        </w:tc>
        <w:tc>
          <w:tcPr>
            <w:tcW w:w="770" w:type="dxa"/>
            <w:tcBorders>
              <w:top w:val="single" w:color="000000" w:sz="4" w:space="0"/>
              <w:left w:val="single" w:color="000000" w:sz="4" w:space="0"/>
              <w:bottom w:val="single" w:color="000000" w:sz="4" w:space="0"/>
              <w:right w:val="single" w:color="000000" w:sz="4" w:space="0"/>
            </w:tcBorders>
            <w:vAlign w:val="center"/>
          </w:tcPr>
          <w:p w14:paraId="2A4F89B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1A908C7F">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34D4C5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020" w:type="dxa"/>
            <w:tcBorders>
              <w:top w:val="single" w:color="000000" w:sz="4" w:space="0"/>
              <w:left w:val="single" w:color="000000" w:sz="4" w:space="0"/>
              <w:bottom w:val="single" w:color="000000" w:sz="4" w:space="0"/>
              <w:right w:val="single" w:color="000000" w:sz="4" w:space="0"/>
            </w:tcBorders>
            <w:vAlign w:val="center"/>
          </w:tcPr>
          <w:p w14:paraId="0BFB909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H3C</w:t>
            </w:r>
          </w:p>
        </w:tc>
        <w:tc>
          <w:tcPr>
            <w:tcW w:w="5387" w:type="dxa"/>
            <w:tcBorders>
              <w:top w:val="single" w:color="000000" w:sz="4" w:space="0"/>
              <w:left w:val="single" w:color="000000" w:sz="4" w:space="0"/>
              <w:bottom w:val="single" w:color="000000" w:sz="4" w:space="0"/>
              <w:right w:val="single" w:color="000000" w:sz="4" w:space="0"/>
            </w:tcBorders>
            <w:vAlign w:val="center"/>
          </w:tcPr>
          <w:p w14:paraId="54770B5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千兆交换机S5120-52P-SI</w:t>
            </w:r>
          </w:p>
        </w:tc>
        <w:tc>
          <w:tcPr>
            <w:tcW w:w="770" w:type="dxa"/>
            <w:tcBorders>
              <w:top w:val="single" w:color="000000" w:sz="4" w:space="0"/>
              <w:left w:val="single" w:color="000000" w:sz="4" w:space="0"/>
              <w:bottom w:val="single" w:color="000000" w:sz="4" w:space="0"/>
              <w:right w:val="single" w:color="000000" w:sz="4" w:space="0"/>
            </w:tcBorders>
            <w:vAlign w:val="center"/>
          </w:tcPr>
          <w:p w14:paraId="781EBFE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4143230F">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3BC404B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1020" w:type="dxa"/>
            <w:tcBorders>
              <w:top w:val="single" w:color="000000" w:sz="4" w:space="0"/>
              <w:left w:val="single" w:color="000000" w:sz="4" w:space="0"/>
              <w:bottom w:val="single" w:color="000000" w:sz="4" w:space="0"/>
              <w:right w:val="single" w:color="000000" w:sz="4" w:space="0"/>
            </w:tcBorders>
            <w:vAlign w:val="center"/>
          </w:tcPr>
          <w:p w14:paraId="6C26091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数腾</w:t>
            </w:r>
          </w:p>
        </w:tc>
        <w:tc>
          <w:tcPr>
            <w:tcW w:w="5387" w:type="dxa"/>
            <w:tcBorders>
              <w:top w:val="single" w:color="000000" w:sz="4" w:space="0"/>
              <w:left w:val="single" w:color="000000" w:sz="4" w:space="0"/>
              <w:bottom w:val="single" w:color="000000" w:sz="4" w:space="0"/>
              <w:right w:val="single" w:color="000000" w:sz="4" w:space="0"/>
            </w:tcBorders>
            <w:vAlign w:val="center"/>
          </w:tcPr>
          <w:p w14:paraId="157B226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AceSure6.1</w:t>
            </w:r>
          </w:p>
        </w:tc>
        <w:tc>
          <w:tcPr>
            <w:tcW w:w="770" w:type="dxa"/>
            <w:tcBorders>
              <w:top w:val="single" w:color="000000" w:sz="4" w:space="0"/>
              <w:left w:val="single" w:color="000000" w:sz="4" w:space="0"/>
              <w:bottom w:val="single" w:color="000000" w:sz="4" w:space="0"/>
              <w:right w:val="single" w:color="000000" w:sz="4" w:space="0"/>
            </w:tcBorders>
            <w:vAlign w:val="center"/>
          </w:tcPr>
          <w:p w14:paraId="7B3F0FE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4B5884A6">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2BC03DB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1020" w:type="dxa"/>
            <w:tcBorders>
              <w:top w:val="single" w:color="000000" w:sz="4" w:space="0"/>
              <w:left w:val="single" w:color="000000" w:sz="4" w:space="0"/>
              <w:bottom w:val="single" w:color="000000" w:sz="4" w:space="0"/>
              <w:right w:val="single" w:color="000000" w:sz="4" w:space="0"/>
            </w:tcBorders>
            <w:vAlign w:val="center"/>
          </w:tcPr>
          <w:p w14:paraId="0C474C3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天行网安</w:t>
            </w:r>
          </w:p>
        </w:tc>
        <w:tc>
          <w:tcPr>
            <w:tcW w:w="5387" w:type="dxa"/>
            <w:tcBorders>
              <w:top w:val="single" w:color="000000" w:sz="4" w:space="0"/>
              <w:left w:val="single" w:color="000000" w:sz="4" w:space="0"/>
              <w:bottom w:val="single" w:color="000000" w:sz="4" w:space="0"/>
              <w:right w:val="single" w:color="000000" w:sz="4" w:space="0"/>
            </w:tcBorders>
            <w:vAlign w:val="center"/>
          </w:tcPr>
          <w:p w14:paraId="3530E89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安全隔离网闸 Topwalk-FGAP TG7257</w:t>
            </w:r>
          </w:p>
        </w:tc>
        <w:tc>
          <w:tcPr>
            <w:tcW w:w="770" w:type="dxa"/>
            <w:tcBorders>
              <w:top w:val="single" w:color="000000" w:sz="4" w:space="0"/>
              <w:left w:val="single" w:color="000000" w:sz="4" w:space="0"/>
              <w:bottom w:val="single" w:color="000000" w:sz="4" w:space="0"/>
              <w:right w:val="single" w:color="000000" w:sz="4" w:space="0"/>
            </w:tcBorders>
            <w:vAlign w:val="center"/>
          </w:tcPr>
          <w:p w14:paraId="7824BE8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7BB80843">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654C3DC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1020" w:type="dxa"/>
            <w:tcBorders>
              <w:top w:val="single" w:color="000000" w:sz="4" w:space="0"/>
              <w:left w:val="single" w:color="000000" w:sz="4" w:space="0"/>
              <w:bottom w:val="single" w:color="000000" w:sz="4" w:space="0"/>
              <w:right w:val="single" w:color="000000" w:sz="4" w:space="0"/>
            </w:tcBorders>
            <w:vAlign w:val="center"/>
          </w:tcPr>
          <w:p w14:paraId="443582B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华为</w:t>
            </w:r>
          </w:p>
        </w:tc>
        <w:tc>
          <w:tcPr>
            <w:tcW w:w="5387" w:type="dxa"/>
            <w:tcBorders>
              <w:top w:val="single" w:color="000000" w:sz="4" w:space="0"/>
              <w:left w:val="single" w:color="000000" w:sz="4" w:space="0"/>
              <w:bottom w:val="single" w:color="000000" w:sz="4" w:space="0"/>
              <w:right w:val="single" w:color="000000" w:sz="4" w:space="0"/>
            </w:tcBorders>
            <w:vAlign w:val="center"/>
          </w:tcPr>
          <w:p w14:paraId="0FBF0A4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光纤交换机 SNS2124</w:t>
            </w:r>
          </w:p>
        </w:tc>
        <w:tc>
          <w:tcPr>
            <w:tcW w:w="770" w:type="dxa"/>
            <w:tcBorders>
              <w:top w:val="single" w:color="000000" w:sz="4" w:space="0"/>
              <w:left w:val="single" w:color="000000" w:sz="4" w:space="0"/>
              <w:bottom w:val="single" w:color="000000" w:sz="4" w:space="0"/>
              <w:right w:val="single" w:color="000000" w:sz="4" w:space="0"/>
            </w:tcBorders>
            <w:vAlign w:val="center"/>
          </w:tcPr>
          <w:p w14:paraId="7CFE570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4BD0BC4B">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484F887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1020" w:type="dxa"/>
            <w:tcBorders>
              <w:top w:val="single" w:color="000000" w:sz="4" w:space="0"/>
              <w:left w:val="single" w:color="000000" w:sz="4" w:space="0"/>
              <w:bottom w:val="single" w:color="000000" w:sz="4" w:space="0"/>
              <w:right w:val="single" w:color="000000" w:sz="4" w:space="0"/>
            </w:tcBorders>
            <w:vAlign w:val="center"/>
          </w:tcPr>
          <w:p w14:paraId="54F32C3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华为</w:t>
            </w:r>
          </w:p>
        </w:tc>
        <w:tc>
          <w:tcPr>
            <w:tcW w:w="5387" w:type="dxa"/>
            <w:tcBorders>
              <w:top w:val="single" w:color="000000" w:sz="4" w:space="0"/>
              <w:left w:val="single" w:color="000000" w:sz="4" w:space="0"/>
              <w:bottom w:val="single" w:color="000000" w:sz="4" w:space="0"/>
              <w:right w:val="single" w:color="000000" w:sz="4" w:space="0"/>
            </w:tcBorders>
            <w:vAlign w:val="center"/>
          </w:tcPr>
          <w:p w14:paraId="681B859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存储陈列 OceanStor 2600 V3</w:t>
            </w:r>
          </w:p>
        </w:tc>
        <w:tc>
          <w:tcPr>
            <w:tcW w:w="770" w:type="dxa"/>
            <w:tcBorders>
              <w:top w:val="single" w:color="000000" w:sz="4" w:space="0"/>
              <w:left w:val="single" w:color="000000" w:sz="4" w:space="0"/>
              <w:bottom w:val="single" w:color="000000" w:sz="4" w:space="0"/>
              <w:right w:val="single" w:color="000000" w:sz="4" w:space="0"/>
            </w:tcBorders>
            <w:vAlign w:val="center"/>
          </w:tcPr>
          <w:p w14:paraId="6F1F7C1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1E2F6A41">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0AF7FA1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1020" w:type="dxa"/>
            <w:tcBorders>
              <w:top w:val="single" w:color="000000" w:sz="4" w:space="0"/>
              <w:left w:val="single" w:color="000000" w:sz="4" w:space="0"/>
              <w:bottom w:val="single" w:color="000000" w:sz="4" w:space="0"/>
              <w:right w:val="single" w:color="000000" w:sz="4" w:space="0"/>
            </w:tcBorders>
            <w:vAlign w:val="center"/>
          </w:tcPr>
          <w:p w14:paraId="1F494DD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华为</w:t>
            </w:r>
          </w:p>
        </w:tc>
        <w:tc>
          <w:tcPr>
            <w:tcW w:w="5387" w:type="dxa"/>
            <w:tcBorders>
              <w:top w:val="single" w:color="000000" w:sz="4" w:space="0"/>
              <w:left w:val="single" w:color="000000" w:sz="4" w:space="0"/>
              <w:bottom w:val="single" w:color="000000" w:sz="4" w:space="0"/>
              <w:right w:val="single" w:color="000000" w:sz="4" w:space="0"/>
            </w:tcBorders>
            <w:vAlign w:val="center"/>
          </w:tcPr>
          <w:p w14:paraId="0DD995D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CE12804</w:t>
            </w:r>
          </w:p>
        </w:tc>
        <w:tc>
          <w:tcPr>
            <w:tcW w:w="770" w:type="dxa"/>
            <w:tcBorders>
              <w:top w:val="single" w:color="000000" w:sz="4" w:space="0"/>
              <w:left w:val="single" w:color="000000" w:sz="4" w:space="0"/>
              <w:bottom w:val="single" w:color="000000" w:sz="4" w:space="0"/>
              <w:right w:val="single" w:color="000000" w:sz="4" w:space="0"/>
            </w:tcBorders>
            <w:vAlign w:val="center"/>
          </w:tcPr>
          <w:p w14:paraId="01FE3F3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5838C5F2">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12CF4C7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1020" w:type="dxa"/>
            <w:tcBorders>
              <w:top w:val="single" w:color="000000" w:sz="4" w:space="0"/>
              <w:left w:val="single" w:color="000000" w:sz="4" w:space="0"/>
              <w:bottom w:val="single" w:color="000000" w:sz="4" w:space="0"/>
              <w:right w:val="single" w:color="000000" w:sz="4" w:space="0"/>
            </w:tcBorders>
            <w:vAlign w:val="center"/>
          </w:tcPr>
          <w:p w14:paraId="69E10E2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华为</w:t>
            </w:r>
          </w:p>
        </w:tc>
        <w:tc>
          <w:tcPr>
            <w:tcW w:w="5387" w:type="dxa"/>
            <w:tcBorders>
              <w:top w:val="single" w:color="000000" w:sz="4" w:space="0"/>
              <w:left w:val="single" w:color="000000" w:sz="4" w:space="0"/>
              <w:bottom w:val="single" w:color="000000" w:sz="4" w:space="0"/>
              <w:right w:val="single" w:color="000000" w:sz="4" w:space="0"/>
            </w:tcBorders>
            <w:vAlign w:val="center"/>
          </w:tcPr>
          <w:p w14:paraId="164A69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CE12804</w:t>
            </w:r>
          </w:p>
        </w:tc>
        <w:tc>
          <w:tcPr>
            <w:tcW w:w="770" w:type="dxa"/>
            <w:tcBorders>
              <w:top w:val="single" w:color="000000" w:sz="4" w:space="0"/>
              <w:left w:val="single" w:color="000000" w:sz="4" w:space="0"/>
              <w:bottom w:val="single" w:color="000000" w:sz="4" w:space="0"/>
              <w:right w:val="single" w:color="000000" w:sz="4" w:space="0"/>
            </w:tcBorders>
            <w:vAlign w:val="center"/>
          </w:tcPr>
          <w:p w14:paraId="394030D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19422EA2">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558AFAD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16</w:t>
            </w:r>
          </w:p>
        </w:tc>
        <w:tc>
          <w:tcPr>
            <w:tcW w:w="1020" w:type="dxa"/>
            <w:tcBorders>
              <w:top w:val="single" w:color="000000" w:sz="4" w:space="0"/>
              <w:left w:val="single" w:color="000000" w:sz="4" w:space="0"/>
              <w:bottom w:val="single" w:color="000000" w:sz="4" w:space="0"/>
              <w:right w:val="single" w:color="000000" w:sz="4" w:space="0"/>
            </w:tcBorders>
            <w:vAlign w:val="center"/>
          </w:tcPr>
          <w:p w14:paraId="517EE04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华为</w:t>
            </w:r>
          </w:p>
        </w:tc>
        <w:tc>
          <w:tcPr>
            <w:tcW w:w="5387" w:type="dxa"/>
            <w:tcBorders>
              <w:top w:val="single" w:color="000000" w:sz="4" w:space="0"/>
              <w:left w:val="single" w:color="000000" w:sz="4" w:space="0"/>
              <w:bottom w:val="single" w:color="000000" w:sz="4" w:space="0"/>
              <w:right w:val="single" w:color="000000" w:sz="4" w:space="0"/>
            </w:tcBorders>
            <w:vAlign w:val="center"/>
          </w:tcPr>
          <w:p w14:paraId="2CDCFB8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光纤交换机 SNS2224</w:t>
            </w:r>
          </w:p>
        </w:tc>
        <w:tc>
          <w:tcPr>
            <w:tcW w:w="770" w:type="dxa"/>
            <w:tcBorders>
              <w:top w:val="single" w:color="000000" w:sz="4" w:space="0"/>
              <w:left w:val="single" w:color="000000" w:sz="4" w:space="0"/>
              <w:bottom w:val="single" w:color="000000" w:sz="4" w:space="0"/>
              <w:right w:val="single" w:color="000000" w:sz="4" w:space="0"/>
            </w:tcBorders>
            <w:vAlign w:val="center"/>
          </w:tcPr>
          <w:p w14:paraId="082C28B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10AFDC9A">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72377FB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17</w:t>
            </w:r>
          </w:p>
        </w:tc>
        <w:tc>
          <w:tcPr>
            <w:tcW w:w="1020" w:type="dxa"/>
            <w:tcBorders>
              <w:top w:val="single" w:color="000000" w:sz="4" w:space="0"/>
              <w:left w:val="single" w:color="000000" w:sz="4" w:space="0"/>
              <w:bottom w:val="single" w:color="000000" w:sz="4" w:space="0"/>
              <w:right w:val="single" w:color="000000" w:sz="4" w:space="0"/>
            </w:tcBorders>
            <w:vAlign w:val="center"/>
          </w:tcPr>
          <w:p w14:paraId="0829311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华为</w:t>
            </w:r>
          </w:p>
        </w:tc>
        <w:tc>
          <w:tcPr>
            <w:tcW w:w="5387" w:type="dxa"/>
            <w:tcBorders>
              <w:top w:val="single" w:color="000000" w:sz="4" w:space="0"/>
              <w:left w:val="single" w:color="000000" w:sz="4" w:space="0"/>
              <w:bottom w:val="single" w:color="000000" w:sz="4" w:space="0"/>
              <w:right w:val="single" w:color="000000" w:sz="4" w:space="0"/>
            </w:tcBorders>
            <w:vAlign w:val="center"/>
          </w:tcPr>
          <w:p w14:paraId="0466A12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光纤交换机 SNS2224</w:t>
            </w:r>
          </w:p>
        </w:tc>
        <w:tc>
          <w:tcPr>
            <w:tcW w:w="770" w:type="dxa"/>
            <w:tcBorders>
              <w:top w:val="single" w:color="000000" w:sz="4" w:space="0"/>
              <w:left w:val="single" w:color="000000" w:sz="4" w:space="0"/>
              <w:bottom w:val="single" w:color="000000" w:sz="4" w:space="0"/>
              <w:right w:val="single" w:color="000000" w:sz="4" w:space="0"/>
            </w:tcBorders>
            <w:vAlign w:val="center"/>
          </w:tcPr>
          <w:p w14:paraId="672F282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r>
      <w:tr w14:paraId="2C8D66A0">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75512E5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w:t>
            </w:r>
          </w:p>
        </w:tc>
        <w:tc>
          <w:tcPr>
            <w:tcW w:w="1020" w:type="dxa"/>
            <w:tcBorders>
              <w:top w:val="single" w:color="000000" w:sz="4" w:space="0"/>
              <w:left w:val="single" w:color="000000" w:sz="4" w:space="0"/>
              <w:bottom w:val="single" w:color="000000" w:sz="4" w:space="0"/>
              <w:right w:val="single" w:color="000000" w:sz="4" w:space="0"/>
            </w:tcBorders>
            <w:vAlign w:val="center"/>
          </w:tcPr>
          <w:p w14:paraId="3A57992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H3C</w:t>
            </w:r>
          </w:p>
        </w:tc>
        <w:tc>
          <w:tcPr>
            <w:tcW w:w="5387" w:type="dxa"/>
            <w:tcBorders>
              <w:top w:val="single" w:color="000000" w:sz="4" w:space="0"/>
              <w:left w:val="single" w:color="000000" w:sz="4" w:space="0"/>
              <w:bottom w:val="single" w:color="000000" w:sz="4" w:space="0"/>
              <w:right w:val="single" w:color="000000" w:sz="4" w:space="0"/>
            </w:tcBorders>
            <w:vAlign w:val="center"/>
          </w:tcPr>
          <w:p w14:paraId="19D9CF8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核心路由器SR6616-X</w:t>
            </w:r>
          </w:p>
        </w:tc>
        <w:tc>
          <w:tcPr>
            <w:tcW w:w="770" w:type="dxa"/>
            <w:tcBorders>
              <w:top w:val="single" w:color="000000" w:sz="4" w:space="0"/>
              <w:left w:val="single" w:color="000000" w:sz="4" w:space="0"/>
              <w:bottom w:val="single" w:color="000000" w:sz="4" w:space="0"/>
              <w:right w:val="single" w:color="000000" w:sz="4" w:space="0"/>
            </w:tcBorders>
            <w:vAlign w:val="center"/>
          </w:tcPr>
          <w:p w14:paraId="2863862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1A123863">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18947FC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19</w:t>
            </w:r>
          </w:p>
        </w:tc>
        <w:tc>
          <w:tcPr>
            <w:tcW w:w="1020" w:type="dxa"/>
            <w:tcBorders>
              <w:top w:val="single" w:color="000000" w:sz="4" w:space="0"/>
              <w:left w:val="single" w:color="000000" w:sz="4" w:space="0"/>
              <w:bottom w:val="single" w:color="000000" w:sz="4" w:space="0"/>
              <w:right w:val="single" w:color="000000" w:sz="4" w:space="0"/>
            </w:tcBorders>
            <w:vAlign w:val="center"/>
          </w:tcPr>
          <w:p w14:paraId="3CED9C5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华为</w:t>
            </w:r>
          </w:p>
        </w:tc>
        <w:tc>
          <w:tcPr>
            <w:tcW w:w="5387" w:type="dxa"/>
            <w:tcBorders>
              <w:top w:val="single" w:color="000000" w:sz="4" w:space="0"/>
              <w:left w:val="single" w:color="000000" w:sz="4" w:space="0"/>
              <w:bottom w:val="single" w:color="000000" w:sz="4" w:space="0"/>
              <w:right w:val="single" w:color="000000" w:sz="4" w:space="0"/>
            </w:tcBorders>
            <w:vAlign w:val="center"/>
          </w:tcPr>
          <w:p w14:paraId="77992E3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CE6851-48S6Q-HI</w:t>
            </w:r>
          </w:p>
        </w:tc>
        <w:tc>
          <w:tcPr>
            <w:tcW w:w="770" w:type="dxa"/>
            <w:tcBorders>
              <w:top w:val="single" w:color="000000" w:sz="4" w:space="0"/>
              <w:left w:val="single" w:color="000000" w:sz="4" w:space="0"/>
              <w:bottom w:val="single" w:color="000000" w:sz="4" w:space="0"/>
              <w:right w:val="single" w:color="000000" w:sz="4" w:space="0"/>
            </w:tcBorders>
            <w:vAlign w:val="center"/>
          </w:tcPr>
          <w:p w14:paraId="53DD6EB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7FEE16D2">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37A6D53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1020" w:type="dxa"/>
            <w:tcBorders>
              <w:top w:val="single" w:color="000000" w:sz="4" w:space="0"/>
              <w:left w:val="single" w:color="000000" w:sz="4" w:space="0"/>
              <w:bottom w:val="single" w:color="000000" w:sz="4" w:space="0"/>
              <w:right w:val="single" w:color="000000" w:sz="4" w:space="0"/>
            </w:tcBorders>
            <w:vAlign w:val="center"/>
          </w:tcPr>
          <w:p w14:paraId="52AA3EE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华为</w:t>
            </w:r>
          </w:p>
        </w:tc>
        <w:tc>
          <w:tcPr>
            <w:tcW w:w="5387" w:type="dxa"/>
            <w:tcBorders>
              <w:top w:val="single" w:color="000000" w:sz="4" w:space="0"/>
              <w:left w:val="single" w:color="000000" w:sz="4" w:space="0"/>
              <w:bottom w:val="single" w:color="000000" w:sz="4" w:space="0"/>
              <w:right w:val="single" w:color="000000" w:sz="4" w:space="0"/>
            </w:tcBorders>
            <w:vAlign w:val="center"/>
          </w:tcPr>
          <w:p w14:paraId="3DD40D8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CE5855-24T4S2Q-EI</w:t>
            </w:r>
          </w:p>
        </w:tc>
        <w:tc>
          <w:tcPr>
            <w:tcW w:w="770" w:type="dxa"/>
            <w:tcBorders>
              <w:top w:val="single" w:color="000000" w:sz="4" w:space="0"/>
              <w:left w:val="single" w:color="000000" w:sz="4" w:space="0"/>
              <w:bottom w:val="single" w:color="000000" w:sz="4" w:space="0"/>
              <w:right w:val="single" w:color="000000" w:sz="4" w:space="0"/>
            </w:tcBorders>
            <w:vAlign w:val="center"/>
          </w:tcPr>
          <w:p w14:paraId="33E6381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57215144">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3199759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21</w:t>
            </w:r>
          </w:p>
        </w:tc>
        <w:tc>
          <w:tcPr>
            <w:tcW w:w="1020" w:type="dxa"/>
            <w:tcBorders>
              <w:top w:val="single" w:color="000000" w:sz="4" w:space="0"/>
              <w:left w:val="single" w:color="000000" w:sz="4" w:space="0"/>
              <w:bottom w:val="single" w:color="000000" w:sz="4" w:space="0"/>
              <w:right w:val="single" w:color="000000" w:sz="4" w:space="0"/>
            </w:tcBorders>
            <w:vAlign w:val="center"/>
          </w:tcPr>
          <w:p w14:paraId="2512674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华为</w:t>
            </w:r>
          </w:p>
        </w:tc>
        <w:tc>
          <w:tcPr>
            <w:tcW w:w="5387" w:type="dxa"/>
            <w:tcBorders>
              <w:top w:val="single" w:color="000000" w:sz="4" w:space="0"/>
              <w:left w:val="single" w:color="000000" w:sz="4" w:space="0"/>
              <w:bottom w:val="single" w:color="000000" w:sz="4" w:space="0"/>
              <w:right w:val="single" w:color="000000" w:sz="4" w:space="0"/>
            </w:tcBorders>
            <w:vAlign w:val="center"/>
          </w:tcPr>
          <w:p w14:paraId="6CD2201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华为服务器RH5885V3</w:t>
            </w:r>
          </w:p>
        </w:tc>
        <w:tc>
          <w:tcPr>
            <w:tcW w:w="770" w:type="dxa"/>
            <w:tcBorders>
              <w:top w:val="single" w:color="000000" w:sz="4" w:space="0"/>
              <w:left w:val="single" w:color="000000" w:sz="4" w:space="0"/>
              <w:bottom w:val="single" w:color="000000" w:sz="4" w:space="0"/>
              <w:right w:val="single" w:color="000000" w:sz="4" w:space="0"/>
            </w:tcBorders>
            <w:vAlign w:val="center"/>
          </w:tcPr>
          <w:p w14:paraId="2E35599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64F15250">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361196E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1020" w:type="dxa"/>
            <w:tcBorders>
              <w:top w:val="single" w:color="000000" w:sz="4" w:space="0"/>
              <w:left w:val="single" w:color="000000" w:sz="4" w:space="0"/>
              <w:bottom w:val="single" w:color="000000" w:sz="4" w:space="0"/>
              <w:right w:val="single" w:color="000000" w:sz="4" w:space="0"/>
            </w:tcBorders>
            <w:vAlign w:val="center"/>
          </w:tcPr>
          <w:p w14:paraId="5269CDF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华为</w:t>
            </w:r>
          </w:p>
        </w:tc>
        <w:tc>
          <w:tcPr>
            <w:tcW w:w="5387" w:type="dxa"/>
            <w:tcBorders>
              <w:top w:val="single" w:color="000000" w:sz="4" w:space="0"/>
              <w:left w:val="single" w:color="000000" w:sz="4" w:space="0"/>
              <w:bottom w:val="single" w:color="000000" w:sz="4" w:space="0"/>
              <w:right w:val="single" w:color="000000" w:sz="4" w:space="0"/>
            </w:tcBorders>
            <w:vAlign w:val="center"/>
          </w:tcPr>
          <w:p w14:paraId="6B2BCA5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光纤交换机SNS2124</w:t>
            </w:r>
          </w:p>
        </w:tc>
        <w:tc>
          <w:tcPr>
            <w:tcW w:w="770" w:type="dxa"/>
            <w:tcBorders>
              <w:top w:val="single" w:color="000000" w:sz="4" w:space="0"/>
              <w:left w:val="single" w:color="000000" w:sz="4" w:space="0"/>
              <w:bottom w:val="single" w:color="000000" w:sz="4" w:space="0"/>
              <w:right w:val="single" w:color="000000" w:sz="4" w:space="0"/>
            </w:tcBorders>
            <w:vAlign w:val="center"/>
          </w:tcPr>
          <w:p w14:paraId="4F1F454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7C487198">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3383590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23</w:t>
            </w:r>
          </w:p>
        </w:tc>
        <w:tc>
          <w:tcPr>
            <w:tcW w:w="1020" w:type="dxa"/>
            <w:tcBorders>
              <w:top w:val="single" w:color="000000" w:sz="4" w:space="0"/>
              <w:left w:val="single" w:color="000000" w:sz="4" w:space="0"/>
              <w:bottom w:val="single" w:color="000000" w:sz="4" w:space="0"/>
              <w:right w:val="single" w:color="000000" w:sz="4" w:space="0"/>
            </w:tcBorders>
            <w:vAlign w:val="center"/>
          </w:tcPr>
          <w:p w14:paraId="3CA137A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H3C</w:t>
            </w:r>
          </w:p>
        </w:tc>
        <w:tc>
          <w:tcPr>
            <w:tcW w:w="5387" w:type="dxa"/>
            <w:tcBorders>
              <w:top w:val="single" w:color="000000" w:sz="4" w:space="0"/>
              <w:left w:val="single" w:color="000000" w:sz="4" w:space="0"/>
              <w:bottom w:val="single" w:color="000000" w:sz="4" w:space="0"/>
              <w:right w:val="single" w:color="000000" w:sz="4" w:space="0"/>
            </w:tcBorders>
            <w:vAlign w:val="center"/>
          </w:tcPr>
          <w:p w14:paraId="55D024C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交换机S7506E-S</w:t>
            </w:r>
          </w:p>
        </w:tc>
        <w:tc>
          <w:tcPr>
            <w:tcW w:w="770" w:type="dxa"/>
            <w:tcBorders>
              <w:top w:val="single" w:color="000000" w:sz="4" w:space="0"/>
              <w:left w:val="single" w:color="000000" w:sz="4" w:space="0"/>
              <w:bottom w:val="single" w:color="000000" w:sz="4" w:space="0"/>
              <w:right w:val="single" w:color="000000" w:sz="4" w:space="0"/>
            </w:tcBorders>
            <w:vAlign w:val="center"/>
          </w:tcPr>
          <w:p w14:paraId="11F6376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5C0B63CE">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3BC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F6E6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H3C</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583F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H3C S7510E</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3784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54E888D1">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5BE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Pr>
          <w:p w14:paraId="13A63025">
            <w:pPr>
              <w:widowControl/>
              <w:jc w:val="center"/>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华为</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0ABD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路由交换机 S7703</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E916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3C93C912">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912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D4E1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H3C </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BE5B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S5120-52C-E1交换机</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718A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12EA6E0C">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407704B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27</w:t>
            </w:r>
          </w:p>
        </w:tc>
        <w:tc>
          <w:tcPr>
            <w:tcW w:w="1020" w:type="dxa"/>
            <w:tcBorders>
              <w:top w:val="single" w:color="000000" w:sz="4" w:space="0"/>
              <w:left w:val="single" w:color="000000" w:sz="4" w:space="0"/>
              <w:bottom w:val="single" w:color="000000" w:sz="4" w:space="0"/>
              <w:right w:val="single" w:color="000000" w:sz="4" w:space="0"/>
            </w:tcBorders>
            <w:vAlign w:val="center"/>
          </w:tcPr>
          <w:p w14:paraId="45C5011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H3C</w:t>
            </w:r>
          </w:p>
        </w:tc>
        <w:tc>
          <w:tcPr>
            <w:tcW w:w="5387" w:type="dxa"/>
            <w:tcBorders>
              <w:top w:val="single" w:color="000000" w:sz="4" w:space="0"/>
              <w:left w:val="single" w:color="000000" w:sz="4" w:space="0"/>
              <w:bottom w:val="single" w:color="000000" w:sz="4" w:space="0"/>
              <w:right w:val="single" w:color="000000" w:sz="4" w:space="0"/>
            </w:tcBorders>
            <w:vAlign w:val="center"/>
          </w:tcPr>
          <w:p w14:paraId="3B10D10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交换机H3C 7506-S</w:t>
            </w:r>
          </w:p>
        </w:tc>
        <w:tc>
          <w:tcPr>
            <w:tcW w:w="770" w:type="dxa"/>
            <w:tcBorders>
              <w:top w:val="single" w:color="000000" w:sz="4" w:space="0"/>
              <w:left w:val="single" w:color="000000" w:sz="4" w:space="0"/>
              <w:bottom w:val="single" w:color="000000" w:sz="4" w:space="0"/>
              <w:right w:val="single" w:color="000000" w:sz="4" w:space="0"/>
            </w:tcBorders>
            <w:vAlign w:val="center"/>
          </w:tcPr>
          <w:p w14:paraId="7575BA1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6AEFB692">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30587B3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28</w:t>
            </w:r>
          </w:p>
        </w:tc>
        <w:tc>
          <w:tcPr>
            <w:tcW w:w="1020" w:type="dxa"/>
            <w:tcBorders>
              <w:top w:val="single" w:color="000000" w:sz="4" w:space="0"/>
              <w:left w:val="single" w:color="000000" w:sz="4" w:space="0"/>
              <w:bottom w:val="single" w:color="000000" w:sz="4" w:space="0"/>
              <w:right w:val="single" w:color="000000" w:sz="4" w:space="0"/>
            </w:tcBorders>
            <w:vAlign w:val="center"/>
          </w:tcPr>
          <w:p w14:paraId="4DBE0D2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avcent</w:t>
            </w:r>
          </w:p>
        </w:tc>
        <w:tc>
          <w:tcPr>
            <w:tcW w:w="5387" w:type="dxa"/>
            <w:tcBorders>
              <w:top w:val="single" w:color="000000" w:sz="4" w:space="0"/>
              <w:left w:val="single" w:color="000000" w:sz="4" w:space="0"/>
              <w:bottom w:val="single" w:color="000000" w:sz="4" w:space="0"/>
              <w:right w:val="single" w:color="000000" w:sz="4" w:space="0"/>
            </w:tcBorders>
            <w:vAlign w:val="center"/>
          </w:tcPr>
          <w:p w14:paraId="2454EFC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DSR2032</w:t>
            </w:r>
          </w:p>
        </w:tc>
        <w:tc>
          <w:tcPr>
            <w:tcW w:w="770" w:type="dxa"/>
            <w:tcBorders>
              <w:top w:val="single" w:color="000000" w:sz="4" w:space="0"/>
              <w:left w:val="single" w:color="000000" w:sz="4" w:space="0"/>
              <w:bottom w:val="single" w:color="000000" w:sz="4" w:space="0"/>
              <w:right w:val="single" w:color="000000" w:sz="4" w:space="0"/>
            </w:tcBorders>
            <w:vAlign w:val="center"/>
          </w:tcPr>
          <w:p w14:paraId="6F771A1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71DD4A19">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46F6803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29</w:t>
            </w:r>
          </w:p>
        </w:tc>
        <w:tc>
          <w:tcPr>
            <w:tcW w:w="1020" w:type="dxa"/>
            <w:tcBorders>
              <w:top w:val="single" w:color="000000" w:sz="4" w:space="0"/>
              <w:left w:val="single" w:color="000000" w:sz="4" w:space="0"/>
              <w:bottom w:val="single" w:color="000000" w:sz="4" w:space="0"/>
              <w:right w:val="single" w:color="000000" w:sz="4" w:space="0"/>
            </w:tcBorders>
            <w:vAlign w:val="center"/>
          </w:tcPr>
          <w:p w14:paraId="1396AE9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H3C</w:t>
            </w:r>
          </w:p>
        </w:tc>
        <w:tc>
          <w:tcPr>
            <w:tcW w:w="5387" w:type="dxa"/>
            <w:tcBorders>
              <w:top w:val="single" w:color="000000" w:sz="4" w:space="0"/>
              <w:left w:val="single" w:color="000000" w:sz="4" w:space="0"/>
              <w:bottom w:val="single" w:color="000000" w:sz="4" w:space="0"/>
              <w:right w:val="single" w:color="000000" w:sz="4" w:space="0"/>
            </w:tcBorders>
            <w:vAlign w:val="center"/>
          </w:tcPr>
          <w:p w14:paraId="1E69774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光纤交换机LS-5800-32C-H3</w:t>
            </w:r>
          </w:p>
        </w:tc>
        <w:tc>
          <w:tcPr>
            <w:tcW w:w="770" w:type="dxa"/>
            <w:tcBorders>
              <w:top w:val="single" w:color="000000" w:sz="4" w:space="0"/>
              <w:left w:val="single" w:color="000000" w:sz="4" w:space="0"/>
              <w:bottom w:val="single" w:color="000000" w:sz="4" w:space="0"/>
              <w:right w:val="single" w:color="000000" w:sz="4" w:space="0"/>
            </w:tcBorders>
            <w:vAlign w:val="center"/>
          </w:tcPr>
          <w:p w14:paraId="02293A6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0A99D283">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141173B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w:t>
            </w:r>
          </w:p>
        </w:tc>
        <w:tc>
          <w:tcPr>
            <w:tcW w:w="1020" w:type="dxa"/>
            <w:tcBorders>
              <w:top w:val="single" w:color="000000" w:sz="4" w:space="0"/>
              <w:left w:val="single" w:color="000000" w:sz="4" w:space="0"/>
              <w:bottom w:val="single" w:color="000000" w:sz="4" w:space="0"/>
              <w:right w:val="single" w:color="000000" w:sz="4" w:space="0"/>
            </w:tcBorders>
            <w:vAlign w:val="center"/>
          </w:tcPr>
          <w:p w14:paraId="198D463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H3C</w:t>
            </w:r>
          </w:p>
        </w:tc>
        <w:tc>
          <w:tcPr>
            <w:tcW w:w="5387" w:type="dxa"/>
            <w:tcBorders>
              <w:top w:val="single" w:color="000000" w:sz="4" w:space="0"/>
              <w:left w:val="single" w:color="000000" w:sz="4" w:space="0"/>
              <w:bottom w:val="single" w:color="000000" w:sz="4" w:space="0"/>
              <w:right w:val="single" w:color="000000" w:sz="4" w:space="0"/>
            </w:tcBorders>
            <w:vAlign w:val="center"/>
          </w:tcPr>
          <w:p w14:paraId="01AB35E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核心交换机LS-7510E</w:t>
            </w:r>
          </w:p>
        </w:tc>
        <w:tc>
          <w:tcPr>
            <w:tcW w:w="770" w:type="dxa"/>
            <w:tcBorders>
              <w:top w:val="single" w:color="000000" w:sz="4" w:space="0"/>
              <w:left w:val="single" w:color="000000" w:sz="4" w:space="0"/>
              <w:bottom w:val="single" w:color="000000" w:sz="4" w:space="0"/>
              <w:right w:val="single" w:color="000000" w:sz="4" w:space="0"/>
            </w:tcBorders>
            <w:vAlign w:val="center"/>
          </w:tcPr>
          <w:p w14:paraId="70195AF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4B480E9D">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3F06A41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31</w:t>
            </w:r>
          </w:p>
        </w:tc>
        <w:tc>
          <w:tcPr>
            <w:tcW w:w="1020" w:type="dxa"/>
            <w:tcBorders>
              <w:top w:val="single" w:color="000000" w:sz="4" w:space="0"/>
              <w:left w:val="single" w:color="000000" w:sz="4" w:space="0"/>
              <w:bottom w:val="single" w:color="000000" w:sz="4" w:space="0"/>
              <w:right w:val="single" w:color="000000" w:sz="4" w:space="0"/>
            </w:tcBorders>
            <w:vAlign w:val="center"/>
          </w:tcPr>
          <w:p w14:paraId="6977C1F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H3C</w:t>
            </w:r>
          </w:p>
        </w:tc>
        <w:tc>
          <w:tcPr>
            <w:tcW w:w="5387" w:type="dxa"/>
            <w:tcBorders>
              <w:top w:val="single" w:color="000000" w:sz="4" w:space="0"/>
              <w:left w:val="single" w:color="000000" w:sz="4" w:space="0"/>
              <w:bottom w:val="single" w:color="000000" w:sz="4" w:space="0"/>
              <w:right w:val="single" w:color="000000" w:sz="4" w:space="0"/>
            </w:tcBorders>
            <w:vAlign w:val="center"/>
          </w:tcPr>
          <w:p w14:paraId="4FBB5A7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交换机-LS-7506E-S</w:t>
            </w:r>
          </w:p>
        </w:tc>
        <w:tc>
          <w:tcPr>
            <w:tcW w:w="770" w:type="dxa"/>
            <w:tcBorders>
              <w:top w:val="single" w:color="000000" w:sz="4" w:space="0"/>
              <w:left w:val="single" w:color="000000" w:sz="4" w:space="0"/>
              <w:bottom w:val="single" w:color="000000" w:sz="4" w:space="0"/>
              <w:right w:val="single" w:color="000000" w:sz="4" w:space="0"/>
            </w:tcBorders>
            <w:vAlign w:val="center"/>
          </w:tcPr>
          <w:p w14:paraId="7CE7911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292DC9C4">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3718CCC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1020" w:type="dxa"/>
            <w:tcBorders>
              <w:top w:val="single" w:color="000000" w:sz="4" w:space="0"/>
              <w:left w:val="single" w:color="000000" w:sz="4" w:space="0"/>
              <w:bottom w:val="single" w:color="000000" w:sz="4" w:space="0"/>
              <w:right w:val="single" w:color="000000" w:sz="4" w:space="0"/>
            </w:tcBorders>
            <w:vAlign w:val="center"/>
          </w:tcPr>
          <w:p w14:paraId="344C875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H3C</w:t>
            </w:r>
          </w:p>
        </w:tc>
        <w:tc>
          <w:tcPr>
            <w:tcW w:w="5387" w:type="dxa"/>
            <w:tcBorders>
              <w:top w:val="single" w:color="000000" w:sz="4" w:space="0"/>
              <w:left w:val="single" w:color="000000" w:sz="4" w:space="0"/>
              <w:bottom w:val="single" w:color="000000" w:sz="4" w:space="0"/>
              <w:right w:val="single" w:color="000000" w:sz="4" w:space="0"/>
            </w:tcBorders>
            <w:vAlign w:val="center"/>
          </w:tcPr>
          <w:p w14:paraId="538BC2A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交换机LS-5120-48P-E-I-H3</w:t>
            </w:r>
          </w:p>
        </w:tc>
        <w:tc>
          <w:tcPr>
            <w:tcW w:w="770" w:type="dxa"/>
            <w:tcBorders>
              <w:top w:val="single" w:color="000000" w:sz="4" w:space="0"/>
              <w:left w:val="single" w:color="000000" w:sz="4" w:space="0"/>
              <w:bottom w:val="single" w:color="000000" w:sz="4" w:space="0"/>
              <w:right w:val="single" w:color="000000" w:sz="4" w:space="0"/>
            </w:tcBorders>
            <w:vAlign w:val="center"/>
          </w:tcPr>
          <w:p w14:paraId="7858143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43384C0C">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478D5A5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33</w:t>
            </w:r>
          </w:p>
        </w:tc>
        <w:tc>
          <w:tcPr>
            <w:tcW w:w="1020" w:type="dxa"/>
            <w:tcBorders>
              <w:top w:val="single" w:color="000000" w:sz="4" w:space="0"/>
              <w:left w:val="single" w:color="000000" w:sz="4" w:space="0"/>
              <w:bottom w:val="single" w:color="000000" w:sz="4" w:space="0"/>
              <w:right w:val="single" w:color="000000" w:sz="4" w:space="0"/>
            </w:tcBorders>
            <w:vAlign w:val="center"/>
          </w:tcPr>
          <w:p w14:paraId="5818AA8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H3C</w:t>
            </w:r>
          </w:p>
        </w:tc>
        <w:tc>
          <w:tcPr>
            <w:tcW w:w="5387" w:type="dxa"/>
            <w:tcBorders>
              <w:top w:val="single" w:color="000000" w:sz="4" w:space="0"/>
              <w:left w:val="single" w:color="000000" w:sz="4" w:space="0"/>
              <w:bottom w:val="single" w:color="000000" w:sz="4" w:space="0"/>
              <w:right w:val="single" w:color="000000" w:sz="4" w:space="0"/>
            </w:tcBorders>
            <w:vAlign w:val="center"/>
          </w:tcPr>
          <w:p w14:paraId="13814FF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接入交换机LS-5120-24P-E-I-H3</w:t>
            </w:r>
          </w:p>
        </w:tc>
        <w:tc>
          <w:tcPr>
            <w:tcW w:w="770" w:type="dxa"/>
            <w:tcBorders>
              <w:top w:val="single" w:color="000000" w:sz="4" w:space="0"/>
              <w:left w:val="single" w:color="000000" w:sz="4" w:space="0"/>
              <w:bottom w:val="single" w:color="000000" w:sz="4" w:space="0"/>
              <w:right w:val="single" w:color="000000" w:sz="4" w:space="0"/>
            </w:tcBorders>
            <w:vAlign w:val="center"/>
          </w:tcPr>
          <w:p w14:paraId="3BA6E3E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614AAAD6">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7EEBE1B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34</w:t>
            </w:r>
          </w:p>
        </w:tc>
        <w:tc>
          <w:tcPr>
            <w:tcW w:w="1020" w:type="dxa"/>
            <w:tcBorders>
              <w:top w:val="single" w:color="000000" w:sz="4" w:space="0"/>
              <w:left w:val="single" w:color="000000" w:sz="4" w:space="0"/>
              <w:bottom w:val="single" w:color="000000" w:sz="4" w:space="0"/>
              <w:right w:val="single" w:color="000000" w:sz="4" w:space="0"/>
            </w:tcBorders>
            <w:vAlign w:val="center"/>
          </w:tcPr>
          <w:p w14:paraId="54C8BA2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华为</w:t>
            </w:r>
          </w:p>
        </w:tc>
        <w:tc>
          <w:tcPr>
            <w:tcW w:w="5387" w:type="dxa"/>
            <w:tcBorders>
              <w:top w:val="single" w:color="000000" w:sz="4" w:space="0"/>
              <w:left w:val="single" w:color="000000" w:sz="4" w:space="0"/>
              <w:bottom w:val="single" w:color="000000" w:sz="4" w:space="0"/>
              <w:right w:val="single" w:color="000000" w:sz="4" w:space="0"/>
            </w:tcBorders>
            <w:vAlign w:val="center"/>
          </w:tcPr>
          <w:p w14:paraId="79A9863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防火墙 USG6680</w:t>
            </w:r>
          </w:p>
        </w:tc>
        <w:tc>
          <w:tcPr>
            <w:tcW w:w="770" w:type="dxa"/>
            <w:tcBorders>
              <w:top w:val="single" w:color="000000" w:sz="4" w:space="0"/>
              <w:left w:val="single" w:color="000000" w:sz="4" w:space="0"/>
              <w:bottom w:val="single" w:color="000000" w:sz="4" w:space="0"/>
              <w:right w:val="single" w:color="000000" w:sz="4" w:space="0"/>
            </w:tcBorders>
            <w:vAlign w:val="center"/>
          </w:tcPr>
          <w:p w14:paraId="263805F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733B4CCA">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0B35B06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35</w:t>
            </w:r>
          </w:p>
        </w:tc>
        <w:tc>
          <w:tcPr>
            <w:tcW w:w="1020" w:type="dxa"/>
            <w:tcBorders>
              <w:top w:val="single" w:color="000000" w:sz="4" w:space="0"/>
              <w:left w:val="single" w:color="000000" w:sz="4" w:space="0"/>
              <w:bottom w:val="single" w:color="000000" w:sz="4" w:space="0"/>
              <w:right w:val="single" w:color="000000" w:sz="4" w:space="0"/>
            </w:tcBorders>
            <w:vAlign w:val="center"/>
          </w:tcPr>
          <w:p w14:paraId="3AFE32F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天融信</w:t>
            </w:r>
          </w:p>
        </w:tc>
        <w:tc>
          <w:tcPr>
            <w:tcW w:w="5387" w:type="dxa"/>
            <w:tcBorders>
              <w:top w:val="single" w:color="000000" w:sz="4" w:space="0"/>
              <w:left w:val="single" w:color="000000" w:sz="4" w:space="0"/>
              <w:bottom w:val="single" w:color="000000" w:sz="4" w:space="0"/>
              <w:right w:val="single" w:color="000000" w:sz="4" w:space="0"/>
            </w:tcBorders>
            <w:vAlign w:val="center"/>
          </w:tcPr>
          <w:p w14:paraId="40DCABA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安全及数据库审计系统TA-11424-DB-CL</w:t>
            </w:r>
          </w:p>
        </w:tc>
        <w:tc>
          <w:tcPr>
            <w:tcW w:w="770" w:type="dxa"/>
            <w:tcBorders>
              <w:top w:val="single" w:color="000000" w:sz="4" w:space="0"/>
              <w:left w:val="single" w:color="000000" w:sz="4" w:space="0"/>
              <w:bottom w:val="single" w:color="000000" w:sz="4" w:space="0"/>
              <w:right w:val="single" w:color="000000" w:sz="4" w:space="0"/>
            </w:tcBorders>
            <w:vAlign w:val="center"/>
          </w:tcPr>
          <w:p w14:paraId="5725018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15D055D8">
        <w:tblPrEx>
          <w:tblCellMar>
            <w:top w:w="0" w:type="dxa"/>
            <w:left w:w="108" w:type="dxa"/>
            <w:bottom w:w="0" w:type="dxa"/>
            <w:right w:w="108" w:type="dxa"/>
          </w:tblCellMar>
        </w:tblPrEx>
        <w:trPr>
          <w:trHeight w:val="440" w:hRule="atLeast"/>
        </w:trPr>
        <w:tc>
          <w:tcPr>
            <w:tcW w:w="7426" w:type="dxa"/>
            <w:gridSpan w:val="3"/>
            <w:tcBorders>
              <w:top w:val="single" w:color="000000" w:sz="4" w:space="0"/>
              <w:left w:val="single" w:color="000000" w:sz="4" w:space="0"/>
              <w:bottom w:val="single" w:color="000000" w:sz="4" w:space="0"/>
              <w:right w:val="single" w:color="000000" w:sz="4" w:space="0"/>
            </w:tcBorders>
            <w:vAlign w:val="center"/>
          </w:tcPr>
          <w:p w14:paraId="100DD6F9">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小计</w:t>
            </w:r>
          </w:p>
        </w:tc>
        <w:tc>
          <w:tcPr>
            <w:tcW w:w="770" w:type="dxa"/>
            <w:tcBorders>
              <w:top w:val="single" w:color="000000" w:sz="4" w:space="0"/>
              <w:left w:val="single" w:color="000000" w:sz="4" w:space="0"/>
              <w:bottom w:val="single" w:color="000000" w:sz="4" w:space="0"/>
              <w:right w:val="single" w:color="000000" w:sz="4" w:space="0"/>
            </w:tcBorders>
            <w:vAlign w:val="center"/>
          </w:tcPr>
          <w:p w14:paraId="048FBCF8">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78</w:t>
            </w:r>
          </w:p>
        </w:tc>
      </w:tr>
      <w:tr w14:paraId="7A338CF8">
        <w:tblPrEx>
          <w:tblCellMar>
            <w:top w:w="0" w:type="dxa"/>
            <w:left w:w="108" w:type="dxa"/>
            <w:bottom w:w="0" w:type="dxa"/>
            <w:right w:w="108" w:type="dxa"/>
          </w:tblCellMar>
        </w:tblPrEx>
        <w:trPr>
          <w:trHeight w:val="440" w:hRule="atLeast"/>
        </w:trPr>
        <w:tc>
          <w:tcPr>
            <w:tcW w:w="8196" w:type="dxa"/>
            <w:gridSpan w:val="4"/>
            <w:tcBorders>
              <w:top w:val="single" w:color="000000" w:sz="4" w:space="0"/>
              <w:left w:val="single" w:color="000000" w:sz="4" w:space="0"/>
              <w:bottom w:val="single" w:color="000000" w:sz="4" w:space="0"/>
              <w:right w:val="single" w:color="000000" w:sz="4" w:space="0"/>
            </w:tcBorders>
            <w:vAlign w:val="center"/>
          </w:tcPr>
          <w:p w14:paraId="1E35FF67">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（三）无线设备</w:t>
            </w:r>
          </w:p>
        </w:tc>
      </w:tr>
      <w:tr w14:paraId="1C75BE7F">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762588C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20" w:type="dxa"/>
            <w:tcBorders>
              <w:top w:val="single" w:color="000000" w:sz="4" w:space="0"/>
              <w:left w:val="single" w:color="000000" w:sz="4" w:space="0"/>
              <w:bottom w:val="single" w:color="000000" w:sz="4" w:space="0"/>
              <w:right w:val="single" w:color="000000" w:sz="4" w:space="0"/>
            </w:tcBorders>
            <w:vAlign w:val="center"/>
          </w:tcPr>
          <w:p w14:paraId="3D4172A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信锐</w:t>
            </w:r>
          </w:p>
        </w:tc>
        <w:tc>
          <w:tcPr>
            <w:tcW w:w="5387" w:type="dxa"/>
            <w:tcBorders>
              <w:top w:val="single" w:color="000000" w:sz="4" w:space="0"/>
              <w:left w:val="single" w:color="000000" w:sz="4" w:space="0"/>
              <w:bottom w:val="single" w:color="000000" w:sz="4" w:space="0"/>
              <w:right w:val="single" w:color="000000" w:sz="4" w:space="0"/>
            </w:tcBorders>
            <w:vAlign w:val="center"/>
          </w:tcPr>
          <w:p w14:paraId="3E5EB93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室内高密AP NAP-3620</w:t>
            </w:r>
          </w:p>
        </w:tc>
        <w:tc>
          <w:tcPr>
            <w:tcW w:w="770" w:type="dxa"/>
            <w:tcBorders>
              <w:top w:val="single" w:color="000000" w:sz="4" w:space="0"/>
              <w:left w:val="single" w:color="000000" w:sz="4" w:space="0"/>
              <w:bottom w:val="single" w:color="000000" w:sz="4" w:space="0"/>
              <w:right w:val="single" w:color="000000" w:sz="4" w:space="0"/>
            </w:tcBorders>
            <w:vAlign w:val="center"/>
          </w:tcPr>
          <w:p w14:paraId="3DA9964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r>
      <w:tr w14:paraId="575946C6">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147BAA6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20" w:type="dxa"/>
            <w:tcBorders>
              <w:top w:val="single" w:color="000000" w:sz="4" w:space="0"/>
              <w:left w:val="single" w:color="000000" w:sz="4" w:space="0"/>
              <w:bottom w:val="single" w:color="000000" w:sz="4" w:space="0"/>
              <w:right w:val="single" w:color="000000" w:sz="4" w:space="0"/>
            </w:tcBorders>
            <w:vAlign w:val="center"/>
          </w:tcPr>
          <w:p w14:paraId="447A661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信锐</w:t>
            </w:r>
          </w:p>
        </w:tc>
        <w:tc>
          <w:tcPr>
            <w:tcW w:w="5387" w:type="dxa"/>
            <w:tcBorders>
              <w:top w:val="single" w:color="000000" w:sz="4" w:space="0"/>
              <w:left w:val="single" w:color="000000" w:sz="4" w:space="0"/>
              <w:bottom w:val="single" w:color="000000" w:sz="4" w:space="0"/>
              <w:right w:val="single" w:color="000000" w:sz="4" w:space="0"/>
            </w:tcBorders>
            <w:vAlign w:val="center"/>
          </w:tcPr>
          <w:p w14:paraId="735F718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室内定向AP NAP-3700</w:t>
            </w:r>
          </w:p>
        </w:tc>
        <w:tc>
          <w:tcPr>
            <w:tcW w:w="770" w:type="dxa"/>
            <w:tcBorders>
              <w:top w:val="single" w:color="000000" w:sz="4" w:space="0"/>
              <w:left w:val="single" w:color="000000" w:sz="4" w:space="0"/>
              <w:bottom w:val="single" w:color="000000" w:sz="4" w:space="0"/>
              <w:right w:val="single" w:color="000000" w:sz="4" w:space="0"/>
            </w:tcBorders>
            <w:vAlign w:val="center"/>
          </w:tcPr>
          <w:p w14:paraId="7EA2E7B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7035E721">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036D349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20" w:type="dxa"/>
            <w:tcBorders>
              <w:top w:val="single" w:color="000000" w:sz="4" w:space="0"/>
              <w:left w:val="single" w:color="000000" w:sz="4" w:space="0"/>
              <w:bottom w:val="single" w:color="000000" w:sz="4" w:space="0"/>
              <w:right w:val="single" w:color="000000" w:sz="4" w:space="0"/>
            </w:tcBorders>
            <w:vAlign w:val="center"/>
          </w:tcPr>
          <w:p w14:paraId="1C0ADBA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信锐</w:t>
            </w:r>
          </w:p>
        </w:tc>
        <w:tc>
          <w:tcPr>
            <w:tcW w:w="5387" w:type="dxa"/>
            <w:tcBorders>
              <w:top w:val="single" w:color="000000" w:sz="4" w:space="0"/>
              <w:left w:val="single" w:color="000000" w:sz="4" w:space="0"/>
              <w:bottom w:val="single" w:color="000000" w:sz="4" w:space="0"/>
              <w:right w:val="single" w:color="000000" w:sz="4" w:space="0"/>
            </w:tcBorders>
            <w:vAlign w:val="center"/>
          </w:tcPr>
          <w:p w14:paraId="571E760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POE交换机 RS5300-28X-PWR-SI</w:t>
            </w:r>
          </w:p>
        </w:tc>
        <w:tc>
          <w:tcPr>
            <w:tcW w:w="770" w:type="dxa"/>
            <w:tcBorders>
              <w:top w:val="single" w:color="000000" w:sz="4" w:space="0"/>
              <w:left w:val="single" w:color="000000" w:sz="4" w:space="0"/>
              <w:bottom w:val="single" w:color="000000" w:sz="4" w:space="0"/>
              <w:right w:val="single" w:color="000000" w:sz="4" w:space="0"/>
            </w:tcBorders>
            <w:vAlign w:val="center"/>
          </w:tcPr>
          <w:p w14:paraId="6FDB260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16</w:t>
            </w:r>
          </w:p>
        </w:tc>
      </w:tr>
      <w:tr w14:paraId="2D1AB2BF">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3F97B94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20" w:type="dxa"/>
            <w:tcBorders>
              <w:top w:val="single" w:color="000000" w:sz="4" w:space="0"/>
              <w:left w:val="single" w:color="000000" w:sz="4" w:space="0"/>
              <w:bottom w:val="single" w:color="000000" w:sz="4" w:space="0"/>
              <w:right w:val="single" w:color="000000" w:sz="4" w:space="0"/>
            </w:tcBorders>
            <w:vAlign w:val="center"/>
          </w:tcPr>
          <w:p w14:paraId="7B5222E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信锐</w:t>
            </w:r>
          </w:p>
        </w:tc>
        <w:tc>
          <w:tcPr>
            <w:tcW w:w="5387" w:type="dxa"/>
            <w:tcBorders>
              <w:top w:val="single" w:color="000000" w:sz="4" w:space="0"/>
              <w:left w:val="single" w:color="000000" w:sz="4" w:space="0"/>
              <w:bottom w:val="single" w:color="000000" w:sz="4" w:space="0"/>
              <w:right w:val="single" w:color="000000" w:sz="4" w:space="0"/>
            </w:tcBorders>
            <w:vAlign w:val="center"/>
          </w:tcPr>
          <w:p w14:paraId="54BE543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交换机 RS5300-28X-EI-24S</w:t>
            </w:r>
          </w:p>
        </w:tc>
        <w:tc>
          <w:tcPr>
            <w:tcW w:w="770" w:type="dxa"/>
            <w:tcBorders>
              <w:top w:val="single" w:color="000000" w:sz="4" w:space="0"/>
              <w:left w:val="single" w:color="000000" w:sz="4" w:space="0"/>
              <w:bottom w:val="single" w:color="000000" w:sz="4" w:space="0"/>
              <w:right w:val="single" w:color="000000" w:sz="4" w:space="0"/>
            </w:tcBorders>
            <w:vAlign w:val="center"/>
          </w:tcPr>
          <w:p w14:paraId="5B1D7B4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763377E8">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28CEFF0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020" w:type="dxa"/>
            <w:tcBorders>
              <w:top w:val="single" w:color="000000" w:sz="4" w:space="0"/>
              <w:left w:val="single" w:color="000000" w:sz="4" w:space="0"/>
              <w:bottom w:val="single" w:color="000000" w:sz="4" w:space="0"/>
              <w:right w:val="single" w:color="000000" w:sz="4" w:space="0"/>
            </w:tcBorders>
            <w:vAlign w:val="center"/>
          </w:tcPr>
          <w:p w14:paraId="1095E36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信锐</w:t>
            </w:r>
          </w:p>
        </w:tc>
        <w:tc>
          <w:tcPr>
            <w:tcW w:w="5387" w:type="dxa"/>
            <w:tcBorders>
              <w:top w:val="single" w:color="000000" w:sz="4" w:space="0"/>
              <w:left w:val="single" w:color="000000" w:sz="4" w:space="0"/>
              <w:bottom w:val="single" w:color="000000" w:sz="4" w:space="0"/>
              <w:right w:val="single" w:color="000000" w:sz="4" w:space="0"/>
            </w:tcBorders>
            <w:vAlign w:val="center"/>
          </w:tcPr>
          <w:p w14:paraId="6AAB67F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无线控制器 NAC-6380-Y</w:t>
            </w:r>
          </w:p>
        </w:tc>
        <w:tc>
          <w:tcPr>
            <w:tcW w:w="770" w:type="dxa"/>
            <w:tcBorders>
              <w:top w:val="single" w:color="000000" w:sz="4" w:space="0"/>
              <w:left w:val="single" w:color="000000" w:sz="4" w:space="0"/>
              <w:bottom w:val="single" w:color="000000" w:sz="4" w:space="0"/>
              <w:right w:val="single" w:color="000000" w:sz="4" w:space="0"/>
            </w:tcBorders>
            <w:vAlign w:val="center"/>
          </w:tcPr>
          <w:p w14:paraId="334A782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043EC6F4">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2C56CCD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020" w:type="dxa"/>
            <w:tcBorders>
              <w:top w:val="single" w:color="000000" w:sz="4" w:space="0"/>
              <w:left w:val="single" w:color="000000" w:sz="4" w:space="0"/>
              <w:bottom w:val="single" w:color="000000" w:sz="4" w:space="0"/>
              <w:right w:val="single" w:color="000000" w:sz="4" w:space="0"/>
            </w:tcBorders>
            <w:vAlign w:val="center"/>
          </w:tcPr>
          <w:p w14:paraId="18CD4CF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信锐</w:t>
            </w:r>
          </w:p>
        </w:tc>
        <w:tc>
          <w:tcPr>
            <w:tcW w:w="5387" w:type="dxa"/>
            <w:tcBorders>
              <w:top w:val="single" w:color="000000" w:sz="4" w:space="0"/>
              <w:left w:val="single" w:color="000000" w:sz="4" w:space="0"/>
              <w:bottom w:val="single" w:color="000000" w:sz="4" w:space="0"/>
              <w:right w:val="single" w:color="000000" w:sz="4" w:space="0"/>
            </w:tcBorders>
            <w:vAlign w:val="center"/>
          </w:tcPr>
          <w:p w14:paraId="588C1F9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面板AP NAP-3560-P</w:t>
            </w:r>
          </w:p>
        </w:tc>
        <w:tc>
          <w:tcPr>
            <w:tcW w:w="770" w:type="dxa"/>
            <w:tcBorders>
              <w:top w:val="single" w:color="000000" w:sz="4" w:space="0"/>
              <w:left w:val="single" w:color="000000" w:sz="4" w:space="0"/>
              <w:bottom w:val="single" w:color="000000" w:sz="4" w:space="0"/>
              <w:right w:val="single" w:color="000000" w:sz="4" w:space="0"/>
            </w:tcBorders>
            <w:vAlign w:val="center"/>
          </w:tcPr>
          <w:p w14:paraId="621F677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140</w:t>
            </w:r>
          </w:p>
        </w:tc>
      </w:tr>
      <w:tr w14:paraId="7909FA8C">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43B72AD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020" w:type="dxa"/>
            <w:tcBorders>
              <w:top w:val="single" w:color="000000" w:sz="4" w:space="0"/>
              <w:left w:val="single" w:color="000000" w:sz="4" w:space="0"/>
              <w:bottom w:val="single" w:color="000000" w:sz="4" w:space="0"/>
              <w:right w:val="single" w:color="000000" w:sz="4" w:space="0"/>
            </w:tcBorders>
            <w:vAlign w:val="center"/>
          </w:tcPr>
          <w:p w14:paraId="5D13255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信锐</w:t>
            </w:r>
          </w:p>
        </w:tc>
        <w:tc>
          <w:tcPr>
            <w:tcW w:w="5387" w:type="dxa"/>
            <w:tcBorders>
              <w:top w:val="single" w:color="000000" w:sz="4" w:space="0"/>
              <w:left w:val="single" w:color="000000" w:sz="4" w:space="0"/>
              <w:bottom w:val="single" w:color="000000" w:sz="4" w:space="0"/>
              <w:right w:val="single" w:color="000000" w:sz="4" w:space="0"/>
            </w:tcBorders>
            <w:vAlign w:val="center"/>
          </w:tcPr>
          <w:p w14:paraId="7556BC0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室内吸顶AP NAP-3700</w:t>
            </w:r>
          </w:p>
        </w:tc>
        <w:tc>
          <w:tcPr>
            <w:tcW w:w="770" w:type="dxa"/>
            <w:tcBorders>
              <w:top w:val="single" w:color="000000" w:sz="4" w:space="0"/>
              <w:left w:val="single" w:color="000000" w:sz="4" w:space="0"/>
              <w:bottom w:val="single" w:color="000000" w:sz="4" w:space="0"/>
              <w:right w:val="single" w:color="000000" w:sz="4" w:space="0"/>
            </w:tcBorders>
            <w:vAlign w:val="center"/>
          </w:tcPr>
          <w:p w14:paraId="258D214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70</w:t>
            </w:r>
          </w:p>
        </w:tc>
      </w:tr>
      <w:tr w14:paraId="2D344AAA">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64B6CD3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020" w:type="dxa"/>
            <w:tcBorders>
              <w:top w:val="single" w:color="000000" w:sz="4" w:space="0"/>
              <w:left w:val="single" w:color="000000" w:sz="4" w:space="0"/>
              <w:bottom w:val="single" w:color="000000" w:sz="4" w:space="0"/>
              <w:right w:val="single" w:color="000000" w:sz="4" w:space="0"/>
            </w:tcBorders>
            <w:vAlign w:val="center"/>
          </w:tcPr>
          <w:p w14:paraId="085A55F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深信服</w:t>
            </w:r>
          </w:p>
        </w:tc>
        <w:tc>
          <w:tcPr>
            <w:tcW w:w="5387" w:type="dxa"/>
            <w:tcBorders>
              <w:top w:val="single" w:color="000000" w:sz="4" w:space="0"/>
              <w:left w:val="single" w:color="000000" w:sz="4" w:space="0"/>
              <w:bottom w:val="single" w:color="000000" w:sz="4" w:space="0"/>
              <w:right w:val="single" w:color="000000" w:sz="4" w:space="0"/>
            </w:tcBorders>
            <w:vAlign w:val="center"/>
          </w:tcPr>
          <w:p w14:paraId="39A65C4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交换机 aRS5300-28T-4F</w:t>
            </w:r>
          </w:p>
        </w:tc>
        <w:tc>
          <w:tcPr>
            <w:tcW w:w="770" w:type="dxa"/>
            <w:tcBorders>
              <w:top w:val="single" w:color="000000" w:sz="4" w:space="0"/>
              <w:left w:val="single" w:color="000000" w:sz="4" w:space="0"/>
              <w:bottom w:val="single" w:color="000000" w:sz="4" w:space="0"/>
              <w:right w:val="single" w:color="000000" w:sz="4" w:space="0"/>
            </w:tcBorders>
            <w:vAlign w:val="center"/>
          </w:tcPr>
          <w:p w14:paraId="3DDE089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7B001AD0">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65039D1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020" w:type="dxa"/>
            <w:tcBorders>
              <w:top w:val="single" w:color="000000" w:sz="4" w:space="0"/>
              <w:left w:val="single" w:color="000000" w:sz="4" w:space="0"/>
              <w:bottom w:val="single" w:color="000000" w:sz="4" w:space="0"/>
              <w:right w:val="single" w:color="000000" w:sz="4" w:space="0"/>
            </w:tcBorders>
            <w:vAlign w:val="center"/>
          </w:tcPr>
          <w:p w14:paraId="67A66CD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H3C</w:t>
            </w:r>
          </w:p>
        </w:tc>
        <w:tc>
          <w:tcPr>
            <w:tcW w:w="5387" w:type="dxa"/>
            <w:tcBorders>
              <w:top w:val="single" w:color="000000" w:sz="4" w:space="0"/>
              <w:left w:val="single" w:color="000000" w:sz="4" w:space="0"/>
              <w:bottom w:val="single" w:color="000000" w:sz="4" w:space="0"/>
              <w:right w:val="single" w:color="000000" w:sz="4" w:space="0"/>
            </w:tcBorders>
            <w:vAlign w:val="center"/>
          </w:tcPr>
          <w:p w14:paraId="0887667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无线AP EWP-WA4320i-CAN-FIT</w:t>
            </w:r>
          </w:p>
        </w:tc>
        <w:tc>
          <w:tcPr>
            <w:tcW w:w="770" w:type="dxa"/>
            <w:tcBorders>
              <w:top w:val="single" w:color="000000" w:sz="4" w:space="0"/>
              <w:left w:val="single" w:color="000000" w:sz="4" w:space="0"/>
              <w:bottom w:val="single" w:color="000000" w:sz="4" w:space="0"/>
              <w:right w:val="single" w:color="000000" w:sz="4" w:space="0"/>
            </w:tcBorders>
            <w:vAlign w:val="center"/>
          </w:tcPr>
          <w:p w14:paraId="4421182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r>
      <w:tr w14:paraId="0627D0A7">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FA0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3A0B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H3C</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8789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交换机 LS-S5110-10P-PWR</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12B0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r>
      <w:tr w14:paraId="4E23B954">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20B26AC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1020" w:type="dxa"/>
            <w:tcBorders>
              <w:top w:val="single" w:color="000000" w:sz="4" w:space="0"/>
              <w:left w:val="single" w:color="000000" w:sz="4" w:space="0"/>
              <w:bottom w:val="single" w:color="000000" w:sz="4" w:space="0"/>
              <w:right w:val="single" w:color="000000" w:sz="4" w:space="0"/>
            </w:tcBorders>
            <w:vAlign w:val="center"/>
          </w:tcPr>
          <w:p w14:paraId="7E7162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H3C</w:t>
            </w:r>
          </w:p>
        </w:tc>
        <w:tc>
          <w:tcPr>
            <w:tcW w:w="5387" w:type="dxa"/>
            <w:tcBorders>
              <w:top w:val="single" w:color="000000" w:sz="4" w:space="0"/>
              <w:left w:val="single" w:color="000000" w:sz="4" w:space="0"/>
              <w:bottom w:val="single" w:color="000000" w:sz="4" w:space="0"/>
              <w:right w:val="single" w:color="000000" w:sz="4" w:space="0"/>
            </w:tcBorders>
            <w:vAlign w:val="center"/>
          </w:tcPr>
          <w:p w14:paraId="56A34B9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无线控制器 H3C WP-WX5004</w:t>
            </w:r>
          </w:p>
        </w:tc>
        <w:tc>
          <w:tcPr>
            <w:tcW w:w="770" w:type="dxa"/>
            <w:tcBorders>
              <w:top w:val="single" w:color="000000" w:sz="4" w:space="0"/>
              <w:left w:val="single" w:color="000000" w:sz="4" w:space="0"/>
              <w:bottom w:val="single" w:color="000000" w:sz="4" w:space="0"/>
              <w:right w:val="single" w:color="000000" w:sz="4" w:space="0"/>
            </w:tcBorders>
            <w:vAlign w:val="center"/>
          </w:tcPr>
          <w:p w14:paraId="52DAB43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4C77529E">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4E4D893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1020" w:type="dxa"/>
            <w:tcBorders>
              <w:top w:val="single" w:color="000000" w:sz="4" w:space="0"/>
              <w:left w:val="single" w:color="000000" w:sz="4" w:space="0"/>
              <w:bottom w:val="single" w:color="000000" w:sz="4" w:space="0"/>
              <w:right w:val="single" w:color="000000" w:sz="4" w:space="0"/>
            </w:tcBorders>
            <w:vAlign w:val="center"/>
          </w:tcPr>
          <w:p w14:paraId="71A0195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H3C</w:t>
            </w:r>
          </w:p>
        </w:tc>
        <w:tc>
          <w:tcPr>
            <w:tcW w:w="5387" w:type="dxa"/>
            <w:tcBorders>
              <w:top w:val="single" w:color="000000" w:sz="4" w:space="0"/>
              <w:left w:val="single" w:color="000000" w:sz="4" w:space="0"/>
              <w:bottom w:val="single" w:color="000000" w:sz="4" w:space="0"/>
              <w:right w:val="single" w:color="000000" w:sz="4" w:space="0"/>
            </w:tcBorders>
            <w:vAlign w:val="center"/>
          </w:tcPr>
          <w:p w14:paraId="1CFBC4B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无线AP H3C EWP-WA2620i-AGN</w:t>
            </w:r>
          </w:p>
        </w:tc>
        <w:tc>
          <w:tcPr>
            <w:tcW w:w="770" w:type="dxa"/>
            <w:tcBorders>
              <w:top w:val="single" w:color="000000" w:sz="4" w:space="0"/>
              <w:left w:val="single" w:color="000000" w:sz="4" w:space="0"/>
              <w:bottom w:val="single" w:color="000000" w:sz="4" w:space="0"/>
              <w:right w:val="single" w:color="000000" w:sz="4" w:space="0"/>
            </w:tcBorders>
            <w:vAlign w:val="center"/>
          </w:tcPr>
          <w:p w14:paraId="28226BF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51</w:t>
            </w:r>
          </w:p>
        </w:tc>
      </w:tr>
      <w:tr w14:paraId="7EC850FF">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35DEECE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1020" w:type="dxa"/>
            <w:tcBorders>
              <w:top w:val="single" w:color="000000" w:sz="4" w:space="0"/>
              <w:left w:val="single" w:color="000000" w:sz="4" w:space="0"/>
              <w:bottom w:val="single" w:color="000000" w:sz="4" w:space="0"/>
              <w:right w:val="single" w:color="000000" w:sz="4" w:space="0"/>
            </w:tcBorders>
            <w:vAlign w:val="center"/>
          </w:tcPr>
          <w:p w14:paraId="2472C41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H3C</w:t>
            </w:r>
          </w:p>
        </w:tc>
        <w:tc>
          <w:tcPr>
            <w:tcW w:w="5387" w:type="dxa"/>
            <w:tcBorders>
              <w:top w:val="single" w:color="000000" w:sz="4" w:space="0"/>
              <w:left w:val="single" w:color="000000" w:sz="4" w:space="0"/>
              <w:bottom w:val="single" w:color="000000" w:sz="4" w:space="0"/>
              <w:right w:val="single" w:color="000000" w:sz="4" w:space="0"/>
            </w:tcBorders>
            <w:vAlign w:val="center"/>
          </w:tcPr>
          <w:p w14:paraId="27137C4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POE 供电模块 EWPAM2NPOE</w:t>
            </w:r>
          </w:p>
        </w:tc>
        <w:tc>
          <w:tcPr>
            <w:tcW w:w="770" w:type="dxa"/>
            <w:tcBorders>
              <w:top w:val="single" w:color="000000" w:sz="4" w:space="0"/>
              <w:left w:val="single" w:color="000000" w:sz="4" w:space="0"/>
              <w:bottom w:val="single" w:color="000000" w:sz="4" w:space="0"/>
              <w:right w:val="single" w:color="000000" w:sz="4" w:space="0"/>
            </w:tcBorders>
            <w:vAlign w:val="center"/>
          </w:tcPr>
          <w:p w14:paraId="5274FEB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51</w:t>
            </w:r>
          </w:p>
        </w:tc>
      </w:tr>
      <w:tr w14:paraId="13CD1F2D">
        <w:tblPrEx>
          <w:tblCellMar>
            <w:top w:w="0" w:type="dxa"/>
            <w:left w:w="108" w:type="dxa"/>
            <w:bottom w:w="0" w:type="dxa"/>
            <w:right w:w="108" w:type="dxa"/>
          </w:tblCellMar>
        </w:tblPrEx>
        <w:trPr>
          <w:trHeight w:val="440" w:hRule="atLeast"/>
        </w:trPr>
        <w:tc>
          <w:tcPr>
            <w:tcW w:w="7426" w:type="dxa"/>
            <w:gridSpan w:val="3"/>
            <w:tcBorders>
              <w:top w:val="single" w:color="000000" w:sz="4" w:space="0"/>
              <w:left w:val="single" w:color="000000" w:sz="4" w:space="0"/>
              <w:bottom w:val="single" w:color="000000" w:sz="4" w:space="0"/>
              <w:right w:val="single" w:color="000000" w:sz="4" w:space="0"/>
            </w:tcBorders>
            <w:vAlign w:val="center"/>
          </w:tcPr>
          <w:p w14:paraId="016CBC26">
            <w:pPr>
              <w:widowControl/>
              <w:jc w:val="center"/>
              <w:textAlignment w:val="center"/>
              <w:rPr>
                <w:rFonts w:ascii="宋体" w:hAnsi="宋体" w:cs="宋体"/>
                <w:color w:val="auto"/>
                <w:kern w:val="0"/>
                <w:sz w:val="20"/>
                <w:szCs w:val="20"/>
                <w:highlight w:val="none"/>
                <w:lang w:bidi="ar"/>
              </w:rPr>
            </w:pPr>
            <w:r>
              <w:rPr>
                <w:rFonts w:hint="eastAsia" w:ascii="宋体" w:hAnsi="宋体" w:cs="宋体"/>
                <w:b/>
                <w:bCs/>
                <w:color w:val="auto"/>
                <w:kern w:val="0"/>
                <w:sz w:val="20"/>
                <w:szCs w:val="20"/>
                <w:highlight w:val="none"/>
                <w:lang w:bidi="ar"/>
              </w:rPr>
              <w:t>小计：</w:t>
            </w:r>
          </w:p>
        </w:tc>
        <w:tc>
          <w:tcPr>
            <w:tcW w:w="770" w:type="dxa"/>
            <w:tcBorders>
              <w:top w:val="single" w:color="000000" w:sz="4" w:space="0"/>
              <w:left w:val="single" w:color="000000" w:sz="4" w:space="0"/>
              <w:bottom w:val="single" w:color="000000" w:sz="4" w:space="0"/>
              <w:right w:val="single" w:color="000000" w:sz="4" w:space="0"/>
            </w:tcBorders>
            <w:vAlign w:val="center"/>
          </w:tcPr>
          <w:p w14:paraId="5592F86D">
            <w:pPr>
              <w:widowControl/>
              <w:jc w:val="center"/>
              <w:textAlignment w:val="center"/>
              <w:rPr>
                <w:rFonts w:ascii="宋体" w:hAnsi="宋体" w:cs="宋体"/>
                <w:color w:val="auto"/>
                <w:kern w:val="0"/>
                <w:sz w:val="20"/>
                <w:szCs w:val="20"/>
                <w:highlight w:val="none"/>
                <w:lang w:bidi="ar"/>
              </w:rPr>
            </w:pPr>
            <w:r>
              <w:rPr>
                <w:rFonts w:hint="eastAsia" w:ascii="宋体" w:hAnsi="宋体" w:cs="宋体"/>
                <w:b/>
                <w:bCs/>
                <w:color w:val="auto"/>
                <w:kern w:val="0"/>
                <w:sz w:val="20"/>
                <w:szCs w:val="20"/>
                <w:highlight w:val="none"/>
                <w:lang w:bidi="ar"/>
              </w:rPr>
              <w:t>367</w:t>
            </w:r>
          </w:p>
        </w:tc>
      </w:tr>
      <w:tr w14:paraId="48AEDA53">
        <w:tblPrEx>
          <w:tblCellMar>
            <w:top w:w="0" w:type="dxa"/>
            <w:left w:w="108" w:type="dxa"/>
            <w:bottom w:w="0" w:type="dxa"/>
            <w:right w:w="108" w:type="dxa"/>
          </w:tblCellMar>
        </w:tblPrEx>
        <w:trPr>
          <w:trHeight w:val="440" w:hRule="atLeast"/>
        </w:trPr>
        <w:tc>
          <w:tcPr>
            <w:tcW w:w="7426" w:type="dxa"/>
            <w:gridSpan w:val="3"/>
            <w:tcBorders>
              <w:top w:val="single" w:color="000000" w:sz="4" w:space="0"/>
              <w:left w:val="single" w:color="000000" w:sz="4" w:space="0"/>
              <w:bottom w:val="single" w:color="000000" w:sz="4" w:space="0"/>
              <w:right w:val="single" w:color="000000" w:sz="4" w:space="0"/>
            </w:tcBorders>
            <w:vAlign w:val="center"/>
          </w:tcPr>
          <w:p w14:paraId="02E23B58">
            <w:pPr>
              <w:widowControl/>
              <w:jc w:val="center"/>
              <w:textAlignment w:val="center"/>
              <w:rPr>
                <w:rFonts w:ascii="宋体" w:hAnsi="宋体" w:cs="宋体"/>
                <w:b/>
                <w:bCs/>
                <w:color w:val="auto"/>
                <w:kern w:val="0"/>
                <w:sz w:val="20"/>
                <w:szCs w:val="20"/>
                <w:highlight w:val="none"/>
                <w:lang w:bidi="ar"/>
              </w:rPr>
            </w:pPr>
            <w:r>
              <w:rPr>
                <w:rFonts w:hint="eastAsia" w:ascii="宋体" w:hAnsi="宋体" w:cs="宋体"/>
                <w:b/>
                <w:bCs/>
                <w:color w:val="auto"/>
                <w:kern w:val="0"/>
                <w:sz w:val="20"/>
                <w:szCs w:val="20"/>
                <w:highlight w:val="none"/>
                <w:lang w:bidi="ar"/>
              </w:rPr>
              <w:t>（四）新民路办公区机房专用设备</w:t>
            </w:r>
          </w:p>
        </w:tc>
        <w:tc>
          <w:tcPr>
            <w:tcW w:w="770" w:type="dxa"/>
            <w:tcBorders>
              <w:top w:val="single" w:color="000000" w:sz="4" w:space="0"/>
              <w:left w:val="single" w:color="000000" w:sz="4" w:space="0"/>
              <w:bottom w:val="single" w:color="000000" w:sz="4" w:space="0"/>
              <w:right w:val="single" w:color="000000" w:sz="4" w:space="0"/>
            </w:tcBorders>
            <w:vAlign w:val="center"/>
          </w:tcPr>
          <w:p w14:paraId="28AFB7B9">
            <w:pPr>
              <w:widowControl/>
              <w:jc w:val="center"/>
              <w:textAlignment w:val="center"/>
              <w:rPr>
                <w:rFonts w:ascii="宋体" w:hAnsi="宋体" w:cs="宋体"/>
                <w:b/>
                <w:bCs/>
                <w:color w:val="auto"/>
                <w:kern w:val="0"/>
                <w:sz w:val="20"/>
                <w:szCs w:val="20"/>
                <w:highlight w:val="none"/>
                <w:lang w:bidi="ar"/>
              </w:rPr>
            </w:pPr>
          </w:p>
        </w:tc>
      </w:tr>
      <w:tr w14:paraId="404EAE98">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748A652E">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c>
          <w:tcPr>
            <w:tcW w:w="1020" w:type="dxa"/>
            <w:tcBorders>
              <w:top w:val="single" w:color="000000" w:sz="4" w:space="0"/>
              <w:left w:val="single" w:color="000000" w:sz="4" w:space="0"/>
              <w:bottom w:val="single" w:color="000000" w:sz="4" w:space="0"/>
              <w:right w:val="single" w:color="000000" w:sz="4" w:space="0"/>
            </w:tcBorders>
            <w:vAlign w:val="center"/>
          </w:tcPr>
          <w:p w14:paraId="213DBB65">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英维克</w:t>
            </w:r>
          </w:p>
        </w:tc>
        <w:tc>
          <w:tcPr>
            <w:tcW w:w="5387" w:type="dxa"/>
            <w:tcBorders>
              <w:top w:val="single" w:color="000000" w:sz="4" w:space="0"/>
              <w:left w:val="single" w:color="000000" w:sz="4" w:space="0"/>
              <w:bottom w:val="single" w:color="000000" w:sz="4" w:space="0"/>
              <w:right w:val="single" w:color="000000" w:sz="4" w:space="0"/>
            </w:tcBorders>
            <w:vAlign w:val="center"/>
          </w:tcPr>
          <w:p w14:paraId="5AE5E095">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精密空调CyberMate512BIU1A</w:t>
            </w:r>
          </w:p>
        </w:tc>
        <w:tc>
          <w:tcPr>
            <w:tcW w:w="770" w:type="dxa"/>
            <w:tcBorders>
              <w:top w:val="single" w:color="000000" w:sz="4" w:space="0"/>
              <w:left w:val="single" w:color="000000" w:sz="4" w:space="0"/>
              <w:bottom w:val="single" w:color="000000" w:sz="4" w:space="0"/>
              <w:right w:val="single" w:color="000000" w:sz="4" w:space="0"/>
            </w:tcBorders>
            <w:vAlign w:val="center"/>
          </w:tcPr>
          <w:p w14:paraId="5F0ED834">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14:paraId="41C4D310">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30ED78B9">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c>
          <w:tcPr>
            <w:tcW w:w="1020" w:type="dxa"/>
            <w:tcBorders>
              <w:top w:val="single" w:color="000000" w:sz="4" w:space="0"/>
              <w:left w:val="single" w:color="000000" w:sz="4" w:space="0"/>
              <w:bottom w:val="single" w:color="000000" w:sz="4" w:space="0"/>
              <w:right w:val="single" w:color="000000" w:sz="4" w:space="0"/>
            </w:tcBorders>
            <w:vAlign w:val="center"/>
          </w:tcPr>
          <w:p w14:paraId="2BE6555E">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赛福</w:t>
            </w:r>
          </w:p>
        </w:tc>
        <w:tc>
          <w:tcPr>
            <w:tcW w:w="5387" w:type="dxa"/>
            <w:tcBorders>
              <w:top w:val="single" w:color="000000" w:sz="4" w:space="0"/>
              <w:left w:val="single" w:color="000000" w:sz="4" w:space="0"/>
              <w:bottom w:val="single" w:color="000000" w:sz="4" w:space="0"/>
              <w:right w:val="single" w:color="000000" w:sz="4" w:space="0"/>
            </w:tcBorders>
            <w:vAlign w:val="center"/>
          </w:tcPr>
          <w:p w14:paraId="6C3F55DD">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柜式化氟丙烷气体灭火装置</w:t>
            </w:r>
          </w:p>
        </w:tc>
        <w:tc>
          <w:tcPr>
            <w:tcW w:w="770" w:type="dxa"/>
            <w:tcBorders>
              <w:top w:val="single" w:color="000000" w:sz="4" w:space="0"/>
              <w:left w:val="single" w:color="000000" w:sz="4" w:space="0"/>
              <w:bottom w:val="single" w:color="000000" w:sz="4" w:space="0"/>
              <w:right w:val="single" w:color="000000" w:sz="4" w:space="0"/>
            </w:tcBorders>
            <w:vAlign w:val="center"/>
          </w:tcPr>
          <w:p w14:paraId="2F6D4FFB">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14:paraId="2F9B7F9B">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0E2999A4">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c>
          <w:tcPr>
            <w:tcW w:w="1020" w:type="dxa"/>
            <w:tcBorders>
              <w:top w:val="single" w:color="000000" w:sz="4" w:space="0"/>
              <w:left w:val="single" w:color="000000" w:sz="4" w:space="0"/>
              <w:bottom w:val="single" w:color="000000" w:sz="4" w:space="0"/>
              <w:right w:val="single" w:color="000000" w:sz="4" w:space="0"/>
            </w:tcBorders>
            <w:vAlign w:val="center"/>
          </w:tcPr>
          <w:p w14:paraId="6356F079">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海康威视</w:t>
            </w:r>
          </w:p>
        </w:tc>
        <w:tc>
          <w:tcPr>
            <w:tcW w:w="5387" w:type="dxa"/>
            <w:tcBorders>
              <w:top w:val="single" w:color="000000" w:sz="4" w:space="0"/>
              <w:left w:val="single" w:color="000000" w:sz="4" w:space="0"/>
              <w:bottom w:val="single" w:color="000000" w:sz="4" w:space="0"/>
              <w:right w:val="single" w:color="000000" w:sz="4" w:space="0"/>
            </w:tcBorders>
            <w:vAlign w:val="center"/>
          </w:tcPr>
          <w:p w14:paraId="0D2197C6">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海康监控主机DS-7808N-K2</w:t>
            </w:r>
          </w:p>
        </w:tc>
        <w:tc>
          <w:tcPr>
            <w:tcW w:w="770" w:type="dxa"/>
            <w:tcBorders>
              <w:top w:val="single" w:color="000000" w:sz="4" w:space="0"/>
              <w:left w:val="single" w:color="000000" w:sz="4" w:space="0"/>
              <w:bottom w:val="single" w:color="000000" w:sz="4" w:space="0"/>
              <w:right w:val="single" w:color="000000" w:sz="4" w:space="0"/>
            </w:tcBorders>
            <w:vAlign w:val="center"/>
          </w:tcPr>
          <w:p w14:paraId="4F5C3F95">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14:paraId="67D43D92">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727B2535">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c>
          <w:tcPr>
            <w:tcW w:w="1020" w:type="dxa"/>
            <w:tcBorders>
              <w:top w:val="single" w:color="000000" w:sz="4" w:space="0"/>
              <w:left w:val="single" w:color="000000" w:sz="4" w:space="0"/>
              <w:bottom w:val="single" w:color="000000" w:sz="4" w:space="0"/>
              <w:right w:val="single" w:color="000000" w:sz="4" w:space="0"/>
            </w:tcBorders>
            <w:vAlign w:val="center"/>
          </w:tcPr>
          <w:p w14:paraId="1AE70A68">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纵横通</w:t>
            </w:r>
          </w:p>
        </w:tc>
        <w:tc>
          <w:tcPr>
            <w:tcW w:w="5387" w:type="dxa"/>
            <w:tcBorders>
              <w:top w:val="single" w:color="000000" w:sz="4" w:space="0"/>
              <w:left w:val="single" w:color="000000" w:sz="4" w:space="0"/>
              <w:bottom w:val="single" w:color="000000" w:sz="4" w:space="0"/>
              <w:right w:val="single" w:color="000000" w:sz="4" w:space="0"/>
            </w:tcBorders>
            <w:vAlign w:val="center"/>
          </w:tcPr>
          <w:p w14:paraId="17A9C967">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环控主机ZHT-NMS2056T</w:t>
            </w:r>
          </w:p>
        </w:tc>
        <w:tc>
          <w:tcPr>
            <w:tcW w:w="770" w:type="dxa"/>
            <w:tcBorders>
              <w:top w:val="single" w:color="000000" w:sz="4" w:space="0"/>
              <w:left w:val="single" w:color="000000" w:sz="4" w:space="0"/>
              <w:bottom w:val="single" w:color="000000" w:sz="4" w:space="0"/>
              <w:right w:val="single" w:color="000000" w:sz="4" w:space="0"/>
            </w:tcBorders>
            <w:vAlign w:val="center"/>
          </w:tcPr>
          <w:p w14:paraId="29849A4E">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14:paraId="05A60D9F">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2733DB31">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w:t>
            </w:r>
          </w:p>
        </w:tc>
        <w:tc>
          <w:tcPr>
            <w:tcW w:w="1020" w:type="dxa"/>
            <w:tcBorders>
              <w:top w:val="single" w:color="000000" w:sz="4" w:space="0"/>
              <w:left w:val="single" w:color="000000" w:sz="4" w:space="0"/>
              <w:bottom w:val="single" w:color="000000" w:sz="4" w:space="0"/>
              <w:right w:val="single" w:color="000000" w:sz="4" w:space="0"/>
            </w:tcBorders>
            <w:vAlign w:val="center"/>
          </w:tcPr>
          <w:p w14:paraId="1C1D64F8">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天融信</w:t>
            </w:r>
          </w:p>
        </w:tc>
        <w:tc>
          <w:tcPr>
            <w:tcW w:w="5387" w:type="dxa"/>
            <w:tcBorders>
              <w:top w:val="single" w:color="000000" w:sz="4" w:space="0"/>
              <w:left w:val="single" w:color="000000" w:sz="4" w:space="0"/>
              <w:bottom w:val="single" w:color="000000" w:sz="4" w:space="0"/>
              <w:right w:val="single" w:color="000000" w:sz="4" w:space="0"/>
            </w:tcBorders>
            <w:vAlign w:val="center"/>
          </w:tcPr>
          <w:p w14:paraId="2EF94A6D">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防火墙NGFW4000-UF</w:t>
            </w:r>
          </w:p>
        </w:tc>
        <w:tc>
          <w:tcPr>
            <w:tcW w:w="770" w:type="dxa"/>
            <w:tcBorders>
              <w:top w:val="single" w:color="000000" w:sz="4" w:space="0"/>
              <w:left w:val="single" w:color="000000" w:sz="4" w:space="0"/>
              <w:bottom w:val="single" w:color="000000" w:sz="4" w:space="0"/>
              <w:right w:val="single" w:color="000000" w:sz="4" w:space="0"/>
            </w:tcBorders>
            <w:vAlign w:val="center"/>
          </w:tcPr>
          <w:p w14:paraId="49475E54">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14:paraId="245441EE">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662408ED">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w:t>
            </w:r>
          </w:p>
        </w:tc>
        <w:tc>
          <w:tcPr>
            <w:tcW w:w="1020" w:type="dxa"/>
            <w:tcBorders>
              <w:top w:val="single" w:color="000000" w:sz="4" w:space="0"/>
              <w:left w:val="single" w:color="000000" w:sz="4" w:space="0"/>
              <w:bottom w:val="single" w:color="000000" w:sz="4" w:space="0"/>
              <w:right w:val="single" w:color="000000" w:sz="4" w:space="0"/>
            </w:tcBorders>
            <w:vAlign w:val="center"/>
          </w:tcPr>
          <w:p w14:paraId="583E84FF">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网神</w:t>
            </w:r>
          </w:p>
        </w:tc>
        <w:tc>
          <w:tcPr>
            <w:tcW w:w="5387" w:type="dxa"/>
            <w:tcBorders>
              <w:top w:val="single" w:color="000000" w:sz="4" w:space="0"/>
              <w:left w:val="single" w:color="000000" w:sz="4" w:space="0"/>
              <w:bottom w:val="single" w:color="000000" w:sz="4" w:space="0"/>
              <w:right w:val="single" w:color="000000" w:sz="4" w:space="0"/>
            </w:tcBorders>
            <w:vAlign w:val="center"/>
          </w:tcPr>
          <w:p w14:paraId="5AD18FBF">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运维安全管理与审计系统C6100-H-TF10</w:t>
            </w:r>
          </w:p>
        </w:tc>
        <w:tc>
          <w:tcPr>
            <w:tcW w:w="770" w:type="dxa"/>
            <w:tcBorders>
              <w:top w:val="single" w:color="000000" w:sz="4" w:space="0"/>
              <w:left w:val="single" w:color="000000" w:sz="4" w:space="0"/>
              <w:bottom w:val="single" w:color="000000" w:sz="4" w:space="0"/>
              <w:right w:val="single" w:color="000000" w:sz="4" w:space="0"/>
            </w:tcBorders>
            <w:vAlign w:val="center"/>
          </w:tcPr>
          <w:p w14:paraId="73CC9617">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14:paraId="5BE47157">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04D7DA52">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7</w:t>
            </w:r>
          </w:p>
        </w:tc>
        <w:tc>
          <w:tcPr>
            <w:tcW w:w="1020" w:type="dxa"/>
            <w:tcBorders>
              <w:top w:val="single" w:color="000000" w:sz="4" w:space="0"/>
              <w:left w:val="single" w:color="000000" w:sz="4" w:space="0"/>
              <w:bottom w:val="single" w:color="000000" w:sz="4" w:space="0"/>
              <w:right w:val="single" w:color="000000" w:sz="4" w:space="0"/>
            </w:tcBorders>
            <w:vAlign w:val="center"/>
          </w:tcPr>
          <w:p w14:paraId="0A7C1A0C">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天融信</w:t>
            </w:r>
          </w:p>
        </w:tc>
        <w:tc>
          <w:tcPr>
            <w:tcW w:w="5387" w:type="dxa"/>
            <w:tcBorders>
              <w:top w:val="single" w:color="000000" w:sz="4" w:space="0"/>
              <w:left w:val="single" w:color="000000" w:sz="4" w:space="0"/>
              <w:bottom w:val="single" w:color="000000" w:sz="4" w:space="0"/>
              <w:right w:val="single" w:color="000000" w:sz="4" w:space="0"/>
            </w:tcBorders>
            <w:vAlign w:val="center"/>
          </w:tcPr>
          <w:p w14:paraId="41875B37">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便携式漏扫系统TSC-71604-EP</w:t>
            </w:r>
          </w:p>
        </w:tc>
        <w:tc>
          <w:tcPr>
            <w:tcW w:w="770" w:type="dxa"/>
            <w:tcBorders>
              <w:top w:val="single" w:color="000000" w:sz="4" w:space="0"/>
              <w:left w:val="single" w:color="000000" w:sz="4" w:space="0"/>
              <w:bottom w:val="single" w:color="000000" w:sz="4" w:space="0"/>
              <w:right w:val="single" w:color="000000" w:sz="4" w:space="0"/>
            </w:tcBorders>
            <w:vAlign w:val="center"/>
          </w:tcPr>
          <w:p w14:paraId="5D896ADF">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14:paraId="75622782">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58ADEC02">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8</w:t>
            </w:r>
          </w:p>
        </w:tc>
        <w:tc>
          <w:tcPr>
            <w:tcW w:w="1020" w:type="dxa"/>
            <w:tcBorders>
              <w:top w:val="single" w:color="000000" w:sz="4" w:space="0"/>
              <w:left w:val="single" w:color="000000" w:sz="4" w:space="0"/>
              <w:bottom w:val="single" w:color="000000" w:sz="4" w:space="0"/>
              <w:right w:val="single" w:color="000000" w:sz="4" w:space="0"/>
            </w:tcBorders>
            <w:vAlign w:val="center"/>
          </w:tcPr>
          <w:p w14:paraId="27F1383C">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网神</w:t>
            </w:r>
          </w:p>
        </w:tc>
        <w:tc>
          <w:tcPr>
            <w:tcW w:w="5387" w:type="dxa"/>
            <w:tcBorders>
              <w:top w:val="single" w:color="000000" w:sz="4" w:space="0"/>
              <w:left w:val="single" w:color="000000" w:sz="4" w:space="0"/>
              <w:bottom w:val="single" w:color="000000" w:sz="4" w:space="0"/>
              <w:right w:val="single" w:color="000000" w:sz="4" w:space="0"/>
            </w:tcBorders>
            <w:vAlign w:val="center"/>
          </w:tcPr>
          <w:p w14:paraId="10E59FC3">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漏洞扫描系统Sec VSS3600 </w:t>
            </w:r>
          </w:p>
        </w:tc>
        <w:tc>
          <w:tcPr>
            <w:tcW w:w="770" w:type="dxa"/>
            <w:tcBorders>
              <w:top w:val="single" w:color="000000" w:sz="4" w:space="0"/>
              <w:left w:val="single" w:color="000000" w:sz="4" w:space="0"/>
              <w:bottom w:val="single" w:color="000000" w:sz="4" w:space="0"/>
              <w:right w:val="single" w:color="000000" w:sz="4" w:space="0"/>
            </w:tcBorders>
            <w:vAlign w:val="center"/>
          </w:tcPr>
          <w:p w14:paraId="05BA51C6">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14:paraId="170C0610">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4BE6D295">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9</w:t>
            </w:r>
          </w:p>
        </w:tc>
        <w:tc>
          <w:tcPr>
            <w:tcW w:w="1020" w:type="dxa"/>
            <w:tcBorders>
              <w:top w:val="single" w:color="000000" w:sz="4" w:space="0"/>
              <w:left w:val="single" w:color="000000" w:sz="4" w:space="0"/>
              <w:bottom w:val="single" w:color="000000" w:sz="4" w:space="0"/>
              <w:right w:val="single" w:color="000000" w:sz="4" w:space="0"/>
            </w:tcBorders>
            <w:vAlign w:val="center"/>
          </w:tcPr>
          <w:p w14:paraId="4E713310">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网神</w:t>
            </w:r>
          </w:p>
        </w:tc>
        <w:tc>
          <w:tcPr>
            <w:tcW w:w="5387" w:type="dxa"/>
            <w:tcBorders>
              <w:top w:val="single" w:color="000000" w:sz="4" w:space="0"/>
              <w:left w:val="single" w:color="000000" w:sz="4" w:space="0"/>
              <w:bottom w:val="single" w:color="000000" w:sz="4" w:space="0"/>
              <w:right w:val="single" w:color="000000" w:sz="4" w:space="0"/>
            </w:tcBorders>
            <w:vAlign w:val="center"/>
          </w:tcPr>
          <w:p w14:paraId="250580A8">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日志收集分析系统R2000-T1624</w:t>
            </w:r>
          </w:p>
        </w:tc>
        <w:tc>
          <w:tcPr>
            <w:tcW w:w="770" w:type="dxa"/>
            <w:tcBorders>
              <w:top w:val="single" w:color="000000" w:sz="4" w:space="0"/>
              <w:left w:val="single" w:color="000000" w:sz="4" w:space="0"/>
              <w:bottom w:val="single" w:color="000000" w:sz="4" w:space="0"/>
              <w:right w:val="single" w:color="000000" w:sz="4" w:space="0"/>
            </w:tcBorders>
            <w:vAlign w:val="center"/>
          </w:tcPr>
          <w:p w14:paraId="6B5D0801">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14:paraId="453BD508">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4EEA3247">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10</w:t>
            </w:r>
          </w:p>
        </w:tc>
        <w:tc>
          <w:tcPr>
            <w:tcW w:w="1020" w:type="dxa"/>
            <w:tcBorders>
              <w:top w:val="single" w:color="000000" w:sz="4" w:space="0"/>
              <w:left w:val="single" w:color="000000" w:sz="4" w:space="0"/>
              <w:bottom w:val="single" w:color="000000" w:sz="4" w:space="0"/>
              <w:right w:val="single" w:color="000000" w:sz="4" w:space="0"/>
            </w:tcBorders>
            <w:vAlign w:val="center"/>
          </w:tcPr>
          <w:p w14:paraId="363423EB">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天融信</w:t>
            </w:r>
          </w:p>
        </w:tc>
        <w:tc>
          <w:tcPr>
            <w:tcW w:w="5387" w:type="dxa"/>
            <w:tcBorders>
              <w:top w:val="single" w:color="000000" w:sz="4" w:space="0"/>
              <w:left w:val="single" w:color="000000" w:sz="4" w:space="0"/>
              <w:bottom w:val="single" w:color="000000" w:sz="4" w:space="0"/>
              <w:right w:val="single" w:color="000000" w:sz="4" w:space="0"/>
            </w:tcBorders>
            <w:vAlign w:val="center"/>
          </w:tcPr>
          <w:p w14:paraId="0C3F8AB1">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木马监控系统TopIDP 3000 </w:t>
            </w:r>
          </w:p>
        </w:tc>
        <w:tc>
          <w:tcPr>
            <w:tcW w:w="770" w:type="dxa"/>
            <w:tcBorders>
              <w:top w:val="single" w:color="000000" w:sz="4" w:space="0"/>
              <w:left w:val="single" w:color="000000" w:sz="4" w:space="0"/>
              <w:bottom w:val="single" w:color="000000" w:sz="4" w:space="0"/>
              <w:right w:val="single" w:color="000000" w:sz="4" w:space="0"/>
            </w:tcBorders>
            <w:vAlign w:val="center"/>
          </w:tcPr>
          <w:p w14:paraId="4D616DCB">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14:paraId="55F0BD3B">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2F332F1E">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w:t>
            </w:r>
          </w:p>
        </w:tc>
        <w:tc>
          <w:tcPr>
            <w:tcW w:w="1020" w:type="dxa"/>
            <w:tcBorders>
              <w:top w:val="single" w:color="000000" w:sz="4" w:space="0"/>
              <w:left w:val="single" w:color="000000" w:sz="4" w:space="0"/>
              <w:bottom w:val="single" w:color="000000" w:sz="4" w:space="0"/>
              <w:right w:val="single" w:color="000000" w:sz="4" w:space="0"/>
            </w:tcBorders>
            <w:vAlign w:val="center"/>
          </w:tcPr>
          <w:p w14:paraId="6CE5E973">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华为</w:t>
            </w:r>
          </w:p>
        </w:tc>
        <w:tc>
          <w:tcPr>
            <w:tcW w:w="5387" w:type="dxa"/>
            <w:tcBorders>
              <w:top w:val="single" w:color="000000" w:sz="4" w:space="0"/>
              <w:left w:val="single" w:color="000000" w:sz="4" w:space="0"/>
              <w:bottom w:val="single" w:color="000000" w:sz="4" w:space="0"/>
              <w:right w:val="single" w:color="000000" w:sz="4" w:space="0"/>
            </w:tcBorders>
            <w:vAlign w:val="center"/>
          </w:tcPr>
          <w:p w14:paraId="1E3FE168">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日志存储服务器RH2288 V3</w:t>
            </w:r>
          </w:p>
        </w:tc>
        <w:tc>
          <w:tcPr>
            <w:tcW w:w="770" w:type="dxa"/>
            <w:tcBorders>
              <w:top w:val="single" w:color="000000" w:sz="4" w:space="0"/>
              <w:left w:val="single" w:color="000000" w:sz="4" w:space="0"/>
              <w:bottom w:val="single" w:color="000000" w:sz="4" w:space="0"/>
              <w:right w:val="single" w:color="000000" w:sz="4" w:space="0"/>
            </w:tcBorders>
            <w:vAlign w:val="center"/>
          </w:tcPr>
          <w:p w14:paraId="55402890">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14:paraId="59BCFE83">
        <w:tblPrEx>
          <w:tblCellMar>
            <w:top w:w="0" w:type="dxa"/>
            <w:left w:w="108" w:type="dxa"/>
            <w:bottom w:w="0" w:type="dxa"/>
            <w:right w:w="108" w:type="dxa"/>
          </w:tblCellMar>
        </w:tblPrEx>
        <w:trPr>
          <w:trHeight w:val="440"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4619CA31">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w:t>
            </w:r>
          </w:p>
        </w:tc>
        <w:tc>
          <w:tcPr>
            <w:tcW w:w="1020" w:type="dxa"/>
            <w:tcBorders>
              <w:top w:val="single" w:color="000000" w:sz="4" w:space="0"/>
              <w:left w:val="single" w:color="000000" w:sz="4" w:space="0"/>
              <w:bottom w:val="single" w:color="000000" w:sz="4" w:space="0"/>
              <w:right w:val="single" w:color="000000" w:sz="4" w:space="0"/>
            </w:tcBorders>
            <w:vAlign w:val="center"/>
          </w:tcPr>
          <w:p w14:paraId="2E1421E4">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大金</w:t>
            </w:r>
          </w:p>
        </w:tc>
        <w:tc>
          <w:tcPr>
            <w:tcW w:w="5387" w:type="dxa"/>
            <w:tcBorders>
              <w:top w:val="single" w:color="000000" w:sz="4" w:space="0"/>
              <w:left w:val="single" w:color="000000" w:sz="4" w:space="0"/>
              <w:bottom w:val="single" w:color="000000" w:sz="4" w:space="0"/>
              <w:right w:val="single" w:color="000000" w:sz="4" w:space="0"/>
            </w:tcBorders>
            <w:vAlign w:val="center"/>
          </w:tcPr>
          <w:p w14:paraId="205ACE8C">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大金机房专用空调FNVQ203AAKD/RN203AAY</w:t>
            </w:r>
          </w:p>
        </w:tc>
        <w:tc>
          <w:tcPr>
            <w:tcW w:w="770" w:type="dxa"/>
            <w:tcBorders>
              <w:top w:val="single" w:color="000000" w:sz="4" w:space="0"/>
              <w:left w:val="single" w:color="000000" w:sz="4" w:space="0"/>
              <w:bottom w:val="single" w:color="000000" w:sz="4" w:space="0"/>
              <w:right w:val="single" w:color="000000" w:sz="4" w:space="0"/>
            </w:tcBorders>
            <w:vAlign w:val="center"/>
          </w:tcPr>
          <w:p w14:paraId="37E1AF14">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14:paraId="39B03F4F">
        <w:tblPrEx>
          <w:tblCellMar>
            <w:top w:w="0" w:type="dxa"/>
            <w:left w:w="108" w:type="dxa"/>
            <w:bottom w:w="0" w:type="dxa"/>
            <w:right w:w="108" w:type="dxa"/>
          </w:tblCellMar>
        </w:tblPrEx>
        <w:trPr>
          <w:trHeight w:val="440" w:hRule="atLeast"/>
        </w:trPr>
        <w:tc>
          <w:tcPr>
            <w:tcW w:w="7426" w:type="dxa"/>
            <w:gridSpan w:val="3"/>
            <w:tcBorders>
              <w:top w:val="single" w:color="000000" w:sz="4" w:space="0"/>
              <w:left w:val="single" w:color="000000" w:sz="4" w:space="0"/>
              <w:bottom w:val="single" w:color="000000" w:sz="4" w:space="0"/>
              <w:right w:val="single" w:color="000000" w:sz="4" w:space="0"/>
            </w:tcBorders>
            <w:vAlign w:val="center"/>
          </w:tcPr>
          <w:p w14:paraId="690239C8">
            <w:pPr>
              <w:widowControl/>
              <w:jc w:val="center"/>
              <w:textAlignment w:val="center"/>
              <w:rPr>
                <w:rFonts w:ascii="宋体" w:hAnsi="宋体" w:cs="宋体"/>
                <w:b/>
                <w:bCs/>
                <w:color w:val="auto"/>
                <w:kern w:val="0"/>
                <w:sz w:val="20"/>
                <w:szCs w:val="20"/>
                <w:highlight w:val="none"/>
                <w:lang w:bidi="ar"/>
              </w:rPr>
            </w:pPr>
            <w:r>
              <w:rPr>
                <w:rFonts w:hint="eastAsia" w:ascii="宋体" w:hAnsi="宋体" w:cs="宋体"/>
                <w:b/>
                <w:bCs/>
                <w:color w:val="auto"/>
                <w:kern w:val="0"/>
                <w:sz w:val="20"/>
                <w:szCs w:val="20"/>
                <w:highlight w:val="none"/>
                <w:lang w:bidi="ar"/>
              </w:rPr>
              <w:t>小计</w:t>
            </w:r>
          </w:p>
        </w:tc>
        <w:tc>
          <w:tcPr>
            <w:tcW w:w="770" w:type="dxa"/>
            <w:tcBorders>
              <w:top w:val="single" w:color="000000" w:sz="4" w:space="0"/>
              <w:left w:val="single" w:color="000000" w:sz="4" w:space="0"/>
              <w:bottom w:val="single" w:color="000000" w:sz="4" w:space="0"/>
              <w:right w:val="single" w:color="000000" w:sz="4" w:space="0"/>
            </w:tcBorders>
            <w:vAlign w:val="center"/>
          </w:tcPr>
          <w:p w14:paraId="72ABF68C">
            <w:pPr>
              <w:widowControl/>
              <w:jc w:val="center"/>
              <w:textAlignment w:val="center"/>
              <w:rPr>
                <w:rFonts w:ascii="宋体" w:hAnsi="宋体" w:cs="宋体"/>
                <w:b/>
                <w:bCs/>
                <w:color w:val="auto"/>
                <w:kern w:val="0"/>
                <w:sz w:val="20"/>
                <w:szCs w:val="20"/>
                <w:highlight w:val="none"/>
                <w:lang w:bidi="ar"/>
              </w:rPr>
            </w:pPr>
            <w:r>
              <w:rPr>
                <w:rFonts w:hint="eastAsia" w:ascii="宋体" w:hAnsi="宋体" w:cs="宋体"/>
                <w:b/>
                <w:bCs/>
                <w:color w:val="auto"/>
                <w:kern w:val="0"/>
                <w:sz w:val="20"/>
                <w:szCs w:val="20"/>
                <w:highlight w:val="none"/>
                <w:lang w:bidi="ar"/>
              </w:rPr>
              <w:t>12</w:t>
            </w:r>
          </w:p>
        </w:tc>
      </w:tr>
    </w:tbl>
    <w:p w14:paraId="75030503">
      <w:pPr>
        <w:rPr>
          <w:color w:val="auto"/>
          <w:highlight w:val="none"/>
        </w:rPr>
      </w:pPr>
    </w:p>
    <w:p w14:paraId="6D128822">
      <w:pPr>
        <w:pStyle w:val="16"/>
        <w:ind w:firstLine="210"/>
        <w:rPr>
          <w:rFonts w:ascii="宋体" w:hAnsi="宋体" w:cs="宋体"/>
          <w:color w:val="auto"/>
          <w:highlight w:val="none"/>
        </w:rPr>
      </w:pPr>
    </w:p>
    <w:p w14:paraId="03DD3B53">
      <w:pPr>
        <w:pStyle w:val="17"/>
        <w:rPr>
          <w:rFonts w:ascii="宋体" w:hAnsi="宋体" w:cs="宋体"/>
          <w:color w:val="auto"/>
          <w:highlight w:val="none"/>
        </w:rPr>
      </w:pPr>
    </w:p>
    <w:p w14:paraId="4DB95504">
      <w:pPr>
        <w:rPr>
          <w:rFonts w:ascii="宋体" w:hAnsi="宋体" w:cs="宋体"/>
          <w:color w:val="auto"/>
          <w:highlight w:val="none"/>
        </w:rPr>
      </w:pPr>
    </w:p>
    <w:p w14:paraId="45635AA3">
      <w:pPr>
        <w:pStyle w:val="16"/>
        <w:ind w:firstLine="210"/>
        <w:rPr>
          <w:rFonts w:ascii="宋体" w:hAnsi="宋体" w:cs="宋体"/>
          <w:color w:val="auto"/>
          <w:highlight w:val="none"/>
        </w:rPr>
      </w:pPr>
    </w:p>
    <w:p w14:paraId="5024ED85">
      <w:pPr>
        <w:pStyle w:val="17"/>
        <w:rPr>
          <w:rFonts w:ascii="宋体" w:hAnsi="宋体" w:cs="宋体"/>
          <w:color w:val="auto"/>
          <w:highlight w:val="none"/>
        </w:rPr>
      </w:pPr>
    </w:p>
    <w:p w14:paraId="5902C91A">
      <w:pPr>
        <w:rPr>
          <w:rFonts w:ascii="宋体" w:hAnsi="宋体" w:cs="宋体"/>
          <w:color w:val="auto"/>
          <w:highlight w:val="none"/>
        </w:rPr>
      </w:pPr>
    </w:p>
    <w:p w14:paraId="38E81E5A">
      <w:pPr>
        <w:pStyle w:val="16"/>
        <w:ind w:firstLine="210"/>
        <w:rPr>
          <w:color w:val="auto"/>
          <w:highlight w:val="none"/>
        </w:rPr>
      </w:pPr>
    </w:p>
    <w:p w14:paraId="5417AB7A">
      <w:pPr>
        <w:rPr>
          <w:rFonts w:ascii="宋体" w:hAnsi="宋体" w:cs="宋体"/>
          <w:color w:val="auto"/>
          <w:highlight w:val="none"/>
        </w:rPr>
      </w:pPr>
    </w:p>
    <w:p w14:paraId="31D27B60">
      <w:pPr>
        <w:spacing w:line="360" w:lineRule="auto"/>
        <w:ind w:firstLine="310" w:firstLineChars="147"/>
        <w:jc w:val="left"/>
        <w:rPr>
          <w:rFonts w:ascii="宋体" w:hAnsi="宋体" w:cs="宋体"/>
          <w:bCs/>
          <w:color w:val="auto"/>
          <w:szCs w:val="21"/>
          <w:highlight w:val="none"/>
          <w:u w:val="single"/>
        </w:rPr>
      </w:pPr>
      <w:r>
        <w:rPr>
          <w:rFonts w:hint="eastAsia" w:ascii="宋体" w:hAnsi="宋体" w:cs="宋体"/>
          <w:b/>
          <w:color w:val="auto"/>
          <w:szCs w:val="21"/>
          <w:highlight w:val="none"/>
        </w:rPr>
        <w:t>分标2（广西农业云平台运维服务）          采购预算：</w:t>
      </w:r>
      <w:r>
        <w:rPr>
          <w:rFonts w:hint="eastAsia" w:ascii="宋体" w:hAnsi="宋体"/>
          <w:b/>
          <w:bCs/>
          <w:color w:val="auto"/>
          <w:szCs w:val="21"/>
          <w:highlight w:val="none"/>
          <w:u w:val="single"/>
        </w:rPr>
        <w:t xml:space="preserve">  64.16万元</w:t>
      </w: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47CCB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562293A8">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778EFB18">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6F39605D">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18F6C3BB">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14:paraId="709E3FAC">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006BF92C">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2053D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19711C63">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516" w:type="dxa"/>
            <w:gridSpan w:val="2"/>
            <w:vAlign w:val="center"/>
          </w:tcPr>
          <w:p w14:paraId="26C90637">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云管理平台软件续保及运维服务</w:t>
            </w:r>
          </w:p>
        </w:tc>
        <w:tc>
          <w:tcPr>
            <w:tcW w:w="1050" w:type="dxa"/>
            <w:vAlign w:val="center"/>
          </w:tcPr>
          <w:p w14:paraId="4B6035B3">
            <w:pPr>
              <w:widowControl/>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1项</w:t>
            </w:r>
          </w:p>
        </w:tc>
        <w:tc>
          <w:tcPr>
            <w:tcW w:w="1077" w:type="dxa"/>
            <w:vAlign w:val="center"/>
          </w:tcPr>
          <w:p w14:paraId="4EEEC35A">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软件和信息技术服务业</w:t>
            </w:r>
          </w:p>
        </w:tc>
        <w:tc>
          <w:tcPr>
            <w:tcW w:w="5416" w:type="dxa"/>
          </w:tcPr>
          <w:p w14:paraId="3AC2CC10">
            <w:pPr>
              <w:autoSpaceDE w:val="0"/>
              <w:autoSpaceDN w:val="0"/>
              <w:adjustRightInd w:val="0"/>
              <w:spacing w:line="360" w:lineRule="auto"/>
              <w:rPr>
                <w:rFonts w:ascii="宋体" w:hAnsi="宋体" w:cs="宋体"/>
                <w:b/>
                <w:color w:val="auto"/>
                <w:szCs w:val="21"/>
                <w:highlight w:val="none"/>
              </w:rPr>
            </w:pPr>
            <w:r>
              <w:rPr>
                <w:rFonts w:hint="eastAsia" w:ascii="宋体" w:hAnsi="宋体" w:cs="宋体"/>
                <w:b/>
                <w:color w:val="auto"/>
                <w:szCs w:val="21"/>
                <w:highlight w:val="none"/>
              </w:rPr>
              <w:t>一、运维服务总体要求</w:t>
            </w:r>
          </w:p>
          <w:p w14:paraId="7D22C847">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本次采购内容是广西农业云平台运维服务，确保云平台在服务期内安全、稳定、可靠运行。</w:t>
            </w:r>
          </w:p>
          <w:p w14:paraId="6C1B9600">
            <w:pPr>
              <w:autoSpaceDE w:val="0"/>
              <w:autoSpaceDN w:val="0"/>
              <w:adjustRightInd w:val="0"/>
              <w:spacing w:line="360" w:lineRule="auto"/>
              <w:rPr>
                <w:rFonts w:ascii="宋体" w:hAnsi="宋体" w:cs="宋体"/>
                <w:b/>
                <w:color w:val="auto"/>
                <w:szCs w:val="21"/>
                <w:highlight w:val="none"/>
              </w:rPr>
            </w:pPr>
            <w:r>
              <w:rPr>
                <w:rFonts w:hint="eastAsia" w:ascii="宋体" w:hAnsi="宋体" w:cs="宋体"/>
                <w:color w:val="auto"/>
                <w:szCs w:val="21"/>
                <w:highlight w:val="none"/>
              </w:rPr>
              <w:t>▲二、</w:t>
            </w:r>
            <w:r>
              <w:rPr>
                <w:rFonts w:hint="eastAsia" w:ascii="宋体" w:hAnsi="宋体" w:cs="宋体"/>
                <w:b/>
                <w:color w:val="auto"/>
                <w:szCs w:val="21"/>
                <w:highlight w:val="none"/>
              </w:rPr>
              <w:t>运维服务范围</w:t>
            </w:r>
          </w:p>
          <w:p w14:paraId="5C13FE56">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广西农业云平台。</w:t>
            </w:r>
          </w:p>
          <w:p w14:paraId="7EED01D4">
            <w:pPr>
              <w:autoSpaceDE w:val="0"/>
              <w:autoSpaceDN w:val="0"/>
              <w:adjustRightInd w:val="0"/>
              <w:spacing w:line="360" w:lineRule="auto"/>
              <w:rPr>
                <w:rFonts w:ascii="宋体" w:hAnsi="宋体" w:cs="宋体"/>
                <w:b/>
                <w:color w:val="auto"/>
                <w:szCs w:val="21"/>
                <w:highlight w:val="none"/>
              </w:rPr>
            </w:pPr>
            <w:r>
              <w:rPr>
                <w:rFonts w:hint="eastAsia" w:ascii="宋体" w:hAnsi="宋体" w:cs="宋体"/>
                <w:b/>
                <w:color w:val="auto"/>
                <w:szCs w:val="21"/>
                <w:highlight w:val="none"/>
              </w:rPr>
              <w:t>三、运维服务质量要求</w:t>
            </w:r>
          </w:p>
          <w:p w14:paraId="1270E6BD">
            <w:pPr>
              <w:autoSpaceDE w:val="0"/>
              <w:autoSpaceDN w:val="0"/>
              <w:adjustRightIn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做好云平台业务应用运行、维护、管理工作，负责农业云平台的故障受理、处理、跟踪、结果汇报等有关工作，确保云平台及其承载应用系统安全、稳定、高效运行。保证云平台全年可用性不低于99.99%，单台物理设备的服务能力须保证可用性不低于99%。</w:t>
            </w:r>
          </w:p>
          <w:p w14:paraId="2EFF469C">
            <w:pPr>
              <w:spacing w:line="360" w:lineRule="auto"/>
              <w:rPr>
                <w:rFonts w:ascii="宋体" w:hAnsi="宋体" w:cs="宋体"/>
                <w:b/>
                <w:color w:val="auto"/>
                <w:szCs w:val="21"/>
                <w:highlight w:val="none"/>
              </w:rPr>
            </w:pPr>
            <w:r>
              <w:rPr>
                <w:rFonts w:hint="eastAsia" w:ascii="宋体" w:hAnsi="宋体" w:cs="宋体"/>
                <w:b/>
                <w:color w:val="auto"/>
                <w:szCs w:val="21"/>
                <w:highlight w:val="none"/>
              </w:rPr>
              <w:t>四、运维服务团队要求</w:t>
            </w:r>
          </w:p>
          <w:p w14:paraId="5F507915">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供应商须提供素质高、专业性强、具备云平台维护经验、稳定的运维团队，团队人员须取得华为技术有限公司有关方面的认证。</w:t>
            </w:r>
          </w:p>
          <w:p w14:paraId="70D72182">
            <w:pPr>
              <w:autoSpaceDE w:val="0"/>
              <w:autoSpaceDN w:val="0"/>
              <w:adjustRightInd w:val="0"/>
              <w:spacing w:line="360" w:lineRule="auto"/>
              <w:rPr>
                <w:rFonts w:ascii="宋体" w:hAnsi="宋体" w:cs="宋体"/>
                <w:b/>
                <w:color w:val="auto"/>
                <w:szCs w:val="21"/>
                <w:highlight w:val="none"/>
              </w:rPr>
            </w:pPr>
            <w:r>
              <w:rPr>
                <w:rFonts w:hint="eastAsia" w:ascii="宋体" w:hAnsi="宋体" w:cs="宋体"/>
                <w:b/>
                <w:color w:val="auto"/>
                <w:szCs w:val="21"/>
                <w:highlight w:val="none"/>
              </w:rPr>
              <w:t>五、运维服务响应要求</w:t>
            </w:r>
          </w:p>
          <w:p w14:paraId="6D06E00C">
            <w:pPr>
              <w:autoSpaceDE w:val="0"/>
              <w:autoSpaceDN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1、提供7*24不间断服务。</w:t>
            </w:r>
          </w:p>
          <w:p w14:paraId="7BB4FED6">
            <w:pPr>
              <w:autoSpaceDE w:val="0"/>
              <w:autoSpaceDN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2、平台发生故障，供应商立即向采购人报告。一般故障（单机或影响范围较小的故障）应在4小时内排除故障，重大故障（核心设备或影响范围较大的故障）应在2小时内排除故障。</w:t>
            </w:r>
          </w:p>
          <w:p w14:paraId="491CD67E">
            <w:pPr>
              <w:autoSpaceDE w:val="0"/>
              <w:autoSpaceDN w:val="0"/>
              <w:adjustRightInd w:val="0"/>
              <w:spacing w:line="360" w:lineRule="auto"/>
              <w:rPr>
                <w:rFonts w:ascii="宋体" w:hAnsi="宋体" w:cs="宋体"/>
                <w:b/>
                <w:color w:val="auto"/>
                <w:szCs w:val="21"/>
                <w:highlight w:val="none"/>
              </w:rPr>
            </w:pPr>
            <w:r>
              <w:rPr>
                <w:rFonts w:hint="eastAsia" w:ascii="宋体" w:hAnsi="宋体" w:cs="宋体"/>
                <w:b/>
                <w:color w:val="auto"/>
                <w:szCs w:val="21"/>
                <w:highlight w:val="none"/>
              </w:rPr>
              <w:t>▲六、保密性要求</w:t>
            </w:r>
          </w:p>
          <w:p w14:paraId="330B140E">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为确保农业云平台和及其承载应用系统信息的安全保密，供应商须分别与采购人以及相关运维人员签署保密协议。</w:t>
            </w:r>
          </w:p>
          <w:p w14:paraId="25EB3BB3">
            <w:pPr>
              <w:numPr>
                <w:ilvl w:val="0"/>
                <w:numId w:val="11"/>
              </w:numPr>
              <w:autoSpaceDE w:val="0"/>
              <w:autoSpaceDN w:val="0"/>
              <w:adjustRightInd w:val="0"/>
              <w:spacing w:line="360" w:lineRule="auto"/>
              <w:rPr>
                <w:rFonts w:ascii="宋体" w:hAnsi="宋体" w:cs="宋体"/>
                <w:b/>
                <w:color w:val="auto"/>
                <w:szCs w:val="21"/>
                <w:highlight w:val="none"/>
              </w:rPr>
            </w:pPr>
            <w:r>
              <w:rPr>
                <w:rFonts w:hint="eastAsia" w:ascii="宋体" w:hAnsi="宋体" w:cs="宋体"/>
                <w:b/>
                <w:color w:val="auto"/>
                <w:szCs w:val="21"/>
                <w:highlight w:val="none"/>
              </w:rPr>
              <w:t>软件续保及运维服务内容</w:t>
            </w:r>
          </w:p>
          <w:p w14:paraId="211BC779">
            <w:pPr>
              <w:spacing w:line="360" w:lineRule="auto"/>
              <w:rPr>
                <w:rFonts w:ascii="宋体" w:hAnsi="宋体" w:cs="宋体"/>
                <w:color w:val="auto"/>
                <w:highlight w:val="none"/>
              </w:rPr>
            </w:pPr>
            <w:r>
              <w:rPr>
                <w:rFonts w:hint="eastAsia" w:ascii="宋体" w:hAnsi="宋体" w:cs="宋体"/>
                <w:b/>
                <w:color w:val="auto"/>
                <w:szCs w:val="21"/>
                <w:highlight w:val="none"/>
              </w:rPr>
              <w:t>1、</w:t>
            </w:r>
            <w:r>
              <w:rPr>
                <w:rFonts w:hint="eastAsia" w:ascii="宋体" w:hAnsi="宋体" w:cs="宋体"/>
                <w:color w:val="auto"/>
                <w:highlight w:val="none"/>
              </w:rPr>
              <w:t>▲提供华为原厂FusionSphere云套件标准版-软件订阅与保障服务，服务内容包括软件更新授权、软件升级授权、TAC支持服务、在线自助服务(服务实际起止时间：</w:t>
            </w:r>
            <w:r>
              <w:rPr>
                <w:rFonts w:hint="eastAsia" w:ascii="宋体" w:hAnsi="宋体"/>
                <w:color w:val="auto"/>
                <w:sz w:val="20"/>
                <w:szCs w:val="20"/>
                <w:highlight w:val="none"/>
              </w:rPr>
              <w:t>2025-7-25～2026-07-25</w:t>
            </w:r>
            <w:r>
              <w:rPr>
                <w:rFonts w:hint="eastAsia" w:ascii="宋体" w:hAnsi="宋体" w:cs="宋体"/>
                <w:color w:val="auto"/>
                <w:highlight w:val="none"/>
              </w:rPr>
              <w:t>，按CPU数量授权，总共72个CPU数。</w:t>
            </w:r>
          </w:p>
          <w:p w14:paraId="0988A73F">
            <w:pPr>
              <w:spacing w:line="360" w:lineRule="auto"/>
              <w:rPr>
                <w:rFonts w:ascii="宋体" w:hAnsi="宋体" w:cs="宋体"/>
                <w:color w:val="auto"/>
                <w:highlight w:val="none"/>
              </w:rPr>
            </w:pPr>
            <w:r>
              <w:rPr>
                <w:rFonts w:hint="eastAsia" w:ascii="宋体" w:hAnsi="宋体" w:cs="宋体"/>
                <w:b/>
                <w:bCs/>
                <w:snapToGrid w:val="0"/>
                <w:color w:val="auto"/>
                <w:kern w:val="0"/>
                <w:szCs w:val="21"/>
                <w:highlight w:val="none"/>
              </w:rPr>
              <w:t>2</w:t>
            </w:r>
            <w:r>
              <w:rPr>
                <w:rFonts w:hint="eastAsia" w:ascii="宋体" w:hAnsi="宋体" w:cs="宋体"/>
                <w:color w:val="auto"/>
                <w:highlight w:val="none"/>
              </w:rPr>
              <w:t>、农业云平台软件故障发生后，直接向华为技术有限公司技术支持热线400-822-9999，365天7*24进行故障申告及技术服务。400支持工程师提供产品故障现象和相关信息收集，400 工程师确定故障原因，400 工程师确定硬件故障需要现场服务时，立即派单给区域工程师，由工程师申请相应备件，前往现场进行故障处理。要求确定故障原因时间在获得完整的产品故障现象和相关信息后30分钟以内，现场工程师在规定时间内得到备件并且准备出发。针对云套件配置问题，400 支持工程师远程协助进行故障排除；如果系统发生软件故障，并且无法确定故障原因和恢复方法时，确认需要现场工程师服务，马上安排相关工程师现场服务，并且升级故障为疑难故障。现场工程师在规定时间达到用户现场，同时 400技术支持中心组建专家团，对故障现象进行先期分析。由现场工程师收集更详细的日志等信息提供到专家团队进行分析，由专家团进行故障定位并给出解决方案，由一线工程师按照方案进行故障处理。400 专家团在1小时内无法解决故障，通报后台研发人员，研发团队做好故障处理的准备工作。2小时还无法解决问题，上升到产品研发团队，并且升级问题级别为高级疑难问题，由研发团队进行故障分析和处理。</w:t>
            </w:r>
          </w:p>
          <w:p w14:paraId="713F9190">
            <w:pPr>
              <w:autoSpaceDE w:val="0"/>
              <w:autoSpaceDN w:val="0"/>
              <w:adjustRightInd w:val="0"/>
              <w:spacing w:line="360" w:lineRule="auto"/>
              <w:rPr>
                <w:color w:val="auto"/>
                <w:highlight w:val="none"/>
              </w:rPr>
            </w:pPr>
            <w:r>
              <w:rPr>
                <w:rFonts w:hint="eastAsia" w:ascii="宋体" w:hAnsi="宋体" w:cs="宋体"/>
                <w:b/>
                <w:bCs/>
                <w:snapToGrid w:val="0"/>
                <w:color w:val="auto"/>
                <w:kern w:val="0"/>
                <w:szCs w:val="21"/>
                <w:highlight w:val="none"/>
              </w:rPr>
              <w:t>3</w:t>
            </w:r>
            <w:r>
              <w:rPr>
                <w:rFonts w:hint="eastAsia" w:ascii="宋体" w:hAnsi="宋体" w:cs="宋体"/>
                <w:color w:val="auto"/>
                <w:highlight w:val="none"/>
              </w:rPr>
              <w:t>、SDN 软件运维服务:AC-DCN 网络设计与规划服务，允许通过400联系数通方向专家团，在本地 1小时内无法解决故障，允许通报后台研发人员，研发团队做好故障处理的准备工作。2小时还无法解决问题，上升到产品研发团队，并且升级问题级别为高级疑难问题，由研发团队进行故障分析和处理。SDN服务内容包括网络初始化，新配置上线到 FBRIC 资源池化，直至业务编排上线正常通信；业务发放:基于租户的网络业务需求进行配置发放；运维监控:物理、逻辑网络监控配置审计 (一致对账) 运维:系统安全运行:系统运行、管理员相关配置，对华为防火墙提供管理和业务配置能力。</w:t>
            </w:r>
          </w:p>
          <w:p w14:paraId="0B712101">
            <w:pPr>
              <w:autoSpaceDE w:val="0"/>
              <w:autoSpaceDN w:val="0"/>
              <w:adjustRightInd w:val="0"/>
              <w:spacing w:line="360" w:lineRule="auto"/>
              <w:rPr>
                <w:rFonts w:ascii="宋体" w:hAnsi="宋体" w:cs="宋体"/>
                <w:color w:val="auto"/>
                <w:szCs w:val="21"/>
                <w:highlight w:val="none"/>
              </w:rPr>
            </w:pPr>
            <w:r>
              <w:rPr>
                <w:rFonts w:hint="eastAsia" w:ascii="宋体" w:hAnsi="宋体" w:cs="宋体"/>
                <w:b/>
                <w:color w:val="auto"/>
                <w:szCs w:val="21"/>
                <w:highlight w:val="none"/>
              </w:rPr>
              <w:t>4、应用系统上云：</w:t>
            </w:r>
            <w:r>
              <w:rPr>
                <w:rFonts w:hint="eastAsia" w:ascii="宋体" w:hAnsi="宋体" w:cs="宋体"/>
                <w:color w:val="auto"/>
                <w:szCs w:val="21"/>
                <w:highlight w:val="none"/>
              </w:rPr>
              <w:t>按照应用系统上云流程，协助业务部门开展应用系统上云调研、对接，并在上云方案，分配云资源。</w:t>
            </w:r>
          </w:p>
          <w:p w14:paraId="2025993C">
            <w:pPr>
              <w:autoSpaceDE w:val="0"/>
              <w:autoSpaceDN w:val="0"/>
              <w:adjustRightInd w:val="0"/>
              <w:spacing w:line="360" w:lineRule="auto"/>
              <w:rPr>
                <w:rFonts w:ascii="宋体" w:hAnsi="宋体" w:cs="宋体"/>
                <w:color w:val="auto"/>
                <w:szCs w:val="21"/>
                <w:highlight w:val="none"/>
              </w:rPr>
            </w:pPr>
            <w:r>
              <w:rPr>
                <w:rFonts w:hint="eastAsia" w:ascii="宋体" w:hAnsi="宋体" w:cs="宋体"/>
                <w:b/>
                <w:color w:val="auto"/>
                <w:szCs w:val="21"/>
                <w:highlight w:val="none"/>
              </w:rPr>
              <w:t>5、云资源管理：</w:t>
            </w:r>
            <w:r>
              <w:rPr>
                <w:rFonts w:hint="eastAsia" w:ascii="宋体" w:hAnsi="宋体" w:cs="宋体"/>
                <w:color w:val="auto"/>
                <w:szCs w:val="21"/>
                <w:highlight w:val="none"/>
              </w:rPr>
              <w:t>根据业务部门的需要，对云平台的资源（包括CPU、内存、存储空间）进行分配和调整，对相关资源进行监控管理，每月向采购人提交资源统计报告。</w:t>
            </w:r>
          </w:p>
          <w:p w14:paraId="39BB4B93">
            <w:pPr>
              <w:autoSpaceDE w:val="0"/>
              <w:autoSpaceDN w:val="0"/>
              <w:adjustRightInd w:val="0"/>
              <w:spacing w:line="360" w:lineRule="auto"/>
              <w:rPr>
                <w:rFonts w:ascii="宋体" w:hAnsi="宋体" w:cs="宋体"/>
                <w:color w:val="auto"/>
                <w:szCs w:val="21"/>
                <w:highlight w:val="none"/>
              </w:rPr>
            </w:pPr>
            <w:r>
              <w:rPr>
                <w:rFonts w:hint="eastAsia" w:ascii="宋体" w:hAnsi="宋体" w:cs="宋体"/>
                <w:b/>
                <w:color w:val="auto"/>
                <w:szCs w:val="21"/>
                <w:highlight w:val="none"/>
              </w:rPr>
              <w:t>6、故障处理：</w:t>
            </w:r>
            <w:r>
              <w:rPr>
                <w:rFonts w:hint="eastAsia" w:ascii="宋体" w:hAnsi="宋体" w:cs="宋体"/>
                <w:color w:val="auto"/>
                <w:szCs w:val="21"/>
                <w:highlight w:val="none"/>
              </w:rPr>
              <w:t>对云管理平台告警和其他系统故障进行处置，开展故障定位、原因分析、制定故障解决方案，做好故障处理，保障系统恢复正常运行。</w:t>
            </w:r>
          </w:p>
          <w:p w14:paraId="1B545EAD">
            <w:pPr>
              <w:spacing w:line="360" w:lineRule="auto"/>
              <w:rPr>
                <w:rFonts w:ascii="宋体" w:hAnsi="宋体" w:cs="宋体"/>
                <w:color w:val="auto"/>
                <w:szCs w:val="21"/>
                <w:highlight w:val="none"/>
              </w:rPr>
            </w:pPr>
            <w:r>
              <w:rPr>
                <w:rFonts w:hint="eastAsia" w:ascii="宋体" w:hAnsi="宋体" w:cs="宋体"/>
                <w:b/>
                <w:color w:val="auto"/>
                <w:szCs w:val="21"/>
                <w:highlight w:val="none"/>
              </w:rPr>
              <w:t>7、巡检服务：</w:t>
            </w:r>
            <w:r>
              <w:rPr>
                <w:rFonts w:hint="eastAsia" w:ascii="宋体" w:hAnsi="宋体" w:cs="宋体"/>
                <w:color w:val="auto"/>
                <w:szCs w:val="21"/>
                <w:highlight w:val="none"/>
              </w:rPr>
              <w:t>每月定期对平台运行状态进行检查和分析设备、系统的健康状况，以提前预防可能出现的安全风险情况，并按月度提交巡检报告。</w:t>
            </w:r>
          </w:p>
          <w:p w14:paraId="3ECBC14E">
            <w:pPr>
              <w:pStyle w:val="31"/>
              <w:ind w:firstLineChars="0"/>
              <w:rPr>
                <w:rFonts w:ascii="宋体" w:hAnsi="宋体" w:eastAsia="宋体" w:cs="宋体"/>
                <w:snapToGrid w:val="0"/>
                <w:color w:val="auto"/>
                <w:sz w:val="21"/>
                <w:szCs w:val="21"/>
                <w:highlight w:val="none"/>
              </w:rPr>
            </w:pPr>
            <w:r>
              <w:rPr>
                <w:rFonts w:hint="eastAsia"/>
                <w:color w:val="auto"/>
                <w:highlight w:val="none"/>
              </w:rPr>
              <w:t>8、</w:t>
            </w:r>
            <w:r>
              <w:rPr>
                <w:rFonts w:hint="eastAsia" w:ascii="宋体" w:hAnsi="宋体" w:eastAsia="宋体" w:cs="宋体"/>
                <w:b/>
                <w:snapToGrid w:val="0"/>
                <w:color w:val="auto"/>
                <w:sz w:val="21"/>
                <w:szCs w:val="21"/>
                <w:highlight w:val="none"/>
              </w:rPr>
              <w:t>安全支撑服务</w:t>
            </w:r>
            <w:r>
              <w:rPr>
                <w:rFonts w:hint="eastAsia"/>
                <w:color w:val="auto"/>
                <w:highlight w:val="none"/>
              </w:rPr>
              <w:t>：</w:t>
            </w:r>
            <w:r>
              <w:rPr>
                <w:rFonts w:hint="eastAsia" w:ascii="宋体" w:hAnsi="宋体" w:eastAsia="宋体" w:cs="宋体"/>
                <w:snapToGrid w:val="0"/>
                <w:color w:val="auto"/>
                <w:sz w:val="21"/>
                <w:szCs w:val="21"/>
                <w:highlight w:val="none"/>
              </w:rPr>
              <w:t>协助等保测评机构和安全服务公司对云平台上系统进行渗透测试、基线核查等工作，协调各应用系统管理员对相关漏洞进行修复。</w:t>
            </w:r>
          </w:p>
          <w:p w14:paraId="3EBE4D5D">
            <w:pPr>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9、政务云迁移服务：</w:t>
            </w:r>
            <w:r>
              <w:rPr>
                <w:rFonts w:hint="eastAsia" w:ascii="宋体" w:hAnsi="宋体" w:cs="宋体"/>
                <w:color w:val="auto"/>
                <w:szCs w:val="21"/>
                <w:highlight w:val="none"/>
              </w:rPr>
              <w:t>维保方须协助对接业务部门和广西电子政务云相关部门，做好业务系统由农业云迁移至广西政务云迁移计划，包括收集业务系统计算、存储、网络和安全需求信息，分析业务资源依赖关系，业务关系梳理，协助应用开发单位制定数据迁移方案等，确保系统顺利迁移上云。</w:t>
            </w:r>
          </w:p>
          <w:p w14:paraId="5D441353">
            <w:pPr>
              <w:spacing w:line="360" w:lineRule="auto"/>
              <w:rPr>
                <w:rFonts w:ascii="宋体" w:hAnsi="宋体" w:cs="宋体"/>
                <w:color w:val="auto"/>
                <w:kern w:val="0"/>
                <w:szCs w:val="21"/>
                <w:highlight w:val="none"/>
              </w:rPr>
            </w:pPr>
            <w:r>
              <w:rPr>
                <w:rFonts w:hint="eastAsia" w:ascii="宋体" w:hAnsi="宋体" w:cs="宋体"/>
                <w:b/>
                <w:bCs/>
                <w:snapToGrid w:val="0"/>
                <w:color w:val="auto"/>
                <w:kern w:val="0"/>
                <w:szCs w:val="21"/>
                <w:highlight w:val="none"/>
              </w:rPr>
              <w:t>▲10</w:t>
            </w:r>
            <w:r>
              <w:rPr>
                <w:rFonts w:hint="eastAsia" w:ascii="宋体" w:hAnsi="宋体" w:cs="宋体"/>
                <w:color w:val="auto"/>
                <w:szCs w:val="21"/>
                <w:highlight w:val="none"/>
              </w:rPr>
              <w:t>、</w:t>
            </w:r>
            <w:r>
              <w:rPr>
                <w:rFonts w:hint="eastAsia" w:ascii="宋体" w:hAnsi="宋体" w:cs="宋体"/>
                <w:b/>
                <w:bCs/>
                <w:color w:val="auto"/>
                <w:szCs w:val="21"/>
                <w:highlight w:val="none"/>
              </w:rPr>
              <w:t>云管理平台应急演练现场技术支撑服务：</w:t>
            </w:r>
            <w:r>
              <w:rPr>
                <w:rFonts w:hint="eastAsia" w:ascii="宋体" w:hAnsi="宋体" w:cs="宋体"/>
                <w:color w:val="auto"/>
                <w:szCs w:val="21"/>
                <w:highlight w:val="none"/>
              </w:rPr>
              <w:t>供应商须对广西农业云平台进行应急保障（7*24），当发生重大应急事件时，按照应急预案进行应急响应，疑难问题处理、紧急问题处理等，提供软件高级支持服务，支撑云平台培训、优化建议等工作；及时对接研发，支撑驻场运维人员解决的疑难问题，排除重大故障，保障系统正常运行。</w:t>
            </w:r>
          </w:p>
          <w:p w14:paraId="78143749">
            <w:pPr>
              <w:spacing w:line="520" w:lineRule="exact"/>
              <w:ind w:firstLine="0" w:firstLineChars="0"/>
              <w:rPr>
                <w:rFonts w:ascii="宋体" w:hAnsi="宋体" w:cs="宋体"/>
                <w:color w:val="auto"/>
                <w:szCs w:val="21"/>
                <w:highlight w:val="none"/>
              </w:rPr>
            </w:pPr>
            <w:r>
              <w:rPr>
                <w:rFonts w:hint="eastAsia" w:ascii="宋体" w:hAnsi="宋体" w:cs="宋体"/>
                <w:b/>
                <w:bCs/>
                <w:color w:val="auto"/>
                <w:szCs w:val="21"/>
                <w:highlight w:val="none"/>
              </w:rPr>
              <w:t>11、云平台优化服务</w:t>
            </w:r>
            <w:r>
              <w:rPr>
                <w:rFonts w:hint="eastAsia" w:ascii="宋体" w:hAnsi="宋体" w:cs="宋体"/>
                <w:color w:val="auto"/>
                <w:szCs w:val="21"/>
                <w:highlight w:val="none"/>
              </w:rPr>
              <w:t>：针对当前平台运行情况，给出优化建议并实施，提升性能;根据客户业务发展趋势，评估平台当前及应有性能，提出建议。</w:t>
            </w:r>
          </w:p>
        </w:tc>
      </w:tr>
      <w:tr w14:paraId="6F091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3C020B42">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516" w:type="dxa"/>
            <w:gridSpan w:val="2"/>
            <w:vAlign w:val="center"/>
          </w:tcPr>
          <w:p w14:paraId="640E98B0">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云平台服务器及存储设备运维服务</w:t>
            </w:r>
          </w:p>
        </w:tc>
        <w:tc>
          <w:tcPr>
            <w:tcW w:w="1050" w:type="dxa"/>
            <w:vAlign w:val="center"/>
          </w:tcPr>
          <w:p w14:paraId="314FFFAC">
            <w:pPr>
              <w:widowControl/>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1项</w:t>
            </w:r>
          </w:p>
        </w:tc>
        <w:tc>
          <w:tcPr>
            <w:tcW w:w="1077" w:type="dxa"/>
            <w:vAlign w:val="center"/>
          </w:tcPr>
          <w:p w14:paraId="4777841A">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c>
          <w:tcPr>
            <w:tcW w:w="5416" w:type="dxa"/>
          </w:tcPr>
          <w:p w14:paraId="2DBD1ECF">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kern w:val="0"/>
                <w:szCs w:val="21"/>
                <w:highlight w:val="none"/>
              </w:rPr>
              <w:t>、云平台服务器运维服务</w:t>
            </w:r>
            <w:r>
              <w:rPr>
                <w:rFonts w:hint="eastAsia" w:ascii="宋体" w:hAnsi="宋体" w:cs="宋体"/>
                <w:color w:val="auto"/>
                <w:kern w:val="0"/>
                <w:szCs w:val="21"/>
                <w:highlight w:val="none"/>
              </w:rPr>
              <w:t>：对云平台39台服务器进行维修保养，包括服务器的CPU、内存、主板、硬盘、网卡、电源模块等部件的维保。对服务器故障设备进行新件替换，在新件替换上，可采用同等性能的新品进行替换。服务器</w:t>
            </w:r>
            <w:r>
              <w:rPr>
                <w:rFonts w:hint="eastAsia" w:ascii="宋体" w:hAnsi="宋体" w:cs="宋体"/>
                <w:color w:val="auto"/>
                <w:szCs w:val="21"/>
                <w:highlight w:val="none"/>
              </w:rPr>
              <w:t>运维范围详见附件2：《广西农业云平台服务器维保清单》。</w:t>
            </w:r>
          </w:p>
          <w:p w14:paraId="342BB2B8">
            <w:pPr>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kern w:val="0"/>
                <w:szCs w:val="21"/>
                <w:highlight w:val="none"/>
              </w:rPr>
              <w:t>2、云平台存储运维服务：</w:t>
            </w:r>
            <w:r>
              <w:rPr>
                <w:rFonts w:hint="eastAsia" w:ascii="宋体" w:hAnsi="宋体" w:cs="宋体"/>
                <w:color w:val="auto"/>
                <w:kern w:val="0"/>
                <w:szCs w:val="21"/>
                <w:highlight w:val="none"/>
              </w:rPr>
              <w:t>包括云平台15台储存及扩展柜设备的控制器、电源、硬盘等部件的维保；对存储设备故障部件进行替换，恢复系统正常运行。存储</w:t>
            </w:r>
            <w:r>
              <w:rPr>
                <w:rFonts w:hint="eastAsia" w:ascii="宋体" w:hAnsi="宋体" w:cs="宋体"/>
                <w:color w:val="auto"/>
                <w:szCs w:val="21"/>
                <w:highlight w:val="none"/>
              </w:rPr>
              <w:t>设备运维范围详见附件3：《广西农业云平台存储设备维保清单》。</w:t>
            </w:r>
          </w:p>
          <w:p w14:paraId="5436C03D">
            <w:pPr>
              <w:spacing w:line="520" w:lineRule="exac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bCs/>
                <w:color w:val="auto"/>
                <w:szCs w:val="21"/>
                <w:highlight w:val="none"/>
              </w:rPr>
              <w:t>提供云平台存储日常维护服务。</w:t>
            </w:r>
            <w:r>
              <w:rPr>
                <w:rFonts w:hint="eastAsia" w:ascii="宋体" w:hAnsi="宋体" w:cs="宋体"/>
                <w:color w:val="auto"/>
                <w:szCs w:val="21"/>
                <w:highlight w:val="none"/>
              </w:rPr>
              <w:t>主要包括存储及存储网络的日常配置调整、故障处理、性能优化、常规巡检等服务；按照用户业务需求制定存储空间使用规划、存储策略和安全策略，根据需要进行存储空间的合理分配、划分、分区建立、授权管理、管理权限配置等。</w:t>
            </w:r>
          </w:p>
        </w:tc>
      </w:tr>
      <w:tr w14:paraId="040D3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left w:val="single" w:color="auto" w:sz="4" w:space="0"/>
              <w:bottom w:val="single" w:color="auto" w:sz="4" w:space="0"/>
              <w:right w:val="single" w:color="auto" w:sz="4" w:space="0"/>
            </w:tcBorders>
          </w:tcPr>
          <w:p w14:paraId="044F7689">
            <w:pPr>
              <w:spacing w:line="360" w:lineRule="auto"/>
              <w:rPr>
                <w:rFonts w:ascii="宋体" w:hAnsi="宋体" w:cs="宋体"/>
                <w:color w:val="auto"/>
                <w:szCs w:val="21"/>
                <w:highlight w:val="none"/>
              </w:rPr>
            </w:pPr>
            <w:r>
              <w:rPr>
                <w:rFonts w:hint="eastAsia" w:ascii="宋体" w:hAnsi="宋体" w:cs="宋体"/>
                <w:b/>
                <w:color w:val="auto"/>
                <w:szCs w:val="21"/>
                <w:highlight w:val="none"/>
              </w:rPr>
              <w:t>商务要求</w:t>
            </w:r>
          </w:p>
        </w:tc>
      </w:tr>
      <w:tr w14:paraId="5788F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6CD39890">
            <w:pPr>
              <w:widowControl/>
              <w:jc w:val="center"/>
              <w:rPr>
                <w:rFonts w:ascii="宋体" w:hAnsi="宋体" w:cs="宋体"/>
                <w:color w:val="auto"/>
                <w:kern w:val="0"/>
                <w:sz w:val="28"/>
                <w:szCs w:val="28"/>
                <w:highlight w:val="none"/>
                <w:lang w:bidi="ar"/>
              </w:rPr>
            </w:pPr>
            <w:r>
              <w:rPr>
                <w:rFonts w:hint="eastAsia" w:ascii="宋体" w:hAnsi="宋体" w:cs="宋体"/>
                <w:color w:val="auto"/>
                <w:szCs w:val="21"/>
                <w:highlight w:val="none"/>
              </w:rPr>
              <w:t>▲磋商报价要求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46818D1D">
            <w:pPr>
              <w:widowControl/>
              <w:rPr>
                <w:rFonts w:ascii="宋体" w:hAnsi="宋体" w:cs="宋体"/>
                <w:color w:val="auto"/>
                <w:kern w:val="0"/>
                <w:sz w:val="28"/>
                <w:szCs w:val="28"/>
                <w:highlight w:val="none"/>
                <w:lang w:bidi="ar"/>
              </w:rPr>
            </w:pPr>
            <w:r>
              <w:rPr>
                <w:rFonts w:hint="eastAsia" w:ascii="宋体" w:hAnsi="宋体" w:cs="宋体"/>
                <w:color w:val="auto"/>
                <w:szCs w:val="21"/>
                <w:highlight w:val="none"/>
              </w:rPr>
              <w:t>报价必须含以下部分，包括与本项目服务所需的所有费用，含技术服务、派出工作人员的交通费、住宿费、伙食补助费及其他有关的费用。本项目至验收合格，采购人不另支付任何费用。必要的保险费用和各项税金。</w:t>
            </w:r>
          </w:p>
        </w:tc>
      </w:tr>
      <w:tr w14:paraId="72DA2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01EAFBC2">
            <w:pPr>
              <w:widowControl/>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合同履约期限</w:t>
            </w:r>
            <w:r>
              <w:rPr>
                <w:rFonts w:hint="eastAsia" w:ascii="宋体" w:hAnsi="宋体" w:cs="宋体"/>
                <w:color w:val="auto"/>
                <w:szCs w:val="21"/>
                <w:highlight w:val="none"/>
              </w:rPr>
              <w:t>、地点</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6A2AE079">
            <w:pPr>
              <w:widowControl/>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合同履约期限</w:t>
            </w:r>
            <w:r>
              <w:rPr>
                <w:rFonts w:hint="eastAsia" w:ascii="宋体" w:hAnsi="宋体" w:cs="宋体"/>
                <w:color w:val="auto"/>
                <w:szCs w:val="21"/>
                <w:highlight w:val="none"/>
              </w:rPr>
              <w:t>：自2025年7月25日起一年。</w:t>
            </w:r>
          </w:p>
          <w:p w14:paraId="3A0F4FB9">
            <w:pPr>
              <w:widowControl/>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地点：</w:t>
            </w:r>
            <w:r>
              <w:rPr>
                <w:rFonts w:hint="eastAsia" w:ascii="宋体" w:hAnsi="宋体" w:cs="宋体"/>
                <w:color w:val="auto"/>
                <w:szCs w:val="21"/>
                <w:highlight w:val="none"/>
              </w:rPr>
              <w:t>采购人指定地点。</w:t>
            </w:r>
          </w:p>
        </w:tc>
      </w:tr>
      <w:tr w14:paraId="50A50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65F489B6">
            <w:pPr>
              <w:adjustRightInd w:val="0"/>
              <w:snapToGrid w:val="0"/>
              <w:spacing w:line="360" w:lineRule="auto"/>
              <w:jc w:val="center"/>
              <w:rPr>
                <w:rFonts w:ascii="宋体" w:hAnsi="宋体" w:cs="宋体"/>
                <w:b/>
                <w:color w:val="auto"/>
                <w:szCs w:val="21"/>
                <w:highlight w:val="none"/>
              </w:rPr>
            </w:pPr>
            <w:r>
              <w:rPr>
                <w:rFonts w:hint="eastAsia" w:ascii="宋体" w:hAnsi="宋体" w:cs="宋体"/>
                <w:color w:val="auto"/>
                <w:szCs w:val="21"/>
                <w:highlight w:val="none"/>
              </w:rPr>
              <w:t>▲服务要求：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01AE5CE4">
            <w:pPr>
              <w:widowControl/>
              <w:shd w:val="clear" w:color="auto" w:fill="FFFFFF"/>
              <w:spacing w:line="360" w:lineRule="auto"/>
              <w:rPr>
                <w:rFonts w:ascii="宋体" w:hAnsi="宋体" w:cs="宋体"/>
                <w:color w:val="auto"/>
                <w:highlight w:val="none"/>
              </w:rPr>
            </w:pPr>
            <w:r>
              <w:rPr>
                <w:rFonts w:hint="eastAsia" w:ascii="宋体" w:hAnsi="宋体" w:cs="宋体"/>
                <w:color w:val="auto"/>
                <w:szCs w:val="21"/>
                <w:highlight w:val="none"/>
              </w:rPr>
              <w:t>1、供应商</w:t>
            </w:r>
            <w:r>
              <w:rPr>
                <w:rFonts w:hint="eastAsia" w:ascii="宋体" w:hAnsi="宋体" w:cs="宋体"/>
                <w:color w:val="auto"/>
                <w:highlight w:val="none"/>
              </w:rPr>
              <w:t>须提供1名具备相关资质工程师提供5*8驻场运维服务。除驻场工程师以外，还需配备相应的有资质认证的技术支持团队，为本项目云平台及相关软件系统、网络及存储系统、信息安全系统等方面提供技术咨询服务，定期与采购人就云平台的运维、BUG修复、配置优化及相关技术发展进行交流，必要时提供优化方案，协助采购人优化云平台的对外服务能力。</w:t>
            </w:r>
          </w:p>
          <w:p w14:paraId="7A2478B5">
            <w:pPr>
              <w:widowControl/>
              <w:shd w:val="clear" w:color="auto" w:fill="FFFFFF"/>
              <w:spacing w:line="360" w:lineRule="auto"/>
              <w:rPr>
                <w:rFonts w:ascii="宋体" w:hAnsi="宋体" w:cs="宋体"/>
                <w:color w:val="auto"/>
                <w:highlight w:val="none"/>
              </w:rPr>
            </w:pPr>
            <w:r>
              <w:rPr>
                <w:rFonts w:hint="eastAsia" w:ascii="宋体" w:hAnsi="宋体" w:cs="宋体"/>
                <w:color w:val="auto"/>
                <w:szCs w:val="21"/>
                <w:highlight w:val="none"/>
              </w:rPr>
              <w:t>2、签订合同前，供应商须提供云平台软件生产厂商针对本项目</w:t>
            </w:r>
            <w:r>
              <w:rPr>
                <w:rFonts w:hint="eastAsia" w:ascii="宋体" w:hAnsi="宋体" w:cs="宋体"/>
                <w:color w:val="auto"/>
                <w:szCs w:val="21"/>
                <w:highlight w:val="none"/>
                <w:lang w:eastAsia="zh-CN"/>
              </w:rPr>
              <w:t>后续服务</w:t>
            </w:r>
            <w:r>
              <w:rPr>
                <w:rFonts w:hint="eastAsia" w:ascii="宋体" w:hAnsi="宋体" w:cs="宋体"/>
                <w:color w:val="auto"/>
                <w:szCs w:val="21"/>
                <w:highlight w:val="none"/>
              </w:rPr>
              <w:t>承诺函，作为合同签订必要材料。</w:t>
            </w:r>
          </w:p>
          <w:p w14:paraId="686F6DAC">
            <w:pPr>
              <w:widowControl/>
              <w:shd w:val="clear" w:color="auto" w:fill="FFFFFF"/>
              <w:spacing w:line="360" w:lineRule="auto"/>
              <w:rPr>
                <w:color w:val="auto"/>
                <w:highlight w:val="none"/>
              </w:rPr>
            </w:pPr>
            <w:r>
              <w:rPr>
                <w:rFonts w:hint="eastAsia" w:ascii="宋体" w:hAnsi="宋体" w:cs="宋体"/>
                <w:color w:val="auto"/>
                <w:szCs w:val="21"/>
                <w:highlight w:val="none"/>
              </w:rPr>
              <w:t>3、</w:t>
            </w:r>
            <w:r>
              <w:rPr>
                <w:rFonts w:hint="eastAsia" w:ascii="宋体" w:hAnsi="宋体" w:cs="宋体"/>
                <w:color w:val="auto"/>
                <w:highlight w:val="none"/>
              </w:rPr>
              <w:t>签订合同后45个工作日内，供应商须提供云平台软件生产厂商针对本项目的服务启动函，作为项目初步验收的必要材料。</w:t>
            </w:r>
          </w:p>
        </w:tc>
      </w:tr>
      <w:tr w14:paraId="1D499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3F1DDF7D">
            <w:pPr>
              <w:adjustRightInd w:val="0"/>
              <w:snapToGrid w:val="0"/>
              <w:spacing w:line="360" w:lineRule="auto"/>
              <w:jc w:val="center"/>
              <w:rPr>
                <w:rFonts w:ascii="宋体" w:hAnsi="宋体" w:cs="宋体"/>
                <w:b/>
                <w:color w:val="auto"/>
                <w:szCs w:val="21"/>
                <w:highlight w:val="none"/>
              </w:rPr>
            </w:pPr>
            <w:r>
              <w:rPr>
                <w:rFonts w:hint="eastAsia" w:ascii="宋体" w:hAnsi="宋体" w:cs="宋体"/>
                <w:color w:val="auto"/>
                <w:szCs w:val="21"/>
                <w:highlight w:val="none"/>
              </w:rPr>
              <w:t>▲付款方式</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6512E63D">
            <w:pPr>
              <w:spacing w:line="360" w:lineRule="auto"/>
              <w:rPr>
                <w:rFonts w:ascii="宋体" w:hAnsi="宋体" w:cs="宋体"/>
                <w:color w:val="auto"/>
                <w:szCs w:val="22"/>
                <w:highlight w:val="none"/>
              </w:rPr>
            </w:pPr>
            <w:r>
              <w:rPr>
                <w:rFonts w:hint="eastAsia" w:ascii="宋体" w:hAnsi="宋体" w:cs="宋体"/>
                <w:color w:val="auto"/>
                <w:szCs w:val="22"/>
                <w:highlight w:val="none"/>
              </w:rPr>
              <w:t>自签订合同，供应商提供驻场服务后，10个工作日内，采购人支付40%的合同款给成交供应商；供应商提供云平台软件生产厂商针对本项目的软件续保服务证明材料后，10个工作日内，采购人支付50%的合同款给成交供应商。运维服务初步验收合格后15个工作日内，采购人支付合同金额10%合同款给成交供应商，供应商自收到合同款之日起15个工作日内开具发票给采购人。</w:t>
            </w:r>
          </w:p>
        </w:tc>
      </w:tr>
      <w:tr w14:paraId="17F89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46409E2F">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688D2D30">
            <w:pPr>
              <w:adjustRightInd w:val="0"/>
              <w:snapToGrid w:val="0"/>
              <w:spacing w:line="360" w:lineRule="auto"/>
              <w:rPr>
                <w:rFonts w:ascii="宋体" w:hAnsi="宋体" w:cs="宋体"/>
                <w:bCs/>
                <w:color w:val="auto"/>
                <w:szCs w:val="22"/>
                <w:highlight w:val="none"/>
              </w:rPr>
            </w:pPr>
            <w:r>
              <w:rPr>
                <w:rFonts w:hint="eastAsia" w:ascii="宋体" w:hAnsi="宋体" w:cs="宋体"/>
                <w:color w:val="auto"/>
                <w:szCs w:val="21"/>
                <w:highlight w:val="none"/>
              </w:rPr>
              <w:t>供应商应严格遵守国家有关保密法律法规，不得泄露与本项目有关的秘密，不得将其用于履行本项目之外的其他用途，造成泄密的，将依法追究有关人员的法律责任。</w:t>
            </w:r>
          </w:p>
        </w:tc>
      </w:tr>
    </w:tbl>
    <w:p w14:paraId="38CA6905">
      <w:pPr>
        <w:pStyle w:val="86"/>
        <w:spacing w:line="360" w:lineRule="auto"/>
        <w:rPr>
          <w:rFonts w:ascii="宋体" w:hAnsi="宋体" w:cs="宋体"/>
          <w:color w:val="auto"/>
          <w:highlight w:val="none"/>
        </w:rPr>
      </w:pPr>
    </w:p>
    <w:p w14:paraId="44F713EA">
      <w:pPr>
        <w:spacing w:line="360" w:lineRule="auto"/>
        <w:rPr>
          <w:rFonts w:hint="eastAsia" w:ascii="宋体" w:hAnsi="宋体" w:cs="宋体"/>
          <w:b/>
          <w:bCs/>
          <w:color w:val="auto"/>
          <w:kern w:val="0"/>
          <w:highlight w:val="none"/>
        </w:rPr>
      </w:pPr>
    </w:p>
    <w:p w14:paraId="0801D7E9">
      <w:pPr>
        <w:spacing w:line="360" w:lineRule="auto"/>
        <w:rPr>
          <w:rFonts w:hint="eastAsia" w:ascii="宋体" w:hAnsi="宋体" w:cs="宋体"/>
          <w:b/>
          <w:bCs/>
          <w:color w:val="auto"/>
          <w:kern w:val="0"/>
          <w:highlight w:val="none"/>
        </w:rPr>
      </w:pPr>
    </w:p>
    <w:p w14:paraId="7C30AB26">
      <w:pPr>
        <w:spacing w:line="360" w:lineRule="auto"/>
        <w:rPr>
          <w:rFonts w:ascii="宋体" w:hAnsi="宋体" w:cs="宋体"/>
          <w:b/>
          <w:bCs/>
          <w:color w:val="auto"/>
          <w:kern w:val="0"/>
          <w:highlight w:val="none"/>
        </w:rPr>
      </w:pPr>
      <w:r>
        <w:rPr>
          <w:rFonts w:hint="eastAsia" w:ascii="宋体" w:hAnsi="宋体" w:cs="宋体"/>
          <w:b/>
          <w:bCs/>
          <w:color w:val="auto"/>
          <w:kern w:val="0"/>
          <w:highlight w:val="none"/>
        </w:rPr>
        <w:t>附件2：《广西农业云平台服务器维保清单》</w:t>
      </w:r>
    </w:p>
    <w:tbl>
      <w:tblPr>
        <w:tblStyle w:val="32"/>
        <w:tblW w:w="8677" w:type="dxa"/>
        <w:tblInd w:w="181" w:type="dxa"/>
        <w:tblLayout w:type="fixed"/>
        <w:tblCellMar>
          <w:top w:w="0" w:type="dxa"/>
          <w:left w:w="108" w:type="dxa"/>
          <w:bottom w:w="0" w:type="dxa"/>
          <w:right w:w="108" w:type="dxa"/>
        </w:tblCellMar>
      </w:tblPr>
      <w:tblGrid>
        <w:gridCol w:w="1205"/>
        <w:gridCol w:w="1780"/>
        <w:gridCol w:w="4750"/>
        <w:gridCol w:w="942"/>
      </w:tblGrid>
      <w:tr w14:paraId="67915C98">
        <w:tblPrEx>
          <w:tblCellMar>
            <w:top w:w="0" w:type="dxa"/>
            <w:left w:w="108" w:type="dxa"/>
            <w:bottom w:w="0" w:type="dxa"/>
            <w:right w:w="108" w:type="dxa"/>
          </w:tblCellMar>
        </w:tblPrEx>
        <w:trPr>
          <w:trHeight w:val="41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2D4F">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序号</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1895">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设备厂家</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4D58">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设备型号</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CD42">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数量</w:t>
            </w:r>
          </w:p>
        </w:tc>
      </w:tr>
      <w:tr w14:paraId="0008B2C6">
        <w:tblPrEx>
          <w:tblCellMar>
            <w:top w:w="0" w:type="dxa"/>
            <w:left w:w="108" w:type="dxa"/>
            <w:bottom w:w="0" w:type="dxa"/>
            <w:right w:w="108" w:type="dxa"/>
          </w:tblCellMar>
        </w:tblPrEx>
        <w:trPr>
          <w:trHeight w:val="414" w:hRule="atLeast"/>
        </w:trPr>
        <w:tc>
          <w:tcPr>
            <w:tcW w:w="86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D03117">
            <w:pPr>
              <w:widowControl/>
              <w:jc w:val="left"/>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云平台服务器设备</w:t>
            </w:r>
          </w:p>
        </w:tc>
      </w:tr>
      <w:tr w14:paraId="2BF40F9A">
        <w:tblPrEx>
          <w:tblCellMar>
            <w:top w:w="0" w:type="dxa"/>
            <w:left w:w="108" w:type="dxa"/>
            <w:bottom w:w="0" w:type="dxa"/>
            <w:right w:w="108" w:type="dxa"/>
          </w:tblCellMar>
        </w:tblPrEx>
        <w:trPr>
          <w:trHeight w:val="41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FD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780" w:type="dxa"/>
            <w:tcBorders>
              <w:top w:val="single" w:color="000000" w:sz="4" w:space="0"/>
              <w:left w:val="single" w:color="000000" w:sz="4" w:space="0"/>
              <w:bottom w:val="single" w:color="000000" w:sz="4" w:space="0"/>
              <w:right w:val="single" w:color="000000" w:sz="4" w:space="0"/>
            </w:tcBorders>
            <w:shd w:val="clear" w:color="auto" w:fill="FFFFFF"/>
          </w:tcPr>
          <w:p w14:paraId="48C08708">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华为</w:t>
            </w:r>
          </w:p>
        </w:tc>
        <w:tc>
          <w:tcPr>
            <w:tcW w:w="4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85A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2288H V5 (云平台图形服务器)</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880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5DC957EE">
        <w:tblPrEx>
          <w:tblCellMar>
            <w:top w:w="0" w:type="dxa"/>
            <w:left w:w="108" w:type="dxa"/>
            <w:bottom w:w="0" w:type="dxa"/>
            <w:right w:w="108" w:type="dxa"/>
          </w:tblCellMar>
        </w:tblPrEx>
        <w:trPr>
          <w:trHeight w:val="41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C6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780" w:type="dxa"/>
            <w:tcBorders>
              <w:top w:val="single" w:color="000000" w:sz="4" w:space="0"/>
              <w:left w:val="single" w:color="000000" w:sz="4" w:space="0"/>
              <w:bottom w:val="single" w:color="000000" w:sz="4" w:space="0"/>
              <w:right w:val="single" w:color="000000" w:sz="4" w:space="0"/>
            </w:tcBorders>
            <w:shd w:val="clear" w:color="auto" w:fill="FFFFFF"/>
          </w:tcPr>
          <w:p w14:paraId="2CAEECED">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华为</w:t>
            </w:r>
          </w:p>
        </w:tc>
        <w:tc>
          <w:tcPr>
            <w:tcW w:w="4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267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5885H V5 (云平台数据库务器)</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8E0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19A699BB">
        <w:tblPrEx>
          <w:tblCellMar>
            <w:top w:w="0" w:type="dxa"/>
            <w:left w:w="108" w:type="dxa"/>
            <w:bottom w:w="0" w:type="dxa"/>
            <w:right w:w="108" w:type="dxa"/>
          </w:tblCellMar>
        </w:tblPrEx>
        <w:trPr>
          <w:trHeight w:val="41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B4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780" w:type="dxa"/>
            <w:tcBorders>
              <w:top w:val="single" w:color="000000" w:sz="4" w:space="0"/>
              <w:left w:val="single" w:color="000000" w:sz="4" w:space="0"/>
              <w:bottom w:val="single" w:color="000000" w:sz="4" w:space="0"/>
              <w:right w:val="single" w:color="000000" w:sz="4" w:space="0"/>
            </w:tcBorders>
            <w:shd w:val="clear" w:color="auto" w:fill="auto"/>
          </w:tcPr>
          <w:p w14:paraId="100B4A7B">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深信服</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AD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aServer-P-G650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D8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r>
      <w:tr w14:paraId="7086A75F">
        <w:tblPrEx>
          <w:tblCellMar>
            <w:top w:w="0" w:type="dxa"/>
            <w:left w:w="108" w:type="dxa"/>
            <w:bottom w:w="0" w:type="dxa"/>
            <w:right w:w="108" w:type="dxa"/>
          </w:tblCellMar>
        </w:tblPrEx>
        <w:trPr>
          <w:trHeight w:val="41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49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33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华为</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F7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RH2288H V3（云管理应用服务器）</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02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r>
      <w:tr w14:paraId="356B49DB">
        <w:tblPrEx>
          <w:tblCellMar>
            <w:top w:w="0" w:type="dxa"/>
            <w:left w:w="108" w:type="dxa"/>
            <w:bottom w:w="0" w:type="dxa"/>
            <w:right w:w="108" w:type="dxa"/>
          </w:tblCellMar>
        </w:tblPrEx>
        <w:trPr>
          <w:trHeight w:val="41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9E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1780" w:type="dxa"/>
            <w:tcBorders>
              <w:top w:val="single" w:color="000000" w:sz="4" w:space="0"/>
              <w:left w:val="single" w:color="000000" w:sz="4" w:space="0"/>
              <w:bottom w:val="single" w:color="000000" w:sz="4" w:space="0"/>
              <w:right w:val="single" w:color="000000" w:sz="4" w:space="0"/>
            </w:tcBorders>
            <w:shd w:val="clear" w:color="auto" w:fill="auto"/>
          </w:tcPr>
          <w:p w14:paraId="6115A24C">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华为</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2F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2288H V5(云平台管理服务器)</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AF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r>
      <w:tr w14:paraId="7071F1B9">
        <w:tblPrEx>
          <w:tblCellMar>
            <w:top w:w="0" w:type="dxa"/>
            <w:left w:w="108" w:type="dxa"/>
            <w:bottom w:w="0" w:type="dxa"/>
            <w:right w:w="108" w:type="dxa"/>
          </w:tblCellMar>
        </w:tblPrEx>
        <w:trPr>
          <w:trHeight w:val="41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43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1780" w:type="dxa"/>
            <w:tcBorders>
              <w:top w:val="single" w:color="000000" w:sz="4" w:space="0"/>
              <w:left w:val="single" w:color="000000" w:sz="4" w:space="0"/>
              <w:bottom w:val="single" w:color="000000" w:sz="4" w:space="0"/>
              <w:right w:val="single" w:color="000000" w:sz="4" w:space="0"/>
            </w:tcBorders>
            <w:shd w:val="clear" w:color="auto" w:fill="FFFFFF"/>
          </w:tcPr>
          <w:p w14:paraId="0B9C8F64">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华为</w:t>
            </w:r>
          </w:p>
        </w:tc>
        <w:tc>
          <w:tcPr>
            <w:tcW w:w="4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CC4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2288H V5(云平台组件管理服务器)</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0A0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1FA6787D">
        <w:tblPrEx>
          <w:tblCellMar>
            <w:top w:w="0" w:type="dxa"/>
            <w:left w:w="108" w:type="dxa"/>
            <w:bottom w:w="0" w:type="dxa"/>
            <w:right w:w="108" w:type="dxa"/>
          </w:tblCellMar>
        </w:tblPrEx>
        <w:trPr>
          <w:trHeight w:val="41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99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23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华为</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95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RH8100 V3（大数据应用服务器）</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AA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29D7B620">
        <w:tblPrEx>
          <w:tblCellMar>
            <w:top w:w="0" w:type="dxa"/>
            <w:left w:w="108" w:type="dxa"/>
            <w:bottom w:w="0" w:type="dxa"/>
            <w:right w:w="108" w:type="dxa"/>
          </w:tblCellMar>
        </w:tblPrEx>
        <w:trPr>
          <w:trHeight w:val="41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CA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93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华为</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C9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RH5885 V3（虚拟化节点服务器）</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2E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r>
      <w:tr w14:paraId="462DBB42">
        <w:tblPrEx>
          <w:tblCellMar>
            <w:top w:w="0" w:type="dxa"/>
            <w:left w:w="108" w:type="dxa"/>
            <w:bottom w:w="0" w:type="dxa"/>
            <w:right w:w="108" w:type="dxa"/>
          </w:tblCellMar>
        </w:tblPrEx>
        <w:trPr>
          <w:trHeight w:val="41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73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88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华为</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D5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RH2288H V3（云平台SDN管理服务器）</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40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r>
      <w:tr w14:paraId="700B4C28">
        <w:tblPrEx>
          <w:tblCellMar>
            <w:top w:w="0" w:type="dxa"/>
            <w:left w:w="108" w:type="dxa"/>
            <w:bottom w:w="0" w:type="dxa"/>
            <w:right w:w="108" w:type="dxa"/>
          </w:tblCellMar>
        </w:tblPrEx>
        <w:trPr>
          <w:trHeight w:val="41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4C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E3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华为</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80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RH2288 V2（虚拟化节点服务器）</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05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6E74C526">
        <w:tblPrEx>
          <w:tblCellMar>
            <w:top w:w="0" w:type="dxa"/>
            <w:left w:w="108" w:type="dxa"/>
            <w:bottom w:w="0" w:type="dxa"/>
            <w:right w:w="108" w:type="dxa"/>
          </w:tblCellMar>
        </w:tblPrEx>
        <w:trPr>
          <w:trHeight w:val="41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A5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48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华为</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47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RH5885 V3（虚拟化节点服务器）</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E9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r>
      <w:tr w14:paraId="14983A85">
        <w:tblPrEx>
          <w:tblCellMar>
            <w:top w:w="0" w:type="dxa"/>
            <w:left w:w="108" w:type="dxa"/>
            <w:bottom w:w="0" w:type="dxa"/>
            <w:right w:w="108" w:type="dxa"/>
          </w:tblCellMar>
        </w:tblPrEx>
        <w:trPr>
          <w:trHeight w:val="437" w:hRule="atLeast"/>
        </w:trPr>
        <w:tc>
          <w:tcPr>
            <w:tcW w:w="77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28A08">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小计</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4576">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39</w:t>
            </w:r>
          </w:p>
        </w:tc>
      </w:tr>
    </w:tbl>
    <w:p w14:paraId="790E52FA">
      <w:pPr>
        <w:rPr>
          <w:rFonts w:ascii="宋体" w:hAnsi="宋体" w:cs="宋体"/>
          <w:color w:val="auto"/>
          <w:highlight w:val="none"/>
        </w:rPr>
      </w:pPr>
      <w:r>
        <w:rPr>
          <w:rFonts w:hint="eastAsia" w:ascii="宋体" w:hAnsi="宋体" w:cs="宋体"/>
          <w:b/>
          <w:color w:val="auto"/>
          <w:szCs w:val="21"/>
          <w:highlight w:val="none"/>
        </w:rPr>
        <w:br w:type="page"/>
      </w:r>
    </w:p>
    <w:p w14:paraId="63CD1229">
      <w:pPr>
        <w:spacing w:line="360" w:lineRule="auto"/>
        <w:rPr>
          <w:rFonts w:ascii="宋体" w:hAnsi="宋体" w:cs="宋体"/>
          <w:color w:val="auto"/>
          <w:sz w:val="28"/>
          <w:szCs w:val="28"/>
          <w:highlight w:val="none"/>
        </w:rPr>
      </w:pPr>
      <w:r>
        <w:rPr>
          <w:rFonts w:hint="eastAsia" w:ascii="宋体" w:hAnsi="宋体" w:cs="宋体"/>
          <w:b/>
          <w:bCs/>
          <w:color w:val="auto"/>
          <w:kern w:val="0"/>
          <w:highlight w:val="none"/>
        </w:rPr>
        <w:t>附件3：《广西农业云平台存储设备维保清单》</w:t>
      </w:r>
    </w:p>
    <w:tbl>
      <w:tblPr>
        <w:tblStyle w:val="32"/>
        <w:tblW w:w="8558" w:type="dxa"/>
        <w:tblInd w:w="181" w:type="dxa"/>
        <w:tblLayout w:type="fixed"/>
        <w:tblCellMar>
          <w:top w:w="0" w:type="dxa"/>
          <w:left w:w="108" w:type="dxa"/>
          <w:bottom w:w="0" w:type="dxa"/>
          <w:right w:w="108" w:type="dxa"/>
        </w:tblCellMar>
      </w:tblPr>
      <w:tblGrid>
        <w:gridCol w:w="1189"/>
        <w:gridCol w:w="1756"/>
        <w:gridCol w:w="4683"/>
        <w:gridCol w:w="930"/>
      </w:tblGrid>
      <w:tr w14:paraId="6CA55558">
        <w:tblPrEx>
          <w:tblCellMar>
            <w:top w:w="0" w:type="dxa"/>
            <w:left w:w="108" w:type="dxa"/>
            <w:bottom w:w="0" w:type="dxa"/>
            <w:right w:w="108" w:type="dxa"/>
          </w:tblCellMar>
        </w:tblPrEx>
        <w:trPr>
          <w:trHeight w:val="417"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98E3">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序号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39A8">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设备厂家</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E1DA">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设备型号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A714">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数量</w:t>
            </w:r>
          </w:p>
        </w:tc>
      </w:tr>
      <w:tr w14:paraId="1900B42A">
        <w:tblPrEx>
          <w:tblCellMar>
            <w:top w:w="0" w:type="dxa"/>
            <w:left w:w="108" w:type="dxa"/>
            <w:bottom w:w="0" w:type="dxa"/>
            <w:right w:w="108" w:type="dxa"/>
          </w:tblCellMar>
        </w:tblPrEx>
        <w:trPr>
          <w:trHeight w:val="417" w:hRule="atLeast"/>
        </w:trPr>
        <w:tc>
          <w:tcPr>
            <w:tcW w:w="85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8A48F9">
            <w:pPr>
              <w:widowControl/>
              <w:jc w:val="left"/>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云平台存储设备</w:t>
            </w:r>
          </w:p>
        </w:tc>
      </w:tr>
      <w:tr w14:paraId="3F64C814">
        <w:tblPrEx>
          <w:tblCellMar>
            <w:top w:w="0" w:type="dxa"/>
            <w:left w:w="108" w:type="dxa"/>
            <w:bottom w:w="0" w:type="dxa"/>
            <w:right w:w="108" w:type="dxa"/>
          </w:tblCellMar>
        </w:tblPrEx>
        <w:trPr>
          <w:trHeight w:val="417"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E4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tcPr>
          <w:p w14:paraId="4E180616">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华为</w:t>
            </w:r>
          </w:p>
        </w:tc>
        <w:tc>
          <w:tcPr>
            <w:tcW w:w="4683" w:type="dxa"/>
            <w:tcBorders>
              <w:top w:val="single" w:color="000000" w:sz="4" w:space="0"/>
              <w:left w:val="single" w:color="000000" w:sz="4" w:space="0"/>
              <w:bottom w:val="single" w:color="000000" w:sz="4" w:space="0"/>
              <w:right w:val="single" w:color="000000" w:sz="4" w:space="0"/>
            </w:tcBorders>
            <w:shd w:val="clear" w:color="auto" w:fill="auto"/>
          </w:tcPr>
          <w:p w14:paraId="345E119A">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OceanStor 5300v3 生产存储扩容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13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544A27A2">
        <w:tblPrEx>
          <w:tblCellMar>
            <w:top w:w="0" w:type="dxa"/>
            <w:left w:w="108" w:type="dxa"/>
            <w:bottom w:w="0" w:type="dxa"/>
            <w:right w:w="108" w:type="dxa"/>
          </w:tblCellMar>
        </w:tblPrEx>
        <w:trPr>
          <w:trHeight w:val="417"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8A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756" w:type="dxa"/>
            <w:tcBorders>
              <w:top w:val="single" w:color="000000" w:sz="4" w:space="0"/>
              <w:left w:val="single" w:color="000000" w:sz="4" w:space="0"/>
              <w:bottom w:val="single" w:color="000000" w:sz="4" w:space="0"/>
              <w:right w:val="single" w:color="000000" w:sz="4" w:space="0"/>
            </w:tcBorders>
            <w:shd w:val="clear" w:color="auto" w:fill="auto"/>
          </w:tcPr>
          <w:p w14:paraId="19360598">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华为</w:t>
            </w:r>
          </w:p>
        </w:tc>
        <w:tc>
          <w:tcPr>
            <w:tcW w:w="4683" w:type="dxa"/>
            <w:tcBorders>
              <w:top w:val="single" w:color="000000" w:sz="4" w:space="0"/>
              <w:left w:val="single" w:color="000000" w:sz="4" w:space="0"/>
              <w:bottom w:val="single" w:color="000000" w:sz="4" w:space="0"/>
              <w:right w:val="single" w:color="000000" w:sz="4" w:space="0"/>
            </w:tcBorders>
            <w:shd w:val="clear" w:color="auto" w:fill="auto"/>
          </w:tcPr>
          <w:p w14:paraId="240B5E4C">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OceanStor 5300v3 敏感区存储扩容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B9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02DAF3DE">
        <w:tblPrEx>
          <w:tblCellMar>
            <w:top w:w="0" w:type="dxa"/>
            <w:left w:w="108" w:type="dxa"/>
            <w:bottom w:w="0" w:type="dxa"/>
            <w:right w:w="108" w:type="dxa"/>
          </w:tblCellMar>
        </w:tblPrEx>
        <w:trPr>
          <w:trHeight w:val="417"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AA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756" w:type="dxa"/>
            <w:tcBorders>
              <w:top w:val="single" w:color="000000" w:sz="4" w:space="0"/>
              <w:left w:val="single" w:color="000000" w:sz="4" w:space="0"/>
              <w:bottom w:val="single" w:color="000000" w:sz="4" w:space="0"/>
              <w:right w:val="single" w:color="000000" w:sz="4" w:space="0"/>
            </w:tcBorders>
            <w:shd w:val="clear" w:color="auto" w:fill="auto"/>
          </w:tcPr>
          <w:p w14:paraId="7E2171C3">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华为</w:t>
            </w:r>
          </w:p>
        </w:tc>
        <w:tc>
          <w:tcPr>
            <w:tcW w:w="4683" w:type="dxa"/>
            <w:tcBorders>
              <w:top w:val="single" w:color="000000" w:sz="4" w:space="0"/>
              <w:left w:val="single" w:color="000000" w:sz="4" w:space="0"/>
              <w:bottom w:val="single" w:color="000000" w:sz="4" w:space="0"/>
              <w:right w:val="single" w:color="000000" w:sz="4" w:space="0"/>
            </w:tcBorders>
            <w:shd w:val="clear" w:color="auto" w:fill="auto"/>
          </w:tcPr>
          <w:p w14:paraId="48A2EC84">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OceanStor 5300v3 备份存储扩容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73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0AE9F19E">
        <w:tblPrEx>
          <w:tblCellMar>
            <w:top w:w="0" w:type="dxa"/>
            <w:left w:w="108" w:type="dxa"/>
            <w:bottom w:w="0" w:type="dxa"/>
            <w:right w:w="108" w:type="dxa"/>
          </w:tblCellMar>
        </w:tblPrEx>
        <w:trPr>
          <w:trHeight w:val="417"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27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756" w:type="dxa"/>
            <w:tcBorders>
              <w:top w:val="single" w:color="000000" w:sz="4" w:space="0"/>
              <w:left w:val="single" w:color="000000" w:sz="4" w:space="0"/>
              <w:bottom w:val="single" w:color="000000" w:sz="4" w:space="0"/>
              <w:right w:val="single" w:color="000000" w:sz="4" w:space="0"/>
            </w:tcBorders>
            <w:shd w:val="clear" w:color="auto" w:fill="auto"/>
          </w:tcPr>
          <w:p w14:paraId="266844BE">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华为</w:t>
            </w:r>
          </w:p>
        </w:tc>
        <w:tc>
          <w:tcPr>
            <w:tcW w:w="4683" w:type="dxa"/>
            <w:tcBorders>
              <w:top w:val="single" w:color="000000" w:sz="4" w:space="0"/>
              <w:left w:val="single" w:color="000000" w:sz="4" w:space="0"/>
              <w:bottom w:val="single" w:color="000000" w:sz="4" w:space="0"/>
              <w:right w:val="single" w:color="000000" w:sz="4" w:space="0"/>
            </w:tcBorders>
            <w:shd w:val="clear" w:color="auto" w:fill="auto"/>
          </w:tcPr>
          <w:p w14:paraId="5BFE0138">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OceanStor 5500v3 农业云存储设备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AA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1EC86D20">
        <w:tblPrEx>
          <w:tblCellMar>
            <w:top w:w="0" w:type="dxa"/>
            <w:left w:w="108" w:type="dxa"/>
            <w:bottom w:w="0" w:type="dxa"/>
            <w:right w:w="108" w:type="dxa"/>
          </w:tblCellMar>
        </w:tblPrEx>
        <w:trPr>
          <w:trHeight w:val="417"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BF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1756" w:type="dxa"/>
            <w:tcBorders>
              <w:top w:val="single" w:color="000000" w:sz="4" w:space="0"/>
              <w:left w:val="single" w:color="000000" w:sz="4" w:space="0"/>
              <w:bottom w:val="single" w:color="000000" w:sz="4" w:space="0"/>
              <w:right w:val="single" w:color="000000" w:sz="4" w:space="0"/>
            </w:tcBorders>
            <w:shd w:val="clear" w:color="auto" w:fill="auto"/>
          </w:tcPr>
          <w:p w14:paraId="0AFE225F">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华为</w:t>
            </w:r>
          </w:p>
        </w:tc>
        <w:tc>
          <w:tcPr>
            <w:tcW w:w="4683" w:type="dxa"/>
            <w:tcBorders>
              <w:top w:val="single" w:color="000000" w:sz="4" w:space="0"/>
              <w:left w:val="single" w:color="000000" w:sz="4" w:space="0"/>
              <w:bottom w:val="single" w:color="000000" w:sz="4" w:space="0"/>
              <w:right w:val="single" w:color="000000" w:sz="4" w:space="0"/>
            </w:tcBorders>
            <w:shd w:val="clear" w:color="auto" w:fill="auto"/>
          </w:tcPr>
          <w:p w14:paraId="7C0C53F5">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存储扩容（华为）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24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348FD86B">
        <w:tblPrEx>
          <w:tblCellMar>
            <w:top w:w="0" w:type="dxa"/>
            <w:left w:w="108" w:type="dxa"/>
            <w:bottom w:w="0" w:type="dxa"/>
            <w:right w:w="108" w:type="dxa"/>
          </w:tblCellMar>
        </w:tblPrEx>
        <w:trPr>
          <w:trHeight w:val="417"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EF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1756" w:type="dxa"/>
            <w:tcBorders>
              <w:top w:val="single" w:color="000000" w:sz="4" w:space="0"/>
              <w:left w:val="single" w:color="000000" w:sz="4" w:space="0"/>
              <w:bottom w:val="single" w:color="000000" w:sz="4" w:space="0"/>
              <w:right w:val="single" w:color="000000" w:sz="4" w:space="0"/>
            </w:tcBorders>
            <w:shd w:val="clear" w:color="auto" w:fill="auto"/>
          </w:tcPr>
          <w:p w14:paraId="771D1C3B">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华为</w:t>
            </w:r>
          </w:p>
        </w:tc>
        <w:tc>
          <w:tcPr>
            <w:tcW w:w="4683" w:type="dxa"/>
            <w:tcBorders>
              <w:top w:val="single" w:color="000000" w:sz="4" w:space="0"/>
              <w:left w:val="single" w:color="000000" w:sz="4" w:space="0"/>
              <w:bottom w:val="single" w:color="000000" w:sz="4" w:space="0"/>
              <w:right w:val="single" w:color="000000" w:sz="4" w:space="0"/>
            </w:tcBorders>
            <w:shd w:val="clear" w:color="auto" w:fill="auto"/>
          </w:tcPr>
          <w:p w14:paraId="72DA6F6F">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OceanStor 5300v3 FC存储设备(确权云)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5B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r>
      <w:tr w14:paraId="755E1F34">
        <w:tblPrEx>
          <w:tblCellMar>
            <w:top w:w="0" w:type="dxa"/>
            <w:left w:w="108" w:type="dxa"/>
            <w:bottom w:w="0" w:type="dxa"/>
            <w:right w:w="108" w:type="dxa"/>
          </w:tblCellMar>
        </w:tblPrEx>
        <w:trPr>
          <w:trHeight w:val="417"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26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756" w:type="dxa"/>
            <w:tcBorders>
              <w:top w:val="single" w:color="000000" w:sz="4" w:space="0"/>
              <w:left w:val="single" w:color="000000" w:sz="4" w:space="0"/>
              <w:bottom w:val="single" w:color="000000" w:sz="4" w:space="0"/>
              <w:right w:val="single" w:color="000000" w:sz="4" w:space="0"/>
            </w:tcBorders>
            <w:shd w:val="clear" w:color="auto" w:fill="auto"/>
          </w:tcPr>
          <w:p w14:paraId="1161DE69">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华为</w:t>
            </w:r>
          </w:p>
        </w:tc>
        <w:tc>
          <w:tcPr>
            <w:tcW w:w="4683" w:type="dxa"/>
            <w:tcBorders>
              <w:top w:val="single" w:color="000000" w:sz="4" w:space="0"/>
              <w:left w:val="single" w:color="000000" w:sz="4" w:space="0"/>
              <w:bottom w:val="single" w:color="000000" w:sz="4" w:space="0"/>
              <w:right w:val="single" w:color="000000" w:sz="4" w:space="0"/>
            </w:tcBorders>
            <w:shd w:val="clear" w:color="auto" w:fill="auto"/>
          </w:tcPr>
          <w:p w14:paraId="28726686">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OceanStor 5300v3 备份存储设备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EE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030F74E0">
        <w:tblPrEx>
          <w:tblCellMar>
            <w:top w:w="0" w:type="dxa"/>
            <w:left w:w="108" w:type="dxa"/>
            <w:bottom w:w="0" w:type="dxa"/>
            <w:right w:w="108" w:type="dxa"/>
          </w:tblCellMar>
        </w:tblPrEx>
        <w:trPr>
          <w:trHeight w:val="417"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1B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756" w:type="dxa"/>
            <w:tcBorders>
              <w:top w:val="single" w:color="000000" w:sz="4" w:space="0"/>
              <w:left w:val="single" w:color="000000" w:sz="4" w:space="0"/>
              <w:bottom w:val="single" w:color="000000" w:sz="4" w:space="0"/>
              <w:right w:val="single" w:color="000000" w:sz="4" w:space="0"/>
            </w:tcBorders>
            <w:shd w:val="clear" w:color="auto" w:fill="auto"/>
          </w:tcPr>
          <w:p w14:paraId="167645AE">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华为</w:t>
            </w:r>
          </w:p>
        </w:tc>
        <w:tc>
          <w:tcPr>
            <w:tcW w:w="4683" w:type="dxa"/>
            <w:tcBorders>
              <w:top w:val="single" w:color="000000" w:sz="4" w:space="0"/>
              <w:left w:val="single" w:color="000000" w:sz="4" w:space="0"/>
              <w:bottom w:val="single" w:color="000000" w:sz="4" w:space="0"/>
              <w:right w:val="single" w:color="000000" w:sz="4" w:space="0"/>
            </w:tcBorders>
            <w:shd w:val="clear" w:color="auto" w:fill="auto"/>
          </w:tcPr>
          <w:p w14:paraId="50121DDD">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S2600T(100T) 农业云存储设备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A8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329F9DA0">
        <w:tblPrEx>
          <w:tblCellMar>
            <w:top w:w="0" w:type="dxa"/>
            <w:left w:w="108" w:type="dxa"/>
            <w:bottom w:w="0" w:type="dxa"/>
            <w:right w:w="108" w:type="dxa"/>
          </w:tblCellMar>
        </w:tblPrEx>
        <w:trPr>
          <w:trHeight w:val="430" w:hRule="atLeast"/>
        </w:trPr>
        <w:tc>
          <w:tcPr>
            <w:tcW w:w="7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37769F">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小计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BBAF">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15</w:t>
            </w:r>
          </w:p>
        </w:tc>
      </w:tr>
    </w:tbl>
    <w:p w14:paraId="0B47D40A">
      <w:pPr>
        <w:rPr>
          <w:rFonts w:ascii="宋体" w:hAnsi="宋体" w:cs="宋体"/>
          <w:b/>
          <w:color w:val="auto"/>
          <w:szCs w:val="21"/>
          <w:highlight w:val="none"/>
        </w:rPr>
      </w:pPr>
      <w:r>
        <w:rPr>
          <w:rFonts w:hint="eastAsia" w:ascii="宋体" w:hAnsi="宋体" w:cs="宋体"/>
          <w:b/>
          <w:color w:val="auto"/>
          <w:szCs w:val="21"/>
          <w:highlight w:val="none"/>
        </w:rPr>
        <w:br w:type="page"/>
      </w:r>
    </w:p>
    <w:p w14:paraId="79E5979D">
      <w:pPr>
        <w:spacing w:line="360" w:lineRule="auto"/>
        <w:ind w:firstLine="310" w:firstLineChars="147"/>
        <w:jc w:val="left"/>
        <w:rPr>
          <w:rFonts w:ascii="宋体" w:hAnsi="宋体" w:cs="宋体"/>
          <w:bCs/>
          <w:color w:val="auto"/>
          <w:szCs w:val="21"/>
          <w:highlight w:val="none"/>
          <w:u w:val="single"/>
        </w:rPr>
      </w:pPr>
      <w:r>
        <w:rPr>
          <w:rFonts w:hint="eastAsia" w:ascii="宋体" w:hAnsi="宋体" w:cs="宋体"/>
          <w:b/>
          <w:color w:val="auto"/>
          <w:szCs w:val="21"/>
          <w:highlight w:val="none"/>
        </w:rPr>
        <w:t>分标3（点对点专线服务）               采购预算：</w:t>
      </w:r>
      <w:r>
        <w:rPr>
          <w:rFonts w:hint="eastAsia" w:ascii="宋体" w:hAnsi="宋体"/>
          <w:b/>
          <w:bCs/>
          <w:color w:val="auto"/>
          <w:szCs w:val="21"/>
          <w:highlight w:val="none"/>
          <w:u w:val="single"/>
        </w:rPr>
        <w:t xml:space="preserve"> 10.68万元</w:t>
      </w:r>
      <w:r>
        <w:rPr>
          <w:rFonts w:hint="eastAsia"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75EC0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6F1842B6">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4A0E4F72">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77CFB867">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64486780">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14:paraId="2F07CFAD">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0AFE554A">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35D7C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6BB5061D">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516" w:type="dxa"/>
            <w:gridSpan w:val="2"/>
            <w:vAlign w:val="center"/>
          </w:tcPr>
          <w:p w14:paraId="58B05B19">
            <w:pPr>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rPr>
              <w:t>点对点专线服务</w:t>
            </w:r>
          </w:p>
        </w:tc>
        <w:tc>
          <w:tcPr>
            <w:tcW w:w="1050" w:type="dxa"/>
            <w:vAlign w:val="center"/>
          </w:tcPr>
          <w:p w14:paraId="5C8DD182">
            <w:pPr>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rPr>
              <w:t>1项</w:t>
            </w:r>
          </w:p>
        </w:tc>
        <w:tc>
          <w:tcPr>
            <w:tcW w:w="1077" w:type="dxa"/>
            <w:vAlign w:val="center"/>
          </w:tcPr>
          <w:p w14:paraId="64A01F59">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信息传输业</w:t>
            </w:r>
          </w:p>
        </w:tc>
        <w:tc>
          <w:tcPr>
            <w:tcW w:w="5416" w:type="dxa"/>
          </w:tcPr>
          <w:p w14:paraId="7E8A7F05">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1、提供3条电路带宽为 200 M点对点接入。</w:t>
            </w:r>
          </w:p>
          <w:p w14:paraId="3C136C84">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2、要求骨干层为自愈环保护，具备骨干层双路由保护，具有故障自动倒换功能，能保证主干电路不会因光缆的意外阻断和部分设备的故障而中断。</w:t>
            </w:r>
          </w:p>
          <w:p w14:paraId="57A3A223">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3、要求数字光纤电路全程采用MSTP技术或更先进的组网技术。提供端到端MSTP透明传输电路，每条电路实时具有对应承诺带宽的独立物理传输通道。</w:t>
            </w:r>
          </w:p>
          <w:p w14:paraId="66ED4DAE">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4、电路接口为GE电口。</w:t>
            </w:r>
          </w:p>
          <w:p w14:paraId="7F9BFDD5">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5、电路性能要求：数字电路需具备较高的稳定性，电路全年可用率&gt;99.9%；单条电路端到端电路误码率&lt;10E-7（1×10-7）、最大时延&lt;20ms、时延抖动率&lt;15ms、丢包率&lt;0.5%。</w:t>
            </w:r>
          </w:p>
          <w:p w14:paraId="37D25392">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6、全网采用的MSTP传输设备具有可网管能力，提供组网所需的相关设备及安装调试。</w:t>
            </w:r>
          </w:p>
          <w:p w14:paraId="44091959">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7、数字电路需具备较高的安全性，数字电路须与互联网（公网）完全物理隔离，并且提供单独设备承载项目所涉及的数字电路。</w:t>
            </w:r>
          </w:p>
          <w:p w14:paraId="29B9B48A">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8、提供7×24小时维护服务。故障申报60分钟内响应，2小时到达现场，8小时恢复业务（自然灾害等不可抗拒原因除外）。</w:t>
            </w:r>
          </w:p>
          <w:p w14:paraId="248E10CA">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9、服务期限一年。</w:t>
            </w:r>
          </w:p>
        </w:tc>
      </w:tr>
      <w:tr w14:paraId="34E51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left w:val="single" w:color="auto" w:sz="4" w:space="0"/>
              <w:bottom w:val="single" w:color="auto" w:sz="4" w:space="0"/>
              <w:right w:val="single" w:color="auto" w:sz="4" w:space="0"/>
            </w:tcBorders>
          </w:tcPr>
          <w:p w14:paraId="364EC21B">
            <w:pPr>
              <w:spacing w:line="360" w:lineRule="auto"/>
              <w:rPr>
                <w:rFonts w:ascii="宋体" w:hAnsi="宋体" w:cs="宋体"/>
                <w:color w:val="auto"/>
                <w:szCs w:val="21"/>
                <w:highlight w:val="none"/>
              </w:rPr>
            </w:pPr>
            <w:r>
              <w:rPr>
                <w:rFonts w:hint="eastAsia" w:ascii="宋体" w:hAnsi="宋体" w:cs="宋体"/>
                <w:b/>
                <w:color w:val="auto"/>
                <w:szCs w:val="21"/>
                <w:highlight w:val="none"/>
              </w:rPr>
              <w:t>商务要求</w:t>
            </w:r>
          </w:p>
        </w:tc>
      </w:tr>
      <w:tr w14:paraId="56A96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260652BE">
            <w:pPr>
              <w:spacing w:line="360" w:lineRule="exact"/>
              <w:jc w:val="center"/>
              <w:rPr>
                <w:rFonts w:ascii="宋体" w:hAnsi="宋体" w:cs="宋体"/>
                <w:b/>
                <w:color w:val="auto"/>
                <w:szCs w:val="21"/>
                <w:highlight w:val="none"/>
              </w:rPr>
            </w:pPr>
            <w:r>
              <w:rPr>
                <w:rFonts w:hint="eastAsia" w:ascii="宋体" w:hAnsi="宋体"/>
                <w:color w:val="auto"/>
                <w:szCs w:val="21"/>
                <w:highlight w:val="none"/>
              </w:rPr>
              <w:t>▲磋商报价要求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42D34B56">
            <w:pPr>
              <w:spacing w:line="360" w:lineRule="exact"/>
              <w:rPr>
                <w:color w:val="auto"/>
                <w:highlight w:val="none"/>
              </w:rPr>
            </w:pPr>
            <w:r>
              <w:rPr>
                <w:rFonts w:hint="eastAsia"/>
                <w:color w:val="auto"/>
                <w:highlight w:val="none"/>
              </w:rPr>
              <w:t>报价包括完成本项目“项目需求”中所列所有服务内容产生的所有成本、项目验收、税金、利润等费用，采购人不再另行支付任何费用</w:t>
            </w:r>
            <w:r>
              <w:rPr>
                <w:rFonts w:hint="eastAsia"/>
                <w:color w:val="auto"/>
                <w:szCs w:val="21"/>
                <w:highlight w:val="none"/>
              </w:rPr>
              <w:t>。</w:t>
            </w:r>
          </w:p>
        </w:tc>
      </w:tr>
      <w:tr w14:paraId="37E19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0AF0F15E">
            <w:pPr>
              <w:spacing w:line="360" w:lineRule="exact"/>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合同履约期限和地点</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666532D1">
            <w:pPr>
              <w:spacing w:line="360" w:lineRule="exact"/>
              <w:rPr>
                <w:color w:val="auto"/>
                <w:highlight w:val="none"/>
              </w:rPr>
            </w:pPr>
            <w:r>
              <w:rPr>
                <w:rFonts w:hint="eastAsia" w:ascii="宋体" w:hAnsi="宋体" w:cs="宋体"/>
                <w:color w:val="auto"/>
                <w:szCs w:val="21"/>
                <w:highlight w:val="none"/>
              </w:rPr>
              <w:t>合同履约期限：合同签订后，服务交付合格起一年。</w:t>
            </w:r>
          </w:p>
          <w:p w14:paraId="30B802B0">
            <w:pPr>
              <w:spacing w:line="360" w:lineRule="exact"/>
              <w:rPr>
                <w:rFonts w:ascii="宋体" w:hAnsi="宋体" w:cs="宋体"/>
                <w:color w:val="auto"/>
                <w:szCs w:val="21"/>
                <w:highlight w:val="none"/>
              </w:rPr>
            </w:pPr>
            <w:r>
              <w:rPr>
                <w:rFonts w:hint="eastAsia" w:ascii="宋体" w:hAnsi="宋体" w:cs="宋体"/>
                <w:color w:val="auto"/>
                <w:szCs w:val="21"/>
                <w:highlight w:val="none"/>
              </w:rPr>
              <w:t>地点：采购人指定地点。</w:t>
            </w:r>
          </w:p>
        </w:tc>
      </w:tr>
      <w:tr w14:paraId="4E1EC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6946D25C">
            <w:pPr>
              <w:spacing w:line="360" w:lineRule="exact"/>
              <w:jc w:val="center"/>
              <w:rPr>
                <w:rFonts w:ascii="宋体" w:hAnsi="宋体" w:cs="宋体"/>
                <w:b/>
                <w:color w:val="auto"/>
                <w:szCs w:val="21"/>
                <w:highlight w:val="none"/>
              </w:rPr>
            </w:pPr>
            <w:r>
              <w:rPr>
                <w:rFonts w:hint="eastAsia" w:ascii="宋体" w:hAnsi="宋体"/>
                <w:color w:val="auto"/>
                <w:szCs w:val="21"/>
                <w:highlight w:val="none"/>
              </w:rPr>
              <w:t>▲付款方式</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43CF66CB">
            <w:pPr>
              <w:spacing w:line="360" w:lineRule="exact"/>
              <w:rPr>
                <w:rFonts w:ascii="宋体" w:hAnsi="宋体" w:cs="宋体"/>
                <w:color w:val="auto"/>
                <w:szCs w:val="22"/>
                <w:highlight w:val="none"/>
              </w:rPr>
            </w:pPr>
            <w:r>
              <w:rPr>
                <w:rFonts w:hint="eastAsia"/>
                <w:color w:val="auto"/>
                <w:highlight w:val="none"/>
              </w:rPr>
              <w:t>签定合同后15个工作日内采购人支付40%的合同款给成交供应商，成交供应商所提交的服务经采购人初步验收合格后，采购人支付剩余60%的合同款给成交供应商。供应商自收到合同款之日起15个工作日内开具发票给采购人</w:t>
            </w:r>
            <w:r>
              <w:rPr>
                <w:rFonts w:hint="eastAsia" w:ascii="宋体" w:hAnsi="宋体" w:cs="宋体"/>
                <w:color w:val="auto"/>
                <w:highlight w:val="none"/>
              </w:rPr>
              <w:t>。</w:t>
            </w:r>
          </w:p>
        </w:tc>
      </w:tr>
      <w:tr w14:paraId="02ED9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14C96C49">
            <w:pPr>
              <w:spacing w:line="360" w:lineRule="exact"/>
              <w:jc w:val="center"/>
              <w:rPr>
                <w:rFonts w:ascii="宋体" w:hAnsi="宋体" w:cs="宋体"/>
                <w:color w:val="auto"/>
                <w:szCs w:val="21"/>
                <w:highlight w:val="none"/>
              </w:rPr>
            </w:pPr>
            <w:r>
              <w:rPr>
                <w:rFonts w:hint="eastAsia" w:ascii="宋体" w:hAnsi="宋体"/>
                <w:color w:val="auto"/>
                <w:szCs w:val="21"/>
                <w:highlight w:val="none"/>
              </w:rPr>
              <w:t>▲</w:t>
            </w:r>
            <w:r>
              <w:rPr>
                <w:rFonts w:hint="eastAsia"/>
                <w:color w:val="auto"/>
                <w:highlight w:val="none"/>
              </w:rPr>
              <w:t>质量保证期</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3B0B969F">
            <w:pPr>
              <w:spacing w:line="360" w:lineRule="exact"/>
              <w:rPr>
                <w:rFonts w:ascii="宋体" w:hAnsi="宋体" w:cs="宋体"/>
                <w:bCs/>
                <w:color w:val="auto"/>
                <w:szCs w:val="22"/>
                <w:highlight w:val="none"/>
              </w:rPr>
            </w:pPr>
            <w:r>
              <w:rPr>
                <w:rFonts w:hint="eastAsia" w:ascii="宋体" w:hAnsi="宋体" w:cs="宋体"/>
                <w:color w:val="auto"/>
                <w:highlight w:val="none"/>
              </w:rPr>
              <w:t>自线路交付并经双方验收合格之日起12个月</w:t>
            </w:r>
            <w:r>
              <w:rPr>
                <w:rFonts w:hint="eastAsia"/>
                <w:color w:val="auto"/>
                <w:highlight w:val="none"/>
              </w:rPr>
              <w:t>。</w:t>
            </w:r>
          </w:p>
        </w:tc>
      </w:tr>
      <w:tr w14:paraId="655DE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7FCC3F0D">
            <w:pPr>
              <w:spacing w:line="360" w:lineRule="exact"/>
              <w:jc w:val="center"/>
              <w:rPr>
                <w:rFonts w:ascii="宋体" w:hAnsi="宋体"/>
                <w:color w:val="auto"/>
                <w:szCs w:val="21"/>
                <w:highlight w:val="none"/>
              </w:rPr>
            </w:pPr>
            <w:r>
              <w:rPr>
                <w:rFonts w:hint="eastAsia" w:ascii="宋体" w:hAnsi="宋体" w:cs="宋体"/>
                <w:color w:val="auto"/>
                <w:szCs w:val="21"/>
                <w:highlight w:val="none"/>
              </w:rPr>
              <w:t>▲后续服务</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7044BF4B">
            <w:pPr>
              <w:spacing w:line="360" w:lineRule="exact"/>
              <w:rPr>
                <w:color w:val="auto"/>
                <w:highlight w:val="none"/>
              </w:rPr>
            </w:pPr>
            <w:r>
              <w:rPr>
                <w:rFonts w:hint="eastAsia" w:ascii="宋体" w:hAnsi="宋体" w:cs="宋体"/>
                <w:color w:val="auto"/>
                <w:highlight w:val="none"/>
              </w:rPr>
              <w:t>故障响应：安排专门技术人员提供7×24小时维护服务。故障申报60分钟内响应，2小时到达现场，8小时恢复业务（自然灾害等不可抗拒原因除外）。</w:t>
            </w:r>
          </w:p>
        </w:tc>
      </w:tr>
      <w:tr w14:paraId="5C119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21A6502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38185835">
            <w:pPr>
              <w:spacing w:line="360" w:lineRule="auto"/>
              <w:rPr>
                <w:rFonts w:ascii="宋体" w:hAnsi="宋体" w:cs="宋体"/>
                <w:color w:val="auto"/>
                <w:szCs w:val="21"/>
                <w:highlight w:val="none"/>
              </w:rPr>
            </w:pPr>
            <w:r>
              <w:rPr>
                <w:rFonts w:hint="eastAsia" w:ascii="宋体" w:hAnsi="宋体" w:cs="宋体"/>
                <w:color w:val="auto"/>
                <w:szCs w:val="21"/>
                <w:highlight w:val="none"/>
              </w:rPr>
              <w:t>1、因成交供应商施工、网络割接等原因影响宽带网络运行的，须至少提前2工作日通知采购人，并且尽快消除故障、恢复通信线路。</w:t>
            </w:r>
          </w:p>
          <w:p w14:paraId="1A6EF3B4">
            <w:pPr>
              <w:spacing w:line="360" w:lineRule="auto"/>
              <w:rPr>
                <w:rFonts w:ascii="宋体" w:hAnsi="宋体" w:cs="宋体"/>
                <w:color w:val="auto"/>
                <w:szCs w:val="21"/>
                <w:highlight w:val="none"/>
              </w:rPr>
            </w:pPr>
            <w:r>
              <w:rPr>
                <w:rFonts w:hint="eastAsia" w:ascii="宋体" w:hAnsi="宋体" w:cs="宋体"/>
                <w:color w:val="auto"/>
                <w:szCs w:val="21"/>
                <w:highlight w:val="none"/>
              </w:rPr>
              <w:t>2、成交供应商须提供针对本项目为采购人服务的运营商客户经理、技术接口人的联系清单。</w:t>
            </w:r>
          </w:p>
          <w:p w14:paraId="7C65FAB4">
            <w:pPr>
              <w:spacing w:line="360" w:lineRule="auto"/>
              <w:rPr>
                <w:rFonts w:ascii="宋体" w:hAnsi="宋体" w:cs="宋体"/>
                <w:color w:val="auto"/>
                <w:szCs w:val="21"/>
                <w:highlight w:val="none"/>
              </w:rPr>
            </w:pPr>
            <w:r>
              <w:rPr>
                <w:rFonts w:hint="eastAsia" w:ascii="宋体" w:hAnsi="宋体" w:cs="宋体"/>
                <w:color w:val="auto"/>
                <w:szCs w:val="21"/>
                <w:highlight w:val="none"/>
              </w:rPr>
              <w:t>3、在合同有效期内，采购人线路使用地点若发生变更，成交供应商负责免费移装，并及时接通新迁点的租用电路。</w:t>
            </w:r>
          </w:p>
          <w:p w14:paraId="2B08F794">
            <w:pPr>
              <w:spacing w:line="360" w:lineRule="auto"/>
              <w:rPr>
                <w:rFonts w:ascii="宋体" w:hAnsi="宋体" w:cs="宋体"/>
                <w:color w:val="auto"/>
                <w:szCs w:val="21"/>
                <w:highlight w:val="none"/>
              </w:rPr>
            </w:pPr>
            <w:r>
              <w:rPr>
                <w:rFonts w:hint="eastAsia" w:ascii="宋体" w:hAnsi="宋体" w:cs="宋体"/>
                <w:color w:val="auto"/>
                <w:szCs w:val="21"/>
                <w:highlight w:val="none"/>
              </w:rPr>
              <w:t>▲4、供应商必须在响应文件中提供具体的后续服务方案和服务机构的详细情况（包括服务机构的地址、服务人员姓名、联系方式等）。</w:t>
            </w:r>
          </w:p>
          <w:p w14:paraId="59295697">
            <w:pPr>
              <w:pStyle w:val="20"/>
              <w:snapToGrid w:val="0"/>
              <w:spacing w:line="360" w:lineRule="auto"/>
              <w:outlineLvl w:val="0"/>
              <w:rPr>
                <w:rFonts w:hAnsi="宋体" w:cs="宋体"/>
                <w:color w:val="auto"/>
                <w:sz w:val="21"/>
                <w:highlight w:val="none"/>
              </w:rPr>
            </w:pPr>
            <w:r>
              <w:rPr>
                <w:rFonts w:hint="eastAsia" w:hAnsi="宋体" w:cs="宋体"/>
                <w:color w:val="auto"/>
                <w:sz w:val="21"/>
                <w:highlight w:val="none"/>
              </w:rPr>
              <w:t>3、当采购人网络需要扩展或升级时，负责免费提供相应解决方案。</w:t>
            </w:r>
          </w:p>
          <w:p w14:paraId="734DC7A3">
            <w:pPr>
              <w:pStyle w:val="20"/>
              <w:snapToGrid w:val="0"/>
              <w:spacing w:line="360" w:lineRule="auto"/>
              <w:outlineLvl w:val="0"/>
              <w:rPr>
                <w:rFonts w:cs="宋体"/>
                <w:color w:val="auto"/>
                <w:sz w:val="21"/>
                <w:highlight w:val="none"/>
              </w:rPr>
            </w:pPr>
            <w:r>
              <w:rPr>
                <w:rFonts w:hint="eastAsia" w:hAnsi="宋体" w:cs="宋体"/>
                <w:color w:val="auto"/>
                <w:sz w:val="21"/>
                <w:highlight w:val="none"/>
              </w:rPr>
              <w:t>4、每个季度对网络进行一次巡检，检查网络设备和主干光缆的运行情况，提交巡检报告。</w:t>
            </w:r>
          </w:p>
        </w:tc>
      </w:tr>
    </w:tbl>
    <w:p w14:paraId="5C1CF33C">
      <w:pPr>
        <w:rPr>
          <w:rFonts w:ascii="宋体" w:hAnsi="宋体" w:cs="宋体"/>
          <w:b/>
          <w:color w:val="auto"/>
          <w:szCs w:val="21"/>
          <w:highlight w:val="none"/>
        </w:rPr>
      </w:pPr>
    </w:p>
    <w:p w14:paraId="6E06EC26">
      <w:pPr>
        <w:rPr>
          <w:rFonts w:ascii="宋体" w:hAnsi="宋体" w:cs="宋体"/>
          <w:b/>
          <w:color w:val="auto"/>
          <w:szCs w:val="21"/>
          <w:highlight w:val="none"/>
        </w:rPr>
      </w:pPr>
    </w:p>
    <w:p w14:paraId="30343F99">
      <w:pPr>
        <w:rPr>
          <w:rFonts w:ascii="宋体" w:hAnsi="宋体" w:cs="宋体"/>
          <w:bCs/>
          <w:color w:val="auto"/>
          <w:szCs w:val="21"/>
          <w:highlight w:val="none"/>
          <w:u w:val="single"/>
        </w:rPr>
      </w:pPr>
      <w:r>
        <w:rPr>
          <w:rFonts w:hint="eastAsia" w:ascii="宋体" w:hAnsi="宋体" w:cs="宋体"/>
          <w:b/>
          <w:color w:val="auto"/>
          <w:szCs w:val="21"/>
          <w:highlight w:val="none"/>
        </w:rPr>
        <w:t>分标4（无线网络数据流量服务）           采购预算：</w:t>
      </w:r>
      <w:r>
        <w:rPr>
          <w:rFonts w:hint="eastAsia" w:ascii="宋体" w:hAnsi="宋体"/>
          <w:b/>
          <w:bCs/>
          <w:color w:val="auto"/>
          <w:szCs w:val="21"/>
          <w:highlight w:val="none"/>
          <w:u w:val="single"/>
        </w:rPr>
        <w:t xml:space="preserve"> 14.7万元</w:t>
      </w: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179A7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6AA67476">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7EE7381C">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4E54A461">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0C8D3C36">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14:paraId="063AE4DF">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4B593156">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4210F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6E2A7E09">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516" w:type="dxa"/>
            <w:gridSpan w:val="2"/>
            <w:vAlign w:val="center"/>
          </w:tcPr>
          <w:p w14:paraId="1684B9B7">
            <w:pPr>
              <w:tabs>
                <w:tab w:val="left" w:pos="180"/>
                <w:tab w:val="left" w:pos="1620"/>
              </w:tabs>
              <w:spacing w:line="360" w:lineRule="auto"/>
              <w:jc w:val="center"/>
              <w:rPr>
                <w:rFonts w:ascii="宋体" w:hAnsi="宋体" w:cs="宋体"/>
                <w:color w:val="auto"/>
                <w:szCs w:val="21"/>
                <w:highlight w:val="none"/>
              </w:rPr>
            </w:pPr>
            <w:r>
              <w:rPr>
                <w:rFonts w:hint="eastAsia"/>
                <w:color w:val="auto"/>
                <w:highlight w:val="none"/>
              </w:rPr>
              <w:t>移动办公无线网络数据流量服务</w:t>
            </w:r>
          </w:p>
        </w:tc>
        <w:tc>
          <w:tcPr>
            <w:tcW w:w="1050" w:type="dxa"/>
            <w:vAlign w:val="center"/>
          </w:tcPr>
          <w:p w14:paraId="10E1B04F">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1077" w:type="dxa"/>
            <w:vAlign w:val="center"/>
          </w:tcPr>
          <w:p w14:paraId="59F87B4A">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信息传输业</w:t>
            </w:r>
          </w:p>
        </w:tc>
        <w:tc>
          <w:tcPr>
            <w:tcW w:w="5416" w:type="dxa"/>
          </w:tcPr>
          <w:p w14:paraId="485ECB4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一、350张物联网卡资费服务</w:t>
            </w:r>
          </w:p>
          <w:p w14:paraId="221582D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1、无线网络覆盖范围达全区各主要城区和农村乡镇地区；</w:t>
            </w:r>
          </w:p>
          <w:p w14:paraId="7C1BE05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2、无线网络数据卡要求关闭语音、开通注销、欠费免停（拆）机业务。要求保证计费准确，提供《电信设备计费性能检测合格证》。</w:t>
            </w:r>
          </w:p>
          <w:p w14:paraId="7C2C260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3、所提供的通讯卡支持GSM、TD-SCDMA、TDD-LTE（频率1880-1900MHz、2320-2370 MHz、2575-2635 MHz）制式的网络，要求保证网络稳定。</w:t>
            </w:r>
          </w:p>
          <w:p w14:paraId="3AC0F956">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4、每月每张卡可享受40G流量。</w:t>
            </w:r>
          </w:p>
          <w:p w14:paraId="041A746E">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5、提供综办平台对接服务。</w:t>
            </w:r>
          </w:p>
        </w:tc>
      </w:tr>
      <w:tr w14:paraId="5BBA8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left w:val="single" w:color="auto" w:sz="4" w:space="0"/>
              <w:bottom w:val="single" w:color="auto" w:sz="4" w:space="0"/>
              <w:right w:val="single" w:color="auto" w:sz="4" w:space="0"/>
            </w:tcBorders>
          </w:tcPr>
          <w:p w14:paraId="11EE1CDD">
            <w:pPr>
              <w:spacing w:line="360" w:lineRule="auto"/>
              <w:rPr>
                <w:rFonts w:ascii="宋体" w:hAnsi="宋体" w:cs="宋体"/>
                <w:color w:val="auto"/>
                <w:szCs w:val="21"/>
                <w:highlight w:val="none"/>
              </w:rPr>
            </w:pPr>
            <w:r>
              <w:rPr>
                <w:rFonts w:hint="eastAsia" w:ascii="宋体" w:hAnsi="宋体" w:cs="宋体"/>
                <w:b/>
                <w:color w:val="auto"/>
                <w:szCs w:val="21"/>
                <w:highlight w:val="none"/>
              </w:rPr>
              <w:t>商务要求</w:t>
            </w:r>
          </w:p>
        </w:tc>
      </w:tr>
      <w:tr w14:paraId="04FA8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6B240ABD">
            <w:pPr>
              <w:spacing w:line="360" w:lineRule="auto"/>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2DF5B7D6">
            <w:pPr>
              <w:pStyle w:val="15"/>
              <w:rPr>
                <w:color w:val="auto"/>
                <w:highlight w:val="none"/>
              </w:rPr>
            </w:pPr>
            <w:r>
              <w:rPr>
                <w:rFonts w:hint="eastAsia" w:ascii="宋体" w:hAnsi="宋体" w:cs="宋体"/>
                <w:color w:val="auto"/>
                <w:szCs w:val="21"/>
                <w:highlight w:val="none"/>
              </w:rPr>
              <w:t>报价包括完成本项目“项目需求”中所列所有内容产生的所有成本、项目验收、税金、利润等费用，采购人不再另行支付任何费用。</w:t>
            </w:r>
          </w:p>
        </w:tc>
      </w:tr>
      <w:tr w14:paraId="4BF25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2D0F0B1B">
            <w:pPr>
              <w:spacing w:line="360" w:lineRule="auto"/>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lang w:eastAsia="zh-CN"/>
              </w:rPr>
              <w:t>合同履约期限</w:t>
            </w:r>
            <w:r>
              <w:rPr>
                <w:rFonts w:hint="eastAsia" w:ascii="宋体" w:hAnsi="宋体" w:cs="宋体"/>
                <w:color w:val="auto"/>
                <w:szCs w:val="21"/>
                <w:highlight w:val="none"/>
              </w:rPr>
              <w:t>和地点</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0D2F32F8">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合同履约期限</w:t>
            </w:r>
            <w:r>
              <w:rPr>
                <w:rFonts w:hint="eastAsia" w:ascii="宋体" w:hAnsi="宋体" w:cs="宋体"/>
                <w:color w:val="auto"/>
                <w:szCs w:val="21"/>
                <w:highlight w:val="none"/>
              </w:rPr>
              <w:t>：本项目服务期限为合同签订后，自2025年6月27日起一年；</w:t>
            </w:r>
          </w:p>
          <w:p w14:paraId="4C7175D4">
            <w:pPr>
              <w:pStyle w:val="15"/>
              <w:rPr>
                <w:color w:val="auto"/>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地点：</w:t>
            </w:r>
            <w:r>
              <w:rPr>
                <w:rFonts w:hint="eastAsia" w:ascii="宋体" w:hAnsi="宋体" w:cs="宋体"/>
                <w:color w:val="auto"/>
                <w:szCs w:val="21"/>
                <w:highlight w:val="none"/>
              </w:rPr>
              <w:t>采购人指定地点。</w:t>
            </w:r>
          </w:p>
        </w:tc>
      </w:tr>
      <w:tr w14:paraId="54C08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26D9F6FD">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付款条件</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1A2F812B">
            <w:pPr>
              <w:spacing w:line="360" w:lineRule="auto"/>
              <w:rPr>
                <w:rFonts w:ascii="宋体" w:hAnsi="宋体" w:cs="宋体"/>
                <w:bCs/>
                <w:color w:val="auto"/>
                <w:szCs w:val="22"/>
                <w:highlight w:val="none"/>
              </w:rPr>
            </w:pPr>
            <w:r>
              <w:rPr>
                <w:rFonts w:hint="eastAsia" w:ascii="宋体" w:hAnsi="宋体" w:cs="宋体"/>
                <w:color w:val="auto"/>
                <w:szCs w:val="21"/>
                <w:highlight w:val="none"/>
              </w:rPr>
              <w:t>签定合同后15个工作日内采购人支付40%的合同款给成交供应商，提供服务试运行合格后支付50%的合同款给成交供应商，成交供应商所提交的服务经采购人初步验收合格后，采购人支付剩余10%的合同款给成交供应商。供应商自收到合同款之日起15个工作日内开具发票给采购人。</w:t>
            </w:r>
          </w:p>
        </w:tc>
      </w:tr>
      <w:tr w14:paraId="28AD2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4B4882C7">
            <w:pPr>
              <w:spacing w:line="400" w:lineRule="exact"/>
              <w:jc w:val="center"/>
              <w:rPr>
                <w:rFonts w:ascii="宋体" w:hAnsi="宋体"/>
                <w:color w:val="auto"/>
                <w:szCs w:val="21"/>
                <w:highlight w:val="none"/>
              </w:rPr>
            </w:pPr>
            <w:r>
              <w:rPr>
                <w:rFonts w:hint="eastAsia" w:ascii="宋体" w:hAnsi="宋体" w:cs="宋体"/>
                <w:color w:val="auto"/>
                <w:szCs w:val="21"/>
                <w:highlight w:val="none"/>
                <w:lang w:eastAsia="zh-CN"/>
              </w:rPr>
              <w:t>后续服务</w:t>
            </w:r>
            <w:r>
              <w:rPr>
                <w:rFonts w:hint="eastAsia" w:ascii="宋体" w:hAnsi="宋体" w:cs="宋体"/>
                <w:color w:val="auto"/>
                <w:szCs w:val="21"/>
                <w:highlight w:val="none"/>
              </w:rPr>
              <w:t>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64D6D3F9">
            <w:pPr>
              <w:spacing w:line="360" w:lineRule="auto"/>
              <w:rPr>
                <w:rFonts w:ascii="宋体" w:hAnsi="宋体" w:cs="宋体"/>
                <w:color w:val="auto"/>
                <w:szCs w:val="21"/>
                <w:highlight w:val="none"/>
              </w:rPr>
            </w:pPr>
            <w:r>
              <w:rPr>
                <w:rFonts w:hint="eastAsia" w:ascii="宋体" w:hAnsi="宋体" w:cs="宋体"/>
                <w:color w:val="auto"/>
                <w:szCs w:val="21"/>
                <w:highlight w:val="none"/>
              </w:rPr>
              <w:t>1、免费上门提供安装调试服务和业务开通；</w:t>
            </w:r>
          </w:p>
          <w:p w14:paraId="0944FFCD">
            <w:pPr>
              <w:spacing w:line="360" w:lineRule="auto"/>
              <w:rPr>
                <w:rFonts w:ascii="宋体" w:hAnsi="宋体" w:cs="宋体"/>
                <w:color w:val="auto"/>
                <w:szCs w:val="21"/>
                <w:highlight w:val="none"/>
              </w:rPr>
            </w:pPr>
            <w:r>
              <w:rPr>
                <w:rFonts w:hint="eastAsia" w:ascii="宋体" w:hAnsi="宋体" w:cs="宋体"/>
                <w:color w:val="auto"/>
                <w:szCs w:val="21"/>
                <w:highlight w:val="none"/>
              </w:rPr>
              <w:t>2、提供 7x24小时热线电话服务,并提供多个故障申告途径及绿色通道，在使用期间，无论节假日、周末假期都能做到全方位响应，并指定专人负责上门受理调试日常维护及平时协助采购人维护检测等工作；</w:t>
            </w:r>
          </w:p>
          <w:p w14:paraId="3DB22134">
            <w:pPr>
              <w:spacing w:line="360" w:lineRule="auto"/>
              <w:rPr>
                <w:rFonts w:ascii="宋体" w:hAnsi="宋体" w:cs="宋体"/>
                <w:color w:val="auto"/>
                <w:szCs w:val="21"/>
                <w:highlight w:val="none"/>
              </w:rPr>
            </w:pPr>
            <w:r>
              <w:rPr>
                <w:rFonts w:hint="eastAsia" w:ascii="宋体" w:hAnsi="宋体" w:cs="宋体"/>
                <w:color w:val="auto"/>
                <w:szCs w:val="21"/>
                <w:highlight w:val="none"/>
              </w:rPr>
              <w:t>3、因成交供应商施工、网络割接等原因影响宽带网络运行的，须至少提前2工作日通知用户，并且尽快消除故障、恢复通信线路。</w:t>
            </w:r>
          </w:p>
          <w:p w14:paraId="38B6CA60">
            <w:pPr>
              <w:spacing w:line="360" w:lineRule="auto"/>
              <w:rPr>
                <w:rFonts w:ascii="宋体" w:hAnsi="宋体" w:cs="宋体"/>
                <w:color w:val="auto"/>
                <w:szCs w:val="21"/>
                <w:highlight w:val="none"/>
              </w:rPr>
            </w:pPr>
            <w:r>
              <w:rPr>
                <w:rFonts w:hint="eastAsia" w:ascii="宋体" w:hAnsi="宋体" w:cs="宋体"/>
                <w:color w:val="auto"/>
                <w:szCs w:val="21"/>
                <w:highlight w:val="none"/>
              </w:rPr>
              <w:t>4、提供7×24小时运维服务，短信线路或接口出现问题时4小时内恢复。</w:t>
            </w:r>
          </w:p>
          <w:p w14:paraId="3B99A1EC">
            <w:pPr>
              <w:spacing w:line="360" w:lineRule="auto"/>
              <w:rPr>
                <w:rFonts w:ascii="宋体" w:hAnsi="宋体" w:cs="宋体"/>
                <w:color w:val="auto"/>
                <w:szCs w:val="21"/>
                <w:highlight w:val="none"/>
              </w:rPr>
            </w:pPr>
            <w:r>
              <w:rPr>
                <w:rFonts w:hint="eastAsia" w:ascii="宋体" w:hAnsi="宋体" w:cs="宋体"/>
                <w:color w:val="auto"/>
                <w:szCs w:val="21"/>
                <w:highlight w:val="none"/>
              </w:rPr>
              <w:t>5、成交供应商须提供针对本项目为采购人服务的运营商客户经理、技术接口人的联系清单。</w:t>
            </w:r>
          </w:p>
          <w:p w14:paraId="38457722">
            <w:pPr>
              <w:spacing w:line="360" w:lineRule="auto"/>
              <w:rPr>
                <w:color w:val="auto"/>
                <w:highlight w:val="none"/>
              </w:rPr>
            </w:pPr>
            <w:r>
              <w:rPr>
                <w:rFonts w:hint="eastAsia" w:ascii="宋体" w:hAnsi="宋体" w:cs="宋体"/>
                <w:color w:val="auto"/>
                <w:szCs w:val="21"/>
                <w:highlight w:val="none"/>
              </w:rPr>
              <w:t>▲6、供应商必须在响应文件中提供具体的</w:t>
            </w:r>
            <w:r>
              <w:rPr>
                <w:rFonts w:hint="eastAsia" w:ascii="宋体" w:hAnsi="宋体" w:cs="宋体"/>
                <w:color w:val="auto"/>
                <w:szCs w:val="21"/>
                <w:highlight w:val="none"/>
                <w:lang w:eastAsia="zh-CN"/>
              </w:rPr>
              <w:t>后续服务</w:t>
            </w:r>
            <w:r>
              <w:rPr>
                <w:rFonts w:hint="eastAsia" w:ascii="宋体" w:hAnsi="宋体" w:cs="宋体"/>
                <w:color w:val="auto"/>
                <w:szCs w:val="21"/>
                <w:highlight w:val="none"/>
              </w:rPr>
              <w:t>方案和服务机构的详细情况（包括服务机构的地址、服务人员姓名、联系方式等）。</w:t>
            </w:r>
          </w:p>
        </w:tc>
      </w:tr>
      <w:tr w14:paraId="3FAF1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5AE9267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70C66FCB">
            <w:pPr>
              <w:pStyle w:val="20"/>
              <w:snapToGrid w:val="0"/>
              <w:spacing w:line="360" w:lineRule="auto"/>
              <w:outlineLvl w:val="0"/>
              <w:rPr>
                <w:rFonts w:cs="宋体"/>
                <w:color w:val="auto"/>
                <w:sz w:val="21"/>
                <w:highlight w:val="none"/>
              </w:rPr>
            </w:pPr>
            <w:r>
              <w:rPr>
                <w:rFonts w:hint="eastAsia" w:hAnsi="宋体" w:cs="宋体"/>
                <w:color w:val="auto"/>
                <w:sz w:val="21"/>
                <w:highlight w:val="none"/>
              </w:rPr>
              <w:t>1、在租用期限内，成交供应商应严格遵守《中华人民共和国电信条例》，维护双方权益，应按工信部颁布的《电信服务标准》的电路质量要求，保证采购人租用线路畅通及安全使用。</w:t>
            </w:r>
          </w:p>
        </w:tc>
      </w:tr>
    </w:tbl>
    <w:p w14:paraId="543B2C8E">
      <w:pPr>
        <w:rPr>
          <w:rFonts w:ascii="宋体" w:hAnsi="宋体" w:cs="宋体"/>
          <w:color w:val="auto"/>
          <w:highlight w:val="none"/>
        </w:rPr>
      </w:pPr>
    </w:p>
    <w:p w14:paraId="1F325A6C">
      <w:pPr>
        <w:rPr>
          <w:rFonts w:ascii="宋体" w:hAnsi="宋体" w:cs="宋体"/>
          <w:color w:val="auto"/>
          <w:highlight w:val="none"/>
        </w:rPr>
      </w:pPr>
    </w:p>
    <w:p w14:paraId="5E6B61E8">
      <w:pPr>
        <w:spacing w:line="360" w:lineRule="auto"/>
        <w:ind w:firstLine="310" w:firstLineChars="147"/>
        <w:jc w:val="left"/>
        <w:rPr>
          <w:rFonts w:ascii="宋体" w:hAnsi="宋体" w:cs="宋体"/>
          <w:bCs/>
          <w:color w:val="auto"/>
          <w:szCs w:val="21"/>
          <w:highlight w:val="none"/>
          <w:u w:val="single"/>
        </w:rPr>
      </w:pPr>
      <w:r>
        <w:rPr>
          <w:rFonts w:hint="eastAsia" w:ascii="宋体" w:hAnsi="宋体" w:cs="宋体"/>
          <w:b/>
          <w:color w:val="auto"/>
          <w:szCs w:val="21"/>
          <w:highlight w:val="none"/>
        </w:rPr>
        <w:t>分标5（多媒体教室及会商室运维服务）         采购预算：</w:t>
      </w:r>
      <w:r>
        <w:rPr>
          <w:rFonts w:hint="eastAsia" w:ascii="宋体" w:hAnsi="宋体"/>
          <w:b/>
          <w:bCs/>
          <w:color w:val="auto"/>
          <w:szCs w:val="21"/>
          <w:highlight w:val="none"/>
          <w:u w:val="single"/>
        </w:rPr>
        <w:t xml:space="preserve"> 15.04万元</w:t>
      </w: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3126E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45543552">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049460E4">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381C0F43">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0F720C12">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14:paraId="2058687C">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4F5A4EC5">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38643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6318FFC9">
            <w:pPr>
              <w:tabs>
                <w:tab w:val="left" w:pos="1418"/>
              </w:tabs>
              <w:autoSpaceDE w:val="0"/>
              <w:autoSpaceDN w:val="0"/>
              <w:adjustRightInd w:val="0"/>
              <w:spacing w:before="50" w:after="50" w:line="400" w:lineRule="exact"/>
              <w:jc w:val="center"/>
              <w:rPr>
                <w:rFonts w:ascii="宋体" w:hAns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6D8E0748">
            <w:pPr>
              <w:tabs>
                <w:tab w:val="left" w:pos="1418"/>
              </w:tabs>
              <w:autoSpaceDE w:val="0"/>
              <w:autoSpaceDN w:val="0"/>
              <w:adjustRightInd w:val="0"/>
              <w:spacing w:before="50" w:after="50" w:line="400" w:lineRule="exact"/>
              <w:jc w:val="center"/>
              <w:rPr>
                <w:rFonts w:ascii="宋体" w:hAnsi="宋体" w:cs="宋体"/>
                <w:color w:val="auto"/>
                <w:szCs w:val="21"/>
                <w:highlight w:val="none"/>
              </w:rPr>
            </w:pPr>
            <w:r>
              <w:rPr>
                <w:rFonts w:ascii="宋体" w:hAnsi="宋体" w:cs="宋体"/>
                <w:color w:val="auto"/>
                <w:szCs w:val="21"/>
                <w:highlight w:val="none"/>
              </w:rPr>
              <w:t>多媒体教室运维服务</w:t>
            </w:r>
          </w:p>
        </w:tc>
        <w:tc>
          <w:tcPr>
            <w:tcW w:w="1050" w:type="dxa"/>
            <w:vAlign w:val="center"/>
          </w:tcPr>
          <w:p w14:paraId="1C44DF3E">
            <w:pPr>
              <w:tabs>
                <w:tab w:val="left" w:pos="1418"/>
              </w:tabs>
              <w:autoSpaceDE w:val="0"/>
              <w:autoSpaceDN w:val="0"/>
              <w:adjustRightInd w:val="0"/>
              <w:spacing w:before="50" w:after="50" w:line="400" w:lineRule="exact"/>
              <w:jc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项</w:t>
            </w:r>
          </w:p>
        </w:tc>
        <w:tc>
          <w:tcPr>
            <w:tcW w:w="1077" w:type="dxa"/>
            <w:vAlign w:val="center"/>
          </w:tcPr>
          <w:p w14:paraId="5C35EA0D">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软件和信息技术服务业</w:t>
            </w:r>
          </w:p>
        </w:tc>
        <w:tc>
          <w:tcPr>
            <w:tcW w:w="5416" w:type="dxa"/>
            <w:vAlign w:val="center"/>
          </w:tcPr>
          <w:p w14:paraId="46499D98">
            <w:pPr>
              <w:spacing w:before="251" w:line="400" w:lineRule="exact"/>
              <w:ind w:left="121"/>
              <w:rPr>
                <w:color w:val="auto"/>
                <w:highlight w:val="none"/>
              </w:rPr>
            </w:pPr>
            <w:r>
              <w:rPr>
                <w:color w:val="auto"/>
                <w:highlight w:val="none"/>
              </w:rPr>
              <w:t>一、对多媒体教室提供设备、系统的故障诊断、远程支持、设备巡检，系统联调、网络优化等服务，在会议召开前提供会议系统及扩声系统调试、会议召开过程提供全程工程师现场保障服务，对所有设备进行每月巡检1次，出具巡检报告，提供激光投影维保、升降器维修和维护、 电脑配件更换、监控系统</w:t>
            </w:r>
            <w:r>
              <w:rPr>
                <w:rFonts w:hint="eastAsia"/>
                <w:color w:val="auto"/>
                <w:highlight w:val="none"/>
              </w:rPr>
              <w:t>维修</w:t>
            </w:r>
            <w:r>
              <w:rPr>
                <w:color w:val="auto"/>
                <w:highlight w:val="none"/>
              </w:rPr>
              <w:t>等服务</w:t>
            </w:r>
            <w:r>
              <w:rPr>
                <w:rFonts w:hint="eastAsia"/>
                <w:color w:val="auto"/>
                <w:highlight w:val="none"/>
              </w:rPr>
              <w:t>。</w:t>
            </w:r>
          </w:p>
          <w:p w14:paraId="61F836DB">
            <w:pPr>
              <w:spacing w:before="251" w:line="320" w:lineRule="exact"/>
              <w:ind w:left="121"/>
              <w:rPr>
                <w:color w:val="auto"/>
                <w:highlight w:val="none"/>
              </w:rPr>
            </w:pPr>
            <w:r>
              <w:rPr>
                <w:color w:val="auto"/>
                <w:highlight w:val="none"/>
              </w:rPr>
              <w:t>二、维护内容：</w:t>
            </w:r>
          </w:p>
          <w:p w14:paraId="1A1CD554">
            <w:pPr>
              <w:spacing w:before="251" w:line="320" w:lineRule="exact"/>
              <w:ind w:left="119"/>
              <w:rPr>
                <w:color w:val="auto"/>
                <w:highlight w:val="none"/>
              </w:rPr>
            </w:pPr>
            <w:r>
              <w:rPr>
                <w:color w:val="auto"/>
                <w:highlight w:val="none"/>
              </w:rPr>
              <w:t>（1）多媒体教室翻转器维护，系统升级，部分故障机维修更换。</w:t>
            </w:r>
          </w:p>
          <w:p w14:paraId="19FD73EA">
            <w:pPr>
              <w:spacing w:before="251" w:line="320" w:lineRule="exact"/>
              <w:ind w:left="119"/>
              <w:rPr>
                <w:color w:val="auto"/>
                <w:highlight w:val="none"/>
              </w:rPr>
            </w:pPr>
            <w:r>
              <w:rPr>
                <w:color w:val="auto"/>
                <w:highlight w:val="none"/>
              </w:rPr>
              <w:t>（2）多媒体教室及会商室计算机维护.系统升级。部分故障计算机更换配件。</w:t>
            </w:r>
          </w:p>
          <w:p w14:paraId="6ADAEE68">
            <w:pPr>
              <w:spacing w:before="251" w:line="320" w:lineRule="exact"/>
              <w:ind w:left="119"/>
              <w:rPr>
                <w:color w:val="auto"/>
                <w:highlight w:val="none"/>
              </w:rPr>
            </w:pPr>
            <w:r>
              <w:rPr>
                <w:color w:val="auto"/>
                <w:highlight w:val="none"/>
              </w:rPr>
              <w:t>（3）鼠标键盘更换和维护。</w:t>
            </w:r>
          </w:p>
          <w:p w14:paraId="385C51E3">
            <w:pPr>
              <w:spacing w:before="251" w:line="320" w:lineRule="exact"/>
              <w:ind w:left="119"/>
              <w:rPr>
                <w:color w:val="auto"/>
                <w:highlight w:val="none"/>
              </w:rPr>
            </w:pPr>
            <w:r>
              <w:rPr>
                <w:color w:val="auto"/>
                <w:highlight w:val="none"/>
              </w:rPr>
              <w:t>（4）投影机升降器维修和维护。</w:t>
            </w:r>
          </w:p>
          <w:p w14:paraId="1FB84A9B">
            <w:pPr>
              <w:spacing w:before="251" w:line="320" w:lineRule="exact"/>
              <w:ind w:left="119"/>
              <w:rPr>
                <w:color w:val="auto"/>
                <w:highlight w:val="none"/>
              </w:rPr>
            </w:pPr>
            <w:r>
              <w:rPr>
                <w:color w:val="auto"/>
                <w:highlight w:val="none"/>
              </w:rPr>
              <w:t>（5）会议室音响系统巡检和维护。</w:t>
            </w:r>
          </w:p>
          <w:p w14:paraId="689C413B">
            <w:pPr>
              <w:spacing w:before="251" w:line="320" w:lineRule="exact"/>
              <w:ind w:left="119"/>
              <w:rPr>
                <w:color w:val="auto"/>
                <w:highlight w:val="none"/>
              </w:rPr>
            </w:pPr>
            <w:r>
              <w:rPr>
                <w:color w:val="auto"/>
                <w:highlight w:val="none"/>
              </w:rPr>
              <w:t>（6）监控系统维修维护。</w:t>
            </w:r>
          </w:p>
          <w:p w14:paraId="285CE090">
            <w:pPr>
              <w:spacing w:before="251" w:line="320" w:lineRule="exact"/>
              <w:ind w:left="119"/>
              <w:rPr>
                <w:color w:val="auto"/>
                <w:highlight w:val="none"/>
              </w:rPr>
            </w:pPr>
            <w:r>
              <w:rPr>
                <w:color w:val="auto"/>
                <w:highlight w:val="none"/>
              </w:rPr>
              <w:t>（7）拼接屏、投影机等显示设备维护。</w:t>
            </w:r>
          </w:p>
          <w:p w14:paraId="68F4DC25">
            <w:pPr>
              <w:spacing w:before="251" w:line="320" w:lineRule="exact"/>
              <w:ind w:left="119"/>
              <w:rPr>
                <w:color w:val="auto"/>
                <w:highlight w:val="none"/>
              </w:rPr>
            </w:pPr>
            <w:r>
              <w:rPr>
                <w:color w:val="auto"/>
                <w:highlight w:val="none"/>
              </w:rPr>
              <w:t>（8）</w:t>
            </w:r>
            <w:r>
              <w:rPr>
                <w:rFonts w:hint="eastAsia"/>
                <w:color w:val="auto"/>
                <w:highlight w:val="none"/>
              </w:rPr>
              <w:t>录播系统</w:t>
            </w:r>
            <w:r>
              <w:rPr>
                <w:color w:val="auto"/>
                <w:highlight w:val="none"/>
              </w:rPr>
              <w:t>巡检和维护</w:t>
            </w:r>
          </w:p>
          <w:p w14:paraId="639EFF28">
            <w:pPr>
              <w:spacing w:before="251" w:line="320" w:lineRule="exact"/>
              <w:ind w:left="119"/>
              <w:rPr>
                <w:color w:val="auto"/>
                <w:highlight w:val="none"/>
              </w:rPr>
            </w:pPr>
            <w:r>
              <w:rPr>
                <w:color w:val="auto"/>
                <w:highlight w:val="none"/>
              </w:rPr>
              <w:t>（</w:t>
            </w:r>
            <w:r>
              <w:rPr>
                <w:rFonts w:hint="eastAsia"/>
                <w:color w:val="auto"/>
                <w:highlight w:val="none"/>
              </w:rPr>
              <w:t>9</w:t>
            </w:r>
            <w:r>
              <w:rPr>
                <w:color w:val="auto"/>
                <w:highlight w:val="none"/>
              </w:rPr>
              <w:t>）</w:t>
            </w:r>
            <w:r>
              <w:rPr>
                <w:rFonts w:hint="eastAsia"/>
                <w:color w:val="auto"/>
                <w:highlight w:val="none"/>
              </w:rPr>
              <w:t>消防系统每个月定期巡检和维护</w:t>
            </w:r>
          </w:p>
          <w:p w14:paraId="291FBD94">
            <w:pPr>
              <w:spacing w:before="251" w:line="320" w:lineRule="exact"/>
              <w:ind w:left="119"/>
              <w:rPr>
                <w:color w:val="auto"/>
                <w:highlight w:val="none"/>
              </w:rPr>
            </w:pPr>
            <w:r>
              <w:rPr>
                <w:color w:val="auto"/>
                <w:highlight w:val="none"/>
              </w:rPr>
              <w:t>（</w:t>
            </w:r>
            <w:r>
              <w:rPr>
                <w:rFonts w:hint="eastAsia"/>
                <w:color w:val="auto"/>
                <w:highlight w:val="none"/>
              </w:rPr>
              <w:t>10</w:t>
            </w:r>
            <w:r>
              <w:rPr>
                <w:color w:val="auto"/>
                <w:highlight w:val="none"/>
              </w:rPr>
              <w:t>）大型会议1名设备维护人员驻会场保障服务。</w:t>
            </w:r>
          </w:p>
          <w:p w14:paraId="453E0BFD">
            <w:pPr>
              <w:spacing w:before="251" w:line="400" w:lineRule="exact"/>
              <w:ind w:left="121"/>
              <w:rPr>
                <w:color w:val="auto"/>
                <w:highlight w:val="none"/>
              </w:rPr>
            </w:pPr>
            <w:r>
              <w:rPr>
                <w:color w:val="auto"/>
                <w:highlight w:val="none"/>
              </w:rPr>
              <w:t>三、巡检服务：供应商每个月定期进行巡检和维护，发现问题及时处理，并做好巡检记录。</w:t>
            </w:r>
          </w:p>
          <w:p w14:paraId="3BB69CD7">
            <w:pPr>
              <w:spacing w:before="251" w:line="400" w:lineRule="exact"/>
              <w:ind w:left="121"/>
              <w:rPr>
                <w:color w:val="auto"/>
                <w:highlight w:val="none"/>
              </w:rPr>
            </w:pPr>
            <w:r>
              <w:rPr>
                <w:color w:val="auto"/>
                <w:highlight w:val="none"/>
              </w:rPr>
              <w:t>四、设备的维修及升级等服务</w:t>
            </w:r>
          </w:p>
          <w:p w14:paraId="71B149F6">
            <w:pPr>
              <w:spacing w:before="251" w:line="400" w:lineRule="exact"/>
              <w:ind w:left="121"/>
              <w:rPr>
                <w:color w:val="auto"/>
                <w:highlight w:val="none"/>
              </w:rPr>
            </w:pPr>
            <w:r>
              <w:rPr>
                <w:color w:val="auto"/>
                <w:highlight w:val="none"/>
              </w:rPr>
              <w:t>供应商应在本地准备充足的备品、备件，保障相关备用设施设备能够按需正常 启用。维护范围内设备部件发生故障，根据服务时限要求更换备件（备件为原 厂生产）</w:t>
            </w:r>
            <w:r>
              <w:rPr>
                <w:rFonts w:hint="eastAsia"/>
                <w:color w:val="auto"/>
                <w:highlight w:val="none"/>
              </w:rPr>
              <w:t>，</w:t>
            </w:r>
            <w:r>
              <w:rPr>
                <w:color w:val="auto"/>
                <w:highlight w:val="none"/>
              </w:rPr>
              <w:t>并负责解决在维护期内发生的、与上述设备相关的支撑软件系统（如： 操作系统）的故障。若在规定的时间内不能及时更换，应在现场采取应急措施，确保系统正常运行。</w:t>
            </w:r>
          </w:p>
          <w:p w14:paraId="50A6ABD3">
            <w:pPr>
              <w:spacing w:before="251" w:line="400" w:lineRule="exact"/>
              <w:ind w:left="121"/>
              <w:rPr>
                <w:color w:val="auto"/>
                <w:highlight w:val="none"/>
              </w:rPr>
            </w:pPr>
            <w:r>
              <w:rPr>
                <w:color w:val="auto"/>
                <w:highlight w:val="none"/>
              </w:rPr>
              <w:t>（1）翻转器维修保养，包括翻转器的电源模块、控制主板、机械装置等部件的维保。</w:t>
            </w:r>
          </w:p>
          <w:p w14:paraId="7B37DFB1">
            <w:pPr>
              <w:spacing w:before="251" w:line="400" w:lineRule="exact"/>
              <w:ind w:left="121"/>
              <w:rPr>
                <w:color w:val="auto"/>
                <w:highlight w:val="none"/>
              </w:rPr>
            </w:pPr>
            <w:r>
              <w:rPr>
                <w:color w:val="auto"/>
                <w:highlight w:val="none"/>
              </w:rPr>
              <w:t>（2）对翻转器故障设备进行新件替换，在新件替换上，可采用同等性能的新品进行替换。</w:t>
            </w:r>
          </w:p>
          <w:p w14:paraId="5A929EA0">
            <w:pPr>
              <w:spacing w:before="251" w:line="400" w:lineRule="exact"/>
              <w:ind w:left="121"/>
              <w:rPr>
                <w:color w:val="auto"/>
                <w:highlight w:val="none"/>
              </w:rPr>
            </w:pPr>
            <w:r>
              <w:rPr>
                <w:color w:val="auto"/>
                <w:highlight w:val="none"/>
              </w:rPr>
              <w:t>（3）计算机设备维修保养，包括计算机设备的操作系统、电源、主板、内存、硬盘、屏幕等部件的维保。</w:t>
            </w:r>
          </w:p>
          <w:p w14:paraId="17590D7C">
            <w:pPr>
              <w:spacing w:before="251" w:line="400" w:lineRule="exact"/>
              <w:ind w:left="121"/>
              <w:rPr>
                <w:color w:val="auto"/>
                <w:highlight w:val="none"/>
              </w:rPr>
            </w:pPr>
            <w:r>
              <w:rPr>
                <w:color w:val="auto"/>
                <w:highlight w:val="none"/>
              </w:rPr>
              <w:t>（4）计算机设备故障设备进行新件替换，在新件替换上，可采用同等性能的新品进行替换。</w:t>
            </w:r>
          </w:p>
          <w:p w14:paraId="706CAB8D">
            <w:pPr>
              <w:spacing w:before="251" w:line="400" w:lineRule="exact"/>
              <w:ind w:left="121"/>
              <w:rPr>
                <w:color w:val="auto"/>
                <w:highlight w:val="none"/>
              </w:rPr>
            </w:pPr>
            <w:r>
              <w:rPr>
                <w:color w:val="auto"/>
                <w:highlight w:val="none"/>
              </w:rPr>
              <w:t>（5）监控设备维修保养，包括监控的主机、摄像头、 电源、硬盘等部件的维保。</w:t>
            </w:r>
          </w:p>
          <w:p w14:paraId="33C0B4DC">
            <w:pPr>
              <w:spacing w:before="251" w:line="400" w:lineRule="exact"/>
              <w:ind w:left="121"/>
              <w:rPr>
                <w:color w:val="auto"/>
                <w:highlight w:val="none"/>
              </w:rPr>
            </w:pPr>
            <w:r>
              <w:rPr>
                <w:color w:val="auto"/>
                <w:highlight w:val="none"/>
              </w:rPr>
              <w:t>（6）对监控设备故障设备进行新件替换，在新件替换上，可采用同等性能的新品进行替换。</w:t>
            </w:r>
          </w:p>
          <w:p w14:paraId="563FF9D6">
            <w:pPr>
              <w:spacing w:before="251" w:line="400" w:lineRule="exact"/>
              <w:ind w:left="121"/>
              <w:rPr>
                <w:color w:val="auto"/>
                <w:highlight w:val="none"/>
              </w:rPr>
            </w:pPr>
            <w:r>
              <w:rPr>
                <w:color w:val="auto"/>
                <w:highlight w:val="none"/>
              </w:rPr>
              <w:t>（7）升级服务：采购人需要设备进行新购产品升级时，提供产品的安装及调试服务。</w:t>
            </w:r>
          </w:p>
          <w:p w14:paraId="0AD596E1">
            <w:pPr>
              <w:spacing w:before="251" w:line="400" w:lineRule="exact"/>
              <w:ind w:left="121"/>
              <w:rPr>
                <w:color w:val="auto"/>
                <w:highlight w:val="none"/>
              </w:rPr>
            </w:pPr>
            <w:r>
              <w:rPr>
                <w:color w:val="auto"/>
                <w:highlight w:val="none"/>
              </w:rPr>
              <w:t>（8）</w:t>
            </w:r>
            <w:r>
              <w:rPr>
                <w:rFonts w:hint="eastAsia"/>
                <w:color w:val="auto"/>
                <w:highlight w:val="none"/>
              </w:rPr>
              <w:t>录播设备维护，确保视频图像质量完好、流畅、清晰；对录播设备损坏的配件给予维修或更换。</w:t>
            </w:r>
          </w:p>
          <w:p w14:paraId="3E18BF0E">
            <w:pPr>
              <w:spacing w:before="251" w:line="400" w:lineRule="exact"/>
              <w:ind w:left="121"/>
              <w:rPr>
                <w:color w:val="auto"/>
                <w:highlight w:val="none"/>
              </w:rPr>
            </w:pPr>
            <w:r>
              <w:rPr>
                <w:rFonts w:hint="eastAsia"/>
                <w:color w:val="auto"/>
                <w:highlight w:val="none"/>
              </w:rPr>
              <w:t>（9）对火灾报警系统部件检修、更换和储气瓶相关部位的检修等。</w:t>
            </w:r>
          </w:p>
          <w:p w14:paraId="13668C6E">
            <w:pPr>
              <w:spacing w:before="251" w:line="400" w:lineRule="exact"/>
              <w:ind w:left="121"/>
              <w:rPr>
                <w:color w:val="auto"/>
                <w:highlight w:val="none"/>
              </w:rPr>
            </w:pPr>
            <w:r>
              <w:rPr>
                <w:rFonts w:hint="eastAsia"/>
                <w:color w:val="auto"/>
                <w:highlight w:val="none"/>
              </w:rPr>
              <w:t>（10）</w:t>
            </w:r>
            <w:r>
              <w:rPr>
                <w:color w:val="auto"/>
                <w:highlight w:val="none"/>
              </w:rPr>
              <w:t>提供技术支撑服务，当采购人因业务需要，需要对所维护设备进行迁移、安装、升级、配置时，提供相关的技术服务。</w:t>
            </w:r>
          </w:p>
          <w:p w14:paraId="26C229B2">
            <w:pPr>
              <w:autoSpaceDE w:val="0"/>
              <w:autoSpaceDN w:val="0"/>
              <w:adjustRightInd w:val="0"/>
              <w:spacing w:before="50" w:after="50" w:line="400" w:lineRule="exact"/>
              <w:ind w:firstLine="420"/>
              <w:jc w:val="left"/>
              <w:rPr>
                <w:rFonts w:ascii="宋体" w:hAnsi="宋体" w:cs="宋体"/>
                <w:color w:val="auto"/>
                <w:szCs w:val="21"/>
                <w:highlight w:val="none"/>
              </w:rPr>
            </w:pPr>
            <w:r>
              <w:rPr>
                <w:color w:val="auto"/>
                <w:highlight w:val="none"/>
              </w:rPr>
              <w:t>五、维保设备见文件附表</w:t>
            </w:r>
            <w:r>
              <w:rPr>
                <w:rFonts w:hint="eastAsia"/>
                <w:color w:val="auto"/>
                <w:highlight w:val="none"/>
                <w:lang w:val="en-US" w:eastAsia="zh-CN"/>
              </w:rPr>
              <w:t>4</w:t>
            </w:r>
            <w:r>
              <w:rPr>
                <w:color w:val="auto"/>
                <w:highlight w:val="none"/>
              </w:rPr>
              <w:t>《多媒体教室及会商室设备维保清单》多媒体教室内容。</w:t>
            </w:r>
          </w:p>
        </w:tc>
      </w:tr>
      <w:tr w14:paraId="307C0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26E7A1E5">
            <w:pPr>
              <w:tabs>
                <w:tab w:val="left" w:pos="1418"/>
              </w:tabs>
              <w:autoSpaceDE w:val="0"/>
              <w:autoSpaceDN w:val="0"/>
              <w:adjustRightInd w:val="0"/>
              <w:spacing w:before="50" w:after="50"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516" w:type="dxa"/>
            <w:gridSpan w:val="2"/>
            <w:vAlign w:val="center"/>
          </w:tcPr>
          <w:p w14:paraId="16E04C51">
            <w:pPr>
              <w:tabs>
                <w:tab w:val="left" w:pos="1418"/>
              </w:tabs>
              <w:autoSpaceDE w:val="0"/>
              <w:autoSpaceDN w:val="0"/>
              <w:adjustRightInd w:val="0"/>
              <w:spacing w:before="50" w:after="50" w:line="400" w:lineRule="exact"/>
              <w:jc w:val="center"/>
              <w:rPr>
                <w:rFonts w:ascii="宋体" w:hAnsi="宋体" w:cs="宋体"/>
                <w:color w:val="auto"/>
                <w:szCs w:val="21"/>
                <w:highlight w:val="none"/>
              </w:rPr>
            </w:pPr>
            <w:r>
              <w:rPr>
                <w:rFonts w:ascii="宋体" w:hAnsi="宋体" w:cs="宋体"/>
                <w:color w:val="auto"/>
                <w:szCs w:val="21"/>
                <w:highlight w:val="none"/>
              </w:rPr>
              <w:t>二楼会商室运维服务</w:t>
            </w:r>
          </w:p>
        </w:tc>
        <w:tc>
          <w:tcPr>
            <w:tcW w:w="1050" w:type="dxa"/>
            <w:vAlign w:val="center"/>
          </w:tcPr>
          <w:p w14:paraId="133CD9BA">
            <w:pPr>
              <w:tabs>
                <w:tab w:val="left" w:pos="1418"/>
              </w:tabs>
              <w:autoSpaceDE w:val="0"/>
              <w:autoSpaceDN w:val="0"/>
              <w:adjustRightInd w:val="0"/>
              <w:spacing w:before="50" w:after="50" w:line="400" w:lineRule="exact"/>
              <w:jc w:val="center"/>
              <w:rPr>
                <w:rFonts w:ascii="宋体" w:hAnsi="宋体" w:cs="宋体"/>
                <w:color w:val="auto"/>
                <w:szCs w:val="21"/>
                <w:highlight w:val="none"/>
              </w:rPr>
            </w:pPr>
            <w:r>
              <w:rPr>
                <w:rFonts w:ascii="宋体" w:hAnsi="宋体" w:cs="宋体"/>
                <w:color w:val="auto"/>
                <w:szCs w:val="21"/>
                <w:highlight w:val="none"/>
              </w:rPr>
              <w:t>1 项</w:t>
            </w:r>
          </w:p>
        </w:tc>
        <w:tc>
          <w:tcPr>
            <w:tcW w:w="1077" w:type="dxa"/>
            <w:vAlign w:val="center"/>
          </w:tcPr>
          <w:p w14:paraId="10083368">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软件和信息技术服务业</w:t>
            </w:r>
          </w:p>
        </w:tc>
        <w:tc>
          <w:tcPr>
            <w:tcW w:w="5416" w:type="dxa"/>
            <w:vAlign w:val="center"/>
          </w:tcPr>
          <w:p w14:paraId="32143603">
            <w:pPr>
              <w:spacing w:before="251" w:line="400" w:lineRule="exact"/>
              <w:ind w:left="121"/>
              <w:rPr>
                <w:color w:val="auto"/>
                <w:highlight w:val="none"/>
              </w:rPr>
            </w:pPr>
            <w:r>
              <w:rPr>
                <w:color w:val="auto"/>
                <w:highlight w:val="none"/>
              </w:rPr>
              <w:t>一、对二楼会商室运维服务提供设备、系统的故障诊断、远程支持、设备巡检、系统联调、网络优化等服务，在会议召开前提供会议系统及扩声系统调试等全 程工程师现场保障服务，对所有设备进行每月巡检1次，出具巡检报告，提供拼接屏维保、音响系统维护、电脑配件更换、灯具更换等服务。</w:t>
            </w:r>
          </w:p>
          <w:p w14:paraId="2B7933E2">
            <w:pPr>
              <w:spacing w:before="251" w:line="320" w:lineRule="exact"/>
              <w:ind w:left="119"/>
              <w:rPr>
                <w:color w:val="auto"/>
                <w:highlight w:val="none"/>
              </w:rPr>
            </w:pPr>
            <w:r>
              <w:rPr>
                <w:color w:val="auto"/>
                <w:highlight w:val="none"/>
              </w:rPr>
              <w:t>二、维护内容：</w:t>
            </w:r>
          </w:p>
          <w:p w14:paraId="64AA5C00">
            <w:pPr>
              <w:spacing w:before="251" w:line="320" w:lineRule="exact"/>
              <w:ind w:left="119"/>
              <w:rPr>
                <w:color w:val="auto"/>
                <w:highlight w:val="none"/>
              </w:rPr>
            </w:pPr>
            <w:r>
              <w:rPr>
                <w:color w:val="auto"/>
                <w:highlight w:val="none"/>
              </w:rPr>
              <w:t>（1）会商室翻转器维护，系统升级，部分故障机维修更换。</w:t>
            </w:r>
          </w:p>
          <w:p w14:paraId="2011D58B">
            <w:pPr>
              <w:spacing w:before="251" w:line="320" w:lineRule="exact"/>
              <w:ind w:left="119"/>
              <w:rPr>
                <w:color w:val="auto"/>
                <w:highlight w:val="none"/>
              </w:rPr>
            </w:pPr>
            <w:r>
              <w:rPr>
                <w:color w:val="auto"/>
                <w:highlight w:val="none"/>
              </w:rPr>
              <w:t>（2）会商室计算机维护.系统升级。部分故障计算机更换配件。</w:t>
            </w:r>
          </w:p>
          <w:p w14:paraId="03C88E30">
            <w:pPr>
              <w:spacing w:before="251" w:line="320" w:lineRule="exact"/>
              <w:ind w:left="119"/>
              <w:rPr>
                <w:color w:val="auto"/>
                <w:highlight w:val="none"/>
              </w:rPr>
            </w:pPr>
            <w:r>
              <w:rPr>
                <w:color w:val="auto"/>
                <w:highlight w:val="none"/>
              </w:rPr>
              <w:t>（3）鼠标键盘更换和维护。</w:t>
            </w:r>
          </w:p>
          <w:p w14:paraId="52B7ECF1">
            <w:pPr>
              <w:spacing w:before="251" w:line="320" w:lineRule="exact"/>
              <w:ind w:left="119"/>
              <w:rPr>
                <w:color w:val="auto"/>
                <w:highlight w:val="none"/>
              </w:rPr>
            </w:pPr>
            <w:r>
              <w:rPr>
                <w:color w:val="auto"/>
                <w:highlight w:val="none"/>
              </w:rPr>
              <w:t>（4）拼接屏维修和维护。</w:t>
            </w:r>
          </w:p>
          <w:p w14:paraId="4B2B10A4">
            <w:pPr>
              <w:spacing w:before="251" w:line="320" w:lineRule="exact"/>
              <w:ind w:left="119"/>
              <w:rPr>
                <w:color w:val="auto"/>
                <w:highlight w:val="none"/>
              </w:rPr>
            </w:pPr>
            <w:r>
              <w:rPr>
                <w:color w:val="auto"/>
                <w:highlight w:val="none"/>
              </w:rPr>
              <w:t>（5）会议室音响系统巡检和维护。</w:t>
            </w:r>
          </w:p>
          <w:p w14:paraId="725FC553">
            <w:pPr>
              <w:spacing w:before="251" w:line="320" w:lineRule="exact"/>
              <w:ind w:left="119"/>
              <w:rPr>
                <w:color w:val="auto"/>
                <w:highlight w:val="none"/>
              </w:rPr>
            </w:pPr>
            <w:r>
              <w:rPr>
                <w:color w:val="auto"/>
                <w:highlight w:val="none"/>
              </w:rPr>
              <w:t>（6）监控系统维修维护。</w:t>
            </w:r>
          </w:p>
          <w:p w14:paraId="507ABFDF">
            <w:pPr>
              <w:spacing w:before="251" w:line="320" w:lineRule="exact"/>
              <w:ind w:left="119"/>
              <w:rPr>
                <w:color w:val="auto"/>
                <w:highlight w:val="none"/>
              </w:rPr>
            </w:pPr>
            <w:r>
              <w:rPr>
                <w:color w:val="auto"/>
                <w:highlight w:val="none"/>
              </w:rPr>
              <w:t>（7）显示设备维护、投影机等。</w:t>
            </w:r>
          </w:p>
          <w:p w14:paraId="080D36FB">
            <w:pPr>
              <w:spacing w:before="251" w:line="320" w:lineRule="exact"/>
              <w:ind w:left="119"/>
              <w:rPr>
                <w:color w:val="auto"/>
                <w:highlight w:val="none"/>
              </w:rPr>
            </w:pPr>
            <w:r>
              <w:rPr>
                <w:color w:val="auto"/>
                <w:highlight w:val="none"/>
              </w:rPr>
              <w:t>（8）每个月定期巡检和维护。</w:t>
            </w:r>
          </w:p>
          <w:p w14:paraId="1FC44126">
            <w:pPr>
              <w:spacing w:before="251" w:line="320" w:lineRule="exact"/>
              <w:ind w:left="119"/>
              <w:rPr>
                <w:color w:val="auto"/>
                <w:highlight w:val="none"/>
              </w:rPr>
            </w:pPr>
            <w:r>
              <w:rPr>
                <w:color w:val="auto"/>
                <w:highlight w:val="none"/>
              </w:rPr>
              <w:t>（9）大型会议1名设备维护人员驻会场保障服务。</w:t>
            </w:r>
          </w:p>
          <w:p w14:paraId="62C70A78">
            <w:pPr>
              <w:spacing w:before="251" w:line="320" w:lineRule="exact"/>
              <w:ind w:left="119"/>
              <w:rPr>
                <w:color w:val="auto"/>
                <w:highlight w:val="none"/>
              </w:rPr>
            </w:pPr>
            <w:r>
              <w:rPr>
                <w:color w:val="auto"/>
                <w:highlight w:val="none"/>
              </w:rPr>
              <w:t>三、设备的维修及升级等服务</w:t>
            </w:r>
          </w:p>
          <w:p w14:paraId="3A2E59C8">
            <w:pPr>
              <w:spacing w:before="251" w:line="400" w:lineRule="exact"/>
              <w:ind w:left="121"/>
              <w:rPr>
                <w:color w:val="auto"/>
                <w:highlight w:val="none"/>
              </w:rPr>
            </w:pPr>
            <w:r>
              <w:rPr>
                <w:color w:val="auto"/>
                <w:highlight w:val="none"/>
              </w:rPr>
              <w:t>供应商应在本地准备充足的备品、备件，保障相关备用设施设备能够按需正常启用。维护范围内设备部件发生故障，根据服务时限要求更换备件（备件为原厂生产）</w:t>
            </w:r>
            <w:r>
              <w:rPr>
                <w:rFonts w:hint="eastAsia"/>
                <w:color w:val="auto"/>
                <w:highlight w:val="none"/>
              </w:rPr>
              <w:t>，</w:t>
            </w:r>
            <w:r>
              <w:rPr>
                <w:color w:val="auto"/>
                <w:highlight w:val="none"/>
              </w:rPr>
              <w:t>并负责解决在维护期内发生的、与上述设备相关的支撑软件系统（如： 操作系统）的故障。若在规定的时间内不能及时更换，应在现场采取应急措施，确保系统正常运行。</w:t>
            </w:r>
          </w:p>
          <w:p w14:paraId="5DC9C5C1">
            <w:pPr>
              <w:spacing w:before="251" w:line="400" w:lineRule="exact"/>
              <w:ind w:left="121"/>
              <w:rPr>
                <w:color w:val="auto"/>
                <w:highlight w:val="none"/>
              </w:rPr>
            </w:pPr>
            <w:r>
              <w:rPr>
                <w:color w:val="auto"/>
                <w:highlight w:val="none"/>
              </w:rPr>
              <w:t>（1）计算机设备维修保养，包括计算机设备的操作系统、电源、主板、内存、硬盘、屏幕等部件的维保。</w:t>
            </w:r>
          </w:p>
          <w:p w14:paraId="7F8BE015">
            <w:pPr>
              <w:spacing w:before="251" w:line="400" w:lineRule="exact"/>
              <w:ind w:left="121"/>
              <w:rPr>
                <w:color w:val="auto"/>
                <w:highlight w:val="none"/>
              </w:rPr>
            </w:pPr>
            <w:r>
              <w:rPr>
                <w:color w:val="auto"/>
                <w:highlight w:val="none"/>
              </w:rPr>
              <w:t>（2）计算机设备故障设备进行新件替换，在新件替换上，可采用同等性能的新品进行替换。</w:t>
            </w:r>
          </w:p>
          <w:p w14:paraId="04FCB8A6">
            <w:pPr>
              <w:spacing w:before="251" w:line="400" w:lineRule="exact"/>
              <w:ind w:left="121"/>
              <w:rPr>
                <w:color w:val="auto"/>
                <w:highlight w:val="none"/>
              </w:rPr>
            </w:pPr>
            <w:r>
              <w:rPr>
                <w:color w:val="auto"/>
                <w:highlight w:val="none"/>
              </w:rPr>
              <w:t>（3）监控设备维修保养，包括监控的主机、摄像头、 电源、硬盘等部件的维保。</w:t>
            </w:r>
          </w:p>
          <w:p w14:paraId="4C672E8B">
            <w:pPr>
              <w:spacing w:before="251" w:line="400" w:lineRule="exact"/>
              <w:ind w:left="121"/>
              <w:rPr>
                <w:color w:val="auto"/>
                <w:highlight w:val="none"/>
              </w:rPr>
            </w:pPr>
            <w:r>
              <w:rPr>
                <w:color w:val="auto"/>
                <w:highlight w:val="none"/>
              </w:rPr>
              <w:t>（4）对拼接屏设备故障设备进行维修或更新替换。</w:t>
            </w:r>
          </w:p>
          <w:p w14:paraId="074C3E11">
            <w:pPr>
              <w:spacing w:before="251" w:line="400" w:lineRule="exact"/>
              <w:ind w:left="121"/>
              <w:rPr>
                <w:color w:val="auto"/>
                <w:highlight w:val="none"/>
              </w:rPr>
            </w:pPr>
            <w:r>
              <w:rPr>
                <w:color w:val="auto"/>
                <w:highlight w:val="none"/>
              </w:rPr>
              <w:t>（5）升级服务：采购人需要设备进行新购产品升级时，提供产品的安装及调试服务。</w:t>
            </w:r>
          </w:p>
          <w:p w14:paraId="1943DB19">
            <w:pPr>
              <w:spacing w:before="251" w:line="400" w:lineRule="exact"/>
              <w:ind w:left="121"/>
              <w:rPr>
                <w:color w:val="auto"/>
                <w:highlight w:val="none"/>
              </w:rPr>
            </w:pPr>
            <w:r>
              <w:rPr>
                <w:color w:val="auto"/>
                <w:highlight w:val="none"/>
              </w:rPr>
              <w:t>（6）提供技术支撑服务，当采购人因业务需要，需要对所维护设备进行迁移、安装、升级、配置时，提供相关的技术服务。</w:t>
            </w:r>
          </w:p>
          <w:p w14:paraId="5495DE7A">
            <w:pPr>
              <w:autoSpaceDE w:val="0"/>
              <w:autoSpaceDN w:val="0"/>
              <w:adjustRightInd w:val="0"/>
              <w:spacing w:before="50" w:after="50" w:line="400" w:lineRule="exact"/>
              <w:ind w:firstLine="420"/>
              <w:jc w:val="left"/>
              <w:rPr>
                <w:rFonts w:ascii="宋体" w:hAnsi="宋体" w:cs="宋体"/>
                <w:color w:val="auto"/>
                <w:szCs w:val="21"/>
                <w:highlight w:val="none"/>
              </w:rPr>
            </w:pPr>
            <w:r>
              <w:rPr>
                <w:rFonts w:asciiTheme="minorHAnsi" w:hAnsiTheme="minorHAnsi" w:eastAsiaTheme="minorEastAsia" w:cstheme="minorBidi"/>
                <w:color w:val="auto"/>
                <w:highlight w:val="none"/>
              </w:rPr>
              <w:t>四、维保设备见文件附表</w:t>
            </w:r>
            <w:r>
              <w:rPr>
                <w:rFonts w:hint="eastAsia" w:asciiTheme="minorHAnsi" w:hAnsiTheme="minorHAnsi" w:eastAsiaTheme="minorEastAsia" w:cstheme="minorBidi"/>
                <w:color w:val="auto"/>
                <w:highlight w:val="none"/>
              </w:rPr>
              <w:t>4</w:t>
            </w:r>
            <w:r>
              <w:rPr>
                <w:rFonts w:asciiTheme="minorHAnsi" w:hAnsiTheme="minorHAnsi" w:eastAsiaTheme="minorEastAsia" w:cstheme="minorBidi"/>
                <w:color w:val="auto"/>
                <w:highlight w:val="none"/>
              </w:rPr>
              <w:t>《多媒体教室及会商室设备维保清单》二楼会商室内容</w:t>
            </w:r>
            <w:r>
              <w:rPr>
                <w:rFonts w:hint="eastAsia" w:asciiTheme="minorHAnsi" w:hAnsiTheme="minorHAnsi" w:eastAsiaTheme="minorEastAsia" w:cstheme="minorBidi"/>
                <w:color w:val="auto"/>
                <w:highlight w:val="none"/>
              </w:rPr>
              <w:t>。</w:t>
            </w:r>
          </w:p>
        </w:tc>
      </w:tr>
      <w:tr w14:paraId="6B76B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0E197BEB">
            <w:pPr>
              <w:tabs>
                <w:tab w:val="left" w:pos="1418"/>
              </w:tabs>
              <w:autoSpaceDE w:val="0"/>
              <w:autoSpaceDN w:val="0"/>
              <w:adjustRightInd w:val="0"/>
              <w:spacing w:before="50" w:after="50"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516" w:type="dxa"/>
            <w:gridSpan w:val="2"/>
            <w:vAlign w:val="center"/>
          </w:tcPr>
          <w:p w14:paraId="2F3F0514">
            <w:pPr>
              <w:tabs>
                <w:tab w:val="left" w:pos="1418"/>
              </w:tabs>
              <w:autoSpaceDE w:val="0"/>
              <w:autoSpaceDN w:val="0"/>
              <w:adjustRightInd w:val="0"/>
              <w:spacing w:before="50" w:after="50" w:line="400" w:lineRule="exact"/>
              <w:jc w:val="center"/>
              <w:rPr>
                <w:rFonts w:ascii="宋体" w:hAnsi="宋体" w:cs="宋体"/>
                <w:color w:val="auto"/>
                <w:szCs w:val="21"/>
                <w:highlight w:val="none"/>
              </w:rPr>
            </w:pPr>
            <w:r>
              <w:rPr>
                <w:rFonts w:ascii="宋体" w:hAnsi="宋体" w:cs="宋体"/>
                <w:color w:val="auto"/>
                <w:szCs w:val="21"/>
                <w:highlight w:val="none"/>
              </w:rPr>
              <w:t>三楼会商室运维服务</w:t>
            </w:r>
          </w:p>
        </w:tc>
        <w:tc>
          <w:tcPr>
            <w:tcW w:w="1050" w:type="dxa"/>
            <w:vAlign w:val="center"/>
          </w:tcPr>
          <w:p w14:paraId="115B7EF6">
            <w:pPr>
              <w:tabs>
                <w:tab w:val="left" w:pos="1418"/>
              </w:tabs>
              <w:autoSpaceDE w:val="0"/>
              <w:autoSpaceDN w:val="0"/>
              <w:adjustRightInd w:val="0"/>
              <w:spacing w:before="50" w:after="50" w:line="400" w:lineRule="exact"/>
              <w:jc w:val="center"/>
              <w:rPr>
                <w:rFonts w:ascii="宋体" w:hAnsi="宋体" w:cs="宋体"/>
                <w:color w:val="auto"/>
                <w:szCs w:val="21"/>
                <w:highlight w:val="none"/>
              </w:rPr>
            </w:pPr>
            <w:r>
              <w:rPr>
                <w:rFonts w:ascii="宋体" w:hAnsi="宋体" w:cs="宋体"/>
                <w:color w:val="auto"/>
                <w:szCs w:val="21"/>
                <w:highlight w:val="none"/>
              </w:rPr>
              <w:t>1 项</w:t>
            </w:r>
          </w:p>
        </w:tc>
        <w:tc>
          <w:tcPr>
            <w:tcW w:w="1077" w:type="dxa"/>
            <w:vAlign w:val="center"/>
          </w:tcPr>
          <w:p w14:paraId="75625FA1">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软件和信息技术服务业</w:t>
            </w:r>
          </w:p>
        </w:tc>
        <w:tc>
          <w:tcPr>
            <w:tcW w:w="5416" w:type="dxa"/>
            <w:vAlign w:val="center"/>
          </w:tcPr>
          <w:p w14:paraId="5E52D310">
            <w:pPr>
              <w:spacing w:before="251" w:line="400" w:lineRule="exact"/>
              <w:ind w:left="121"/>
              <w:rPr>
                <w:color w:val="auto"/>
                <w:highlight w:val="none"/>
              </w:rPr>
            </w:pPr>
            <w:r>
              <w:rPr>
                <w:color w:val="auto"/>
                <w:highlight w:val="none"/>
              </w:rPr>
              <w:t>一、对三楼会商室运维服务提供设备、系统的故障诊断、远程支持、设备巡检， 系统联调、网络优化等服务，在会议召开前提供会议系统及扩声系统调试等全 程工程师现场保障服务，对所有设备进行每月巡检1次，出具巡检报告，提供拼接屏维保、音响系统维护、电脑配件更换、灯具更换等服务。</w:t>
            </w:r>
          </w:p>
          <w:p w14:paraId="4FE1587A">
            <w:pPr>
              <w:spacing w:before="251" w:line="320" w:lineRule="exact"/>
              <w:ind w:left="119"/>
              <w:rPr>
                <w:color w:val="auto"/>
                <w:highlight w:val="none"/>
              </w:rPr>
            </w:pPr>
            <w:r>
              <w:rPr>
                <w:color w:val="auto"/>
                <w:highlight w:val="none"/>
              </w:rPr>
              <w:t>二、维护内容：</w:t>
            </w:r>
          </w:p>
          <w:p w14:paraId="3DE0CF47">
            <w:pPr>
              <w:spacing w:before="251" w:line="320" w:lineRule="exact"/>
              <w:ind w:left="119"/>
              <w:rPr>
                <w:color w:val="auto"/>
                <w:highlight w:val="none"/>
              </w:rPr>
            </w:pPr>
            <w:r>
              <w:rPr>
                <w:color w:val="auto"/>
                <w:highlight w:val="none"/>
              </w:rPr>
              <w:t>（1）会商室计算机维护.系统升级。部分故障计算机更换配件。</w:t>
            </w:r>
          </w:p>
          <w:p w14:paraId="0A26F380">
            <w:pPr>
              <w:spacing w:before="251" w:line="320" w:lineRule="exact"/>
              <w:ind w:left="119"/>
              <w:rPr>
                <w:color w:val="auto"/>
                <w:highlight w:val="none"/>
              </w:rPr>
            </w:pPr>
            <w:r>
              <w:rPr>
                <w:color w:val="auto"/>
                <w:highlight w:val="none"/>
              </w:rPr>
              <w:t>（2）鼠标键盘更换和维护。</w:t>
            </w:r>
          </w:p>
          <w:p w14:paraId="183226C2">
            <w:pPr>
              <w:spacing w:before="251" w:line="320" w:lineRule="exact"/>
              <w:ind w:left="119"/>
              <w:rPr>
                <w:color w:val="auto"/>
                <w:highlight w:val="none"/>
              </w:rPr>
            </w:pPr>
            <w:r>
              <w:rPr>
                <w:color w:val="auto"/>
                <w:highlight w:val="none"/>
              </w:rPr>
              <w:t>（3）会议室音响系统巡检和维护。</w:t>
            </w:r>
          </w:p>
          <w:p w14:paraId="51E653A6">
            <w:pPr>
              <w:spacing w:before="251" w:line="320" w:lineRule="exact"/>
              <w:ind w:left="119"/>
              <w:rPr>
                <w:color w:val="auto"/>
                <w:highlight w:val="none"/>
              </w:rPr>
            </w:pPr>
            <w:r>
              <w:rPr>
                <w:color w:val="auto"/>
                <w:highlight w:val="none"/>
              </w:rPr>
              <w:t>（4）显示设备维护，拼接屏等。</w:t>
            </w:r>
          </w:p>
          <w:p w14:paraId="279ADD1F">
            <w:pPr>
              <w:spacing w:before="251" w:line="320" w:lineRule="exact"/>
              <w:ind w:left="119"/>
              <w:rPr>
                <w:color w:val="auto"/>
                <w:highlight w:val="none"/>
              </w:rPr>
            </w:pPr>
            <w:r>
              <w:rPr>
                <w:color w:val="auto"/>
                <w:highlight w:val="none"/>
              </w:rPr>
              <w:t>（7）每个月定期巡检和维护。</w:t>
            </w:r>
          </w:p>
          <w:p w14:paraId="3C164A1A">
            <w:pPr>
              <w:spacing w:before="251" w:line="320" w:lineRule="exact"/>
              <w:ind w:left="119"/>
              <w:rPr>
                <w:color w:val="auto"/>
                <w:highlight w:val="none"/>
              </w:rPr>
            </w:pPr>
            <w:r>
              <w:rPr>
                <w:color w:val="auto"/>
                <w:highlight w:val="none"/>
              </w:rPr>
              <w:t>（8）大型会议1名设备维护人员驻会场保障服务。</w:t>
            </w:r>
          </w:p>
          <w:p w14:paraId="6B3D198B">
            <w:pPr>
              <w:spacing w:before="251" w:line="320" w:lineRule="exact"/>
              <w:ind w:left="119"/>
              <w:rPr>
                <w:color w:val="auto"/>
                <w:highlight w:val="none"/>
              </w:rPr>
            </w:pPr>
            <w:r>
              <w:rPr>
                <w:color w:val="auto"/>
                <w:highlight w:val="none"/>
              </w:rPr>
              <w:t>三、设备的维修及升级等服务</w:t>
            </w:r>
          </w:p>
          <w:p w14:paraId="5F5CFAED">
            <w:pPr>
              <w:spacing w:before="251" w:line="400" w:lineRule="exact"/>
              <w:ind w:left="121"/>
              <w:rPr>
                <w:color w:val="auto"/>
                <w:highlight w:val="none"/>
              </w:rPr>
            </w:pPr>
            <w:r>
              <w:rPr>
                <w:color w:val="auto"/>
                <w:highlight w:val="none"/>
              </w:rPr>
              <w:t>供应商应在本地准备充足的备品、备件，保障相关备用设施设备能够按需正常 启用。维护范围内设备部件发生故障，根据服务时限要求更换备件（备件为原 厂生产）</w:t>
            </w:r>
            <w:r>
              <w:rPr>
                <w:rFonts w:hint="eastAsia"/>
                <w:color w:val="auto"/>
                <w:highlight w:val="none"/>
              </w:rPr>
              <w:t>，</w:t>
            </w:r>
            <w:r>
              <w:rPr>
                <w:color w:val="auto"/>
                <w:highlight w:val="none"/>
              </w:rPr>
              <w:t>并负责解决在维护期内发生的、与上述设备相关的支撑软件系统（如： 操作系统）的故障。若在规定的时间内不能及时更换，应在现场采取应急措施，确保系统正常运行。</w:t>
            </w:r>
          </w:p>
          <w:p w14:paraId="3890FF59">
            <w:pPr>
              <w:spacing w:before="251" w:line="400" w:lineRule="exact"/>
              <w:ind w:left="121"/>
              <w:rPr>
                <w:color w:val="auto"/>
                <w:highlight w:val="none"/>
              </w:rPr>
            </w:pPr>
            <w:r>
              <w:rPr>
                <w:color w:val="auto"/>
                <w:highlight w:val="none"/>
              </w:rPr>
              <w:t>（1）翻转器维修保养，包括翻转器的电源模块、控制主板、机械装置等部件的维保。</w:t>
            </w:r>
          </w:p>
          <w:p w14:paraId="1C3C9196">
            <w:pPr>
              <w:spacing w:before="251" w:line="400" w:lineRule="exact"/>
              <w:ind w:left="121"/>
              <w:rPr>
                <w:color w:val="auto"/>
                <w:highlight w:val="none"/>
              </w:rPr>
            </w:pPr>
            <w:r>
              <w:rPr>
                <w:color w:val="auto"/>
                <w:highlight w:val="none"/>
              </w:rPr>
              <w:t>（2）对翻转器故障设备进行新件替换，在新件替换上，可采用同等性能的新品进行替换。</w:t>
            </w:r>
          </w:p>
          <w:p w14:paraId="184705BC">
            <w:pPr>
              <w:spacing w:before="251" w:line="400" w:lineRule="exact"/>
              <w:ind w:left="121"/>
              <w:rPr>
                <w:color w:val="auto"/>
                <w:highlight w:val="none"/>
              </w:rPr>
            </w:pPr>
            <w:r>
              <w:rPr>
                <w:color w:val="auto"/>
                <w:highlight w:val="none"/>
              </w:rPr>
              <w:t>（3）计算机设备维修保养，包括计算机设备的操作系统、电源、主板、内存、</w:t>
            </w:r>
          </w:p>
          <w:p w14:paraId="58C771CE">
            <w:pPr>
              <w:spacing w:before="251" w:line="400" w:lineRule="exact"/>
              <w:ind w:left="121"/>
              <w:rPr>
                <w:color w:val="auto"/>
                <w:highlight w:val="none"/>
              </w:rPr>
            </w:pPr>
            <w:r>
              <w:rPr>
                <w:color w:val="auto"/>
                <w:highlight w:val="none"/>
              </w:rPr>
              <w:t>硬盘、屏幕等部件的维保。</w:t>
            </w:r>
          </w:p>
          <w:p w14:paraId="40D26F1E">
            <w:pPr>
              <w:spacing w:before="251" w:line="400" w:lineRule="exact"/>
              <w:ind w:left="121"/>
              <w:rPr>
                <w:color w:val="auto"/>
                <w:highlight w:val="none"/>
              </w:rPr>
            </w:pPr>
            <w:r>
              <w:rPr>
                <w:color w:val="auto"/>
                <w:highlight w:val="none"/>
              </w:rPr>
              <w:t>（4）计算机设备故障设备进行新件替换，在新件替换上，可采用同等性能的新品进行替换。</w:t>
            </w:r>
          </w:p>
          <w:p w14:paraId="48E68296">
            <w:pPr>
              <w:spacing w:before="251" w:line="400" w:lineRule="exact"/>
              <w:ind w:left="121"/>
              <w:rPr>
                <w:color w:val="auto"/>
                <w:highlight w:val="none"/>
              </w:rPr>
            </w:pPr>
            <w:r>
              <w:rPr>
                <w:color w:val="auto"/>
                <w:highlight w:val="none"/>
              </w:rPr>
              <w:t>（5）监控设备维修保养，包括监控的主机、摄像头、 电源、硬盘等部件的维保。</w:t>
            </w:r>
          </w:p>
          <w:p w14:paraId="4DA1CBB2">
            <w:pPr>
              <w:spacing w:before="251" w:line="400" w:lineRule="exact"/>
              <w:ind w:left="121"/>
              <w:rPr>
                <w:color w:val="auto"/>
                <w:highlight w:val="none"/>
              </w:rPr>
            </w:pPr>
            <w:r>
              <w:rPr>
                <w:color w:val="auto"/>
                <w:highlight w:val="none"/>
              </w:rPr>
              <w:t>（6）对拼接屏设备故障设备进行维修或更新替换。</w:t>
            </w:r>
          </w:p>
          <w:p w14:paraId="31790BAE">
            <w:pPr>
              <w:spacing w:before="251" w:line="400" w:lineRule="exact"/>
              <w:ind w:left="121"/>
              <w:rPr>
                <w:color w:val="auto"/>
                <w:highlight w:val="none"/>
              </w:rPr>
            </w:pPr>
            <w:r>
              <w:rPr>
                <w:color w:val="auto"/>
                <w:highlight w:val="none"/>
              </w:rPr>
              <w:t>（7）升级服务：采购人需要设备进行新购产品升级时，提供产品的安装及调试服务。</w:t>
            </w:r>
          </w:p>
          <w:p w14:paraId="5BFF34C5">
            <w:pPr>
              <w:spacing w:before="251" w:line="400" w:lineRule="exact"/>
              <w:ind w:left="121"/>
              <w:rPr>
                <w:color w:val="auto"/>
                <w:highlight w:val="none"/>
              </w:rPr>
            </w:pPr>
            <w:r>
              <w:rPr>
                <w:color w:val="auto"/>
                <w:highlight w:val="none"/>
              </w:rPr>
              <w:t>（8）提供技术支撑服务，当采购人因业务需要，需要对所维护设备进行迁移、安装、升级、配置时，提供相关的技术服务。</w:t>
            </w:r>
          </w:p>
          <w:p w14:paraId="5793C46E">
            <w:pPr>
              <w:autoSpaceDE w:val="0"/>
              <w:autoSpaceDN w:val="0"/>
              <w:adjustRightInd w:val="0"/>
              <w:spacing w:before="50" w:after="50" w:line="400" w:lineRule="exact"/>
              <w:ind w:firstLine="420"/>
              <w:jc w:val="left"/>
              <w:rPr>
                <w:rFonts w:ascii="宋体" w:hAnsi="宋体" w:cs="宋体"/>
                <w:color w:val="auto"/>
                <w:szCs w:val="21"/>
                <w:highlight w:val="none"/>
              </w:rPr>
            </w:pPr>
            <w:r>
              <w:rPr>
                <w:color w:val="auto"/>
                <w:highlight w:val="none"/>
              </w:rPr>
              <w:t>三、维保设备见文件附表</w:t>
            </w:r>
            <w:r>
              <w:rPr>
                <w:rFonts w:hint="eastAsia"/>
                <w:color w:val="auto"/>
                <w:highlight w:val="none"/>
              </w:rPr>
              <w:t>4</w:t>
            </w:r>
            <w:r>
              <w:rPr>
                <w:color w:val="auto"/>
                <w:highlight w:val="none"/>
              </w:rPr>
              <w:t>《多媒体教室及会商室设备维保清单》三楼会商室内容</w:t>
            </w:r>
            <w:r>
              <w:rPr>
                <w:rFonts w:hint="eastAsia"/>
                <w:color w:val="auto"/>
                <w:highlight w:val="none"/>
              </w:rPr>
              <w:t>。</w:t>
            </w:r>
          </w:p>
        </w:tc>
      </w:tr>
      <w:tr w14:paraId="487FB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left w:val="single" w:color="auto" w:sz="4" w:space="0"/>
              <w:bottom w:val="single" w:color="auto" w:sz="4" w:space="0"/>
              <w:right w:val="single" w:color="auto" w:sz="4" w:space="0"/>
            </w:tcBorders>
          </w:tcPr>
          <w:p w14:paraId="2D2DCE91">
            <w:pPr>
              <w:spacing w:line="360" w:lineRule="auto"/>
              <w:rPr>
                <w:rFonts w:ascii="宋体" w:hAnsi="宋体" w:cs="宋体"/>
                <w:color w:val="auto"/>
                <w:szCs w:val="21"/>
                <w:highlight w:val="none"/>
              </w:rPr>
            </w:pPr>
            <w:r>
              <w:rPr>
                <w:rFonts w:hint="eastAsia" w:ascii="宋体" w:hAnsi="宋体" w:cs="宋体"/>
                <w:b/>
                <w:color w:val="auto"/>
                <w:szCs w:val="21"/>
                <w:highlight w:val="none"/>
              </w:rPr>
              <w:t>商务要求</w:t>
            </w:r>
          </w:p>
        </w:tc>
      </w:tr>
      <w:tr w14:paraId="0ED8C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7"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68B28A0B">
            <w:pPr>
              <w:spacing w:line="400" w:lineRule="exact"/>
              <w:jc w:val="center"/>
              <w:rPr>
                <w:rFonts w:ascii="宋体" w:hAnsi="宋体" w:cs="宋体"/>
                <w:b/>
                <w:color w:val="auto"/>
                <w:szCs w:val="21"/>
                <w:highlight w:val="none"/>
              </w:rPr>
            </w:pPr>
            <w:r>
              <w:rPr>
                <w:rFonts w:hint="eastAsia"/>
                <w:color w:val="auto"/>
                <w:highlight w:val="none"/>
              </w:rPr>
              <w:t>▲磋商报价要求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24474EC1">
            <w:pPr>
              <w:spacing w:line="400" w:lineRule="exact"/>
              <w:ind w:firstLine="420" w:firstLineChars="200"/>
              <w:rPr>
                <w:color w:val="auto"/>
                <w:highlight w:val="none"/>
              </w:rPr>
            </w:pPr>
            <w:r>
              <w:rPr>
                <w:rFonts w:hint="eastAsia"/>
                <w:color w:val="auto"/>
                <w:highlight w:val="none"/>
              </w:rPr>
              <w:t>报价必须含以下部分，包括（但不限于）：</w:t>
            </w:r>
          </w:p>
          <w:p w14:paraId="0C2ECF80">
            <w:pPr>
              <w:spacing w:line="400" w:lineRule="exact"/>
              <w:ind w:firstLine="420" w:firstLineChars="200"/>
              <w:rPr>
                <w:color w:val="auto"/>
                <w:highlight w:val="none"/>
              </w:rPr>
            </w:pPr>
            <w:r>
              <w:rPr>
                <w:rFonts w:hint="eastAsia"/>
                <w:color w:val="auto"/>
                <w:highlight w:val="none"/>
              </w:rPr>
              <w:t>本项目磋商报价为报出本项目服务所需的所有费用，含本项目所有服务的价格；必要的保险费用和各项税金；其他（如设备的维护保养、调试、培训、技术支持、后续服务、驻场人员差旅费、人员工资等与完成本项目所必需的费用）。本项目至验收合格，采购人不另支付任何费用。</w:t>
            </w:r>
          </w:p>
        </w:tc>
      </w:tr>
      <w:tr w14:paraId="4AA6B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527E10A3">
            <w:pPr>
              <w:spacing w:line="400" w:lineRule="exact"/>
              <w:jc w:val="center"/>
              <w:rPr>
                <w:rFonts w:ascii="宋体" w:hAnsi="宋体" w:cs="宋体"/>
                <w:b/>
                <w:color w:val="auto"/>
                <w:szCs w:val="21"/>
                <w:highlight w:val="none"/>
              </w:rPr>
            </w:pPr>
            <w:r>
              <w:rPr>
                <w:rFonts w:hint="eastAsia"/>
                <w:color w:val="auto"/>
                <w:highlight w:val="none"/>
              </w:rPr>
              <w:t>▲</w:t>
            </w:r>
            <w:r>
              <w:rPr>
                <w:rFonts w:hint="eastAsia"/>
                <w:color w:val="auto"/>
                <w:highlight w:val="none"/>
                <w:lang w:eastAsia="zh-CN"/>
              </w:rPr>
              <w:t>合同履约期限</w:t>
            </w:r>
            <w:r>
              <w:rPr>
                <w:rFonts w:hint="eastAsia"/>
                <w:color w:val="auto"/>
                <w:highlight w:val="none"/>
              </w:rPr>
              <w:t>、地点</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450218CF">
            <w:pPr>
              <w:spacing w:line="400" w:lineRule="exact"/>
              <w:ind w:firstLine="210" w:firstLineChars="100"/>
              <w:rPr>
                <w:color w:val="auto"/>
                <w:highlight w:val="none"/>
              </w:rPr>
            </w:pPr>
            <w:r>
              <w:rPr>
                <w:rFonts w:hint="eastAsia"/>
                <w:color w:val="auto"/>
                <w:highlight w:val="none"/>
              </w:rPr>
              <w:t>1、</w:t>
            </w:r>
            <w:r>
              <w:rPr>
                <w:rFonts w:hint="eastAsia"/>
                <w:color w:val="auto"/>
                <w:highlight w:val="none"/>
                <w:lang w:eastAsia="zh-CN"/>
              </w:rPr>
              <w:t>合同履约期限</w:t>
            </w:r>
            <w:r>
              <w:rPr>
                <w:rFonts w:hint="eastAsia"/>
                <w:color w:val="auto"/>
                <w:highlight w:val="none"/>
              </w:rPr>
              <w:t>：自2025年7月25日起一年。</w:t>
            </w:r>
          </w:p>
          <w:p w14:paraId="219B74B7">
            <w:pPr>
              <w:spacing w:line="400" w:lineRule="exact"/>
              <w:ind w:firstLine="210" w:firstLineChars="100"/>
              <w:rPr>
                <w:color w:val="auto"/>
                <w:highlight w:val="none"/>
              </w:rPr>
            </w:pPr>
            <w:r>
              <w:rPr>
                <w:rFonts w:hint="eastAsia"/>
                <w:color w:val="auto"/>
                <w:highlight w:val="none"/>
              </w:rPr>
              <w:t>2、地点：采购人指定地点。</w:t>
            </w:r>
          </w:p>
        </w:tc>
      </w:tr>
      <w:tr w14:paraId="5351C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15F3E1EA">
            <w:pPr>
              <w:spacing w:line="400" w:lineRule="exact"/>
              <w:jc w:val="center"/>
              <w:rPr>
                <w:color w:val="auto"/>
                <w:highlight w:val="none"/>
              </w:rPr>
            </w:pPr>
          </w:p>
          <w:p w14:paraId="38286AF3">
            <w:pPr>
              <w:spacing w:line="400" w:lineRule="exact"/>
              <w:jc w:val="center"/>
              <w:rPr>
                <w:color w:val="auto"/>
                <w:highlight w:val="none"/>
              </w:rPr>
            </w:pPr>
          </w:p>
          <w:p w14:paraId="2862D311">
            <w:pPr>
              <w:spacing w:line="400" w:lineRule="exact"/>
              <w:jc w:val="center"/>
              <w:rPr>
                <w:rFonts w:ascii="宋体" w:hAnsi="宋体" w:cs="宋体"/>
                <w:b/>
                <w:color w:val="auto"/>
                <w:szCs w:val="21"/>
                <w:highlight w:val="none"/>
              </w:rPr>
            </w:pPr>
            <w:r>
              <w:rPr>
                <w:rFonts w:hint="eastAsia"/>
                <w:color w:val="auto"/>
                <w:highlight w:val="none"/>
              </w:rPr>
              <w:t>验收标准、规范</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630B5535">
            <w:pPr>
              <w:spacing w:line="400" w:lineRule="exact"/>
              <w:ind w:firstLine="210" w:firstLineChars="100"/>
              <w:rPr>
                <w:color w:val="auto"/>
                <w:highlight w:val="none"/>
              </w:rPr>
            </w:pPr>
            <w:r>
              <w:rPr>
                <w:rFonts w:hint="eastAsia"/>
                <w:color w:val="auto"/>
                <w:highlight w:val="none"/>
              </w:rPr>
              <w:t>1、验收考核过程中所产生的一切费用均由成交</w:t>
            </w:r>
            <w:r>
              <w:rPr>
                <w:rFonts w:hint="eastAsia"/>
                <w:color w:val="auto"/>
                <w:highlight w:val="none"/>
                <w:lang w:eastAsia="zh-CN"/>
              </w:rPr>
              <w:t>供应商</w:t>
            </w:r>
            <w:r>
              <w:rPr>
                <w:rFonts w:hint="eastAsia"/>
                <w:color w:val="auto"/>
                <w:highlight w:val="none"/>
              </w:rPr>
              <w:t>承担。报价时应考虑相关费用。</w:t>
            </w:r>
          </w:p>
          <w:p w14:paraId="3BFC7CC4">
            <w:pPr>
              <w:spacing w:line="400" w:lineRule="exact"/>
              <w:ind w:firstLine="210" w:firstLineChars="100"/>
              <w:rPr>
                <w:rFonts w:ascii="宋体" w:hAnsi="宋体" w:cs="宋体"/>
                <w:color w:val="auto"/>
                <w:szCs w:val="22"/>
                <w:highlight w:val="none"/>
              </w:rPr>
            </w:pPr>
            <w:r>
              <w:rPr>
                <w:rFonts w:hint="eastAsia"/>
                <w:color w:val="auto"/>
                <w:highlight w:val="none"/>
              </w:rPr>
              <w:t>2、在服务验收时由采购人对照磋商</w:t>
            </w:r>
            <w:r>
              <w:rPr>
                <w:rFonts w:hint="eastAsia"/>
                <w:color w:val="auto"/>
                <w:highlight w:val="none"/>
                <w:lang w:eastAsia="zh-CN"/>
              </w:rPr>
              <w:t>文件</w:t>
            </w:r>
            <w:r>
              <w:rPr>
                <w:rFonts w:hint="eastAsia"/>
                <w:color w:val="auto"/>
                <w:highlight w:val="none"/>
              </w:rPr>
              <w:t>及响应文件的功能目标及服务指标全面核对检验，如不符合响应文件的服务承诺和其他承诺以及提供虚假承诺的，按相关规定做违约处理，成交供应商承担所有责任和费用，采购人保留进一步追究责任的权利。</w:t>
            </w:r>
          </w:p>
        </w:tc>
      </w:tr>
      <w:tr w14:paraId="0331F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87"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653B63EC">
            <w:pPr>
              <w:spacing w:line="400" w:lineRule="exact"/>
              <w:jc w:val="center"/>
              <w:rPr>
                <w:color w:val="auto"/>
                <w:highlight w:val="none"/>
              </w:rPr>
            </w:pPr>
          </w:p>
          <w:p w14:paraId="0828FF2C">
            <w:pPr>
              <w:spacing w:line="400" w:lineRule="exact"/>
              <w:jc w:val="center"/>
              <w:rPr>
                <w:rFonts w:ascii="宋体" w:hAnsi="宋体" w:cs="宋体"/>
                <w:color w:val="auto"/>
                <w:szCs w:val="21"/>
                <w:highlight w:val="none"/>
              </w:rPr>
            </w:pPr>
            <w:r>
              <w:rPr>
                <w:rFonts w:hint="eastAsia"/>
                <w:color w:val="auto"/>
                <w:highlight w:val="none"/>
              </w:rPr>
              <w:t>服务要求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4767C5B3">
            <w:pPr>
              <w:spacing w:line="400" w:lineRule="exact"/>
              <w:ind w:firstLine="210" w:firstLineChars="100"/>
              <w:rPr>
                <w:color w:val="auto"/>
                <w:highlight w:val="none"/>
              </w:rPr>
            </w:pPr>
            <w:r>
              <w:rPr>
                <w:rFonts w:hint="eastAsia"/>
                <w:color w:val="auto"/>
                <w:highlight w:val="none"/>
              </w:rPr>
              <w:t>1、供应商除提供驻场运维团队以外，还需配备相应的技术支持团队，为本项目多媒体教室及相关软件 系统、网络安全系统等方面提供技术咨询服务，定期与采购人进行相关技术发展进行交流，必要时提供优化方案，协助采购人优化多媒体教室服务能力。</w:t>
            </w:r>
          </w:p>
          <w:p w14:paraId="35935D65">
            <w:pPr>
              <w:spacing w:line="400" w:lineRule="exact"/>
              <w:ind w:firstLine="210" w:firstLineChars="100"/>
              <w:rPr>
                <w:rFonts w:ascii="宋体" w:hAnsi="宋体" w:cs="宋体"/>
                <w:bCs/>
                <w:color w:val="auto"/>
                <w:szCs w:val="22"/>
                <w:highlight w:val="none"/>
              </w:rPr>
            </w:pPr>
            <w:r>
              <w:rPr>
                <w:rFonts w:hint="eastAsia"/>
                <w:color w:val="auto"/>
                <w:highlight w:val="none"/>
              </w:rPr>
              <w:t>2、供应商承诺提供 1 台以上（含）计算机或路由器作为备件放置在采购人现场。</w:t>
            </w:r>
          </w:p>
        </w:tc>
      </w:tr>
      <w:tr w14:paraId="5B70E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7"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39D2C1BF">
            <w:pPr>
              <w:spacing w:line="400" w:lineRule="exact"/>
              <w:jc w:val="center"/>
              <w:rPr>
                <w:rFonts w:ascii="宋体" w:hAnsi="宋体"/>
                <w:color w:val="auto"/>
                <w:szCs w:val="21"/>
                <w:highlight w:val="none"/>
              </w:rPr>
            </w:pPr>
            <w:r>
              <w:rPr>
                <w:rFonts w:hint="eastAsia"/>
                <w:color w:val="auto"/>
                <w:highlight w:val="none"/>
              </w:rPr>
              <w:t>▲付款条件</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6BAED1F6">
            <w:pPr>
              <w:spacing w:line="400" w:lineRule="exact"/>
              <w:ind w:firstLine="420" w:firstLineChars="200"/>
              <w:rPr>
                <w:color w:val="auto"/>
                <w:highlight w:val="none"/>
              </w:rPr>
            </w:pPr>
            <w:r>
              <w:rPr>
                <w:color w:val="auto"/>
                <w:highlight w:val="none"/>
              </w:rPr>
              <w:t>供应商提供续保服务后，15 个工作日内，采购人支付</w:t>
            </w:r>
            <w:r>
              <w:rPr>
                <w:rFonts w:hint="eastAsia"/>
                <w:color w:val="auto"/>
                <w:highlight w:val="none"/>
              </w:rPr>
              <w:t>4</w:t>
            </w:r>
            <w:r>
              <w:rPr>
                <w:color w:val="auto"/>
                <w:highlight w:val="none"/>
              </w:rPr>
              <w:t xml:space="preserve">0%的合同款给成交供应商。实施服务后支付 </w:t>
            </w:r>
            <w:r>
              <w:rPr>
                <w:rFonts w:hint="eastAsia"/>
                <w:color w:val="auto"/>
                <w:highlight w:val="none"/>
              </w:rPr>
              <w:t>5</w:t>
            </w:r>
            <w:r>
              <w:rPr>
                <w:color w:val="auto"/>
                <w:highlight w:val="none"/>
              </w:rPr>
              <w:t>0%，运维服务</w:t>
            </w:r>
            <w:r>
              <w:rPr>
                <w:rFonts w:hint="eastAsia"/>
                <w:color w:val="auto"/>
                <w:highlight w:val="none"/>
              </w:rPr>
              <w:t>初步</w:t>
            </w:r>
            <w:r>
              <w:rPr>
                <w:color w:val="auto"/>
                <w:highlight w:val="none"/>
              </w:rPr>
              <w:t xml:space="preserve">验收合格后 15 个工作日内，采购人支付合同金额 </w:t>
            </w:r>
            <w:r>
              <w:rPr>
                <w:rFonts w:hint="eastAsia"/>
                <w:color w:val="auto"/>
                <w:highlight w:val="none"/>
              </w:rPr>
              <w:t>1</w:t>
            </w:r>
            <w:r>
              <w:rPr>
                <w:color w:val="auto"/>
                <w:highlight w:val="none"/>
              </w:rPr>
              <w:t>0%合同款给成交供应商，供应商自收到合同款之日起 15 个工作日内开具发票给采购人。</w:t>
            </w:r>
          </w:p>
        </w:tc>
      </w:tr>
      <w:tr w14:paraId="6A507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24A556CA">
            <w:pPr>
              <w:spacing w:line="400" w:lineRule="exact"/>
              <w:jc w:val="left"/>
              <w:rPr>
                <w:color w:val="auto"/>
                <w:highlight w:val="none"/>
              </w:rPr>
            </w:pPr>
          </w:p>
          <w:p w14:paraId="7202B2E6">
            <w:pPr>
              <w:spacing w:line="400" w:lineRule="exact"/>
              <w:jc w:val="center"/>
              <w:rPr>
                <w:color w:val="auto"/>
                <w:highlight w:val="none"/>
              </w:rPr>
            </w:pPr>
            <w:r>
              <w:rPr>
                <w:rFonts w:hint="eastAsia"/>
                <w:color w:val="auto"/>
                <w:highlight w:val="none"/>
              </w:rPr>
              <w:t>其他要求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1CD1B500">
            <w:pPr>
              <w:spacing w:line="400" w:lineRule="exact"/>
              <w:jc w:val="left"/>
              <w:rPr>
                <w:color w:val="auto"/>
                <w:highlight w:val="none"/>
              </w:rPr>
            </w:pPr>
            <w:r>
              <w:rPr>
                <w:rFonts w:hint="eastAsia"/>
                <w:color w:val="auto"/>
                <w:highlight w:val="none"/>
              </w:rPr>
              <w:t>供应商应严格遵守国家有关保密法律法规，不得泄露与本项目有关的秘密，不得将其用于履行本项目之外的其他用途，造成泄密的，将依法追究有关人员的法律责任。</w:t>
            </w:r>
          </w:p>
        </w:tc>
      </w:tr>
    </w:tbl>
    <w:p w14:paraId="1ED4EB7A">
      <w:pPr>
        <w:rPr>
          <w:rFonts w:ascii="宋体" w:hAnsi="宋体" w:cs="宋体"/>
          <w:color w:val="auto"/>
          <w:highlight w:val="none"/>
        </w:rPr>
      </w:pPr>
    </w:p>
    <w:p w14:paraId="2A89DD06">
      <w:pPr>
        <w:rPr>
          <w:b/>
          <w:bCs/>
          <w:color w:val="auto"/>
          <w:sz w:val="32"/>
          <w:szCs w:val="32"/>
          <w:highlight w:val="none"/>
        </w:rPr>
      </w:pPr>
      <w:r>
        <w:rPr>
          <w:rFonts w:hint="eastAsia"/>
          <w:b/>
          <w:bCs/>
          <w:color w:val="auto"/>
          <w:sz w:val="32"/>
          <w:szCs w:val="32"/>
          <w:highlight w:val="none"/>
        </w:rPr>
        <w:t>附件 4：《多媒体教室及会商室设备维保清单》</w:t>
      </w:r>
    </w:p>
    <w:p w14:paraId="41AE94C6">
      <w:pPr>
        <w:spacing w:line="142" w:lineRule="exact"/>
        <w:ind w:firstLine="240"/>
        <w:rPr>
          <w:rFonts w:ascii="Arial"/>
          <w:color w:val="auto"/>
          <w:sz w:val="12"/>
          <w:highlight w:val="none"/>
        </w:rPr>
      </w:pPr>
    </w:p>
    <w:tbl>
      <w:tblPr>
        <w:tblStyle w:val="32"/>
        <w:tblW w:w="8168" w:type="dxa"/>
        <w:tblInd w:w="93" w:type="dxa"/>
        <w:tblLayout w:type="autofit"/>
        <w:tblCellMar>
          <w:top w:w="0" w:type="dxa"/>
          <w:left w:w="108" w:type="dxa"/>
          <w:bottom w:w="0" w:type="dxa"/>
          <w:right w:w="108" w:type="dxa"/>
        </w:tblCellMar>
      </w:tblPr>
      <w:tblGrid>
        <w:gridCol w:w="780"/>
        <w:gridCol w:w="1215"/>
        <w:gridCol w:w="5133"/>
        <w:gridCol w:w="1040"/>
      </w:tblGrid>
      <w:tr w14:paraId="24314CAD">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920D">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751A">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设备厂家</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08EC">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设备型号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BB49">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数量</w:t>
            </w:r>
          </w:p>
        </w:tc>
      </w:tr>
      <w:tr w14:paraId="2C152E89">
        <w:tblPrEx>
          <w:tblCellMar>
            <w:top w:w="0" w:type="dxa"/>
            <w:left w:w="108" w:type="dxa"/>
            <w:bottom w:w="0" w:type="dxa"/>
            <w:right w:w="108" w:type="dxa"/>
          </w:tblCellMar>
        </w:tblPrEx>
        <w:trPr>
          <w:trHeight w:val="270" w:hRule="atLeast"/>
        </w:trPr>
        <w:tc>
          <w:tcPr>
            <w:tcW w:w="8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943431">
            <w:pPr>
              <w:widowControl/>
              <w:jc w:val="left"/>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（一）多媒体教室</w:t>
            </w:r>
          </w:p>
        </w:tc>
      </w:tr>
      <w:tr w14:paraId="387F7A86">
        <w:tblPrEx>
          <w:tblCellMar>
            <w:top w:w="0" w:type="dxa"/>
            <w:left w:w="108" w:type="dxa"/>
            <w:bottom w:w="0" w:type="dxa"/>
            <w:right w:w="108" w:type="dxa"/>
          </w:tblCellMar>
        </w:tblPrEx>
        <w:trPr>
          <w:trHeight w:val="5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939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D4B0">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美格</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3C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桌面翻转器、Mger-CY19液晶屏翻转器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B5C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70</w:t>
            </w:r>
          </w:p>
        </w:tc>
      </w:tr>
      <w:tr w14:paraId="57B69892">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B4E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67EB">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H3C</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018D">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交换机S5120-48-SI</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A48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r w14:paraId="4CC693A2">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B4B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AD5F">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H3C</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69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无线AP WA3620i-AGN</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320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r>
      <w:tr w14:paraId="6F27F71C">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367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9F3E">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交换机</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DC50">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H3C S1650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080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r w14:paraId="735760F9">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115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8A51">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快捷</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B5EC">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编程软件 CREATOR IPPANEL</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D4C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3CCB56C8">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630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3CCE">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天道启科</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9A97">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录播一体机型号IPAV  HD-TK2II</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801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5C5E51B9">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243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859F">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捷扬</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0ECE">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高清彩色摄像机 型号LUMENS VC200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365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611BA735">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5A3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D2E5">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台湾逊卡</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09BA">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吊装话筒</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82A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r>
      <w:tr w14:paraId="14FF435E">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32F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7B1F">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艾肯</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2C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主扩扬声器、型号：Medusa-10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093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r w14:paraId="0F14790F">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BE2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A312">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艾肯</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DC87">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辅助扬声器 型号：Hector-50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8F2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r>
      <w:tr w14:paraId="21C1164F">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B60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06FC">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艾肯</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7A08">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功率放大器 型号：Apollo-1200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AF4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54CB4763">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0B1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EE89">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艾肯</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770B">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功率放大器 艾型号：VT-800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E3D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62F2A9E0">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66B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2708">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艾肯</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38F2">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12路调音台 型号：Cadmus-12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766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35377684">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EC4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0B73">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艾肯</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D058">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反馈抑制器ICON，I.FBQ-1000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CE1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216297E3">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263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5D23">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艾肯</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D612">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音频数字处理 型号：Chiron-204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C3D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48D0F19E">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46C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6279">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艾肯</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1A0D">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双31段均衡器 型号：Smith-TQ231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E86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1CD6B210">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848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73D4">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艾肯</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B8BF">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8路电源时序器 型号：PS-801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5A3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3A0CAAC5">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476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DCB6">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快捷</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20EF">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数字会议主机 型号CR-M4101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1FB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55EBA9AF">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A76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3595">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松下</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EBFD">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投影机SLZ67C</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10A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3594DE6D">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B54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FFFB">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和力</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5EBE">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投影机电动吊架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620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729ED636">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C35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9BA1">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红</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B4F5">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叶电动幕布、电动幕布</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758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7F988070">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AF4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BDB0">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强力</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EDCF">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LED电子墙F3.75单红色</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7B7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423D8F26">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D90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A60C">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大华</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45F4">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红外摄像机 型号DH-IPC-HDW2100P</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107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r>
      <w:tr w14:paraId="1692F477">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5BF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1E93">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大华</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BB1A">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16路硬盘录像机DH-DVR0804HG-S</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7D0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4EDBB56A">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31C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4472">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创维</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1075">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监视器55E7BRE</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1C8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2C4141F9">
        <w:tblPrEx>
          <w:tblCellMar>
            <w:top w:w="0" w:type="dxa"/>
            <w:left w:w="108" w:type="dxa"/>
            <w:bottom w:w="0" w:type="dxa"/>
            <w:right w:w="108" w:type="dxa"/>
          </w:tblCellMar>
        </w:tblPrEx>
        <w:trPr>
          <w:trHeight w:val="5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8CB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4477">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快捷</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000B">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中央控制主机CREATOR  CR-PGMIII GX-C30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931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0C6FAEE3">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92A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4B9A">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快捷</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4224">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红外发射棒CREATOR  CRIRP</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857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r>
      <w:tr w14:paraId="0BC8451D">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BED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3B04">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快捷</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020E">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电源控制器CREATOR CR-POWER8III</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B9F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3B8B815A">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B74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D3D5">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快捷</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EC49">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VGA矩阵CREATOR  Pt-VGA0804-A</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A46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25945E1E">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12C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8710">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快捷</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29A2">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DVI矩阵CREATOR   Pt-DVI0404-A</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FC1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090ED242">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A0E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FBE8">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联想</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9154">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台式电脑 联想 ThinkCentre M4350Q</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727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r>
      <w:tr w14:paraId="547BD74F">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F1A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D4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联想</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AF2E">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台式电脑 联想 M4350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2C6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70</w:t>
            </w:r>
          </w:p>
        </w:tc>
      </w:tr>
      <w:tr w14:paraId="30F8CBA7">
        <w:tblPrEx>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88C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FF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快捷</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CE8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台面式数字会议代表单元 快捷 CR-M4102B</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2FF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5F19AF91">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904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D3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H3C</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6D2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交换机  S3600V2-52TP-EI</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C21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1CF55ADA">
        <w:tblPrEx>
          <w:tblCellMar>
            <w:top w:w="0" w:type="dxa"/>
            <w:left w:w="108" w:type="dxa"/>
            <w:bottom w:w="0" w:type="dxa"/>
            <w:right w:w="108" w:type="dxa"/>
          </w:tblCellMar>
        </w:tblPrEx>
        <w:trPr>
          <w:trHeight w:val="270" w:hRule="atLeast"/>
        </w:trPr>
        <w:tc>
          <w:tcPr>
            <w:tcW w:w="7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33FF1">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小计</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CCD6">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200</w:t>
            </w:r>
          </w:p>
        </w:tc>
      </w:tr>
      <w:tr w14:paraId="157D886E">
        <w:tblPrEx>
          <w:tblCellMar>
            <w:top w:w="0" w:type="dxa"/>
            <w:left w:w="108" w:type="dxa"/>
            <w:bottom w:w="0" w:type="dxa"/>
            <w:right w:w="108" w:type="dxa"/>
          </w:tblCellMar>
        </w:tblPrEx>
        <w:trPr>
          <w:trHeight w:val="270" w:hRule="atLeast"/>
        </w:trPr>
        <w:tc>
          <w:tcPr>
            <w:tcW w:w="8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39899C">
            <w:pPr>
              <w:widowControl/>
              <w:jc w:val="left"/>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（二）二楼会商室</w:t>
            </w:r>
          </w:p>
        </w:tc>
      </w:tr>
      <w:tr w14:paraId="3221C305">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161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ABE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利亚德</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68F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视频设备拼接屏/TVF012（5.231㎡）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252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67668C98">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6E9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D69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利亚德</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2FF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视频控制系统/MCTRL500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CB0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r>
      <w:tr w14:paraId="2FAB939E">
        <w:tblPrEx>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405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647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利亚德</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BDD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视频拼接处理器/MVC-II Plus-04-8D-8D</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BD0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258958BE">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703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57C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创思特</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881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主音箱CHANSTEKFD-8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90D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r w14:paraId="2704CAD1">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06D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23F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创思特</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1FB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主功放CHANSTEKGMX-2500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15E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r w14:paraId="37900B1E">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21D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686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创思特</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77D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电子分频器 CHANSTEKDP-260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3B4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6FA5A838">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56F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B0F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创思特</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F57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会议系统反馈抑制器CHANSTEKAFS-224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98F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460F6414">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D03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C08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创思特</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42C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数字调音CHANSTEKVI16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659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2B123CF3">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9CC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D2D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创思特</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064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一拖二无线话筒 CHANSTEK、CW-8020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48A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r w14:paraId="52A47347">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82C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F99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创思特</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E7A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12路电源净化器 CHANSTEKKPX-12W</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24E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65889132">
        <w:tblPrEx>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077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E34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创思特</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C96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全数字网络型会议系统主机 CHANSTEKACN-4600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40D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2EB60609">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D1F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EC9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创思特</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DCD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会议主席单元 CHANSTEKACN-430C</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866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2F39C19D">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A8F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E73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创思特</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504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会议代表单元 CHANSTEKACN-430D</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EE0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w:t>
            </w:r>
          </w:p>
        </w:tc>
      </w:tr>
      <w:tr w14:paraId="4BF7F04E">
        <w:tblPrEx>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3B4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DBB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快捷</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C57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分布式网络型控制器 CREATOR/CR-PGMIII</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61B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73B7242C">
        <w:tblPrEx>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2BC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F22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快捷</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A15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xPad许可 CREATOR/天誉创高智能中控嵌入式软件V2.0.8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DBD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0DA639FF">
        <w:tblPrEx>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A13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CC0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快捷</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79F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12路模块化矩阵切换箱 CREATOR/PRO-MAX1616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963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010A2D8B">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2CE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3A2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快捷</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849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控制平板 CR -WIFI G7S</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0EE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6B0AEBC1">
        <w:tblPrEx>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7A3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C8D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快捷</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330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HDMI光纤发送器 CREATOR/CR-uSF HD 200T-D</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606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r>
      <w:tr w14:paraId="3AB7AA92">
        <w:tblPrEx>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953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702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快捷</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63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HDMI光纤接收器 CREATOR/CR-uSF HDMI 200R-D</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69A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r>
      <w:tr w14:paraId="57C3CAF0">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F71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FE4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创维</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CDC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预监显示屏/世界观43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FEC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089A1EF4">
        <w:tblPrEx>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8C4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11D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快捷</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1B6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8路网络电源控制器 CREATOR/CR-POWER8 IV</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FE9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673667F3">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012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9BA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山特</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E80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UPS主机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37A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4299C098">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981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37F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海康威视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A31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硬盘录像机/DS-7804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397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394A585B">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C3C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412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九鼎</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280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网络云拼接处理器系统GS-6000H</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5D8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68C61218">
        <w:tblPrEx>
          <w:tblCellMar>
            <w:top w:w="0" w:type="dxa"/>
            <w:left w:w="108" w:type="dxa"/>
            <w:bottom w:w="0" w:type="dxa"/>
            <w:right w:w="108" w:type="dxa"/>
          </w:tblCellMar>
        </w:tblPrEx>
        <w:trPr>
          <w:trHeight w:val="270" w:hRule="atLeast"/>
        </w:trPr>
        <w:tc>
          <w:tcPr>
            <w:tcW w:w="7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3DB500">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小计</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F7E0">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48</w:t>
            </w:r>
          </w:p>
        </w:tc>
      </w:tr>
      <w:tr w14:paraId="093C6602">
        <w:tblPrEx>
          <w:tblCellMar>
            <w:top w:w="0" w:type="dxa"/>
            <w:left w:w="108" w:type="dxa"/>
            <w:bottom w:w="0" w:type="dxa"/>
            <w:right w:w="108" w:type="dxa"/>
          </w:tblCellMar>
        </w:tblPrEx>
        <w:trPr>
          <w:trHeight w:val="270" w:hRule="atLeast"/>
        </w:trPr>
        <w:tc>
          <w:tcPr>
            <w:tcW w:w="8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EDDFA5">
            <w:pPr>
              <w:widowControl/>
              <w:jc w:val="left"/>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（三）三楼会商室</w:t>
            </w:r>
          </w:p>
        </w:tc>
      </w:tr>
      <w:tr w14:paraId="0A492037">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382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B2A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三星</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895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LCD 拼接屏单元 UD55C</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135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w:t>
            </w:r>
          </w:p>
        </w:tc>
      </w:tr>
      <w:tr w14:paraId="43BF932B">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CD45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3CFF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山特</w:t>
            </w:r>
          </w:p>
        </w:tc>
        <w:tc>
          <w:tcPr>
            <w:tcW w:w="5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10AE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UPS SANTAK C10KS</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0214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1D6A0EEB">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974D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34A4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鑫晨</w:t>
            </w:r>
          </w:p>
        </w:tc>
        <w:tc>
          <w:tcPr>
            <w:tcW w:w="5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4A22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桌面屏幕翻转器 XS-Y19JF</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AD1A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w:t>
            </w:r>
          </w:p>
        </w:tc>
      </w:tr>
      <w:tr w14:paraId="6DEFF50B">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83BE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CAF0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w:t>
            </w:r>
          </w:p>
        </w:tc>
        <w:tc>
          <w:tcPr>
            <w:tcW w:w="5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ACD4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电源时序器 D6572II</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A8E2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175AE15C">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1CB2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CA43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快捷</w:t>
            </w:r>
          </w:p>
        </w:tc>
        <w:tc>
          <w:tcPr>
            <w:tcW w:w="5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3BAF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集中控制主机 PGM-III</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D63C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447D5906">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39D5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43E6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w:t>
            </w:r>
          </w:p>
        </w:tc>
        <w:tc>
          <w:tcPr>
            <w:tcW w:w="5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76F6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会议系统控制主机 DSPPA D6201</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F648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4579E8F3">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9064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EA63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YAMAHA</w:t>
            </w:r>
          </w:p>
        </w:tc>
        <w:tc>
          <w:tcPr>
            <w:tcW w:w="5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B6BD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调音台 MG124C</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B70C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36F07936">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B3B3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5432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 DSPPA</w:t>
            </w:r>
          </w:p>
        </w:tc>
        <w:tc>
          <w:tcPr>
            <w:tcW w:w="5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3114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嵌入式会议系统代表单元 DSPPA D6234</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1C9B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28A36741">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12AE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98E5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w:t>
            </w:r>
          </w:p>
        </w:tc>
        <w:tc>
          <w:tcPr>
            <w:tcW w:w="5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7EE5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功放 MX1000II</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45C5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43D62931">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7898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403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w:t>
            </w:r>
          </w:p>
        </w:tc>
        <w:tc>
          <w:tcPr>
            <w:tcW w:w="5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8FF7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功放 MX1500II</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B860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5A27366D">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E507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FBBF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联想</w:t>
            </w:r>
          </w:p>
        </w:tc>
        <w:tc>
          <w:tcPr>
            <w:tcW w:w="5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578D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联想 ThinkCentre M4500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4445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033F56C1">
        <w:tblPrEx>
          <w:tblCellMar>
            <w:top w:w="0" w:type="dxa"/>
            <w:left w:w="108" w:type="dxa"/>
            <w:bottom w:w="0" w:type="dxa"/>
            <w:right w:w="108" w:type="dxa"/>
          </w:tblCellMar>
        </w:tblPrEx>
        <w:trPr>
          <w:trHeight w:val="270" w:hRule="atLeast"/>
        </w:trPr>
        <w:tc>
          <w:tcPr>
            <w:tcW w:w="7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88AB5">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小计</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B97E">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34</w:t>
            </w:r>
          </w:p>
        </w:tc>
      </w:tr>
    </w:tbl>
    <w:p w14:paraId="0A2D101D">
      <w:pPr>
        <w:rPr>
          <w:rFonts w:ascii="宋体" w:hAnsi="宋体" w:cs="宋体"/>
          <w:b/>
          <w:color w:val="auto"/>
          <w:szCs w:val="21"/>
          <w:highlight w:val="none"/>
        </w:rPr>
      </w:pPr>
      <w:r>
        <w:rPr>
          <w:rFonts w:hint="eastAsia" w:ascii="宋体" w:hAnsi="宋体" w:cs="宋体"/>
          <w:b/>
          <w:color w:val="auto"/>
          <w:szCs w:val="21"/>
          <w:highlight w:val="none"/>
        </w:rPr>
        <w:br w:type="page"/>
      </w:r>
    </w:p>
    <w:p w14:paraId="1ED2D932">
      <w:pPr>
        <w:spacing w:line="360" w:lineRule="auto"/>
        <w:ind w:firstLine="310" w:firstLineChars="147"/>
        <w:jc w:val="left"/>
        <w:rPr>
          <w:rFonts w:ascii="宋体" w:hAnsi="宋体" w:cs="宋体"/>
          <w:bCs/>
          <w:color w:val="auto"/>
          <w:szCs w:val="21"/>
          <w:highlight w:val="none"/>
          <w:u w:val="single"/>
        </w:rPr>
      </w:pPr>
      <w:r>
        <w:rPr>
          <w:rFonts w:hint="eastAsia" w:ascii="宋体" w:hAnsi="宋体" w:cs="宋体"/>
          <w:b/>
          <w:color w:val="auto"/>
          <w:szCs w:val="21"/>
          <w:highlight w:val="none"/>
        </w:rPr>
        <w:t>06分标采购预算：</w:t>
      </w:r>
      <w:r>
        <w:rPr>
          <w:rFonts w:hint="eastAsia" w:ascii="宋体" w:hAnsi="宋体"/>
          <w:b/>
          <w:bCs/>
          <w:color w:val="auto"/>
          <w:szCs w:val="21"/>
          <w:highlight w:val="none"/>
          <w:u w:val="single"/>
        </w:rPr>
        <w:t xml:space="preserve">  49.9万元</w:t>
      </w: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46488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7476E5F4">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38D9657C">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0B391FA2">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3E081836">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14:paraId="778A0828">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1D5E883B">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1591C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05B781FC">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516" w:type="dxa"/>
            <w:gridSpan w:val="2"/>
            <w:vAlign w:val="center"/>
          </w:tcPr>
          <w:p w14:paraId="1F2AEDA1">
            <w:pPr>
              <w:jc w:val="center"/>
              <w:rPr>
                <w:rFonts w:ascii="宋体" w:hAnsi="宋体" w:cs="宋体"/>
                <w:color w:val="auto"/>
                <w:szCs w:val="21"/>
                <w:highlight w:val="none"/>
              </w:rPr>
            </w:pPr>
            <w:r>
              <w:rPr>
                <w:rFonts w:hint="eastAsia" w:ascii="宋体" w:hAnsi="宋体" w:cs="宋体"/>
                <w:color w:val="auto"/>
                <w:szCs w:val="21"/>
                <w:highlight w:val="none"/>
              </w:rPr>
              <w:t>网络安全态势感知服务</w:t>
            </w:r>
          </w:p>
        </w:tc>
        <w:tc>
          <w:tcPr>
            <w:tcW w:w="1050" w:type="dxa"/>
            <w:vAlign w:val="center"/>
          </w:tcPr>
          <w:p w14:paraId="73731E76">
            <w:pPr>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rPr>
              <w:t>1项</w:t>
            </w:r>
          </w:p>
        </w:tc>
        <w:tc>
          <w:tcPr>
            <w:tcW w:w="1077" w:type="dxa"/>
            <w:vAlign w:val="center"/>
          </w:tcPr>
          <w:p w14:paraId="51FE73D4">
            <w:pPr>
              <w:rPr>
                <w:color w:val="auto"/>
                <w:highlight w:val="none"/>
              </w:rPr>
            </w:pPr>
            <w:r>
              <w:rPr>
                <w:rFonts w:hint="eastAsia" w:ascii="宋体" w:hAnsi="宋体" w:cs="宋体"/>
                <w:color w:val="auto"/>
                <w:szCs w:val="21"/>
                <w:highlight w:val="none"/>
              </w:rPr>
              <w:t>软件和信息技术服务业</w:t>
            </w:r>
          </w:p>
        </w:tc>
        <w:tc>
          <w:tcPr>
            <w:tcW w:w="5416" w:type="dxa"/>
          </w:tcPr>
          <w:p w14:paraId="190116FE">
            <w:pPr>
              <w:widowControl/>
              <w:spacing w:line="360" w:lineRule="auto"/>
              <w:jc w:val="left"/>
              <w:textAlignment w:val="center"/>
              <w:rPr>
                <w:rStyle w:val="87"/>
                <w:rFonts w:hint="default"/>
                <w:color w:val="auto"/>
                <w:sz w:val="21"/>
                <w:szCs w:val="21"/>
                <w:highlight w:val="none"/>
                <w:lang w:bidi="ar"/>
              </w:rPr>
            </w:pPr>
            <w:r>
              <w:rPr>
                <w:rStyle w:val="87"/>
                <w:rFonts w:hint="default"/>
                <w:color w:val="auto"/>
                <w:sz w:val="21"/>
                <w:szCs w:val="21"/>
                <w:highlight w:val="none"/>
                <w:lang w:bidi="ar"/>
              </w:rPr>
              <w:t>（一）服务内容：</w:t>
            </w:r>
          </w:p>
          <w:p w14:paraId="144AAD86">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1、通过工具加人工的形式进行威胁监测，主要对APT攻击、勒索软件、WEB攻击、远控木马、僵尸网络、窃密木马、间谍软件、网络蠕虫、邮件钓鱼等高级攻击，进行相关的检测，主动发现风险，并提供威胁报告。</w:t>
            </w:r>
          </w:p>
          <w:p w14:paraId="60E962F6">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2、通过工具加人工的形式进行异常行为监测，基于告警信息网络流量数据对非常规服务、登录行为、邮件行为、数据行为等数种场景进行分析，实现对新型攻击和内部违规的检测和发现，并提供风险报告。</w:t>
            </w:r>
          </w:p>
          <w:p w14:paraId="694D9CF1">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3、通过工具加人工的形式进行攻击回溯分析，对告警信息继续取证分析，帮助单位对网络攻击进行回溯和深度分析，并提供分析报告。</w:t>
            </w:r>
          </w:p>
          <w:p w14:paraId="2C7AD1CD">
            <w:pPr>
              <w:widowControl/>
              <w:spacing w:line="360" w:lineRule="auto"/>
              <w:jc w:val="left"/>
              <w:textAlignment w:val="center"/>
              <w:rPr>
                <w:rStyle w:val="87"/>
                <w:rFonts w:hint="default"/>
                <w:color w:val="auto"/>
                <w:sz w:val="21"/>
                <w:szCs w:val="21"/>
                <w:highlight w:val="none"/>
                <w:lang w:bidi="ar"/>
              </w:rPr>
            </w:pPr>
            <w:r>
              <w:rPr>
                <w:rStyle w:val="87"/>
                <w:rFonts w:hint="default"/>
                <w:color w:val="auto"/>
                <w:sz w:val="21"/>
                <w:szCs w:val="21"/>
                <w:highlight w:val="none"/>
                <w:lang w:bidi="ar"/>
              </w:rPr>
              <w:t>（二）态势感知设备租赁服务</w:t>
            </w:r>
          </w:p>
          <w:p w14:paraId="04F97179">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1.租赁2台流量采集探针，标准2U机架式设备，配置≥6个千兆电口，不少于3个接口扩展插槽，存储≥1TB，≥2个USB3.0接口，含威胁检测系统软件；系统应用层吞吐量≥1Gbps，并发会话数≥150万/s，新建会话数≥1万/s；</w:t>
            </w:r>
          </w:p>
          <w:p w14:paraId="019DE1D9">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（1）能够支持对常见扫描以及远控木马的检测；</w:t>
            </w:r>
          </w:p>
          <w:p w14:paraId="1A6B9774">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（2）能够通过双向流量检测的方式发现可被利用的SQL注入、跨站、命令执行等web漏洞，并记录已经发生过的攻击事件和相关报文；</w:t>
            </w:r>
          </w:p>
          <w:p w14:paraId="77CD8F71">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（3）支持通过沙箱技术精确检测多种针对PHP语言环境的WEBSHELL攻击；</w:t>
            </w:r>
          </w:p>
          <w:p w14:paraId="452BA092">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（4）支持对web漏洞利用检测规则、入侵检测规则等多种规则的配置，选择，可以有针对性的选择部分规则开启；</w:t>
            </w:r>
          </w:p>
          <w:p w14:paraId="3D55688D">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（5）能够对网络通信行为进行还原和记录，以供安全人员进行取证分析，还原内容包括：TCP会话记录、Web访问记录、SQL访问记录、DNS解析记录、文件传输行为、LDAP登录行为；</w:t>
            </w:r>
          </w:p>
          <w:p w14:paraId="11A6313F">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（6）支持对流量中出现文件传输行为进行发现和还原，将文件MD5发送至分析平台；</w:t>
            </w:r>
          </w:p>
          <w:p w14:paraId="5F1F6322">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（7）支持对HTTP、SMTP、POP3、IMAP、FTP、MSSQL、MYSQL、ORACLE、POSTGRESQL、LDAP、DNS、SSL、TDS、TFTP等协议的分析和还原；</w:t>
            </w:r>
          </w:p>
          <w:p w14:paraId="1208BC75">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（8）支持对文件传输协议进行还原和分析，可分析的协议至少包含如下：邮件（SMTP、POP3、IMAP、webmail）、Web（HTTP）、FTP、SMB；</w:t>
            </w:r>
          </w:p>
          <w:p w14:paraId="25C83C30">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（9）支持对常见可执行文件的还原：EXE、DLL、OCX、SYS、COM、apk等；</w:t>
            </w:r>
          </w:p>
          <w:p w14:paraId="2F69292F">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（10）支持对常见压缩格式的还原：RAR、ZIP、GZ、7Z等（提供功能界面截图）；</w:t>
            </w:r>
          </w:p>
          <w:p w14:paraId="20745C05">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（11）支持常见的文档类型的还原：word、excel、pdf、rtf、ppt等；</w:t>
            </w:r>
          </w:p>
          <w:p w14:paraId="0F5E05A9">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（12）支持将还原后的文件可传送至威胁感知系统分析平台进行检测分析；</w:t>
            </w:r>
          </w:p>
          <w:p w14:paraId="4855C749">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（13）支持将抓取的原始流量包保存于本地以供后续分析和取证使用；</w:t>
            </w:r>
          </w:p>
          <w:p w14:paraId="197A767C">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（14）支持在线升级和离线升级俩种升级方式，并支持定时自动升级；</w:t>
            </w:r>
          </w:p>
          <w:p w14:paraId="38032C68">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（15）支持实时监控设备的CPU、内存、存储空间使用情况；</w:t>
            </w:r>
          </w:p>
          <w:p w14:paraId="1019B7B0">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（16）支持分析统计1天或1周时间内的文件还原数量情况；</w:t>
            </w:r>
          </w:p>
          <w:p w14:paraId="20DED71F">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（17）支持分析统计1天或1周时间内的各个应用流量的大小和分布情况；</w:t>
            </w:r>
          </w:p>
          <w:p w14:paraId="456743F8">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（18）支持提供威胁告警以SYSLOG格式输出给第三方设备；</w:t>
            </w:r>
          </w:p>
          <w:p w14:paraId="569C5050">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（19）支持IPv4网络和IPv6网络两种部署场景，支持两种网络流量均进行分析还原。</w:t>
            </w:r>
          </w:p>
          <w:p w14:paraId="5467F01F">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2.租赁1台威胁感知系统分析平台</w:t>
            </w:r>
          </w:p>
          <w:p w14:paraId="526D5F91">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（1）标准2U机架式设备，配置≥4个千兆电口，内存≥128G，至少配置960G SSD + 8*4TB SATA存储容量，≥3个USB3.0接口，冗余交流电源；提供现场安装和培训服务;</w:t>
            </w:r>
          </w:p>
          <w:p w14:paraId="56B63837">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（2）能够接收云端提供的威胁情报，对网络中的威胁事件进行发现和告警；威胁情报可支持在线和离线升级两种方式；</w:t>
            </w:r>
          </w:p>
          <w:p w14:paraId="00614202">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（3）支持基于威胁情报的威胁检测，检测类型包含APT事件、僵尸网络、勒索软件、流氓推广、窃密木马、网络蠕虫、远控木马、其他恶意软件，并可自定义威胁情报（提供功能界面截图）；</w:t>
            </w:r>
          </w:p>
          <w:p w14:paraId="59C33F1C">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（4）支持与云端威胁情报中心联动，可对攻击IP、C&amp;C域名和恶意样本MD5进行一键搜索，查看基本信息、相关样本、关联URL、可视化分析、域名解析、注册信息、关联域名、数字证书等（提供功能界面截图）；</w:t>
            </w:r>
          </w:p>
          <w:p w14:paraId="416D56A2">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（5）威胁支持按照威胁事件视图、受害主机视图、受害服务器视图、受害用户视图、威胁视图进行分类展示；</w:t>
            </w:r>
          </w:p>
          <w:p w14:paraId="375A4136">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（6）威胁告警类别需要包括webshell上传、网页漏洞利用、网络攻击、APT事件、远控木马、窃密木马、僵尸网络、勒索软件、黑市工具、网络蠕虫、恶意样本执行、恶意样本投递；</w:t>
            </w:r>
          </w:p>
          <w:p w14:paraId="0805E1A0">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（7）提供一键查询威胁事件详情，威胁事件详情需要包括告警来源、威胁类型、威胁名称、威胁情报IOC、已经相关的会话记录；</w:t>
            </w:r>
          </w:p>
          <w:p w14:paraId="362E447B">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8）威胁事件的追踪溯源分析能力，可基于事件告警进行调查分析，对攻击过程进行可视化展现，可展示命中威胁情报的内部主机之间的连接行为，能输出完整的基于时间序列和攻击链的事件报告，事件报告支持word格式导出；</w:t>
            </w:r>
          </w:p>
          <w:p w14:paraId="71B9E325">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（9）本地分析平台产生告警中出现的C&amp;C地址可以一键进行云端威胁情报中心进行分析追踪，查看地址的基础信息、威胁检测结果、地址解析变化、关联样本；</w:t>
            </w:r>
          </w:p>
          <w:p w14:paraId="275C9BF2">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（10）流量日志至少包含DNS、HTTP、TCP、SMTP等流量行为日志，并可按照以上应用协议的各个关键字段搜索日志；</w:t>
            </w:r>
          </w:p>
          <w:p w14:paraId="627C6475">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（11）流量日志记录至少包含以下字段：时间、IP、IP地理位置、端口、域名、HTTP头信息、SQL语句、邮件收件人和发件人、文件名、文件MD5、应用层payload前100字节；</w:t>
            </w:r>
          </w:p>
          <w:p w14:paraId="154B62E2">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（12）支持搜索文件访问行为，并展示还原流量中文件的MD5和文件名；</w:t>
            </w:r>
          </w:p>
          <w:p w14:paraId="243302C6">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（13）可自定义选择报表生成的时间、可以按照安全告警和流量日志生成报表；</w:t>
            </w:r>
          </w:p>
          <w:p w14:paraId="63DD4BAF">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（14）告警报表中需要包括告警事件、受害主机、受害服务器、受害用户等部分，可以按照需要生成分项或是汇总报表导出；</w:t>
            </w:r>
          </w:p>
          <w:p w14:paraId="0FE7DE24">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（15）日志报表内部需要包括网络日志、终端日志、告警日志三个部分，报表内容可以按照汇总报表和分项报表进行生成导出；</w:t>
            </w:r>
          </w:p>
          <w:p w14:paraId="3EB62D5C">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（16）对于重要的未知威胁告警，将告知客户攻击的相关背景信息（攻击行业，受害范围）（提供功能界面截图）；</w:t>
            </w:r>
          </w:p>
          <w:p w14:paraId="297BC71E">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（17）能够对未知威胁告警进行处置，可设置不同状态对告警进行跟踪（提供功能界面截图）；</w:t>
            </w:r>
          </w:p>
          <w:p w14:paraId="2A8303C4">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（18）生成的报表内容可以按照危害的等级进行升序或是降序的方式排列；</w:t>
            </w:r>
          </w:p>
          <w:p w14:paraId="6890B943">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（19）支持在线升级和离线升级两种升级方式，并支持定时自动升级；</w:t>
            </w:r>
          </w:p>
          <w:p w14:paraId="2BA623A9">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（20）支持新增并管理用户，可控制用户使用权限；支持用户初次登录强制修改密码功能。</w:t>
            </w:r>
          </w:p>
          <w:p w14:paraId="1BC90680">
            <w:pPr>
              <w:widowControl/>
              <w:spacing w:line="360" w:lineRule="auto"/>
              <w:jc w:val="left"/>
              <w:textAlignment w:val="center"/>
              <w:rPr>
                <w:rStyle w:val="87"/>
                <w:rFonts w:hint="default"/>
                <w:color w:val="auto"/>
                <w:sz w:val="21"/>
                <w:szCs w:val="21"/>
                <w:highlight w:val="none"/>
                <w:lang w:bidi="ar"/>
              </w:rPr>
            </w:pPr>
            <w:r>
              <w:rPr>
                <w:rStyle w:val="87"/>
                <w:rFonts w:hint="default"/>
                <w:color w:val="auto"/>
                <w:sz w:val="21"/>
                <w:szCs w:val="21"/>
                <w:highlight w:val="none"/>
                <w:lang w:bidi="ar"/>
              </w:rPr>
              <w:t>（三）24小时人员值班监测服务</w:t>
            </w:r>
          </w:p>
          <w:p w14:paraId="62DC68BE">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1.提供态势感知设备原厂人员5*8小时现场安全检测服务，提供态势感知监测情况的实时分析，监测范围包括两个办公区设备及安全风险监测管理。需提供《信息资产统计表》、《资产巡检整改记录》、《网络安全设备优化记录》、《安全管理制度审核记录》、《网络安全态势监测报告》、《漏洞整改加固报告》等。</w:t>
            </w:r>
          </w:p>
          <w:p w14:paraId="39770AFD">
            <w:pPr>
              <w:widowControl/>
              <w:spacing w:line="360" w:lineRule="auto"/>
              <w:jc w:val="left"/>
              <w:textAlignment w:val="center"/>
              <w:rPr>
                <w:rStyle w:val="88"/>
                <w:rFonts w:hint="default"/>
                <w:color w:val="auto"/>
                <w:sz w:val="21"/>
                <w:szCs w:val="21"/>
                <w:highlight w:val="none"/>
                <w:lang w:bidi="ar"/>
              </w:rPr>
            </w:pPr>
            <w:r>
              <w:rPr>
                <w:rStyle w:val="88"/>
                <w:rFonts w:hint="default"/>
                <w:color w:val="auto"/>
                <w:sz w:val="21"/>
                <w:szCs w:val="21"/>
                <w:highlight w:val="none"/>
                <w:lang w:bidi="ar"/>
              </w:rPr>
              <w:t>2.提供工作日正常上班时间以外的7*24小时安全监测服务</w:t>
            </w:r>
          </w:p>
          <w:p w14:paraId="0AC11A87">
            <w:pPr>
              <w:tabs>
                <w:tab w:val="left" w:pos="180"/>
                <w:tab w:val="left" w:pos="1620"/>
              </w:tabs>
              <w:spacing w:line="360" w:lineRule="auto"/>
              <w:rPr>
                <w:rFonts w:ascii="宋体" w:hAnsi="宋体" w:cs="宋体"/>
                <w:color w:val="auto"/>
                <w:szCs w:val="21"/>
                <w:highlight w:val="none"/>
              </w:rPr>
            </w:pPr>
            <w:r>
              <w:rPr>
                <w:rStyle w:val="87"/>
                <w:rFonts w:hint="default"/>
                <w:color w:val="auto"/>
                <w:sz w:val="21"/>
                <w:szCs w:val="21"/>
                <w:highlight w:val="none"/>
                <w:lang w:bidi="ar"/>
              </w:rPr>
              <w:t>（四）提供态势感知设备一年最新特征库升级服务。（设备部署于青山、七星两个办公区）</w:t>
            </w:r>
          </w:p>
        </w:tc>
      </w:tr>
      <w:tr w14:paraId="23581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08728E90">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516" w:type="dxa"/>
            <w:gridSpan w:val="2"/>
            <w:vAlign w:val="center"/>
          </w:tcPr>
          <w:p w14:paraId="2928D243">
            <w:pPr>
              <w:jc w:val="center"/>
              <w:rPr>
                <w:rFonts w:ascii="宋体" w:hAnsi="宋体" w:cs="宋体"/>
                <w:color w:val="auto"/>
                <w:szCs w:val="21"/>
                <w:highlight w:val="none"/>
              </w:rPr>
            </w:pPr>
            <w:r>
              <w:rPr>
                <w:rFonts w:hint="eastAsia" w:ascii="宋体" w:hAnsi="宋体" w:cs="宋体"/>
                <w:color w:val="auto"/>
                <w:szCs w:val="21"/>
                <w:highlight w:val="none"/>
              </w:rPr>
              <w:t>网络安全应急演练评估服务</w:t>
            </w:r>
          </w:p>
        </w:tc>
        <w:tc>
          <w:tcPr>
            <w:tcW w:w="1050" w:type="dxa"/>
            <w:vAlign w:val="center"/>
          </w:tcPr>
          <w:p w14:paraId="7FFFE4C1">
            <w:pPr>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rPr>
              <w:t>1项</w:t>
            </w:r>
          </w:p>
        </w:tc>
        <w:tc>
          <w:tcPr>
            <w:tcW w:w="1077" w:type="dxa"/>
            <w:vAlign w:val="center"/>
          </w:tcPr>
          <w:p w14:paraId="28D4E1A7">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软件和信息技术服务业</w:t>
            </w:r>
          </w:p>
        </w:tc>
        <w:tc>
          <w:tcPr>
            <w:tcW w:w="5416" w:type="dxa"/>
          </w:tcPr>
          <w:p w14:paraId="1410FCB8">
            <w:pPr>
              <w:widowControl/>
              <w:spacing w:line="360" w:lineRule="auto"/>
              <w:jc w:val="left"/>
              <w:textAlignment w:val="top"/>
              <w:rPr>
                <w:rStyle w:val="88"/>
                <w:rFonts w:hint="default"/>
                <w:color w:val="auto"/>
                <w:sz w:val="21"/>
                <w:szCs w:val="21"/>
                <w:highlight w:val="none"/>
                <w:lang w:bidi="ar"/>
              </w:rPr>
            </w:pPr>
            <w:r>
              <w:rPr>
                <w:rStyle w:val="87"/>
                <w:rFonts w:hint="default"/>
                <w:color w:val="auto"/>
                <w:sz w:val="21"/>
                <w:szCs w:val="21"/>
                <w:highlight w:val="none"/>
                <w:lang w:bidi="ar"/>
              </w:rPr>
              <w:t>服务期限一年内开展2次网络安全应急演练工作</w:t>
            </w:r>
            <w:r>
              <w:rPr>
                <w:rStyle w:val="88"/>
                <w:rFonts w:hint="default"/>
                <w:color w:val="auto"/>
                <w:sz w:val="21"/>
                <w:szCs w:val="21"/>
                <w:highlight w:val="none"/>
                <w:lang w:bidi="ar"/>
              </w:rPr>
              <w:t>：针对广西壮族自治区农业农村厅目前现有防御措施（包括可能的实时动态防御）进行评估渗透，对目标系统、人员、软硬件设备、基础架构，进行多维度、多手段、对抗性模拟攻击，并提供攻防实战演练报告，攻防演练包含云端及本地两种服务方案，涵盖从资产梳理、脆弱性识别、安全加固、攻防演练等方面，包括但不限于页面篡改、钓鱼邮件、主机失陷等网络安全应急演练，人员包括全厅计算机使用者、系统运维人员，网络安全管理人员等，最终帮助单位实现纵深网络安全防御，建立持续有效的网络安全运营机制。开始制度方案，并在开始应急演练实施中，攻击方模拟真实的攻击手段和技术，防御方则负责检测、阻止和应对这些攻击。通过实施演练达到如下目的：评估安全防护能力：演练可以评估单位的安全防护能力，发现潜在的漏洞和弱点，以便及时采取措施加强防护。</w:t>
            </w:r>
          </w:p>
          <w:p w14:paraId="4DFE135A">
            <w:pPr>
              <w:widowControl/>
              <w:spacing w:line="360" w:lineRule="auto"/>
              <w:jc w:val="left"/>
              <w:textAlignment w:val="top"/>
              <w:rPr>
                <w:rStyle w:val="88"/>
                <w:rFonts w:hint="default"/>
                <w:color w:val="auto"/>
                <w:sz w:val="21"/>
                <w:szCs w:val="21"/>
                <w:highlight w:val="none"/>
                <w:lang w:bidi="ar"/>
              </w:rPr>
            </w:pPr>
            <w:r>
              <w:rPr>
                <w:rStyle w:val="87"/>
                <w:rFonts w:hint="default"/>
                <w:color w:val="auto"/>
                <w:sz w:val="21"/>
                <w:szCs w:val="21"/>
                <w:highlight w:val="none"/>
                <w:lang w:bidi="ar"/>
              </w:rPr>
              <w:t>应急演练后进行全面总结</w:t>
            </w:r>
            <w:r>
              <w:rPr>
                <w:rStyle w:val="88"/>
                <w:rFonts w:hint="default"/>
                <w:color w:val="auto"/>
                <w:sz w:val="21"/>
                <w:szCs w:val="21"/>
                <w:highlight w:val="none"/>
                <w:lang w:bidi="ar"/>
              </w:rPr>
              <w:t>：全面总结演练期间攻防双方情况，攻击队人员对整个演习过程进行评估总结，演习成果形成最终《应急演练实施方案》、《应急演练评估报告》。</w:t>
            </w:r>
          </w:p>
          <w:p w14:paraId="3138E283">
            <w:pPr>
              <w:widowControl/>
              <w:spacing w:line="360" w:lineRule="auto"/>
              <w:jc w:val="left"/>
              <w:textAlignment w:val="top"/>
              <w:rPr>
                <w:rFonts w:ascii="宋体" w:hAnsi="宋体" w:cs="宋体"/>
                <w:color w:val="auto"/>
                <w:szCs w:val="21"/>
                <w:highlight w:val="none"/>
              </w:rPr>
            </w:pPr>
            <w:r>
              <w:rPr>
                <w:rStyle w:val="87"/>
                <w:rFonts w:hint="default"/>
                <w:color w:val="auto"/>
                <w:sz w:val="21"/>
                <w:szCs w:val="21"/>
                <w:highlight w:val="none"/>
                <w:lang w:bidi="ar"/>
              </w:rPr>
              <w:t>服务期限</w:t>
            </w:r>
            <w:r>
              <w:rPr>
                <w:rStyle w:val="88"/>
                <w:rFonts w:hint="default"/>
                <w:color w:val="auto"/>
                <w:sz w:val="21"/>
                <w:szCs w:val="21"/>
                <w:highlight w:val="none"/>
                <w:lang w:bidi="ar"/>
              </w:rPr>
              <w:t>：一年</w:t>
            </w:r>
          </w:p>
        </w:tc>
      </w:tr>
      <w:tr w14:paraId="102B4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09977F38">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516" w:type="dxa"/>
            <w:gridSpan w:val="2"/>
            <w:vAlign w:val="center"/>
          </w:tcPr>
          <w:p w14:paraId="617E763E">
            <w:pPr>
              <w:jc w:val="center"/>
              <w:rPr>
                <w:rFonts w:ascii="宋体" w:hAnsi="宋体" w:cs="宋体"/>
                <w:color w:val="auto"/>
                <w:szCs w:val="21"/>
                <w:highlight w:val="none"/>
              </w:rPr>
            </w:pPr>
            <w:r>
              <w:rPr>
                <w:rFonts w:hint="eastAsia" w:ascii="宋体" w:hAnsi="宋体" w:cs="宋体"/>
                <w:color w:val="auto"/>
                <w:szCs w:val="21"/>
                <w:highlight w:val="none"/>
              </w:rPr>
              <w:t>重要时期安全保障服务</w:t>
            </w:r>
          </w:p>
        </w:tc>
        <w:tc>
          <w:tcPr>
            <w:tcW w:w="1050" w:type="dxa"/>
            <w:vAlign w:val="center"/>
          </w:tcPr>
          <w:p w14:paraId="1CED5F4A">
            <w:pPr>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rPr>
              <w:t>1项</w:t>
            </w:r>
          </w:p>
        </w:tc>
        <w:tc>
          <w:tcPr>
            <w:tcW w:w="1077" w:type="dxa"/>
            <w:vAlign w:val="center"/>
          </w:tcPr>
          <w:p w14:paraId="5B127E39">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软件和信息技术服务业</w:t>
            </w:r>
          </w:p>
        </w:tc>
        <w:tc>
          <w:tcPr>
            <w:tcW w:w="5416" w:type="dxa"/>
          </w:tcPr>
          <w:p w14:paraId="0D40C66E">
            <w:pPr>
              <w:widowControl/>
              <w:spacing w:line="360" w:lineRule="auto"/>
              <w:jc w:val="left"/>
              <w:textAlignment w:val="top"/>
              <w:rPr>
                <w:rStyle w:val="88"/>
                <w:rFonts w:hint="default"/>
                <w:color w:val="auto"/>
                <w:sz w:val="21"/>
                <w:szCs w:val="21"/>
                <w:highlight w:val="none"/>
                <w:lang w:bidi="ar"/>
              </w:rPr>
            </w:pPr>
            <w:r>
              <w:rPr>
                <w:rStyle w:val="87"/>
                <w:rFonts w:hint="default"/>
                <w:color w:val="auto"/>
                <w:sz w:val="21"/>
                <w:szCs w:val="21"/>
                <w:highlight w:val="none"/>
                <w:lang w:bidi="ar"/>
              </w:rPr>
              <w:t>重要时期安全保重工作方案制定：</w:t>
            </w:r>
            <w:r>
              <w:rPr>
                <w:rStyle w:val="88"/>
                <w:rFonts w:hint="default"/>
                <w:color w:val="auto"/>
                <w:sz w:val="21"/>
                <w:szCs w:val="21"/>
                <w:highlight w:val="none"/>
                <w:lang w:bidi="ar"/>
              </w:rPr>
              <w:t>在国庆节、春节、五一、两会等重要保障期间提供20天以上重保服务，两次网络攻防演练（公安厅或大发局组织的一次7天）重保服务，安排4名以上安全工程师提供两个办公区7*24小时驻场技术保障服务。安排4名以上安全工程师提供两个办公区7*24小时驻场技术保障服务。自带攻击诱捕工具、应用安全监测工具、资产暴露面探测工具，进行重要时期安全保障值守。</w:t>
            </w:r>
            <w:r>
              <w:rPr>
                <w:rStyle w:val="88"/>
                <w:rFonts w:hint="default"/>
                <w:color w:val="auto"/>
                <w:highlight w:val="none"/>
                <w:lang w:bidi="ar"/>
              </w:rPr>
              <w:t>提供信息网络安全生产相关的宣传视频和海报。</w:t>
            </w:r>
          </w:p>
          <w:p w14:paraId="76752421">
            <w:pPr>
              <w:widowControl/>
              <w:spacing w:line="360" w:lineRule="auto"/>
              <w:jc w:val="left"/>
              <w:textAlignment w:val="top"/>
              <w:rPr>
                <w:rStyle w:val="88"/>
                <w:rFonts w:hint="default"/>
                <w:color w:val="auto"/>
                <w:sz w:val="21"/>
                <w:szCs w:val="21"/>
                <w:highlight w:val="none"/>
                <w:lang w:bidi="ar"/>
              </w:rPr>
            </w:pPr>
            <w:r>
              <w:rPr>
                <w:rStyle w:val="87"/>
                <w:rFonts w:hint="default"/>
                <w:color w:val="auto"/>
                <w:sz w:val="21"/>
                <w:szCs w:val="21"/>
                <w:highlight w:val="none"/>
                <w:lang w:bidi="ar"/>
              </w:rPr>
              <w:t>重保前期的服务包括：</w:t>
            </w:r>
            <w:r>
              <w:rPr>
                <w:rStyle w:val="88"/>
                <w:rFonts w:hint="default"/>
                <w:color w:val="auto"/>
                <w:sz w:val="21"/>
                <w:szCs w:val="21"/>
                <w:highlight w:val="none"/>
                <w:lang w:bidi="ar"/>
              </w:rPr>
              <w:t>一方面加强网络访问控制、应用系统评估与加固等服务；有针对性梳理现有重要系统的网络路径、网络拓扑和相关资产信息，整理并确定网络安全专项应急预案。进行安全自查和整改，对现有主机进行安全自查和安全加固，基础安全自查（包括但不限于配置核查、漏洞扫描、安全机制校验），业务风险分析（包括但不限于潜在风险梳理、风险对抗手法），能够通过安全自查发现的问题，进行整改、加固和完善。输出《安全检查和加固报告》。</w:t>
            </w:r>
          </w:p>
          <w:p w14:paraId="20826346">
            <w:pPr>
              <w:widowControl/>
              <w:spacing w:line="360" w:lineRule="auto"/>
              <w:jc w:val="left"/>
              <w:textAlignment w:val="top"/>
              <w:rPr>
                <w:rStyle w:val="88"/>
                <w:rFonts w:hint="default"/>
                <w:color w:val="auto"/>
                <w:sz w:val="21"/>
                <w:szCs w:val="21"/>
                <w:highlight w:val="none"/>
                <w:lang w:bidi="ar"/>
              </w:rPr>
            </w:pPr>
            <w:r>
              <w:rPr>
                <w:rStyle w:val="87"/>
                <w:rFonts w:hint="default"/>
                <w:color w:val="auto"/>
                <w:sz w:val="21"/>
                <w:szCs w:val="21"/>
                <w:highlight w:val="none"/>
                <w:lang w:bidi="ar"/>
              </w:rPr>
              <w:t>重保期间的防护服务：</w:t>
            </w:r>
            <w:r>
              <w:rPr>
                <w:rStyle w:val="88"/>
                <w:rFonts w:hint="default"/>
                <w:color w:val="auto"/>
                <w:sz w:val="21"/>
                <w:szCs w:val="21"/>
                <w:highlight w:val="none"/>
                <w:lang w:bidi="ar"/>
              </w:rPr>
              <w:t>利用现有的监测与分析设备，实时采集网络流量、日志、可疑事件相关信息，确保能够持续对网络攻击进行实时监测，并及时进行响应处置，针对监测中发现的漏洞和弱点，及时进行修补和加固，积极应对，协同进行安全处置。重保期间每日输出《安全事件分析溯源及处置报告》、《网络安全监测日报》</w:t>
            </w:r>
          </w:p>
          <w:p w14:paraId="5D7FD168">
            <w:pPr>
              <w:widowControl/>
              <w:spacing w:line="360" w:lineRule="auto"/>
              <w:jc w:val="left"/>
              <w:textAlignment w:val="top"/>
              <w:rPr>
                <w:rFonts w:ascii="宋体" w:hAnsi="宋体" w:cs="宋体"/>
                <w:color w:val="auto"/>
                <w:szCs w:val="21"/>
                <w:highlight w:val="none"/>
              </w:rPr>
            </w:pPr>
            <w:r>
              <w:rPr>
                <w:rStyle w:val="87"/>
                <w:rFonts w:hint="default"/>
                <w:color w:val="auto"/>
                <w:sz w:val="21"/>
                <w:szCs w:val="21"/>
                <w:highlight w:val="none"/>
                <w:lang w:bidi="ar"/>
              </w:rPr>
              <w:t>重保后全面总结防守工作情况：</w:t>
            </w:r>
            <w:r>
              <w:rPr>
                <w:rStyle w:val="88"/>
                <w:rFonts w:hint="default"/>
                <w:color w:val="auto"/>
                <w:sz w:val="21"/>
                <w:szCs w:val="21"/>
                <w:highlight w:val="none"/>
                <w:lang w:bidi="ar"/>
              </w:rPr>
              <w:t>对存在的网络事件从发生到处置结束应有完整的闭环处理流程并作记录。对于期间发现的问题和短板及时进行归纳整改和弥补，总结有效的应对措施和协同处置的规范流程。输出《重保防守总结报告》。</w:t>
            </w:r>
          </w:p>
        </w:tc>
      </w:tr>
      <w:tr w14:paraId="40781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1283178E">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516" w:type="dxa"/>
            <w:gridSpan w:val="2"/>
            <w:vAlign w:val="center"/>
          </w:tcPr>
          <w:p w14:paraId="78933B7A">
            <w:pPr>
              <w:jc w:val="center"/>
              <w:rPr>
                <w:rFonts w:ascii="宋体" w:hAnsi="宋体" w:cs="宋体"/>
                <w:color w:val="auto"/>
                <w:szCs w:val="21"/>
                <w:highlight w:val="none"/>
              </w:rPr>
            </w:pPr>
            <w:r>
              <w:rPr>
                <w:rFonts w:hint="eastAsia" w:ascii="宋体" w:hAnsi="宋体" w:cs="宋体"/>
                <w:color w:val="auto"/>
                <w:szCs w:val="21"/>
                <w:highlight w:val="none"/>
              </w:rPr>
              <w:t>网络安全基线检查服务</w:t>
            </w:r>
          </w:p>
        </w:tc>
        <w:tc>
          <w:tcPr>
            <w:tcW w:w="1050" w:type="dxa"/>
            <w:vAlign w:val="center"/>
          </w:tcPr>
          <w:p w14:paraId="75896DDD">
            <w:pPr>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rPr>
              <w:t>1项</w:t>
            </w:r>
          </w:p>
        </w:tc>
        <w:tc>
          <w:tcPr>
            <w:tcW w:w="1077" w:type="dxa"/>
            <w:vAlign w:val="center"/>
          </w:tcPr>
          <w:p w14:paraId="20224208">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软件和信息技术服务业</w:t>
            </w:r>
          </w:p>
        </w:tc>
        <w:tc>
          <w:tcPr>
            <w:tcW w:w="5416" w:type="dxa"/>
          </w:tcPr>
          <w:p w14:paraId="367FBDD4">
            <w:pPr>
              <w:widowControl/>
              <w:spacing w:line="360" w:lineRule="auto"/>
              <w:jc w:val="left"/>
              <w:textAlignment w:val="top"/>
              <w:rPr>
                <w:rStyle w:val="88"/>
                <w:rFonts w:hint="default"/>
                <w:color w:val="auto"/>
                <w:sz w:val="21"/>
                <w:szCs w:val="21"/>
                <w:highlight w:val="none"/>
                <w:lang w:bidi="ar"/>
              </w:rPr>
            </w:pPr>
            <w:r>
              <w:rPr>
                <w:rStyle w:val="88"/>
                <w:rFonts w:hint="default"/>
                <w:color w:val="auto"/>
                <w:sz w:val="21"/>
                <w:szCs w:val="21"/>
                <w:highlight w:val="none"/>
                <w:lang w:bidi="ar"/>
              </w:rPr>
              <w:t>提供2名网络工程师，2名高级工程师，对我厅100个以上业务系统、319台多服务器虚拟机、中间件、300台AP设备、150台交换机、60台网络安全硬件设备、34台其他各类型网络设备进行一年4次基线核查服务，并跟踪整改。</w:t>
            </w:r>
          </w:p>
          <w:p w14:paraId="616E68D2">
            <w:pPr>
              <w:widowControl/>
              <w:spacing w:line="360" w:lineRule="auto"/>
              <w:jc w:val="left"/>
              <w:textAlignment w:val="top"/>
              <w:rPr>
                <w:rStyle w:val="88"/>
                <w:rFonts w:hint="default"/>
                <w:color w:val="auto"/>
                <w:sz w:val="21"/>
                <w:szCs w:val="21"/>
                <w:highlight w:val="none"/>
                <w:lang w:bidi="ar"/>
              </w:rPr>
            </w:pPr>
            <w:r>
              <w:rPr>
                <w:rStyle w:val="88"/>
                <w:rFonts w:hint="default"/>
                <w:color w:val="auto"/>
                <w:sz w:val="21"/>
                <w:szCs w:val="21"/>
                <w:highlight w:val="none"/>
                <w:lang w:bidi="ar"/>
              </w:rPr>
              <w:t>网络安全基线检查方案制定：基线核查主要对象包括各种网络设备、安全设备、主机操作系统、数据库、常见中间件及网络服务应用等。</w:t>
            </w:r>
          </w:p>
          <w:p w14:paraId="2169E1A7">
            <w:pPr>
              <w:widowControl/>
              <w:spacing w:line="360" w:lineRule="auto"/>
              <w:jc w:val="left"/>
              <w:textAlignment w:val="top"/>
              <w:rPr>
                <w:rStyle w:val="88"/>
                <w:rFonts w:hint="default"/>
                <w:color w:val="auto"/>
                <w:sz w:val="21"/>
                <w:szCs w:val="21"/>
                <w:highlight w:val="none"/>
                <w:lang w:bidi="ar"/>
              </w:rPr>
            </w:pPr>
            <w:r>
              <w:rPr>
                <w:rStyle w:val="88"/>
                <w:rFonts w:hint="default"/>
                <w:color w:val="auto"/>
                <w:sz w:val="21"/>
                <w:szCs w:val="21"/>
                <w:highlight w:val="none"/>
                <w:lang w:bidi="ar"/>
              </w:rPr>
              <w:t>利用自动化的检查脚本工具和人工核查的方式对各种网络设备、安全设备、主机操作系统、数据库、常见中间件及网络服务应用进行安全基线检查工作。在服务实施前期需要于信息中心目前网络情况、信息系统情况、运维情况相结合，出具基线检查实施方案。</w:t>
            </w:r>
          </w:p>
          <w:p w14:paraId="28922FB3">
            <w:pPr>
              <w:widowControl/>
              <w:spacing w:line="360" w:lineRule="auto"/>
              <w:jc w:val="left"/>
              <w:textAlignment w:val="top"/>
              <w:rPr>
                <w:rStyle w:val="88"/>
                <w:rFonts w:hint="default"/>
                <w:color w:val="auto"/>
                <w:sz w:val="21"/>
                <w:szCs w:val="21"/>
                <w:highlight w:val="none"/>
                <w:lang w:bidi="ar"/>
              </w:rPr>
            </w:pPr>
            <w:r>
              <w:rPr>
                <w:rStyle w:val="87"/>
                <w:rFonts w:hint="default"/>
                <w:color w:val="auto"/>
                <w:sz w:val="21"/>
                <w:szCs w:val="21"/>
                <w:highlight w:val="none"/>
                <w:lang w:bidi="ar"/>
              </w:rPr>
              <w:t>全方面人工配置核查工作</w:t>
            </w:r>
            <w:r>
              <w:rPr>
                <w:rStyle w:val="88"/>
                <w:rFonts w:hint="default"/>
                <w:color w:val="auto"/>
                <w:sz w:val="21"/>
                <w:szCs w:val="21"/>
                <w:highlight w:val="none"/>
                <w:lang w:bidi="ar"/>
              </w:rPr>
              <w:t>：该项检查主要核查承载服务器、数据库、服务中间件的安装部署、文件权限、系统服务、帐号口令、安全配置、日志审计等各方面内容，检查内容如下：</w:t>
            </w:r>
          </w:p>
          <w:p w14:paraId="6752B4D9">
            <w:pPr>
              <w:widowControl/>
              <w:spacing w:line="360" w:lineRule="auto"/>
              <w:jc w:val="left"/>
              <w:textAlignment w:val="top"/>
              <w:rPr>
                <w:rStyle w:val="88"/>
                <w:rFonts w:hint="default"/>
                <w:color w:val="auto"/>
                <w:sz w:val="21"/>
                <w:szCs w:val="21"/>
                <w:highlight w:val="none"/>
                <w:lang w:bidi="ar"/>
              </w:rPr>
            </w:pPr>
            <w:r>
              <w:rPr>
                <w:rStyle w:val="88"/>
                <w:rFonts w:hint="default"/>
                <w:color w:val="auto"/>
                <w:sz w:val="21"/>
                <w:szCs w:val="21"/>
                <w:highlight w:val="none"/>
                <w:lang w:bidi="ar"/>
              </w:rPr>
              <w:t>1.问控制检查：用户权限管理、用户口令检查、多余账号管理、用户最小权限管理等。</w:t>
            </w:r>
          </w:p>
          <w:p w14:paraId="0E4A19ED">
            <w:pPr>
              <w:widowControl/>
              <w:spacing w:line="360" w:lineRule="auto"/>
              <w:jc w:val="left"/>
              <w:textAlignment w:val="top"/>
              <w:rPr>
                <w:rStyle w:val="88"/>
                <w:rFonts w:hint="default"/>
                <w:color w:val="auto"/>
                <w:sz w:val="21"/>
                <w:szCs w:val="21"/>
                <w:highlight w:val="none"/>
                <w:lang w:bidi="ar"/>
              </w:rPr>
            </w:pPr>
            <w:r>
              <w:rPr>
                <w:rStyle w:val="88"/>
                <w:rFonts w:hint="default"/>
                <w:color w:val="auto"/>
                <w:sz w:val="21"/>
                <w:szCs w:val="21"/>
                <w:highlight w:val="none"/>
                <w:lang w:bidi="ar"/>
              </w:rPr>
              <w:t>2.授权管理检查:运维人员授权、系统登录访问记录、远程管理授权、多因了登录管理等。</w:t>
            </w:r>
          </w:p>
          <w:p w14:paraId="7EC26C19">
            <w:pPr>
              <w:widowControl/>
              <w:spacing w:line="360" w:lineRule="auto"/>
              <w:jc w:val="left"/>
              <w:textAlignment w:val="top"/>
              <w:rPr>
                <w:rStyle w:val="88"/>
                <w:rFonts w:hint="default"/>
                <w:color w:val="auto"/>
                <w:sz w:val="21"/>
                <w:szCs w:val="21"/>
                <w:highlight w:val="none"/>
                <w:lang w:bidi="ar"/>
              </w:rPr>
            </w:pPr>
            <w:r>
              <w:rPr>
                <w:rStyle w:val="88"/>
                <w:rFonts w:hint="default"/>
                <w:color w:val="auto"/>
                <w:sz w:val="21"/>
                <w:szCs w:val="21"/>
                <w:highlight w:val="none"/>
                <w:lang w:bidi="ar"/>
              </w:rPr>
              <w:t>3.入侵防范检查:设备和系统最小安装原则检查、端口开放性检查、设备登录方式限制管理、系统漏洞检测等。</w:t>
            </w:r>
          </w:p>
          <w:p w14:paraId="158B0DD1">
            <w:pPr>
              <w:widowControl/>
              <w:spacing w:line="360" w:lineRule="auto"/>
              <w:jc w:val="left"/>
              <w:textAlignment w:val="top"/>
              <w:rPr>
                <w:rStyle w:val="88"/>
                <w:rFonts w:hint="default"/>
                <w:color w:val="auto"/>
                <w:sz w:val="21"/>
                <w:szCs w:val="21"/>
                <w:highlight w:val="none"/>
                <w:lang w:bidi="ar"/>
              </w:rPr>
            </w:pPr>
            <w:r>
              <w:rPr>
                <w:rStyle w:val="88"/>
                <w:rFonts w:hint="default"/>
                <w:color w:val="auto"/>
                <w:sz w:val="21"/>
                <w:szCs w:val="21"/>
                <w:highlight w:val="none"/>
                <w:lang w:bidi="ar"/>
              </w:rPr>
              <w:t>4.日志审计检查，设备及业务系统安全审计开启情况检查、审计类型检查、审计备份检查等</w:t>
            </w:r>
          </w:p>
          <w:p w14:paraId="162B57B6">
            <w:pPr>
              <w:widowControl/>
              <w:spacing w:line="360" w:lineRule="auto"/>
              <w:jc w:val="left"/>
              <w:textAlignment w:val="top"/>
              <w:rPr>
                <w:rStyle w:val="88"/>
                <w:rFonts w:hint="default"/>
                <w:color w:val="auto"/>
                <w:sz w:val="21"/>
                <w:szCs w:val="21"/>
                <w:highlight w:val="none"/>
                <w:lang w:bidi="ar"/>
              </w:rPr>
            </w:pPr>
            <w:r>
              <w:rPr>
                <w:rStyle w:val="88"/>
                <w:rFonts w:hint="default"/>
                <w:color w:val="auto"/>
                <w:sz w:val="21"/>
                <w:szCs w:val="21"/>
                <w:highlight w:val="none"/>
                <w:lang w:bidi="ar"/>
              </w:rPr>
              <w:t>以上检查由专业工程师逐一登录服务器进行核查。</w:t>
            </w:r>
          </w:p>
          <w:p w14:paraId="1CBBC1D3">
            <w:pPr>
              <w:widowControl/>
              <w:spacing w:line="360" w:lineRule="auto"/>
              <w:jc w:val="left"/>
              <w:textAlignment w:val="top"/>
              <w:rPr>
                <w:rStyle w:val="89"/>
                <w:rFonts w:ascii="宋体" w:hAnsi="宋体" w:cs="宋体"/>
                <w:color w:val="auto"/>
                <w:sz w:val="21"/>
                <w:szCs w:val="21"/>
                <w:highlight w:val="none"/>
                <w:lang w:bidi="ar"/>
              </w:rPr>
            </w:pPr>
            <w:r>
              <w:rPr>
                <w:rStyle w:val="88"/>
                <w:rFonts w:hint="default"/>
                <w:color w:val="auto"/>
                <w:sz w:val="21"/>
                <w:szCs w:val="21"/>
                <w:highlight w:val="none"/>
                <w:lang w:bidi="ar"/>
              </w:rPr>
              <w:t>操作系统安全配置检查：涉及身份鉴别方式、账号安全设置、远程管理方式、多余账号、弱口令、默认共享、补丁安装、端口开放、访问控制、日志及安全审计等方面的检测。</w:t>
            </w:r>
          </w:p>
          <w:p w14:paraId="11093404">
            <w:pPr>
              <w:widowControl/>
              <w:spacing w:line="360" w:lineRule="auto"/>
              <w:jc w:val="left"/>
              <w:textAlignment w:val="top"/>
              <w:rPr>
                <w:rStyle w:val="89"/>
                <w:rFonts w:ascii="宋体" w:hAnsi="宋体" w:cs="宋体"/>
                <w:color w:val="auto"/>
                <w:sz w:val="21"/>
                <w:szCs w:val="21"/>
                <w:highlight w:val="none"/>
                <w:lang w:bidi="ar"/>
              </w:rPr>
            </w:pPr>
            <w:r>
              <w:rPr>
                <w:rStyle w:val="88"/>
                <w:rFonts w:hint="default"/>
                <w:color w:val="auto"/>
                <w:sz w:val="21"/>
                <w:szCs w:val="21"/>
                <w:highlight w:val="none"/>
                <w:lang w:bidi="ar"/>
              </w:rPr>
              <w:t>网络设备安全配置检查：包括交换机、防火墙等网络设备的账号安全设置、管理权限和角色设置、多余账号和缺省口令检查、补丁管理、访问控制、路由控制、日志审核、远程访问等方面的检测。</w:t>
            </w:r>
          </w:p>
          <w:p w14:paraId="2945A75B">
            <w:pPr>
              <w:widowControl/>
              <w:spacing w:line="360" w:lineRule="auto"/>
              <w:jc w:val="left"/>
              <w:textAlignment w:val="top"/>
              <w:rPr>
                <w:rStyle w:val="89"/>
                <w:rFonts w:ascii="宋体" w:hAnsi="宋体" w:cs="宋体"/>
                <w:color w:val="auto"/>
                <w:sz w:val="21"/>
                <w:szCs w:val="21"/>
                <w:highlight w:val="none"/>
                <w:lang w:bidi="ar"/>
              </w:rPr>
            </w:pPr>
            <w:r>
              <w:rPr>
                <w:rStyle w:val="88"/>
                <w:rFonts w:hint="default"/>
                <w:color w:val="auto"/>
                <w:sz w:val="21"/>
                <w:szCs w:val="21"/>
                <w:highlight w:val="none"/>
                <w:lang w:bidi="ar"/>
              </w:rPr>
              <w:t>应用软件安全配置检查：针对被测系统中的应用软件，包括中间件补丁更新情况、账号和口令、</w:t>
            </w:r>
            <w:r>
              <w:rPr>
                <w:rStyle w:val="89"/>
                <w:rFonts w:hint="eastAsia" w:ascii="宋体" w:hAnsi="宋体" w:cs="宋体"/>
                <w:color w:val="auto"/>
                <w:sz w:val="21"/>
                <w:szCs w:val="21"/>
                <w:highlight w:val="none"/>
                <w:lang w:bidi="ar"/>
              </w:rPr>
              <w:t>‌</w:t>
            </w:r>
            <w:r>
              <w:rPr>
                <w:rStyle w:val="88"/>
                <w:rFonts w:hint="default"/>
                <w:color w:val="auto"/>
                <w:sz w:val="21"/>
                <w:szCs w:val="21"/>
                <w:highlight w:val="none"/>
                <w:lang w:bidi="ar"/>
              </w:rPr>
              <w:t>访问控制、</w:t>
            </w:r>
            <w:r>
              <w:rPr>
                <w:rStyle w:val="89"/>
                <w:rFonts w:hint="eastAsia" w:ascii="宋体" w:hAnsi="宋体" w:cs="宋体"/>
                <w:color w:val="auto"/>
                <w:sz w:val="21"/>
                <w:szCs w:val="21"/>
                <w:highlight w:val="none"/>
                <w:lang w:bidi="ar"/>
              </w:rPr>
              <w:t>‌</w:t>
            </w:r>
            <w:r>
              <w:rPr>
                <w:rStyle w:val="88"/>
                <w:rFonts w:hint="default"/>
                <w:color w:val="auto"/>
                <w:sz w:val="21"/>
                <w:szCs w:val="21"/>
                <w:highlight w:val="none"/>
                <w:lang w:bidi="ar"/>
              </w:rPr>
              <w:t>日志管理等方面的检测。</w:t>
            </w:r>
          </w:p>
          <w:p w14:paraId="0934B6A8">
            <w:pPr>
              <w:widowControl/>
              <w:spacing w:line="360" w:lineRule="auto"/>
              <w:jc w:val="left"/>
              <w:textAlignment w:val="top"/>
              <w:rPr>
                <w:rStyle w:val="89"/>
                <w:rFonts w:ascii="宋体" w:hAnsi="宋体" w:cs="宋体"/>
                <w:color w:val="auto"/>
                <w:sz w:val="21"/>
                <w:szCs w:val="21"/>
                <w:highlight w:val="none"/>
                <w:lang w:bidi="ar"/>
              </w:rPr>
            </w:pPr>
            <w:r>
              <w:rPr>
                <w:rStyle w:val="88"/>
                <w:rFonts w:hint="default"/>
                <w:color w:val="auto"/>
                <w:sz w:val="21"/>
                <w:szCs w:val="21"/>
                <w:highlight w:val="none"/>
                <w:lang w:bidi="ar"/>
              </w:rPr>
              <w:t>网络安全审查：重点评估关键信息基础设施运营者采购网络产品和服务可能带来的国家安全风险，通过及早发现并避免采购产品和服务给关键信息基础设施运行带来风险和危害，保障关键信息基础设施供应链安全，维护国家安全。</w:t>
            </w:r>
          </w:p>
          <w:p w14:paraId="12AD01C7">
            <w:pPr>
              <w:widowControl/>
              <w:spacing w:line="360" w:lineRule="auto"/>
              <w:jc w:val="left"/>
              <w:textAlignment w:val="top"/>
              <w:rPr>
                <w:rStyle w:val="88"/>
                <w:rFonts w:hint="default"/>
                <w:color w:val="auto"/>
                <w:sz w:val="21"/>
                <w:szCs w:val="21"/>
                <w:highlight w:val="none"/>
                <w:lang w:bidi="ar"/>
              </w:rPr>
            </w:pPr>
            <w:r>
              <w:rPr>
                <w:rStyle w:val="88"/>
                <w:rFonts w:hint="default"/>
                <w:color w:val="auto"/>
                <w:sz w:val="21"/>
                <w:szCs w:val="21"/>
                <w:highlight w:val="none"/>
                <w:lang w:bidi="ar"/>
              </w:rPr>
              <w:t>这些核查内容旨在确保网络系统的安全性，防止潜在的安全威胁，保障关键信息基础设施的安全运行和国家安全。</w:t>
            </w:r>
          </w:p>
          <w:p w14:paraId="1F963CB1">
            <w:pPr>
              <w:widowControl/>
              <w:spacing w:line="360" w:lineRule="auto"/>
              <w:jc w:val="left"/>
              <w:textAlignment w:val="top"/>
              <w:rPr>
                <w:rStyle w:val="88"/>
                <w:rFonts w:hint="default"/>
                <w:color w:val="auto"/>
                <w:sz w:val="21"/>
                <w:szCs w:val="21"/>
                <w:highlight w:val="none"/>
                <w:lang w:bidi="ar"/>
              </w:rPr>
            </w:pPr>
            <w:r>
              <w:rPr>
                <w:rStyle w:val="87"/>
                <w:rFonts w:hint="default"/>
                <w:color w:val="auto"/>
                <w:sz w:val="21"/>
                <w:szCs w:val="21"/>
                <w:highlight w:val="none"/>
                <w:lang w:bidi="ar"/>
              </w:rPr>
              <w:t>全方面自动化配置核查</w:t>
            </w:r>
            <w:r>
              <w:rPr>
                <w:rStyle w:val="88"/>
                <w:rFonts w:hint="default"/>
                <w:color w:val="auto"/>
                <w:sz w:val="21"/>
                <w:szCs w:val="21"/>
                <w:highlight w:val="none"/>
                <w:lang w:bidi="ar"/>
              </w:rPr>
              <w:t>：自动化检查是借助基线核查系统来自动化完成部分工作。自动化工具主要自动化完成目标设备登录、设备配置检查和配置信息记录工作，此部分工作借助自动化工具是为了消除手工误操作的隐患，提高检查效率和精确度。检查内容如下：</w:t>
            </w:r>
          </w:p>
          <w:p w14:paraId="4DBF56D1">
            <w:pPr>
              <w:widowControl/>
              <w:spacing w:line="360" w:lineRule="auto"/>
              <w:jc w:val="left"/>
              <w:textAlignment w:val="top"/>
              <w:rPr>
                <w:rStyle w:val="88"/>
                <w:rFonts w:hint="default"/>
                <w:color w:val="auto"/>
                <w:sz w:val="21"/>
                <w:szCs w:val="21"/>
                <w:highlight w:val="none"/>
                <w:lang w:bidi="ar"/>
              </w:rPr>
            </w:pPr>
            <w:r>
              <w:rPr>
                <w:rStyle w:val="88"/>
                <w:rFonts w:hint="default"/>
                <w:color w:val="auto"/>
                <w:sz w:val="21"/>
                <w:szCs w:val="21"/>
                <w:highlight w:val="none"/>
                <w:lang w:bidi="ar"/>
              </w:rPr>
              <w:t>1.中间件核查：中间件类型检查、中间件版本检测、中间件配置检测；</w:t>
            </w:r>
          </w:p>
          <w:p w14:paraId="0FD1F7B4">
            <w:pPr>
              <w:widowControl/>
              <w:spacing w:line="360" w:lineRule="auto"/>
              <w:jc w:val="left"/>
              <w:textAlignment w:val="top"/>
              <w:rPr>
                <w:rStyle w:val="88"/>
                <w:rFonts w:hint="default"/>
                <w:color w:val="auto"/>
                <w:sz w:val="21"/>
                <w:szCs w:val="21"/>
                <w:highlight w:val="none"/>
                <w:lang w:bidi="ar"/>
              </w:rPr>
            </w:pPr>
            <w:r>
              <w:rPr>
                <w:rStyle w:val="88"/>
                <w:rFonts w:hint="default"/>
                <w:color w:val="auto"/>
                <w:sz w:val="21"/>
                <w:szCs w:val="21"/>
                <w:highlight w:val="none"/>
                <w:lang w:bidi="ar"/>
              </w:rPr>
              <w:t>2.前后端框架插件检查：jQuery、vue、JS等框架插件检查</w:t>
            </w:r>
          </w:p>
          <w:p w14:paraId="30225EDC">
            <w:pPr>
              <w:widowControl/>
              <w:spacing w:line="360" w:lineRule="auto"/>
              <w:jc w:val="left"/>
              <w:textAlignment w:val="top"/>
              <w:rPr>
                <w:rStyle w:val="88"/>
                <w:rFonts w:hint="default"/>
                <w:color w:val="auto"/>
                <w:sz w:val="21"/>
                <w:szCs w:val="21"/>
                <w:highlight w:val="none"/>
                <w:lang w:bidi="ar"/>
              </w:rPr>
            </w:pPr>
            <w:r>
              <w:rPr>
                <w:rStyle w:val="88"/>
                <w:rFonts w:hint="default"/>
                <w:color w:val="auto"/>
                <w:sz w:val="21"/>
                <w:szCs w:val="21"/>
                <w:highlight w:val="none"/>
                <w:lang w:bidi="ar"/>
              </w:rPr>
              <w:t>3.数据库安全检查：数据库类型、数据库版本、数据库多余账号管理</w:t>
            </w:r>
          </w:p>
          <w:p w14:paraId="5A33B24A">
            <w:pPr>
              <w:widowControl/>
              <w:spacing w:line="360" w:lineRule="auto"/>
              <w:jc w:val="left"/>
              <w:textAlignment w:val="top"/>
              <w:rPr>
                <w:rStyle w:val="88"/>
                <w:rFonts w:hint="default"/>
                <w:color w:val="auto"/>
                <w:sz w:val="21"/>
                <w:szCs w:val="21"/>
                <w:highlight w:val="none"/>
                <w:lang w:bidi="ar"/>
              </w:rPr>
            </w:pPr>
            <w:r>
              <w:rPr>
                <w:rStyle w:val="88"/>
                <w:rFonts w:hint="default"/>
                <w:color w:val="auto"/>
                <w:sz w:val="21"/>
                <w:szCs w:val="21"/>
                <w:highlight w:val="none"/>
                <w:lang w:bidi="ar"/>
              </w:rPr>
              <w:t>以上检查由自动化基线核查系统完成，在自动化基线核查系统完成检查后由专业工程师进行人工核查。</w:t>
            </w:r>
          </w:p>
          <w:p w14:paraId="3644238E">
            <w:pPr>
              <w:widowControl/>
              <w:spacing w:line="360" w:lineRule="auto"/>
              <w:jc w:val="left"/>
              <w:textAlignment w:val="top"/>
              <w:rPr>
                <w:rFonts w:ascii="宋体" w:hAnsi="宋体" w:cs="宋体"/>
                <w:color w:val="auto"/>
                <w:szCs w:val="21"/>
                <w:highlight w:val="none"/>
              </w:rPr>
            </w:pPr>
            <w:r>
              <w:rPr>
                <w:rStyle w:val="87"/>
                <w:rFonts w:hint="default"/>
                <w:color w:val="auto"/>
                <w:sz w:val="21"/>
                <w:szCs w:val="21"/>
                <w:highlight w:val="none"/>
                <w:lang w:bidi="ar"/>
              </w:rPr>
              <w:t>基线报告编制工作</w:t>
            </w:r>
            <w:r>
              <w:rPr>
                <w:rStyle w:val="88"/>
                <w:rFonts w:hint="default"/>
                <w:color w:val="auto"/>
                <w:sz w:val="21"/>
                <w:szCs w:val="21"/>
                <w:highlight w:val="none"/>
                <w:lang w:bidi="ar"/>
              </w:rPr>
              <w:t>：基线核查检查完成后，出具《网络安全基线核查报告》</w:t>
            </w:r>
          </w:p>
        </w:tc>
      </w:tr>
      <w:tr w14:paraId="3B6DA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3D8B6159">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516" w:type="dxa"/>
            <w:gridSpan w:val="2"/>
            <w:vAlign w:val="center"/>
          </w:tcPr>
          <w:p w14:paraId="38BB0CB1">
            <w:pPr>
              <w:jc w:val="center"/>
              <w:rPr>
                <w:rFonts w:ascii="宋体" w:hAnsi="宋体" w:cs="宋体"/>
                <w:color w:val="auto"/>
                <w:szCs w:val="21"/>
                <w:highlight w:val="none"/>
              </w:rPr>
            </w:pPr>
            <w:r>
              <w:rPr>
                <w:rFonts w:hint="eastAsia" w:ascii="宋体" w:hAnsi="宋体" w:cs="宋体"/>
                <w:color w:val="auto"/>
                <w:kern w:val="0"/>
                <w:sz w:val="20"/>
                <w:szCs w:val="20"/>
                <w:highlight w:val="none"/>
                <w:lang w:bidi="ar"/>
              </w:rPr>
              <w:t>数据安全评估服务</w:t>
            </w:r>
          </w:p>
        </w:tc>
        <w:tc>
          <w:tcPr>
            <w:tcW w:w="1050" w:type="dxa"/>
            <w:vAlign w:val="center"/>
          </w:tcPr>
          <w:p w14:paraId="0268A2FA">
            <w:pPr>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rPr>
              <w:t>1项</w:t>
            </w:r>
          </w:p>
        </w:tc>
        <w:tc>
          <w:tcPr>
            <w:tcW w:w="1077" w:type="dxa"/>
            <w:vAlign w:val="center"/>
          </w:tcPr>
          <w:p w14:paraId="3D46C2A8">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软件和信息技术服务业</w:t>
            </w:r>
          </w:p>
        </w:tc>
        <w:tc>
          <w:tcPr>
            <w:tcW w:w="5416" w:type="dxa"/>
          </w:tcPr>
          <w:p w14:paraId="2AC6B21A">
            <w:pPr>
              <w:snapToGrid w:val="0"/>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提供数据安全风险评估、策略评估、数据处理活动安全评估、数据共享安全评估、企业数据安全能力成熟度评价等评估内容。帮助客户认知自身的数据安全建设情况，以及当前可能面对的数据安全风险。并提供整改建议和方案，帮助提升数据安全的防护水平。</w:t>
            </w:r>
          </w:p>
          <w:p w14:paraId="2025DBDB">
            <w:pPr>
              <w:widowControl/>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对90个以上信息系统提供一年4次风险评估服务，通过暴露面风险分析第一时间发现信息系统存在外部安全隐患。对不符合要求的检查项提出对应整改意见，出具《信息系统威胁检测报告》。检测内容包括但不限于如下：</w:t>
            </w:r>
          </w:p>
          <w:p w14:paraId="4C29713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（一）对物理服务器开展性能分析服务，人工分析性能使用趋势，判断是否满足业务增长的需要。</w:t>
            </w:r>
          </w:p>
          <w:p w14:paraId="228AD00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（二）对信息系统的WEB服务展开漏洞分析工作，利用信息系统安全检测手段提前发现潜在风险，出具《信息系统漏洞分析报告》。</w:t>
            </w:r>
          </w:p>
          <w:p w14:paraId="59242D9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（三）对信息系统所采用的中间件开展安全审查工作，从日志、配置两个方面进行分析人工判断是否存在潜在风险。</w:t>
            </w:r>
          </w:p>
          <w:p w14:paraId="1948CDE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（四）根据《网络安全事件通报》等通报，进行事件处置情况跟踪、确认。</w:t>
            </w:r>
          </w:p>
          <w:p w14:paraId="7EED1C2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信息系统风险评估检测服务主要提供信息系统的主机层面检测通过专业服务判断信息系统是否启用身份鉴别、访问控制方面、安全审计方面、入侵防范方面、恶意代码防范方面、剩余信息方面是否存在信息安全隐患。风险评估咨询包含如下内容：</w:t>
            </w:r>
          </w:p>
          <w:p w14:paraId="44C70D1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（一）风险要素识别，主要是对组织和信息系统中的资产、威胁、脆弱性、已有安全措施等要素进行识别，以便对信息系统开展安全风险分析。</w:t>
            </w:r>
          </w:p>
          <w:p w14:paraId="79598B3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二）已有安全措施确认，安全措施的确认是对已采取的安全措施的有效性进行确认，即是否真正地降低了系统的脆弱性，抵御了威胁。针对信息系统和资产所采取的安全措施进行分析，识别出预防性安全措施和保护性安全措施。</w:t>
            </w:r>
          </w:p>
          <w:p w14:paraId="7A811E2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三）风险分析，本阶段结合资产、威胁、脆弱性，以及已有安全措施等进行分析，计算出威胁利用脆弱性导致安全事件发生的可能性，并计算安全事件发生后造成的损失，最终计算出资产的风险值和对应的风险等级。</w:t>
            </w:r>
          </w:p>
          <w:p w14:paraId="259F008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（四）风险处置建议，针对信息系统脆弱性识别发现的安全问题提出风险处理计划、安全整改建议，并组织项目文档评审。制定风险处理计划、安全整改建议。</w:t>
            </w:r>
          </w:p>
          <w:p w14:paraId="5D6AB708">
            <w:pPr>
              <w:pStyle w:val="16"/>
              <w:ind w:firstLine="210"/>
              <w:rPr>
                <w:color w:val="auto"/>
                <w:highlight w:val="none"/>
                <w:lang w:bidi="ar"/>
              </w:rPr>
            </w:pPr>
            <w:r>
              <w:rPr>
                <w:rFonts w:hint="eastAsia" w:ascii="宋体" w:hAnsi="宋体" w:cs="宋体"/>
                <w:color w:val="auto"/>
                <w:szCs w:val="21"/>
                <w:highlight w:val="none"/>
              </w:rPr>
              <w:t>对被检测系统安全隐患进行安全指导，并出具《信息安全风险评估报告》。</w:t>
            </w:r>
          </w:p>
        </w:tc>
      </w:tr>
      <w:tr w14:paraId="77DF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04A048CB">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516" w:type="dxa"/>
            <w:gridSpan w:val="2"/>
            <w:vAlign w:val="center"/>
          </w:tcPr>
          <w:p w14:paraId="0EE9F97C">
            <w:pPr>
              <w:jc w:val="center"/>
              <w:rPr>
                <w:rFonts w:ascii="宋体" w:hAnsi="宋体" w:cs="宋体"/>
                <w:color w:val="auto"/>
                <w:szCs w:val="21"/>
                <w:highlight w:val="none"/>
              </w:rPr>
            </w:pPr>
            <w:r>
              <w:rPr>
                <w:rFonts w:hint="eastAsia" w:ascii="宋体" w:hAnsi="宋体" w:cs="宋体"/>
                <w:color w:val="auto"/>
                <w:szCs w:val="21"/>
                <w:highlight w:val="none"/>
              </w:rPr>
              <w:t>渗透测试服务</w:t>
            </w:r>
          </w:p>
        </w:tc>
        <w:tc>
          <w:tcPr>
            <w:tcW w:w="1050" w:type="dxa"/>
            <w:vAlign w:val="center"/>
          </w:tcPr>
          <w:p w14:paraId="0669A622">
            <w:pPr>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rPr>
              <w:t>1项</w:t>
            </w:r>
          </w:p>
        </w:tc>
        <w:tc>
          <w:tcPr>
            <w:tcW w:w="1077" w:type="dxa"/>
            <w:vAlign w:val="center"/>
          </w:tcPr>
          <w:p w14:paraId="330EFEF0">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软件和信息技术服务业</w:t>
            </w:r>
          </w:p>
        </w:tc>
        <w:tc>
          <w:tcPr>
            <w:tcW w:w="5416" w:type="dxa"/>
          </w:tcPr>
          <w:p w14:paraId="5882AA80">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服务内容：</w:t>
            </w:r>
          </w:p>
          <w:p w14:paraId="52464BCB">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依据等保二级规范（广西土地确权系统按三级等保规范），对我厅80个以上非涉密信息系统进行一年内每季度1次渗透测试服务，采用黑盒、白盒、灰盒三种方法，通过人工测试进行业务系统漏洞和网络设备漏洞，出具渗透测试报告。</w:t>
            </w:r>
          </w:p>
          <w:p w14:paraId="4F84D488">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1）前期交互</w:t>
            </w:r>
          </w:p>
          <w:p w14:paraId="0F0D9EDF">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针对业务系统就渗透测试目标、渗透测试范围、渗透测试方式（白盒、黑盒、灰盒以及是否涉及社会工程学、DDOS等信息汇总及渗透授权。</w:t>
            </w:r>
          </w:p>
          <w:p w14:paraId="649A1180">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2）信息收集</w:t>
            </w:r>
          </w:p>
          <w:p w14:paraId="60390733">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使用社会工程学及借助各种技术手段进行信息收集，同时对业务系统的DNS信息、注册人信息、服务信息、WAF信息等进行收集。</w:t>
            </w:r>
          </w:p>
          <w:p w14:paraId="737B3094">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3）威胁建模</w:t>
            </w:r>
          </w:p>
          <w:p w14:paraId="33FF6C37">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对获取的信息进行分析，确定最有效、可行的渗透测试方案。</w:t>
            </w:r>
          </w:p>
          <w:p w14:paraId="327A589F">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4）漏洞分析</w:t>
            </w:r>
          </w:p>
          <w:p w14:paraId="69363962">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对所获取的信息，包括系统类型、系统开启的服务、业务端口、漏洞扫描的结果等信息，通过可以获取的渗透代码资源找出可以实施渗透，在测试过程中进行验证，并开发出相应的漏洞利用代码。</w:t>
            </w:r>
          </w:p>
          <w:p w14:paraId="5E891227">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5）渗透测试</w:t>
            </w:r>
          </w:p>
          <w:p w14:paraId="201172C7">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保证原有测试系统业务正常平稳运行的前提下，利用专业手段展开渗透测试。</w:t>
            </w:r>
          </w:p>
          <w:p w14:paraId="78202D5A">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6）书面报告编写</w:t>
            </w:r>
          </w:p>
          <w:p w14:paraId="080FA408">
            <w:pPr>
              <w:snapToGrid w:val="0"/>
              <w:spacing w:line="360" w:lineRule="exact"/>
              <w:ind w:firstLine="420" w:firstLineChars="200"/>
              <w:jc w:val="left"/>
              <w:rPr>
                <w:rFonts w:ascii="宋体" w:hAnsi="宋体" w:cs="宋体"/>
                <w:color w:val="auto"/>
                <w:szCs w:val="21"/>
                <w:highlight w:val="none"/>
              </w:rPr>
            </w:pPr>
            <w:r>
              <w:rPr>
                <w:rFonts w:hint="eastAsia" w:ascii="宋体" w:hAnsi="宋体"/>
                <w:color w:val="auto"/>
                <w:szCs w:val="21"/>
                <w:highlight w:val="none"/>
              </w:rPr>
              <w:t>渗透测试完成后，根据测试情况将结果以书面文档的形式提交《渗透测试报告》，并针对系统中存在的脆弱环节及安全问题给出修复建议。</w:t>
            </w:r>
          </w:p>
        </w:tc>
      </w:tr>
      <w:tr w14:paraId="0232E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left w:val="single" w:color="auto" w:sz="4" w:space="0"/>
              <w:bottom w:val="single" w:color="auto" w:sz="4" w:space="0"/>
              <w:right w:val="single" w:color="auto" w:sz="4" w:space="0"/>
            </w:tcBorders>
          </w:tcPr>
          <w:p w14:paraId="5FDF4C58">
            <w:pPr>
              <w:spacing w:line="360" w:lineRule="auto"/>
              <w:rPr>
                <w:rFonts w:ascii="宋体" w:hAnsi="宋体" w:cs="宋体"/>
                <w:color w:val="auto"/>
                <w:szCs w:val="21"/>
                <w:highlight w:val="none"/>
              </w:rPr>
            </w:pPr>
            <w:r>
              <w:rPr>
                <w:rFonts w:hint="eastAsia" w:ascii="宋体" w:hAnsi="宋体" w:cs="宋体"/>
                <w:b/>
                <w:color w:val="auto"/>
                <w:szCs w:val="21"/>
                <w:highlight w:val="none"/>
              </w:rPr>
              <w:t>商务要求</w:t>
            </w:r>
          </w:p>
        </w:tc>
      </w:tr>
      <w:tr w14:paraId="6DD5D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2EBC5801">
            <w:pPr>
              <w:spacing w:line="360" w:lineRule="exact"/>
              <w:jc w:val="center"/>
              <w:rPr>
                <w:rFonts w:ascii="宋体" w:hAnsi="宋体"/>
                <w:color w:val="auto"/>
                <w:szCs w:val="21"/>
                <w:highlight w:val="none"/>
              </w:rPr>
            </w:pPr>
            <w:r>
              <w:rPr>
                <w:rFonts w:hint="eastAsia" w:ascii="宋体" w:hAnsi="宋体"/>
                <w:color w:val="auto"/>
                <w:szCs w:val="21"/>
                <w:highlight w:val="none"/>
              </w:rPr>
              <w:t>▲合同履约期限及地点</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169F4B79">
            <w:pPr>
              <w:numPr>
                <w:ilvl w:val="0"/>
                <w:numId w:val="12"/>
              </w:numPr>
              <w:spacing w:line="360" w:lineRule="exact"/>
              <w:jc w:val="left"/>
              <w:rPr>
                <w:rFonts w:ascii="宋体" w:hAnsi="宋体" w:cs="宋体"/>
                <w:color w:val="auto"/>
                <w:szCs w:val="21"/>
                <w:highlight w:val="none"/>
              </w:rPr>
            </w:pPr>
            <w:r>
              <w:rPr>
                <w:rFonts w:hint="eastAsia" w:ascii="宋体" w:hAnsi="宋体"/>
                <w:color w:val="auto"/>
                <w:szCs w:val="21"/>
                <w:highlight w:val="none"/>
              </w:rPr>
              <w:t>合同履约期限：</w:t>
            </w:r>
            <w:r>
              <w:rPr>
                <w:rFonts w:hint="eastAsia" w:ascii="宋体" w:hAnsi="宋体" w:cs="宋体"/>
                <w:color w:val="auto"/>
                <w:szCs w:val="21"/>
                <w:highlight w:val="none"/>
              </w:rPr>
              <w:t>本项目服务期限为合同签订后，自2025年7月25日起一年</w:t>
            </w:r>
          </w:p>
          <w:p w14:paraId="057DCD96">
            <w:pPr>
              <w:pStyle w:val="16"/>
              <w:ind w:firstLine="0" w:firstLineChars="0"/>
              <w:jc w:val="left"/>
              <w:rPr>
                <w:color w:val="auto"/>
                <w:highlight w:val="none"/>
              </w:rPr>
            </w:pPr>
            <w:r>
              <w:rPr>
                <w:rFonts w:hint="eastAsia"/>
                <w:color w:val="auto"/>
                <w:highlight w:val="none"/>
              </w:rPr>
              <w:t>3、地点：采购人指定地点。</w:t>
            </w:r>
          </w:p>
        </w:tc>
      </w:tr>
      <w:tr w14:paraId="370BB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4D89D346">
            <w:pPr>
              <w:spacing w:line="360" w:lineRule="exact"/>
              <w:jc w:val="center"/>
              <w:rPr>
                <w:rFonts w:ascii="宋体" w:hAnsi="宋体" w:cs="宋体"/>
                <w:b/>
                <w:color w:val="auto"/>
                <w:szCs w:val="21"/>
                <w:highlight w:val="none"/>
              </w:rPr>
            </w:pPr>
            <w:r>
              <w:rPr>
                <w:rFonts w:hint="eastAsia" w:ascii="宋体" w:hAnsi="宋体"/>
                <w:color w:val="auto"/>
                <w:szCs w:val="21"/>
                <w:highlight w:val="none"/>
              </w:rPr>
              <w:t>▲付款方式</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2867FECF">
            <w:pPr>
              <w:spacing w:line="360" w:lineRule="exact"/>
              <w:rPr>
                <w:rFonts w:ascii="宋体" w:hAnsi="宋体" w:cs="宋体"/>
                <w:color w:val="auto"/>
                <w:szCs w:val="22"/>
                <w:highlight w:val="none"/>
              </w:rPr>
            </w:pPr>
            <w:r>
              <w:rPr>
                <w:rFonts w:hint="eastAsia"/>
                <w:color w:val="auto"/>
                <w:highlight w:val="none"/>
              </w:rPr>
              <w:t>合同签订后，10个工作日内付合同款40%，提供驻场并开始实施服务后付50%，经初步验收合格后15个工作日内支付合同款10%</w:t>
            </w:r>
            <w:r>
              <w:rPr>
                <w:rFonts w:hint="eastAsia" w:ascii="宋体" w:hAnsi="宋体" w:cs="宋体"/>
                <w:color w:val="auto"/>
                <w:highlight w:val="none"/>
              </w:rPr>
              <w:t>。供应商自收到合同款之日起15个工作日内开具发票给采购人。</w:t>
            </w:r>
          </w:p>
        </w:tc>
      </w:tr>
      <w:tr w14:paraId="5AAAC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4C14C0A0">
            <w:pPr>
              <w:spacing w:line="360" w:lineRule="exact"/>
              <w:jc w:val="center"/>
              <w:rPr>
                <w:rFonts w:ascii="宋体" w:hAnsi="宋体" w:cs="宋体"/>
                <w:color w:val="auto"/>
                <w:szCs w:val="21"/>
                <w:highlight w:val="none"/>
              </w:rPr>
            </w:pPr>
            <w:r>
              <w:rPr>
                <w:rFonts w:hint="eastAsia" w:ascii="宋体" w:hAnsi="宋体"/>
                <w:color w:val="auto"/>
                <w:szCs w:val="21"/>
                <w:highlight w:val="none"/>
              </w:rPr>
              <w:t>▲磋商报价要求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04251BB5">
            <w:pPr>
              <w:spacing w:line="360" w:lineRule="exact"/>
              <w:rPr>
                <w:rFonts w:ascii="宋体" w:hAnsi="宋体" w:cs="宋体"/>
                <w:bCs/>
                <w:color w:val="auto"/>
                <w:szCs w:val="22"/>
                <w:highlight w:val="none"/>
              </w:rPr>
            </w:pPr>
            <w:r>
              <w:rPr>
                <w:rFonts w:hint="eastAsia" w:ascii="宋体" w:hAnsi="宋体" w:cs="宋体"/>
                <w:color w:val="auto"/>
                <w:highlight w:val="none"/>
              </w:rPr>
              <w:t>报价包括完成本项目“项目需求”中所列所有服务内容产生的所有成本、项目验收、税金、利润等费用，采购人不再另行支付任何费用</w:t>
            </w:r>
            <w:r>
              <w:rPr>
                <w:rFonts w:hint="eastAsia"/>
                <w:color w:val="auto"/>
                <w:szCs w:val="21"/>
                <w:highlight w:val="none"/>
              </w:rPr>
              <w:t>。</w:t>
            </w:r>
          </w:p>
        </w:tc>
      </w:tr>
    </w:tbl>
    <w:p w14:paraId="12EDBE9B">
      <w:pPr>
        <w:rPr>
          <w:rFonts w:ascii="宋体" w:hAnsi="宋体" w:cs="宋体"/>
          <w:b/>
          <w:color w:val="auto"/>
          <w:szCs w:val="21"/>
          <w:highlight w:val="none"/>
        </w:rPr>
      </w:pPr>
    </w:p>
    <w:p w14:paraId="2380593A">
      <w:pPr>
        <w:rPr>
          <w:rFonts w:ascii="宋体" w:hAnsi="宋体" w:cs="宋体"/>
          <w:b/>
          <w:color w:val="auto"/>
          <w:szCs w:val="21"/>
          <w:highlight w:val="none"/>
        </w:rPr>
      </w:pPr>
    </w:p>
    <w:p w14:paraId="53834E03">
      <w:pPr>
        <w:rPr>
          <w:rFonts w:ascii="宋体" w:hAnsi="宋体" w:cs="宋体"/>
          <w:bCs/>
          <w:color w:val="auto"/>
          <w:szCs w:val="21"/>
          <w:highlight w:val="none"/>
          <w:u w:val="single"/>
        </w:rPr>
      </w:pPr>
      <w:r>
        <w:rPr>
          <w:rFonts w:hint="eastAsia" w:ascii="宋体" w:hAnsi="宋体" w:cs="宋体"/>
          <w:b/>
          <w:color w:val="auto"/>
          <w:szCs w:val="21"/>
          <w:highlight w:val="none"/>
        </w:rPr>
        <w:t>分标7（异地容灾备份服务）     采购预算：</w:t>
      </w:r>
      <w:r>
        <w:rPr>
          <w:rFonts w:hint="eastAsia" w:ascii="宋体" w:hAnsi="宋体"/>
          <w:b/>
          <w:bCs/>
          <w:color w:val="auto"/>
          <w:szCs w:val="21"/>
          <w:highlight w:val="none"/>
          <w:u w:val="single"/>
        </w:rPr>
        <w:t xml:space="preserve">  40.39万元</w:t>
      </w: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4207C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6F045303">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73D05A1E">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4611EC60">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225F0BB1">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14:paraId="6F501898">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69B8310D">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6AF31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33211622">
            <w:pPr>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rPr>
              <w:t>1</w:t>
            </w:r>
          </w:p>
        </w:tc>
        <w:tc>
          <w:tcPr>
            <w:tcW w:w="1516" w:type="dxa"/>
            <w:gridSpan w:val="2"/>
            <w:vAlign w:val="center"/>
          </w:tcPr>
          <w:p w14:paraId="2EF544E8">
            <w:pPr>
              <w:tabs>
                <w:tab w:val="left" w:pos="180"/>
                <w:tab w:val="left" w:pos="1620"/>
              </w:tabs>
              <w:spacing w:line="360" w:lineRule="exact"/>
              <w:jc w:val="center"/>
              <w:rPr>
                <w:rFonts w:ascii="宋体" w:hAnsi="宋体" w:cs="宋体"/>
                <w:color w:val="auto"/>
                <w:szCs w:val="21"/>
                <w:highlight w:val="none"/>
              </w:rPr>
            </w:pPr>
            <w:r>
              <w:rPr>
                <w:rFonts w:hint="eastAsia" w:ascii="宋体" w:hAnsi="宋体"/>
                <w:color w:val="auto"/>
                <w:szCs w:val="21"/>
                <w:highlight w:val="none"/>
              </w:rPr>
              <w:t>异地容灾备份服务</w:t>
            </w:r>
          </w:p>
        </w:tc>
        <w:tc>
          <w:tcPr>
            <w:tcW w:w="1050" w:type="dxa"/>
            <w:vAlign w:val="center"/>
          </w:tcPr>
          <w:p w14:paraId="18A2ACC0">
            <w:pPr>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rPr>
              <w:t>1项</w:t>
            </w:r>
          </w:p>
        </w:tc>
        <w:tc>
          <w:tcPr>
            <w:tcW w:w="1077" w:type="dxa"/>
            <w:vAlign w:val="center"/>
          </w:tcPr>
          <w:p w14:paraId="2E0E33F6">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软件和信息技术服务业</w:t>
            </w:r>
          </w:p>
        </w:tc>
        <w:tc>
          <w:tcPr>
            <w:tcW w:w="5416" w:type="dxa"/>
          </w:tcPr>
          <w:p w14:paraId="6EE81DE8">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（一）异地容灾备份服务要求：</w:t>
            </w:r>
          </w:p>
          <w:p w14:paraId="2261154C">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1.提供不少于200TB（含SAS）异地备份数据存储容量，提供3副本保护。</w:t>
            </w:r>
          </w:p>
          <w:p w14:paraId="6063C29E">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2.必须与广西壮族自治区农业信息中心备份系统（爱数  AnyBackupvx2400）功能无缝融合并互联互通，实现异地灾备机制。</w:t>
            </w:r>
          </w:p>
          <w:p w14:paraId="2DB12AF3">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3.应支持广泛的操作系统平台，包括且不限于Solaris、Linux、（RedHat/SuSe/CentOS/Ubuntu/Oracle）、Windows等。</w:t>
            </w:r>
          </w:p>
          <w:p w14:paraId="7AE8E717">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4.支持虚拟机即时恢复、重复数据删除、数据消重等功能。</w:t>
            </w:r>
          </w:p>
          <w:p w14:paraId="0BF42128">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5.支持物理环境和虚拟环境的统一备份管理，支持主流UNIX/Linux/Windows平台上的文件、操作系统及各主流数据库的在线备份。</w:t>
            </w:r>
          </w:p>
          <w:p w14:paraId="0B746900">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6.现有业务系统及资源情况，结合虚拟化平台备份、数据库备份、业务应急等不同等级的备份手段，制定合适的灾备策略。</w:t>
            </w:r>
          </w:p>
          <w:p w14:paraId="4DBE5F91">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（二）异地容灾备份基础环境要求：</w:t>
            </w:r>
          </w:p>
          <w:p w14:paraId="4FC080FD">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1.为保证业务数据备份安全性、有效性和维护便利性，异地容灾备份环境距离广西壮族自治区农业信息中心信息中心机房直线距离100KM以上，广西南宁市以外；</w:t>
            </w:r>
          </w:p>
          <w:p w14:paraId="1E5A1006">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2.基础环境具体要求：</w:t>
            </w:r>
          </w:p>
          <w:p w14:paraId="6B280043">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（1）基础环境应位于城市内，建设标准不低于国家二级标准（含），机房应为独立机房，要求配置电梯，与其他的机房的隔断应为实体墙面。</w:t>
            </w:r>
          </w:p>
          <w:p w14:paraId="221FC847">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（2）基础环境的等级应达到三星级（含）以上标准。</w:t>
            </w:r>
          </w:p>
          <w:p w14:paraId="1F3B1AD5">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（3）房层高应为3700mm（含）以上，承重能力应达到1000Kg/㎡（含）以上，地面铺设抗静电活动地板（上沿距地面600mm）。</w:t>
            </w:r>
          </w:p>
          <w:p w14:paraId="2DA72275">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（4）基础环境应具备双路一类市电引入能力，通过ATS开关实现2路市电的切换，设备采用主备双总线接入，保证供电的高可靠性，机房同时配备可靠的后备供电柴油发电机组。</w:t>
            </w:r>
          </w:p>
          <w:p w14:paraId="7DD739AB">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（5）基础环境的机柜采用“面对面、背靠背”式隔离交错排列，形成隔离的冷通道和热通道。</w:t>
            </w:r>
          </w:p>
          <w:p w14:paraId="70C711BF">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（6）基础环境照明设施满足水平面最低500流明，垂直面最低200流明的机房照度要求。</w:t>
            </w:r>
          </w:p>
          <w:p w14:paraId="5CD21777">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（7）基础环境内各主要通道及重要区域均部署监控摄像头，实现24小时实时监控能力，机房区域的视频记录保存时间不少于120天。</w:t>
            </w:r>
          </w:p>
          <w:p w14:paraId="7A38B246">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（8）基础环境配有独立的动力环境监控系统，对机房内部的动力环境、温度湿度等进行24小时的实时监控及报警功能。</w:t>
            </w:r>
          </w:p>
          <w:p w14:paraId="4F0CB9E0">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（9）基础环境应部署烟感、温感等传感器，实现24小时实时火警监控，灭火方式采用七氟丙烷气体灭火。</w:t>
            </w:r>
          </w:p>
          <w:p w14:paraId="5EB63F85">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（10）安排专门人员进行7×24小时值守，随时响应需求，快速处理故障。</w:t>
            </w:r>
          </w:p>
          <w:p w14:paraId="04D2B4C4">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 提供4U机位，用于托管一体化设备。</w:t>
            </w:r>
          </w:p>
          <w:p w14:paraId="5FA57208">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(三)提供灾备演练服务</w:t>
            </w:r>
          </w:p>
          <w:p w14:paraId="0D1BF7B4">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广西农业云平台219台云主机提供1年2次灾备演练服务，需提供原厂工程师服务80人/天，由原厂工程组织实施灾备演练服务；服务内容包含灾备演练规划，演练方案设计，业务系统等级定义及业务关联分析，规划灾备演练流程明确演练组织架构及各方职责，组织和执行事故恢复演练，记录灾备演练过程，分析和评估演练结果；成交后10天内必须提供备份系统生产厂商针对本项目的</w:t>
            </w:r>
            <w:r>
              <w:rPr>
                <w:rFonts w:hint="eastAsia" w:ascii="宋体" w:hAnsi="宋体" w:cs="宋体"/>
                <w:color w:val="auto"/>
                <w:szCs w:val="21"/>
                <w:highlight w:val="none"/>
                <w:lang w:eastAsia="zh-CN"/>
              </w:rPr>
              <w:t>后续服务</w:t>
            </w:r>
            <w:r>
              <w:rPr>
                <w:rFonts w:hint="eastAsia" w:ascii="宋体" w:hAnsi="宋体" w:cs="宋体"/>
                <w:color w:val="auto"/>
                <w:szCs w:val="21"/>
                <w:highlight w:val="none"/>
              </w:rPr>
              <w:t>承诺函，并加盖厂商公章。</w:t>
            </w:r>
          </w:p>
        </w:tc>
      </w:tr>
      <w:tr w14:paraId="09938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0DB8A18B">
            <w:pPr>
              <w:snapToGrid w:val="0"/>
              <w:spacing w:line="360" w:lineRule="exact"/>
              <w:jc w:val="center"/>
              <w:rPr>
                <w:rFonts w:ascii="宋体" w:hAnsi="宋体" w:cs="宋体"/>
                <w:color w:val="auto"/>
                <w:szCs w:val="21"/>
                <w:highlight w:val="none"/>
              </w:rPr>
            </w:pPr>
            <w:r>
              <w:rPr>
                <w:rFonts w:hint="eastAsia"/>
                <w:color w:val="auto"/>
                <w:highlight w:val="none"/>
              </w:rPr>
              <w:t>2</w:t>
            </w:r>
          </w:p>
        </w:tc>
        <w:tc>
          <w:tcPr>
            <w:tcW w:w="1516" w:type="dxa"/>
            <w:gridSpan w:val="2"/>
            <w:vAlign w:val="center"/>
          </w:tcPr>
          <w:p w14:paraId="63DCF6CB">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点对点专线服务</w:t>
            </w:r>
          </w:p>
        </w:tc>
        <w:tc>
          <w:tcPr>
            <w:tcW w:w="1050" w:type="dxa"/>
            <w:vAlign w:val="center"/>
          </w:tcPr>
          <w:p w14:paraId="6C91A5F1">
            <w:pPr>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rPr>
              <w:t>1项</w:t>
            </w:r>
          </w:p>
        </w:tc>
        <w:tc>
          <w:tcPr>
            <w:tcW w:w="1077" w:type="dxa"/>
            <w:vAlign w:val="center"/>
          </w:tcPr>
          <w:p w14:paraId="785B6131">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信息传输业</w:t>
            </w:r>
          </w:p>
        </w:tc>
        <w:tc>
          <w:tcPr>
            <w:tcW w:w="5416" w:type="dxa"/>
          </w:tcPr>
          <w:p w14:paraId="18BE9337">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提供一条100公里以上异地点对点专线服务，用于异地容灾备份数据存储与单位之间进行互联。</w:t>
            </w:r>
          </w:p>
          <w:p w14:paraId="1D5BF742">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点对点专线带宽至少200M。</w:t>
            </w:r>
          </w:p>
        </w:tc>
      </w:tr>
      <w:tr w14:paraId="65ACB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01356387">
            <w:pPr>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rPr>
              <w:t>3</w:t>
            </w:r>
          </w:p>
        </w:tc>
        <w:tc>
          <w:tcPr>
            <w:tcW w:w="1516" w:type="dxa"/>
            <w:gridSpan w:val="2"/>
            <w:vAlign w:val="center"/>
          </w:tcPr>
          <w:p w14:paraId="49704D9A">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备份一体机软件续保服务</w:t>
            </w:r>
          </w:p>
        </w:tc>
        <w:tc>
          <w:tcPr>
            <w:tcW w:w="1050" w:type="dxa"/>
            <w:vAlign w:val="center"/>
          </w:tcPr>
          <w:p w14:paraId="628AC82D">
            <w:pPr>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rPr>
              <w:t>1项</w:t>
            </w:r>
          </w:p>
        </w:tc>
        <w:tc>
          <w:tcPr>
            <w:tcW w:w="1077" w:type="dxa"/>
            <w:vAlign w:val="center"/>
          </w:tcPr>
          <w:p w14:paraId="3B45D9E1">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软件和信息技术服务业</w:t>
            </w:r>
          </w:p>
        </w:tc>
        <w:tc>
          <w:tcPr>
            <w:tcW w:w="5416" w:type="dxa"/>
          </w:tcPr>
          <w:p w14:paraId="7278B26F">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备份一体机爱数AnyBackupvx2400及200T软件维保服务。</w:t>
            </w:r>
          </w:p>
          <w:p w14:paraId="3CE1B3F6">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1、包含为送修服务，将故障硬件通过物流发送到指定备件库，在确认在保修范围后，15个工作日内提供新配件。</w:t>
            </w:r>
          </w:p>
          <w:p w14:paraId="20220155">
            <w:pPr>
              <w:snapToGrid w:val="0"/>
              <w:spacing w:line="360" w:lineRule="exact"/>
              <w:ind w:firstLine="420" w:firstLineChars="200"/>
              <w:jc w:val="left"/>
              <w:rPr>
                <w:rFonts w:ascii="宋体" w:hAnsi="宋体" w:cs="宋体"/>
                <w:color w:val="auto"/>
                <w:szCs w:val="21"/>
                <w:highlight w:val="none"/>
              </w:rPr>
            </w:pPr>
            <w:r>
              <w:rPr>
                <w:rFonts w:hint="eastAsia" w:ascii="宋体" w:hAnsi="宋体"/>
                <w:color w:val="auto"/>
                <w:szCs w:val="21"/>
                <w:highlight w:val="none"/>
              </w:rPr>
              <w:t>2、提供白金牌运维服务，服务期内提供远程初始化使用支持，7</w:t>
            </w:r>
            <w:r>
              <w:rPr>
                <w:rFonts w:hint="eastAsia" w:ascii="宋体" w:hAnsi="宋体" w:cs="宋体"/>
                <w:color w:val="auto"/>
                <w:szCs w:val="21"/>
                <w:highlight w:val="none"/>
              </w:rPr>
              <w:t>×</w:t>
            </w:r>
            <w:r>
              <w:rPr>
                <w:rFonts w:hint="eastAsia" w:ascii="宋体" w:hAnsi="宋体"/>
                <w:color w:val="auto"/>
                <w:szCs w:val="21"/>
                <w:highlight w:val="none"/>
              </w:rPr>
              <w:t>24小时远程技术支持，指定技术专席支持，企业IM群支持、关键事件专家支持，专家业务优化指导、运行健康检查（每6月一次），支持分析报告，系统检查提醒，远程开发支持，下一工作日现场故障处理，产品补丁和版本授权提供及远程指导，在线培训以及在线自助服务及其他在线社区类服务。具体服务响应时限如下：热线电话支持30分钟；网络远程支持30分钟；现场故障处理下一工作日；软件补丁和小版本授权24小时。</w:t>
            </w:r>
          </w:p>
        </w:tc>
      </w:tr>
      <w:tr w14:paraId="42A03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left w:val="single" w:color="auto" w:sz="4" w:space="0"/>
              <w:bottom w:val="single" w:color="auto" w:sz="4" w:space="0"/>
              <w:right w:val="single" w:color="auto" w:sz="4" w:space="0"/>
            </w:tcBorders>
          </w:tcPr>
          <w:p w14:paraId="2C10DAB2">
            <w:pPr>
              <w:spacing w:line="360" w:lineRule="auto"/>
              <w:rPr>
                <w:rFonts w:ascii="宋体" w:hAnsi="宋体" w:cs="宋体"/>
                <w:color w:val="auto"/>
                <w:szCs w:val="21"/>
                <w:highlight w:val="none"/>
              </w:rPr>
            </w:pPr>
            <w:r>
              <w:rPr>
                <w:rFonts w:hint="eastAsia" w:ascii="宋体" w:hAnsi="宋体" w:cs="宋体"/>
                <w:b/>
                <w:color w:val="auto"/>
                <w:szCs w:val="21"/>
                <w:highlight w:val="none"/>
              </w:rPr>
              <w:t>商务要求</w:t>
            </w:r>
          </w:p>
        </w:tc>
      </w:tr>
      <w:tr w14:paraId="56CCF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449D5016">
            <w:pPr>
              <w:spacing w:line="360" w:lineRule="exact"/>
              <w:jc w:val="center"/>
              <w:rPr>
                <w:rFonts w:ascii="宋体" w:hAnsi="宋体" w:cs="宋体"/>
                <w:b/>
                <w:color w:val="auto"/>
                <w:szCs w:val="21"/>
                <w:highlight w:val="none"/>
              </w:rPr>
            </w:pPr>
            <w:r>
              <w:rPr>
                <w:rFonts w:hint="eastAsia" w:ascii="宋体" w:hAnsi="宋体"/>
                <w:color w:val="auto"/>
                <w:szCs w:val="21"/>
                <w:highlight w:val="none"/>
              </w:rPr>
              <w:t>▲磋商报价要求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01DC9E40">
            <w:pPr>
              <w:spacing w:line="360" w:lineRule="exact"/>
              <w:rPr>
                <w:color w:val="auto"/>
                <w:highlight w:val="none"/>
              </w:rPr>
            </w:pPr>
            <w:r>
              <w:rPr>
                <w:rFonts w:hint="eastAsia" w:ascii="宋体" w:hAnsi="宋体" w:cs="宋体"/>
                <w:color w:val="auto"/>
                <w:highlight w:val="none"/>
              </w:rPr>
              <w:t>报价包括完成本项目“项目需求”中所列所有服务内容产生的所有成本、项目验收、税金、利润等费用，采购人不再另行支付任何费用</w:t>
            </w:r>
            <w:r>
              <w:rPr>
                <w:rFonts w:hint="eastAsia"/>
                <w:color w:val="auto"/>
                <w:szCs w:val="21"/>
                <w:highlight w:val="none"/>
              </w:rPr>
              <w:t>。</w:t>
            </w:r>
          </w:p>
        </w:tc>
      </w:tr>
      <w:tr w14:paraId="6C056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1FBE181D">
            <w:pPr>
              <w:spacing w:line="360" w:lineRule="exact"/>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合同履约期限、地点</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553B98D4">
            <w:pPr>
              <w:spacing w:line="360" w:lineRule="exact"/>
              <w:rPr>
                <w:color w:val="auto"/>
                <w:highlight w:val="none"/>
              </w:rPr>
            </w:pPr>
            <w:r>
              <w:rPr>
                <w:rFonts w:hint="eastAsia" w:ascii="宋体" w:hAnsi="宋体" w:cs="宋体"/>
                <w:color w:val="auto"/>
                <w:szCs w:val="21"/>
                <w:highlight w:val="none"/>
              </w:rPr>
              <w:t>1、合同履约期限：合同签订后，2025年7月10日起一年。</w:t>
            </w:r>
          </w:p>
          <w:p w14:paraId="004BAE06">
            <w:pPr>
              <w:spacing w:line="360" w:lineRule="exact"/>
              <w:rPr>
                <w:rFonts w:ascii="宋体" w:hAnsi="宋体" w:cs="宋体"/>
                <w:color w:val="auto"/>
                <w:szCs w:val="21"/>
                <w:highlight w:val="none"/>
              </w:rPr>
            </w:pPr>
            <w:r>
              <w:rPr>
                <w:rFonts w:hint="eastAsia" w:ascii="宋体" w:hAnsi="宋体" w:cs="宋体"/>
                <w:color w:val="auto"/>
                <w:szCs w:val="21"/>
                <w:highlight w:val="none"/>
              </w:rPr>
              <w:t>2、地点：广西区内采购人指定地点。</w:t>
            </w:r>
          </w:p>
        </w:tc>
      </w:tr>
      <w:tr w14:paraId="4B1E2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2AB08C01">
            <w:pPr>
              <w:spacing w:line="360" w:lineRule="exact"/>
              <w:jc w:val="center"/>
              <w:rPr>
                <w:rFonts w:ascii="宋体" w:hAnsi="宋体" w:cs="宋体"/>
                <w:b/>
                <w:color w:val="auto"/>
                <w:szCs w:val="21"/>
                <w:highlight w:val="none"/>
              </w:rPr>
            </w:pPr>
            <w:r>
              <w:rPr>
                <w:rFonts w:hint="eastAsia" w:ascii="宋体" w:hAnsi="宋体"/>
                <w:color w:val="auto"/>
                <w:szCs w:val="21"/>
                <w:highlight w:val="none"/>
              </w:rPr>
              <w:t>▲付款方式</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58B57F1B">
            <w:pPr>
              <w:spacing w:line="360" w:lineRule="exact"/>
              <w:rPr>
                <w:rFonts w:ascii="宋体" w:hAnsi="宋体" w:cs="宋体"/>
                <w:color w:val="auto"/>
                <w:szCs w:val="22"/>
                <w:highlight w:val="none"/>
              </w:rPr>
            </w:pPr>
            <w:r>
              <w:rPr>
                <w:rFonts w:hint="eastAsia"/>
                <w:color w:val="auto"/>
                <w:highlight w:val="none"/>
              </w:rPr>
              <w:t>合同签订后，10个工作日内付合同款40%，部署完成试运行后付50%，经初步验收合格后15个工作日内支付合同款10%。</w:t>
            </w:r>
            <w:r>
              <w:rPr>
                <w:rFonts w:hint="eastAsia" w:ascii="宋体" w:hAnsi="宋体" w:cs="宋体"/>
                <w:color w:val="auto"/>
                <w:highlight w:val="none"/>
              </w:rPr>
              <w:t>供应商自收到合同款之日起15个工作日内开具发票给采购人。</w:t>
            </w:r>
          </w:p>
        </w:tc>
      </w:tr>
      <w:tr w14:paraId="729FA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6E3DA1AF">
            <w:pPr>
              <w:spacing w:line="360" w:lineRule="exact"/>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其他要求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14:paraId="39BF6675">
            <w:pPr>
              <w:spacing w:line="360" w:lineRule="exac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后续服务</w:t>
            </w:r>
            <w:r>
              <w:rPr>
                <w:rFonts w:hint="eastAsia" w:ascii="宋体" w:hAnsi="宋体" w:cs="宋体"/>
                <w:color w:val="auto"/>
                <w:highlight w:val="none"/>
              </w:rPr>
              <w:t>：（1）按国家有关规定实行产品“三包”；（2）免费安装调试；（3）定期回访以及维护；（4）质保期内免费上门维修；</w:t>
            </w:r>
          </w:p>
          <w:p w14:paraId="0DC4CAB2">
            <w:pPr>
              <w:spacing w:line="360" w:lineRule="exact"/>
              <w:rPr>
                <w:rFonts w:ascii="宋体" w:hAnsi="宋体" w:cs="宋体"/>
                <w:color w:val="auto"/>
                <w:highlight w:val="none"/>
              </w:rPr>
            </w:pPr>
            <w:r>
              <w:rPr>
                <w:rFonts w:hint="eastAsia" w:ascii="宋体" w:hAnsi="宋体" w:cs="宋体"/>
                <w:color w:val="auto"/>
                <w:highlight w:val="none"/>
              </w:rPr>
              <w:t>2、技术支持与服务：</w:t>
            </w:r>
          </w:p>
          <w:p w14:paraId="106AC523">
            <w:pPr>
              <w:spacing w:line="360" w:lineRule="exact"/>
              <w:rPr>
                <w:rFonts w:ascii="宋体" w:hAnsi="宋体" w:cs="宋体"/>
                <w:color w:val="auto"/>
                <w:highlight w:val="none"/>
              </w:rPr>
            </w:pPr>
            <w:r>
              <w:rPr>
                <w:rFonts w:hint="eastAsia" w:ascii="宋体" w:hAnsi="宋体" w:cs="宋体"/>
                <w:color w:val="auto"/>
                <w:highlight w:val="none"/>
              </w:rPr>
              <w:t>（1）免费提供技术支持及培训。</w:t>
            </w:r>
          </w:p>
          <w:p w14:paraId="158591CF">
            <w:pPr>
              <w:spacing w:line="360" w:lineRule="exact"/>
              <w:rPr>
                <w:rFonts w:ascii="宋体" w:hAnsi="宋体" w:cs="宋体"/>
                <w:color w:val="auto"/>
                <w:highlight w:val="none"/>
              </w:rPr>
            </w:pPr>
            <w:r>
              <w:rPr>
                <w:rFonts w:hint="eastAsia" w:ascii="宋体" w:hAnsi="宋体" w:cs="宋体"/>
                <w:color w:val="auto"/>
                <w:highlight w:val="none"/>
              </w:rPr>
              <w:t>（2）因成交供应商施工、网络割接等原因影响宽带网络运行的，须至少提前2工作日通知用户，并且尽快消除故障、恢复通信线路。</w:t>
            </w:r>
          </w:p>
          <w:p w14:paraId="40AE1A34">
            <w:pPr>
              <w:spacing w:line="360" w:lineRule="exact"/>
              <w:rPr>
                <w:rFonts w:ascii="宋体" w:hAnsi="宋体" w:cs="宋体"/>
                <w:color w:val="auto"/>
                <w:highlight w:val="none"/>
              </w:rPr>
            </w:pPr>
            <w:r>
              <w:rPr>
                <w:rFonts w:hint="eastAsia" w:ascii="宋体" w:hAnsi="宋体" w:cs="宋体"/>
                <w:color w:val="auto"/>
                <w:highlight w:val="none"/>
              </w:rPr>
              <w:t>（3）提供7×24小时服务，出现问题时4小时内恢复。</w:t>
            </w:r>
          </w:p>
          <w:p w14:paraId="2075FA4D">
            <w:pPr>
              <w:spacing w:line="360" w:lineRule="exact"/>
              <w:rPr>
                <w:rFonts w:ascii="宋体" w:hAnsi="宋体" w:cs="宋体"/>
                <w:color w:val="auto"/>
                <w:highlight w:val="none"/>
              </w:rPr>
            </w:pPr>
            <w:r>
              <w:rPr>
                <w:rFonts w:hint="eastAsia" w:ascii="宋体" w:hAnsi="宋体" w:cs="宋体"/>
                <w:color w:val="auto"/>
                <w:highlight w:val="none"/>
              </w:rPr>
              <w:t>（4）在合同有效期内，采购人线路使用地点若发生变更，成交供应商负责免费移装，并及时接通新迁点的租用电路。</w:t>
            </w:r>
          </w:p>
          <w:p w14:paraId="01AF5EE0">
            <w:pPr>
              <w:spacing w:line="360" w:lineRule="exact"/>
              <w:rPr>
                <w:rFonts w:ascii="宋体" w:hAnsi="宋体" w:cs="宋体"/>
                <w:color w:val="auto"/>
                <w:highlight w:val="none"/>
              </w:rPr>
            </w:pPr>
            <w:r>
              <w:rPr>
                <w:rFonts w:hint="eastAsia" w:ascii="宋体" w:hAnsi="宋体" w:cs="宋体"/>
                <w:color w:val="auto"/>
                <w:highlight w:val="none"/>
              </w:rPr>
              <w:t>3、供应商必须在响应文件中提供具体的</w:t>
            </w:r>
            <w:r>
              <w:rPr>
                <w:rFonts w:hint="eastAsia" w:ascii="宋体" w:hAnsi="宋体" w:cs="宋体"/>
                <w:color w:val="auto"/>
                <w:highlight w:val="none"/>
                <w:lang w:eastAsia="zh-CN"/>
              </w:rPr>
              <w:t>后续服务</w:t>
            </w:r>
            <w:r>
              <w:rPr>
                <w:rFonts w:hint="eastAsia" w:ascii="宋体" w:hAnsi="宋体" w:cs="宋体"/>
                <w:color w:val="auto"/>
                <w:highlight w:val="none"/>
              </w:rPr>
              <w:t>方案和服务机构的详细情况（包括服务机构的地址、服务人员姓名、联系方式等）。</w:t>
            </w:r>
          </w:p>
          <w:p w14:paraId="1075AC4B">
            <w:pPr>
              <w:spacing w:line="360" w:lineRule="exact"/>
              <w:rPr>
                <w:color w:val="auto"/>
                <w:highlight w:val="none"/>
              </w:rPr>
            </w:pPr>
            <w:r>
              <w:rPr>
                <w:rFonts w:hint="eastAsia"/>
                <w:color w:val="auto"/>
                <w:highlight w:val="none"/>
              </w:rPr>
              <w:t>3、成交供应商必须签署相关保密协议，严格遵守协议要求。</w:t>
            </w:r>
          </w:p>
        </w:tc>
      </w:tr>
    </w:tbl>
    <w:p w14:paraId="4A664EDD">
      <w:pPr>
        <w:rPr>
          <w:rFonts w:ascii="宋体" w:hAnsi="宋体" w:cs="宋体"/>
          <w:color w:val="auto"/>
          <w:highlight w:val="none"/>
        </w:rPr>
      </w:pPr>
    </w:p>
    <w:p w14:paraId="66B56872">
      <w:pPr>
        <w:pStyle w:val="2"/>
        <w:spacing w:line="240" w:lineRule="auto"/>
        <w:jc w:val="left"/>
        <w:rPr>
          <w:rFonts w:ascii="宋体" w:hAnsi="宋体" w:cs="宋体"/>
          <w:color w:val="auto"/>
          <w:sz w:val="21"/>
          <w:szCs w:val="21"/>
          <w:highlight w:val="none"/>
        </w:rPr>
      </w:pPr>
    </w:p>
    <w:p w14:paraId="09E10E83">
      <w:pPr>
        <w:rPr>
          <w:rFonts w:ascii="宋体" w:hAnsi="宋体" w:cs="宋体"/>
          <w:color w:val="auto"/>
          <w:highlight w:val="none"/>
        </w:rPr>
      </w:pPr>
      <w:r>
        <w:rPr>
          <w:rFonts w:hint="eastAsia"/>
          <w:color w:val="auto"/>
          <w:sz w:val="24"/>
          <w:highlight w:val="none"/>
        </w:rPr>
        <w:br w:type="page"/>
      </w:r>
    </w:p>
    <w:p w14:paraId="6878C49A">
      <w:pPr>
        <w:rPr>
          <w:rFonts w:ascii="宋体" w:hAnsi="宋体" w:cs="宋体"/>
          <w:color w:val="auto"/>
          <w:highlight w:val="none"/>
        </w:rPr>
      </w:pPr>
    </w:p>
    <w:p w14:paraId="401B3E0F">
      <w:pPr>
        <w:rPr>
          <w:rFonts w:ascii="宋体" w:hAnsi="宋体" w:cs="宋体"/>
          <w:color w:val="auto"/>
          <w:highlight w:val="none"/>
        </w:rPr>
      </w:pPr>
    </w:p>
    <w:p w14:paraId="5BE8567A">
      <w:pPr>
        <w:pStyle w:val="2"/>
        <w:rPr>
          <w:rFonts w:ascii="宋体" w:hAnsi="宋体" w:cs="宋体"/>
          <w:color w:val="auto"/>
          <w:highlight w:val="none"/>
        </w:rPr>
      </w:pPr>
      <w:bookmarkStart w:id="38" w:name="_Toc9102"/>
      <w:bookmarkStart w:id="39" w:name="_Toc31276"/>
      <w:r>
        <w:rPr>
          <w:rFonts w:hint="eastAsia" w:ascii="宋体" w:hAnsi="宋体" w:cs="宋体"/>
          <w:color w:val="auto"/>
          <w:highlight w:val="none"/>
        </w:rPr>
        <w:t>第四章  评审程序、评审方法和评审标准</w:t>
      </w:r>
      <w:bookmarkEnd w:id="38"/>
      <w:bookmarkEnd w:id="39"/>
    </w:p>
    <w:p w14:paraId="4323D086">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一、评审程序和评审方法</w:t>
      </w:r>
    </w:p>
    <w:p w14:paraId="25F04855">
      <w:pPr>
        <w:spacing w:line="360" w:lineRule="auto"/>
        <w:ind w:firstLine="482" w:firstLineChars="200"/>
        <w:rPr>
          <w:rFonts w:ascii="宋体" w:hAnsi="宋体" w:cs="宋体"/>
          <w:b/>
          <w:bCs/>
          <w:color w:val="auto"/>
          <w:sz w:val="24"/>
          <w:highlight w:val="none"/>
        </w:rPr>
      </w:pPr>
    </w:p>
    <w:p w14:paraId="6D087F3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1.资格审查</w:t>
      </w:r>
    </w:p>
    <w:p w14:paraId="3714BE2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1.1响应文件开启后，磋商小组依法对供应商的资格证明文件进行审查。</w:t>
      </w:r>
    </w:p>
    <w:p w14:paraId="00C9846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highlight w:val="none"/>
        </w:rPr>
        <w:t>www.ccgp.gov.cn</w:t>
      </w:r>
      <w:r>
        <w:rPr>
          <w:rFonts w:hint="eastAsia" w:ascii="宋体" w:hAnsi="宋体" w:cs="宋体"/>
          <w:color w:val="auto"/>
          <w:highlight w:val="none"/>
        </w:rPr>
        <w:fldChar w:fldCharType="end"/>
      </w:r>
      <w:r>
        <w:rPr>
          <w:rFonts w:hint="eastAsia" w:ascii="宋体" w:hAnsi="宋体" w:cs="宋体"/>
          <w:color w:val="auto"/>
          <w:szCs w:val="21"/>
          <w:highlight w:val="none"/>
        </w:rPr>
        <w:t>）</w:t>
      </w:r>
    </w:p>
    <w:p w14:paraId="0E4C9D7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4C4A012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（3）查询记录和证据留存方式：通过广西政府采购云平台链接到相关查询网站进行查询及记录。</w:t>
      </w:r>
    </w:p>
    <w:p w14:paraId="17BA733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862AAA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6048EC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1.3供应商有下列情形之一的，资格审查不通过，其响应文件按无效响应处理：</w:t>
      </w:r>
    </w:p>
    <w:p w14:paraId="2D215F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5B06D8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（2）响应文件的资格证明文件缺少任一项“供应商须知前附表”资格证明文件规定的“必须提供”的文件资料的；</w:t>
      </w:r>
    </w:p>
    <w:p w14:paraId="3E10D8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（3）响应文件中的资格证明文件出现任一项不符合“供应商须知前附表”资格证明文件规定的“必须提供”的文件资料要求或者无效的；</w:t>
      </w:r>
    </w:p>
    <w:p w14:paraId="14EA41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14:paraId="753BEF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1.4通过资格审查的合格供应商不足3家的，不得进入符合性审查环节，采购人或者采购代理机构应当重新开展采购活动。</w:t>
      </w:r>
    </w:p>
    <w:p w14:paraId="7AD9BE5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2.符合性审查</w:t>
      </w:r>
    </w:p>
    <w:p w14:paraId="52AE72B6">
      <w:pPr>
        <w:spacing w:line="360" w:lineRule="auto"/>
        <w:ind w:firstLine="420" w:firstLineChars="200"/>
        <w:rPr>
          <w:rFonts w:ascii="宋体" w:hAnsi="宋体" w:cs="宋体"/>
          <w:color w:val="auto"/>
          <w:szCs w:val="21"/>
          <w:highlight w:val="none"/>
        </w:rPr>
      </w:pPr>
      <w:bookmarkStart w:id="40" w:name="_Hlk42528882"/>
      <w:r>
        <w:rPr>
          <w:rFonts w:hint="eastAsia" w:ascii="宋体" w:hAnsi="宋体" w:cs="宋体"/>
          <w:color w:val="auto"/>
          <w:szCs w:val="21"/>
          <w:highlight w:val="none"/>
        </w:rPr>
        <w:t>2.1由磋商小组对资格审查的合格供应商的响应文件的竞标报价、商务、技术等实质性要求进行符合性审查，以确定其是否满足磋商文件的实质性要求。</w:t>
      </w:r>
    </w:p>
    <w:bookmarkEnd w:id="40"/>
    <w:p w14:paraId="1AF5F5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8AB204B">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宋体" w:hAnsi="宋体" w:cs="宋体"/>
          <w:color w:val="auto"/>
          <w:spacing w:val="-6"/>
          <w:szCs w:val="21"/>
          <w:highlight w:val="none"/>
        </w:rPr>
        <w:t>。供应商为自然人的，必须由本人签字并附身份证明。</w:t>
      </w:r>
    </w:p>
    <w:p w14:paraId="1449CE93">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5CDD3C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03CC8D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25265E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5FF139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22F933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4D18AA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2.5商务技术报价评审</w:t>
      </w:r>
    </w:p>
    <w:p w14:paraId="2EC222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在评审时，如发现下列情形之一的，将被视为响应文件无效响应处理：</w:t>
      </w:r>
    </w:p>
    <w:p w14:paraId="227C79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53C61E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7A9BB0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450841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23B523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4）响应文件中的报价商务技术文件出现任一项不符合“供应商须知前附表”中“必须提供”或者“委托时必须提供”文件资料要求的规定或者提供的报价商务技术文件无效。</w:t>
      </w:r>
    </w:p>
    <w:p w14:paraId="433DE1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5）商务条款中标“▲”的条款发生负偏离或者允许负偏离的条款数超过“供应商须知前附表”规定项数的；</w:t>
      </w:r>
    </w:p>
    <w:p w14:paraId="70C095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130304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64ED19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4EDFB0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3CE28F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10）属于“供应商须知正文”第7.5条情形；</w:t>
      </w:r>
    </w:p>
    <w:p w14:paraId="13DC66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11）技术要求中标“▲”的条款发生负偏离或允许负偏离的条款数超过“供应商须知前附表”规定项数的；</w:t>
      </w:r>
    </w:p>
    <w:p w14:paraId="417E36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12）虚假竞标，或者出现其他情形而导致被磋商小组认定无效；</w:t>
      </w:r>
    </w:p>
    <w:p w14:paraId="08DDBA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w:t>
      </w:r>
      <w:bookmarkStart w:id="41"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41"/>
    </w:p>
    <w:p w14:paraId="7788DA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14）响应文件标注的项目名称或者项目编号与磋商文件标注的项目名称或者项目编号不一致的；</w:t>
      </w:r>
    </w:p>
    <w:p w14:paraId="78AB76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15）竞争性磋商文件明确不允许分包，响应文件拟分包的；</w:t>
      </w:r>
    </w:p>
    <w:p w14:paraId="340EB9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16）未响应磋商文件实质性要求；</w:t>
      </w:r>
    </w:p>
    <w:p w14:paraId="1DE6EF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14:paraId="4D2103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04EC13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报价商务技术文件中规定的“竞标报价表”；</w:t>
      </w:r>
    </w:p>
    <w:p w14:paraId="777390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58D3A2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042B3E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4）最后报价超过所竞标分标规定的采购预算金额或者最高限价的（如本项目公布了最高限价）；</w:t>
      </w:r>
      <w:bookmarkStart w:id="42" w:name="_Hlk42596405"/>
      <w:r>
        <w:rPr>
          <w:rFonts w:hint="eastAsia" w:ascii="宋体" w:hAnsi="宋体" w:cs="宋体"/>
          <w:color w:val="auto"/>
          <w:szCs w:val="21"/>
          <w:highlight w:val="none"/>
        </w:rPr>
        <w:t xml:space="preserve"> </w:t>
      </w:r>
      <w:bookmarkEnd w:id="42"/>
    </w:p>
    <w:p w14:paraId="023069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5）修正后的报价，供应商不确认的；或者经供应商确认修正后的最后报价超过所竞标分标规定的采购预算金额或者最高限价（如本项目公布了最高限价）；</w:t>
      </w:r>
    </w:p>
    <w:p w14:paraId="7B6233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6）响应文件响应的标的数量及单位与竞争性磋商文件要求实质性不一致的。</w:t>
      </w:r>
    </w:p>
    <w:p w14:paraId="180281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26A24C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3DBA5A5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3.磋商程序</w:t>
      </w:r>
    </w:p>
    <w:p w14:paraId="426B7231">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5802E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BFCA9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3.3对磋商文件作出的实质性变动是磋商文件的有效组成部分，由磋商小组及时以电子磋商记录形式同时通知所有参加磋商的供应商。</w:t>
      </w:r>
    </w:p>
    <w:p w14:paraId="743FE4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3364DA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3.5磋商中，</w:t>
      </w:r>
      <w:r>
        <w:rPr>
          <w:rFonts w:hint="eastAsia" w:ascii="宋体" w:hAnsi="宋体" w:cs="宋体"/>
          <w:color w:val="auto"/>
          <w:spacing w:val="-6"/>
          <w:szCs w:val="21"/>
          <w:highlight w:val="none"/>
        </w:rPr>
        <w:t>磋商的任何一方不得透露与磋商有关的其他供应商的技术资料、价格和其他信息。</w:t>
      </w:r>
    </w:p>
    <w:p w14:paraId="247D49C1">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3.6对磋商过程提交的响应文件进行有效性、完整性和响应程度审查，通过审查的合格供应商不足3家的，采购人或者采购代理机构应当重新开展采购活动。</w:t>
      </w:r>
    </w:p>
    <w:p w14:paraId="1403F7DD">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cs="宋体"/>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47F7717">
      <w:pPr>
        <w:spacing w:line="360" w:lineRule="auto"/>
        <w:ind w:firstLine="482" w:firstLineChars="200"/>
        <w:rPr>
          <w:rFonts w:ascii="宋体" w:hAnsi="宋体" w:cs="宋体"/>
          <w:color w:val="auto"/>
          <w:szCs w:val="21"/>
          <w:highlight w:val="none"/>
        </w:rPr>
      </w:pPr>
      <w:r>
        <w:rPr>
          <w:rFonts w:hint="eastAsia" w:ascii="宋体" w:hAnsi="宋体" w:cs="宋体"/>
          <w:b/>
          <w:bCs/>
          <w:color w:val="auto"/>
          <w:sz w:val="24"/>
          <w:highlight w:val="none"/>
        </w:rPr>
        <w:t>4. 最后报价</w:t>
      </w:r>
    </w:p>
    <w:p w14:paraId="45EA64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磋商文件能够详细列明采购标的的技术、服务要求的，磋商结束后，由磋商小组要求所有继续参加磋商的供应商在规定时间内以电子文件形式提交最后报价，除本章第2.7、3.7、4.3条外，提交最后报价的供应商不得少于3家，否则必须重新采购。</w:t>
      </w:r>
    </w:p>
    <w:p w14:paraId="32E682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7FC833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最后报价是供应商响应文件的有效组成部分。符合《政府采购竞争性磋商采购方式管理暂行办法》（财库〔2014〕214号）第三条第四项“市场竞争不充分的科研项目，以及需要扶持的科技成果转化项目”和</w:t>
      </w:r>
      <w:r>
        <w:rPr>
          <w:rFonts w:hint="eastAsia" w:ascii="宋体" w:hAnsi="宋体" w:cs="宋体"/>
          <w:color w:val="auto"/>
          <w:highlight w:val="none"/>
        </w:rPr>
        <w:t>本章第3.8条情形的，</w:t>
      </w:r>
      <w:r>
        <w:rPr>
          <w:rFonts w:hint="eastAsia" w:ascii="宋体" w:hAnsi="宋体" w:cs="宋体"/>
          <w:color w:val="auto"/>
          <w:szCs w:val="21"/>
          <w:highlight w:val="none"/>
        </w:rPr>
        <w:t>提交最后报价的供应商可以为2家。</w:t>
      </w:r>
    </w:p>
    <w:p w14:paraId="496A6D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5A6F9C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4.5供应商未在规定时间内提交最后报价的，视同退出磋商。</w:t>
      </w:r>
    </w:p>
    <w:p w14:paraId="3A8CAA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4.6磋商小组收齐某一分标最后报价后或达到规定时间后统一开启，磋商小组对最后报价进行有效性、完整性和响应程度的审查。</w:t>
      </w:r>
    </w:p>
    <w:p w14:paraId="3D6A50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4.7响应文件最后报价出现前后不一致的，按照本章第2.4条的规定修正。 </w:t>
      </w:r>
    </w:p>
    <w:p w14:paraId="0585AD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4.8经供应商确认修正后的最后报价作为评审及签订合同的依据。</w:t>
      </w:r>
    </w:p>
    <w:p w14:paraId="2665F2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4.9供应商出现最后报价按无效响应处理或者响应文件按无效响应处理时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1E12F2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4.10最后报价结束后，磋商小组不得再与供应商进行任何形式的商谈。</w:t>
      </w:r>
    </w:p>
    <w:p w14:paraId="7A07262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5.比较与评价</w:t>
      </w:r>
    </w:p>
    <w:p w14:paraId="41EDC8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5.1评审方法：综合评分法。</w:t>
      </w:r>
    </w:p>
    <w:p w14:paraId="54F665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2B1935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5.3评审时，磋商小组各成员应当独立对每个有效响应的文件进行评价、打分，然后汇总每个供应商每项评分因素的得分。</w:t>
      </w:r>
    </w:p>
    <w:p w14:paraId="689358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40E8FA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049CCC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5.4评标价为供应商的最后报价进行政策性扣除后的价格，评标价只是作为评审时使用。最终成交供应商的成交金额等于最后报价（如有修正，以确认修正后的最后报价为准）。</w:t>
      </w:r>
    </w:p>
    <w:p w14:paraId="7EB08DE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5.5由磋商小组根据综合评分情况，按照评审得分由高到低顺序推荐3名以上成交候选供应商，并编写评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w:t>
      </w:r>
      <w:r>
        <w:rPr>
          <w:rFonts w:hint="eastAsia" w:ascii="宋体" w:hAnsi="宋体" w:cs="宋体"/>
          <w:color w:val="auto"/>
          <w:szCs w:val="21"/>
          <w:highlight w:val="none"/>
        </w:rPr>
        <w:t>2.7、3.7、4.3</w:t>
      </w:r>
      <w:r>
        <w:rPr>
          <w:rFonts w:hint="eastAsia" w:ascii="宋体" w:hAnsi="宋体" w:cs="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2ECA9A81">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ED5989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二、评审标准</w:t>
      </w:r>
    </w:p>
    <w:p w14:paraId="1CD294E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6.评审依据：磋商小组将以磋商响应文件为评审依据，对供应商的报价、技术、商务等方面内容按百分制打分（计分方法按四舍五入取至百分位）。</w:t>
      </w:r>
    </w:p>
    <w:p w14:paraId="611B00C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01分标</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2C26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73795924">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70226F78">
            <w:pPr>
              <w:adjustRightInd w:val="0"/>
              <w:spacing w:line="41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65E064E7">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0133F2FD">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1D81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3C4CC146">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22C6C693">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7F5AE15A">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20分</w:t>
            </w:r>
          </w:p>
        </w:tc>
        <w:tc>
          <w:tcPr>
            <w:tcW w:w="6909" w:type="dxa"/>
            <w:gridSpan w:val="2"/>
            <w:vAlign w:val="center"/>
          </w:tcPr>
          <w:p w14:paraId="5104766D">
            <w:pPr>
              <w:pStyle w:val="20"/>
              <w:spacing w:line="360" w:lineRule="auto"/>
              <w:ind w:firstLine="422" w:firstLineChars="200"/>
              <w:rPr>
                <w:rFonts w:hAnsi="宋体" w:cs="Courier New"/>
                <w:b/>
                <w:bCs/>
                <w:color w:val="auto"/>
                <w:kern w:val="2"/>
                <w:sz w:val="21"/>
                <w:highlight w:val="none"/>
              </w:rPr>
            </w:pPr>
            <w:r>
              <w:rPr>
                <w:rFonts w:hint="eastAsia" w:hAnsi="宋体" w:cs="Courier New"/>
                <w:b/>
                <w:bCs/>
                <w:color w:val="auto"/>
                <w:kern w:val="2"/>
                <w:sz w:val="21"/>
                <w:highlight w:val="none"/>
              </w:rPr>
              <w:t>一、政府采购政策</w:t>
            </w:r>
          </w:p>
          <w:p w14:paraId="6E35F7A0">
            <w:pPr>
              <w:pStyle w:val="20"/>
              <w:spacing w:line="360" w:lineRule="auto"/>
              <w:ind w:firstLine="420" w:firstLineChars="200"/>
              <w:rPr>
                <w:rFonts w:hAnsi="宋体" w:cs="宋体"/>
                <w:color w:val="auto"/>
                <w:highlight w:val="none"/>
              </w:rPr>
            </w:pPr>
            <w:r>
              <w:rPr>
                <w:rFonts w:hint="eastAsia" w:hAnsi="宋体"/>
                <w:bCs/>
                <w:color w:val="auto"/>
                <w:sz w:val="21"/>
                <w:highlight w:val="none"/>
              </w:rPr>
              <w:t>1、本分标属于专门面向中小企业采购的项目，不再享受价格扣除优惠政策。</w:t>
            </w:r>
          </w:p>
          <w:p w14:paraId="773480F8">
            <w:pPr>
              <w:rPr>
                <w:b/>
                <w:bCs/>
                <w:color w:val="auto"/>
                <w:highlight w:val="none"/>
              </w:rPr>
            </w:pPr>
            <w:bookmarkStart w:id="43" w:name="_Toc21376"/>
            <w:bookmarkStart w:id="44" w:name="_Toc3809"/>
            <w:bookmarkStart w:id="45" w:name="_Toc13033"/>
            <w:r>
              <w:rPr>
                <w:rFonts w:hint="eastAsia"/>
                <w:b/>
                <w:bCs/>
                <w:color w:val="auto"/>
                <w:highlight w:val="none"/>
              </w:rPr>
              <w:t>二、报价分（满分20分）</w:t>
            </w:r>
            <w:bookmarkEnd w:id="43"/>
            <w:bookmarkEnd w:id="44"/>
            <w:bookmarkEnd w:id="45"/>
          </w:p>
          <w:p w14:paraId="26A840C4">
            <w:pPr>
              <w:pStyle w:val="20"/>
              <w:spacing w:line="420" w:lineRule="exact"/>
              <w:ind w:firstLine="420" w:firstLineChars="200"/>
              <w:rPr>
                <w:rFonts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报价分采用低价优先法计算，满足磋商文件要求且最后报价最低的有效供应商的评标价为评标基准价，其报价分为满分。</w:t>
            </w:r>
          </w:p>
          <w:p w14:paraId="27FC0201">
            <w:pPr>
              <w:pStyle w:val="20"/>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2、其他供应商的价格分统一按照下列公式计算：</w:t>
            </w:r>
          </w:p>
          <w:p w14:paraId="01BF01E9">
            <w:pPr>
              <w:pStyle w:val="20"/>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某有效供应商的报价分=（评标基准价／某有效供应商最后报价）×20分</w:t>
            </w:r>
          </w:p>
        </w:tc>
      </w:tr>
      <w:tr w14:paraId="3FD6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restart"/>
            <w:vAlign w:val="center"/>
          </w:tcPr>
          <w:p w14:paraId="553E5F29">
            <w:pPr>
              <w:adjustRightInd w:val="0"/>
              <w:spacing w:line="360" w:lineRule="auto"/>
              <w:jc w:val="center"/>
              <w:textAlignment w:val="baseline"/>
              <w:rPr>
                <w:rFonts w:ascii="宋体" w:hAnsi="宋体" w:cs="宋体"/>
                <w:b/>
                <w:color w:val="auto"/>
                <w:szCs w:val="21"/>
                <w:highlight w:val="none"/>
              </w:rPr>
            </w:pPr>
          </w:p>
        </w:tc>
        <w:tc>
          <w:tcPr>
            <w:tcW w:w="1280" w:type="dxa"/>
            <w:vMerge w:val="restart"/>
            <w:vAlign w:val="center"/>
          </w:tcPr>
          <w:p w14:paraId="775FCCEC">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6ED56624">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73分</w:t>
            </w:r>
          </w:p>
        </w:tc>
        <w:tc>
          <w:tcPr>
            <w:tcW w:w="1244" w:type="dxa"/>
            <w:vAlign w:val="center"/>
          </w:tcPr>
          <w:p w14:paraId="2B334EE9">
            <w:pPr>
              <w:adjustRightInd w:val="0"/>
              <w:spacing w:line="360" w:lineRule="auto"/>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项目理解</w:t>
            </w:r>
          </w:p>
          <w:p w14:paraId="4562EA2A">
            <w:pPr>
              <w:adjustRightInd w:val="0"/>
              <w:spacing w:line="360" w:lineRule="auto"/>
              <w:jc w:val="center"/>
              <w:textAlignment w:val="baseline"/>
              <w:rPr>
                <w:rFonts w:hAnsi="宋体" w:cs="宋体"/>
                <w:bCs/>
                <w:color w:val="auto"/>
                <w:highlight w:val="none"/>
              </w:rPr>
            </w:pPr>
            <w:r>
              <w:rPr>
                <w:rFonts w:hint="eastAsia" w:ascii="宋体" w:hAnsi="宋体" w:cs="宋体"/>
                <w:b/>
                <w:bCs/>
                <w:color w:val="auto"/>
                <w:szCs w:val="21"/>
                <w:highlight w:val="none"/>
              </w:rPr>
              <w:t>（满分22分）</w:t>
            </w:r>
          </w:p>
        </w:tc>
        <w:tc>
          <w:tcPr>
            <w:tcW w:w="5665" w:type="dxa"/>
            <w:vAlign w:val="center"/>
          </w:tcPr>
          <w:p w14:paraId="19737D81">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由磋商小组在打分前根据供应商对</w:t>
            </w:r>
            <w:r>
              <w:rPr>
                <w:rFonts w:hint="eastAsia" w:ascii="宋体" w:hAnsi="宋体" w:cs="宋体"/>
                <w:color w:val="auto"/>
                <w:szCs w:val="21"/>
                <w:highlight w:val="none"/>
              </w:rPr>
              <w:t>项目理解</w:t>
            </w:r>
            <w:r>
              <w:rPr>
                <w:rFonts w:hint="eastAsia" w:ascii="宋体" w:hAnsi="宋体" w:cs="宋体"/>
                <w:bCs/>
                <w:color w:val="auto"/>
                <w:szCs w:val="21"/>
                <w:highlight w:val="none"/>
              </w:rPr>
              <w:t>确定各供应商所属档次及得分。达不到一档要求或不提供的得0分。</w:t>
            </w:r>
          </w:p>
          <w:p w14:paraId="2F55D32A">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一档（7分）：基本理解采购文件要求，对各项服务需求仅有粗浅的认识；</w:t>
            </w:r>
          </w:p>
          <w:p w14:paraId="57C4DA0D">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二档（14分）：对各项服务需求能正确理解，表达基本清晰，对系统需求有较全面的理解；</w:t>
            </w:r>
          </w:p>
          <w:p w14:paraId="583B9EA2">
            <w:pPr>
              <w:spacing w:line="360" w:lineRule="auto"/>
              <w:ind w:firstLine="420" w:firstLineChars="200"/>
              <w:jc w:val="left"/>
              <w:rPr>
                <w:rFonts w:cs="宋体"/>
                <w:bCs/>
                <w:color w:val="auto"/>
                <w:highlight w:val="none"/>
              </w:rPr>
            </w:pPr>
            <w:r>
              <w:rPr>
                <w:rFonts w:hint="eastAsia" w:ascii="宋体" w:hAnsi="宋体" w:cs="宋体"/>
                <w:bCs/>
                <w:color w:val="auto"/>
                <w:szCs w:val="21"/>
                <w:highlight w:val="none"/>
              </w:rPr>
              <w:t>三档（22分）：对各项服务需求有深刻认识，表达清晰、说明明确。对各项服务需求有全面详尽的理解、描述完整。</w:t>
            </w:r>
          </w:p>
        </w:tc>
      </w:tr>
      <w:tr w14:paraId="6654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4B5E8864">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0ACACDD9">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1725BC0B">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349F5F55">
            <w:pPr>
              <w:spacing w:line="360" w:lineRule="auto"/>
              <w:jc w:val="center"/>
              <w:rPr>
                <w:rFonts w:hAnsi="宋体"/>
                <w:b/>
                <w:color w:val="auto"/>
                <w:highlight w:val="none"/>
              </w:rPr>
            </w:pPr>
            <w:r>
              <w:rPr>
                <w:rFonts w:hint="eastAsia" w:hAnsi="宋体"/>
                <w:b/>
                <w:color w:val="auto"/>
                <w:highlight w:val="none"/>
              </w:rPr>
              <w:t>技术服务实施方案</w:t>
            </w:r>
          </w:p>
          <w:p w14:paraId="03919FF0">
            <w:pPr>
              <w:spacing w:line="360" w:lineRule="auto"/>
              <w:jc w:val="center"/>
              <w:rPr>
                <w:rFonts w:ascii="宋体" w:hAnsi="宋体" w:cs="宋体"/>
                <w:bCs/>
                <w:color w:val="auto"/>
                <w:szCs w:val="21"/>
                <w:highlight w:val="none"/>
              </w:rPr>
            </w:pPr>
            <w:r>
              <w:rPr>
                <w:rFonts w:hint="eastAsia" w:hAnsi="宋体"/>
                <w:b/>
                <w:color w:val="auto"/>
                <w:highlight w:val="none"/>
              </w:rPr>
              <w:t>（满分30分）</w:t>
            </w:r>
          </w:p>
        </w:tc>
        <w:tc>
          <w:tcPr>
            <w:tcW w:w="5665" w:type="dxa"/>
            <w:vAlign w:val="center"/>
          </w:tcPr>
          <w:p w14:paraId="527E7992">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由磋商小组在打分前根据供应商提供的技术服务实施方案确定各供应商所属档次及得分。达不到一档要求或不提供的得0分。</w:t>
            </w:r>
          </w:p>
          <w:p w14:paraId="5347C33B">
            <w:pPr>
              <w:pStyle w:val="2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针对本项目服务内容进行理解分析，分析工作中可能出现的服务重点和难点，并提出相应解决措施；服务内容及例行检查方案；拟投入人员工作安排；故障排除进度及保障措施；项目实施备品备件清单及管理方案。</w:t>
            </w:r>
          </w:p>
          <w:p w14:paraId="603FB8BE">
            <w:pPr>
              <w:pStyle w:val="2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一档（10分）：方案简单，基本符合要求；针对本项目，成立运维小组。</w:t>
            </w:r>
          </w:p>
          <w:p w14:paraId="05CD869F">
            <w:pPr>
              <w:pStyle w:val="20"/>
              <w:spacing w:line="360" w:lineRule="auto"/>
              <w:ind w:firstLine="400" w:firstLineChars="200"/>
              <w:jc w:val="left"/>
              <w:rPr>
                <w:rFonts w:hAnsi="宋体" w:cs="宋体"/>
                <w:color w:val="auto"/>
                <w:sz w:val="21"/>
                <w:highlight w:val="none"/>
              </w:rPr>
            </w:pPr>
            <w:r>
              <w:rPr>
                <w:rFonts w:hint="eastAsia" w:hAnsi="宋体" w:cs="宋体"/>
                <w:color w:val="auto"/>
                <w:szCs w:val="20"/>
                <w:highlight w:val="none"/>
                <w:lang w:bidi="ar"/>
              </w:rPr>
              <w:t>二档（20 分）：</w:t>
            </w:r>
            <w:r>
              <w:rPr>
                <w:rFonts w:hint="eastAsia" w:hAnsi="宋体" w:cs="宋体"/>
                <w:color w:val="auto"/>
                <w:sz w:val="21"/>
                <w:highlight w:val="none"/>
              </w:rPr>
              <w:t xml:space="preserve">需求理解到位，符合实际，方案基 </w:t>
            </w:r>
          </w:p>
          <w:p w14:paraId="03FF8D9D">
            <w:pPr>
              <w:pStyle w:val="20"/>
              <w:spacing w:line="360" w:lineRule="auto"/>
              <w:jc w:val="left"/>
              <w:rPr>
                <w:rFonts w:hAnsi="宋体" w:cs="宋体"/>
                <w:color w:val="auto"/>
                <w:sz w:val="21"/>
                <w:highlight w:val="none"/>
              </w:rPr>
            </w:pPr>
            <w:r>
              <w:rPr>
                <w:rFonts w:hint="eastAsia" w:hAnsi="宋体" w:cs="宋体"/>
                <w:color w:val="auto"/>
                <w:sz w:val="21"/>
                <w:highlight w:val="none"/>
              </w:rPr>
              <w:t xml:space="preserve">本满足采购需求，解决措施可行、较详细的。人员配备 </w:t>
            </w:r>
          </w:p>
          <w:p w14:paraId="03887166">
            <w:pPr>
              <w:pStyle w:val="20"/>
              <w:spacing w:line="360" w:lineRule="auto"/>
              <w:jc w:val="left"/>
              <w:rPr>
                <w:rFonts w:hAnsi="宋体" w:cs="宋体"/>
                <w:color w:val="auto"/>
                <w:sz w:val="21"/>
                <w:highlight w:val="none"/>
              </w:rPr>
            </w:pPr>
            <w:r>
              <w:rPr>
                <w:rFonts w:hint="eastAsia" w:hAnsi="宋体" w:cs="宋体"/>
                <w:color w:val="auto"/>
                <w:sz w:val="21"/>
                <w:highlight w:val="none"/>
              </w:rPr>
              <w:t xml:space="preserve">合理，基本了解采购人现有设备、网络等。针对本项目， </w:t>
            </w:r>
          </w:p>
          <w:p w14:paraId="0DB3071F">
            <w:pPr>
              <w:pStyle w:val="20"/>
              <w:spacing w:line="360" w:lineRule="auto"/>
              <w:jc w:val="left"/>
              <w:rPr>
                <w:rFonts w:hAnsi="宋体" w:cs="宋体"/>
                <w:color w:val="auto"/>
                <w:sz w:val="21"/>
                <w:highlight w:val="none"/>
              </w:rPr>
            </w:pPr>
            <w:r>
              <w:rPr>
                <w:rFonts w:hint="eastAsia" w:hAnsi="宋体" w:cs="宋体"/>
                <w:color w:val="auto"/>
                <w:sz w:val="21"/>
                <w:highlight w:val="none"/>
              </w:rPr>
              <w:t>成立运维小组，其中包含 1 名项目负责人， 具备系统规划与管理师证书；1 名运维主管，要求具备ITSS IT服务项目经理证书。</w:t>
            </w:r>
          </w:p>
          <w:p w14:paraId="63C2D66A">
            <w:pPr>
              <w:pStyle w:val="2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 xml:space="preserve">三档（30 分）：对项目需求理解透彻，方案针对性 </w:t>
            </w:r>
          </w:p>
          <w:p w14:paraId="5D300D97">
            <w:pPr>
              <w:pStyle w:val="20"/>
              <w:spacing w:line="360" w:lineRule="auto"/>
              <w:jc w:val="left"/>
              <w:rPr>
                <w:rFonts w:hAnsi="宋体" w:cs="宋体"/>
                <w:color w:val="auto"/>
                <w:sz w:val="21"/>
                <w:highlight w:val="none"/>
              </w:rPr>
            </w:pPr>
            <w:r>
              <w:rPr>
                <w:rFonts w:hint="eastAsia" w:hAnsi="宋体" w:cs="宋体"/>
                <w:color w:val="auto"/>
                <w:sz w:val="21"/>
                <w:highlight w:val="none"/>
              </w:rPr>
              <w:t xml:space="preserve">强，定位准确、分析合理，措施得力，内容严谨、简练 </w:t>
            </w:r>
          </w:p>
          <w:p w14:paraId="07373A17">
            <w:pPr>
              <w:pStyle w:val="20"/>
              <w:spacing w:line="360" w:lineRule="auto"/>
              <w:jc w:val="left"/>
              <w:rPr>
                <w:rFonts w:hAnsi="宋体" w:cs="宋体"/>
                <w:color w:val="auto"/>
                <w:sz w:val="21"/>
                <w:highlight w:val="none"/>
              </w:rPr>
            </w:pPr>
            <w:r>
              <w:rPr>
                <w:rFonts w:hint="eastAsia" w:hAnsi="宋体" w:cs="宋体"/>
                <w:color w:val="auto"/>
                <w:sz w:val="21"/>
                <w:highlight w:val="none"/>
              </w:rPr>
              <w:t xml:space="preserve">的，人员配备合理充足，对采购人现有的设备、网络等 </w:t>
            </w:r>
          </w:p>
          <w:p w14:paraId="5A80A3ED">
            <w:pPr>
              <w:pStyle w:val="20"/>
              <w:spacing w:line="360" w:lineRule="auto"/>
              <w:jc w:val="left"/>
              <w:rPr>
                <w:rFonts w:hAnsi="宋体" w:cs="宋体"/>
                <w:color w:val="auto"/>
                <w:sz w:val="21"/>
                <w:highlight w:val="none"/>
              </w:rPr>
            </w:pPr>
            <w:r>
              <w:rPr>
                <w:rFonts w:hint="eastAsia" w:hAnsi="宋体" w:cs="宋体"/>
                <w:color w:val="auto"/>
                <w:sz w:val="21"/>
                <w:highlight w:val="none"/>
              </w:rPr>
              <w:t>全面了解。针对本项目，成立运维小组， 其中包含 1 名项目负责人，具备系统规划与管理师证书； 1 名运维主管，要求同时具备ITSS IT服务项目经理证书及高级网络与信息安全工程师证书；运维人员中至少有1名高级网络与信息安全工程师。</w:t>
            </w:r>
          </w:p>
          <w:p w14:paraId="692B42AA">
            <w:pPr>
              <w:pStyle w:val="20"/>
              <w:spacing w:line="360" w:lineRule="auto"/>
              <w:ind w:firstLine="420" w:firstLineChars="200"/>
              <w:jc w:val="left"/>
              <w:rPr>
                <w:color w:val="auto"/>
                <w:highlight w:val="none"/>
              </w:rPr>
            </w:pPr>
            <w:r>
              <w:rPr>
                <w:rFonts w:hint="eastAsia" w:hAnsi="宋体" w:cs="宋体"/>
                <w:color w:val="auto"/>
                <w:sz w:val="21"/>
                <w:highlight w:val="none"/>
              </w:rPr>
              <w:t>注：须提供以上服务人员资格证书复印件，否则不得分；以上所有人员须提供由县级以上（含县级）社会养老保险经办机构出具的供应商为项目人员交纳的开标截止时间前3个月（指竞标截止之日当月前3个月）内任意一个月社保证明的原件或复印件扫描件；如供应商为截标时间前60日以内成立的公司或项目人员为近一个月（指竞标截止之日当日前一个月）内入职的新员工的，可以提供供应商与项目实施人员签订的劳动合同的原件或复印件扫描件代替社保证明；退休聘用人员，提供聘用合同及退休证明复印件扫描件代替社保证明；临时聘用人员，仅须提供聘用合同复印件扫描件，否则不得分。扫描件均需加盖公章。</w:t>
            </w:r>
          </w:p>
        </w:tc>
      </w:tr>
      <w:tr w14:paraId="41EF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648CB686">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07186815">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4F8F8E4F">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58BEF29F">
            <w:pPr>
              <w:spacing w:line="360" w:lineRule="auto"/>
              <w:jc w:val="center"/>
              <w:rPr>
                <w:rFonts w:ascii="宋体" w:hAnsi="宋体" w:cs="宋体"/>
                <w:b/>
                <w:color w:val="auto"/>
                <w:szCs w:val="21"/>
                <w:highlight w:val="none"/>
              </w:rPr>
            </w:pPr>
            <w:r>
              <w:rPr>
                <w:rFonts w:hint="eastAsia" w:ascii="宋体" w:hAnsi="宋体"/>
                <w:b/>
                <w:color w:val="auto"/>
                <w:szCs w:val="21"/>
                <w:highlight w:val="none"/>
              </w:rPr>
              <w:t>后续服务（满分21分）</w:t>
            </w:r>
          </w:p>
        </w:tc>
        <w:tc>
          <w:tcPr>
            <w:tcW w:w="5665" w:type="dxa"/>
            <w:vAlign w:val="center"/>
          </w:tcPr>
          <w:p w14:paraId="77F11637">
            <w:pPr>
              <w:spacing w:line="360" w:lineRule="auto"/>
              <w:ind w:firstLine="420" w:firstLineChars="200"/>
              <w:jc w:val="left"/>
              <w:rPr>
                <w:rFonts w:ascii="宋体" w:hAnsi="宋体" w:cs="仿宋"/>
                <w:color w:val="auto"/>
                <w:spacing w:val="-3"/>
                <w:szCs w:val="21"/>
                <w:highlight w:val="none"/>
              </w:rPr>
            </w:pPr>
            <w:r>
              <w:rPr>
                <w:rFonts w:hint="eastAsia" w:ascii="宋体" w:hAnsi="宋体"/>
                <w:bCs/>
                <w:color w:val="auto"/>
                <w:szCs w:val="21"/>
                <w:highlight w:val="none"/>
              </w:rPr>
              <w:t>由磋商小组在打分前根据供应商的后续服务确定各供应商所属档次及得分。达不到一档要求或不提供的得0分。</w:t>
            </w:r>
          </w:p>
          <w:p w14:paraId="6B4B4FB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一档（7分）：后续服务承诺书内容的完整性、可行性、免费保修期限、到达故障现场时间、故障出现解决方案、定期维护、保修期外维修方案等方面</w:t>
            </w:r>
            <w:r>
              <w:rPr>
                <w:rFonts w:ascii="宋体" w:hAnsi="宋体"/>
                <w:bCs/>
                <w:color w:val="auto"/>
                <w:szCs w:val="21"/>
                <w:highlight w:val="none"/>
              </w:rPr>
              <w:t>简单阐述</w:t>
            </w:r>
            <w:r>
              <w:rPr>
                <w:rFonts w:hint="eastAsia" w:ascii="宋体" w:hAnsi="宋体"/>
                <w:bCs/>
                <w:color w:val="auto"/>
                <w:szCs w:val="21"/>
                <w:highlight w:val="none"/>
              </w:rPr>
              <w:t xml:space="preserve">； </w:t>
            </w:r>
          </w:p>
          <w:p w14:paraId="3D8AB342">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二档（14分）：后续服务承诺书内容的完整性、免费保修期限、到达故障现场 时间、故障出现解决方案、定期维护、保修期外维修方案等方面全面、可行，有</w:t>
            </w:r>
            <w:r>
              <w:rPr>
                <w:rFonts w:hint="eastAsia" w:ascii="宋体" w:hAnsi="宋体"/>
                <w:bCs/>
                <w:color w:val="auto"/>
                <w:szCs w:val="21"/>
                <w:highlight w:val="none"/>
                <w:lang w:eastAsia="zh-CN"/>
              </w:rPr>
              <w:t>后续服务</w:t>
            </w:r>
            <w:r>
              <w:rPr>
                <w:rFonts w:hint="eastAsia" w:ascii="宋体" w:hAnsi="宋体"/>
                <w:bCs/>
                <w:color w:val="auto"/>
                <w:szCs w:val="21"/>
                <w:highlight w:val="none"/>
              </w:rPr>
              <w:t>保障团队，其中包含1名技术总监，具备ITSS IT服务项目经理证书。</w:t>
            </w:r>
          </w:p>
          <w:p w14:paraId="393B3BB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 xml:space="preserve">三档（21分）：后续服务承诺书内容的完整性、免费保修期限、到达故障现场 </w:t>
            </w:r>
          </w:p>
          <w:p w14:paraId="18758669">
            <w:pPr>
              <w:spacing w:line="360" w:lineRule="auto"/>
              <w:rPr>
                <w:rFonts w:ascii="宋体" w:hAnsi="宋体"/>
                <w:bCs/>
                <w:color w:val="auto"/>
                <w:szCs w:val="21"/>
                <w:highlight w:val="none"/>
              </w:rPr>
            </w:pPr>
            <w:r>
              <w:rPr>
                <w:rFonts w:hint="eastAsia" w:ascii="宋体" w:hAnsi="宋体"/>
                <w:bCs/>
                <w:color w:val="auto"/>
                <w:szCs w:val="21"/>
                <w:highlight w:val="none"/>
              </w:rPr>
              <w:t>时间、故障出现解决方案、定期维护、保修期外维修方案等方面详细、具体、有效， 可操作性强；且具有 IT 运维服务管理系统（提供相关系统界面截图），有</w:t>
            </w:r>
            <w:r>
              <w:rPr>
                <w:rFonts w:hint="eastAsia" w:ascii="宋体" w:hAnsi="宋体"/>
                <w:bCs/>
                <w:color w:val="auto"/>
                <w:szCs w:val="21"/>
                <w:highlight w:val="none"/>
                <w:lang w:eastAsia="zh-CN"/>
              </w:rPr>
              <w:t>后续服务</w:t>
            </w:r>
            <w:r>
              <w:rPr>
                <w:rFonts w:hint="eastAsia" w:ascii="宋体" w:hAnsi="宋体"/>
                <w:bCs/>
                <w:color w:val="auto"/>
                <w:szCs w:val="21"/>
                <w:highlight w:val="none"/>
              </w:rPr>
              <w:t>保障团队，其中包含1名技术总监，具备 ITSS IT 服务项目经理证书；1名售后主管，同时具备高级网络与信息安全工程师及中级网络工程师证书。</w:t>
            </w:r>
          </w:p>
          <w:p w14:paraId="6B15A9FD">
            <w:pPr>
              <w:pStyle w:val="84"/>
              <w:ind w:firstLine="420"/>
              <w:rPr>
                <w:color w:val="auto"/>
                <w:highlight w:val="none"/>
              </w:rPr>
            </w:pPr>
            <w:r>
              <w:rPr>
                <w:rFonts w:hint="eastAsia"/>
                <w:bCs/>
                <w:color w:val="auto"/>
                <w:sz w:val="21"/>
                <w:highlight w:val="none"/>
                <w:lang w:eastAsia="zh-CN"/>
              </w:rPr>
              <w:t>注：人员名单不得重复，须提供以上服务人员资格证书复印件，否则不得分；以上所有人员须提供由县级以上（含县级）社会养老保险经办机构出具的供应商为项目人员交纳的开标截止时间前3个月（指竞标截止之日当月前3个月）内任意一个月社保证明的原件或复印件扫描件；如供应商为截标时间前60日以内成立的公司或项目人员为近一个月（指竞标截止之日当日前一个月）内入职的新员工的，可以提供供应商与项目实施人员签订的劳动合同的原件或复印件扫描件代替社保证明；退休聘用人员，提供聘用合同及退休证明复印件扫描件代替社保证明；临时聘用人员，仅须提供聘用合同复印件扫描件，否则不得分。扫描件均需加盖公章。</w:t>
            </w:r>
          </w:p>
        </w:tc>
      </w:tr>
      <w:tr w14:paraId="075F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30" w:type="dxa"/>
            <w:vAlign w:val="center"/>
          </w:tcPr>
          <w:p w14:paraId="0C305069">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14:paraId="7EA90B9F">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05DF3C4A">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kern w:val="0"/>
                <w:szCs w:val="21"/>
                <w:highlight w:val="none"/>
              </w:rPr>
              <w:t>7分</w:t>
            </w:r>
          </w:p>
        </w:tc>
        <w:tc>
          <w:tcPr>
            <w:tcW w:w="6909" w:type="dxa"/>
            <w:gridSpan w:val="2"/>
            <w:vAlign w:val="center"/>
          </w:tcPr>
          <w:p w14:paraId="6B546CF8">
            <w:pPr>
              <w:spacing w:line="360" w:lineRule="auto"/>
              <w:rPr>
                <w:rFonts w:ascii="宋体" w:hAnsi="宋体"/>
                <w:bCs/>
                <w:color w:val="auto"/>
                <w:szCs w:val="21"/>
                <w:highlight w:val="none"/>
              </w:rPr>
            </w:pPr>
            <w:r>
              <w:rPr>
                <w:rFonts w:hint="eastAsia" w:ascii="宋体" w:hAnsi="宋体"/>
                <w:bCs/>
                <w:color w:val="auto"/>
                <w:szCs w:val="21"/>
                <w:highlight w:val="none"/>
              </w:rPr>
              <w:t>1、供应商具备有效的 ISO9001 系列质量管理体系认证，提供证书复印件并加位公章，得1分；</w:t>
            </w:r>
            <w:r>
              <w:rPr>
                <w:rFonts w:hint="eastAsia" w:ascii="宋体" w:hAnsi="宋体"/>
                <w:b/>
                <w:color w:val="auto"/>
                <w:szCs w:val="21"/>
                <w:highlight w:val="none"/>
              </w:rPr>
              <w:t xml:space="preserve">满分1分。 </w:t>
            </w:r>
          </w:p>
          <w:p w14:paraId="75E2FF38">
            <w:pPr>
              <w:spacing w:line="360" w:lineRule="auto"/>
              <w:rPr>
                <w:rFonts w:ascii="宋体" w:hAnsi="宋体"/>
                <w:bCs/>
                <w:color w:val="auto"/>
                <w:szCs w:val="21"/>
                <w:highlight w:val="none"/>
              </w:rPr>
            </w:pPr>
            <w:r>
              <w:rPr>
                <w:rFonts w:hint="eastAsia" w:ascii="宋体" w:hAnsi="宋体"/>
                <w:bCs/>
                <w:color w:val="auto"/>
                <w:szCs w:val="21"/>
                <w:highlight w:val="none"/>
              </w:rPr>
              <w:t>2、供应商具备有效的 ITSS 信息技术服务标准符合性证书，提供证书复印件并加盖单位公章，得 1分；</w:t>
            </w:r>
            <w:r>
              <w:rPr>
                <w:rFonts w:hint="eastAsia" w:ascii="宋体" w:hAnsi="宋体"/>
                <w:b/>
                <w:color w:val="auto"/>
                <w:szCs w:val="21"/>
                <w:highlight w:val="none"/>
              </w:rPr>
              <w:t>满分1分。</w:t>
            </w:r>
            <w:r>
              <w:rPr>
                <w:rFonts w:hint="eastAsia" w:ascii="宋体" w:hAnsi="宋体"/>
                <w:bCs/>
                <w:color w:val="auto"/>
                <w:szCs w:val="21"/>
                <w:highlight w:val="none"/>
              </w:rPr>
              <w:t xml:space="preserve"> </w:t>
            </w:r>
          </w:p>
          <w:p w14:paraId="6167D065">
            <w:pPr>
              <w:pStyle w:val="84"/>
              <w:ind w:firstLine="0" w:firstLineChars="0"/>
              <w:rPr>
                <w:rFonts w:cs="宋体"/>
                <w:color w:val="auto"/>
                <w:sz w:val="21"/>
                <w:highlight w:val="none"/>
              </w:rPr>
            </w:pPr>
            <w:r>
              <w:rPr>
                <w:rFonts w:hint="eastAsia"/>
                <w:bCs/>
                <w:color w:val="auto"/>
                <w:sz w:val="21"/>
                <w:highlight w:val="none"/>
                <w:lang w:eastAsia="zh-CN"/>
              </w:rPr>
              <w:t>3、供应商自 2021年以来的本项目同类项目业绩，（提供项目合同书或协议书复印件，复印件必须加盖供应商公章，否则视为无效不计分），每项得 1 分；</w:t>
            </w:r>
            <w:r>
              <w:rPr>
                <w:rFonts w:hint="eastAsia"/>
                <w:b/>
                <w:color w:val="auto"/>
                <w:sz w:val="21"/>
                <w:highlight w:val="none"/>
                <w:lang w:eastAsia="zh-CN"/>
              </w:rPr>
              <w:t>满分 5 分</w:t>
            </w:r>
            <w:r>
              <w:rPr>
                <w:rFonts w:hint="eastAsia"/>
                <w:bCs/>
                <w:color w:val="auto"/>
                <w:sz w:val="21"/>
                <w:highlight w:val="none"/>
                <w:lang w:eastAsia="zh-CN"/>
              </w:rPr>
              <w:t>。</w:t>
            </w:r>
          </w:p>
        </w:tc>
      </w:tr>
      <w:tr w14:paraId="13CB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42A94113">
            <w:pPr>
              <w:pStyle w:val="20"/>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14:paraId="610ECB03">
      <w:pPr>
        <w:rPr>
          <w:rFonts w:ascii="宋体" w:hAnsi="宋体" w:cs="宋体"/>
          <w:bCs/>
          <w:color w:val="auto"/>
          <w:szCs w:val="21"/>
          <w:highlight w:val="none"/>
        </w:rPr>
      </w:pPr>
    </w:p>
    <w:p w14:paraId="6FE5916D">
      <w:pPr>
        <w:rPr>
          <w:rFonts w:ascii="宋体" w:hAnsi="宋体" w:cs="宋体"/>
          <w:b/>
          <w:color w:val="auto"/>
          <w:szCs w:val="21"/>
          <w:highlight w:val="none"/>
        </w:rPr>
      </w:pPr>
    </w:p>
    <w:p w14:paraId="79792FB1">
      <w:pPr>
        <w:rPr>
          <w:rFonts w:ascii="宋体" w:hAnsi="宋体" w:cs="宋体"/>
          <w:b/>
          <w:color w:val="auto"/>
          <w:szCs w:val="21"/>
          <w:highlight w:val="none"/>
        </w:rPr>
      </w:pPr>
    </w:p>
    <w:p w14:paraId="2E28F83D">
      <w:pPr>
        <w:rPr>
          <w:rFonts w:ascii="宋体" w:hAnsi="宋体" w:cs="宋体"/>
          <w:b/>
          <w:color w:val="auto"/>
          <w:szCs w:val="21"/>
          <w:highlight w:val="none"/>
        </w:rPr>
      </w:pPr>
      <w:r>
        <w:rPr>
          <w:rFonts w:hint="eastAsia" w:ascii="宋体" w:hAnsi="宋体" w:cs="宋体"/>
          <w:b/>
          <w:color w:val="auto"/>
          <w:szCs w:val="21"/>
          <w:highlight w:val="none"/>
        </w:rPr>
        <w:t>02分标：</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77ED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19EF9722">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73C400E2">
            <w:pPr>
              <w:adjustRightInd w:val="0"/>
              <w:spacing w:line="41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1A62A6CE">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3246CC07">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1E4C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4AAA49B9">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791BE35A">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724B40D7">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20分</w:t>
            </w:r>
          </w:p>
        </w:tc>
        <w:tc>
          <w:tcPr>
            <w:tcW w:w="6909" w:type="dxa"/>
            <w:gridSpan w:val="2"/>
            <w:vAlign w:val="center"/>
          </w:tcPr>
          <w:p w14:paraId="655E9034">
            <w:pPr>
              <w:pStyle w:val="20"/>
              <w:spacing w:line="360" w:lineRule="auto"/>
              <w:ind w:firstLine="422" w:firstLineChars="200"/>
              <w:rPr>
                <w:rFonts w:hAnsi="宋体" w:cs="Courier New"/>
                <w:b/>
                <w:bCs/>
                <w:color w:val="auto"/>
                <w:kern w:val="2"/>
                <w:sz w:val="21"/>
                <w:highlight w:val="none"/>
              </w:rPr>
            </w:pPr>
            <w:r>
              <w:rPr>
                <w:rFonts w:hint="eastAsia" w:hAnsi="宋体" w:cs="Courier New"/>
                <w:b/>
                <w:bCs/>
                <w:color w:val="auto"/>
                <w:kern w:val="2"/>
                <w:sz w:val="21"/>
                <w:highlight w:val="none"/>
              </w:rPr>
              <w:t>一、政府采购政策</w:t>
            </w:r>
          </w:p>
          <w:p w14:paraId="3927B80F">
            <w:pPr>
              <w:pStyle w:val="20"/>
              <w:spacing w:line="360" w:lineRule="auto"/>
              <w:ind w:firstLine="420" w:firstLineChars="200"/>
              <w:rPr>
                <w:rFonts w:hAnsi="宋体" w:cs="宋体"/>
                <w:color w:val="auto"/>
                <w:highlight w:val="none"/>
              </w:rPr>
            </w:pPr>
            <w:r>
              <w:rPr>
                <w:rFonts w:hint="eastAsia" w:hAnsi="宋体"/>
                <w:bCs/>
                <w:color w:val="auto"/>
                <w:sz w:val="21"/>
                <w:highlight w:val="none"/>
              </w:rPr>
              <w:t>1、本分标属于专门面向中小企业采购的项目，不再享受价格扣除优惠政策。</w:t>
            </w:r>
          </w:p>
          <w:p w14:paraId="5B711E05">
            <w:pPr>
              <w:rPr>
                <w:b/>
                <w:bCs/>
                <w:color w:val="auto"/>
                <w:highlight w:val="none"/>
              </w:rPr>
            </w:pPr>
            <w:r>
              <w:rPr>
                <w:rFonts w:hint="eastAsia"/>
                <w:b/>
                <w:bCs/>
                <w:color w:val="auto"/>
                <w:highlight w:val="none"/>
              </w:rPr>
              <w:t>二、报价分（满分20分）</w:t>
            </w:r>
          </w:p>
          <w:p w14:paraId="3E8313D1">
            <w:pPr>
              <w:pStyle w:val="20"/>
              <w:spacing w:line="420" w:lineRule="exact"/>
              <w:ind w:firstLine="420" w:firstLineChars="200"/>
              <w:rPr>
                <w:rFonts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报价分采用低价优先法计算，满足磋商文件要求且最后报价最低的有效供应商的评标价为评标基准价，其报价分为满分。</w:t>
            </w:r>
          </w:p>
          <w:p w14:paraId="102F977F">
            <w:pPr>
              <w:pStyle w:val="20"/>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2、其他供应商的价格分统一按照下列公式计算：</w:t>
            </w:r>
          </w:p>
          <w:p w14:paraId="48D2D26A">
            <w:pPr>
              <w:pStyle w:val="20"/>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某有效供应商的报价分=（评标基准价／某有效供应商最后报价）×20分</w:t>
            </w:r>
          </w:p>
        </w:tc>
      </w:tr>
      <w:tr w14:paraId="023E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8" w:hRule="atLeast"/>
          <w:jc w:val="center"/>
        </w:trPr>
        <w:tc>
          <w:tcPr>
            <w:tcW w:w="730" w:type="dxa"/>
            <w:vMerge w:val="restart"/>
            <w:vAlign w:val="center"/>
          </w:tcPr>
          <w:p w14:paraId="16A975BE">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280" w:type="dxa"/>
            <w:vMerge w:val="restart"/>
            <w:vAlign w:val="center"/>
          </w:tcPr>
          <w:p w14:paraId="727D7642">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0330C0FA">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65分</w:t>
            </w:r>
          </w:p>
        </w:tc>
        <w:tc>
          <w:tcPr>
            <w:tcW w:w="1244" w:type="dxa"/>
            <w:vAlign w:val="center"/>
          </w:tcPr>
          <w:p w14:paraId="0CE0948D">
            <w:pPr>
              <w:adjustRightInd w:val="0"/>
              <w:spacing w:line="360" w:lineRule="auto"/>
              <w:jc w:val="center"/>
              <w:textAlignment w:val="baseline"/>
              <w:rPr>
                <w:rFonts w:ascii="宋体" w:hAnsi="宋体" w:cs="宋体"/>
                <w:bCs/>
                <w:color w:val="auto"/>
                <w:szCs w:val="21"/>
                <w:highlight w:val="none"/>
              </w:rPr>
            </w:pPr>
            <w:r>
              <w:rPr>
                <w:rFonts w:hint="eastAsia" w:ascii="宋体" w:hAnsi="宋体" w:cs="宋体"/>
                <w:b/>
                <w:bCs/>
                <w:color w:val="auto"/>
                <w:szCs w:val="21"/>
                <w:highlight w:val="none"/>
              </w:rPr>
              <w:t>运维服务方案（满分30分）</w:t>
            </w:r>
          </w:p>
        </w:tc>
        <w:tc>
          <w:tcPr>
            <w:tcW w:w="5665" w:type="dxa"/>
            <w:vAlign w:val="center"/>
          </w:tcPr>
          <w:p w14:paraId="403EF022">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由磋商小组在打分前根据供应商</w:t>
            </w:r>
            <w:r>
              <w:rPr>
                <w:rFonts w:hint="eastAsia" w:ascii="宋体" w:hAnsi="宋体" w:cs="宋体"/>
                <w:bCs/>
                <w:color w:val="auto"/>
                <w:szCs w:val="21"/>
                <w:highlight w:val="none"/>
                <w:lang w:eastAsia="zh-CN"/>
              </w:rPr>
              <w:t>提供的方案</w:t>
            </w:r>
            <w:r>
              <w:rPr>
                <w:rFonts w:hint="eastAsia" w:ascii="宋体" w:hAnsi="宋体" w:cs="宋体"/>
                <w:bCs/>
                <w:color w:val="auto"/>
                <w:szCs w:val="21"/>
                <w:highlight w:val="none"/>
              </w:rPr>
              <w:t>确定各供应商所属档次及得分。达不到一档要求或不提供的得0分。</w:t>
            </w:r>
          </w:p>
          <w:p w14:paraId="680C0BAD">
            <w:pPr>
              <w:spacing w:line="360" w:lineRule="auto"/>
              <w:ind w:firstLine="424"/>
              <w:rPr>
                <w:rFonts w:ascii="宋体" w:hAnsi="宋体" w:cs="宋体"/>
                <w:color w:val="auto"/>
                <w:highlight w:val="none"/>
              </w:rPr>
            </w:pPr>
            <w:r>
              <w:rPr>
                <w:rFonts w:hint="eastAsia" w:ascii="宋体" w:hAnsi="宋体" w:cs="宋体"/>
                <w:color w:val="auto"/>
                <w:highlight w:val="none"/>
              </w:rPr>
              <w:t>一档（10分）：对采购人的现有环境情况基本了解，维保方案简单，基本满足项目需求。</w:t>
            </w:r>
          </w:p>
          <w:p w14:paraId="33D01779">
            <w:pPr>
              <w:spacing w:line="360" w:lineRule="auto"/>
              <w:ind w:firstLine="424"/>
              <w:rPr>
                <w:rFonts w:ascii="宋体" w:hAnsi="宋体" w:cs="宋体"/>
                <w:color w:val="auto"/>
                <w:highlight w:val="none"/>
              </w:rPr>
            </w:pPr>
            <w:r>
              <w:rPr>
                <w:rFonts w:hint="eastAsia" w:ascii="宋体" w:hAnsi="宋体" w:cs="宋体"/>
                <w:color w:val="auto"/>
                <w:highlight w:val="none"/>
              </w:rPr>
              <w:t>二档（20分）：对采购人的现有环境基本了解，有简单描述，维保方案较详细、合理，能够满足项目基本需求。</w:t>
            </w:r>
          </w:p>
          <w:p w14:paraId="35EFE0F9">
            <w:pPr>
              <w:spacing w:line="360" w:lineRule="auto"/>
              <w:ind w:firstLine="424"/>
              <w:rPr>
                <w:rFonts w:cs="宋体"/>
                <w:bCs/>
                <w:color w:val="auto"/>
                <w:highlight w:val="none"/>
              </w:rPr>
            </w:pPr>
            <w:r>
              <w:rPr>
                <w:rFonts w:hint="eastAsia" w:ascii="宋体" w:hAnsi="宋体" w:cs="宋体"/>
                <w:color w:val="auto"/>
                <w:highlight w:val="none"/>
              </w:rPr>
              <w:t>三档（30分）：对采购人现有环境充分了解，有详细、具体的描述并有自身的理解，能够提出符合实际的详细、合理、可行、具有针对性的服务实施流程、服务进度管理、服务具体内容等，完全满足项目需求。</w:t>
            </w:r>
          </w:p>
        </w:tc>
      </w:tr>
      <w:tr w14:paraId="139F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continue"/>
            <w:vAlign w:val="center"/>
          </w:tcPr>
          <w:p w14:paraId="3936B923">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08A89A17">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18F61E7D">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4FC1CADA">
            <w:pPr>
              <w:spacing w:line="360" w:lineRule="auto"/>
              <w:jc w:val="center"/>
              <w:rPr>
                <w:rFonts w:hAnsi="宋体" w:cs="宋体"/>
                <w:bCs/>
                <w:color w:val="auto"/>
                <w:highlight w:val="none"/>
              </w:rPr>
            </w:pPr>
            <w:r>
              <w:rPr>
                <w:rFonts w:hint="eastAsia" w:ascii="宋体" w:hAnsi="宋体" w:cs="宋体"/>
                <w:b/>
                <w:bCs/>
                <w:color w:val="auto"/>
                <w:highlight w:val="none"/>
                <w:lang w:eastAsia="zh-CN"/>
              </w:rPr>
              <w:t>后续服务</w:t>
            </w:r>
            <w:r>
              <w:rPr>
                <w:rFonts w:hint="eastAsia" w:ascii="宋体" w:hAnsi="宋体" w:cs="宋体"/>
                <w:b/>
                <w:bCs/>
                <w:color w:val="auto"/>
                <w:highlight w:val="none"/>
              </w:rPr>
              <w:t>方案</w:t>
            </w:r>
            <w:r>
              <w:rPr>
                <w:rFonts w:hint="eastAsia" w:ascii="宋体" w:hAnsi="宋体" w:cs="宋体"/>
                <w:b/>
                <w:color w:val="auto"/>
                <w:szCs w:val="21"/>
                <w:highlight w:val="none"/>
              </w:rPr>
              <w:t>分（满分20分）</w:t>
            </w:r>
          </w:p>
        </w:tc>
        <w:tc>
          <w:tcPr>
            <w:tcW w:w="5665" w:type="dxa"/>
            <w:vAlign w:val="center"/>
          </w:tcPr>
          <w:p w14:paraId="3A0B617E">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由磋商小组在打分前根据供应商的方案确定各供应商所属档次及得分。达不到一档要求或不提供的得0分。</w:t>
            </w:r>
          </w:p>
          <w:p w14:paraId="61213CF5">
            <w:pPr>
              <w:spacing w:line="360" w:lineRule="auto"/>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一档（7分）：</w:t>
            </w:r>
            <w:r>
              <w:rPr>
                <w:rFonts w:hint="eastAsia" w:ascii="宋体" w:hAnsi="宋体" w:cs="宋体"/>
                <w:color w:val="auto"/>
                <w:szCs w:val="21"/>
                <w:highlight w:val="none"/>
              </w:rPr>
              <w:t>基本能够理解本项目的特点和要求；服务承诺基本可行，方法简单，基本满足</w:t>
            </w:r>
            <w:r>
              <w:rPr>
                <w:rFonts w:hint="eastAsia" w:ascii="宋体" w:hAnsi="宋体" w:cs="宋体"/>
                <w:color w:val="auto"/>
                <w:spacing w:val="-4"/>
                <w:szCs w:val="21"/>
                <w:highlight w:val="none"/>
              </w:rPr>
              <w:t>采购需求。</w:t>
            </w:r>
          </w:p>
          <w:p w14:paraId="40233BB0">
            <w:pPr>
              <w:pStyle w:val="20"/>
              <w:spacing w:line="360" w:lineRule="auto"/>
              <w:ind w:firstLine="404" w:firstLineChars="200"/>
              <w:rPr>
                <w:rFonts w:hAnsi="宋体" w:cs="宋体"/>
                <w:color w:val="auto"/>
                <w:spacing w:val="-4"/>
                <w:sz w:val="21"/>
                <w:highlight w:val="none"/>
              </w:rPr>
            </w:pPr>
            <w:r>
              <w:rPr>
                <w:rFonts w:hint="eastAsia" w:hAnsi="宋体" w:cs="宋体"/>
                <w:color w:val="auto"/>
                <w:spacing w:val="-4"/>
                <w:sz w:val="21"/>
                <w:highlight w:val="none"/>
              </w:rPr>
              <w:t>二档（14分）：</w:t>
            </w:r>
            <w:r>
              <w:rPr>
                <w:rFonts w:hint="eastAsia" w:hAnsi="宋体" w:cs="宋体"/>
                <w:color w:val="auto"/>
                <w:sz w:val="21"/>
                <w:highlight w:val="none"/>
              </w:rPr>
              <w:t>较准确地理解本项目的特点和服务要求；服务承诺较可行，方法得当，服务承诺较完善，较好地满足</w:t>
            </w:r>
            <w:r>
              <w:rPr>
                <w:rFonts w:hint="eastAsia" w:hAnsi="宋体" w:cs="宋体"/>
                <w:color w:val="auto"/>
                <w:spacing w:val="-4"/>
                <w:sz w:val="21"/>
                <w:highlight w:val="none"/>
              </w:rPr>
              <w:t>采购需求。</w:t>
            </w:r>
          </w:p>
          <w:p w14:paraId="778FCB58">
            <w:pPr>
              <w:pStyle w:val="20"/>
              <w:spacing w:line="360" w:lineRule="auto"/>
              <w:ind w:firstLine="436" w:firstLineChars="216"/>
              <w:rPr>
                <w:rFonts w:cs="宋体"/>
                <w:bCs/>
                <w:color w:val="auto"/>
                <w:highlight w:val="none"/>
              </w:rPr>
            </w:pPr>
            <w:r>
              <w:rPr>
                <w:rFonts w:hint="eastAsia" w:hAnsi="宋体" w:cs="宋体"/>
                <w:color w:val="auto"/>
                <w:spacing w:val="-4"/>
                <w:sz w:val="21"/>
                <w:highlight w:val="none"/>
              </w:rPr>
              <w:t>三档（20分）：</w:t>
            </w:r>
            <w:r>
              <w:rPr>
                <w:rFonts w:hint="eastAsia" w:hAnsi="宋体" w:cs="宋体"/>
                <w:color w:val="auto"/>
                <w:sz w:val="21"/>
                <w:highlight w:val="none"/>
              </w:rPr>
              <w:t>充分理解本项目的特点和服务要求；较好地把握本项目的技术重点、难点和要点；具备完善的服务承诺、服务质量管理体系、服务质量保障体系，充分满足采购需求</w:t>
            </w:r>
            <w:r>
              <w:rPr>
                <w:rFonts w:hint="eastAsia" w:hAnsi="宋体" w:cs="宋体"/>
                <w:color w:val="auto"/>
                <w:spacing w:val="-4"/>
                <w:sz w:val="21"/>
                <w:highlight w:val="none"/>
              </w:rPr>
              <w:t>。</w:t>
            </w:r>
          </w:p>
        </w:tc>
      </w:tr>
      <w:tr w14:paraId="11E6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33921088">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4AEF1687">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500BAD28">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5B26D634">
            <w:pPr>
              <w:adjustRightInd w:val="0"/>
              <w:spacing w:line="360" w:lineRule="auto"/>
              <w:jc w:val="center"/>
              <w:textAlignment w:val="baseline"/>
              <w:rPr>
                <w:rFonts w:ascii="宋体" w:hAnsi="宋体" w:cs="宋体"/>
                <w:bCs/>
                <w:color w:val="auto"/>
                <w:szCs w:val="21"/>
                <w:highlight w:val="none"/>
              </w:rPr>
            </w:pPr>
            <w:r>
              <w:rPr>
                <w:rFonts w:hint="eastAsia" w:ascii="宋体" w:hAnsi="宋体" w:cs="宋体"/>
                <w:b/>
                <w:bCs/>
                <w:color w:val="auto"/>
                <w:kern w:val="1"/>
                <w:highlight w:val="none"/>
              </w:rPr>
              <w:t>应急保障方案（满分15分）</w:t>
            </w:r>
          </w:p>
        </w:tc>
        <w:tc>
          <w:tcPr>
            <w:tcW w:w="5665" w:type="dxa"/>
            <w:vAlign w:val="center"/>
          </w:tcPr>
          <w:p w14:paraId="33173CA6">
            <w:pPr>
              <w:spacing w:line="360" w:lineRule="auto"/>
              <w:ind w:firstLine="480"/>
              <w:rPr>
                <w:rFonts w:ascii="宋体" w:hAnsi="宋体" w:cs="宋体"/>
                <w:color w:val="auto"/>
                <w:kern w:val="1"/>
                <w:highlight w:val="none"/>
              </w:rPr>
            </w:pPr>
            <w:r>
              <w:rPr>
                <w:rFonts w:hint="eastAsia" w:ascii="宋体" w:hAnsi="宋体" w:cs="宋体"/>
                <w:color w:val="auto"/>
                <w:szCs w:val="21"/>
                <w:highlight w:val="none"/>
              </w:rPr>
              <w:t>由磋商小组在打分前根据供应商的</w:t>
            </w:r>
            <w:r>
              <w:rPr>
                <w:rFonts w:hint="eastAsia" w:ascii="宋体" w:hAnsi="宋体" w:cs="宋体"/>
                <w:color w:val="auto"/>
                <w:szCs w:val="21"/>
                <w:highlight w:val="none"/>
                <w:lang w:eastAsia="zh-CN"/>
              </w:rPr>
              <w:t>方案</w:t>
            </w:r>
            <w:r>
              <w:rPr>
                <w:rFonts w:hint="eastAsia" w:ascii="宋体" w:hAnsi="宋体" w:cs="宋体"/>
                <w:color w:val="auto"/>
                <w:szCs w:val="21"/>
                <w:highlight w:val="none"/>
              </w:rPr>
              <w:t>确定各供应商所属档次及得分。达不到一档要求或不提供的得0分。</w:t>
            </w:r>
          </w:p>
          <w:p w14:paraId="5F15565C">
            <w:pPr>
              <w:spacing w:line="360" w:lineRule="auto"/>
              <w:ind w:firstLine="404" w:firstLineChars="200"/>
              <w:rPr>
                <w:rFonts w:ascii="宋体" w:hAnsi="宋体" w:cs="宋体"/>
                <w:color w:val="auto"/>
                <w:spacing w:val="-4"/>
                <w:highlight w:val="none"/>
              </w:rPr>
            </w:pPr>
            <w:r>
              <w:rPr>
                <w:rFonts w:hint="eastAsia" w:ascii="宋体" w:hAnsi="宋体" w:cs="宋体"/>
                <w:color w:val="auto"/>
                <w:spacing w:val="-4"/>
                <w:highlight w:val="none"/>
              </w:rPr>
              <w:t>一档（5分）:简单描述突发事件应急处置方案，能够基本满足采购需求。</w:t>
            </w:r>
          </w:p>
          <w:p w14:paraId="32990137">
            <w:pPr>
              <w:spacing w:line="360" w:lineRule="auto"/>
              <w:ind w:firstLine="404" w:firstLineChars="200"/>
              <w:rPr>
                <w:rFonts w:ascii="宋体" w:hAnsi="宋体" w:cs="宋体"/>
                <w:color w:val="auto"/>
                <w:spacing w:val="-4"/>
                <w:highlight w:val="none"/>
              </w:rPr>
            </w:pPr>
            <w:r>
              <w:rPr>
                <w:rFonts w:hint="eastAsia" w:ascii="宋体" w:hAnsi="宋体" w:cs="宋体"/>
                <w:color w:val="auto"/>
                <w:spacing w:val="-4"/>
                <w:highlight w:val="none"/>
              </w:rPr>
              <w:t>二档（10分）:能够提供详细的突发事件应急处置方案，简单描述应对流程，保障措施手段较好，能较好的实现采购需求。</w:t>
            </w:r>
          </w:p>
          <w:p w14:paraId="374418AF">
            <w:pPr>
              <w:spacing w:line="360" w:lineRule="auto"/>
              <w:ind w:firstLine="480"/>
              <w:rPr>
                <w:color w:val="auto"/>
                <w:highlight w:val="none"/>
              </w:rPr>
            </w:pPr>
            <w:r>
              <w:rPr>
                <w:rFonts w:hint="eastAsia" w:ascii="宋体" w:hAnsi="宋体" w:cs="宋体"/>
                <w:color w:val="auto"/>
                <w:spacing w:val="-4"/>
                <w:highlight w:val="none"/>
              </w:rPr>
              <w:t>三档（15分）:能够提供完善的突发事件应急处置保障方案，详细阐述工作流程，能够采用多种手段完成突发事件的应急处置，保障手段强，</w:t>
            </w:r>
            <w:r>
              <w:rPr>
                <w:rFonts w:hint="eastAsia" w:ascii="宋体" w:hAnsi="宋体" w:cs="宋体"/>
                <w:color w:val="auto"/>
                <w:highlight w:val="none"/>
              </w:rPr>
              <w:t>完全满足采购需求。</w:t>
            </w:r>
          </w:p>
        </w:tc>
      </w:tr>
      <w:tr w14:paraId="6B4D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30" w:type="dxa"/>
            <w:vAlign w:val="center"/>
          </w:tcPr>
          <w:p w14:paraId="3390803D">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14:paraId="7799A782">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08C28596">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15分</w:t>
            </w:r>
          </w:p>
        </w:tc>
        <w:tc>
          <w:tcPr>
            <w:tcW w:w="6909" w:type="dxa"/>
            <w:gridSpan w:val="2"/>
            <w:vAlign w:val="center"/>
          </w:tcPr>
          <w:p w14:paraId="7AB33197">
            <w:pPr>
              <w:pStyle w:val="84"/>
              <w:ind w:firstLine="0" w:firstLineChars="0"/>
              <w:rPr>
                <w:rFonts w:cs="宋体"/>
                <w:color w:val="auto"/>
                <w:kern w:val="1"/>
                <w:sz w:val="21"/>
                <w:highlight w:val="none"/>
              </w:rPr>
            </w:pPr>
            <w:r>
              <w:rPr>
                <w:rFonts w:hint="eastAsia" w:cs="宋体"/>
                <w:color w:val="auto"/>
                <w:kern w:val="1"/>
                <w:sz w:val="21"/>
                <w:highlight w:val="none"/>
              </w:rPr>
              <w:t>供应商自20</w:t>
            </w:r>
            <w:r>
              <w:rPr>
                <w:rFonts w:hint="eastAsia" w:cs="宋体"/>
                <w:color w:val="auto"/>
                <w:kern w:val="1"/>
                <w:sz w:val="21"/>
                <w:highlight w:val="none"/>
                <w:lang w:eastAsia="zh-CN"/>
              </w:rPr>
              <w:t>21</w:t>
            </w:r>
            <w:r>
              <w:rPr>
                <w:rFonts w:hint="eastAsia" w:cs="宋体"/>
                <w:color w:val="auto"/>
                <w:kern w:val="1"/>
                <w:sz w:val="21"/>
                <w:highlight w:val="none"/>
              </w:rPr>
              <w:t>年1月1日以来具有同类业绩的，每有一份得</w:t>
            </w:r>
            <w:r>
              <w:rPr>
                <w:rFonts w:hint="eastAsia" w:cs="宋体"/>
                <w:color w:val="auto"/>
                <w:kern w:val="1"/>
                <w:sz w:val="21"/>
                <w:highlight w:val="none"/>
                <w:lang w:eastAsia="zh-CN"/>
              </w:rPr>
              <w:t>3</w:t>
            </w:r>
            <w:r>
              <w:rPr>
                <w:rFonts w:hint="eastAsia" w:cs="宋体"/>
                <w:color w:val="auto"/>
                <w:kern w:val="1"/>
                <w:sz w:val="21"/>
                <w:highlight w:val="none"/>
              </w:rPr>
              <w:t>分，满分</w:t>
            </w:r>
            <w:r>
              <w:rPr>
                <w:rFonts w:hint="eastAsia" w:cs="宋体"/>
                <w:color w:val="auto"/>
                <w:kern w:val="1"/>
                <w:sz w:val="21"/>
                <w:highlight w:val="none"/>
                <w:lang w:eastAsia="zh-CN"/>
              </w:rPr>
              <w:t>15</w:t>
            </w:r>
            <w:r>
              <w:rPr>
                <w:rFonts w:hint="eastAsia" w:cs="宋体"/>
                <w:color w:val="auto"/>
                <w:kern w:val="1"/>
                <w:sz w:val="21"/>
                <w:highlight w:val="none"/>
              </w:rPr>
              <w:t>分。</w:t>
            </w:r>
            <w:r>
              <w:rPr>
                <w:rFonts w:hint="eastAsia" w:cs="宋体"/>
                <w:bCs/>
                <w:color w:val="auto"/>
                <w:sz w:val="21"/>
                <w:highlight w:val="none"/>
                <w:lang w:val="zh-CN"/>
              </w:rPr>
              <w:t>（提供项目合同书</w:t>
            </w:r>
            <w:r>
              <w:rPr>
                <w:rFonts w:hint="eastAsia" w:cs="宋体"/>
                <w:bCs/>
                <w:color w:val="auto"/>
                <w:sz w:val="21"/>
                <w:highlight w:val="none"/>
                <w:lang w:eastAsia="zh-CN"/>
              </w:rPr>
              <w:t>关键页</w:t>
            </w:r>
            <w:r>
              <w:rPr>
                <w:rFonts w:hint="eastAsia" w:cs="宋体"/>
                <w:bCs/>
                <w:color w:val="auto"/>
                <w:sz w:val="21"/>
                <w:highlight w:val="none"/>
                <w:lang w:val="zh-CN"/>
              </w:rPr>
              <w:t>或协议书复印件，</w:t>
            </w:r>
            <w:r>
              <w:rPr>
                <w:rFonts w:hint="eastAsia" w:cs="宋体"/>
                <w:bCs/>
                <w:color w:val="auto"/>
                <w:sz w:val="21"/>
                <w:highlight w:val="none"/>
              </w:rPr>
              <w:t>复印件必须加盖</w:t>
            </w:r>
            <w:r>
              <w:rPr>
                <w:rFonts w:hint="eastAsia" w:cs="宋体"/>
                <w:bCs/>
                <w:color w:val="auto"/>
                <w:sz w:val="21"/>
                <w:highlight w:val="none"/>
                <w:lang w:eastAsia="zh-CN"/>
              </w:rPr>
              <w:t>供应商</w:t>
            </w:r>
            <w:r>
              <w:rPr>
                <w:rFonts w:hint="eastAsia" w:cs="宋体"/>
                <w:bCs/>
                <w:color w:val="auto"/>
                <w:sz w:val="21"/>
                <w:highlight w:val="none"/>
              </w:rPr>
              <w:t>公章，否则视为无效不计分）</w:t>
            </w:r>
          </w:p>
        </w:tc>
      </w:tr>
      <w:tr w14:paraId="43F9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4726B022">
            <w:pPr>
              <w:pStyle w:val="20"/>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14:paraId="28DE883B">
      <w:pPr>
        <w:spacing w:line="360" w:lineRule="auto"/>
        <w:rPr>
          <w:rFonts w:ascii="宋体" w:hAnsi="宋体" w:cs="宋体"/>
          <w:bCs/>
          <w:color w:val="auto"/>
          <w:szCs w:val="21"/>
          <w:highlight w:val="none"/>
        </w:rPr>
      </w:pPr>
    </w:p>
    <w:p w14:paraId="3E11C825">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03分标：</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4F34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78E8E4BE">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3E863C2D">
            <w:pPr>
              <w:adjustRightInd w:val="0"/>
              <w:spacing w:line="41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5A8A9900">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7762E79B">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5BB0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3AF0E0EA">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05F4DC16">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05A1ED16">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10分</w:t>
            </w:r>
          </w:p>
        </w:tc>
        <w:tc>
          <w:tcPr>
            <w:tcW w:w="6909" w:type="dxa"/>
            <w:gridSpan w:val="2"/>
            <w:vAlign w:val="center"/>
          </w:tcPr>
          <w:p w14:paraId="5092025E">
            <w:pPr>
              <w:pStyle w:val="20"/>
              <w:spacing w:line="360" w:lineRule="auto"/>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6274D9AB">
            <w:pPr>
              <w:pStyle w:val="20"/>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1、根据《政府采购促进中小企业发展管理办法》（财库〔2020〕46号）和《广西壮族自治区财政厅关于持续优化政府采购营商环境推动高质量发展的通知》（桂财采〔2024〕55号）的规定，供应商属于《政府采购促进中小企业发展管理办法》规定的小微企业的，对磋商报价给予10%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4%的扣除，用扣除后的价格参加评审。符合上述规定对报价给予扣除的，扣除后的价格为评标价，即评标价=最后报价×（1 - 扣除比例）；不符合上述给予扣除情形的，评标价=最后报价。</w:t>
            </w:r>
          </w:p>
          <w:p w14:paraId="7B09E6FF">
            <w:pPr>
              <w:pStyle w:val="20"/>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w:t>
            </w:r>
            <w:r>
              <w:rPr>
                <w:rFonts w:hint="eastAsia" w:hAnsi="宋体" w:cs="宋体"/>
                <w:color w:val="auto"/>
                <w:sz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6A8ED46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72D4FCD">
            <w:pPr>
              <w:rPr>
                <w:b/>
                <w:bCs/>
                <w:color w:val="auto"/>
                <w:highlight w:val="none"/>
              </w:rPr>
            </w:pPr>
            <w:r>
              <w:rPr>
                <w:rFonts w:hint="eastAsia"/>
                <w:b/>
                <w:bCs/>
                <w:color w:val="auto"/>
                <w:highlight w:val="none"/>
              </w:rPr>
              <w:t>二、报价分（满分10分）</w:t>
            </w:r>
          </w:p>
          <w:p w14:paraId="7A32A938">
            <w:pPr>
              <w:pStyle w:val="20"/>
              <w:spacing w:line="420" w:lineRule="exact"/>
              <w:ind w:firstLine="420" w:firstLineChars="200"/>
              <w:rPr>
                <w:rFonts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报价分采用低价优先法计算，满足磋商文件要求且评标价最低的有效供应商的评标价为评标基准价，其报价分为满分。</w:t>
            </w:r>
          </w:p>
          <w:p w14:paraId="3C22ADFA">
            <w:pPr>
              <w:pStyle w:val="20"/>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2、其他供应商的价格分统一按照下列公式计算：</w:t>
            </w:r>
          </w:p>
          <w:p w14:paraId="5ED91EFA">
            <w:pPr>
              <w:pStyle w:val="20"/>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某有效供应商的报价分=（评标基准价／某有效供应商评标价）×10分</w:t>
            </w:r>
          </w:p>
        </w:tc>
      </w:tr>
      <w:tr w14:paraId="4556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0" w:type="dxa"/>
            <w:vMerge w:val="restart"/>
            <w:vAlign w:val="center"/>
          </w:tcPr>
          <w:p w14:paraId="602768D3">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280" w:type="dxa"/>
            <w:vMerge w:val="restart"/>
            <w:vAlign w:val="center"/>
          </w:tcPr>
          <w:p w14:paraId="5997996D">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547AEC60">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70分</w:t>
            </w:r>
          </w:p>
        </w:tc>
        <w:tc>
          <w:tcPr>
            <w:tcW w:w="1244" w:type="dxa"/>
            <w:vAlign w:val="center"/>
          </w:tcPr>
          <w:p w14:paraId="6ADCE79C">
            <w:pPr>
              <w:spacing w:line="360" w:lineRule="auto"/>
              <w:jc w:val="center"/>
              <w:rPr>
                <w:rFonts w:ascii="宋体" w:hAnsi="宋体" w:cs="宋体"/>
                <w:bCs/>
                <w:color w:val="auto"/>
                <w:szCs w:val="21"/>
                <w:highlight w:val="none"/>
              </w:rPr>
            </w:pPr>
            <w:r>
              <w:rPr>
                <w:rFonts w:hint="eastAsia"/>
                <w:b/>
                <w:bCs/>
                <w:color w:val="auto"/>
                <w:highlight w:val="none"/>
              </w:rPr>
              <w:t>技术方案（满分24分）</w:t>
            </w:r>
          </w:p>
        </w:tc>
        <w:tc>
          <w:tcPr>
            <w:tcW w:w="5665" w:type="dxa"/>
            <w:vAlign w:val="center"/>
          </w:tcPr>
          <w:p w14:paraId="34ECADE4">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bCs/>
                <w:color w:val="auto"/>
                <w:szCs w:val="21"/>
                <w:highlight w:val="none"/>
              </w:rPr>
              <w:t>由磋商小组在打分前根据供应商提供的</w:t>
            </w:r>
            <w:r>
              <w:rPr>
                <w:rFonts w:hint="eastAsia"/>
                <w:color w:val="auto"/>
                <w:highlight w:val="none"/>
              </w:rPr>
              <w:t>方案</w:t>
            </w:r>
            <w:r>
              <w:rPr>
                <w:rFonts w:hint="eastAsia" w:ascii="宋体" w:hAnsi="宋体" w:cs="宋体"/>
                <w:bCs/>
                <w:color w:val="auto"/>
                <w:szCs w:val="21"/>
                <w:highlight w:val="none"/>
              </w:rPr>
              <w:t>确定各供应商所属档次及得分。达不到一档要求或不提供的得0分。</w:t>
            </w:r>
          </w:p>
          <w:p w14:paraId="3B08F526">
            <w:pPr>
              <w:widowControl/>
              <w:spacing w:line="440" w:lineRule="exact"/>
              <w:ind w:firstLine="420" w:firstLineChars="20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一档（</w:t>
            </w:r>
            <w:r>
              <w:rPr>
                <w:rFonts w:hint="eastAsia"/>
                <w:color w:val="auto"/>
                <w:highlight w:val="none"/>
              </w:rPr>
              <w:t>8</w:t>
            </w:r>
            <w:r>
              <w:rPr>
                <w:rFonts w:hint="eastAsia" w:ascii="宋体" w:hAnsi="宋体" w:cs="宋体"/>
                <w:color w:val="auto"/>
                <w:kern w:val="0"/>
                <w:szCs w:val="21"/>
                <w:highlight w:val="none"/>
                <w:lang w:bidi="ar"/>
              </w:rPr>
              <w:t>分）：</w:t>
            </w:r>
            <w:r>
              <w:rPr>
                <w:rFonts w:hint="eastAsia" w:ascii="宋体" w:hAnsi="宋体"/>
                <w:bCs/>
                <w:color w:val="auto"/>
                <w:szCs w:val="21"/>
                <w:highlight w:val="none"/>
              </w:rPr>
              <w:t>技术方案论述简单，没有明显技术错误</w:t>
            </w:r>
            <w:r>
              <w:rPr>
                <w:rFonts w:hint="eastAsia" w:ascii="宋体" w:hAnsi="宋体" w:cs="宋体"/>
                <w:color w:val="auto"/>
                <w:kern w:val="0"/>
                <w:szCs w:val="21"/>
                <w:highlight w:val="none"/>
                <w:lang w:bidi="ar"/>
              </w:rPr>
              <w:t>。</w:t>
            </w:r>
          </w:p>
          <w:p w14:paraId="4543FF57">
            <w:pPr>
              <w:widowControl/>
              <w:spacing w:line="440" w:lineRule="exact"/>
              <w:ind w:firstLine="420" w:firstLineChars="20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二档（</w:t>
            </w:r>
            <w:r>
              <w:rPr>
                <w:rFonts w:hint="eastAsia"/>
                <w:color w:val="auto"/>
                <w:highlight w:val="none"/>
              </w:rPr>
              <w:t>16</w:t>
            </w:r>
            <w:r>
              <w:rPr>
                <w:rFonts w:hint="eastAsia" w:ascii="宋体" w:hAnsi="宋体" w:cs="宋体"/>
                <w:color w:val="auto"/>
                <w:kern w:val="0"/>
                <w:szCs w:val="21"/>
                <w:highlight w:val="none"/>
                <w:lang w:bidi="ar"/>
              </w:rPr>
              <w:t>分）：</w:t>
            </w:r>
            <w:r>
              <w:rPr>
                <w:rFonts w:hint="eastAsia" w:ascii="宋体" w:hAnsi="宋体"/>
                <w:bCs/>
                <w:color w:val="auto"/>
                <w:szCs w:val="21"/>
                <w:highlight w:val="none"/>
              </w:rPr>
              <w:t>技术方案论述基本准确，对项目建设内容基本理解，能简单阐述需求分析和建设思路，技术参数基本满足采购文件要求,主要设备性能基本符合要求，描述了技术实现的功能以及实现方式</w:t>
            </w:r>
            <w:r>
              <w:rPr>
                <w:rFonts w:hint="eastAsia" w:hAnsi="宋体" w:cs="宋体"/>
                <w:color w:val="auto"/>
                <w:kern w:val="0"/>
                <w:szCs w:val="21"/>
                <w:highlight w:val="none"/>
                <w:lang w:bidi="ar"/>
              </w:rPr>
              <w:t>。</w:t>
            </w:r>
          </w:p>
          <w:p w14:paraId="5BABC9B2">
            <w:pPr>
              <w:widowControl/>
              <w:spacing w:line="440" w:lineRule="exact"/>
              <w:ind w:firstLine="420" w:firstLineChars="200"/>
              <w:textAlignment w:val="center"/>
              <w:rPr>
                <w:rFonts w:cs="宋体"/>
                <w:bCs/>
                <w:color w:val="auto"/>
                <w:highlight w:val="none"/>
              </w:rPr>
            </w:pPr>
            <w:r>
              <w:rPr>
                <w:rFonts w:hint="eastAsia" w:ascii="宋体" w:hAnsi="宋体" w:cs="宋体"/>
                <w:color w:val="auto"/>
                <w:kern w:val="0"/>
                <w:szCs w:val="21"/>
                <w:highlight w:val="none"/>
                <w:lang w:bidi="ar"/>
              </w:rPr>
              <w:t>三档（</w:t>
            </w:r>
            <w:r>
              <w:rPr>
                <w:rFonts w:hint="eastAsia"/>
                <w:color w:val="auto"/>
                <w:highlight w:val="none"/>
              </w:rPr>
              <w:t>24</w:t>
            </w:r>
            <w:r>
              <w:rPr>
                <w:rFonts w:hint="eastAsia" w:ascii="宋体" w:hAnsi="宋体" w:cs="宋体"/>
                <w:color w:val="auto"/>
                <w:kern w:val="0"/>
                <w:szCs w:val="21"/>
                <w:highlight w:val="none"/>
                <w:lang w:bidi="ar"/>
              </w:rPr>
              <w:t>分）：</w:t>
            </w:r>
            <w:r>
              <w:rPr>
                <w:rFonts w:hint="eastAsia" w:ascii="宋体" w:hAnsi="宋体"/>
                <w:bCs/>
                <w:color w:val="auto"/>
                <w:szCs w:val="21"/>
                <w:highlight w:val="none"/>
              </w:rPr>
              <w:t>技术方案论述详细，对项目建设内容理解深刻，能准确阐述需求分析和建设思路，技术参数全部满足采购文件要求，技术架构和网络规划合理，主要设备性能好，能提供光缆资源分布图，且具备大规模使用传输技术组网能力</w:t>
            </w:r>
            <w:r>
              <w:rPr>
                <w:rFonts w:hint="eastAsia"/>
                <w:color w:val="auto"/>
                <w:highlight w:val="none"/>
              </w:rPr>
              <w:t>。</w:t>
            </w:r>
          </w:p>
        </w:tc>
      </w:tr>
      <w:tr w14:paraId="2D6D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continue"/>
            <w:vAlign w:val="center"/>
          </w:tcPr>
          <w:p w14:paraId="15F5D88A">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66DB3C36">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7493A200">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5368C594">
            <w:pPr>
              <w:spacing w:line="360" w:lineRule="auto"/>
              <w:jc w:val="center"/>
              <w:rPr>
                <w:rFonts w:hAnsi="宋体" w:cs="宋体"/>
                <w:bCs/>
                <w:color w:val="auto"/>
                <w:highlight w:val="none"/>
              </w:rPr>
            </w:pPr>
            <w:r>
              <w:rPr>
                <w:rFonts w:hint="eastAsia"/>
                <w:b/>
                <w:bCs/>
                <w:color w:val="auto"/>
                <w:highlight w:val="none"/>
              </w:rPr>
              <w:t>实施方案（满分24分）</w:t>
            </w:r>
          </w:p>
        </w:tc>
        <w:tc>
          <w:tcPr>
            <w:tcW w:w="5665" w:type="dxa"/>
            <w:vAlign w:val="center"/>
          </w:tcPr>
          <w:p w14:paraId="35C31CFE">
            <w:pPr>
              <w:widowControl/>
              <w:spacing w:line="440" w:lineRule="exact"/>
              <w:ind w:firstLine="420" w:firstLineChars="200"/>
              <w:textAlignment w:val="center"/>
              <w:rPr>
                <w:rFonts w:ascii="宋体" w:hAnsi="宋体" w:cs="宋体"/>
                <w:color w:val="auto"/>
                <w:kern w:val="0"/>
                <w:szCs w:val="21"/>
                <w:highlight w:val="none"/>
                <w:lang w:bidi="ar"/>
              </w:rPr>
            </w:pPr>
            <w:r>
              <w:rPr>
                <w:rFonts w:hint="eastAsia" w:ascii="宋体" w:hAnsi="宋体" w:cs="宋体"/>
                <w:bCs/>
                <w:color w:val="auto"/>
                <w:szCs w:val="21"/>
                <w:highlight w:val="none"/>
              </w:rPr>
              <w:t>由磋商小组在打分前根据供应商提供的</w:t>
            </w:r>
            <w:r>
              <w:rPr>
                <w:rFonts w:hint="eastAsia"/>
                <w:color w:val="auto"/>
                <w:highlight w:val="none"/>
              </w:rPr>
              <w:t>方案</w:t>
            </w:r>
            <w:r>
              <w:rPr>
                <w:rFonts w:hint="eastAsia" w:ascii="宋体" w:hAnsi="宋体" w:cs="宋体"/>
                <w:bCs/>
                <w:color w:val="auto"/>
                <w:szCs w:val="21"/>
                <w:highlight w:val="none"/>
              </w:rPr>
              <w:t>确定各供应商所属档次及得分。达不到一档要求或不提供的得0分。</w:t>
            </w:r>
          </w:p>
          <w:p w14:paraId="3014A8BA">
            <w:pPr>
              <w:widowControl/>
              <w:spacing w:line="440" w:lineRule="exact"/>
              <w:ind w:firstLine="420" w:firstLineChars="20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一档（</w:t>
            </w:r>
            <w:r>
              <w:rPr>
                <w:rFonts w:hint="eastAsia"/>
                <w:color w:val="auto"/>
                <w:highlight w:val="none"/>
              </w:rPr>
              <w:t>8</w:t>
            </w:r>
            <w:r>
              <w:rPr>
                <w:rFonts w:hint="eastAsia" w:ascii="宋体" w:hAnsi="宋体" w:cs="宋体"/>
                <w:color w:val="auto"/>
                <w:kern w:val="0"/>
                <w:szCs w:val="21"/>
                <w:highlight w:val="none"/>
                <w:lang w:bidi="ar"/>
              </w:rPr>
              <w:t>分）：</w:t>
            </w:r>
            <w:r>
              <w:rPr>
                <w:rFonts w:hint="eastAsia" w:ascii="宋体" w:hAnsi="宋体"/>
                <w:bCs/>
                <w:color w:val="auto"/>
                <w:szCs w:val="21"/>
                <w:highlight w:val="none"/>
              </w:rPr>
              <w:t>实施方案简单，具有项目实施团队</w:t>
            </w:r>
            <w:r>
              <w:rPr>
                <w:rFonts w:hint="eastAsia" w:ascii="宋体" w:hAnsi="宋体" w:cs="宋体"/>
                <w:color w:val="auto"/>
                <w:kern w:val="0"/>
                <w:szCs w:val="21"/>
                <w:highlight w:val="none"/>
                <w:lang w:bidi="ar"/>
              </w:rPr>
              <w:t>。</w:t>
            </w:r>
          </w:p>
          <w:p w14:paraId="5997C6DE">
            <w:pPr>
              <w:widowControl/>
              <w:spacing w:line="440" w:lineRule="exact"/>
              <w:ind w:firstLine="420" w:firstLineChars="20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二档（</w:t>
            </w:r>
            <w:r>
              <w:rPr>
                <w:rFonts w:hint="eastAsia"/>
                <w:color w:val="auto"/>
                <w:highlight w:val="none"/>
              </w:rPr>
              <w:t>16</w:t>
            </w:r>
            <w:r>
              <w:rPr>
                <w:rFonts w:hint="eastAsia" w:ascii="宋体" w:hAnsi="宋体" w:cs="宋体"/>
                <w:color w:val="auto"/>
                <w:kern w:val="0"/>
                <w:szCs w:val="21"/>
                <w:highlight w:val="none"/>
                <w:lang w:bidi="ar"/>
              </w:rPr>
              <w:t>分）：</w:t>
            </w:r>
            <w:r>
              <w:rPr>
                <w:rFonts w:hint="eastAsia" w:ascii="宋体" w:hAnsi="宋体"/>
                <w:bCs/>
                <w:color w:val="auto"/>
                <w:szCs w:val="21"/>
                <w:highlight w:val="none"/>
              </w:rPr>
              <w:t>实施方案基本符合项目要求,具有施工进度计划、工期保障措施、线路试运行方案和验收方案</w:t>
            </w:r>
            <w:r>
              <w:rPr>
                <w:rFonts w:hint="eastAsia" w:ascii="宋体" w:hAnsi="宋体" w:cs="宋体"/>
                <w:color w:val="auto"/>
                <w:kern w:val="0"/>
                <w:szCs w:val="21"/>
                <w:highlight w:val="none"/>
                <w:lang w:bidi="ar"/>
              </w:rPr>
              <w:t>。</w:t>
            </w:r>
            <w:r>
              <w:rPr>
                <w:rFonts w:hint="eastAsia"/>
                <w:color w:val="auto"/>
                <w:highlight w:val="none"/>
              </w:rPr>
              <w:t>拟投入实施人员配置在5人的，其中项目实施经理同时具备通信专业高级工程师职称证书、PMP证书</w:t>
            </w:r>
            <w:r>
              <w:rPr>
                <w:rFonts w:hint="eastAsia" w:ascii="宋体" w:hAnsi="宋体" w:cs="宋体"/>
                <w:color w:val="auto"/>
                <w:kern w:val="0"/>
                <w:szCs w:val="21"/>
                <w:highlight w:val="none"/>
                <w:lang w:bidi="ar"/>
              </w:rPr>
              <w:t>。</w:t>
            </w:r>
          </w:p>
          <w:p w14:paraId="430A0862">
            <w:pPr>
              <w:spacing w:line="360" w:lineRule="auto"/>
              <w:ind w:firstLine="420" w:firstLineChars="200"/>
              <w:rPr>
                <w:rFonts w:cs="宋体"/>
                <w:bCs/>
                <w:color w:val="auto"/>
                <w:highlight w:val="none"/>
              </w:rPr>
            </w:pPr>
            <w:r>
              <w:rPr>
                <w:rFonts w:hint="eastAsia" w:ascii="宋体" w:hAnsi="宋体" w:cs="宋体"/>
                <w:color w:val="auto"/>
                <w:kern w:val="0"/>
                <w:szCs w:val="21"/>
                <w:highlight w:val="none"/>
                <w:lang w:bidi="ar"/>
              </w:rPr>
              <w:t>三档（</w:t>
            </w:r>
            <w:r>
              <w:rPr>
                <w:rFonts w:hint="eastAsia"/>
                <w:color w:val="auto"/>
                <w:highlight w:val="none"/>
              </w:rPr>
              <w:t>24</w:t>
            </w:r>
            <w:r>
              <w:rPr>
                <w:rFonts w:hint="eastAsia" w:ascii="宋体" w:hAnsi="宋体" w:cs="宋体"/>
                <w:color w:val="auto"/>
                <w:kern w:val="0"/>
                <w:szCs w:val="21"/>
                <w:highlight w:val="none"/>
                <w:lang w:bidi="ar"/>
              </w:rPr>
              <w:t>分）：</w:t>
            </w:r>
            <w:r>
              <w:rPr>
                <w:rFonts w:hint="eastAsia" w:ascii="宋体" w:hAnsi="宋体"/>
                <w:bCs/>
                <w:color w:val="auto"/>
                <w:szCs w:val="21"/>
                <w:highlight w:val="none"/>
              </w:rPr>
              <w:t>实施方案完整，描述详尽，完全符合项目要求,组织机构安排合理，有完善的施工进度计划、工期保障措施、赶工计划、安全控制措施和质量保证措施等，具有完整的项目管理方案，且能对实施过程提出合理化建议或措施，提供线路试运行方案和验收方案</w:t>
            </w:r>
            <w:r>
              <w:rPr>
                <w:rFonts w:hint="eastAsia" w:ascii="宋体" w:hAnsi="宋体" w:cs="宋体"/>
                <w:color w:val="auto"/>
                <w:kern w:val="0"/>
                <w:szCs w:val="21"/>
                <w:highlight w:val="none"/>
                <w:lang w:bidi="ar"/>
              </w:rPr>
              <w:t>。</w:t>
            </w:r>
            <w:r>
              <w:rPr>
                <w:rFonts w:hint="eastAsia"/>
                <w:color w:val="auto"/>
                <w:highlight w:val="none"/>
              </w:rPr>
              <w:t>拟投入实施人员配置在10人以上的，</w:t>
            </w:r>
            <w:r>
              <w:rPr>
                <w:rFonts w:hint="eastAsia" w:ascii="宋体" w:hAnsi="宋体"/>
                <w:bCs/>
                <w:color w:val="auto"/>
                <w:szCs w:val="21"/>
                <w:highlight w:val="none"/>
              </w:rPr>
              <w:t>其中实施经理同时具备通信专业高级工程师职称证书、PMP证书、</w:t>
            </w:r>
            <w:r>
              <w:rPr>
                <w:rFonts w:hint="eastAsia"/>
                <w:color w:val="auto"/>
                <w:szCs w:val="21"/>
                <w:highlight w:val="none"/>
              </w:rPr>
              <w:t>注册信息安全管理人员（</w:t>
            </w:r>
            <w:r>
              <w:rPr>
                <w:color w:val="auto"/>
                <w:szCs w:val="21"/>
                <w:highlight w:val="none"/>
              </w:rPr>
              <w:t>CISO</w:t>
            </w:r>
            <w:r>
              <w:rPr>
                <w:rFonts w:hint="eastAsia"/>
                <w:color w:val="auto"/>
                <w:szCs w:val="21"/>
                <w:highlight w:val="none"/>
              </w:rPr>
              <w:t>）证书</w:t>
            </w:r>
            <w:r>
              <w:rPr>
                <w:rFonts w:hint="eastAsia" w:ascii="宋体" w:hAnsi="宋体"/>
                <w:bCs/>
                <w:color w:val="auto"/>
                <w:szCs w:val="21"/>
                <w:highlight w:val="none"/>
              </w:rPr>
              <w:t>；一名实施组长同时具备互联网技术中级证</w:t>
            </w:r>
            <w:r>
              <w:rPr>
                <w:rFonts w:hint="eastAsia"/>
                <w:color w:val="auto"/>
                <w:highlight w:val="none"/>
              </w:rPr>
              <w:t>书、网络规划设计师证书</w:t>
            </w:r>
            <w:r>
              <w:rPr>
                <w:rFonts w:hint="eastAsia" w:ascii="宋体" w:hAnsi="宋体" w:cs="宋体"/>
                <w:color w:val="auto"/>
                <w:kern w:val="0"/>
                <w:szCs w:val="21"/>
                <w:highlight w:val="none"/>
                <w:lang w:bidi="ar"/>
              </w:rPr>
              <w:t>。</w:t>
            </w:r>
          </w:p>
        </w:tc>
      </w:tr>
      <w:tr w14:paraId="1866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20C2F47C">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1AD1744B">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69D2EA5E">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2F458B72">
            <w:pPr>
              <w:spacing w:line="360" w:lineRule="auto"/>
              <w:jc w:val="center"/>
              <w:rPr>
                <w:rFonts w:ascii="宋体" w:hAnsi="宋体" w:cs="宋体"/>
                <w:bCs/>
                <w:color w:val="auto"/>
                <w:szCs w:val="21"/>
                <w:highlight w:val="none"/>
              </w:rPr>
            </w:pPr>
            <w:r>
              <w:rPr>
                <w:rFonts w:hint="eastAsia"/>
                <w:b/>
                <w:bCs/>
                <w:color w:val="auto"/>
                <w:highlight w:val="none"/>
                <w:lang w:eastAsia="zh-CN"/>
              </w:rPr>
              <w:t>后续服务</w:t>
            </w:r>
            <w:r>
              <w:rPr>
                <w:rFonts w:hint="eastAsia"/>
                <w:b/>
                <w:bCs/>
                <w:color w:val="auto"/>
                <w:highlight w:val="none"/>
              </w:rPr>
              <w:t>方案（满分22分）</w:t>
            </w:r>
          </w:p>
        </w:tc>
        <w:tc>
          <w:tcPr>
            <w:tcW w:w="5665" w:type="dxa"/>
            <w:vAlign w:val="center"/>
          </w:tcPr>
          <w:p w14:paraId="31F0CB80">
            <w:pPr>
              <w:widowControl/>
              <w:spacing w:line="440" w:lineRule="exact"/>
              <w:ind w:firstLine="420" w:firstLineChars="200"/>
              <w:jc w:val="left"/>
              <w:textAlignment w:val="center"/>
              <w:rPr>
                <w:color w:val="auto"/>
                <w:highlight w:val="none"/>
              </w:rPr>
            </w:pPr>
            <w:r>
              <w:rPr>
                <w:rFonts w:hint="eastAsia"/>
                <w:color w:val="auto"/>
                <w:highlight w:val="none"/>
              </w:rPr>
              <w:t>由磋商小组在打分前根据供应商提供的方案确定各供应商所属档次及得分。达不到一档要求或不提供的得0分。</w:t>
            </w:r>
          </w:p>
          <w:p w14:paraId="3D5D9D3E">
            <w:pPr>
              <w:widowControl/>
              <w:spacing w:line="440" w:lineRule="exact"/>
              <w:ind w:firstLine="420" w:firstLineChars="200"/>
              <w:jc w:val="left"/>
              <w:textAlignment w:val="center"/>
              <w:rPr>
                <w:color w:val="auto"/>
                <w:highlight w:val="none"/>
              </w:rPr>
            </w:pPr>
            <w:r>
              <w:rPr>
                <w:rFonts w:hint="eastAsia"/>
                <w:color w:val="auto"/>
                <w:highlight w:val="none"/>
              </w:rPr>
              <w:t>一档（7分）：</w:t>
            </w:r>
            <w:r>
              <w:rPr>
                <w:rFonts w:hint="eastAsia"/>
                <w:color w:val="auto"/>
                <w:highlight w:val="none"/>
                <w:lang w:eastAsia="zh-CN"/>
              </w:rPr>
              <w:t>后续服务</w:t>
            </w:r>
            <w:r>
              <w:rPr>
                <w:rFonts w:hint="eastAsia"/>
                <w:color w:val="auto"/>
                <w:highlight w:val="none"/>
              </w:rPr>
              <w:t>方案简单，配备有</w:t>
            </w:r>
            <w:r>
              <w:rPr>
                <w:rFonts w:hint="eastAsia"/>
                <w:color w:val="auto"/>
                <w:highlight w:val="none"/>
                <w:lang w:eastAsia="zh-CN"/>
              </w:rPr>
              <w:t>后续服务</w:t>
            </w:r>
            <w:r>
              <w:rPr>
                <w:rFonts w:hint="eastAsia"/>
                <w:color w:val="auto"/>
                <w:highlight w:val="none"/>
              </w:rPr>
              <w:t>人员。</w:t>
            </w:r>
          </w:p>
          <w:p w14:paraId="0FED43CB">
            <w:pPr>
              <w:widowControl/>
              <w:spacing w:line="440" w:lineRule="exact"/>
              <w:ind w:firstLine="420" w:firstLineChars="200"/>
              <w:jc w:val="left"/>
              <w:textAlignment w:val="center"/>
              <w:rPr>
                <w:color w:val="auto"/>
                <w:highlight w:val="none"/>
              </w:rPr>
            </w:pPr>
            <w:r>
              <w:rPr>
                <w:rFonts w:hint="eastAsia"/>
                <w:color w:val="auto"/>
                <w:highlight w:val="none"/>
              </w:rPr>
              <w:t>二档（16分）：</w:t>
            </w:r>
            <w:r>
              <w:rPr>
                <w:rFonts w:hint="eastAsia"/>
                <w:color w:val="auto"/>
                <w:highlight w:val="none"/>
                <w:lang w:eastAsia="zh-CN"/>
              </w:rPr>
              <w:t>后续服务</w:t>
            </w:r>
            <w:r>
              <w:rPr>
                <w:rFonts w:hint="eastAsia"/>
                <w:color w:val="auto"/>
                <w:highlight w:val="none"/>
              </w:rPr>
              <w:t>方案提供简单的服务承诺、服务内容、服务流程和保障措施，设有服务热线和</w:t>
            </w:r>
            <w:r>
              <w:rPr>
                <w:rFonts w:hint="eastAsia"/>
                <w:color w:val="auto"/>
                <w:highlight w:val="none"/>
                <w:lang w:eastAsia="zh-CN"/>
              </w:rPr>
              <w:t>后续服务</w:t>
            </w:r>
            <w:r>
              <w:rPr>
                <w:rFonts w:hint="eastAsia"/>
                <w:color w:val="auto"/>
                <w:highlight w:val="none"/>
              </w:rPr>
              <w:t>机构，故障恢复时间慢，基本满足</w:t>
            </w:r>
            <w:r>
              <w:rPr>
                <w:rFonts w:hint="eastAsia"/>
                <w:color w:val="auto"/>
                <w:highlight w:val="none"/>
                <w:lang w:eastAsia="zh-CN"/>
              </w:rPr>
              <w:t>后续服务</w:t>
            </w:r>
            <w:r>
              <w:rPr>
                <w:rFonts w:hint="eastAsia"/>
                <w:color w:val="auto"/>
                <w:highlight w:val="none"/>
              </w:rPr>
              <w:t>要求。拟投入服务人员配置在5人的，其中项目</w:t>
            </w:r>
            <w:r>
              <w:rPr>
                <w:rFonts w:hint="eastAsia"/>
                <w:color w:val="auto"/>
                <w:highlight w:val="none"/>
                <w:lang w:eastAsia="zh-CN"/>
              </w:rPr>
              <w:t>后续服务</w:t>
            </w:r>
            <w:r>
              <w:rPr>
                <w:rFonts w:hint="eastAsia"/>
                <w:color w:val="auto"/>
                <w:highlight w:val="none"/>
              </w:rPr>
              <w:t>经理同时具备信息与通信工程专业工程师职称证书、信息系统监理师证书的。</w:t>
            </w:r>
          </w:p>
          <w:p w14:paraId="362AE846">
            <w:pPr>
              <w:widowControl/>
              <w:spacing w:line="440" w:lineRule="exact"/>
              <w:ind w:firstLine="420" w:firstLineChars="200"/>
              <w:jc w:val="left"/>
              <w:textAlignment w:val="center"/>
              <w:rPr>
                <w:color w:val="auto"/>
                <w:highlight w:val="none"/>
              </w:rPr>
            </w:pPr>
            <w:r>
              <w:rPr>
                <w:rFonts w:hint="eastAsia"/>
                <w:color w:val="auto"/>
                <w:highlight w:val="none"/>
              </w:rPr>
              <w:t>三档（22分）：</w:t>
            </w:r>
            <w:r>
              <w:rPr>
                <w:rFonts w:hint="eastAsia"/>
                <w:color w:val="auto"/>
                <w:highlight w:val="none"/>
                <w:lang w:eastAsia="zh-CN"/>
              </w:rPr>
              <w:t>后续服务</w:t>
            </w:r>
            <w:r>
              <w:rPr>
                <w:rFonts w:hint="eastAsia"/>
                <w:color w:val="auto"/>
                <w:highlight w:val="none"/>
              </w:rPr>
              <w:t>方案科学详尽，服务承诺、服务内容和保障措施考虑周全，有完整的</w:t>
            </w:r>
            <w:r>
              <w:rPr>
                <w:rFonts w:hint="eastAsia"/>
                <w:color w:val="auto"/>
                <w:highlight w:val="none"/>
                <w:lang w:eastAsia="zh-CN"/>
              </w:rPr>
              <w:t>后续服务</w:t>
            </w:r>
            <w:r>
              <w:rPr>
                <w:rFonts w:hint="eastAsia"/>
                <w:color w:val="auto"/>
                <w:highlight w:val="none"/>
              </w:rPr>
              <w:t>组织架构、服务流程、应急预案、培训方案和巡检计划等，设有7*24小时服务热线，提供本地化</w:t>
            </w:r>
            <w:r>
              <w:rPr>
                <w:rFonts w:hint="eastAsia"/>
                <w:color w:val="auto"/>
                <w:highlight w:val="none"/>
                <w:lang w:eastAsia="zh-CN"/>
              </w:rPr>
              <w:t>后续服务</w:t>
            </w:r>
            <w:r>
              <w:rPr>
                <w:rFonts w:hint="eastAsia"/>
                <w:color w:val="auto"/>
                <w:highlight w:val="none"/>
              </w:rPr>
              <w:t>机构及联系人，故障恢复时间迅速，优于</w:t>
            </w:r>
            <w:r>
              <w:rPr>
                <w:rFonts w:hint="eastAsia"/>
                <w:color w:val="auto"/>
                <w:highlight w:val="none"/>
                <w:lang w:eastAsia="zh-CN"/>
              </w:rPr>
              <w:t>后续服务</w:t>
            </w:r>
            <w:r>
              <w:rPr>
                <w:rFonts w:hint="eastAsia"/>
                <w:color w:val="auto"/>
                <w:highlight w:val="none"/>
              </w:rPr>
              <w:t>要求。拟投入服务人员配置在10人以上的，其中项目</w:t>
            </w:r>
            <w:r>
              <w:rPr>
                <w:rFonts w:hint="eastAsia"/>
                <w:color w:val="auto"/>
                <w:highlight w:val="none"/>
                <w:lang w:eastAsia="zh-CN"/>
              </w:rPr>
              <w:t>后续服务</w:t>
            </w:r>
            <w:r>
              <w:rPr>
                <w:rFonts w:hint="eastAsia"/>
                <w:color w:val="auto"/>
                <w:highlight w:val="none"/>
              </w:rPr>
              <w:t>经理同时具备信息与通信工程专业工程师职称证书、信息系统监理师证书、信息系统项目管理师证书；一名</w:t>
            </w:r>
            <w:r>
              <w:rPr>
                <w:rFonts w:hint="eastAsia"/>
                <w:color w:val="auto"/>
                <w:highlight w:val="none"/>
                <w:lang w:eastAsia="zh-CN"/>
              </w:rPr>
              <w:t>后续服务</w:t>
            </w:r>
            <w:r>
              <w:rPr>
                <w:rFonts w:hint="eastAsia"/>
                <w:color w:val="auto"/>
                <w:highlight w:val="none"/>
              </w:rPr>
              <w:t>人员同时具备网络工程师证书、信息安全工程师证书、信息系统项目管理师证书。</w:t>
            </w:r>
          </w:p>
          <w:p w14:paraId="6E632F85">
            <w:pPr>
              <w:widowControl/>
              <w:spacing w:line="440" w:lineRule="exact"/>
              <w:ind w:firstLine="420" w:firstLineChars="200"/>
              <w:jc w:val="left"/>
              <w:textAlignment w:val="center"/>
              <w:rPr>
                <w:color w:val="auto"/>
                <w:highlight w:val="none"/>
              </w:rPr>
            </w:pPr>
            <w:r>
              <w:rPr>
                <w:rFonts w:hint="eastAsia"/>
                <w:color w:val="auto"/>
                <w:highlight w:val="none"/>
              </w:rPr>
              <w:t>注：须提供相关证书复印件，并加盖公章。</w:t>
            </w:r>
          </w:p>
        </w:tc>
      </w:tr>
      <w:tr w14:paraId="76D1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30" w:type="dxa"/>
            <w:vAlign w:val="center"/>
          </w:tcPr>
          <w:p w14:paraId="01A07B61">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14:paraId="5C089D76">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040E8D58">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20分</w:t>
            </w:r>
          </w:p>
        </w:tc>
        <w:tc>
          <w:tcPr>
            <w:tcW w:w="6909" w:type="dxa"/>
            <w:gridSpan w:val="2"/>
            <w:vAlign w:val="center"/>
          </w:tcPr>
          <w:p w14:paraId="2A5F9C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w:t>
            </w:r>
            <w:r>
              <w:rPr>
                <w:rFonts w:ascii="宋体" w:hAnsi="宋体" w:cs="宋体"/>
                <w:color w:val="auto"/>
                <w:szCs w:val="21"/>
                <w:highlight w:val="none"/>
              </w:rPr>
              <w:t>具</w:t>
            </w:r>
            <w:r>
              <w:rPr>
                <w:rFonts w:hint="eastAsia" w:ascii="宋体" w:hAnsi="宋体" w:cs="宋体"/>
                <w:color w:val="auto"/>
                <w:szCs w:val="21"/>
                <w:highlight w:val="none"/>
              </w:rPr>
              <w:t>有</w:t>
            </w:r>
            <w:r>
              <w:rPr>
                <w:rFonts w:ascii="宋体" w:hAnsi="宋体" w:cs="宋体"/>
                <w:color w:val="auto"/>
                <w:szCs w:val="21"/>
                <w:highlight w:val="none"/>
              </w:rPr>
              <w:t>履约能力评价服务认证证书（5A级），提供证书复印件，加盖</w:t>
            </w:r>
            <w:r>
              <w:rPr>
                <w:rFonts w:hint="eastAsia" w:ascii="宋体" w:hAnsi="宋体" w:cs="宋体"/>
                <w:color w:val="auto"/>
                <w:szCs w:val="21"/>
                <w:highlight w:val="none"/>
              </w:rPr>
              <w:t>供应商</w:t>
            </w:r>
            <w:r>
              <w:rPr>
                <w:rFonts w:ascii="宋体" w:hAnsi="宋体" w:cs="宋体"/>
                <w:color w:val="auto"/>
                <w:szCs w:val="21"/>
                <w:highlight w:val="none"/>
              </w:rPr>
              <w:t>公章，得2分，满分2分；</w:t>
            </w:r>
          </w:p>
          <w:p w14:paraId="135F5153">
            <w:pPr>
              <w:spacing w:line="360" w:lineRule="auto"/>
              <w:ind w:firstLine="420" w:firstLineChars="200"/>
              <w:rPr>
                <w:rFonts w:ascii="宋体" w:hAnsi="宋体" w:cs="宋体"/>
                <w:color w:val="auto"/>
                <w:szCs w:val="21"/>
                <w:highlight w:val="none"/>
              </w:rPr>
            </w:pPr>
            <w:bookmarkStart w:id="46" w:name="OLE_LINK1"/>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w:t>
            </w:r>
            <w:r>
              <w:rPr>
                <w:rFonts w:ascii="宋体" w:hAnsi="宋体" w:cs="宋体"/>
                <w:color w:val="auto"/>
                <w:szCs w:val="21"/>
                <w:highlight w:val="none"/>
              </w:rPr>
              <w:t>具</w:t>
            </w:r>
            <w:r>
              <w:rPr>
                <w:rFonts w:hint="eastAsia" w:ascii="宋体" w:hAnsi="宋体" w:cs="宋体"/>
                <w:color w:val="auto"/>
                <w:szCs w:val="21"/>
                <w:highlight w:val="none"/>
              </w:rPr>
              <w:t>有</w:t>
            </w:r>
            <w:r>
              <w:rPr>
                <w:rFonts w:ascii="宋体" w:hAnsi="宋体" w:cs="宋体"/>
                <w:color w:val="auto"/>
                <w:szCs w:val="21"/>
                <w:highlight w:val="none"/>
              </w:rPr>
              <w:t>项目质量管理体系认证证书，提供证书复印件，加盖</w:t>
            </w:r>
            <w:r>
              <w:rPr>
                <w:rFonts w:hint="eastAsia" w:ascii="宋体" w:hAnsi="宋体" w:cs="宋体"/>
                <w:color w:val="auto"/>
                <w:szCs w:val="21"/>
                <w:highlight w:val="none"/>
              </w:rPr>
              <w:t>供应商</w:t>
            </w:r>
            <w:r>
              <w:rPr>
                <w:rFonts w:ascii="宋体" w:hAnsi="宋体" w:cs="宋体"/>
                <w:color w:val="auto"/>
                <w:szCs w:val="21"/>
                <w:highlight w:val="none"/>
              </w:rPr>
              <w:t>公章，得2分，满分2分。</w:t>
            </w:r>
          </w:p>
          <w:bookmarkEnd w:id="46"/>
          <w:p w14:paraId="584E06AD">
            <w:pPr>
              <w:spacing w:line="360" w:lineRule="auto"/>
              <w:ind w:firstLine="420" w:firstLineChars="200"/>
              <w:rPr>
                <w:rFonts w:ascii="宋体" w:hAnsi="宋体" w:cs="宋体"/>
                <w:color w:val="auto"/>
                <w:szCs w:val="21"/>
                <w:highlight w:val="none"/>
              </w:rPr>
            </w:pPr>
            <w:bookmarkStart w:id="47" w:name="OLE_LINK2"/>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w:t>
            </w:r>
            <w:r>
              <w:rPr>
                <w:rFonts w:ascii="宋体" w:hAnsi="宋体" w:cs="宋体"/>
                <w:color w:val="auto"/>
                <w:szCs w:val="21"/>
                <w:highlight w:val="none"/>
              </w:rPr>
              <w:t>具</w:t>
            </w:r>
            <w:r>
              <w:rPr>
                <w:rFonts w:hint="eastAsia" w:ascii="宋体" w:hAnsi="宋体" w:cs="宋体"/>
                <w:color w:val="auto"/>
                <w:szCs w:val="21"/>
                <w:highlight w:val="none"/>
              </w:rPr>
              <w:t>有</w:t>
            </w:r>
            <w:r>
              <w:rPr>
                <w:rFonts w:ascii="宋体" w:hAnsi="宋体" w:cs="宋体"/>
                <w:color w:val="auto"/>
                <w:szCs w:val="21"/>
                <w:highlight w:val="none"/>
              </w:rPr>
              <w:t>售后服务认证证书五星级，提供证书复印件，加盖</w:t>
            </w:r>
            <w:r>
              <w:rPr>
                <w:rFonts w:hint="eastAsia" w:ascii="宋体" w:hAnsi="宋体" w:cs="宋体"/>
                <w:color w:val="auto"/>
                <w:szCs w:val="21"/>
                <w:highlight w:val="none"/>
              </w:rPr>
              <w:t>供应商</w:t>
            </w:r>
            <w:r>
              <w:rPr>
                <w:rFonts w:ascii="宋体" w:hAnsi="宋体" w:cs="宋体"/>
                <w:color w:val="auto"/>
                <w:szCs w:val="21"/>
                <w:highlight w:val="none"/>
              </w:rPr>
              <w:t>公章，得2分，满分2分。</w:t>
            </w:r>
          </w:p>
          <w:bookmarkEnd w:id="47"/>
          <w:p w14:paraId="6B4D8D33">
            <w:pPr>
              <w:spacing w:line="360" w:lineRule="auto"/>
              <w:ind w:firstLine="420" w:firstLineChars="200"/>
              <w:rPr>
                <w:rFonts w:ascii="宋体" w:hAnsi="宋体" w:cs="宋体"/>
                <w:color w:val="auto"/>
                <w:szCs w:val="21"/>
                <w:highlight w:val="none"/>
              </w:rPr>
            </w:pPr>
            <w:bookmarkStart w:id="48" w:name="OLE_LINK3"/>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供应商</w:t>
            </w:r>
            <w:r>
              <w:rPr>
                <w:rFonts w:ascii="宋体" w:hAnsi="宋体" w:cs="宋体"/>
                <w:color w:val="auto"/>
                <w:szCs w:val="21"/>
                <w:highlight w:val="none"/>
              </w:rPr>
              <w:t>具</w:t>
            </w:r>
            <w:r>
              <w:rPr>
                <w:rFonts w:hint="eastAsia" w:ascii="宋体" w:hAnsi="宋体" w:cs="宋体"/>
                <w:color w:val="auto"/>
                <w:szCs w:val="21"/>
                <w:highlight w:val="none"/>
              </w:rPr>
              <w:t>有</w:t>
            </w:r>
            <w:r>
              <w:rPr>
                <w:rFonts w:ascii="宋体" w:hAnsi="宋体" w:cs="宋体"/>
                <w:color w:val="auto"/>
                <w:szCs w:val="21"/>
                <w:highlight w:val="none"/>
              </w:rPr>
              <w:t>诚信管理体系认证证书，提供证书复印件，加盖</w:t>
            </w:r>
            <w:r>
              <w:rPr>
                <w:rFonts w:hint="eastAsia" w:ascii="宋体" w:hAnsi="宋体" w:cs="宋体"/>
                <w:color w:val="auto"/>
                <w:szCs w:val="21"/>
                <w:highlight w:val="none"/>
              </w:rPr>
              <w:t>供应商</w:t>
            </w:r>
            <w:r>
              <w:rPr>
                <w:rFonts w:ascii="宋体" w:hAnsi="宋体" w:cs="宋体"/>
                <w:color w:val="auto"/>
                <w:szCs w:val="21"/>
                <w:highlight w:val="none"/>
              </w:rPr>
              <w:t>公章，得2分，满分2分。</w:t>
            </w:r>
          </w:p>
          <w:bookmarkEnd w:id="48"/>
          <w:p w14:paraId="3F66C420">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供应商</w:t>
            </w:r>
            <w:r>
              <w:rPr>
                <w:rFonts w:ascii="宋体" w:hAnsi="宋体" w:cs="宋体"/>
                <w:color w:val="auto"/>
                <w:szCs w:val="21"/>
                <w:highlight w:val="none"/>
              </w:rPr>
              <w:t>具</w:t>
            </w:r>
            <w:r>
              <w:rPr>
                <w:rFonts w:hint="eastAsia" w:ascii="宋体" w:hAnsi="宋体" w:cs="宋体"/>
                <w:color w:val="auto"/>
                <w:szCs w:val="21"/>
                <w:highlight w:val="none"/>
              </w:rPr>
              <w:t>有</w:t>
            </w:r>
            <w:r>
              <w:rPr>
                <w:rFonts w:ascii="宋体" w:hAnsi="宋体" w:cs="宋体"/>
                <w:color w:val="auto"/>
                <w:szCs w:val="21"/>
                <w:highlight w:val="none"/>
              </w:rPr>
              <w:t>信息技术服务标准符合性证书ITSS运行维护三级，提供证书复印件，加盖</w:t>
            </w:r>
            <w:r>
              <w:rPr>
                <w:rFonts w:hint="eastAsia" w:ascii="宋体" w:hAnsi="宋体" w:cs="宋体"/>
                <w:color w:val="auto"/>
                <w:szCs w:val="21"/>
                <w:highlight w:val="none"/>
              </w:rPr>
              <w:t>供应商</w:t>
            </w:r>
            <w:r>
              <w:rPr>
                <w:rFonts w:ascii="宋体" w:hAnsi="宋体" w:cs="宋体"/>
                <w:color w:val="auto"/>
                <w:szCs w:val="21"/>
                <w:highlight w:val="none"/>
              </w:rPr>
              <w:t>公章，得2分，满分2分。</w:t>
            </w:r>
          </w:p>
          <w:p w14:paraId="6288E836">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pacing w:val="-3"/>
                <w:szCs w:val="21"/>
                <w:highlight w:val="none"/>
              </w:rPr>
              <w:t>供应商</w:t>
            </w:r>
            <w:r>
              <w:rPr>
                <w:rFonts w:hint="eastAsia" w:ascii="宋体" w:hAnsi="宋体" w:cs="宋体"/>
                <w:color w:val="auto"/>
                <w:spacing w:val="-8"/>
                <w:szCs w:val="21"/>
                <w:highlight w:val="none"/>
              </w:rPr>
              <w:t xml:space="preserve">自 </w:t>
            </w:r>
            <w:r>
              <w:rPr>
                <w:rFonts w:hint="eastAsia" w:ascii="宋体" w:hAnsi="宋体" w:cs="宋体"/>
                <w:color w:val="auto"/>
                <w:spacing w:val="-3"/>
                <w:szCs w:val="21"/>
                <w:highlight w:val="none"/>
              </w:rPr>
              <w:t>2022</w:t>
            </w:r>
            <w:r>
              <w:rPr>
                <w:rFonts w:hint="eastAsia" w:ascii="宋体" w:hAnsi="宋体" w:cs="宋体"/>
                <w:color w:val="auto"/>
                <w:spacing w:val="-10"/>
                <w:szCs w:val="21"/>
                <w:highlight w:val="none"/>
              </w:rPr>
              <w:t xml:space="preserve"> 年 </w:t>
            </w:r>
            <w:r>
              <w:rPr>
                <w:rFonts w:hint="eastAsia" w:ascii="宋体" w:hAnsi="宋体" w:cs="宋体"/>
                <w:color w:val="auto"/>
                <w:spacing w:val="-3"/>
                <w:szCs w:val="21"/>
                <w:highlight w:val="none"/>
              </w:rPr>
              <w:t>1</w:t>
            </w:r>
            <w:r>
              <w:rPr>
                <w:rFonts w:hint="eastAsia" w:ascii="宋体" w:hAnsi="宋体" w:cs="宋体"/>
                <w:color w:val="auto"/>
                <w:spacing w:val="-8"/>
                <w:szCs w:val="21"/>
                <w:highlight w:val="none"/>
              </w:rPr>
              <w:t xml:space="preserve"> 月 </w:t>
            </w:r>
            <w:r>
              <w:rPr>
                <w:rFonts w:hint="eastAsia" w:ascii="宋体" w:hAnsi="宋体" w:cs="宋体"/>
                <w:color w:val="auto"/>
                <w:spacing w:val="-2"/>
                <w:szCs w:val="21"/>
                <w:highlight w:val="none"/>
              </w:rPr>
              <w:t>1</w:t>
            </w:r>
            <w:r>
              <w:rPr>
                <w:rFonts w:hint="eastAsia" w:ascii="宋体" w:hAnsi="宋体" w:cs="宋体"/>
                <w:color w:val="auto"/>
                <w:szCs w:val="21"/>
                <w:highlight w:val="none"/>
              </w:rPr>
              <w:t>日以来有类似业绩的，每个得2分，满分10分。（响应文件中提供合同复印件并加盖公章）</w:t>
            </w:r>
          </w:p>
        </w:tc>
      </w:tr>
      <w:tr w14:paraId="755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578AE83A">
            <w:pPr>
              <w:pStyle w:val="20"/>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14:paraId="41764C28">
      <w:pPr>
        <w:spacing w:line="360" w:lineRule="auto"/>
        <w:rPr>
          <w:rFonts w:ascii="宋体" w:hAnsi="宋体" w:cs="宋体"/>
          <w:bCs/>
          <w:color w:val="auto"/>
          <w:szCs w:val="21"/>
          <w:highlight w:val="none"/>
        </w:rPr>
      </w:pPr>
    </w:p>
    <w:p w14:paraId="29ADD07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04分标：</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3634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54AD96C6">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7AB6BD1E">
            <w:pPr>
              <w:adjustRightInd w:val="0"/>
              <w:spacing w:line="41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41BCE561">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14B8C13F">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0DCD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25B22B1F">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32B88FB0">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733E4829">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20分</w:t>
            </w:r>
          </w:p>
        </w:tc>
        <w:tc>
          <w:tcPr>
            <w:tcW w:w="6909" w:type="dxa"/>
            <w:gridSpan w:val="2"/>
            <w:vAlign w:val="center"/>
          </w:tcPr>
          <w:p w14:paraId="08EA9815">
            <w:pPr>
              <w:pStyle w:val="20"/>
              <w:spacing w:line="360" w:lineRule="auto"/>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2182DBB9">
            <w:pPr>
              <w:pStyle w:val="20"/>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1、根据《政府采购促进中小企业发展管理办法》（财库〔2020〕46号）和《广西壮族自治区财政厅关于持续优化政府采购营商环境推动高质量发展的通知》（桂财采〔2024〕55号）的规定，供应商属于《政府采购促进中小企业发展管理办法》规定的小微企业的，对磋商报价给予10%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4%的扣除，用扣除后的价格参加评审。符合上述规定对报价给予扣除的，扣除后的价格为评标价，即评标价=最后报价×（1 - 扣除比例）；不符合上述给予扣除情形的，评标价=最后报价。</w:t>
            </w:r>
          </w:p>
          <w:p w14:paraId="62CA99DE">
            <w:pPr>
              <w:pStyle w:val="20"/>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w:t>
            </w:r>
            <w:r>
              <w:rPr>
                <w:rFonts w:hint="eastAsia" w:hAnsi="宋体" w:cs="宋体"/>
                <w:color w:val="auto"/>
                <w:sz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2DEE51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FEC5436">
            <w:pPr>
              <w:rPr>
                <w:b/>
                <w:bCs/>
                <w:color w:val="auto"/>
                <w:highlight w:val="none"/>
              </w:rPr>
            </w:pPr>
            <w:r>
              <w:rPr>
                <w:rFonts w:hint="eastAsia"/>
                <w:b/>
                <w:bCs/>
                <w:color w:val="auto"/>
                <w:highlight w:val="none"/>
              </w:rPr>
              <w:t>二、报价分（满分20分）</w:t>
            </w:r>
          </w:p>
          <w:p w14:paraId="4CED4496">
            <w:pPr>
              <w:pStyle w:val="20"/>
              <w:spacing w:line="420" w:lineRule="exact"/>
              <w:ind w:firstLine="420" w:firstLineChars="200"/>
              <w:rPr>
                <w:rFonts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报价分采用低价优先法计算，满足磋商文件要求且评标价最低的有效供应商的评标价为评标基准价，其报价分为满分。</w:t>
            </w:r>
          </w:p>
          <w:p w14:paraId="325DD4ED">
            <w:pPr>
              <w:pStyle w:val="20"/>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2、其他供应商的价格分统一按照下列公式计算：</w:t>
            </w:r>
          </w:p>
          <w:p w14:paraId="58742077">
            <w:pPr>
              <w:pStyle w:val="20"/>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某有效供应商的报价分=（评标基准价／某有效供应商评标价）×20分</w:t>
            </w:r>
          </w:p>
        </w:tc>
      </w:tr>
      <w:tr w14:paraId="704D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30" w:type="dxa"/>
            <w:vMerge w:val="restart"/>
            <w:vAlign w:val="center"/>
          </w:tcPr>
          <w:p w14:paraId="1E9BAD7F">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280" w:type="dxa"/>
            <w:vMerge w:val="restart"/>
            <w:vAlign w:val="center"/>
          </w:tcPr>
          <w:p w14:paraId="591CD06F">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09CB1E3C">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72分</w:t>
            </w:r>
          </w:p>
        </w:tc>
        <w:tc>
          <w:tcPr>
            <w:tcW w:w="1244" w:type="dxa"/>
            <w:vAlign w:val="center"/>
          </w:tcPr>
          <w:p w14:paraId="62D9CDBF">
            <w:pPr>
              <w:spacing w:line="360" w:lineRule="auto"/>
              <w:jc w:val="center"/>
              <w:rPr>
                <w:rFonts w:ascii="宋体" w:hAnsi="宋体" w:cs="宋体"/>
                <w:bCs/>
                <w:color w:val="auto"/>
                <w:szCs w:val="21"/>
                <w:highlight w:val="none"/>
              </w:rPr>
            </w:pPr>
            <w:r>
              <w:rPr>
                <w:rFonts w:hint="eastAsia" w:ascii="宋体" w:hAnsi="宋体" w:cs="宋体"/>
                <w:b/>
                <w:bCs/>
                <w:color w:val="auto"/>
                <w:spacing w:val="-3"/>
                <w:szCs w:val="21"/>
                <w:highlight w:val="none"/>
              </w:rPr>
              <w:t>项目实施方案（满分36分）</w:t>
            </w:r>
          </w:p>
        </w:tc>
        <w:tc>
          <w:tcPr>
            <w:tcW w:w="5665" w:type="dxa"/>
            <w:vAlign w:val="center"/>
          </w:tcPr>
          <w:p w14:paraId="282F8CE9">
            <w:pPr>
              <w:widowControl/>
              <w:spacing w:line="360" w:lineRule="auto"/>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由磋商小组在打分前根据供应商提供的</w:t>
            </w:r>
            <w:r>
              <w:rPr>
                <w:rFonts w:hint="eastAsia" w:ascii="宋体" w:hAnsi="宋体" w:cs="宋体"/>
                <w:color w:val="auto"/>
                <w:spacing w:val="-3"/>
                <w:szCs w:val="21"/>
                <w:highlight w:val="none"/>
              </w:rPr>
              <w:t>项目实施方案</w:t>
            </w:r>
            <w:r>
              <w:rPr>
                <w:rFonts w:hint="eastAsia" w:ascii="宋体" w:hAnsi="宋体" w:cs="宋体"/>
                <w:color w:val="auto"/>
                <w:szCs w:val="21"/>
                <w:highlight w:val="none"/>
              </w:rPr>
              <w:t>确定各供应商所属档次及得分。达不到一档要求或不提供的得0分。</w:t>
            </w:r>
          </w:p>
          <w:p w14:paraId="33B29D26">
            <w:pPr>
              <w:spacing w:line="360" w:lineRule="auto"/>
              <w:ind w:firstLine="408" w:firstLineChars="200"/>
              <w:rPr>
                <w:rFonts w:ascii="宋体" w:hAnsi="宋体" w:cs="宋体"/>
                <w:color w:val="auto"/>
                <w:spacing w:val="-3"/>
                <w:szCs w:val="21"/>
                <w:highlight w:val="none"/>
              </w:rPr>
            </w:pPr>
            <w:r>
              <w:rPr>
                <w:rFonts w:hint="eastAsia" w:ascii="宋体" w:hAnsi="宋体" w:cs="宋体"/>
                <w:color w:val="auto"/>
                <w:spacing w:val="-3"/>
                <w:szCs w:val="21"/>
                <w:highlight w:val="none"/>
              </w:rPr>
              <w:t>一档（9分）：有整体技术方案，能够基本理解项目的需求、目标、以及本项目开展思路和框架；</w:t>
            </w:r>
          </w:p>
          <w:p w14:paraId="40C7E315">
            <w:pPr>
              <w:spacing w:line="360" w:lineRule="auto"/>
              <w:ind w:firstLine="408" w:firstLineChars="200"/>
              <w:rPr>
                <w:rFonts w:ascii="宋体" w:hAnsi="宋体" w:cs="宋体"/>
                <w:color w:val="auto"/>
                <w:spacing w:val="-3"/>
                <w:szCs w:val="21"/>
                <w:highlight w:val="none"/>
              </w:rPr>
            </w:pPr>
            <w:r>
              <w:rPr>
                <w:rFonts w:hint="eastAsia" w:ascii="宋体" w:hAnsi="宋体" w:cs="宋体"/>
                <w:color w:val="auto"/>
                <w:spacing w:val="-3"/>
                <w:szCs w:val="21"/>
                <w:highlight w:val="none"/>
              </w:rPr>
              <w:t>二档（18分）:有详细技术方案，能够理解项目的需求、目标、以及本项目开展思路和框架，并能明确项目需求及输出成果。项目实施团队成员有合理的安排，项目经理持有信息系统项目管理师证书。项目主要实施成员3名，且实施成员至少具备1 项系统管理专业知识测评证书；</w:t>
            </w:r>
          </w:p>
          <w:p w14:paraId="4B7630D3">
            <w:pPr>
              <w:spacing w:line="360" w:lineRule="auto"/>
              <w:ind w:firstLine="408" w:firstLineChars="200"/>
              <w:rPr>
                <w:rFonts w:ascii="宋体" w:hAnsi="宋体" w:cs="宋体"/>
                <w:color w:val="auto"/>
                <w:spacing w:val="-3"/>
                <w:szCs w:val="21"/>
                <w:highlight w:val="none"/>
              </w:rPr>
            </w:pPr>
            <w:r>
              <w:rPr>
                <w:rFonts w:hint="eastAsia" w:ascii="宋体" w:hAnsi="宋体" w:cs="宋体"/>
                <w:color w:val="auto"/>
                <w:spacing w:val="-3"/>
                <w:szCs w:val="21"/>
                <w:highlight w:val="none"/>
              </w:rPr>
              <w:t>三档（27分）：有详细技术方案，能准确理解项目的意义和背景，对项目的需求、目标、以及本项目开展思路和框架有全面、准确的理解，能够明确项目的输出成果。项目实施团队成员安排合理，项目经理须同时持有信息系统项目管理师证书、通信类高级工程师证书（专业：通信工程或信息与通信工程）和高级网络信息安全工程师证书。项目主要实施成员至少4名，且实施成员至少具备1 项系统管理专业知识测评证书、1项云平台构建专业知识测评证书资质。</w:t>
            </w:r>
          </w:p>
          <w:p w14:paraId="1474EAAB">
            <w:pPr>
              <w:spacing w:line="360" w:lineRule="auto"/>
              <w:ind w:firstLine="408" w:firstLineChars="200"/>
              <w:rPr>
                <w:rFonts w:ascii="宋体" w:hAnsi="宋体" w:cs="宋体"/>
                <w:color w:val="auto"/>
                <w:spacing w:val="-3"/>
                <w:szCs w:val="21"/>
                <w:highlight w:val="none"/>
              </w:rPr>
            </w:pPr>
            <w:r>
              <w:rPr>
                <w:rFonts w:hint="eastAsia" w:ascii="宋体" w:hAnsi="宋体" w:cs="宋体"/>
                <w:color w:val="auto"/>
                <w:spacing w:val="-3"/>
                <w:szCs w:val="21"/>
                <w:highlight w:val="none"/>
              </w:rPr>
              <w:t>四档（36分）：有详细技术方案，能准确理解项目的意义和背景，对项目的需求、目标、以及本项目开展思路和框架有全面、准确的理解，有明确的系统平台技术标准、系统架构、技术特点和功能描述，能够体现系统平台的优势和信息安全保障,提供科学合理的进度计划和充分的人力资源保障方案。项目实施团队成员安排合理，项目经理须同时持有信息系统项目管理师证书、通信类高级工程师证书（专业：通信工程或信息与通信工程）和注高级网络信息安全工程师证书。项目主要实施成员至少5名，且实施成员至少具备 2 项系统管理专业知识测评证书、2项云平台构建专业知识测评证书资质。</w:t>
            </w:r>
          </w:p>
          <w:p w14:paraId="5235641A">
            <w:pPr>
              <w:spacing w:line="360" w:lineRule="auto"/>
              <w:jc w:val="left"/>
              <w:rPr>
                <w:rFonts w:cs="宋体"/>
                <w:bCs/>
                <w:color w:val="auto"/>
                <w:highlight w:val="none"/>
              </w:rPr>
            </w:pPr>
            <w:r>
              <w:rPr>
                <w:rFonts w:hint="eastAsia" w:ascii="宋体" w:hAnsi="宋体" w:cs="宋体"/>
                <w:color w:val="auto"/>
                <w:spacing w:val="-3"/>
                <w:szCs w:val="21"/>
                <w:highlight w:val="none"/>
              </w:rPr>
              <w:t>注：</w:t>
            </w:r>
            <w:r>
              <w:rPr>
                <w:rFonts w:hint="eastAsia" w:ascii="宋体" w:hAnsi="宋体" w:cs="宋体"/>
                <w:color w:val="auto"/>
                <w:spacing w:val="-3"/>
                <w:szCs w:val="21"/>
                <w:highlight w:val="none"/>
                <w:lang w:val="zh-CN"/>
              </w:rPr>
              <w:t>以上拟投入人员的相关资质证书须提供相应证书证件复印件并加盖公章。</w:t>
            </w:r>
          </w:p>
        </w:tc>
      </w:tr>
      <w:tr w14:paraId="169E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continue"/>
            <w:vAlign w:val="center"/>
          </w:tcPr>
          <w:p w14:paraId="35B96C63">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791BF46E">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07709A8C">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3FE6BC2D">
            <w:pPr>
              <w:spacing w:line="360" w:lineRule="auto"/>
              <w:jc w:val="center"/>
              <w:rPr>
                <w:rFonts w:hAnsi="宋体" w:cs="宋体"/>
                <w:bCs/>
                <w:color w:val="auto"/>
                <w:highlight w:val="none"/>
              </w:rPr>
            </w:pPr>
            <w:r>
              <w:rPr>
                <w:rFonts w:hint="eastAsia" w:ascii="宋体" w:hAnsi="宋体" w:cs="宋体"/>
                <w:b/>
                <w:bCs/>
                <w:color w:val="auto"/>
                <w:spacing w:val="-2"/>
                <w:szCs w:val="21"/>
                <w:highlight w:val="none"/>
                <w:lang w:eastAsia="zh-CN"/>
              </w:rPr>
              <w:t>后续服务</w:t>
            </w:r>
            <w:r>
              <w:rPr>
                <w:rFonts w:hint="eastAsia" w:ascii="宋体" w:hAnsi="宋体" w:cs="宋体"/>
                <w:b/>
                <w:bCs/>
                <w:color w:val="auto"/>
                <w:spacing w:val="-2"/>
                <w:szCs w:val="21"/>
                <w:highlight w:val="none"/>
              </w:rPr>
              <w:t>方案（满分36分）</w:t>
            </w:r>
          </w:p>
        </w:tc>
        <w:tc>
          <w:tcPr>
            <w:tcW w:w="5665" w:type="dxa"/>
            <w:vAlign w:val="center"/>
          </w:tcPr>
          <w:p w14:paraId="0BAD6F71">
            <w:pPr>
              <w:spacing w:line="360" w:lineRule="auto"/>
              <w:ind w:firstLine="408" w:firstLineChars="200"/>
              <w:rPr>
                <w:rFonts w:ascii="宋体" w:hAnsi="宋体" w:cs="宋体"/>
                <w:color w:val="auto"/>
                <w:spacing w:val="-3"/>
                <w:szCs w:val="21"/>
                <w:highlight w:val="none"/>
              </w:rPr>
            </w:pPr>
            <w:r>
              <w:rPr>
                <w:rFonts w:hint="eastAsia" w:ascii="宋体" w:hAnsi="宋体" w:cs="宋体"/>
                <w:color w:val="auto"/>
                <w:spacing w:val="-3"/>
                <w:szCs w:val="21"/>
                <w:highlight w:val="none"/>
              </w:rPr>
              <w:t>由磋商小组在打分前根据供应商的</w:t>
            </w:r>
            <w:r>
              <w:rPr>
                <w:rFonts w:hint="eastAsia" w:ascii="宋体" w:hAnsi="宋体" w:cs="宋体"/>
                <w:color w:val="auto"/>
                <w:spacing w:val="-3"/>
                <w:szCs w:val="21"/>
                <w:highlight w:val="none"/>
                <w:lang w:eastAsia="zh-CN"/>
              </w:rPr>
              <w:t>后续服务方案</w:t>
            </w:r>
            <w:r>
              <w:rPr>
                <w:rFonts w:hint="eastAsia" w:ascii="宋体" w:hAnsi="宋体" w:cs="宋体"/>
                <w:color w:val="auto"/>
                <w:spacing w:val="-3"/>
                <w:szCs w:val="21"/>
                <w:highlight w:val="none"/>
              </w:rPr>
              <w:t>确定各供应商所属档次及得分。达不到一档要求或不提供的得0分。</w:t>
            </w:r>
          </w:p>
          <w:p w14:paraId="27CC804B">
            <w:pPr>
              <w:spacing w:line="360" w:lineRule="auto"/>
              <w:ind w:firstLine="408" w:firstLineChars="200"/>
              <w:rPr>
                <w:rFonts w:ascii="宋体" w:hAnsi="宋体" w:cs="宋体"/>
                <w:color w:val="auto"/>
                <w:spacing w:val="-3"/>
                <w:szCs w:val="21"/>
                <w:highlight w:val="none"/>
              </w:rPr>
            </w:pPr>
            <w:r>
              <w:rPr>
                <w:rFonts w:hint="eastAsia" w:ascii="宋体" w:hAnsi="宋体" w:cs="宋体"/>
                <w:color w:val="auto"/>
                <w:spacing w:val="-3"/>
                <w:szCs w:val="21"/>
                <w:highlight w:val="none"/>
              </w:rPr>
              <w:t>一档（12分）：提供的</w:t>
            </w:r>
            <w:r>
              <w:rPr>
                <w:rFonts w:hint="eastAsia" w:ascii="宋体" w:hAnsi="宋体" w:cs="宋体"/>
                <w:color w:val="auto"/>
                <w:spacing w:val="-3"/>
                <w:szCs w:val="21"/>
                <w:highlight w:val="none"/>
                <w:lang w:eastAsia="zh-CN"/>
              </w:rPr>
              <w:t>后续服务</w:t>
            </w:r>
            <w:r>
              <w:rPr>
                <w:rFonts w:hint="eastAsia" w:ascii="宋体" w:hAnsi="宋体" w:cs="宋体"/>
                <w:color w:val="auto"/>
                <w:spacing w:val="-3"/>
                <w:szCs w:val="21"/>
                <w:highlight w:val="none"/>
              </w:rPr>
              <w:t>方案简单，技术能力对项目</w:t>
            </w:r>
            <w:r>
              <w:rPr>
                <w:rFonts w:hint="eastAsia" w:ascii="宋体" w:hAnsi="宋体" w:cs="宋体"/>
                <w:color w:val="auto"/>
                <w:spacing w:val="-3"/>
                <w:szCs w:val="21"/>
                <w:highlight w:val="none"/>
                <w:lang w:eastAsia="zh-CN"/>
              </w:rPr>
              <w:t>后续服务</w:t>
            </w:r>
            <w:r>
              <w:rPr>
                <w:rFonts w:hint="eastAsia" w:ascii="宋体" w:hAnsi="宋体" w:cs="宋体"/>
                <w:color w:val="auto"/>
                <w:spacing w:val="-3"/>
                <w:szCs w:val="21"/>
                <w:highlight w:val="none"/>
              </w:rPr>
              <w:t>保障性低。</w:t>
            </w:r>
          </w:p>
          <w:p w14:paraId="057C76A4">
            <w:pPr>
              <w:spacing w:line="360" w:lineRule="auto"/>
              <w:ind w:firstLine="408" w:firstLineChars="200"/>
              <w:rPr>
                <w:rFonts w:ascii="宋体" w:hAnsi="宋体" w:cs="宋体"/>
                <w:color w:val="auto"/>
                <w:spacing w:val="-3"/>
                <w:szCs w:val="21"/>
                <w:highlight w:val="none"/>
              </w:rPr>
            </w:pPr>
            <w:r>
              <w:rPr>
                <w:rFonts w:hint="eastAsia" w:ascii="宋体" w:hAnsi="宋体" w:cs="宋体"/>
                <w:color w:val="auto"/>
                <w:spacing w:val="-3"/>
                <w:szCs w:val="21"/>
                <w:highlight w:val="none"/>
              </w:rPr>
              <w:t>二档（24分)：提供的</w:t>
            </w:r>
            <w:r>
              <w:rPr>
                <w:rFonts w:hint="eastAsia" w:ascii="宋体" w:hAnsi="宋体" w:cs="宋体"/>
                <w:color w:val="auto"/>
                <w:spacing w:val="-3"/>
                <w:szCs w:val="21"/>
                <w:highlight w:val="none"/>
                <w:lang w:eastAsia="zh-CN"/>
              </w:rPr>
              <w:t>后续服务</w:t>
            </w:r>
            <w:r>
              <w:rPr>
                <w:rFonts w:hint="eastAsia" w:ascii="宋体" w:hAnsi="宋体" w:cs="宋体"/>
                <w:color w:val="auto"/>
                <w:spacing w:val="-3"/>
                <w:szCs w:val="21"/>
                <w:highlight w:val="none"/>
              </w:rPr>
              <w:t>方案较详细、基本可行，相关技术人员基本有保证，技术能力基本满足项目要求。技术团队人员分工安排合理，团队成员至少包含 1 名常驻广西本地的运维技术主管，该名运维技术主管具备</w:t>
            </w:r>
            <w:r>
              <w:rPr>
                <w:rFonts w:hint="eastAsia" w:ascii="宋体" w:hAnsi="宋体" w:cs="宋体"/>
                <w:color w:val="auto"/>
                <w:spacing w:val="-3"/>
                <w:szCs w:val="21"/>
                <w:highlight w:val="none"/>
                <w:lang w:val="zh-CN"/>
              </w:rPr>
              <w:t>系统集成项目管理工程师证</w:t>
            </w:r>
            <w:r>
              <w:rPr>
                <w:rFonts w:hint="eastAsia" w:ascii="宋体" w:hAnsi="宋体" w:cs="宋体"/>
                <w:color w:val="auto"/>
                <w:spacing w:val="-3"/>
                <w:szCs w:val="21"/>
                <w:highlight w:val="none"/>
              </w:rPr>
              <w:t>；供应商在项目所在地的</w:t>
            </w:r>
            <w:r>
              <w:rPr>
                <w:rFonts w:hint="eastAsia" w:ascii="宋体" w:hAnsi="宋体" w:cs="宋体"/>
                <w:color w:val="auto"/>
                <w:spacing w:val="-3"/>
                <w:szCs w:val="21"/>
                <w:highlight w:val="none"/>
                <w:lang w:eastAsia="zh-CN"/>
              </w:rPr>
              <w:t>后续服务</w:t>
            </w:r>
            <w:r>
              <w:rPr>
                <w:rFonts w:hint="eastAsia" w:ascii="宋体" w:hAnsi="宋体" w:cs="宋体"/>
                <w:color w:val="auto"/>
                <w:spacing w:val="-3"/>
                <w:szCs w:val="21"/>
                <w:highlight w:val="none"/>
              </w:rPr>
              <w:t>工程人员不少于1人。</w:t>
            </w:r>
          </w:p>
          <w:p w14:paraId="4F7EFFCA">
            <w:pPr>
              <w:spacing w:line="360" w:lineRule="auto"/>
              <w:ind w:firstLine="408" w:firstLineChars="200"/>
              <w:rPr>
                <w:rFonts w:ascii="宋体" w:hAnsi="宋体" w:cs="宋体"/>
                <w:color w:val="auto"/>
                <w:spacing w:val="-3"/>
                <w:szCs w:val="21"/>
                <w:highlight w:val="none"/>
              </w:rPr>
            </w:pPr>
            <w:r>
              <w:rPr>
                <w:rFonts w:hint="eastAsia" w:ascii="宋体" w:hAnsi="宋体" w:cs="宋体"/>
                <w:color w:val="auto"/>
                <w:spacing w:val="-3"/>
                <w:szCs w:val="21"/>
                <w:highlight w:val="none"/>
              </w:rPr>
              <w:t>三档（36 分）：提供的</w:t>
            </w:r>
            <w:r>
              <w:rPr>
                <w:rFonts w:hint="eastAsia" w:ascii="宋体" w:hAnsi="宋体" w:cs="宋体"/>
                <w:color w:val="auto"/>
                <w:spacing w:val="-3"/>
                <w:szCs w:val="21"/>
                <w:highlight w:val="none"/>
                <w:lang w:eastAsia="zh-CN"/>
              </w:rPr>
              <w:t>后续服务</w:t>
            </w:r>
            <w:r>
              <w:rPr>
                <w:rFonts w:hint="eastAsia" w:ascii="宋体" w:hAnsi="宋体" w:cs="宋体"/>
                <w:color w:val="auto"/>
                <w:spacing w:val="-3"/>
                <w:szCs w:val="21"/>
                <w:highlight w:val="none"/>
              </w:rPr>
              <w:t>方案详细、可行，服务措施完备， 相关服务流程合理，运维组织机构齐全，符合采购人实际情况； 相关技术人员有保证，技术能力满足项目要求，技术团队人员分工安排合理，团队成员至少包含 1 名常驻广西本地的运维技术主管，该名运维技术主管具备</w:t>
            </w:r>
            <w:r>
              <w:rPr>
                <w:rFonts w:hint="eastAsia" w:ascii="宋体" w:hAnsi="宋体" w:cs="宋体"/>
                <w:color w:val="auto"/>
                <w:spacing w:val="-3"/>
                <w:szCs w:val="21"/>
                <w:highlight w:val="none"/>
                <w:lang w:val="zh-CN"/>
              </w:rPr>
              <w:t>系统集成项目管理工程师</w:t>
            </w:r>
            <w:r>
              <w:rPr>
                <w:rFonts w:hint="eastAsia" w:ascii="宋体" w:hAnsi="宋体" w:cs="宋体"/>
                <w:color w:val="auto"/>
                <w:spacing w:val="-3"/>
                <w:szCs w:val="21"/>
                <w:highlight w:val="none"/>
              </w:rPr>
              <w:t>和</w:t>
            </w:r>
            <w:r>
              <w:rPr>
                <w:rFonts w:hint="eastAsia" w:ascii="宋体" w:hAnsi="宋体" w:cs="宋体"/>
                <w:color w:val="auto"/>
                <w:spacing w:val="-3"/>
                <w:szCs w:val="21"/>
                <w:highlight w:val="none"/>
                <w:lang w:val="zh-CN"/>
              </w:rPr>
              <w:t>系统管理专业知识测评证书</w:t>
            </w:r>
            <w:r>
              <w:rPr>
                <w:rFonts w:hint="eastAsia" w:ascii="宋体" w:hAnsi="宋体" w:cs="宋体"/>
                <w:color w:val="auto"/>
                <w:spacing w:val="-3"/>
                <w:szCs w:val="21"/>
                <w:highlight w:val="none"/>
              </w:rPr>
              <w:t>；供应商在项目所在地的</w:t>
            </w:r>
            <w:r>
              <w:rPr>
                <w:rFonts w:hint="eastAsia" w:ascii="宋体" w:hAnsi="宋体" w:cs="宋体"/>
                <w:color w:val="auto"/>
                <w:spacing w:val="-3"/>
                <w:szCs w:val="21"/>
                <w:highlight w:val="none"/>
                <w:lang w:eastAsia="zh-CN"/>
              </w:rPr>
              <w:t>后续服务</w:t>
            </w:r>
            <w:r>
              <w:rPr>
                <w:rFonts w:hint="eastAsia" w:ascii="宋体" w:hAnsi="宋体" w:cs="宋体"/>
                <w:color w:val="auto"/>
                <w:spacing w:val="-3"/>
                <w:szCs w:val="21"/>
                <w:highlight w:val="none"/>
              </w:rPr>
              <w:t>工程人员不少于3人，其中包含至少2名成员具有云计算系统维护专业知识测评证书。</w:t>
            </w:r>
          </w:p>
          <w:p w14:paraId="3A49335C">
            <w:pPr>
              <w:spacing w:line="360" w:lineRule="auto"/>
              <w:rPr>
                <w:rFonts w:cs="宋体"/>
                <w:bCs/>
                <w:color w:val="auto"/>
                <w:highlight w:val="none"/>
              </w:rPr>
            </w:pPr>
            <w:r>
              <w:rPr>
                <w:rFonts w:hint="eastAsia" w:ascii="宋体" w:hAnsi="宋体" w:cs="宋体"/>
                <w:color w:val="auto"/>
                <w:spacing w:val="-3"/>
                <w:szCs w:val="21"/>
                <w:highlight w:val="none"/>
              </w:rPr>
              <w:t>注：</w:t>
            </w:r>
            <w:r>
              <w:rPr>
                <w:rFonts w:hint="eastAsia" w:ascii="宋体" w:hAnsi="宋体" w:cs="宋体"/>
                <w:color w:val="auto"/>
                <w:spacing w:val="-3"/>
                <w:szCs w:val="21"/>
                <w:highlight w:val="none"/>
                <w:lang w:val="zh-CN"/>
              </w:rPr>
              <w:t>以上拟投入人员须提供相应证书、证件复印件并加盖公章。</w:t>
            </w:r>
          </w:p>
        </w:tc>
      </w:tr>
      <w:tr w14:paraId="1E46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30" w:type="dxa"/>
            <w:vAlign w:val="center"/>
          </w:tcPr>
          <w:p w14:paraId="36C07BAC">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14:paraId="5792EC53">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6926EC10">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8分</w:t>
            </w:r>
          </w:p>
        </w:tc>
        <w:tc>
          <w:tcPr>
            <w:tcW w:w="6909" w:type="dxa"/>
            <w:gridSpan w:val="2"/>
            <w:vAlign w:val="center"/>
          </w:tcPr>
          <w:p w14:paraId="78A58BFF">
            <w:pPr>
              <w:spacing w:line="360" w:lineRule="auto"/>
              <w:rPr>
                <w:rFonts w:ascii="宋体" w:hAnsi="宋体" w:cs="宋体"/>
                <w:color w:val="auto"/>
                <w:szCs w:val="21"/>
                <w:highlight w:val="none"/>
                <w:lang w:val="zh-CN"/>
              </w:rPr>
            </w:pPr>
            <w:r>
              <w:rPr>
                <w:rFonts w:hint="eastAsia" w:ascii="宋体" w:hAnsi="宋体" w:cs="宋体"/>
                <w:color w:val="auto"/>
                <w:szCs w:val="21"/>
                <w:highlight w:val="none"/>
              </w:rPr>
              <w:t>1、</w:t>
            </w:r>
            <w:r>
              <w:rPr>
                <w:rFonts w:hint="eastAsia" w:ascii="宋体" w:hAnsi="宋体" w:cs="宋体"/>
                <w:color w:val="auto"/>
                <w:szCs w:val="21"/>
                <w:highlight w:val="none"/>
                <w:lang w:val="zh-CN"/>
              </w:rPr>
              <w:t>供应商具有ISO 9001质量管理体系认证证书得</w:t>
            </w:r>
            <w:r>
              <w:rPr>
                <w:rFonts w:hint="eastAsia" w:ascii="宋体" w:hAnsi="宋体" w:cs="宋体"/>
                <w:color w:val="auto"/>
                <w:szCs w:val="21"/>
                <w:highlight w:val="none"/>
              </w:rPr>
              <w:t>2分</w:t>
            </w:r>
            <w:r>
              <w:rPr>
                <w:rFonts w:hint="eastAsia" w:ascii="宋体" w:hAnsi="宋体" w:cs="宋体"/>
                <w:b/>
                <w:bCs/>
                <w:color w:val="auto"/>
                <w:szCs w:val="21"/>
                <w:highlight w:val="none"/>
              </w:rPr>
              <w:t>，满分2分。</w:t>
            </w:r>
          </w:p>
          <w:p w14:paraId="7B5D6D47">
            <w:pPr>
              <w:spacing w:line="360" w:lineRule="auto"/>
              <w:rPr>
                <w:rFonts w:ascii="宋体" w:hAnsi="宋体" w:cs="宋体"/>
                <w:b/>
                <w:bCs/>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供应商具有ISO 27001信息安全管理体系认证认证得</w:t>
            </w:r>
            <w:r>
              <w:rPr>
                <w:rFonts w:hint="eastAsia" w:ascii="宋体" w:hAnsi="宋体" w:cs="宋体"/>
                <w:color w:val="auto"/>
                <w:szCs w:val="21"/>
                <w:highlight w:val="none"/>
              </w:rPr>
              <w:t>2分，</w:t>
            </w:r>
            <w:r>
              <w:rPr>
                <w:rFonts w:hint="eastAsia" w:ascii="宋体" w:hAnsi="宋体" w:cs="宋体"/>
                <w:b/>
                <w:bCs/>
                <w:color w:val="auto"/>
                <w:szCs w:val="21"/>
                <w:highlight w:val="none"/>
              </w:rPr>
              <w:t>满分2分。</w:t>
            </w:r>
          </w:p>
          <w:p w14:paraId="1A1DBF7F">
            <w:pPr>
              <w:spacing w:line="360" w:lineRule="auto"/>
              <w:rPr>
                <w:rFonts w:ascii="宋体" w:hAnsi="宋体" w:cs="宋体"/>
                <w:b/>
                <w:bCs/>
                <w:color w:val="auto"/>
                <w:szCs w:val="21"/>
                <w:highlight w:val="none"/>
                <w:lang w:val="zh-CN"/>
              </w:rPr>
            </w:pPr>
            <w:r>
              <w:rPr>
                <w:rFonts w:hint="eastAsia" w:ascii="宋体" w:hAnsi="宋体" w:cs="宋体"/>
                <w:color w:val="auto"/>
                <w:szCs w:val="21"/>
                <w:highlight w:val="none"/>
              </w:rPr>
              <w:t>3、</w:t>
            </w:r>
            <w:r>
              <w:rPr>
                <w:rFonts w:hint="eastAsia" w:ascii="宋体" w:hAnsi="宋体" w:cs="宋体"/>
                <w:color w:val="auto"/>
                <w:szCs w:val="21"/>
                <w:highlight w:val="none"/>
                <w:lang w:val="zh-CN"/>
              </w:rPr>
              <w:t>供应商具有ISO 20000 信息技术服务管理体系认证证书得</w:t>
            </w:r>
            <w:r>
              <w:rPr>
                <w:rFonts w:hint="eastAsia" w:ascii="宋体" w:hAnsi="宋体" w:cs="宋体"/>
                <w:color w:val="auto"/>
                <w:szCs w:val="21"/>
                <w:highlight w:val="none"/>
              </w:rPr>
              <w:t>2分，</w:t>
            </w:r>
            <w:r>
              <w:rPr>
                <w:rFonts w:hint="eastAsia" w:ascii="宋体" w:hAnsi="宋体" w:cs="宋体"/>
                <w:b/>
                <w:bCs/>
                <w:color w:val="auto"/>
                <w:szCs w:val="21"/>
                <w:highlight w:val="none"/>
              </w:rPr>
              <w:t>满分2分。</w:t>
            </w:r>
          </w:p>
          <w:p w14:paraId="3714DCD3">
            <w:pPr>
              <w:pStyle w:val="84"/>
              <w:ind w:firstLine="0" w:firstLineChars="0"/>
              <w:rPr>
                <w:rFonts w:cs="宋体"/>
                <w:color w:val="auto"/>
                <w:kern w:val="1"/>
                <w:highlight w:val="none"/>
              </w:rPr>
            </w:pPr>
            <w:r>
              <w:rPr>
                <w:rFonts w:hint="eastAsia" w:cs="宋体"/>
                <w:color w:val="auto"/>
                <w:spacing w:val="-3"/>
                <w:sz w:val="21"/>
                <w:highlight w:val="none"/>
                <w:lang w:eastAsia="zh-CN"/>
              </w:rPr>
              <w:t>4、供应商</w:t>
            </w:r>
            <w:r>
              <w:rPr>
                <w:rFonts w:hint="eastAsia" w:cs="宋体"/>
                <w:color w:val="auto"/>
                <w:spacing w:val="-8"/>
                <w:sz w:val="21"/>
                <w:highlight w:val="none"/>
                <w:lang w:eastAsia="zh-CN"/>
              </w:rPr>
              <w:t xml:space="preserve">自 </w:t>
            </w:r>
            <w:r>
              <w:rPr>
                <w:rFonts w:hint="eastAsia" w:cs="宋体"/>
                <w:color w:val="auto"/>
                <w:spacing w:val="-3"/>
                <w:sz w:val="21"/>
                <w:highlight w:val="none"/>
                <w:lang w:eastAsia="zh-CN"/>
              </w:rPr>
              <w:t>202</w:t>
            </w:r>
            <w:r>
              <w:rPr>
                <w:rFonts w:hint="eastAsia" w:cs="宋体"/>
                <w:color w:val="auto"/>
                <w:spacing w:val="-3"/>
                <w:sz w:val="21"/>
                <w:highlight w:val="none"/>
                <w:lang w:val="en-US" w:eastAsia="zh-CN"/>
              </w:rPr>
              <w:t>1</w:t>
            </w:r>
            <w:r>
              <w:rPr>
                <w:rFonts w:hint="eastAsia" w:cs="宋体"/>
                <w:color w:val="auto"/>
                <w:spacing w:val="-10"/>
                <w:sz w:val="21"/>
                <w:highlight w:val="none"/>
                <w:lang w:eastAsia="zh-CN"/>
              </w:rPr>
              <w:t xml:space="preserve">年 </w:t>
            </w:r>
            <w:r>
              <w:rPr>
                <w:rFonts w:hint="eastAsia" w:cs="宋体"/>
                <w:color w:val="auto"/>
                <w:spacing w:val="-3"/>
                <w:sz w:val="21"/>
                <w:highlight w:val="none"/>
                <w:lang w:eastAsia="zh-CN"/>
              </w:rPr>
              <w:t>1</w:t>
            </w:r>
            <w:r>
              <w:rPr>
                <w:rFonts w:hint="eastAsia" w:cs="宋体"/>
                <w:color w:val="auto"/>
                <w:spacing w:val="-8"/>
                <w:sz w:val="21"/>
                <w:highlight w:val="none"/>
                <w:lang w:eastAsia="zh-CN"/>
              </w:rPr>
              <w:t xml:space="preserve"> 月 </w:t>
            </w:r>
            <w:r>
              <w:rPr>
                <w:rFonts w:hint="eastAsia" w:cs="宋体"/>
                <w:color w:val="auto"/>
                <w:spacing w:val="-2"/>
                <w:sz w:val="21"/>
                <w:highlight w:val="none"/>
                <w:lang w:eastAsia="zh-CN"/>
              </w:rPr>
              <w:t>1</w:t>
            </w:r>
            <w:r>
              <w:rPr>
                <w:rFonts w:hint="eastAsia" w:cs="宋体"/>
                <w:color w:val="auto"/>
                <w:sz w:val="21"/>
                <w:highlight w:val="none"/>
                <w:lang w:eastAsia="zh-CN"/>
              </w:rPr>
              <w:t>日以来有类似业绩的，每个得1分，</w:t>
            </w:r>
            <w:r>
              <w:rPr>
                <w:rFonts w:hint="eastAsia" w:cs="宋体"/>
                <w:b/>
                <w:bCs/>
                <w:color w:val="auto"/>
                <w:sz w:val="21"/>
                <w:highlight w:val="none"/>
                <w:lang w:eastAsia="zh-CN"/>
              </w:rPr>
              <w:t>满分2分。</w:t>
            </w:r>
            <w:r>
              <w:rPr>
                <w:rFonts w:hint="eastAsia" w:cs="宋体"/>
                <w:color w:val="auto"/>
                <w:sz w:val="21"/>
                <w:highlight w:val="none"/>
                <w:lang w:eastAsia="zh-CN"/>
              </w:rPr>
              <w:t>（响应文件中提供合同复印件并加盖公章）</w:t>
            </w:r>
          </w:p>
        </w:tc>
      </w:tr>
      <w:tr w14:paraId="6432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3632B20E">
            <w:pPr>
              <w:pStyle w:val="20"/>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14:paraId="7E4D8D5F">
      <w:pPr>
        <w:spacing w:line="360" w:lineRule="auto"/>
        <w:rPr>
          <w:rFonts w:ascii="宋体" w:hAnsi="宋体" w:cs="宋体"/>
          <w:bCs/>
          <w:color w:val="auto"/>
          <w:szCs w:val="21"/>
          <w:highlight w:val="none"/>
        </w:rPr>
      </w:pPr>
    </w:p>
    <w:p w14:paraId="56851AEB">
      <w:pPr>
        <w:spacing w:line="360" w:lineRule="auto"/>
        <w:ind w:firstLine="422" w:firstLineChars="200"/>
        <w:rPr>
          <w:rFonts w:ascii="宋体" w:hAnsi="宋体" w:cs="宋体"/>
          <w:b/>
          <w:color w:val="auto"/>
          <w:szCs w:val="21"/>
          <w:highlight w:val="none"/>
        </w:rPr>
      </w:pPr>
    </w:p>
    <w:p w14:paraId="27132624">
      <w:pPr>
        <w:spacing w:line="360" w:lineRule="auto"/>
        <w:ind w:firstLine="422" w:firstLineChars="200"/>
        <w:rPr>
          <w:rFonts w:ascii="宋体" w:hAnsi="宋体" w:cs="宋体"/>
          <w:b/>
          <w:color w:val="auto"/>
          <w:szCs w:val="21"/>
          <w:highlight w:val="none"/>
        </w:rPr>
      </w:pPr>
    </w:p>
    <w:p w14:paraId="6A7D188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05分标：</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171"/>
        <w:gridCol w:w="5738"/>
      </w:tblGrid>
      <w:tr w14:paraId="1911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19F9130E">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35D35040">
            <w:pPr>
              <w:adjustRightInd w:val="0"/>
              <w:spacing w:line="41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55D46715">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32BBB649">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7818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2F2CEE6A">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0BC10AD0">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321D2152">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20分</w:t>
            </w:r>
          </w:p>
        </w:tc>
        <w:tc>
          <w:tcPr>
            <w:tcW w:w="6909" w:type="dxa"/>
            <w:gridSpan w:val="2"/>
            <w:vAlign w:val="center"/>
          </w:tcPr>
          <w:p w14:paraId="644515C0">
            <w:pPr>
              <w:pStyle w:val="20"/>
              <w:spacing w:line="360" w:lineRule="auto"/>
              <w:ind w:firstLine="422" w:firstLineChars="200"/>
              <w:rPr>
                <w:rFonts w:hAnsi="宋体" w:cs="Courier New"/>
                <w:b/>
                <w:bCs/>
                <w:color w:val="auto"/>
                <w:kern w:val="2"/>
                <w:sz w:val="21"/>
                <w:highlight w:val="none"/>
              </w:rPr>
            </w:pPr>
            <w:r>
              <w:rPr>
                <w:rFonts w:hint="eastAsia" w:hAnsi="宋体" w:cs="Courier New"/>
                <w:b/>
                <w:bCs/>
                <w:color w:val="auto"/>
                <w:kern w:val="2"/>
                <w:sz w:val="21"/>
                <w:highlight w:val="none"/>
              </w:rPr>
              <w:t>一、政府采购政策</w:t>
            </w:r>
          </w:p>
          <w:p w14:paraId="1DEC3F91">
            <w:pPr>
              <w:pStyle w:val="20"/>
              <w:spacing w:line="360" w:lineRule="auto"/>
              <w:ind w:firstLine="420" w:firstLineChars="200"/>
              <w:rPr>
                <w:rFonts w:hAnsi="宋体" w:cs="宋体"/>
                <w:color w:val="auto"/>
                <w:highlight w:val="none"/>
              </w:rPr>
            </w:pPr>
            <w:r>
              <w:rPr>
                <w:rFonts w:hint="eastAsia" w:hAnsi="宋体"/>
                <w:bCs/>
                <w:color w:val="auto"/>
                <w:sz w:val="21"/>
                <w:highlight w:val="none"/>
              </w:rPr>
              <w:t>1、本分标属于专门面向</w:t>
            </w:r>
            <w:r>
              <w:rPr>
                <w:rFonts w:hint="eastAsia" w:hAnsi="宋体"/>
                <w:bCs/>
                <w:color w:val="auto"/>
                <w:sz w:val="21"/>
                <w:highlight w:val="none"/>
                <w:lang w:eastAsia="zh-CN"/>
              </w:rPr>
              <w:t>小微</w:t>
            </w:r>
            <w:r>
              <w:rPr>
                <w:rFonts w:hint="eastAsia" w:hAnsi="宋体"/>
                <w:bCs/>
                <w:color w:val="auto"/>
                <w:sz w:val="21"/>
                <w:highlight w:val="none"/>
              </w:rPr>
              <w:t>企业采购的项目，不再享受价格扣除优惠政策。</w:t>
            </w:r>
          </w:p>
          <w:p w14:paraId="58E24E9B">
            <w:pPr>
              <w:rPr>
                <w:b/>
                <w:bCs/>
                <w:color w:val="auto"/>
                <w:highlight w:val="none"/>
              </w:rPr>
            </w:pPr>
            <w:r>
              <w:rPr>
                <w:rFonts w:hint="eastAsia"/>
                <w:b/>
                <w:bCs/>
                <w:color w:val="auto"/>
                <w:highlight w:val="none"/>
              </w:rPr>
              <w:t>二、报价分（满分20分）</w:t>
            </w:r>
          </w:p>
          <w:p w14:paraId="4AEF54BB">
            <w:pPr>
              <w:pStyle w:val="20"/>
              <w:spacing w:line="420" w:lineRule="exact"/>
              <w:ind w:firstLine="420" w:firstLineChars="200"/>
              <w:rPr>
                <w:rFonts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报价分采用低价优先法计算，满足磋商文件要求且最后报价最低的有效供应商的评标价为评标基准价，其报价分为满分。</w:t>
            </w:r>
          </w:p>
          <w:p w14:paraId="0AEE8953">
            <w:pPr>
              <w:pStyle w:val="20"/>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2、其他供应商的价格分统一按照下列公式计算：</w:t>
            </w:r>
          </w:p>
          <w:p w14:paraId="1BF472C5">
            <w:pPr>
              <w:pStyle w:val="20"/>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某有效供应商的报价分=（评标基准价／某有效供应商最后报价）×20分</w:t>
            </w:r>
          </w:p>
        </w:tc>
      </w:tr>
      <w:tr w14:paraId="1B85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30" w:type="dxa"/>
            <w:vMerge w:val="restart"/>
            <w:vAlign w:val="center"/>
          </w:tcPr>
          <w:p w14:paraId="2D7EFFCA">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280" w:type="dxa"/>
            <w:vMerge w:val="restart"/>
            <w:vAlign w:val="center"/>
          </w:tcPr>
          <w:p w14:paraId="3439E7B1">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574E7F6E">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74分</w:t>
            </w:r>
          </w:p>
        </w:tc>
        <w:tc>
          <w:tcPr>
            <w:tcW w:w="1171" w:type="dxa"/>
            <w:vAlign w:val="center"/>
          </w:tcPr>
          <w:p w14:paraId="5B0E1DA1">
            <w:pPr>
              <w:spacing w:line="360" w:lineRule="auto"/>
              <w:rPr>
                <w:rFonts w:ascii="宋体" w:hAnsi="宋体" w:cs="宋体"/>
                <w:bCs/>
                <w:color w:val="auto"/>
                <w:szCs w:val="21"/>
                <w:highlight w:val="none"/>
              </w:rPr>
            </w:pPr>
            <w:r>
              <w:rPr>
                <w:rFonts w:hint="eastAsia" w:ascii="宋体" w:hAnsi="宋体" w:cs="宋体"/>
                <w:b/>
                <w:bCs/>
                <w:color w:val="auto"/>
                <w:szCs w:val="21"/>
                <w:highlight w:val="none"/>
              </w:rPr>
              <w:t>技术服务方案（满分30分）</w:t>
            </w:r>
          </w:p>
        </w:tc>
        <w:tc>
          <w:tcPr>
            <w:tcW w:w="5738" w:type="dxa"/>
            <w:vAlign w:val="center"/>
          </w:tcPr>
          <w:p w14:paraId="75F5366B">
            <w:pPr>
              <w:spacing w:line="360" w:lineRule="auto"/>
              <w:ind w:firstLine="408" w:firstLineChars="200"/>
              <w:rPr>
                <w:rFonts w:ascii="宋体" w:hAnsi="宋体" w:cs="宋体"/>
                <w:color w:val="auto"/>
                <w:spacing w:val="-3"/>
                <w:szCs w:val="21"/>
                <w:highlight w:val="none"/>
              </w:rPr>
            </w:pPr>
            <w:r>
              <w:rPr>
                <w:rFonts w:hint="eastAsia" w:ascii="宋体" w:hAnsi="宋体" w:cs="宋体"/>
                <w:color w:val="auto"/>
                <w:spacing w:val="-3"/>
                <w:szCs w:val="21"/>
                <w:highlight w:val="none"/>
              </w:rPr>
              <w:t>由磋商小组在打分前根据供应商</w:t>
            </w:r>
            <w:r>
              <w:rPr>
                <w:rFonts w:hint="eastAsia" w:ascii="宋体" w:hAnsi="宋体" w:cs="宋体"/>
                <w:color w:val="auto"/>
                <w:spacing w:val="-3"/>
                <w:szCs w:val="21"/>
                <w:highlight w:val="none"/>
                <w:lang w:eastAsia="zh-CN"/>
              </w:rPr>
              <w:t>提供的方案</w:t>
            </w:r>
            <w:r>
              <w:rPr>
                <w:rFonts w:hint="eastAsia" w:ascii="宋体" w:hAnsi="宋体" w:cs="宋体"/>
                <w:color w:val="auto"/>
                <w:spacing w:val="-3"/>
                <w:szCs w:val="21"/>
                <w:highlight w:val="none"/>
              </w:rPr>
              <w:t>确定各供应商所属档次及得分。达不到一档要求或不提供的得0分。</w:t>
            </w:r>
          </w:p>
          <w:p w14:paraId="49F5FFF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一档（10 分）：方案简单，基本符合采购要求的；</w:t>
            </w:r>
          </w:p>
          <w:p w14:paraId="787B518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二档（20 分）：方案符合采购要求，结构合理、内容较完整，能够详细说明设备情况，能够提供有针对性的详细的服务方案，并提供有针对性的故障问题解决方案和对设备合理的维护服务说明；</w:t>
            </w:r>
          </w:p>
          <w:p w14:paraId="1BFCE5D1">
            <w:pPr>
              <w:spacing w:line="360" w:lineRule="auto"/>
              <w:ind w:firstLine="420"/>
              <w:rPr>
                <w:rFonts w:cs="宋体"/>
                <w:bCs/>
                <w:color w:val="auto"/>
                <w:highlight w:val="none"/>
              </w:rPr>
            </w:pPr>
            <w:r>
              <w:rPr>
                <w:rFonts w:hint="eastAsia" w:ascii="宋体" w:hAnsi="宋体" w:cs="宋体"/>
                <w:color w:val="auto"/>
                <w:szCs w:val="21"/>
                <w:highlight w:val="none"/>
              </w:rPr>
              <w:t>三档（30 分）：方案完全符合采购要求，结构清晰全面、措施到位、 可操作性及针对性强，能够详细说明设备情况；能够提供有针对性的详细的服务方案，并提供有针对性的故障问题解决方案和对设备合理的维护服务说明；技术维护方案在设计时充分考虑采购人现有资源，能进行合理的调整，提供设备维护优化方案。</w:t>
            </w:r>
          </w:p>
        </w:tc>
      </w:tr>
      <w:tr w14:paraId="0C82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continue"/>
            <w:vAlign w:val="center"/>
          </w:tcPr>
          <w:p w14:paraId="2CCC1B51">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69E05724">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6859B96E">
            <w:pPr>
              <w:adjustRightInd w:val="0"/>
              <w:spacing w:line="360" w:lineRule="auto"/>
              <w:jc w:val="center"/>
              <w:textAlignment w:val="baseline"/>
              <w:rPr>
                <w:rFonts w:ascii="宋体" w:hAnsi="宋体" w:cs="宋体"/>
                <w:b/>
                <w:color w:val="auto"/>
                <w:szCs w:val="21"/>
                <w:highlight w:val="none"/>
              </w:rPr>
            </w:pPr>
          </w:p>
        </w:tc>
        <w:tc>
          <w:tcPr>
            <w:tcW w:w="1171" w:type="dxa"/>
            <w:vAlign w:val="center"/>
          </w:tcPr>
          <w:p w14:paraId="375B7101">
            <w:pPr>
              <w:spacing w:line="360" w:lineRule="auto"/>
              <w:rPr>
                <w:rFonts w:hAnsi="宋体" w:cs="宋体"/>
                <w:bCs/>
                <w:color w:val="auto"/>
                <w:highlight w:val="none"/>
              </w:rPr>
            </w:pPr>
            <w:r>
              <w:rPr>
                <w:rFonts w:hint="eastAsia" w:ascii="宋体" w:hAnsi="宋体" w:cs="宋体"/>
                <w:b/>
                <w:color w:val="auto"/>
                <w:szCs w:val="21"/>
                <w:highlight w:val="none"/>
              </w:rPr>
              <w:t>组织实施方案分（满分24分）</w:t>
            </w:r>
          </w:p>
        </w:tc>
        <w:tc>
          <w:tcPr>
            <w:tcW w:w="5738" w:type="dxa"/>
            <w:vAlign w:val="center"/>
          </w:tcPr>
          <w:p w14:paraId="6A22A1D4">
            <w:pPr>
              <w:spacing w:line="360" w:lineRule="auto"/>
              <w:ind w:firstLine="408" w:firstLineChars="200"/>
              <w:rPr>
                <w:rFonts w:ascii="宋体" w:hAnsi="宋体" w:cs="宋体"/>
                <w:color w:val="auto"/>
                <w:spacing w:val="-3"/>
                <w:szCs w:val="21"/>
                <w:highlight w:val="none"/>
              </w:rPr>
            </w:pPr>
            <w:r>
              <w:rPr>
                <w:rFonts w:hint="eastAsia" w:ascii="宋体" w:hAnsi="宋体" w:cs="宋体"/>
                <w:color w:val="auto"/>
                <w:spacing w:val="-3"/>
                <w:szCs w:val="21"/>
                <w:highlight w:val="none"/>
              </w:rPr>
              <w:t>由磋商小组在打分前根据供应商</w:t>
            </w:r>
            <w:r>
              <w:rPr>
                <w:rFonts w:hint="eastAsia" w:ascii="宋体" w:hAnsi="宋体" w:cs="宋体"/>
                <w:color w:val="auto"/>
                <w:spacing w:val="-3"/>
                <w:szCs w:val="21"/>
                <w:highlight w:val="none"/>
                <w:lang w:eastAsia="zh-CN"/>
              </w:rPr>
              <w:t>提供的方案</w:t>
            </w:r>
            <w:r>
              <w:rPr>
                <w:rFonts w:hint="eastAsia" w:ascii="宋体" w:hAnsi="宋体" w:cs="宋体"/>
                <w:color w:val="auto"/>
                <w:spacing w:val="-3"/>
                <w:szCs w:val="21"/>
                <w:highlight w:val="none"/>
              </w:rPr>
              <w:t>确定各供应商所属档次及得分。达不到一档要求或不提供的得0分。</w:t>
            </w:r>
          </w:p>
          <w:p w14:paraId="6E4BCDA8">
            <w:pPr>
              <w:pStyle w:val="20"/>
              <w:spacing w:line="360" w:lineRule="auto"/>
              <w:ind w:firstLine="436" w:firstLineChars="216"/>
              <w:rPr>
                <w:rFonts w:hAnsi="宋体" w:cs="宋体"/>
                <w:color w:val="auto"/>
                <w:spacing w:val="-4"/>
                <w:sz w:val="21"/>
                <w:highlight w:val="none"/>
              </w:rPr>
            </w:pPr>
            <w:r>
              <w:rPr>
                <w:rFonts w:hint="eastAsia" w:hAnsi="宋体" w:cs="宋体"/>
                <w:color w:val="auto"/>
                <w:spacing w:val="-4"/>
                <w:sz w:val="21"/>
                <w:highlight w:val="none"/>
              </w:rPr>
              <w:t>一档（8 分）：较准确理解本项目的特点；方案较全面，提出较完整可行的建设实施方案，可行性较高；</w:t>
            </w:r>
          </w:p>
          <w:p w14:paraId="34812F4C">
            <w:pPr>
              <w:pStyle w:val="20"/>
              <w:spacing w:line="360" w:lineRule="auto"/>
              <w:ind w:firstLine="436" w:firstLineChars="216"/>
              <w:rPr>
                <w:rFonts w:hAnsi="宋体" w:cs="宋体"/>
                <w:color w:val="auto"/>
                <w:spacing w:val="-4"/>
                <w:sz w:val="21"/>
                <w:highlight w:val="none"/>
              </w:rPr>
            </w:pPr>
            <w:r>
              <w:rPr>
                <w:rFonts w:hint="eastAsia" w:hAnsi="宋体" w:cs="宋体"/>
                <w:color w:val="auto"/>
                <w:spacing w:val="-4"/>
                <w:sz w:val="21"/>
                <w:highlight w:val="none"/>
              </w:rPr>
              <w:t>二档（16 分）：理解本项目的特点及需求，有针对性的提供了建设实施方案，措施可落地且科学合理，符合采购人的需求，可控性强；</w:t>
            </w:r>
          </w:p>
          <w:p w14:paraId="1DC0755E">
            <w:pPr>
              <w:pStyle w:val="20"/>
              <w:spacing w:line="360" w:lineRule="auto"/>
              <w:ind w:firstLine="436" w:firstLineChars="216"/>
              <w:rPr>
                <w:rFonts w:cs="宋体"/>
                <w:bCs/>
                <w:color w:val="auto"/>
                <w:highlight w:val="none"/>
              </w:rPr>
            </w:pPr>
            <w:r>
              <w:rPr>
                <w:rFonts w:hint="eastAsia" w:hAnsi="宋体" w:cs="宋体"/>
                <w:color w:val="auto"/>
                <w:spacing w:val="-4"/>
                <w:sz w:val="21"/>
                <w:highlight w:val="none"/>
              </w:rPr>
              <w:t>三档（24 分）：对采购人需求和本项目的特点理解透彻，对背景、现状认识全面；对相关政策理解深刻，对政策的把握性强；技术方案全面、准确、科学合理，方案内容完善、理念创新、思路清晰，对方案把控度强、可行性高、整合措施到位、有明确具体的各项安排，能在满足采购人的要求的基础上提出好的合理化建议。</w:t>
            </w:r>
          </w:p>
        </w:tc>
      </w:tr>
      <w:tr w14:paraId="08A8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5AB71237">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2FA4C098">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672DB9E8">
            <w:pPr>
              <w:adjustRightInd w:val="0"/>
              <w:spacing w:line="360" w:lineRule="auto"/>
              <w:jc w:val="center"/>
              <w:textAlignment w:val="baseline"/>
              <w:rPr>
                <w:rFonts w:ascii="宋体" w:hAnsi="宋体" w:cs="宋体"/>
                <w:b/>
                <w:color w:val="auto"/>
                <w:szCs w:val="21"/>
                <w:highlight w:val="none"/>
              </w:rPr>
            </w:pPr>
          </w:p>
        </w:tc>
        <w:tc>
          <w:tcPr>
            <w:tcW w:w="1171" w:type="dxa"/>
            <w:vAlign w:val="center"/>
          </w:tcPr>
          <w:p w14:paraId="48C7736F">
            <w:pPr>
              <w:spacing w:line="360" w:lineRule="auto"/>
              <w:rPr>
                <w:rFonts w:ascii="宋体" w:hAnsi="宋体" w:cs="宋体"/>
                <w:bCs/>
                <w:color w:val="auto"/>
                <w:szCs w:val="21"/>
                <w:highlight w:val="none"/>
              </w:rPr>
            </w:pPr>
            <w:r>
              <w:rPr>
                <w:rFonts w:hint="eastAsia" w:ascii="宋体" w:hAnsi="宋体" w:cs="宋体"/>
                <w:b/>
                <w:bCs/>
                <w:color w:val="auto"/>
                <w:kern w:val="1"/>
                <w:szCs w:val="21"/>
                <w:highlight w:val="none"/>
              </w:rPr>
              <w:t>后续服务分（满分20分）</w:t>
            </w:r>
          </w:p>
        </w:tc>
        <w:tc>
          <w:tcPr>
            <w:tcW w:w="5738" w:type="dxa"/>
            <w:vAlign w:val="center"/>
          </w:tcPr>
          <w:p w14:paraId="6BF06C42">
            <w:pPr>
              <w:spacing w:line="360" w:lineRule="auto"/>
              <w:ind w:firstLine="420"/>
              <w:rPr>
                <w:color w:val="auto"/>
                <w:szCs w:val="21"/>
                <w:highlight w:val="none"/>
              </w:rPr>
            </w:pPr>
            <w:r>
              <w:rPr>
                <w:rFonts w:hint="eastAsia"/>
                <w:color w:val="auto"/>
                <w:szCs w:val="21"/>
                <w:highlight w:val="none"/>
              </w:rPr>
              <w:t>由磋商小组在打分前根据供应商提供的后续服务方案和后续服务承诺书确定各供应商所属档次及得分。</w:t>
            </w:r>
          </w:p>
          <w:p w14:paraId="01E1DACF">
            <w:pPr>
              <w:spacing w:line="360" w:lineRule="auto"/>
              <w:ind w:firstLine="420"/>
              <w:rPr>
                <w:color w:val="auto"/>
                <w:szCs w:val="21"/>
                <w:highlight w:val="none"/>
              </w:rPr>
            </w:pPr>
            <w:r>
              <w:rPr>
                <w:rFonts w:hint="eastAsia"/>
                <w:color w:val="auto"/>
                <w:szCs w:val="21"/>
                <w:highlight w:val="none"/>
              </w:rPr>
              <w:t>一档（6 分）：有后续服务承诺书但承诺不具体不明确；</w:t>
            </w:r>
          </w:p>
          <w:p w14:paraId="5D53F9DE">
            <w:pPr>
              <w:spacing w:line="360" w:lineRule="auto"/>
              <w:ind w:firstLine="420"/>
              <w:rPr>
                <w:color w:val="auto"/>
                <w:szCs w:val="21"/>
                <w:highlight w:val="none"/>
              </w:rPr>
            </w:pPr>
            <w:r>
              <w:rPr>
                <w:rFonts w:hint="eastAsia"/>
                <w:color w:val="auto"/>
                <w:szCs w:val="21"/>
                <w:highlight w:val="none"/>
              </w:rPr>
              <w:t>二档（12 分）：后续服务承诺书各项目内容齐全，陈述较详细，操作性一般；</w:t>
            </w:r>
          </w:p>
          <w:p w14:paraId="69533435">
            <w:pPr>
              <w:spacing w:line="360" w:lineRule="auto"/>
              <w:ind w:firstLine="420"/>
              <w:rPr>
                <w:color w:val="auto"/>
                <w:szCs w:val="21"/>
                <w:highlight w:val="none"/>
              </w:rPr>
            </w:pPr>
            <w:r>
              <w:rPr>
                <w:rFonts w:hint="eastAsia"/>
                <w:color w:val="auto"/>
                <w:szCs w:val="21"/>
                <w:highlight w:val="none"/>
              </w:rPr>
              <w:t>三档（20 分）：后续服务承诺书各项目内容齐全，陈述较详细，承诺具体明确，操作性强且科学合理。</w:t>
            </w:r>
          </w:p>
          <w:p w14:paraId="3C4482B9">
            <w:pPr>
              <w:spacing w:line="360" w:lineRule="auto"/>
              <w:ind w:firstLine="420"/>
              <w:rPr>
                <w:color w:val="auto"/>
                <w:highlight w:val="none"/>
              </w:rPr>
            </w:pPr>
            <w:r>
              <w:rPr>
                <w:rFonts w:hint="eastAsia"/>
                <w:color w:val="auto"/>
                <w:szCs w:val="21"/>
                <w:highlight w:val="none"/>
              </w:rPr>
              <w:t>注：未提供方案、证明相关材料或所提供的方案、证明材料有明显错漏、缺陷的，得 0 分。</w:t>
            </w:r>
          </w:p>
        </w:tc>
      </w:tr>
      <w:tr w14:paraId="631B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30" w:type="dxa"/>
            <w:vAlign w:val="center"/>
          </w:tcPr>
          <w:p w14:paraId="28B8EC99">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14:paraId="7E96EA96">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09EBF641">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6分</w:t>
            </w:r>
          </w:p>
        </w:tc>
        <w:tc>
          <w:tcPr>
            <w:tcW w:w="6909" w:type="dxa"/>
            <w:gridSpan w:val="2"/>
            <w:vAlign w:val="center"/>
          </w:tcPr>
          <w:p w14:paraId="0704541D">
            <w:pPr>
              <w:spacing w:line="360" w:lineRule="auto"/>
              <w:ind w:firstLine="420"/>
              <w:rPr>
                <w:color w:val="auto"/>
                <w:szCs w:val="21"/>
                <w:highlight w:val="none"/>
              </w:rPr>
            </w:pPr>
            <w:r>
              <w:rPr>
                <w:rFonts w:hint="eastAsia"/>
                <w:color w:val="auto"/>
                <w:szCs w:val="21"/>
                <w:highlight w:val="none"/>
              </w:rPr>
              <w:t>1、供应商自 202</w:t>
            </w:r>
            <w:r>
              <w:rPr>
                <w:rFonts w:hint="eastAsia"/>
                <w:color w:val="auto"/>
                <w:szCs w:val="21"/>
                <w:highlight w:val="none"/>
                <w:lang w:val="en-US" w:eastAsia="zh-CN"/>
              </w:rPr>
              <w:t>1</w:t>
            </w:r>
            <w:r>
              <w:rPr>
                <w:rFonts w:hint="eastAsia"/>
                <w:color w:val="auto"/>
                <w:szCs w:val="21"/>
                <w:highlight w:val="none"/>
              </w:rPr>
              <w:t xml:space="preserve"> 年以来具维护服务项目的成功案例（以有效的合同或中标（成交）通知书复印件为准，原件备查），每有一份得 2 分，</w:t>
            </w:r>
            <w:r>
              <w:rPr>
                <w:rFonts w:hint="eastAsia"/>
                <w:b/>
                <w:bCs/>
                <w:color w:val="auto"/>
                <w:szCs w:val="21"/>
                <w:highlight w:val="none"/>
              </w:rPr>
              <w:t>满分 4 分。</w:t>
            </w:r>
          </w:p>
          <w:p w14:paraId="04651294">
            <w:pPr>
              <w:spacing w:line="360" w:lineRule="auto"/>
              <w:ind w:firstLine="420"/>
              <w:rPr>
                <w:rFonts w:ascii="宋体" w:hAnsi="宋体" w:cs="宋体"/>
                <w:color w:val="auto"/>
                <w:kern w:val="1"/>
                <w:szCs w:val="21"/>
                <w:highlight w:val="none"/>
              </w:rPr>
            </w:pPr>
            <w:r>
              <w:rPr>
                <w:rFonts w:hint="eastAsia"/>
                <w:color w:val="auto"/>
                <w:szCs w:val="21"/>
                <w:highlight w:val="none"/>
              </w:rPr>
              <w:t>2、供应商或主要设备生产厂商是否能够提供计算机和网络设备备用件。在项目所在市区内有完善备件库，能提供本项目同型号 5 台以上（含）计算机或网络设备作为备件放置在采购人现场并出具承诺函得 2 分，提供不全不得分。</w:t>
            </w:r>
          </w:p>
        </w:tc>
      </w:tr>
      <w:tr w14:paraId="54E0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628" w:type="dxa"/>
            <w:gridSpan w:val="5"/>
            <w:vAlign w:val="center"/>
          </w:tcPr>
          <w:p w14:paraId="64291272">
            <w:pPr>
              <w:pStyle w:val="20"/>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14:paraId="0205147F">
      <w:pPr>
        <w:spacing w:line="360" w:lineRule="auto"/>
        <w:rPr>
          <w:rFonts w:ascii="宋体" w:hAnsi="宋体" w:cs="宋体"/>
          <w:bCs/>
          <w:color w:val="auto"/>
          <w:szCs w:val="21"/>
          <w:highlight w:val="none"/>
        </w:rPr>
      </w:pPr>
    </w:p>
    <w:p w14:paraId="3F733D84">
      <w:pPr>
        <w:spacing w:line="360" w:lineRule="auto"/>
        <w:ind w:firstLine="422" w:firstLineChars="200"/>
        <w:rPr>
          <w:rFonts w:hint="eastAsia" w:ascii="宋体" w:hAnsi="宋体" w:cs="宋体"/>
          <w:b/>
          <w:color w:val="auto"/>
          <w:szCs w:val="21"/>
          <w:highlight w:val="none"/>
        </w:rPr>
      </w:pPr>
    </w:p>
    <w:p w14:paraId="69915E60">
      <w:pPr>
        <w:spacing w:line="360" w:lineRule="auto"/>
        <w:ind w:firstLine="422" w:firstLineChars="200"/>
        <w:rPr>
          <w:rFonts w:hint="eastAsia" w:ascii="宋体" w:hAnsi="宋体" w:cs="宋体"/>
          <w:b/>
          <w:color w:val="auto"/>
          <w:szCs w:val="21"/>
          <w:highlight w:val="none"/>
        </w:rPr>
      </w:pPr>
    </w:p>
    <w:p w14:paraId="32C0A21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06分标：</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0C11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729F9B9B">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526F713E">
            <w:pPr>
              <w:adjustRightInd w:val="0"/>
              <w:spacing w:line="41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6D05B335">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78AE3DE6">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4AC9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735E872A">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67EFE8E5">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154A6721">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10分</w:t>
            </w:r>
          </w:p>
        </w:tc>
        <w:tc>
          <w:tcPr>
            <w:tcW w:w="6909" w:type="dxa"/>
            <w:gridSpan w:val="2"/>
            <w:vAlign w:val="center"/>
          </w:tcPr>
          <w:p w14:paraId="5ED51C1C">
            <w:pPr>
              <w:pStyle w:val="20"/>
              <w:spacing w:line="360" w:lineRule="auto"/>
              <w:ind w:firstLine="422" w:firstLineChars="200"/>
              <w:rPr>
                <w:rFonts w:hAnsi="宋体" w:cs="Courier New"/>
                <w:b/>
                <w:bCs/>
                <w:color w:val="auto"/>
                <w:kern w:val="2"/>
                <w:sz w:val="21"/>
                <w:highlight w:val="none"/>
              </w:rPr>
            </w:pPr>
            <w:r>
              <w:rPr>
                <w:rFonts w:hint="eastAsia" w:hAnsi="宋体" w:cs="Courier New"/>
                <w:b/>
                <w:bCs/>
                <w:color w:val="auto"/>
                <w:kern w:val="2"/>
                <w:sz w:val="21"/>
                <w:highlight w:val="none"/>
              </w:rPr>
              <w:t>一、政府采购政策</w:t>
            </w:r>
          </w:p>
          <w:p w14:paraId="20D0DA20">
            <w:pPr>
              <w:pStyle w:val="20"/>
              <w:spacing w:line="360" w:lineRule="auto"/>
              <w:ind w:firstLine="420" w:firstLineChars="200"/>
              <w:rPr>
                <w:rFonts w:hAnsi="宋体" w:cs="宋体"/>
                <w:color w:val="auto"/>
                <w:highlight w:val="none"/>
              </w:rPr>
            </w:pPr>
            <w:r>
              <w:rPr>
                <w:rFonts w:hint="eastAsia" w:hAnsi="宋体"/>
                <w:bCs/>
                <w:color w:val="auto"/>
                <w:sz w:val="21"/>
                <w:highlight w:val="none"/>
              </w:rPr>
              <w:t>1、本分标属于专门面向中小企业采购的项目，不再享受价格扣除优惠政策。</w:t>
            </w:r>
          </w:p>
          <w:p w14:paraId="275780D4">
            <w:pPr>
              <w:ind w:firstLine="422" w:firstLineChars="200"/>
              <w:rPr>
                <w:b/>
                <w:bCs/>
                <w:color w:val="auto"/>
                <w:highlight w:val="none"/>
              </w:rPr>
            </w:pPr>
            <w:r>
              <w:rPr>
                <w:rFonts w:hint="eastAsia"/>
                <w:b/>
                <w:bCs/>
                <w:color w:val="auto"/>
                <w:highlight w:val="none"/>
              </w:rPr>
              <w:t>二、报价分（满分10分）</w:t>
            </w:r>
          </w:p>
          <w:p w14:paraId="0DE66C70">
            <w:pPr>
              <w:pStyle w:val="20"/>
              <w:spacing w:line="420" w:lineRule="exact"/>
              <w:ind w:firstLine="420" w:firstLineChars="200"/>
              <w:rPr>
                <w:rFonts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报价分采用低价优先法计算，满足磋商文件要求且最后报价最低的有效供应商的评标价为评标基准价，其报价分为满分。</w:t>
            </w:r>
          </w:p>
          <w:p w14:paraId="73F4426E">
            <w:pPr>
              <w:pStyle w:val="20"/>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2、其他供应商的价格分统一按照下列公式计算：</w:t>
            </w:r>
          </w:p>
          <w:p w14:paraId="46D6EF60">
            <w:pPr>
              <w:pStyle w:val="20"/>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某有效供应商的报价分=（评标基准价／某有效供应商最后报价）×10分</w:t>
            </w:r>
          </w:p>
        </w:tc>
      </w:tr>
      <w:tr w14:paraId="760D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30" w:type="dxa"/>
            <w:vMerge w:val="restart"/>
            <w:vAlign w:val="center"/>
          </w:tcPr>
          <w:p w14:paraId="4C3F64F6">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280" w:type="dxa"/>
            <w:vMerge w:val="restart"/>
            <w:vAlign w:val="center"/>
          </w:tcPr>
          <w:p w14:paraId="349454D3">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7B80A292">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55分</w:t>
            </w:r>
          </w:p>
        </w:tc>
        <w:tc>
          <w:tcPr>
            <w:tcW w:w="1244" w:type="dxa"/>
            <w:vAlign w:val="center"/>
          </w:tcPr>
          <w:p w14:paraId="4E1C3060">
            <w:pPr>
              <w:adjustRightInd w:val="0"/>
              <w:spacing w:line="320" w:lineRule="exact"/>
              <w:jc w:val="center"/>
              <w:textAlignment w:val="baseline"/>
              <w:rPr>
                <w:rFonts w:ascii="宋体" w:hAnsi="宋体" w:cs="宋体"/>
                <w:bCs/>
                <w:color w:val="auto"/>
                <w:szCs w:val="21"/>
                <w:highlight w:val="none"/>
              </w:rPr>
            </w:pPr>
            <w:r>
              <w:rPr>
                <w:rFonts w:hint="eastAsia" w:ascii="宋体" w:hAnsi="宋体" w:cs="宋体"/>
                <w:b/>
                <w:color w:val="auto"/>
                <w:kern w:val="0"/>
                <w:szCs w:val="21"/>
                <w:highlight w:val="none"/>
              </w:rPr>
              <w:t>服务方案（</w:t>
            </w:r>
            <w:r>
              <w:rPr>
                <w:rFonts w:hint="eastAsia" w:ascii="宋体" w:hAnsi="宋体" w:cs="宋体"/>
                <w:b/>
                <w:color w:val="auto"/>
                <w:kern w:val="0"/>
                <w:szCs w:val="21"/>
                <w:highlight w:val="none"/>
                <w:lang w:eastAsia="zh-CN"/>
              </w:rPr>
              <w:t>满分</w:t>
            </w:r>
            <w:r>
              <w:rPr>
                <w:rFonts w:hint="eastAsia" w:ascii="宋体" w:hAnsi="宋体" w:cs="宋体"/>
                <w:b/>
                <w:color w:val="auto"/>
                <w:kern w:val="0"/>
                <w:szCs w:val="21"/>
                <w:highlight w:val="none"/>
              </w:rPr>
              <w:t>25分</w:t>
            </w:r>
            <w:r>
              <w:rPr>
                <w:rFonts w:hint="eastAsia" w:ascii="宋体" w:hAnsi="宋体" w:cs="宋体"/>
                <w:bCs/>
                <w:color w:val="auto"/>
                <w:kern w:val="0"/>
                <w:szCs w:val="21"/>
                <w:highlight w:val="none"/>
              </w:rPr>
              <w:t>）</w:t>
            </w:r>
          </w:p>
        </w:tc>
        <w:tc>
          <w:tcPr>
            <w:tcW w:w="5665" w:type="dxa"/>
            <w:vAlign w:val="center"/>
          </w:tcPr>
          <w:p w14:paraId="5BA02F20">
            <w:pPr>
              <w:spacing w:line="360" w:lineRule="auto"/>
              <w:ind w:firstLine="420"/>
              <w:rPr>
                <w:rFonts w:ascii="宋体" w:hAnsi="宋体" w:cs="宋体"/>
                <w:bCs/>
                <w:color w:val="auto"/>
                <w:highlight w:val="none"/>
              </w:rPr>
            </w:pPr>
            <w:r>
              <w:rPr>
                <w:rFonts w:hint="eastAsia"/>
                <w:color w:val="auto"/>
                <w:szCs w:val="21"/>
                <w:highlight w:val="none"/>
              </w:rPr>
              <w:t>由磋商小组在打分前根据供应商提供的</w:t>
            </w:r>
            <w:r>
              <w:rPr>
                <w:rFonts w:hint="eastAsia" w:ascii="宋体" w:hAnsi="宋体" w:cs="宋体"/>
                <w:bCs/>
                <w:color w:val="auto"/>
                <w:kern w:val="0"/>
                <w:szCs w:val="21"/>
                <w:highlight w:val="none"/>
              </w:rPr>
              <w:t>服务方案</w:t>
            </w:r>
            <w:r>
              <w:rPr>
                <w:rFonts w:hint="eastAsia"/>
                <w:color w:val="auto"/>
                <w:szCs w:val="21"/>
                <w:highlight w:val="none"/>
              </w:rPr>
              <w:t>确定各供应商所属档次及得分。</w:t>
            </w:r>
            <w:r>
              <w:rPr>
                <w:rFonts w:hint="eastAsia" w:ascii="宋体" w:hAnsi="宋体" w:cs="宋体"/>
                <w:color w:val="auto"/>
                <w:spacing w:val="-3"/>
                <w:szCs w:val="21"/>
                <w:highlight w:val="none"/>
              </w:rPr>
              <w:t>达不到一档要求或不提供的得0分。</w:t>
            </w:r>
          </w:p>
          <w:p w14:paraId="4943559D">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 xml:space="preserve">一档（7分）：方案对总体业务需求及理解不准确、不全，对本项目内容进行了简单阐述；对本项目的服务特点、实施难点、工作重点描述简单粗糙，没有针对性；有基本的服务保障体系；拟投入项目人员团队配置较差（6人及以上）；服务方案简单，基本满足磋商文件要求的； </w:t>
            </w:r>
          </w:p>
          <w:p w14:paraId="44D6109B">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二档（15分）：方案对总体业务需求及理解全面，对本项目内容进行了全面的阐述；对本项目的服务特点、实施难点、工作重点把握准确，内容不够详细，不够全面，有针对性，但不够强；有合理的服务保障体系；</w:t>
            </w:r>
            <w:r>
              <w:rPr>
                <w:rFonts w:hint="eastAsia" w:ascii="宋体" w:hAnsi="宋体" w:cs="宋体"/>
                <w:b w:val="0"/>
                <w:bCs/>
                <w:color w:val="auto"/>
                <w:highlight w:val="none"/>
              </w:rPr>
              <w:t>拟投入项目人员团队配置合理（</w:t>
            </w:r>
            <w:r>
              <w:rPr>
                <w:rFonts w:ascii="宋体" w:hAnsi="宋体" w:cs="宋体"/>
                <w:b w:val="0"/>
                <w:bCs/>
                <w:color w:val="auto"/>
                <w:highlight w:val="none"/>
              </w:rPr>
              <w:t>5人及以上），其中有成员具有</w:t>
            </w:r>
            <w:r>
              <w:rPr>
                <w:rFonts w:hint="eastAsia" w:ascii="宋体" w:hAnsi="宋体" w:cs="宋体"/>
                <w:b w:val="0"/>
                <w:bCs/>
                <w:color w:val="auto"/>
                <w:szCs w:val="21"/>
                <w:highlight w:val="none"/>
              </w:rPr>
              <w:t>注册信息安全专业人员</w:t>
            </w:r>
            <w:r>
              <w:rPr>
                <w:rFonts w:ascii="宋体" w:hAnsi="宋体" w:cs="宋体"/>
                <w:b w:val="0"/>
                <w:bCs/>
                <w:color w:val="auto"/>
                <w:szCs w:val="21"/>
                <w:highlight w:val="none"/>
              </w:rPr>
              <w:t>CISP证书</w:t>
            </w:r>
            <w:r>
              <w:rPr>
                <w:rFonts w:hint="eastAsia" w:ascii="宋体" w:hAnsi="宋体" w:cs="宋体"/>
                <w:bCs/>
                <w:color w:val="auto"/>
                <w:highlight w:val="none"/>
              </w:rPr>
              <w:t>，具备完善的人员规划；</w:t>
            </w:r>
            <w:r>
              <w:rPr>
                <w:rFonts w:hint="eastAsia" w:ascii="宋体" w:hAnsi="宋体" w:cs="宋体"/>
                <w:bCs/>
                <w:color w:val="auto"/>
                <w:kern w:val="0"/>
                <w:szCs w:val="21"/>
                <w:highlight w:val="none"/>
              </w:rPr>
              <w:t>能针对项目特性提出专业有效的方案，能满足项目采购要求；</w:t>
            </w:r>
          </w:p>
          <w:p w14:paraId="1AF771DB">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三档（25分）：方案无缺漏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上述5项</w:t>
            </w:r>
            <w:r>
              <w:rPr>
                <w:rFonts w:hint="eastAsia" w:ascii="宋体" w:hAnsi="宋体" w:cs="宋体"/>
                <w:bCs/>
                <w:color w:val="auto"/>
                <w:kern w:val="0"/>
                <w:szCs w:val="21"/>
                <w:highlight w:val="none"/>
              </w:rPr>
              <w:t>）</w:t>
            </w:r>
            <w:r>
              <w:rPr>
                <w:rFonts w:hint="eastAsia" w:ascii="宋体" w:hAnsi="宋体" w:cs="宋体"/>
                <w:bCs/>
                <w:color w:val="auto"/>
                <w:highlight w:val="none"/>
              </w:rPr>
              <w:t>；对总体业务需求及理解透彻，对本项目内容全面的进行了阐述；对本项目的服务特点、实施难点、安全工作重点描述准确，有针对性，从准备、实施、到最终完善交付，配置完善，工具完备，每一道工序都能较详尽的阐述，整个项目概况描述非常详细的；</w:t>
            </w:r>
            <w:r>
              <w:rPr>
                <w:rFonts w:hint="eastAsia" w:ascii="宋体" w:hAnsi="宋体" w:cs="宋体"/>
                <w:b w:val="0"/>
                <w:bCs/>
                <w:color w:val="auto"/>
                <w:highlight w:val="none"/>
              </w:rPr>
              <w:t>项目人员团队配置合理（</w:t>
            </w:r>
            <w:r>
              <w:rPr>
                <w:rFonts w:ascii="宋体" w:hAnsi="宋体" w:cs="宋体"/>
                <w:b w:val="0"/>
                <w:bCs/>
                <w:color w:val="auto"/>
                <w:highlight w:val="none"/>
              </w:rPr>
              <w:t>7人及以上），其中有成员具有</w:t>
            </w:r>
            <w:r>
              <w:rPr>
                <w:rFonts w:hint="eastAsia" w:ascii="宋体" w:hAnsi="宋体" w:cs="宋体"/>
                <w:b w:val="0"/>
                <w:bCs/>
                <w:color w:val="auto"/>
                <w:szCs w:val="21"/>
                <w:highlight w:val="none"/>
              </w:rPr>
              <w:t>注册信息安全专业人员</w:t>
            </w:r>
            <w:r>
              <w:rPr>
                <w:rFonts w:ascii="宋体" w:hAnsi="宋体" w:cs="宋体"/>
                <w:b w:val="0"/>
                <w:bCs/>
                <w:color w:val="auto"/>
                <w:szCs w:val="21"/>
                <w:highlight w:val="none"/>
              </w:rPr>
              <w:t>CISP证书、注册信息安全渗透测试工程师CISP-PTE或CISP-PTS证书、具有网络安全能力认证(CCSC)-网络安全技术I级人员</w:t>
            </w:r>
            <w:r>
              <w:rPr>
                <w:rFonts w:hint="eastAsia" w:ascii="宋体" w:hAnsi="宋体" w:cs="宋体"/>
                <w:bCs/>
                <w:color w:val="auto"/>
                <w:highlight w:val="none"/>
              </w:rPr>
              <w:t>；</w:t>
            </w:r>
            <w:r>
              <w:rPr>
                <w:rFonts w:hint="eastAsia" w:ascii="宋体" w:hAnsi="宋体" w:cs="宋体"/>
                <w:bCs/>
                <w:color w:val="auto"/>
                <w:kern w:val="0"/>
                <w:szCs w:val="21"/>
                <w:highlight w:val="none"/>
              </w:rPr>
              <w:t>能针对项目特性提出专业有效的方案，能满足项目采购要求</w:t>
            </w:r>
            <w:r>
              <w:rPr>
                <w:rFonts w:hint="eastAsia" w:ascii="宋体" w:hAnsi="宋体" w:cs="宋体"/>
                <w:bCs/>
                <w:color w:val="auto"/>
                <w:highlight w:val="none"/>
              </w:rPr>
              <w:t>。</w:t>
            </w:r>
          </w:p>
          <w:p w14:paraId="19B8A506">
            <w:pPr>
              <w:spacing w:line="400" w:lineRule="exact"/>
              <w:ind w:firstLine="420" w:firstLineChars="200"/>
              <w:rPr>
                <w:rFonts w:cs="宋体"/>
                <w:bCs/>
                <w:color w:val="auto"/>
                <w:highlight w:val="none"/>
              </w:rPr>
            </w:pPr>
            <w:r>
              <w:rPr>
                <w:rFonts w:hint="eastAsia" w:ascii="宋体" w:hAnsi="宋体" w:cs="宋体"/>
                <w:color w:val="auto"/>
                <w:kern w:val="0"/>
                <w:szCs w:val="21"/>
                <w:highlight w:val="none"/>
              </w:rPr>
              <w:t>注：</w:t>
            </w:r>
            <w:r>
              <w:rPr>
                <w:rFonts w:hint="eastAsia" w:hAnsi="宋体" w:cs="宋体"/>
                <w:color w:val="auto"/>
                <w:highlight w:val="none"/>
              </w:rPr>
              <w:t>注：须提供人员资格证书复印件，否则不得分；以上所有人员须提供由县级以上（含县级）社会养老保险经办机构出具的供应商为项目实施人员交纳的开标截止时间前3个月（指竞标截止之日当月前3个月）内任意一个月社保证明的原件或复印件扫描件；如供应商为截标时间前60日以内成立的公司或项目人员为近一个月（指竞标截止之日当日前一个月）内入职的新员工的，可以提供供应商与项目实施人员签订的劳动合同的原件或复印件扫描件代替社保证明；退休聘用人员，提供聘用合同及退休证明复印件扫描件代替社保证明；临时聘用人员，仅须提供聘用合同复印件扫描件，否则不得分。扫描件均需加盖公章。</w:t>
            </w:r>
          </w:p>
        </w:tc>
      </w:tr>
      <w:tr w14:paraId="3B09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continue"/>
            <w:vAlign w:val="center"/>
          </w:tcPr>
          <w:p w14:paraId="7B01A78B">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0851FC94">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09AE7B66">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2902E97A">
            <w:pPr>
              <w:adjustRightInd w:val="0"/>
              <w:spacing w:line="320" w:lineRule="exact"/>
              <w:jc w:val="center"/>
              <w:textAlignment w:val="baseline"/>
              <w:rPr>
                <w:rFonts w:hAnsi="宋体" w:cs="宋体"/>
                <w:bCs/>
                <w:color w:val="auto"/>
                <w:highlight w:val="none"/>
              </w:rPr>
            </w:pPr>
            <w:r>
              <w:rPr>
                <w:rFonts w:hint="eastAsia" w:ascii="宋体" w:hAnsi="宋体" w:cs="宋体"/>
                <w:b/>
                <w:color w:val="auto"/>
                <w:kern w:val="0"/>
                <w:szCs w:val="21"/>
                <w:highlight w:val="none"/>
              </w:rPr>
              <w:t>后续服务方案（30分）</w:t>
            </w:r>
          </w:p>
        </w:tc>
        <w:tc>
          <w:tcPr>
            <w:tcW w:w="5665" w:type="dxa"/>
            <w:vAlign w:val="center"/>
          </w:tcPr>
          <w:p w14:paraId="27FC3BDB">
            <w:pPr>
              <w:spacing w:line="360" w:lineRule="auto"/>
              <w:ind w:firstLine="420"/>
              <w:rPr>
                <w:rFonts w:ascii="宋体" w:hAnsi="宋体" w:cs="宋体"/>
                <w:bCs/>
                <w:color w:val="auto"/>
                <w:highlight w:val="none"/>
              </w:rPr>
            </w:pPr>
            <w:r>
              <w:rPr>
                <w:rFonts w:hint="eastAsia"/>
                <w:color w:val="auto"/>
                <w:szCs w:val="21"/>
                <w:highlight w:val="none"/>
              </w:rPr>
              <w:t>由磋商小组在打分前根据供应商提供的</w:t>
            </w:r>
            <w:r>
              <w:rPr>
                <w:rFonts w:hint="eastAsia" w:ascii="宋体" w:hAnsi="宋体" w:cs="宋体"/>
                <w:bCs/>
                <w:color w:val="auto"/>
                <w:kern w:val="0"/>
                <w:szCs w:val="21"/>
                <w:highlight w:val="none"/>
              </w:rPr>
              <w:t>后续服务方案</w:t>
            </w:r>
            <w:r>
              <w:rPr>
                <w:rFonts w:hint="eastAsia"/>
                <w:color w:val="auto"/>
                <w:szCs w:val="21"/>
                <w:highlight w:val="none"/>
              </w:rPr>
              <w:t>确定各供应商所属档次及得分。</w:t>
            </w:r>
            <w:r>
              <w:rPr>
                <w:rFonts w:hint="eastAsia" w:ascii="宋体" w:hAnsi="宋体" w:cs="宋体"/>
                <w:color w:val="auto"/>
                <w:spacing w:val="-3"/>
                <w:szCs w:val="21"/>
                <w:highlight w:val="none"/>
              </w:rPr>
              <w:t>达不到一档要求或不提供的得0分。</w:t>
            </w:r>
          </w:p>
          <w:p w14:paraId="376E2413">
            <w:pPr>
              <w:spacing w:line="360" w:lineRule="auto"/>
              <w:ind w:firstLine="420"/>
              <w:rPr>
                <w:color w:val="auto"/>
                <w:szCs w:val="21"/>
                <w:highlight w:val="none"/>
              </w:rPr>
            </w:pPr>
            <w:r>
              <w:rPr>
                <w:rFonts w:hint="eastAsia"/>
                <w:color w:val="auto"/>
                <w:szCs w:val="21"/>
                <w:highlight w:val="none"/>
              </w:rPr>
              <w:t>一档（10分）：方案内容不全面完整、不合理准确；</w:t>
            </w:r>
            <w:r>
              <w:rPr>
                <w:rFonts w:hint="eastAsia"/>
                <w:color w:val="auto"/>
                <w:szCs w:val="21"/>
                <w:highlight w:val="none"/>
                <w:lang w:eastAsia="zh-CN"/>
              </w:rPr>
              <w:t>后续服务</w:t>
            </w:r>
            <w:r>
              <w:rPr>
                <w:rFonts w:hint="eastAsia"/>
                <w:color w:val="auto"/>
                <w:szCs w:val="21"/>
                <w:highlight w:val="none"/>
              </w:rPr>
              <w:t>内容承诺不合理不完整；响应方式单一；响应时间满足项目要求；</w:t>
            </w:r>
            <w:r>
              <w:rPr>
                <w:rFonts w:hint="eastAsia"/>
                <w:color w:val="auto"/>
                <w:szCs w:val="21"/>
                <w:highlight w:val="none"/>
                <w:lang w:eastAsia="zh-CN"/>
              </w:rPr>
              <w:t>后续服务</w:t>
            </w:r>
            <w:r>
              <w:rPr>
                <w:rFonts w:hint="eastAsia"/>
                <w:color w:val="auto"/>
                <w:szCs w:val="21"/>
                <w:highlight w:val="none"/>
              </w:rPr>
              <w:t>点设置情况简单；应急保障措施不合理不完整；拟投入后续人员配置差（1人及以上）；未能针对项目特性提出专业有效的方案，仅能满足项目采购要求；</w:t>
            </w:r>
          </w:p>
          <w:p w14:paraId="770E120C">
            <w:pPr>
              <w:spacing w:line="400" w:lineRule="exact"/>
              <w:ind w:firstLine="420"/>
              <w:rPr>
                <w:rFonts w:ascii="宋体" w:hAnsi="宋体" w:cs="宋体"/>
                <w:b w:val="0"/>
                <w:bCs w:val="0"/>
                <w:color w:val="auto"/>
                <w:szCs w:val="21"/>
                <w:highlight w:val="none"/>
              </w:rPr>
            </w:pPr>
            <w:r>
              <w:rPr>
                <w:rFonts w:hint="eastAsia"/>
                <w:color w:val="auto"/>
                <w:szCs w:val="21"/>
                <w:highlight w:val="none"/>
              </w:rPr>
              <w:t>二档（20分）：方案内容完整、合理准确，后续服务内容承诺完整；响应方式多样；响应时间满足项目要求；</w:t>
            </w:r>
            <w:r>
              <w:rPr>
                <w:rFonts w:hint="eastAsia"/>
                <w:color w:val="auto"/>
                <w:szCs w:val="21"/>
                <w:highlight w:val="none"/>
                <w:lang w:eastAsia="zh-CN"/>
              </w:rPr>
              <w:t>后续服务</w:t>
            </w:r>
            <w:r>
              <w:rPr>
                <w:rFonts w:hint="eastAsia"/>
                <w:color w:val="auto"/>
                <w:szCs w:val="21"/>
                <w:highlight w:val="none"/>
              </w:rPr>
              <w:t>点设置情况合理，同时具有完善的运</w:t>
            </w:r>
            <w:r>
              <w:rPr>
                <w:rFonts w:hint="eastAsia"/>
                <w:b w:val="0"/>
                <w:bCs w:val="0"/>
                <w:color w:val="auto"/>
                <w:szCs w:val="21"/>
                <w:highlight w:val="none"/>
              </w:rPr>
              <w:t>维体系，</w:t>
            </w:r>
            <w:r>
              <w:rPr>
                <w:rFonts w:hint="eastAsia" w:ascii="宋体" w:hAnsi="宋体" w:cs="宋体"/>
                <w:b w:val="0"/>
                <w:bCs w:val="0"/>
                <w:color w:val="auto"/>
                <w:szCs w:val="21"/>
                <w:highlight w:val="none"/>
              </w:rPr>
              <w:t>通过</w:t>
            </w:r>
            <w:r>
              <w:rPr>
                <w:rFonts w:ascii="宋体" w:hAnsi="宋体" w:cs="宋体"/>
                <w:b w:val="0"/>
                <w:bCs w:val="0"/>
                <w:color w:val="auto"/>
                <w:szCs w:val="21"/>
                <w:highlight w:val="none"/>
              </w:rPr>
              <w:t>ISO/IEC 27001</w:t>
            </w:r>
            <w:r>
              <w:rPr>
                <w:rFonts w:hint="eastAsia" w:ascii="宋体" w:hAnsi="宋体" w:cs="宋体"/>
                <w:b w:val="0"/>
                <w:bCs w:val="0"/>
                <w:color w:val="auto"/>
                <w:szCs w:val="21"/>
                <w:highlight w:val="none"/>
              </w:rPr>
              <w:t>信息技术服务管理体系标准认证的</w:t>
            </w:r>
            <w:r>
              <w:rPr>
                <w:rFonts w:hint="eastAsia" w:ascii="宋体" w:hAnsi="宋体" w:cs="宋体"/>
                <w:b w:val="0"/>
                <w:bCs w:val="0"/>
                <w:color w:val="auto"/>
                <w:kern w:val="0"/>
                <w:szCs w:val="21"/>
                <w:highlight w:val="none"/>
              </w:rPr>
              <w:t>；能针对项目特性提出专业有效的方案，能满足项目采购要求；</w:t>
            </w:r>
          </w:p>
          <w:p w14:paraId="53C10CE4">
            <w:pPr>
              <w:spacing w:line="400" w:lineRule="exact"/>
              <w:ind w:firstLine="420"/>
              <w:rPr>
                <w:rFonts w:ascii="宋体" w:hAnsi="宋体" w:cs="宋体"/>
                <w:b w:val="0"/>
                <w:bCs w:val="0"/>
                <w:color w:val="auto"/>
                <w:szCs w:val="21"/>
                <w:highlight w:val="none"/>
              </w:rPr>
            </w:pPr>
            <w:r>
              <w:rPr>
                <w:rFonts w:hint="eastAsia"/>
                <w:color w:val="auto"/>
                <w:szCs w:val="21"/>
                <w:highlight w:val="none"/>
              </w:rPr>
              <w:t>三档（30分）：方案内容全面完整且合理可行；</w:t>
            </w:r>
            <w:r>
              <w:rPr>
                <w:rFonts w:hint="eastAsia"/>
                <w:color w:val="auto"/>
                <w:szCs w:val="21"/>
                <w:highlight w:val="none"/>
                <w:lang w:eastAsia="zh-CN"/>
              </w:rPr>
              <w:t>后续服务</w:t>
            </w:r>
            <w:r>
              <w:rPr>
                <w:rFonts w:hint="eastAsia"/>
                <w:color w:val="auto"/>
                <w:szCs w:val="21"/>
                <w:highlight w:val="none"/>
              </w:rPr>
              <w:t>内容承诺详细完整且合理；响应方式多样；响应时间满足项目要求，在服务响应和处理故障的流程上，进行在线跟踪服务处理进度、服务结束后在线评价等有着全流程的服务平台支撑（提供全流程的相关证明材料，如系统截图或软件著作权），保障采购人的合法权益和需求；</w:t>
            </w:r>
            <w:r>
              <w:rPr>
                <w:rFonts w:hint="eastAsia"/>
                <w:color w:val="auto"/>
                <w:szCs w:val="21"/>
                <w:highlight w:val="none"/>
                <w:lang w:eastAsia="zh-CN"/>
              </w:rPr>
              <w:t>后续服务</w:t>
            </w:r>
            <w:r>
              <w:rPr>
                <w:rFonts w:hint="eastAsia"/>
                <w:color w:val="auto"/>
                <w:szCs w:val="21"/>
                <w:highlight w:val="none"/>
              </w:rPr>
              <w:t>点设置情况合理可行，同时具有完善的</w:t>
            </w:r>
            <w:r>
              <w:rPr>
                <w:rFonts w:hint="eastAsia"/>
                <w:b w:val="0"/>
                <w:bCs w:val="0"/>
                <w:color w:val="auto"/>
                <w:szCs w:val="21"/>
                <w:highlight w:val="none"/>
              </w:rPr>
              <w:t>运维体系，</w:t>
            </w:r>
            <w:r>
              <w:rPr>
                <w:rFonts w:hint="eastAsia" w:ascii="宋体" w:hAnsi="宋体" w:cs="宋体"/>
                <w:b w:val="0"/>
                <w:bCs w:val="0"/>
                <w:color w:val="auto"/>
                <w:szCs w:val="21"/>
                <w:highlight w:val="none"/>
              </w:rPr>
              <w:t>通过</w:t>
            </w:r>
            <w:r>
              <w:rPr>
                <w:rFonts w:ascii="宋体" w:hAnsi="宋体" w:cs="宋体"/>
                <w:b w:val="0"/>
                <w:bCs w:val="0"/>
                <w:color w:val="auto"/>
                <w:szCs w:val="21"/>
                <w:highlight w:val="none"/>
              </w:rPr>
              <w:t>ISO/IEC 27001信息安全管理体系认证的；应急保障措施详细具体，有项目针对性；拟投入售后人员配置合理（3人及以上）；能确保项目服务质量，能针对项目特性提出专业有效的方案，能很好满足项目采购要求。</w:t>
            </w:r>
          </w:p>
          <w:p w14:paraId="13BAB2F8">
            <w:pPr>
              <w:spacing w:line="400" w:lineRule="exact"/>
              <w:ind w:firstLine="420"/>
              <w:rPr>
                <w:rFonts w:cs="宋体"/>
                <w:bCs/>
                <w:color w:val="auto"/>
                <w:highlight w:val="none"/>
              </w:rPr>
            </w:pPr>
            <w:r>
              <w:rPr>
                <w:rFonts w:hint="eastAsia"/>
                <w:color w:val="auto"/>
                <w:szCs w:val="21"/>
                <w:highlight w:val="none"/>
              </w:rPr>
              <w:t>注：响应文件中须提供供应商有效认证证书及全流程平台证明材料（如有）、拟投入售后人员的有效证书、供应商为其交纳的开标截止时间前3个月（指竞标截止之日当月前3个月）内任意一个月社保证明的原件或复印件扫描件；如供应商为截标时间前60日以内成立的公司或项目人员为近一个月（指竞标截止之日当日前一个月）内入职的新员工的，可以提供供应商与项目实施人员签订的劳动合同的原件或复印件扫描件代替社保证明；退休聘用人员，提供聘用合同及退休证明复印件扫描件代替社保证明；临时聘用人员，仅须提供聘用合同复印件扫描件，否则不得分。扫描件均需加盖公章。</w:t>
            </w:r>
          </w:p>
        </w:tc>
      </w:tr>
      <w:tr w14:paraId="01E8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30" w:type="dxa"/>
            <w:vMerge w:val="restart"/>
            <w:vAlign w:val="center"/>
          </w:tcPr>
          <w:p w14:paraId="5ED4CBF3">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Merge w:val="restart"/>
            <w:vAlign w:val="center"/>
          </w:tcPr>
          <w:p w14:paraId="22BE745E">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vMerge w:val="restart"/>
            <w:vAlign w:val="center"/>
          </w:tcPr>
          <w:p w14:paraId="64726458">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35分</w:t>
            </w:r>
          </w:p>
        </w:tc>
        <w:tc>
          <w:tcPr>
            <w:tcW w:w="1244" w:type="dxa"/>
            <w:vAlign w:val="center"/>
          </w:tcPr>
          <w:p w14:paraId="102D7AE3">
            <w:pPr>
              <w:widowControl/>
              <w:spacing w:line="360" w:lineRule="exact"/>
              <w:jc w:val="center"/>
              <w:rPr>
                <w:rFonts w:ascii="宋体" w:hAnsi="宋体" w:cs="宋体"/>
                <w:color w:val="auto"/>
                <w:kern w:val="1"/>
                <w:szCs w:val="21"/>
                <w:highlight w:val="none"/>
              </w:rPr>
            </w:pPr>
            <w:r>
              <w:rPr>
                <w:rFonts w:hint="eastAsia" w:ascii="宋体" w:hAnsi="宋体" w:cs="宋体"/>
                <w:color w:val="auto"/>
                <w:kern w:val="0"/>
                <w:szCs w:val="21"/>
                <w:highlight w:val="none"/>
                <w:lang w:bidi="ar"/>
              </w:rPr>
              <w:t>业绩（</w:t>
            </w:r>
            <w:r>
              <w:rPr>
                <w:rFonts w:hint="eastAsia" w:ascii="宋体" w:hAnsi="宋体" w:cs="宋体"/>
                <w:color w:val="auto"/>
                <w:kern w:val="0"/>
                <w:szCs w:val="21"/>
                <w:highlight w:val="none"/>
                <w:lang w:eastAsia="zh-CN" w:bidi="ar"/>
              </w:rPr>
              <w:t>满分</w:t>
            </w:r>
            <w:r>
              <w:rPr>
                <w:rFonts w:hint="eastAsia" w:ascii="宋体" w:hAnsi="宋体" w:cs="宋体"/>
                <w:color w:val="auto"/>
                <w:kern w:val="0"/>
                <w:szCs w:val="21"/>
                <w:highlight w:val="none"/>
                <w:lang w:bidi="ar"/>
              </w:rPr>
              <w:t>16分）</w:t>
            </w:r>
          </w:p>
        </w:tc>
        <w:tc>
          <w:tcPr>
            <w:tcW w:w="5665" w:type="dxa"/>
          </w:tcPr>
          <w:p w14:paraId="7FCCA323">
            <w:pPr>
              <w:pStyle w:val="20"/>
              <w:spacing w:line="360" w:lineRule="exact"/>
              <w:ind w:firstLine="400" w:firstLineChars="200"/>
              <w:rPr>
                <w:rFonts w:hAnsi="宋体" w:cs="宋体"/>
                <w:b w:val="0"/>
                <w:bCs w:val="0"/>
                <w:color w:val="auto"/>
                <w:highlight w:val="none"/>
              </w:rPr>
            </w:pPr>
            <w:r>
              <w:rPr>
                <w:rFonts w:hint="eastAsia" w:hAnsi="宋体" w:cs="宋体"/>
                <w:b w:val="0"/>
                <w:bCs w:val="0"/>
                <w:color w:val="auto"/>
                <w:highlight w:val="none"/>
                <w:lang w:eastAsia="zh-CN"/>
              </w:rPr>
              <w:t>供应商</w:t>
            </w:r>
            <w:r>
              <w:rPr>
                <w:rFonts w:hAnsi="宋体" w:cs="宋体"/>
                <w:b w:val="0"/>
                <w:bCs w:val="0"/>
                <w:color w:val="auto"/>
                <w:highlight w:val="none"/>
              </w:rPr>
              <w:t>2022年以来具有网络安全服务项目业绩的（具体为包括攻防演练、人工渗透测试、应急响应、重要时期保障服务、安全技术培训、安全运维、安全检查、安全应急演练等纯安全服务项目），每个得2分，此项满分16分。</w:t>
            </w:r>
          </w:p>
          <w:p w14:paraId="3E353B92">
            <w:pPr>
              <w:pStyle w:val="20"/>
              <w:spacing w:line="360" w:lineRule="exact"/>
              <w:ind w:firstLine="420" w:firstLineChars="200"/>
              <w:rPr>
                <w:rFonts w:hAnsi="宋体" w:cs="宋体"/>
                <w:color w:val="auto"/>
                <w:kern w:val="1"/>
                <w:highlight w:val="none"/>
              </w:rPr>
            </w:pPr>
            <w:r>
              <w:rPr>
                <w:rFonts w:hint="eastAsia" w:hAnsi="宋体" w:cs="宋体"/>
                <w:color w:val="auto"/>
                <w:sz w:val="21"/>
                <w:highlight w:val="none"/>
              </w:rPr>
              <w:t>注：响应文件中须提供业绩一览表、合同或中标通知书，并加盖供应商公章，不按要求提供证明材料不得分。</w:t>
            </w:r>
          </w:p>
        </w:tc>
      </w:tr>
      <w:tr w14:paraId="23D2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30" w:type="dxa"/>
            <w:vMerge w:val="continue"/>
            <w:vAlign w:val="center"/>
          </w:tcPr>
          <w:p w14:paraId="23DB62EB">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5DA3C808">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6EC1F308">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426921B0">
            <w:pPr>
              <w:widowControl/>
              <w:spacing w:line="360" w:lineRule="exact"/>
              <w:jc w:val="center"/>
              <w:rPr>
                <w:rFonts w:ascii="宋体" w:hAnsi="宋体" w:cs="宋体"/>
                <w:color w:val="auto"/>
                <w:kern w:val="1"/>
                <w:szCs w:val="21"/>
                <w:highlight w:val="none"/>
              </w:rPr>
            </w:pPr>
            <w:r>
              <w:rPr>
                <w:rFonts w:hint="eastAsia" w:ascii="宋体" w:hAnsi="宋体" w:cs="宋体"/>
                <w:color w:val="auto"/>
                <w:kern w:val="0"/>
                <w:szCs w:val="21"/>
                <w:highlight w:val="none"/>
                <w:lang w:bidi="ar"/>
              </w:rPr>
              <w:t>信誉（</w:t>
            </w:r>
            <w:r>
              <w:rPr>
                <w:rFonts w:hint="eastAsia" w:ascii="宋体" w:hAnsi="宋体" w:cs="宋体"/>
                <w:color w:val="auto"/>
                <w:kern w:val="0"/>
                <w:szCs w:val="21"/>
                <w:highlight w:val="none"/>
                <w:lang w:eastAsia="zh-CN" w:bidi="ar"/>
              </w:rPr>
              <w:t>满分</w:t>
            </w:r>
            <w:r>
              <w:rPr>
                <w:rFonts w:hint="eastAsia" w:ascii="宋体" w:hAnsi="宋体" w:cs="宋体"/>
                <w:color w:val="auto"/>
                <w:kern w:val="0"/>
                <w:szCs w:val="21"/>
                <w:highlight w:val="none"/>
                <w:lang w:bidi="ar"/>
              </w:rPr>
              <w:t>10分）</w:t>
            </w:r>
          </w:p>
        </w:tc>
        <w:tc>
          <w:tcPr>
            <w:tcW w:w="5665" w:type="dxa"/>
          </w:tcPr>
          <w:p w14:paraId="43B77FB7">
            <w:pPr>
              <w:pStyle w:val="20"/>
              <w:spacing w:line="360" w:lineRule="exact"/>
              <w:ind w:firstLine="400" w:firstLineChars="200"/>
              <w:rPr>
                <w:rFonts w:hAnsi="宋体" w:cs="宋体"/>
                <w:b w:val="0"/>
                <w:bCs w:val="0"/>
                <w:color w:val="auto"/>
                <w:highlight w:val="none"/>
              </w:rPr>
            </w:pPr>
            <w:r>
              <w:rPr>
                <w:rFonts w:hAnsi="宋体" w:cs="宋体"/>
                <w:b w:val="0"/>
                <w:bCs w:val="0"/>
                <w:color w:val="auto"/>
                <w:highlight w:val="none"/>
              </w:rPr>
              <w:t>1、供应商应具有优秀的网络攻防能力，2022年以来参加过网络安全攻防演练的，本项满分2分。（证明材料以参加演练证明为准）</w:t>
            </w:r>
          </w:p>
          <w:p w14:paraId="572BADE4">
            <w:pPr>
              <w:pStyle w:val="20"/>
              <w:spacing w:line="360" w:lineRule="exact"/>
              <w:ind w:firstLine="400" w:firstLineChars="200"/>
              <w:rPr>
                <w:rFonts w:hAnsi="宋体" w:cs="宋体"/>
                <w:b w:val="0"/>
                <w:bCs w:val="0"/>
                <w:color w:val="auto"/>
                <w:highlight w:val="none"/>
              </w:rPr>
            </w:pPr>
            <w:r>
              <w:rPr>
                <w:rFonts w:hAnsi="宋体" w:cs="宋体"/>
                <w:b w:val="0"/>
                <w:bCs w:val="0"/>
                <w:color w:val="auto"/>
                <w:highlight w:val="none"/>
              </w:rPr>
              <w:t>2、供应商在2022年以来参加过网络安全工作保障的，本项满分2分；（证明材料以参加过网络安全工作保障的证明为准）</w:t>
            </w:r>
          </w:p>
          <w:p w14:paraId="49617B61">
            <w:pPr>
              <w:pStyle w:val="20"/>
              <w:spacing w:line="360" w:lineRule="exact"/>
              <w:ind w:firstLine="400" w:firstLineChars="200"/>
              <w:rPr>
                <w:rFonts w:hAnsi="宋体" w:cs="宋体"/>
                <w:b w:val="0"/>
                <w:bCs w:val="0"/>
                <w:color w:val="auto"/>
                <w:highlight w:val="none"/>
              </w:rPr>
            </w:pPr>
            <w:r>
              <w:rPr>
                <w:rFonts w:hAnsi="宋体" w:cs="宋体"/>
                <w:b w:val="0"/>
                <w:bCs w:val="0"/>
                <w:color w:val="auto"/>
                <w:highlight w:val="none"/>
              </w:rPr>
              <w:t>3、供应商具有信息安全服务资质认证证书（安全工程类一级及以上）得2分；（证明材料以认证证书为准）</w:t>
            </w:r>
          </w:p>
          <w:p w14:paraId="180688A0">
            <w:pPr>
              <w:pStyle w:val="20"/>
              <w:spacing w:line="360" w:lineRule="exact"/>
              <w:ind w:firstLine="400" w:firstLineChars="200"/>
              <w:rPr>
                <w:rFonts w:hAnsi="宋体" w:cs="宋体"/>
                <w:b w:val="0"/>
                <w:bCs w:val="0"/>
                <w:color w:val="auto"/>
                <w:highlight w:val="none"/>
              </w:rPr>
            </w:pPr>
            <w:r>
              <w:rPr>
                <w:rFonts w:hAnsi="宋体" w:cs="宋体"/>
                <w:b w:val="0"/>
                <w:bCs w:val="0"/>
                <w:color w:val="auto"/>
                <w:highlight w:val="none"/>
              </w:rPr>
              <w:t>4、供应商具有公安部第一研究所-信息安全等级保护安全建设服务机构能力评估合格证书的，得2分；（证明材料以认证证书为准）</w:t>
            </w:r>
          </w:p>
          <w:p w14:paraId="468C3E3B">
            <w:pPr>
              <w:pStyle w:val="20"/>
              <w:spacing w:line="360" w:lineRule="exact"/>
              <w:ind w:firstLine="400" w:firstLineChars="200"/>
              <w:rPr>
                <w:rFonts w:hAnsi="宋体" w:cs="宋体"/>
                <w:b w:val="0"/>
                <w:bCs w:val="0"/>
                <w:color w:val="auto"/>
                <w:highlight w:val="none"/>
              </w:rPr>
            </w:pPr>
            <w:r>
              <w:rPr>
                <w:rFonts w:hAnsi="宋体" w:cs="宋体"/>
                <w:b w:val="0"/>
                <w:bCs w:val="0"/>
                <w:color w:val="auto"/>
                <w:highlight w:val="none"/>
              </w:rPr>
              <w:t>5、供应商具有有效的ISO 9001质量管理体系认证证书、ISO 27001信息安全管理体系认证证书，每有一项证书得1分，此项满分2分；（证明材料以认证证书为准）</w:t>
            </w:r>
          </w:p>
          <w:p w14:paraId="506D44FB">
            <w:pPr>
              <w:pStyle w:val="20"/>
              <w:spacing w:line="360" w:lineRule="exact"/>
              <w:ind w:firstLine="400" w:firstLineChars="200"/>
              <w:rPr>
                <w:rFonts w:hAnsi="宋体" w:cs="宋体"/>
                <w:color w:val="auto"/>
                <w:kern w:val="1"/>
                <w:highlight w:val="none"/>
              </w:rPr>
            </w:pPr>
            <w:r>
              <w:rPr>
                <w:rFonts w:hint="eastAsia" w:hAnsi="宋体" w:cs="宋体"/>
                <w:b w:val="0"/>
                <w:bCs w:val="0"/>
                <w:color w:val="auto"/>
                <w:highlight w:val="none"/>
              </w:rPr>
              <w:t>注：响应文件中须提供有效证明材料，并加盖供应商单位公章，不按要求提供证明材料不得分。</w:t>
            </w:r>
          </w:p>
        </w:tc>
      </w:tr>
      <w:tr w14:paraId="5E9B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30" w:type="dxa"/>
            <w:vMerge w:val="continue"/>
            <w:vAlign w:val="center"/>
          </w:tcPr>
          <w:p w14:paraId="74FB6C48">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44BF2C6A">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53E1B022">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33374974">
            <w:pPr>
              <w:widowControl/>
              <w:spacing w:line="360" w:lineRule="exact"/>
              <w:jc w:val="center"/>
              <w:rPr>
                <w:rFonts w:ascii="宋体" w:hAnsi="宋体" w:cs="宋体"/>
                <w:color w:val="auto"/>
                <w:kern w:val="1"/>
                <w:szCs w:val="21"/>
                <w:highlight w:val="none"/>
              </w:rPr>
            </w:pPr>
            <w:r>
              <w:rPr>
                <w:rFonts w:hint="eastAsia" w:ascii="宋体" w:hAnsi="宋体" w:cs="宋体"/>
                <w:color w:val="auto"/>
                <w:szCs w:val="21"/>
                <w:highlight w:val="none"/>
              </w:rPr>
              <w:t>技术能力配置（</w:t>
            </w:r>
            <w:r>
              <w:rPr>
                <w:rFonts w:hint="eastAsia" w:ascii="宋体" w:hAnsi="宋体" w:cs="宋体"/>
                <w:color w:val="auto"/>
                <w:szCs w:val="21"/>
                <w:highlight w:val="none"/>
                <w:lang w:eastAsia="zh-CN"/>
              </w:rPr>
              <w:t>满分</w:t>
            </w:r>
            <w:r>
              <w:rPr>
                <w:rFonts w:hint="eastAsia" w:ascii="宋体" w:hAnsi="宋体" w:cs="宋体"/>
                <w:color w:val="auto"/>
                <w:szCs w:val="21"/>
                <w:highlight w:val="none"/>
              </w:rPr>
              <w:t>9分）</w:t>
            </w:r>
          </w:p>
        </w:tc>
        <w:tc>
          <w:tcPr>
            <w:tcW w:w="5665" w:type="dxa"/>
          </w:tcPr>
          <w:p w14:paraId="68AB57A4">
            <w:pPr>
              <w:pStyle w:val="20"/>
              <w:spacing w:line="360" w:lineRule="exact"/>
              <w:ind w:firstLine="400" w:firstLineChars="200"/>
              <w:rPr>
                <w:rFonts w:hAnsi="宋体" w:cs="宋体"/>
                <w:b w:val="0"/>
                <w:bCs w:val="0"/>
                <w:color w:val="auto"/>
                <w:highlight w:val="none"/>
              </w:rPr>
            </w:pPr>
            <w:r>
              <w:rPr>
                <w:rFonts w:hAnsi="宋体" w:cs="宋体"/>
                <w:b w:val="0"/>
                <w:bCs w:val="0"/>
                <w:color w:val="auto"/>
                <w:highlight w:val="none"/>
              </w:rPr>
              <w:t>1、供应商具备信息安全服务能力，可借助于相关工具，运用威胁情报、规则引擎、文件虚拟执行、机器学习等技术，发现网络中的入侵行为，调查、分析、研判安全事件发生的根源并进行阻断，提供数字证据，满足得3分；（证明材料以威胁分析工具相关的自主研发证明文件为准）</w:t>
            </w:r>
          </w:p>
          <w:p w14:paraId="30BD79D5">
            <w:pPr>
              <w:pStyle w:val="20"/>
              <w:spacing w:line="360" w:lineRule="exact"/>
              <w:ind w:firstLine="400" w:firstLineChars="200"/>
              <w:rPr>
                <w:rFonts w:hAnsi="宋体" w:cs="宋体"/>
                <w:b w:val="0"/>
                <w:bCs w:val="0"/>
                <w:color w:val="auto"/>
                <w:highlight w:val="none"/>
              </w:rPr>
            </w:pPr>
            <w:r>
              <w:rPr>
                <w:rFonts w:hAnsi="宋体" w:cs="宋体"/>
                <w:b w:val="0"/>
                <w:bCs w:val="0"/>
                <w:color w:val="auto"/>
                <w:highlight w:val="none"/>
              </w:rPr>
              <w:t>2、供应商具有信息安全自动化渗透测试工具，贯穿整个渗透过程的操作，包括信息收集、插件管理、指纹管理、漏洞发现、漏洞利用、后渗透攻击等模块，得2分；（证明材料以工具相应功能截图为准）</w:t>
            </w:r>
          </w:p>
          <w:p w14:paraId="64B86F64">
            <w:pPr>
              <w:pStyle w:val="20"/>
              <w:spacing w:line="360" w:lineRule="exact"/>
              <w:ind w:firstLine="400" w:firstLineChars="200"/>
              <w:rPr>
                <w:rFonts w:hAnsi="宋体" w:cs="宋体"/>
                <w:b w:val="0"/>
                <w:bCs w:val="0"/>
                <w:color w:val="auto"/>
                <w:highlight w:val="none"/>
              </w:rPr>
            </w:pPr>
            <w:r>
              <w:rPr>
                <w:rFonts w:hAnsi="宋体" w:cs="宋体"/>
                <w:b w:val="0"/>
                <w:bCs w:val="0"/>
                <w:color w:val="auto"/>
                <w:highlight w:val="none"/>
              </w:rPr>
              <w:t>3、供应商具有信息安全自动化渗透测试工具，可以根据可编程平台提供的接口编写自己的攻击插件，实现自定义的攻击需求，得2分；（证明材料以工具相应功能截图为准）</w:t>
            </w:r>
          </w:p>
          <w:p w14:paraId="6447FF17">
            <w:pPr>
              <w:pStyle w:val="20"/>
              <w:spacing w:line="360" w:lineRule="exact"/>
              <w:ind w:firstLine="400" w:firstLineChars="200"/>
              <w:rPr>
                <w:rFonts w:hAnsi="宋体" w:cs="宋体"/>
                <w:b w:val="0"/>
                <w:bCs w:val="0"/>
                <w:color w:val="auto"/>
                <w:highlight w:val="none"/>
              </w:rPr>
            </w:pPr>
            <w:r>
              <w:rPr>
                <w:rFonts w:hAnsi="宋体" w:cs="宋体"/>
                <w:b w:val="0"/>
                <w:bCs w:val="0"/>
                <w:color w:val="auto"/>
                <w:highlight w:val="none"/>
              </w:rPr>
              <w:t>4、供应商具有信息安全自动化渗透测试工具，可利用http协议、DNS协议等远程获取外带数据；通过内置的方法反弹交互shell到平台，执行vim、交互执行操作等功能，可为本项目提供先进技术素材支持的，得2分。（证明材料以工具相应功能截图为准）</w:t>
            </w:r>
          </w:p>
          <w:p w14:paraId="2B6B0DA8">
            <w:pPr>
              <w:pStyle w:val="20"/>
              <w:spacing w:line="360" w:lineRule="exact"/>
              <w:ind w:firstLine="400" w:firstLineChars="200"/>
              <w:rPr>
                <w:rFonts w:hAnsi="宋体" w:cs="宋体"/>
                <w:color w:val="auto"/>
                <w:kern w:val="1"/>
                <w:highlight w:val="none"/>
              </w:rPr>
            </w:pPr>
            <w:r>
              <w:rPr>
                <w:rFonts w:hint="eastAsia" w:hAnsi="宋体" w:cs="宋体"/>
                <w:b w:val="0"/>
                <w:bCs w:val="0"/>
                <w:color w:val="auto"/>
                <w:highlight w:val="none"/>
              </w:rPr>
              <w:t>注：响应文件中须提供有效证明材料，并加盖供应商单位公章，不按要求提供证明材料不得分。</w:t>
            </w:r>
          </w:p>
        </w:tc>
      </w:tr>
      <w:tr w14:paraId="1323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33240AE3">
            <w:pPr>
              <w:pStyle w:val="20"/>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14:paraId="34CCB413">
      <w:pPr>
        <w:rPr>
          <w:rFonts w:ascii="宋体" w:hAnsi="宋体" w:cs="宋体"/>
          <w:bCs/>
          <w:color w:val="auto"/>
          <w:szCs w:val="21"/>
          <w:highlight w:val="none"/>
        </w:rPr>
      </w:pPr>
    </w:p>
    <w:p w14:paraId="40520263">
      <w:pPr>
        <w:spacing w:line="360" w:lineRule="auto"/>
        <w:ind w:firstLine="422" w:firstLineChars="200"/>
        <w:rPr>
          <w:rFonts w:ascii="宋体" w:hAnsi="宋体" w:cs="宋体"/>
          <w:b/>
          <w:color w:val="auto"/>
          <w:szCs w:val="21"/>
          <w:highlight w:val="none"/>
        </w:rPr>
      </w:pPr>
    </w:p>
    <w:p w14:paraId="1413485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07分标：</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0696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5132A440">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22CBAF49">
            <w:pPr>
              <w:adjustRightInd w:val="0"/>
              <w:spacing w:line="41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47F08F57">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2DC4C556">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28DC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451772A7">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6D03AC44">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5BC5BD8F">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10分</w:t>
            </w:r>
          </w:p>
        </w:tc>
        <w:tc>
          <w:tcPr>
            <w:tcW w:w="6909" w:type="dxa"/>
            <w:gridSpan w:val="2"/>
            <w:vAlign w:val="center"/>
          </w:tcPr>
          <w:p w14:paraId="670A9C47">
            <w:pPr>
              <w:pStyle w:val="20"/>
              <w:spacing w:line="360" w:lineRule="auto"/>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55376A4F">
            <w:pPr>
              <w:pStyle w:val="20"/>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1、根据《政府采购促进中小企业发展管理办法》（财库〔2020〕46号）和《广西壮族自治区财政厅关于持续优化政府采购营商环境推动高质量发展的通知》（桂财采〔2024〕55号）的规定，供应商属于《政府采购促进中小企业发展管理办法》规定的小微企业的，对磋商报价给予10%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4%的扣除，用扣除后的价格参加评审。符合上述规定对报价给予扣除的，扣除后的价格为评标价，即评标价=最后报价×（1 - 扣除比例）；不符合上述给予扣除情形的，评标价=最后报价。</w:t>
            </w:r>
          </w:p>
          <w:p w14:paraId="7FE9152C">
            <w:pPr>
              <w:pStyle w:val="20"/>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w:t>
            </w:r>
            <w:r>
              <w:rPr>
                <w:rFonts w:hint="eastAsia" w:hAnsi="宋体" w:cs="宋体"/>
                <w:color w:val="auto"/>
                <w:sz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F6985B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796C581">
            <w:pPr>
              <w:rPr>
                <w:b/>
                <w:bCs/>
                <w:color w:val="auto"/>
                <w:highlight w:val="none"/>
              </w:rPr>
            </w:pPr>
            <w:r>
              <w:rPr>
                <w:rFonts w:hint="eastAsia"/>
                <w:b/>
                <w:bCs/>
                <w:color w:val="auto"/>
                <w:highlight w:val="none"/>
              </w:rPr>
              <w:t>二、报价分（满分10分）</w:t>
            </w:r>
          </w:p>
          <w:p w14:paraId="2009D71F">
            <w:pPr>
              <w:pStyle w:val="20"/>
              <w:spacing w:line="420" w:lineRule="exact"/>
              <w:ind w:firstLine="420" w:firstLineChars="200"/>
              <w:rPr>
                <w:rFonts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报价分采用低价优先法计算，满足磋商文件要求且评标价最低的有效供应商的评标价为评标基准价，其报价分为满分。</w:t>
            </w:r>
          </w:p>
          <w:p w14:paraId="32FBBA00">
            <w:pPr>
              <w:pStyle w:val="20"/>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2、其他供应商的价格分统一按照下列公式计算：</w:t>
            </w:r>
          </w:p>
          <w:p w14:paraId="36E759E8">
            <w:pPr>
              <w:pStyle w:val="20"/>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某有效供应商的报价分=（评标基准价／某有效供应商评标价）×10分</w:t>
            </w:r>
          </w:p>
        </w:tc>
      </w:tr>
      <w:tr w14:paraId="431F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30" w:type="dxa"/>
            <w:vMerge w:val="restart"/>
            <w:vAlign w:val="center"/>
          </w:tcPr>
          <w:p w14:paraId="018DEDC6">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280" w:type="dxa"/>
            <w:vMerge w:val="restart"/>
            <w:vAlign w:val="center"/>
          </w:tcPr>
          <w:p w14:paraId="20978296">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58A96559">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75分</w:t>
            </w:r>
          </w:p>
        </w:tc>
        <w:tc>
          <w:tcPr>
            <w:tcW w:w="1244" w:type="dxa"/>
            <w:vAlign w:val="center"/>
          </w:tcPr>
          <w:p w14:paraId="6A48FA34">
            <w:pPr>
              <w:adjustRightInd w:val="0"/>
              <w:spacing w:line="360" w:lineRule="auto"/>
              <w:jc w:val="center"/>
              <w:textAlignment w:val="baseline"/>
              <w:rPr>
                <w:rFonts w:ascii="宋体" w:hAnsi="宋体" w:cs="宋体"/>
                <w:bCs/>
                <w:color w:val="auto"/>
                <w:szCs w:val="21"/>
                <w:highlight w:val="none"/>
              </w:rPr>
            </w:pPr>
            <w:r>
              <w:rPr>
                <w:rFonts w:hint="eastAsia" w:ascii="宋体" w:hAnsi="宋体"/>
                <w:b/>
                <w:color w:val="auto"/>
                <w:szCs w:val="21"/>
                <w:highlight w:val="none"/>
              </w:rPr>
              <w:t>实施方案（满分35分）</w:t>
            </w:r>
          </w:p>
        </w:tc>
        <w:tc>
          <w:tcPr>
            <w:tcW w:w="5665" w:type="dxa"/>
            <w:vAlign w:val="center"/>
          </w:tcPr>
          <w:p w14:paraId="2244D228">
            <w:pPr>
              <w:spacing w:line="360" w:lineRule="auto"/>
              <w:ind w:firstLine="420" w:firstLineChars="200"/>
              <w:rPr>
                <w:rFonts w:ascii="宋体" w:hAnsi="宋体" w:cs="宋体"/>
                <w:color w:val="auto"/>
                <w:spacing w:val="-3"/>
                <w:szCs w:val="21"/>
                <w:highlight w:val="none"/>
              </w:rPr>
            </w:pPr>
            <w:r>
              <w:rPr>
                <w:rFonts w:hint="eastAsia" w:ascii="宋体" w:hAnsi="宋体"/>
                <w:bCs/>
                <w:color w:val="auto"/>
                <w:szCs w:val="21"/>
                <w:highlight w:val="none"/>
              </w:rPr>
              <w:t>由磋商小组在打分前根据供应商的项目实施方案确定各供应商所属档次及得分。</w:t>
            </w:r>
            <w:r>
              <w:rPr>
                <w:rFonts w:hint="eastAsia" w:ascii="宋体" w:hAnsi="宋体" w:cs="宋体"/>
                <w:color w:val="auto"/>
                <w:spacing w:val="-3"/>
                <w:szCs w:val="21"/>
                <w:highlight w:val="none"/>
              </w:rPr>
              <w:t>达不到一档要求或不提供的得0分。</w:t>
            </w:r>
          </w:p>
          <w:p w14:paraId="6769AC0A">
            <w:pPr>
              <w:spacing w:line="360" w:lineRule="auto"/>
              <w:ind w:firstLine="420" w:firstLineChars="200"/>
              <w:jc w:val="left"/>
              <w:rPr>
                <w:color w:val="auto"/>
                <w:highlight w:val="none"/>
              </w:rPr>
            </w:pPr>
            <w:r>
              <w:rPr>
                <w:rFonts w:hint="eastAsia"/>
                <w:color w:val="auto"/>
                <w:highlight w:val="none"/>
              </w:rPr>
              <w:t>一档（8分）：有整体技术方案，能够基本理解项目的需求、目标、意义、以及本项目开展思路和框架；</w:t>
            </w:r>
          </w:p>
          <w:p w14:paraId="7E1FF5A6">
            <w:pPr>
              <w:spacing w:line="360" w:lineRule="auto"/>
              <w:ind w:firstLine="420" w:firstLineChars="200"/>
              <w:jc w:val="left"/>
              <w:rPr>
                <w:color w:val="auto"/>
                <w:highlight w:val="none"/>
              </w:rPr>
            </w:pPr>
            <w:r>
              <w:rPr>
                <w:rFonts w:hint="eastAsia"/>
                <w:color w:val="auto"/>
                <w:highlight w:val="none"/>
              </w:rPr>
              <w:t>二档（15分）:有详细技术方案，能够理解项目的需求、目标、意义、以及本项目开展思路和框架，并能明确项目需求及输出成果。项目实施团队成员有合理的安排，项目经理持有信息系统项目管理师证书。项目主要实施成员3名，且实施成员至少具备1 项系统管理专业知识测评证书；</w:t>
            </w:r>
          </w:p>
          <w:p w14:paraId="7B1BCC15">
            <w:pPr>
              <w:spacing w:line="360" w:lineRule="auto"/>
              <w:ind w:firstLine="420" w:firstLineChars="200"/>
              <w:jc w:val="left"/>
              <w:rPr>
                <w:color w:val="auto"/>
                <w:highlight w:val="none"/>
              </w:rPr>
            </w:pPr>
            <w:r>
              <w:rPr>
                <w:rFonts w:hint="eastAsia"/>
                <w:color w:val="auto"/>
                <w:highlight w:val="none"/>
              </w:rPr>
              <w:t>三档（</w:t>
            </w:r>
            <w:r>
              <w:rPr>
                <w:color w:val="auto"/>
                <w:highlight w:val="none"/>
              </w:rPr>
              <w:t>23</w:t>
            </w:r>
            <w:r>
              <w:rPr>
                <w:rFonts w:hint="eastAsia"/>
                <w:color w:val="auto"/>
                <w:highlight w:val="none"/>
              </w:rPr>
              <w:t>分）：有详细技术方案，能准确理解项目的意义和背景，对项目的需求、目标、意义、以及本项目开展思路和框架有全面、准确的理解，能够明确项目的输出成果。项目实施团队成员安排合理，项目经理须同时持有信息系统项目管理师证书、通信类高级工程师证书（专业：通信工程或信息与通信工程）和</w:t>
            </w:r>
            <w:r>
              <w:rPr>
                <w:rFonts w:hint="eastAsia" w:ascii="宋体" w:hAnsi="宋体" w:cs="宋体"/>
                <w:color w:val="auto"/>
                <w:spacing w:val="-3"/>
                <w:szCs w:val="21"/>
                <w:highlight w:val="none"/>
              </w:rPr>
              <w:t>高级网络信息安全工程师证书</w:t>
            </w:r>
            <w:r>
              <w:rPr>
                <w:rFonts w:hint="eastAsia"/>
                <w:color w:val="auto"/>
                <w:highlight w:val="none"/>
              </w:rPr>
              <w:t>。项目主要实施成员至少4名，且实施成员至少具备1 项系统管理专业知识测评证书、1项云平台构建专业知识测评证书资质。</w:t>
            </w:r>
          </w:p>
          <w:p w14:paraId="53C49E67">
            <w:pPr>
              <w:spacing w:line="360" w:lineRule="auto"/>
              <w:ind w:firstLine="420" w:firstLineChars="200"/>
              <w:jc w:val="left"/>
              <w:rPr>
                <w:color w:val="auto"/>
                <w:highlight w:val="none"/>
              </w:rPr>
            </w:pPr>
            <w:r>
              <w:rPr>
                <w:rFonts w:hint="eastAsia"/>
                <w:color w:val="auto"/>
                <w:highlight w:val="none"/>
              </w:rPr>
              <w:t>四档（35分）：有详细技术方案，能准确理解项目的意义和背景，对项目的需求、目标、意义、以及本项目开展思路和框架有全面、准确的理解，能够明确项目的输出成果。项目实施团队成员安排合理，项目经理须同时持有信息系统项目管理师证书、通信类高级工程师证书（专业：通信工程或信息与通信工程）和高级网络信息安全工程师证书。项目主要实施成员至少5名，且实施成员至少具备 2 项系统管理专业知识测评证书、2项云平台构建专业知识测评证书资质。</w:t>
            </w:r>
          </w:p>
          <w:p w14:paraId="57A10D40">
            <w:pPr>
              <w:spacing w:line="360" w:lineRule="auto"/>
              <w:jc w:val="left"/>
              <w:rPr>
                <w:rFonts w:cs="宋体"/>
                <w:bCs/>
                <w:color w:val="auto"/>
                <w:highlight w:val="none"/>
              </w:rPr>
            </w:pPr>
            <w:r>
              <w:rPr>
                <w:rFonts w:hint="eastAsia"/>
                <w:color w:val="auto"/>
                <w:highlight w:val="none"/>
              </w:rPr>
              <w:t>注：</w:t>
            </w:r>
            <w:r>
              <w:rPr>
                <w:rFonts w:hint="eastAsia"/>
                <w:color w:val="auto"/>
                <w:highlight w:val="none"/>
                <w:lang w:val="zh-CN"/>
              </w:rPr>
              <w:t>以上拟投入人员的相关资质证书须由获得国家行政部门认可的机构颁发，并提供相应证书证件复印件并加盖供应商公章。</w:t>
            </w:r>
          </w:p>
        </w:tc>
      </w:tr>
      <w:tr w14:paraId="010D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continue"/>
            <w:vAlign w:val="center"/>
          </w:tcPr>
          <w:p w14:paraId="01EF4919">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41140A0F">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576D7089">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5FAEAEAB">
            <w:pPr>
              <w:spacing w:line="360" w:lineRule="auto"/>
              <w:jc w:val="center"/>
              <w:rPr>
                <w:rFonts w:hAnsi="宋体" w:cs="宋体"/>
                <w:bCs/>
                <w:color w:val="auto"/>
                <w:highlight w:val="none"/>
              </w:rPr>
            </w:pPr>
            <w:r>
              <w:rPr>
                <w:rFonts w:hint="eastAsia" w:hAnsi="宋体"/>
                <w:b/>
                <w:color w:val="auto"/>
                <w:highlight w:val="none"/>
              </w:rPr>
              <w:t>安全性能分</w:t>
            </w:r>
            <w:r>
              <w:rPr>
                <w:rFonts w:hint="eastAsia" w:hAnsi="宋体" w:cs="宋体"/>
                <w:b/>
                <w:bCs/>
                <w:color w:val="auto"/>
                <w:highlight w:val="none"/>
              </w:rPr>
              <w:t>（</w:t>
            </w:r>
            <w:r>
              <w:rPr>
                <w:rFonts w:hint="eastAsia" w:ascii="宋体" w:hAnsi="宋体"/>
                <w:b/>
                <w:color w:val="auto"/>
                <w:szCs w:val="21"/>
                <w:highlight w:val="none"/>
              </w:rPr>
              <w:t>满分</w:t>
            </w:r>
            <w:r>
              <w:rPr>
                <w:rFonts w:hint="eastAsia" w:hAnsi="宋体" w:cs="宋体"/>
                <w:b/>
                <w:bCs/>
                <w:color w:val="auto"/>
                <w:highlight w:val="none"/>
              </w:rPr>
              <w:t>20分）</w:t>
            </w:r>
          </w:p>
        </w:tc>
        <w:tc>
          <w:tcPr>
            <w:tcW w:w="5665" w:type="dxa"/>
            <w:vAlign w:val="center"/>
          </w:tcPr>
          <w:p w14:paraId="64E974AE">
            <w:pPr>
              <w:spacing w:line="360" w:lineRule="auto"/>
              <w:ind w:firstLine="218" w:firstLineChars="104"/>
              <w:jc w:val="left"/>
              <w:rPr>
                <w:rFonts w:ascii="宋体" w:hAnsi="宋体"/>
                <w:bCs/>
                <w:color w:val="auto"/>
                <w:szCs w:val="21"/>
                <w:highlight w:val="none"/>
              </w:rPr>
            </w:pPr>
            <w:r>
              <w:rPr>
                <w:rFonts w:hint="eastAsia" w:ascii="宋体" w:hAnsi="宋体"/>
                <w:bCs/>
                <w:color w:val="auto"/>
                <w:szCs w:val="21"/>
                <w:highlight w:val="none"/>
              </w:rPr>
              <w:t>（1）免费提供抗Ddos防护、基础云安全防护；得5分。</w:t>
            </w:r>
          </w:p>
          <w:p w14:paraId="4A4A1671">
            <w:pPr>
              <w:spacing w:line="360" w:lineRule="auto"/>
              <w:ind w:firstLine="218" w:firstLineChars="104"/>
              <w:jc w:val="left"/>
              <w:rPr>
                <w:rFonts w:ascii="宋体" w:hAnsi="宋体"/>
                <w:bCs/>
                <w:color w:val="auto"/>
                <w:szCs w:val="21"/>
                <w:highlight w:val="none"/>
              </w:rPr>
            </w:pPr>
            <w:r>
              <w:rPr>
                <w:rFonts w:hint="eastAsia" w:ascii="宋体" w:hAnsi="宋体"/>
                <w:bCs/>
                <w:color w:val="auto"/>
                <w:szCs w:val="21"/>
                <w:highlight w:val="none"/>
              </w:rPr>
              <w:t>（2）支持安全总览功能，可视化展示用户所有资产信息及整体安全状况，并提供功能截图材料；得3分。</w:t>
            </w:r>
          </w:p>
          <w:p w14:paraId="4C533085">
            <w:pPr>
              <w:spacing w:line="360" w:lineRule="auto"/>
              <w:ind w:firstLine="218" w:firstLineChars="104"/>
              <w:jc w:val="left"/>
              <w:rPr>
                <w:rFonts w:ascii="宋体" w:hAnsi="宋体"/>
                <w:bCs/>
                <w:color w:val="auto"/>
                <w:szCs w:val="21"/>
                <w:highlight w:val="none"/>
              </w:rPr>
            </w:pPr>
            <w:r>
              <w:rPr>
                <w:rFonts w:hint="eastAsia" w:ascii="宋体" w:hAnsi="宋体"/>
                <w:bCs/>
                <w:color w:val="auto"/>
                <w:szCs w:val="21"/>
                <w:highlight w:val="none"/>
              </w:rPr>
              <w:t>（3）支持防暴力破解、动态蜜罐功能，实时监控疑似黑客攻击行为，并提供功能截图材料；得3分。</w:t>
            </w:r>
          </w:p>
          <w:p w14:paraId="7DE5A7E3">
            <w:pPr>
              <w:spacing w:line="360" w:lineRule="auto"/>
              <w:ind w:firstLine="218" w:firstLineChars="104"/>
              <w:jc w:val="left"/>
              <w:rPr>
                <w:rFonts w:ascii="宋体" w:hAnsi="宋体"/>
                <w:bCs/>
                <w:color w:val="auto"/>
                <w:szCs w:val="21"/>
                <w:highlight w:val="none"/>
              </w:rPr>
            </w:pPr>
            <w:r>
              <w:rPr>
                <w:rFonts w:hint="eastAsia" w:ascii="宋体" w:hAnsi="宋体"/>
                <w:bCs/>
                <w:color w:val="auto"/>
                <w:szCs w:val="21"/>
                <w:highlight w:val="none"/>
              </w:rPr>
              <w:t>（4）支持清点用户已授权主机上的系统端口、进程、软件、账号、数据库资产指纹信息，并提供功能截图材料；得3分。</w:t>
            </w:r>
          </w:p>
          <w:p w14:paraId="3EE9E055">
            <w:pPr>
              <w:spacing w:line="360" w:lineRule="auto"/>
              <w:ind w:firstLine="218" w:firstLineChars="104"/>
              <w:jc w:val="left"/>
              <w:rPr>
                <w:rFonts w:ascii="宋体" w:hAnsi="宋体"/>
                <w:bCs/>
                <w:color w:val="auto"/>
                <w:szCs w:val="21"/>
                <w:highlight w:val="none"/>
              </w:rPr>
            </w:pPr>
            <w:r>
              <w:rPr>
                <w:rFonts w:hint="eastAsia" w:ascii="宋体" w:hAnsi="宋体"/>
                <w:bCs/>
                <w:color w:val="auto"/>
                <w:szCs w:val="21"/>
                <w:highlight w:val="none"/>
              </w:rPr>
              <w:t>（5）支持基线、漏洞检测、云平台配置检测等功能，提前发现资产存在的安全风险；得2分。</w:t>
            </w:r>
          </w:p>
          <w:p w14:paraId="1815DFF3">
            <w:pPr>
              <w:spacing w:line="360" w:lineRule="auto"/>
              <w:ind w:firstLine="218" w:firstLineChars="104"/>
              <w:jc w:val="left"/>
              <w:rPr>
                <w:rFonts w:ascii="宋体" w:hAnsi="宋体"/>
                <w:bCs/>
                <w:color w:val="auto"/>
                <w:szCs w:val="21"/>
                <w:highlight w:val="none"/>
              </w:rPr>
            </w:pPr>
            <w:r>
              <w:rPr>
                <w:rFonts w:hint="eastAsia" w:ascii="宋体" w:hAnsi="宋体"/>
                <w:bCs/>
                <w:color w:val="auto"/>
                <w:szCs w:val="21"/>
                <w:highlight w:val="none"/>
              </w:rPr>
              <w:t>（6）支持异常登录告警、Web后门、 系统后门检测等入侵防护功能，发现资产存在的威胁风险；得2分。</w:t>
            </w:r>
          </w:p>
          <w:p w14:paraId="1982AA8E">
            <w:pPr>
              <w:spacing w:line="360" w:lineRule="auto"/>
              <w:ind w:firstLine="218" w:firstLineChars="104"/>
              <w:jc w:val="left"/>
              <w:rPr>
                <w:rFonts w:cs="宋体"/>
                <w:bCs/>
                <w:color w:val="auto"/>
                <w:highlight w:val="none"/>
              </w:rPr>
            </w:pPr>
            <w:r>
              <w:rPr>
                <w:rFonts w:hint="eastAsia" w:ascii="宋体" w:hAnsi="宋体"/>
                <w:bCs/>
                <w:color w:val="auto"/>
                <w:szCs w:val="21"/>
                <w:highlight w:val="none"/>
              </w:rPr>
              <w:t>（7）支持安全告警、安全报告等态势分析，可视化展示风险情况；得2分。</w:t>
            </w:r>
          </w:p>
        </w:tc>
      </w:tr>
      <w:tr w14:paraId="6FD2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continue"/>
            <w:vAlign w:val="center"/>
          </w:tcPr>
          <w:p w14:paraId="5B6B5375">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33F65B69">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2ADFAAA0">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0968B9E7">
            <w:pPr>
              <w:spacing w:line="360" w:lineRule="auto"/>
              <w:jc w:val="center"/>
              <w:rPr>
                <w:rFonts w:hAnsi="宋体" w:cs="宋体"/>
                <w:bCs/>
                <w:color w:val="auto"/>
                <w:highlight w:val="none"/>
              </w:rPr>
            </w:pPr>
            <w:r>
              <w:rPr>
                <w:rFonts w:hint="eastAsia" w:ascii="宋体" w:hAnsi="宋体"/>
                <w:b/>
                <w:color w:val="auto"/>
                <w:szCs w:val="21"/>
                <w:highlight w:val="none"/>
              </w:rPr>
              <w:t>后续服务（满分20分）</w:t>
            </w:r>
          </w:p>
        </w:tc>
        <w:tc>
          <w:tcPr>
            <w:tcW w:w="5665" w:type="dxa"/>
            <w:vAlign w:val="center"/>
          </w:tcPr>
          <w:p w14:paraId="216D54C4">
            <w:pPr>
              <w:spacing w:line="360" w:lineRule="auto"/>
              <w:ind w:firstLine="420" w:firstLineChars="200"/>
              <w:rPr>
                <w:rFonts w:ascii="宋体" w:hAnsi="宋体" w:cs="仿宋"/>
                <w:b w:val="0"/>
                <w:bCs/>
                <w:color w:val="auto"/>
                <w:spacing w:val="-3"/>
                <w:szCs w:val="21"/>
                <w:highlight w:val="none"/>
              </w:rPr>
            </w:pPr>
            <w:r>
              <w:rPr>
                <w:rFonts w:hint="eastAsia" w:ascii="宋体" w:hAnsi="宋体"/>
                <w:bCs/>
                <w:color w:val="auto"/>
                <w:szCs w:val="21"/>
                <w:highlight w:val="none"/>
              </w:rPr>
              <w:t>由磋商小组在打分前根据供应商</w:t>
            </w:r>
            <w:r>
              <w:rPr>
                <w:rFonts w:hint="eastAsia" w:ascii="宋体" w:hAnsi="宋体"/>
                <w:b w:val="0"/>
                <w:bCs/>
                <w:color w:val="auto"/>
                <w:szCs w:val="21"/>
                <w:highlight w:val="none"/>
              </w:rPr>
              <w:t>的后续服务确定各供应商所属档次及得分。</w:t>
            </w:r>
            <w:r>
              <w:rPr>
                <w:rFonts w:hint="eastAsia" w:ascii="宋体" w:hAnsi="宋体" w:cs="宋体"/>
                <w:b w:val="0"/>
                <w:bCs/>
                <w:color w:val="auto"/>
                <w:spacing w:val="-3"/>
                <w:szCs w:val="21"/>
                <w:highlight w:val="none"/>
              </w:rPr>
              <w:t>达不到一档要求或不提供的得0分。</w:t>
            </w:r>
          </w:p>
          <w:p w14:paraId="0B0EDE2E">
            <w:pPr>
              <w:spacing w:line="360" w:lineRule="auto"/>
              <w:ind w:firstLine="408" w:firstLineChars="200"/>
              <w:rPr>
                <w:rFonts w:ascii="宋体" w:hAnsi="宋体" w:cs="仿宋"/>
                <w:b w:val="0"/>
                <w:bCs/>
                <w:color w:val="auto"/>
                <w:spacing w:val="-3"/>
                <w:szCs w:val="21"/>
                <w:highlight w:val="none"/>
              </w:rPr>
            </w:pPr>
            <w:r>
              <w:rPr>
                <w:rFonts w:hint="eastAsia" w:ascii="宋体" w:hAnsi="宋体" w:cs="仿宋"/>
                <w:b w:val="0"/>
                <w:bCs/>
                <w:color w:val="auto"/>
                <w:spacing w:val="-3"/>
                <w:szCs w:val="21"/>
                <w:highlight w:val="none"/>
              </w:rPr>
              <w:t>一档（5分）：提供的</w:t>
            </w:r>
            <w:r>
              <w:rPr>
                <w:rFonts w:hint="eastAsia" w:ascii="宋体" w:hAnsi="宋体"/>
                <w:b w:val="0"/>
                <w:bCs/>
                <w:color w:val="auto"/>
                <w:szCs w:val="21"/>
                <w:highlight w:val="none"/>
              </w:rPr>
              <w:t>后续服务</w:t>
            </w:r>
            <w:r>
              <w:rPr>
                <w:rFonts w:hint="eastAsia" w:ascii="宋体" w:hAnsi="宋体" w:cs="仿宋"/>
                <w:b w:val="0"/>
                <w:bCs/>
                <w:color w:val="auto"/>
                <w:spacing w:val="-3"/>
                <w:szCs w:val="21"/>
                <w:highlight w:val="none"/>
              </w:rPr>
              <w:t>方案较差、不可行，服务措施不具备，相关技术人员无保证，技术能力对项目</w:t>
            </w:r>
            <w:r>
              <w:rPr>
                <w:rFonts w:hint="eastAsia" w:ascii="宋体" w:hAnsi="宋体" w:cs="仿宋"/>
                <w:b w:val="0"/>
                <w:bCs/>
                <w:color w:val="auto"/>
                <w:spacing w:val="-3"/>
                <w:szCs w:val="21"/>
                <w:highlight w:val="none"/>
                <w:lang w:eastAsia="zh-CN"/>
              </w:rPr>
              <w:t>后续服务</w:t>
            </w:r>
            <w:r>
              <w:rPr>
                <w:rFonts w:hint="eastAsia" w:ascii="宋体" w:hAnsi="宋体" w:cs="仿宋"/>
                <w:b w:val="0"/>
                <w:bCs/>
                <w:color w:val="auto"/>
                <w:spacing w:val="-3"/>
                <w:szCs w:val="21"/>
                <w:highlight w:val="none"/>
              </w:rPr>
              <w:t>保障性低。</w:t>
            </w:r>
          </w:p>
          <w:p w14:paraId="29640AE1">
            <w:pPr>
              <w:spacing w:line="360" w:lineRule="auto"/>
              <w:ind w:firstLine="408" w:firstLineChars="200"/>
              <w:rPr>
                <w:rFonts w:ascii="宋体" w:hAnsi="宋体" w:cs="仿宋"/>
                <w:b w:val="0"/>
                <w:bCs w:val="0"/>
                <w:color w:val="auto"/>
                <w:spacing w:val="-3"/>
                <w:szCs w:val="21"/>
                <w:highlight w:val="none"/>
              </w:rPr>
            </w:pPr>
            <w:r>
              <w:rPr>
                <w:rFonts w:hint="eastAsia" w:ascii="宋体" w:hAnsi="宋体" w:cs="仿宋"/>
                <w:b w:val="0"/>
                <w:bCs/>
                <w:color w:val="auto"/>
                <w:spacing w:val="-3"/>
                <w:szCs w:val="21"/>
                <w:highlight w:val="none"/>
              </w:rPr>
              <w:t>二档（10分)：提供的</w:t>
            </w:r>
            <w:r>
              <w:rPr>
                <w:rFonts w:hint="eastAsia" w:ascii="宋体" w:hAnsi="宋体"/>
                <w:b w:val="0"/>
                <w:bCs/>
                <w:color w:val="auto"/>
                <w:szCs w:val="21"/>
                <w:highlight w:val="none"/>
              </w:rPr>
              <w:t>后续服务</w:t>
            </w:r>
            <w:r>
              <w:rPr>
                <w:rFonts w:hint="eastAsia" w:ascii="宋体" w:hAnsi="宋体" w:cs="仿宋"/>
                <w:b w:val="0"/>
                <w:bCs/>
                <w:color w:val="auto"/>
                <w:spacing w:val="-3"/>
                <w:szCs w:val="21"/>
                <w:highlight w:val="none"/>
              </w:rPr>
              <w:t>方案较</w:t>
            </w:r>
            <w:r>
              <w:rPr>
                <w:rFonts w:hint="eastAsia" w:ascii="宋体" w:hAnsi="宋体" w:cs="仿宋"/>
                <w:color w:val="auto"/>
                <w:spacing w:val="-3"/>
                <w:szCs w:val="21"/>
                <w:highlight w:val="none"/>
              </w:rPr>
              <w:t>详细、基本可行，服务措施部分具备，相关技术人员基本有保证，技术能力基本满足项目要求。技术团队人员分工安排合理，团队成员至少包含 1 名常驻广西本地的运维技术主管，该名运维技术主管具备</w:t>
            </w:r>
            <w:r>
              <w:rPr>
                <w:rFonts w:hint="eastAsia" w:ascii="宋体" w:hAnsi="宋体" w:cs="仿宋"/>
                <w:color w:val="auto"/>
                <w:spacing w:val="-3"/>
                <w:szCs w:val="21"/>
                <w:highlight w:val="none"/>
                <w:lang w:val="zh-CN"/>
              </w:rPr>
              <w:t>系统集成</w:t>
            </w:r>
            <w:r>
              <w:rPr>
                <w:rFonts w:hint="eastAsia"/>
                <w:color w:val="auto"/>
                <w:szCs w:val="21"/>
                <w:highlight w:val="none"/>
                <w:lang w:val="zh-CN"/>
              </w:rPr>
              <w:t>项目管理工程师证</w:t>
            </w:r>
            <w:r>
              <w:rPr>
                <w:rFonts w:hint="eastAsia" w:ascii="宋体" w:hAnsi="宋体" w:cs="仿宋"/>
                <w:color w:val="auto"/>
                <w:spacing w:val="-3"/>
                <w:szCs w:val="21"/>
                <w:highlight w:val="none"/>
              </w:rPr>
              <w:t>；供应商在项目所在地的</w:t>
            </w:r>
            <w:r>
              <w:rPr>
                <w:rFonts w:hint="eastAsia" w:ascii="宋体" w:hAnsi="宋体" w:cs="仿宋"/>
                <w:color w:val="auto"/>
                <w:spacing w:val="-3"/>
                <w:szCs w:val="21"/>
                <w:highlight w:val="none"/>
                <w:lang w:eastAsia="zh-CN"/>
              </w:rPr>
              <w:t>后续服务</w:t>
            </w:r>
            <w:r>
              <w:rPr>
                <w:rFonts w:hint="eastAsia" w:ascii="宋体" w:hAnsi="宋体" w:cs="仿宋"/>
                <w:color w:val="auto"/>
                <w:spacing w:val="-3"/>
                <w:szCs w:val="21"/>
                <w:highlight w:val="none"/>
              </w:rPr>
              <w:t>工程人员不少于1人</w:t>
            </w:r>
            <w:r>
              <w:rPr>
                <w:rFonts w:hint="eastAsia" w:ascii="宋体" w:hAnsi="宋体" w:cs="仿宋"/>
                <w:b w:val="0"/>
                <w:bCs w:val="0"/>
                <w:color w:val="auto"/>
                <w:spacing w:val="-3"/>
                <w:szCs w:val="21"/>
                <w:highlight w:val="none"/>
              </w:rPr>
              <w:t>。</w:t>
            </w:r>
          </w:p>
          <w:p w14:paraId="2864FE3F">
            <w:pPr>
              <w:spacing w:line="360" w:lineRule="auto"/>
              <w:ind w:firstLine="408" w:firstLineChars="200"/>
              <w:rPr>
                <w:rFonts w:ascii="宋体" w:hAnsi="宋体" w:cs="仿宋"/>
                <w:color w:val="auto"/>
                <w:spacing w:val="-3"/>
                <w:szCs w:val="21"/>
                <w:highlight w:val="none"/>
              </w:rPr>
            </w:pPr>
            <w:r>
              <w:rPr>
                <w:rFonts w:hint="eastAsia" w:ascii="宋体" w:hAnsi="宋体" w:cs="仿宋"/>
                <w:b w:val="0"/>
                <w:bCs w:val="0"/>
                <w:color w:val="auto"/>
                <w:spacing w:val="-3"/>
                <w:szCs w:val="21"/>
                <w:highlight w:val="none"/>
              </w:rPr>
              <w:t>三档（20 分）：提供的</w:t>
            </w:r>
            <w:r>
              <w:rPr>
                <w:rFonts w:hint="eastAsia" w:ascii="宋体" w:hAnsi="宋体"/>
                <w:b w:val="0"/>
                <w:bCs w:val="0"/>
                <w:color w:val="auto"/>
                <w:szCs w:val="21"/>
                <w:highlight w:val="none"/>
              </w:rPr>
              <w:t>后续服务</w:t>
            </w:r>
            <w:r>
              <w:rPr>
                <w:rFonts w:hint="eastAsia" w:ascii="宋体" w:hAnsi="宋体" w:cs="仿宋"/>
                <w:b w:val="0"/>
                <w:bCs w:val="0"/>
                <w:color w:val="auto"/>
                <w:spacing w:val="-3"/>
                <w:szCs w:val="21"/>
                <w:highlight w:val="none"/>
              </w:rPr>
              <w:t>方案</w:t>
            </w:r>
            <w:r>
              <w:rPr>
                <w:rFonts w:hint="eastAsia" w:ascii="宋体" w:hAnsi="宋体" w:cs="仿宋"/>
                <w:color w:val="auto"/>
                <w:spacing w:val="-3"/>
                <w:szCs w:val="21"/>
                <w:highlight w:val="none"/>
              </w:rPr>
              <w:t>详细、可行，服务措施完备， 相关服务流程合理，运维组织机构齐全，符合采购单位实际情况； 相关技术人员有保证，技术能力满足项目要求，技术团队人员分工安排合理，团队成员至少包含 1 名常驻广西本地的运维技术主管，该名运维技术主管具备</w:t>
            </w:r>
            <w:r>
              <w:rPr>
                <w:rFonts w:hint="eastAsia"/>
                <w:color w:val="auto"/>
                <w:szCs w:val="21"/>
                <w:highlight w:val="none"/>
                <w:lang w:val="zh-CN"/>
              </w:rPr>
              <w:t>系统集成项目管理工程师</w:t>
            </w:r>
            <w:r>
              <w:rPr>
                <w:rFonts w:hint="eastAsia" w:ascii="宋体" w:hAnsi="宋体" w:cs="仿宋"/>
                <w:color w:val="auto"/>
                <w:spacing w:val="-3"/>
                <w:szCs w:val="21"/>
                <w:highlight w:val="none"/>
              </w:rPr>
              <w:t>和</w:t>
            </w:r>
            <w:r>
              <w:rPr>
                <w:rFonts w:hint="eastAsia"/>
                <w:color w:val="auto"/>
                <w:szCs w:val="21"/>
                <w:highlight w:val="none"/>
                <w:lang w:val="zh-CN"/>
              </w:rPr>
              <w:t>系统管理专业知识测评证书</w:t>
            </w:r>
            <w:r>
              <w:rPr>
                <w:rFonts w:hint="eastAsia" w:ascii="宋体" w:hAnsi="宋体" w:cs="仿宋"/>
                <w:color w:val="auto"/>
                <w:spacing w:val="-3"/>
                <w:szCs w:val="21"/>
                <w:highlight w:val="none"/>
              </w:rPr>
              <w:t>；供应商在项目所在地的</w:t>
            </w:r>
            <w:r>
              <w:rPr>
                <w:rFonts w:hint="eastAsia" w:ascii="宋体" w:hAnsi="宋体" w:cs="仿宋"/>
                <w:color w:val="auto"/>
                <w:spacing w:val="-3"/>
                <w:szCs w:val="21"/>
                <w:highlight w:val="none"/>
                <w:lang w:eastAsia="zh-CN"/>
              </w:rPr>
              <w:t>后续服务</w:t>
            </w:r>
            <w:r>
              <w:rPr>
                <w:rFonts w:hint="eastAsia" w:ascii="宋体" w:hAnsi="宋体" w:cs="仿宋"/>
                <w:color w:val="auto"/>
                <w:spacing w:val="-3"/>
                <w:szCs w:val="21"/>
                <w:highlight w:val="none"/>
              </w:rPr>
              <w:t>工程人员不少于3人，其中包含至少2名成员具有云计算系统维护专业知识测评证书。</w:t>
            </w:r>
          </w:p>
          <w:p w14:paraId="7BEF07ED">
            <w:pPr>
              <w:pStyle w:val="72"/>
              <w:kinsoku w:val="0"/>
              <w:overflowPunct w:val="0"/>
              <w:spacing w:before="6" w:line="360" w:lineRule="auto"/>
              <w:ind w:right="94"/>
              <w:rPr>
                <w:rFonts w:cs="宋体"/>
                <w:bCs/>
                <w:color w:val="auto"/>
                <w:highlight w:val="none"/>
                <w:lang w:eastAsia="zh-CN"/>
              </w:rPr>
            </w:pPr>
            <w:r>
              <w:rPr>
                <w:rFonts w:hint="eastAsia" w:ascii="宋体" w:hAnsi="宋体" w:cs="仿宋"/>
                <w:color w:val="auto"/>
                <w:spacing w:val="-3"/>
                <w:kern w:val="2"/>
                <w:sz w:val="21"/>
                <w:szCs w:val="21"/>
                <w:highlight w:val="none"/>
                <w:lang w:eastAsia="zh-CN"/>
              </w:rPr>
              <w:t>注：</w:t>
            </w:r>
            <w:r>
              <w:rPr>
                <w:rFonts w:hint="eastAsia" w:ascii="宋体" w:hAnsi="宋体" w:cs="仿宋"/>
                <w:color w:val="auto"/>
                <w:spacing w:val="-3"/>
                <w:kern w:val="2"/>
                <w:sz w:val="21"/>
                <w:szCs w:val="21"/>
                <w:highlight w:val="none"/>
                <w:lang w:val="zh-CN" w:eastAsia="zh-CN"/>
              </w:rPr>
              <w:t>以上拟投入人员须提供相应证书、证件复印件并加盖公章。</w:t>
            </w:r>
          </w:p>
        </w:tc>
      </w:tr>
      <w:tr w14:paraId="196D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30" w:type="dxa"/>
            <w:vAlign w:val="center"/>
          </w:tcPr>
          <w:p w14:paraId="4AE636D4">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14:paraId="7A07CB54">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249F8A45">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15分</w:t>
            </w:r>
          </w:p>
        </w:tc>
        <w:tc>
          <w:tcPr>
            <w:tcW w:w="6909" w:type="dxa"/>
            <w:gridSpan w:val="2"/>
            <w:vAlign w:val="center"/>
          </w:tcPr>
          <w:p w14:paraId="00A04D27">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18" w:firstLineChars="104"/>
              <w:jc w:val="left"/>
              <w:rPr>
                <w:rFonts w:ascii="宋体" w:hAnsi="宋体" w:cs="宋体"/>
                <w:color w:val="auto"/>
                <w:kern w:val="0"/>
                <w:szCs w:val="21"/>
                <w:highlight w:val="none"/>
                <w:lang w:val="zh-CN"/>
              </w:rPr>
            </w:pPr>
            <w:r>
              <w:rPr>
                <w:rFonts w:hint="eastAsia" w:ascii="宋体" w:hAnsi="宋体" w:cs="宋体"/>
                <w:bCs/>
                <w:color w:val="auto"/>
                <w:szCs w:val="21"/>
                <w:highlight w:val="none"/>
              </w:rPr>
              <w:t>（1）</w:t>
            </w:r>
            <w:r>
              <w:rPr>
                <w:rFonts w:hint="eastAsia" w:ascii="宋体" w:hAnsi="宋体" w:cs="宋体"/>
                <w:color w:val="auto"/>
                <w:kern w:val="0"/>
                <w:szCs w:val="21"/>
                <w:highlight w:val="none"/>
                <w:lang w:val="zh-CN"/>
              </w:rPr>
              <w:t>供应商自 20</w:t>
            </w: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zh-CN"/>
              </w:rPr>
              <w:t xml:space="preserve">年 1 月 1 日以来类似项目业绩每个得 </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分，满分</w:t>
            </w:r>
            <w:r>
              <w:rPr>
                <w:rFonts w:hint="eastAsia" w:ascii="宋体" w:hAnsi="宋体" w:cs="宋体"/>
                <w:color w:val="auto"/>
                <w:kern w:val="0"/>
                <w:szCs w:val="21"/>
                <w:highlight w:val="none"/>
              </w:rPr>
              <w:t>6</w:t>
            </w:r>
            <w:r>
              <w:rPr>
                <w:rFonts w:hint="eastAsia" w:ascii="宋体" w:hAnsi="宋体" w:cs="宋体"/>
                <w:color w:val="auto"/>
                <w:kern w:val="0"/>
                <w:szCs w:val="21"/>
                <w:highlight w:val="none"/>
                <w:lang w:val="zh-CN"/>
              </w:rPr>
              <w:t>分（提供合同复印件并加盖公章，否则不得分）。</w:t>
            </w:r>
          </w:p>
          <w:p w14:paraId="4A1DF03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18" w:firstLineChars="104"/>
              <w:jc w:val="left"/>
              <w:rPr>
                <w:rFonts w:ascii="宋体" w:hAnsi="宋体" w:cs="宋体"/>
                <w:color w:val="auto"/>
                <w:kern w:val="0"/>
                <w:szCs w:val="21"/>
                <w:highlight w:val="none"/>
                <w:lang w:val="zh-CN"/>
              </w:rPr>
            </w:pPr>
            <w:r>
              <w:rPr>
                <w:rFonts w:hint="eastAsia" w:ascii="宋体" w:hAnsi="宋体" w:cs="宋体"/>
                <w:bCs/>
                <w:color w:val="auto"/>
                <w:szCs w:val="21"/>
                <w:highlight w:val="none"/>
              </w:rPr>
              <w:t>（2）</w:t>
            </w:r>
            <w:r>
              <w:rPr>
                <w:rFonts w:hint="eastAsia" w:ascii="宋体" w:hAnsi="宋体" w:cs="宋体"/>
                <w:color w:val="auto"/>
                <w:kern w:val="0"/>
                <w:szCs w:val="21"/>
                <w:highlight w:val="none"/>
                <w:lang w:val="zh-CN"/>
              </w:rPr>
              <w:t>供应商具有ISO 9001质量管理体系认证证书得1分</w:t>
            </w:r>
            <w:r>
              <w:rPr>
                <w:rFonts w:hint="eastAsia" w:ascii="宋体" w:hAnsi="宋体" w:cs="宋体"/>
                <w:color w:val="auto"/>
                <w:kern w:val="0"/>
                <w:szCs w:val="21"/>
                <w:highlight w:val="none"/>
              </w:rPr>
              <w:t>，满分1分。</w:t>
            </w:r>
          </w:p>
          <w:p w14:paraId="0A27A21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18" w:firstLineChars="104"/>
              <w:jc w:val="left"/>
              <w:rPr>
                <w:rFonts w:ascii="宋体" w:hAnsi="宋体" w:cs="宋体"/>
                <w:color w:val="auto"/>
                <w:kern w:val="0"/>
                <w:szCs w:val="21"/>
                <w:highlight w:val="none"/>
                <w:lang w:val="zh-CN"/>
              </w:rPr>
            </w:pPr>
            <w:r>
              <w:rPr>
                <w:rFonts w:hint="eastAsia" w:ascii="宋体" w:hAnsi="宋体" w:cs="宋体"/>
                <w:bCs/>
                <w:color w:val="auto"/>
                <w:szCs w:val="21"/>
                <w:highlight w:val="none"/>
              </w:rPr>
              <w:t>（3）</w:t>
            </w:r>
            <w:r>
              <w:rPr>
                <w:rFonts w:hint="eastAsia" w:ascii="宋体" w:hAnsi="宋体" w:cs="宋体"/>
                <w:color w:val="auto"/>
                <w:kern w:val="0"/>
                <w:szCs w:val="21"/>
                <w:highlight w:val="none"/>
                <w:lang w:val="zh-CN"/>
              </w:rPr>
              <w:t>供应商具有ISO 27001信息安全管理体系认证认证得2分</w:t>
            </w:r>
            <w:r>
              <w:rPr>
                <w:rFonts w:hint="eastAsia" w:ascii="宋体" w:hAnsi="宋体" w:cs="宋体"/>
                <w:color w:val="auto"/>
                <w:kern w:val="0"/>
                <w:szCs w:val="21"/>
                <w:highlight w:val="none"/>
              </w:rPr>
              <w:t>，满分2分。</w:t>
            </w:r>
          </w:p>
          <w:p w14:paraId="4CE2E7C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18" w:firstLineChars="104"/>
              <w:jc w:val="left"/>
              <w:rPr>
                <w:rFonts w:ascii="宋体" w:hAnsi="宋体" w:cs="宋体"/>
                <w:color w:val="auto"/>
                <w:kern w:val="0"/>
                <w:szCs w:val="21"/>
                <w:highlight w:val="none"/>
                <w:lang w:val="zh-CN"/>
              </w:rPr>
            </w:pPr>
            <w:r>
              <w:rPr>
                <w:rFonts w:hint="eastAsia" w:ascii="宋体" w:hAnsi="宋体" w:cs="宋体"/>
                <w:bCs/>
                <w:color w:val="auto"/>
                <w:szCs w:val="21"/>
                <w:highlight w:val="none"/>
              </w:rPr>
              <w:t>（4）</w:t>
            </w:r>
            <w:r>
              <w:rPr>
                <w:rFonts w:hint="eastAsia" w:ascii="宋体" w:hAnsi="宋体" w:cs="宋体"/>
                <w:color w:val="auto"/>
                <w:kern w:val="0"/>
                <w:szCs w:val="21"/>
                <w:highlight w:val="none"/>
                <w:lang w:val="zh-CN"/>
              </w:rPr>
              <w:t>供应商具有ISO 20000 信息技术服务管理体系认证证书得2分</w:t>
            </w:r>
            <w:r>
              <w:rPr>
                <w:rFonts w:hint="eastAsia" w:ascii="宋体" w:hAnsi="宋体" w:cs="宋体"/>
                <w:color w:val="auto"/>
                <w:kern w:val="0"/>
                <w:szCs w:val="21"/>
                <w:highlight w:val="none"/>
              </w:rPr>
              <w:t>，满分2分。</w:t>
            </w:r>
          </w:p>
          <w:p w14:paraId="6E42B495">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18" w:firstLineChars="104"/>
              <w:jc w:val="left"/>
              <w:rPr>
                <w:rFonts w:ascii="宋体" w:hAnsi="宋体" w:cs="宋体"/>
                <w:color w:val="auto"/>
                <w:kern w:val="0"/>
                <w:szCs w:val="21"/>
                <w:highlight w:val="none"/>
                <w:lang w:val="zh-CN"/>
              </w:rPr>
            </w:pPr>
            <w:r>
              <w:rPr>
                <w:rFonts w:hint="eastAsia" w:ascii="宋体" w:hAnsi="宋体" w:cs="宋体"/>
                <w:bCs/>
                <w:color w:val="auto"/>
                <w:szCs w:val="21"/>
                <w:highlight w:val="none"/>
              </w:rPr>
              <w:t>（5）</w:t>
            </w:r>
            <w:r>
              <w:rPr>
                <w:rFonts w:hint="eastAsia" w:ascii="宋体" w:hAnsi="宋体" w:cs="宋体"/>
                <w:color w:val="auto"/>
                <w:kern w:val="0"/>
                <w:szCs w:val="21"/>
                <w:highlight w:val="none"/>
                <w:lang w:val="zh-CN"/>
              </w:rPr>
              <w:t>供应商具有ITSS 运行维护三级及以上认证证书得2分</w:t>
            </w:r>
            <w:r>
              <w:rPr>
                <w:rFonts w:hint="eastAsia" w:ascii="宋体" w:hAnsi="宋体" w:cs="宋体"/>
                <w:color w:val="auto"/>
                <w:kern w:val="0"/>
                <w:szCs w:val="21"/>
                <w:highlight w:val="none"/>
              </w:rPr>
              <w:t>，满分2分。</w:t>
            </w:r>
          </w:p>
          <w:p w14:paraId="0A3E1AAF">
            <w:pPr>
              <w:pStyle w:val="84"/>
              <w:ind w:left="420" w:firstLine="0" w:firstLineChars="0"/>
              <w:rPr>
                <w:rFonts w:cs="宋体"/>
                <w:color w:val="auto"/>
                <w:kern w:val="1"/>
                <w:highlight w:val="none"/>
              </w:rPr>
            </w:pPr>
            <w:r>
              <w:rPr>
                <w:rFonts w:hint="eastAsia" w:cs="宋体"/>
                <w:bCs/>
                <w:color w:val="auto"/>
                <w:highlight w:val="none"/>
                <w:lang w:eastAsia="zh-CN"/>
              </w:rPr>
              <w:t>（</w:t>
            </w:r>
            <w:r>
              <w:rPr>
                <w:rFonts w:hint="eastAsia" w:cs="宋体"/>
                <w:b w:val="0"/>
                <w:bCs/>
                <w:color w:val="auto"/>
                <w:sz w:val="21"/>
                <w:highlight w:val="none"/>
                <w:lang w:eastAsia="zh-CN"/>
              </w:rPr>
              <w:t>6）</w:t>
            </w:r>
            <w:r>
              <w:rPr>
                <w:rFonts w:hint="eastAsia" w:cs="宋体"/>
                <w:b w:val="0"/>
                <w:bCs/>
                <w:color w:val="auto"/>
                <w:kern w:val="0"/>
                <w:sz w:val="21"/>
                <w:highlight w:val="none"/>
                <w:lang w:eastAsia="zh-CN"/>
              </w:rPr>
              <w:t>供应商具有CMMI三级及以上认证证书得2分，满分2分。</w:t>
            </w:r>
          </w:p>
        </w:tc>
      </w:tr>
      <w:tr w14:paraId="0A9B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7D8A3C26">
            <w:pPr>
              <w:pStyle w:val="20"/>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14:paraId="36BCF0F1">
      <w:pPr>
        <w:rPr>
          <w:rFonts w:ascii="宋体" w:hAnsi="宋体" w:cs="宋体"/>
          <w:bCs/>
          <w:color w:val="auto"/>
          <w:szCs w:val="21"/>
          <w:highlight w:val="none"/>
        </w:rPr>
      </w:pPr>
    </w:p>
    <w:p w14:paraId="1CF339F4">
      <w:pPr>
        <w:rPr>
          <w:rFonts w:ascii="宋体" w:hAnsi="宋体" w:cs="宋体"/>
          <w:color w:val="auto"/>
          <w:highlight w:val="none"/>
        </w:rPr>
      </w:pPr>
      <w:r>
        <w:rPr>
          <w:rFonts w:hint="eastAsia" w:ascii="宋体" w:hAnsi="宋体" w:cs="宋体"/>
          <w:bCs/>
          <w:color w:val="auto"/>
          <w:szCs w:val="21"/>
          <w:highlight w:val="none"/>
        </w:rPr>
        <w:t>7.由磋商小组根据综合评分情况，按照评审得分由高到低顺序推荐3名成交候选供应商，并编写评审报告。符合本章第</w:t>
      </w:r>
      <w:r>
        <w:rPr>
          <w:rFonts w:hint="eastAsia" w:ascii="宋体" w:hAnsi="宋体" w:cs="宋体"/>
          <w:color w:val="auto"/>
          <w:szCs w:val="21"/>
          <w:highlight w:val="none"/>
        </w:rPr>
        <w:t>2.7、3.7、4.3</w:t>
      </w:r>
      <w:r>
        <w:rPr>
          <w:rFonts w:hint="eastAsia" w:ascii="宋体" w:hAnsi="宋体" w:cs="宋体"/>
          <w:bCs/>
          <w:color w:val="auto"/>
          <w:szCs w:val="21"/>
          <w:highlight w:val="none"/>
        </w:rPr>
        <w:t>条情形的，可以推荐2家成交候选供应商。评审得分相同的，按照最后报价（不计算价格折扣）由低到高的顺序推荐。评审得分且最后报价（不计算价格折扣）相同的，按照技术分高低顺序推荐。</w:t>
      </w:r>
    </w:p>
    <w:p w14:paraId="1B167E1B">
      <w:pPr>
        <w:pStyle w:val="2"/>
        <w:rPr>
          <w:rFonts w:ascii="宋体" w:hAnsi="宋体" w:cs="宋体"/>
          <w:color w:val="auto"/>
          <w:highlight w:val="none"/>
        </w:rPr>
      </w:pPr>
      <w:r>
        <w:rPr>
          <w:rFonts w:hint="eastAsia" w:ascii="宋体" w:hAnsi="宋体" w:cs="宋体"/>
          <w:color w:val="auto"/>
          <w:highlight w:val="none"/>
        </w:rPr>
        <w:br w:type="page"/>
      </w:r>
    </w:p>
    <w:p w14:paraId="177E3E8D">
      <w:pPr>
        <w:pStyle w:val="2"/>
        <w:rPr>
          <w:rFonts w:ascii="宋体" w:hAnsi="宋体" w:cs="宋体"/>
          <w:color w:val="auto"/>
          <w:highlight w:val="none"/>
        </w:rPr>
      </w:pPr>
      <w:bookmarkStart w:id="49" w:name="_Toc16056"/>
      <w:bookmarkStart w:id="50" w:name="_Toc22926"/>
      <w:r>
        <w:rPr>
          <w:rFonts w:hint="eastAsia" w:ascii="宋体" w:hAnsi="宋体" w:cs="宋体"/>
          <w:color w:val="auto"/>
          <w:highlight w:val="none"/>
        </w:rPr>
        <w:t>第五章 响应文件格式</w:t>
      </w:r>
      <w:bookmarkEnd w:id="49"/>
      <w:bookmarkEnd w:id="50"/>
    </w:p>
    <w:p w14:paraId="09B5390F">
      <w:pPr>
        <w:spacing w:line="240" w:lineRule="atLeast"/>
        <w:rPr>
          <w:rFonts w:ascii="宋体" w:hAnsi="宋体" w:cs="宋体"/>
          <w:b/>
          <w:color w:val="auto"/>
          <w:sz w:val="32"/>
          <w:szCs w:val="32"/>
          <w:highlight w:val="none"/>
        </w:rPr>
      </w:pPr>
    </w:p>
    <w:p w14:paraId="7B891998">
      <w:pPr>
        <w:spacing w:line="240" w:lineRule="atLeast"/>
        <w:rPr>
          <w:rFonts w:ascii="宋体" w:hAnsi="宋体" w:cs="宋体"/>
          <w:b/>
          <w:color w:val="auto"/>
          <w:sz w:val="32"/>
          <w:szCs w:val="32"/>
          <w:highlight w:val="none"/>
        </w:rPr>
      </w:pPr>
    </w:p>
    <w:p w14:paraId="078F14D1">
      <w:pPr>
        <w:spacing w:line="240" w:lineRule="atLeast"/>
        <w:rPr>
          <w:rFonts w:ascii="宋体" w:hAnsi="宋体" w:cs="宋体"/>
          <w:b/>
          <w:color w:val="auto"/>
          <w:sz w:val="32"/>
          <w:szCs w:val="32"/>
          <w:highlight w:val="none"/>
        </w:rPr>
      </w:pPr>
    </w:p>
    <w:p w14:paraId="7DB6191C">
      <w:pPr>
        <w:spacing w:line="240" w:lineRule="atLeast"/>
        <w:rPr>
          <w:rFonts w:ascii="宋体" w:hAnsi="宋体" w:cs="宋体"/>
          <w:b/>
          <w:color w:val="auto"/>
          <w:sz w:val="32"/>
          <w:szCs w:val="32"/>
          <w:highlight w:val="none"/>
        </w:rPr>
      </w:pPr>
    </w:p>
    <w:p w14:paraId="2041905C">
      <w:pPr>
        <w:spacing w:line="240" w:lineRule="atLeast"/>
        <w:rPr>
          <w:rFonts w:ascii="宋体" w:hAnsi="宋体" w:cs="宋体"/>
          <w:b/>
          <w:color w:val="auto"/>
          <w:sz w:val="32"/>
          <w:szCs w:val="32"/>
          <w:highlight w:val="none"/>
        </w:rPr>
      </w:pPr>
    </w:p>
    <w:p w14:paraId="733A72C0">
      <w:pPr>
        <w:spacing w:line="240" w:lineRule="atLeast"/>
        <w:rPr>
          <w:rFonts w:ascii="宋体" w:hAnsi="宋体" w:cs="宋体"/>
          <w:b/>
          <w:color w:val="auto"/>
          <w:sz w:val="32"/>
          <w:szCs w:val="32"/>
          <w:highlight w:val="none"/>
        </w:rPr>
      </w:pPr>
    </w:p>
    <w:p w14:paraId="737B46CB">
      <w:pPr>
        <w:spacing w:line="240" w:lineRule="atLeast"/>
        <w:rPr>
          <w:rFonts w:ascii="宋体" w:hAnsi="宋体" w:cs="宋体"/>
          <w:b/>
          <w:color w:val="auto"/>
          <w:sz w:val="32"/>
          <w:szCs w:val="32"/>
          <w:highlight w:val="none"/>
        </w:rPr>
      </w:pPr>
    </w:p>
    <w:p w14:paraId="24E072A8">
      <w:pPr>
        <w:spacing w:line="240" w:lineRule="atLeast"/>
        <w:rPr>
          <w:rFonts w:ascii="宋体" w:hAnsi="宋体" w:cs="宋体"/>
          <w:b/>
          <w:color w:val="auto"/>
          <w:sz w:val="32"/>
          <w:szCs w:val="32"/>
          <w:highlight w:val="none"/>
        </w:rPr>
      </w:pPr>
    </w:p>
    <w:p w14:paraId="44F53710">
      <w:pPr>
        <w:spacing w:line="240" w:lineRule="atLeast"/>
        <w:rPr>
          <w:rFonts w:ascii="宋体" w:hAnsi="宋体" w:cs="宋体"/>
          <w:b/>
          <w:color w:val="auto"/>
          <w:sz w:val="32"/>
          <w:szCs w:val="32"/>
          <w:highlight w:val="none"/>
        </w:rPr>
      </w:pPr>
    </w:p>
    <w:p w14:paraId="7A2297E0">
      <w:pPr>
        <w:spacing w:line="240" w:lineRule="atLeast"/>
        <w:rPr>
          <w:rFonts w:ascii="宋体" w:hAnsi="宋体" w:cs="宋体"/>
          <w:bCs/>
          <w:color w:val="auto"/>
          <w:sz w:val="32"/>
          <w:szCs w:val="32"/>
          <w:highlight w:val="none"/>
        </w:rPr>
      </w:pPr>
    </w:p>
    <w:p w14:paraId="18BA1257">
      <w:pPr>
        <w:rPr>
          <w:rFonts w:ascii="宋体" w:hAnsi="宋体" w:cs="宋体"/>
          <w:b/>
          <w:color w:val="auto"/>
          <w:sz w:val="32"/>
          <w:szCs w:val="32"/>
          <w:highlight w:val="none"/>
        </w:rPr>
      </w:pPr>
      <w:bookmarkStart w:id="51" w:name="_Toc44229899"/>
      <w:bookmarkStart w:id="52" w:name="_Toc71365925"/>
      <w:bookmarkStart w:id="53" w:name="_Toc31723070"/>
      <w:bookmarkStart w:id="54" w:name="_Toc35611516"/>
      <w:bookmarkStart w:id="55" w:name="_Toc31728084"/>
      <w:bookmarkStart w:id="56" w:name="_Toc35611438"/>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一、资格证明文件格式</w:t>
      </w:r>
      <w:bookmarkEnd w:id="51"/>
      <w:bookmarkEnd w:id="52"/>
      <w:bookmarkEnd w:id="53"/>
      <w:bookmarkEnd w:id="54"/>
      <w:bookmarkEnd w:id="55"/>
      <w:bookmarkEnd w:id="56"/>
    </w:p>
    <w:p w14:paraId="298A1EAD">
      <w:pPr>
        <w:snapToGrid w:val="0"/>
        <w:spacing w:before="156" w:beforeLines="50" w:after="50" w:line="360" w:lineRule="auto"/>
        <w:jc w:val="left"/>
        <w:rPr>
          <w:rFonts w:ascii="宋体" w:hAnsi="宋体" w:cs="宋体"/>
          <w:b/>
          <w:color w:val="auto"/>
          <w:sz w:val="24"/>
          <w:highlight w:val="none"/>
        </w:rPr>
      </w:pPr>
      <w:r>
        <w:rPr>
          <w:rFonts w:hint="eastAsia" w:ascii="宋体" w:hAnsi="宋体" w:cs="宋体"/>
          <w:b/>
          <w:color w:val="auto"/>
          <w:sz w:val="32"/>
          <w:szCs w:val="32"/>
          <w:highlight w:val="none"/>
        </w:rPr>
        <w:t>1.资格证明文件封面格式：</w:t>
      </w:r>
      <w:r>
        <w:rPr>
          <w:rFonts w:hint="eastAsia" w:ascii="宋体" w:hAnsi="宋体" w:cs="宋体"/>
          <w:b/>
          <w:color w:val="auto"/>
          <w:sz w:val="24"/>
          <w:highlight w:val="none"/>
        </w:rPr>
        <w:t xml:space="preserve"> </w:t>
      </w:r>
    </w:p>
    <w:p w14:paraId="50DECDB3">
      <w:pPr>
        <w:snapToGrid w:val="0"/>
        <w:spacing w:before="156"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071A8CF2">
      <w:pPr>
        <w:snapToGrid w:val="0"/>
        <w:spacing w:before="156" w:beforeLines="50" w:after="50"/>
        <w:rPr>
          <w:rFonts w:ascii="宋体" w:hAnsi="宋体" w:cs="宋体"/>
          <w:color w:val="auto"/>
          <w:sz w:val="24"/>
          <w:szCs w:val="20"/>
          <w:highlight w:val="none"/>
        </w:rPr>
      </w:pPr>
    </w:p>
    <w:p w14:paraId="44763D7E">
      <w:pPr>
        <w:snapToGrid w:val="0"/>
        <w:spacing w:before="156" w:beforeLines="50" w:after="50"/>
        <w:jc w:val="center"/>
        <w:rPr>
          <w:rFonts w:ascii="宋体" w:hAnsi="宋体" w:cs="宋体"/>
          <w:bCs/>
          <w:color w:val="auto"/>
          <w:sz w:val="84"/>
          <w:szCs w:val="84"/>
          <w:highlight w:val="none"/>
        </w:rPr>
      </w:pPr>
      <w:r>
        <w:rPr>
          <w:rFonts w:hint="eastAsia" w:ascii="宋体" w:hAnsi="宋体" w:cs="宋体"/>
          <w:bCs/>
          <w:color w:val="auto"/>
          <w:sz w:val="84"/>
          <w:szCs w:val="84"/>
          <w:highlight w:val="none"/>
        </w:rPr>
        <w:t>响  应  文  件</w:t>
      </w:r>
    </w:p>
    <w:p w14:paraId="37EB8D35">
      <w:pPr>
        <w:snapToGrid w:val="0"/>
        <w:spacing w:before="156" w:beforeLines="50" w:after="50"/>
        <w:jc w:val="center"/>
        <w:rPr>
          <w:rFonts w:ascii="宋体" w:hAnsi="宋体" w:cs="宋体"/>
          <w:bCs/>
          <w:color w:val="auto"/>
          <w:sz w:val="44"/>
          <w:szCs w:val="44"/>
          <w:highlight w:val="none"/>
        </w:rPr>
      </w:pPr>
    </w:p>
    <w:p w14:paraId="646C7D17">
      <w:pPr>
        <w:snapToGrid w:val="0"/>
        <w:spacing w:before="156" w:beforeLines="50" w:after="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资  格  证  明  文  件</w:t>
      </w:r>
    </w:p>
    <w:p w14:paraId="0BD6AEF0">
      <w:pPr>
        <w:snapToGrid w:val="0"/>
        <w:spacing w:before="156" w:beforeLines="50" w:after="50"/>
        <w:rPr>
          <w:rFonts w:ascii="宋体" w:hAnsi="宋体" w:cs="宋体"/>
          <w:bCs/>
          <w:color w:val="auto"/>
          <w:sz w:val="24"/>
          <w:szCs w:val="20"/>
          <w:highlight w:val="none"/>
        </w:rPr>
      </w:pPr>
    </w:p>
    <w:p w14:paraId="3F0D82DE">
      <w:pPr>
        <w:snapToGrid w:val="0"/>
        <w:spacing w:before="156" w:beforeLines="50" w:after="50"/>
        <w:rPr>
          <w:rFonts w:ascii="宋体" w:hAnsi="宋体" w:cs="宋体"/>
          <w:bCs/>
          <w:color w:val="auto"/>
          <w:sz w:val="24"/>
          <w:szCs w:val="20"/>
          <w:highlight w:val="none"/>
        </w:rPr>
      </w:pPr>
    </w:p>
    <w:p w14:paraId="512F1A0D">
      <w:pPr>
        <w:snapToGrid w:val="0"/>
        <w:spacing w:before="156" w:beforeLines="50" w:after="50"/>
        <w:rPr>
          <w:rFonts w:ascii="宋体" w:hAnsi="宋体" w:cs="宋体"/>
          <w:bCs/>
          <w:color w:val="auto"/>
          <w:sz w:val="24"/>
          <w:szCs w:val="20"/>
          <w:highlight w:val="none"/>
        </w:rPr>
      </w:pPr>
    </w:p>
    <w:p w14:paraId="38E01FA5">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6B60220F">
      <w:pPr>
        <w:snapToGrid w:val="0"/>
        <w:spacing w:before="156" w:beforeLines="50" w:after="50"/>
        <w:ind w:firstLine="720" w:firstLineChars="225"/>
        <w:rPr>
          <w:rFonts w:ascii="宋体" w:hAnsi="宋体" w:cs="宋体"/>
          <w:bCs/>
          <w:color w:val="auto"/>
          <w:sz w:val="32"/>
          <w:szCs w:val="32"/>
          <w:highlight w:val="none"/>
        </w:rPr>
      </w:pPr>
    </w:p>
    <w:p w14:paraId="50CA809E">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68971DF3">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09AD7A1F">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w:t>
      </w:r>
    </w:p>
    <w:p w14:paraId="5EF0010C">
      <w:pPr>
        <w:snapToGrid w:val="0"/>
        <w:spacing w:before="156" w:beforeLines="50" w:after="50"/>
        <w:ind w:firstLine="720" w:firstLineChars="225"/>
        <w:rPr>
          <w:rFonts w:ascii="宋体" w:hAnsi="宋体" w:cs="宋体"/>
          <w:bCs/>
          <w:color w:val="auto"/>
          <w:sz w:val="32"/>
          <w:szCs w:val="32"/>
          <w:highlight w:val="none"/>
        </w:rPr>
      </w:pPr>
    </w:p>
    <w:p w14:paraId="1BCC88A5">
      <w:pPr>
        <w:pStyle w:val="7"/>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610A6F36">
      <w:pPr>
        <w:pStyle w:val="7"/>
        <w:snapToGrid w:val="0"/>
        <w:spacing w:before="50" w:after="50"/>
        <w:ind w:firstLine="720" w:firstLineChars="225"/>
        <w:rPr>
          <w:rFonts w:ascii="宋体" w:hAnsi="宋体" w:cs="宋体"/>
          <w:bCs/>
          <w:color w:val="auto"/>
          <w:sz w:val="32"/>
          <w:szCs w:val="32"/>
          <w:highlight w:val="none"/>
        </w:rPr>
      </w:pPr>
    </w:p>
    <w:p w14:paraId="358F9569">
      <w:pPr>
        <w:pStyle w:val="7"/>
        <w:snapToGrid w:val="0"/>
        <w:spacing w:before="50" w:after="50"/>
        <w:ind w:firstLine="720" w:firstLineChars="225"/>
        <w:rPr>
          <w:rFonts w:ascii="宋体" w:hAnsi="宋体" w:cs="宋体"/>
          <w:bCs/>
          <w:color w:val="auto"/>
          <w:sz w:val="32"/>
          <w:szCs w:val="32"/>
          <w:highlight w:val="none"/>
        </w:rPr>
      </w:pPr>
    </w:p>
    <w:p w14:paraId="1B8BB28C">
      <w:pPr>
        <w:pStyle w:val="7"/>
        <w:snapToGrid w:val="0"/>
        <w:spacing w:before="50" w:after="50"/>
        <w:ind w:firstLine="1280" w:firstLineChars="400"/>
        <w:rPr>
          <w:rFonts w:ascii="宋体" w:hAnsi="宋体" w:cs="宋体"/>
          <w:bCs/>
          <w:color w:val="auto"/>
          <w:sz w:val="32"/>
          <w:szCs w:val="32"/>
          <w:highlight w:val="none"/>
        </w:rPr>
      </w:pPr>
    </w:p>
    <w:p w14:paraId="43B6F52A">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7CE7F8AC">
      <w:pPr>
        <w:snapToGrid w:val="0"/>
        <w:spacing w:before="156" w:beforeLines="50" w:after="50" w:line="360" w:lineRule="auto"/>
        <w:ind w:left="142"/>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14:paraId="623EF570">
      <w:pPr>
        <w:snapToGrid w:val="0"/>
        <w:spacing w:before="156" w:beforeLines="50" w:after="50" w:line="360" w:lineRule="auto"/>
        <w:ind w:firstLine="645"/>
        <w:rPr>
          <w:rFonts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3E33FEEE">
      <w:pPr>
        <w:snapToGrid w:val="0"/>
        <w:spacing w:before="156"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49ADED5D">
      <w:pPr>
        <w:spacing w:line="300" w:lineRule="auto"/>
        <w:rPr>
          <w:rFonts w:ascii="宋体" w:hAnsi="宋体" w:cs="宋体"/>
          <w:color w:val="auto"/>
          <w:szCs w:val="21"/>
          <w:highlight w:val="none"/>
        </w:rPr>
      </w:pPr>
    </w:p>
    <w:p w14:paraId="7EE84CC2">
      <w:pPr>
        <w:spacing w:line="300" w:lineRule="auto"/>
        <w:rPr>
          <w:rFonts w:ascii="宋体" w:hAnsi="宋体" w:cs="宋体"/>
          <w:color w:val="auto"/>
          <w:szCs w:val="21"/>
          <w:highlight w:val="none"/>
        </w:rPr>
      </w:pPr>
    </w:p>
    <w:p w14:paraId="75E6F32E">
      <w:pPr>
        <w:spacing w:line="300" w:lineRule="auto"/>
        <w:rPr>
          <w:rFonts w:ascii="宋体" w:hAnsi="宋体" w:cs="宋体"/>
          <w:color w:val="auto"/>
          <w:szCs w:val="21"/>
          <w:highlight w:val="none"/>
        </w:rPr>
      </w:pPr>
    </w:p>
    <w:p w14:paraId="474CC045">
      <w:pPr>
        <w:spacing w:line="300" w:lineRule="auto"/>
        <w:rPr>
          <w:rFonts w:ascii="宋体" w:hAnsi="宋体" w:cs="宋体"/>
          <w:color w:val="auto"/>
          <w:szCs w:val="21"/>
          <w:highlight w:val="none"/>
        </w:rPr>
      </w:pPr>
    </w:p>
    <w:p w14:paraId="18E49A17">
      <w:pPr>
        <w:spacing w:line="300" w:lineRule="auto"/>
        <w:rPr>
          <w:rFonts w:ascii="宋体" w:hAnsi="宋体" w:cs="宋体"/>
          <w:color w:val="auto"/>
          <w:szCs w:val="21"/>
          <w:highlight w:val="none"/>
        </w:rPr>
      </w:pPr>
    </w:p>
    <w:p w14:paraId="1F69A8C9">
      <w:pPr>
        <w:spacing w:line="300" w:lineRule="auto"/>
        <w:rPr>
          <w:rFonts w:ascii="宋体" w:hAnsi="宋体" w:cs="宋体"/>
          <w:color w:val="auto"/>
          <w:szCs w:val="21"/>
          <w:highlight w:val="none"/>
        </w:rPr>
      </w:pPr>
    </w:p>
    <w:p w14:paraId="491E4700">
      <w:pPr>
        <w:spacing w:line="300" w:lineRule="auto"/>
        <w:rPr>
          <w:rFonts w:ascii="宋体" w:hAnsi="宋体" w:cs="宋体"/>
          <w:color w:val="auto"/>
          <w:szCs w:val="21"/>
          <w:highlight w:val="none"/>
        </w:rPr>
      </w:pPr>
    </w:p>
    <w:p w14:paraId="24075EF5">
      <w:pPr>
        <w:spacing w:line="300" w:lineRule="auto"/>
        <w:rPr>
          <w:rFonts w:ascii="宋体" w:hAnsi="宋体" w:cs="宋体"/>
          <w:color w:val="auto"/>
          <w:szCs w:val="21"/>
          <w:highlight w:val="none"/>
        </w:rPr>
      </w:pPr>
    </w:p>
    <w:p w14:paraId="13443A7D">
      <w:pPr>
        <w:spacing w:line="300" w:lineRule="auto"/>
        <w:rPr>
          <w:rFonts w:ascii="宋体" w:hAnsi="宋体" w:cs="宋体"/>
          <w:color w:val="auto"/>
          <w:szCs w:val="21"/>
          <w:highlight w:val="none"/>
        </w:rPr>
      </w:pPr>
    </w:p>
    <w:p w14:paraId="2F5B556B">
      <w:pPr>
        <w:spacing w:line="300" w:lineRule="auto"/>
        <w:rPr>
          <w:rFonts w:ascii="宋体" w:hAnsi="宋体" w:cs="宋体"/>
          <w:color w:val="auto"/>
          <w:szCs w:val="21"/>
          <w:highlight w:val="none"/>
        </w:rPr>
      </w:pPr>
    </w:p>
    <w:p w14:paraId="5362F260">
      <w:pPr>
        <w:spacing w:line="300" w:lineRule="auto"/>
        <w:rPr>
          <w:rFonts w:ascii="宋体" w:hAnsi="宋体" w:cs="宋体"/>
          <w:color w:val="auto"/>
          <w:szCs w:val="21"/>
          <w:highlight w:val="none"/>
        </w:rPr>
      </w:pPr>
    </w:p>
    <w:p w14:paraId="77F421B7">
      <w:pPr>
        <w:spacing w:line="300" w:lineRule="auto"/>
        <w:rPr>
          <w:rFonts w:ascii="宋体" w:hAnsi="宋体" w:cs="宋体"/>
          <w:color w:val="auto"/>
          <w:szCs w:val="21"/>
          <w:highlight w:val="none"/>
        </w:rPr>
      </w:pPr>
    </w:p>
    <w:p w14:paraId="40E158B3">
      <w:pPr>
        <w:spacing w:line="300" w:lineRule="auto"/>
        <w:rPr>
          <w:rFonts w:ascii="宋体" w:hAnsi="宋体" w:cs="宋体"/>
          <w:color w:val="auto"/>
          <w:szCs w:val="21"/>
          <w:highlight w:val="none"/>
        </w:rPr>
      </w:pPr>
    </w:p>
    <w:p w14:paraId="40250FAC">
      <w:pPr>
        <w:spacing w:line="300" w:lineRule="auto"/>
        <w:rPr>
          <w:rFonts w:ascii="宋体" w:hAnsi="宋体" w:cs="宋体"/>
          <w:color w:val="auto"/>
          <w:szCs w:val="21"/>
          <w:highlight w:val="none"/>
        </w:rPr>
      </w:pPr>
    </w:p>
    <w:p w14:paraId="4CB50BE5">
      <w:pPr>
        <w:spacing w:line="300" w:lineRule="auto"/>
        <w:rPr>
          <w:rFonts w:ascii="宋体" w:hAnsi="宋体" w:cs="宋体"/>
          <w:color w:val="auto"/>
          <w:szCs w:val="21"/>
          <w:highlight w:val="none"/>
        </w:rPr>
      </w:pPr>
    </w:p>
    <w:p w14:paraId="01A45723">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 xml:space="preserve"> </w:t>
      </w:r>
    </w:p>
    <w:p w14:paraId="522E08C3">
      <w:pPr>
        <w:wordWrap w:val="0"/>
        <w:spacing w:before="156" w:beforeLines="50" w:after="50" w:line="320" w:lineRule="exact"/>
        <w:ind w:right="482" w:firstLine="210" w:firstLineChars="100"/>
        <w:contextualSpacing/>
        <w:jc w:val="center"/>
        <w:rPr>
          <w:rFonts w:ascii="宋体" w:hAnsi="宋体" w:cs="宋体"/>
          <w:color w:val="auto"/>
          <w:szCs w:val="21"/>
          <w:highlight w:val="none"/>
        </w:rPr>
      </w:pPr>
    </w:p>
    <w:p w14:paraId="18910155">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14:paraId="1107CF50">
      <w:pPr>
        <w:snapToGrid w:val="0"/>
        <w:spacing w:before="156" w:beforeLines="50" w:after="50" w:line="360" w:lineRule="auto"/>
        <w:jc w:val="center"/>
        <w:rPr>
          <w:rFonts w:ascii="宋体" w:hAnsi="宋体" w:cs="宋体"/>
          <w:b/>
          <w:color w:val="auto"/>
          <w:sz w:val="24"/>
          <w:highlight w:val="none"/>
        </w:rPr>
      </w:pPr>
    </w:p>
    <w:p w14:paraId="217FE9B3">
      <w:pPr>
        <w:spacing w:line="36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供应商直接控股股东信息表</w:t>
      </w:r>
    </w:p>
    <w:p w14:paraId="62ACA9CB">
      <w:pPr>
        <w:spacing w:line="360" w:lineRule="auto"/>
        <w:contextualSpacing/>
        <w:jc w:val="center"/>
        <w:rPr>
          <w:rFonts w:ascii="宋体" w:hAnsi="宋体" w:cs="宋体"/>
          <w:b/>
          <w:color w:val="auto"/>
          <w:sz w:val="24"/>
          <w:highlight w:val="none"/>
        </w:rPr>
      </w:pPr>
    </w:p>
    <w:tbl>
      <w:tblPr>
        <w:tblStyle w:val="32"/>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AADC36B">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7E1F9F">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47422B">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3A8616">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1A9FBE">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8A2B72">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E64C81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FC6B2B">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220EDC">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E90BF4">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5112CF">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37E71C">
            <w:pPr>
              <w:widowControl/>
              <w:spacing w:line="360" w:lineRule="auto"/>
              <w:contextualSpacing/>
              <w:jc w:val="center"/>
              <w:rPr>
                <w:rFonts w:ascii="宋体" w:hAnsi="宋体" w:cs="宋体"/>
                <w:color w:val="auto"/>
                <w:kern w:val="0"/>
                <w:sz w:val="24"/>
                <w:highlight w:val="none"/>
              </w:rPr>
            </w:pPr>
          </w:p>
        </w:tc>
      </w:tr>
      <w:tr w14:paraId="0F4451B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467B5C">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927ABF">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6897DB">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D10737">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E2D838">
            <w:pPr>
              <w:widowControl/>
              <w:spacing w:line="360" w:lineRule="auto"/>
              <w:contextualSpacing/>
              <w:jc w:val="center"/>
              <w:rPr>
                <w:rFonts w:ascii="宋体" w:hAnsi="宋体" w:cs="宋体"/>
                <w:color w:val="auto"/>
                <w:kern w:val="0"/>
                <w:sz w:val="24"/>
                <w:highlight w:val="none"/>
              </w:rPr>
            </w:pPr>
          </w:p>
        </w:tc>
      </w:tr>
      <w:tr w14:paraId="61F1929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8C2D8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45A207">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AB26E4">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22B99B">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0706A1">
            <w:pPr>
              <w:widowControl/>
              <w:spacing w:line="360" w:lineRule="auto"/>
              <w:contextualSpacing/>
              <w:jc w:val="center"/>
              <w:rPr>
                <w:rFonts w:ascii="宋体" w:hAnsi="宋体" w:cs="宋体"/>
                <w:color w:val="auto"/>
                <w:kern w:val="0"/>
                <w:sz w:val="24"/>
                <w:highlight w:val="none"/>
              </w:rPr>
            </w:pPr>
          </w:p>
        </w:tc>
      </w:tr>
      <w:tr w14:paraId="43FE57D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4B4AEF">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ED6BF2">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777AAE">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1E10BE">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E3EDCC">
            <w:pPr>
              <w:widowControl/>
              <w:spacing w:line="360" w:lineRule="auto"/>
              <w:contextualSpacing/>
              <w:jc w:val="center"/>
              <w:rPr>
                <w:rFonts w:ascii="宋体" w:hAnsi="宋体" w:cs="宋体"/>
                <w:color w:val="auto"/>
                <w:kern w:val="0"/>
                <w:sz w:val="24"/>
                <w:highlight w:val="none"/>
              </w:rPr>
            </w:pPr>
          </w:p>
        </w:tc>
      </w:tr>
    </w:tbl>
    <w:p w14:paraId="6C89C70E">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65796450">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04AE9C5">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2B3F98A">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5B867030">
      <w:pPr>
        <w:snapToGrid w:val="0"/>
        <w:spacing w:line="360" w:lineRule="auto"/>
        <w:jc w:val="left"/>
        <w:rPr>
          <w:rFonts w:ascii="宋体" w:hAnsi="宋体" w:cs="宋体"/>
          <w:color w:val="auto"/>
          <w:sz w:val="24"/>
          <w:highlight w:val="none"/>
        </w:rPr>
      </w:pPr>
    </w:p>
    <w:p w14:paraId="2D191DFF">
      <w:pPr>
        <w:snapToGrid w:val="0"/>
        <w:spacing w:line="360" w:lineRule="auto"/>
        <w:jc w:val="left"/>
        <w:rPr>
          <w:rFonts w:ascii="宋体" w:hAnsi="宋体" w:cs="宋体"/>
          <w:color w:val="auto"/>
          <w:sz w:val="24"/>
          <w:highlight w:val="none"/>
        </w:rPr>
      </w:pPr>
    </w:p>
    <w:p w14:paraId="23EA9AFE">
      <w:pPr>
        <w:snapToGrid w:val="0"/>
        <w:spacing w:line="360" w:lineRule="auto"/>
        <w:jc w:val="left"/>
        <w:rPr>
          <w:rFonts w:ascii="宋体" w:hAnsi="宋体" w:cs="宋体"/>
          <w:color w:val="auto"/>
          <w:sz w:val="24"/>
          <w:highlight w:val="none"/>
        </w:rPr>
      </w:pPr>
    </w:p>
    <w:p w14:paraId="41478A02">
      <w:pPr>
        <w:snapToGrid w:val="0"/>
        <w:spacing w:before="156" w:beforeLines="50" w:line="360" w:lineRule="auto"/>
        <w:ind w:right="480" w:firstLine="3480" w:firstLineChars="1450"/>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2EEBD284">
      <w:pPr>
        <w:snapToGrid w:val="0"/>
        <w:spacing w:before="156" w:beforeLines="50" w:after="50" w:line="360" w:lineRule="auto"/>
        <w:ind w:right="480" w:firstLine="3480" w:firstLineChars="1450"/>
        <w:rPr>
          <w:rFonts w:ascii="宋体" w:hAnsi="宋体" w:cs="宋体"/>
          <w:color w:val="auto"/>
          <w:sz w:val="24"/>
          <w:highlight w:val="none"/>
          <w:u w:val="single"/>
        </w:rPr>
      </w:pPr>
      <w:r>
        <w:rPr>
          <w:rFonts w:hint="eastAsia" w:ascii="宋体" w:hAnsi="宋体" w:cs="宋体"/>
          <w:color w:val="auto"/>
          <w:sz w:val="24"/>
          <w:highlight w:val="none"/>
        </w:rPr>
        <w:t>供应商（盖公章 ）：</w:t>
      </w:r>
      <w:r>
        <w:rPr>
          <w:rFonts w:hint="eastAsia" w:ascii="宋体" w:hAnsi="宋体" w:cs="宋体"/>
          <w:color w:val="auto"/>
          <w:sz w:val="24"/>
          <w:highlight w:val="none"/>
          <w:u w:val="single"/>
        </w:rPr>
        <w:t xml:space="preserve">                           </w:t>
      </w:r>
    </w:p>
    <w:p w14:paraId="4656F5FB">
      <w:pPr>
        <w:snapToGrid w:val="0"/>
        <w:spacing w:before="156" w:beforeLines="50" w:after="50" w:line="360" w:lineRule="auto"/>
        <w:ind w:right="480" w:firstLine="5280" w:firstLineChars="2200"/>
        <w:rPr>
          <w:rFonts w:ascii="宋体" w:hAnsi="宋体" w:cs="宋体"/>
          <w:color w:val="auto"/>
          <w:sz w:val="28"/>
          <w:szCs w:val="28"/>
          <w:highlight w:val="none"/>
        </w:rPr>
      </w:pPr>
      <w:r>
        <w:rPr>
          <w:rFonts w:hint="eastAsia" w:ascii="宋体" w:hAnsi="宋体" w:cs="宋体"/>
          <w:color w:val="auto"/>
          <w:sz w:val="24"/>
          <w:highlight w:val="none"/>
        </w:rPr>
        <w:t>年    月    日</w:t>
      </w:r>
    </w:p>
    <w:p w14:paraId="16DEF71B">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75530312">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76D6E71E">
      <w:pPr>
        <w:snapToGrid w:val="0"/>
        <w:spacing w:line="360" w:lineRule="auto"/>
        <w:jc w:val="center"/>
        <w:rPr>
          <w:rFonts w:ascii="宋体" w:hAnsi="宋体" w:cs="宋体"/>
          <w:b/>
          <w:color w:val="auto"/>
          <w:sz w:val="24"/>
          <w:highlight w:val="none"/>
        </w:rPr>
      </w:pPr>
    </w:p>
    <w:tbl>
      <w:tblPr>
        <w:tblStyle w:val="3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457741D">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74134E">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D0C00D">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673A86">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06CB88">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49FD46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7F3434">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EF7D1B">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DA92DB">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B5AF10">
            <w:pPr>
              <w:widowControl/>
              <w:spacing w:line="360" w:lineRule="auto"/>
              <w:contextualSpacing/>
              <w:jc w:val="center"/>
              <w:rPr>
                <w:rFonts w:ascii="宋体" w:hAnsi="宋体" w:cs="宋体"/>
                <w:color w:val="auto"/>
                <w:kern w:val="0"/>
                <w:sz w:val="24"/>
                <w:highlight w:val="none"/>
              </w:rPr>
            </w:pPr>
          </w:p>
        </w:tc>
      </w:tr>
      <w:tr w14:paraId="3757A13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9BB3B2">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EB27D1">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05C660">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3F36BF">
            <w:pPr>
              <w:widowControl/>
              <w:spacing w:line="360" w:lineRule="auto"/>
              <w:contextualSpacing/>
              <w:jc w:val="center"/>
              <w:rPr>
                <w:rFonts w:ascii="宋体" w:hAnsi="宋体" w:cs="宋体"/>
                <w:color w:val="auto"/>
                <w:kern w:val="0"/>
                <w:sz w:val="24"/>
                <w:highlight w:val="none"/>
              </w:rPr>
            </w:pPr>
          </w:p>
        </w:tc>
      </w:tr>
      <w:tr w14:paraId="1B543F7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C783A9">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ED8DC6">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6D4003">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2539C7">
            <w:pPr>
              <w:widowControl/>
              <w:spacing w:line="360" w:lineRule="auto"/>
              <w:contextualSpacing/>
              <w:jc w:val="center"/>
              <w:rPr>
                <w:rFonts w:ascii="宋体" w:hAnsi="宋体" w:cs="宋体"/>
                <w:color w:val="auto"/>
                <w:kern w:val="0"/>
                <w:sz w:val="24"/>
                <w:highlight w:val="none"/>
              </w:rPr>
            </w:pPr>
          </w:p>
        </w:tc>
      </w:tr>
      <w:tr w14:paraId="46BC113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83CA1A">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1337DE">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C421EB">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38777B">
            <w:pPr>
              <w:widowControl/>
              <w:spacing w:line="360" w:lineRule="auto"/>
              <w:contextualSpacing/>
              <w:jc w:val="center"/>
              <w:rPr>
                <w:rFonts w:ascii="宋体" w:hAnsi="宋体" w:cs="宋体"/>
                <w:color w:val="auto"/>
                <w:kern w:val="0"/>
                <w:sz w:val="24"/>
                <w:highlight w:val="none"/>
              </w:rPr>
            </w:pPr>
          </w:p>
        </w:tc>
      </w:tr>
    </w:tbl>
    <w:p w14:paraId="4559D7D8">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23CF28AC">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0DF15146">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13A6F58F">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5227B075">
      <w:pPr>
        <w:spacing w:line="360" w:lineRule="auto"/>
        <w:contextualSpacing/>
        <w:jc w:val="left"/>
        <w:rPr>
          <w:rFonts w:ascii="宋体" w:hAnsi="宋体" w:cs="宋体"/>
          <w:color w:val="auto"/>
          <w:sz w:val="24"/>
          <w:highlight w:val="none"/>
        </w:rPr>
      </w:pPr>
    </w:p>
    <w:p w14:paraId="70227056">
      <w:pPr>
        <w:spacing w:line="360" w:lineRule="auto"/>
        <w:contextualSpacing/>
        <w:jc w:val="left"/>
        <w:rPr>
          <w:rFonts w:ascii="宋体" w:hAnsi="宋体" w:cs="宋体"/>
          <w:color w:val="auto"/>
          <w:sz w:val="24"/>
          <w:highlight w:val="none"/>
        </w:rPr>
      </w:pPr>
    </w:p>
    <w:p w14:paraId="6AC4A424">
      <w:pPr>
        <w:spacing w:line="360" w:lineRule="auto"/>
        <w:contextualSpacing/>
        <w:jc w:val="left"/>
        <w:rPr>
          <w:rFonts w:ascii="宋体" w:hAnsi="宋体" w:cs="宋体"/>
          <w:color w:val="auto"/>
          <w:sz w:val="24"/>
          <w:highlight w:val="none"/>
        </w:rPr>
      </w:pPr>
    </w:p>
    <w:p w14:paraId="6B3764F2">
      <w:pPr>
        <w:spacing w:line="360" w:lineRule="auto"/>
        <w:contextualSpacing/>
        <w:jc w:val="left"/>
        <w:rPr>
          <w:rFonts w:ascii="宋体" w:hAnsi="宋体" w:cs="宋体"/>
          <w:color w:val="auto"/>
          <w:sz w:val="24"/>
          <w:highlight w:val="none"/>
        </w:rPr>
      </w:pPr>
    </w:p>
    <w:p w14:paraId="5EF85AAA">
      <w:pPr>
        <w:spacing w:line="360" w:lineRule="auto"/>
        <w:contextualSpacing/>
        <w:jc w:val="left"/>
        <w:rPr>
          <w:rFonts w:ascii="宋体" w:hAnsi="宋体" w:cs="宋体"/>
          <w:color w:val="auto"/>
          <w:sz w:val="24"/>
          <w:highlight w:val="none"/>
        </w:rPr>
      </w:pPr>
    </w:p>
    <w:p w14:paraId="00C281ED">
      <w:pPr>
        <w:spacing w:line="360" w:lineRule="auto"/>
        <w:contextualSpacing/>
        <w:jc w:val="left"/>
        <w:rPr>
          <w:rFonts w:ascii="宋体" w:hAnsi="宋体" w:cs="宋体"/>
          <w:color w:val="auto"/>
          <w:sz w:val="24"/>
          <w:highlight w:val="none"/>
        </w:rPr>
      </w:pPr>
    </w:p>
    <w:p w14:paraId="37D7C5CB">
      <w:pPr>
        <w:spacing w:line="360" w:lineRule="auto"/>
        <w:ind w:right="480" w:firstLine="3360" w:firstLineChars="1400"/>
        <w:contextualSpacing/>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7C82D8C9">
      <w:pPr>
        <w:spacing w:line="360" w:lineRule="auto"/>
        <w:ind w:right="480" w:firstLine="3360" w:firstLineChars="1400"/>
        <w:contextualSpacing/>
        <w:rPr>
          <w:rFonts w:ascii="宋体" w:hAnsi="宋体" w:cs="宋体"/>
          <w:color w:val="auto"/>
          <w:sz w:val="24"/>
          <w:highlight w:val="none"/>
        </w:rPr>
      </w:pPr>
      <w:r>
        <w:rPr>
          <w:rFonts w:hint="eastAsia" w:ascii="宋体" w:hAnsi="宋体" w:cs="宋体"/>
          <w:color w:val="auto"/>
          <w:sz w:val="24"/>
          <w:highlight w:val="none"/>
        </w:rPr>
        <w:t>供应商（盖公章）：</w:t>
      </w:r>
      <w:r>
        <w:rPr>
          <w:rFonts w:hint="eastAsia" w:ascii="宋体" w:hAnsi="宋体" w:cs="宋体"/>
          <w:color w:val="auto"/>
          <w:sz w:val="24"/>
          <w:highlight w:val="none"/>
          <w:u w:val="single"/>
        </w:rPr>
        <w:t xml:space="preserve">                </w:t>
      </w:r>
    </w:p>
    <w:p w14:paraId="64084A8C">
      <w:pPr>
        <w:spacing w:line="360" w:lineRule="auto"/>
        <w:ind w:right="480" w:firstLine="240" w:firstLineChars="100"/>
        <w:contextualSpacing/>
        <w:jc w:val="center"/>
        <w:rPr>
          <w:rFonts w:ascii="宋体" w:hAnsi="宋体" w:cs="宋体"/>
          <w:color w:val="auto"/>
          <w:sz w:val="28"/>
          <w:szCs w:val="28"/>
          <w:highlight w:val="none"/>
        </w:rPr>
      </w:pPr>
      <w:r>
        <w:rPr>
          <w:rFonts w:hint="eastAsia" w:ascii="宋体" w:hAnsi="宋体" w:cs="宋体"/>
          <w:color w:val="auto"/>
          <w:sz w:val="24"/>
          <w:highlight w:val="none"/>
        </w:rPr>
        <w:t xml:space="preserve">                                        年    月    日</w:t>
      </w:r>
    </w:p>
    <w:p w14:paraId="4E3C8966">
      <w:pPr>
        <w:spacing w:line="320" w:lineRule="exact"/>
        <w:jc w:val="center"/>
        <w:rPr>
          <w:rFonts w:ascii="宋体" w:hAnsi="宋体" w:cs="宋体"/>
          <w:b/>
          <w:color w:val="auto"/>
          <w:sz w:val="32"/>
          <w:szCs w:val="32"/>
          <w:highlight w:val="none"/>
        </w:rPr>
      </w:pPr>
      <w:r>
        <w:rPr>
          <w:rFonts w:hint="eastAsia" w:ascii="宋体" w:hAnsi="宋体" w:cs="宋体"/>
          <w:color w:val="auto"/>
          <w:sz w:val="28"/>
          <w:szCs w:val="28"/>
          <w:highlight w:val="none"/>
        </w:rPr>
        <w:br w:type="page"/>
      </w:r>
      <w:r>
        <w:rPr>
          <w:rFonts w:hint="eastAsia" w:ascii="宋体" w:hAnsi="宋体" w:cs="宋体"/>
          <w:b/>
          <w:color w:val="auto"/>
          <w:sz w:val="32"/>
          <w:szCs w:val="32"/>
          <w:highlight w:val="none"/>
        </w:rPr>
        <w:t>竞标声明</w:t>
      </w:r>
    </w:p>
    <w:p w14:paraId="59A427C3">
      <w:pPr>
        <w:spacing w:line="320" w:lineRule="exact"/>
        <w:jc w:val="center"/>
        <w:rPr>
          <w:rFonts w:ascii="宋体" w:hAnsi="宋体" w:cs="宋体"/>
          <w:color w:val="auto"/>
          <w:sz w:val="24"/>
          <w:szCs w:val="20"/>
          <w:highlight w:val="none"/>
        </w:rPr>
      </w:pPr>
    </w:p>
    <w:p w14:paraId="485BE9FF">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2701673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133CD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29AE640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534EEFD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14:paraId="6474058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6B62B8D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188C74B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76BD237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60F7FAF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540A975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0C94493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E82773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1A8F44E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56025D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D518E0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88F515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2798D93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51A8B9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7E6C7C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449E296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A704B22">
      <w:pPr>
        <w:pStyle w:val="20"/>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1F3AF710">
      <w:pPr>
        <w:pStyle w:val="20"/>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06669E26">
      <w:pPr>
        <w:pStyle w:val="19"/>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4B7CC4EE">
      <w:pPr>
        <w:pStyle w:val="19"/>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3D407CDB">
      <w:pPr>
        <w:pStyle w:val="19"/>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5A05D968">
      <w:pPr>
        <w:pStyle w:val="19"/>
        <w:tabs>
          <w:tab w:val="left" w:pos="939"/>
        </w:tabs>
        <w:spacing w:line="360" w:lineRule="auto"/>
        <w:ind w:left="0" w:leftChars="0" w:firstLine="480" w:firstLineChars="200"/>
        <w:rPr>
          <w:rFonts w:ascii="宋体" w:hAnsi="宋体" w:cs="宋体"/>
          <w:color w:val="auto"/>
          <w:sz w:val="24"/>
          <w:highlight w:val="none"/>
        </w:rPr>
      </w:pPr>
    </w:p>
    <w:p w14:paraId="087BD07E">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法定代表人（签字）：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4BD1591">
      <w:pPr>
        <w:spacing w:line="360" w:lineRule="auto"/>
        <w:ind w:firstLine="4320" w:firstLineChars="1800"/>
        <w:contextualSpacing/>
        <w:rPr>
          <w:rFonts w:ascii="宋体" w:hAnsi="宋体" w:cs="宋体"/>
          <w:color w:val="auto"/>
          <w:sz w:val="24"/>
          <w:highlight w:val="none"/>
          <w:u w:val="single"/>
        </w:rPr>
      </w:pPr>
      <w:r>
        <w:rPr>
          <w:rFonts w:hint="eastAsia" w:ascii="宋体" w:hAnsi="宋体" w:cs="宋体"/>
          <w:color w:val="auto"/>
          <w:sz w:val="24"/>
          <w:highlight w:val="none"/>
        </w:rPr>
        <w:t>供应商（盖公章）：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D30FBBB">
      <w:pPr>
        <w:spacing w:line="360" w:lineRule="auto"/>
        <w:ind w:right="480" w:firstLine="240" w:firstLineChars="100"/>
        <w:contextualSpacing/>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319930D9">
      <w:pPr>
        <w:snapToGrid w:val="0"/>
        <w:spacing w:before="156" w:beforeLines="50" w:after="50" w:line="360" w:lineRule="auto"/>
        <w:ind w:right="480"/>
        <w:rPr>
          <w:rFonts w:ascii="宋体" w:hAnsi="宋体" w:cs="宋体"/>
          <w:b/>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报价商务技术文件格式</w:t>
      </w:r>
    </w:p>
    <w:p w14:paraId="55F02366">
      <w:pPr>
        <w:snapToGrid w:val="0"/>
        <w:spacing w:before="156" w:beforeLines="50" w:after="50"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1.报价商务技术文件封面格式</w:t>
      </w:r>
    </w:p>
    <w:p w14:paraId="2BA3A6D8">
      <w:pPr>
        <w:snapToGrid w:val="0"/>
        <w:spacing w:before="156"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79B95805">
      <w:pPr>
        <w:snapToGrid w:val="0"/>
        <w:spacing w:before="156" w:beforeLines="50" w:after="50"/>
        <w:rPr>
          <w:rFonts w:ascii="宋体" w:hAnsi="宋体" w:cs="宋体"/>
          <w:color w:val="auto"/>
          <w:sz w:val="24"/>
          <w:szCs w:val="20"/>
          <w:highlight w:val="none"/>
        </w:rPr>
      </w:pPr>
    </w:p>
    <w:p w14:paraId="0CA48447">
      <w:pPr>
        <w:snapToGrid w:val="0"/>
        <w:spacing w:before="156" w:beforeLines="50" w:after="50"/>
        <w:jc w:val="center"/>
        <w:rPr>
          <w:rFonts w:ascii="宋体" w:hAnsi="宋体" w:cs="宋体"/>
          <w:bCs/>
          <w:color w:val="auto"/>
          <w:sz w:val="84"/>
          <w:szCs w:val="84"/>
          <w:highlight w:val="none"/>
        </w:rPr>
      </w:pPr>
      <w:r>
        <w:rPr>
          <w:rFonts w:hint="eastAsia" w:ascii="宋体" w:hAnsi="宋体" w:cs="宋体"/>
          <w:bCs/>
          <w:color w:val="auto"/>
          <w:sz w:val="84"/>
          <w:szCs w:val="84"/>
          <w:highlight w:val="none"/>
        </w:rPr>
        <w:t>响  应  文  件</w:t>
      </w:r>
    </w:p>
    <w:p w14:paraId="0B13B5DA">
      <w:pPr>
        <w:snapToGrid w:val="0"/>
        <w:spacing w:before="156" w:beforeLines="50" w:after="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报  价  商  务  技  术  文  件</w:t>
      </w:r>
    </w:p>
    <w:p w14:paraId="29135D69">
      <w:pPr>
        <w:snapToGrid w:val="0"/>
        <w:spacing w:before="156" w:beforeLines="50" w:after="50"/>
        <w:rPr>
          <w:rFonts w:ascii="宋体" w:hAnsi="宋体" w:cs="宋体"/>
          <w:bCs/>
          <w:color w:val="auto"/>
          <w:sz w:val="24"/>
          <w:szCs w:val="20"/>
          <w:highlight w:val="none"/>
        </w:rPr>
      </w:pPr>
    </w:p>
    <w:p w14:paraId="712000DA">
      <w:pPr>
        <w:snapToGrid w:val="0"/>
        <w:spacing w:before="156" w:beforeLines="50" w:after="50"/>
        <w:rPr>
          <w:rFonts w:ascii="宋体" w:hAnsi="宋体" w:cs="宋体"/>
          <w:bCs/>
          <w:color w:val="auto"/>
          <w:sz w:val="24"/>
          <w:szCs w:val="20"/>
          <w:highlight w:val="none"/>
        </w:rPr>
      </w:pPr>
    </w:p>
    <w:p w14:paraId="15CB7848">
      <w:pPr>
        <w:snapToGrid w:val="0"/>
        <w:spacing w:before="156" w:beforeLines="50" w:after="50"/>
        <w:rPr>
          <w:rFonts w:ascii="宋体" w:hAnsi="宋体" w:cs="宋体"/>
          <w:bCs/>
          <w:color w:val="auto"/>
          <w:sz w:val="24"/>
          <w:szCs w:val="20"/>
          <w:highlight w:val="none"/>
        </w:rPr>
      </w:pPr>
    </w:p>
    <w:p w14:paraId="409A1825">
      <w:pPr>
        <w:snapToGrid w:val="0"/>
        <w:spacing w:before="156" w:beforeLines="50" w:after="50"/>
        <w:rPr>
          <w:rFonts w:ascii="宋体" w:hAnsi="宋体" w:cs="宋体"/>
          <w:bCs/>
          <w:color w:val="auto"/>
          <w:sz w:val="24"/>
          <w:szCs w:val="20"/>
          <w:highlight w:val="none"/>
        </w:rPr>
      </w:pPr>
    </w:p>
    <w:p w14:paraId="1D6DE08D">
      <w:pPr>
        <w:snapToGrid w:val="0"/>
        <w:spacing w:before="156" w:beforeLines="50" w:after="50"/>
        <w:rPr>
          <w:rFonts w:ascii="宋体" w:hAnsi="宋体" w:cs="宋体"/>
          <w:bCs/>
          <w:color w:val="auto"/>
          <w:sz w:val="24"/>
          <w:szCs w:val="20"/>
          <w:highlight w:val="none"/>
        </w:rPr>
      </w:pPr>
    </w:p>
    <w:p w14:paraId="00098808">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2B156FF2">
      <w:pPr>
        <w:snapToGrid w:val="0"/>
        <w:spacing w:before="156" w:beforeLines="50" w:after="50"/>
        <w:ind w:firstLine="720" w:firstLineChars="225"/>
        <w:rPr>
          <w:rFonts w:ascii="宋体" w:hAnsi="宋体" w:cs="宋体"/>
          <w:bCs/>
          <w:color w:val="auto"/>
          <w:sz w:val="32"/>
          <w:szCs w:val="32"/>
          <w:highlight w:val="none"/>
        </w:rPr>
      </w:pPr>
    </w:p>
    <w:p w14:paraId="5C7FD8B0">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49A60924">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6CF03BD9">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w:t>
      </w:r>
    </w:p>
    <w:p w14:paraId="796E2FED">
      <w:pPr>
        <w:snapToGrid w:val="0"/>
        <w:spacing w:before="156" w:beforeLines="50" w:after="50"/>
        <w:ind w:firstLine="720" w:firstLineChars="225"/>
        <w:rPr>
          <w:rFonts w:ascii="宋体" w:hAnsi="宋体" w:cs="宋体"/>
          <w:bCs/>
          <w:color w:val="auto"/>
          <w:sz w:val="32"/>
          <w:szCs w:val="32"/>
          <w:highlight w:val="none"/>
        </w:rPr>
      </w:pPr>
    </w:p>
    <w:p w14:paraId="6E0E901A">
      <w:pPr>
        <w:pStyle w:val="7"/>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6FFB09FB">
      <w:pPr>
        <w:pStyle w:val="7"/>
        <w:snapToGrid w:val="0"/>
        <w:spacing w:before="50" w:after="50"/>
        <w:ind w:firstLine="720" w:firstLineChars="225"/>
        <w:rPr>
          <w:rFonts w:ascii="宋体" w:hAnsi="宋体" w:cs="宋体"/>
          <w:bCs/>
          <w:color w:val="auto"/>
          <w:sz w:val="32"/>
          <w:szCs w:val="32"/>
          <w:highlight w:val="none"/>
        </w:rPr>
      </w:pPr>
    </w:p>
    <w:p w14:paraId="278F8FD6">
      <w:pPr>
        <w:pStyle w:val="7"/>
        <w:snapToGrid w:val="0"/>
        <w:spacing w:before="50" w:after="50"/>
        <w:ind w:firstLine="720" w:firstLineChars="225"/>
        <w:rPr>
          <w:rFonts w:ascii="宋体" w:hAnsi="宋体" w:cs="宋体"/>
          <w:bCs/>
          <w:color w:val="auto"/>
          <w:sz w:val="32"/>
          <w:szCs w:val="32"/>
          <w:highlight w:val="none"/>
        </w:rPr>
      </w:pPr>
    </w:p>
    <w:p w14:paraId="47A4576A">
      <w:pPr>
        <w:pStyle w:val="7"/>
        <w:snapToGrid w:val="0"/>
        <w:spacing w:before="50" w:after="50"/>
        <w:ind w:firstLine="1280" w:firstLineChars="400"/>
        <w:rPr>
          <w:rFonts w:ascii="宋体" w:hAnsi="宋体" w:cs="宋体"/>
          <w:bCs/>
          <w:color w:val="auto"/>
          <w:sz w:val="32"/>
          <w:szCs w:val="32"/>
          <w:highlight w:val="none"/>
        </w:rPr>
      </w:pPr>
    </w:p>
    <w:p w14:paraId="6756247D">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34483ED1">
      <w:pPr>
        <w:snapToGrid w:val="0"/>
        <w:spacing w:before="156" w:beforeLines="50" w:after="50" w:line="360" w:lineRule="auto"/>
        <w:ind w:left="142"/>
        <w:jc w:val="left"/>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2.报价商务技术文件目录</w:t>
      </w:r>
    </w:p>
    <w:p w14:paraId="463A0E2A">
      <w:pPr>
        <w:snapToGrid w:val="0"/>
        <w:spacing w:before="156" w:beforeLines="50" w:after="50" w:line="36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7D2E3389">
      <w:pPr>
        <w:spacing w:line="400" w:lineRule="exact"/>
        <w:rPr>
          <w:rFonts w:ascii="宋体" w:hAnsi="宋体" w:cs="宋体"/>
          <w:color w:val="auto"/>
          <w:sz w:val="32"/>
          <w:szCs w:val="32"/>
          <w:highlight w:val="none"/>
        </w:rPr>
      </w:pPr>
    </w:p>
    <w:p w14:paraId="064A9432">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无串通竞标行为的承诺函</w:t>
      </w:r>
    </w:p>
    <w:p w14:paraId="1ED46401">
      <w:pPr>
        <w:spacing w:line="360" w:lineRule="auto"/>
        <w:ind w:firstLine="640" w:firstLineChars="200"/>
        <w:contextualSpacing/>
        <w:rPr>
          <w:rFonts w:ascii="宋体" w:hAnsi="宋体" w:cs="宋体"/>
          <w:color w:val="auto"/>
          <w:sz w:val="32"/>
          <w:szCs w:val="32"/>
          <w:highlight w:val="none"/>
        </w:rPr>
      </w:pPr>
    </w:p>
    <w:p w14:paraId="38CDF132">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5F71AA2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 </w:t>
      </w:r>
    </w:p>
    <w:p w14:paraId="0A357D6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093F69B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5168341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同供应商的响应文件异常一致或者竞标报价呈规律性差异；</w:t>
      </w:r>
    </w:p>
    <w:p w14:paraId="0881B86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2A8DA7C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11F3007B">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7CD2AAA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59723AB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00EE648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3C6E51E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71A1278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79B07B8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5957B54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7553474C">
      <w:pPr>
        <w:spacing w:line="360" w:lineRule="auto"/>
        <w:ind w:firstLine="480" w:firstLineChars="200"/>
        <w:contextualSpacing/>
        <w:rPr>
          <w:rFonts w:ascii="宋体" w:hAnsi="宋体" w:cs="宋体"/>
          <w:color w:val="auto"/>
          <w:sz w:val="24"/>
          <w:highlight w:val="none"/>
        </w:rPr>
      </w:pPr>
    </w:p>
    <w:p w14:paraId="3B67ED40">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241521C6">
      <w:pPr>
        <w:spacing w:line="360" w:lineRule="auto"/>
        <w:contextualSpacing/>
        <w:rPr>
          <w:rFonts w:ascii="宋体" w:hAnsi="宋体" w:cs="宋体"/>
          <w:color w:val="auto"/>
          <w:sz w:val="24"/>
          <w:highlight w:val="none"/>
        </w:rPr>
      </w:pPr>
    </w:p>
    <w:p w14:paraId="5894A98C">
      <w:pPr>
        <w:spacing w:line="360" w:lineRule="auto"/>
        <w:ind w:firstLine="3600" w:firstLineChars="1500"/>
        <w:contextualSpacing/>
        <w:rPr>
          <w:rFonts w:ascii="宋体" w:hAnsi="宋体" w:cs="宋体"/>
          <w:color w:val="auto"/>
          <w:sz w:val="24"/>
          <w:highlight w:val="none"/>
        </w:rPr>
      </w:pPr>
      <w:r>
        <w:rPr>
          <w:rFonts w:hint="eastAsia" w:ascii="宋体" w:hAnsi="宋体" w:cs="宋体"/>
          <w:color w:val="auto"/>
          <w:sz w:val="24"/>
          <w:highlight w:val="none"/>
        </w:rPr>
        <w:t>供应商（盖公章）：</w:t>
      </w:r>
    </w:p>
    <w:p w14:paraId="05AB06E1">
      <w:pPr>
        <w:spacing w:line="360" w:lineRule="auto"/>
        <w:ind w:firstLine="480" w:firstLineChars="200"/>
        <w:contextualSpacing/>
        <w:jc w:val="center"/>
        <w:rPr>
          <w:rFonts w:ascii="宋体" w:hAnsi="宋体" w:cs="宋体"/>
          <w:color w:val="auto"/>
          <w:sz w:val="32"/>
          <w:szCs w:val="32"/>
          <w:highlight w:val="none"/>
        </w:rPr>
      </w:pPr>
      <w:r>
        <w:rPr>
          <w:rFonts w:hint="eastAsia" w:ascii="宋体" w:hAnsi="宋体" w:cs="宋体"/>
          <w:color w:val="auto"/>
          <w:sz w:val="24"/>
          <w:highlight w:val="none"/>
        </w:rPr>
        <w:t xml:space="preserve">                               年   月   日</w:t>
      </w:r>
    </w:p>
    <w:p w14:paraId="4A08E937">
      <w:pPr>
        <w:pStyle w:val="25"/>
        <w:tabs>
          <w:tab w:val="right" w:leader="dot" w:pos="8398"/>
        </w:tabs>
        <w:rPr>
          <w:color w:val="auto"/>
          <w:highlight w:val="none"/>
        </w:rPr>
      </w:pPr>
      <w:r>
        <w:rPr>
          <w:rFonts w:hint="eastAsia" w:ascii="宋体" w:hAnsi="宋体" w:cs="宋体"/>
          <w:bCs/>
          <w:color w:val="auto"/>
          <w:sz w:val="44"/>
          <w:szCs w:val="44"/>
          <w:highlight w:val="none"/>
        </w:rPr>
        <w:br w:type="page"/>
      </w:r>
    </w:p>
    <w:p w14:paraId="268216D8">
      <w:pPr>
        <w:spacing w:line="520" w:lineRule="exact"/>
        <w:jc w:val="center"/>
        <w:rPr>
          <w:rFonts w:ascii="宋体" w:hAnsi="宋体" w:cs="宋体"/>
          <w:bCs/>
          <w:color w:val="auto"/>
          <w:sz w:val="32"/>
          <w:szCs w:val="32"/>
          <w:highlight w:val="none"/>
        </w:rPr>
      </w:pPr>
      <w:r>
        <w:rPr>
          <w:rFonts w:hint="eastAsia" w:ascii="宋体" w:hAnsi="宋体" w:cs="宋体"/>
          <w:bCs/>
          <w:color w:val="auto"/>
          <w:sz w:val="44"/>
          <w:szCs w:val="44"/>
          <w:highlight w:val="none"/>
        </w:rPr>
        <w:t>竞  标  报  价  表</w:t>
      </w:r>
    </w:p>
    <w:p w14:paraId="3F1C1D80">
      <w:pPr>
        <w:spacing w:line="440" w:lineRule="exact"/>
        <w:jc w:val="center"/>
        <w:rPr>
          <w:rFonts w:ascii="宋体" w:hAnsi="宋体" w:cs="宋体"/>
          <w:bCs/>
          <w:color w:val="auto"/>
          <w:sz w:val="32"/>
          <w:szCs w:val="32"/>
          <w:highlight w:val="none"/>
        </w:rPr>
      </w:pPr>
    </w:p>
    <w:p w14:paraId="5D171A92">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分标号：</w:t>
      </w:r>
      <w:r>
        <w:rPr>
          <w:rFonts w:hint="eastAsia" w:ascii="宋体" w:hAnsi="宋体" w:cs="宋体"/>
          <w:color w:val="auto"/>
          <w:sz w:val="24"/>
          <w:highlight w:val="none"/>
          <w:u w:val="single"/>
        </w:rPr>
        <w:t xml:space="preserve">        </w:t>
      </w:r>
    </w:p>
    <w:p w14:paraId="01BFC5C2">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68ACD6F">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                                                单位：元</w:t>
      </w:r>
    </w:p>
    <w:tbl>
      <w:tblPr>
        <w:tblStyle w:val="32"/>
        <w:tblW w:w="9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633"/>
        <w:gridCol w:w="1009"/>
        <w:gridCol w:w="767"/>
        <w:gridCol w:w="2044"/>
        <w:gridCol w:w="1303"/>
        <w:gridCol w:w="1327"/>
      </w:tblGrid>
      <w:tr w14:paraId="7E4B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50" w:type="dxa"/>
            <w:tcBorders>
              <w:top w:val="single" w:color="auto" w:sz="4" w:space="0"/>
              <w:left w:val="single" w:color="auto" w:sz="4" w:space="0"/>
              <w:bottom w:val="single" w:color="auto" w:sz="4" w:space="0"/>
              <w:right w:val="single" w:color="auto" w:sz="4" w:space="0"/>
            </w:tcBorders>
            <w:vAlign w:val="center"/>
          </w:tcPr>
          <w:p w14:paraId="75031E9D">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序号</w:t>
            </w:r>
          </w:p>
        </w:tc>
        <w:tc>
          <w:tcPr>
            <w:tcW w:w="2633" w:type="dxa"/>
            <w:tcBorders>
              <w:top w:val="single" w:color="auto" w:sz="4" w:space="0"/>
              <w:left w:val="single" w:color="auto" w:sz="4" w:space="0"/>
              <w:bottom w:val="single" w:color="auto" w:sz="4" w:space="0"/>
              <w:right w:val="single" w:color="auto" w:sz="4" w:space="0"/>
            </w:tcBorders>
            <w:vAlign w:val="center"/>
          </w:tcPr>
          <w:p w14:paraId="38359F2B">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1009" w:type="dxa"/>
            <w:tcBorders>
              <w:top w:val="single" w:color="auto" w:sz="4" w:space="0"/>
              <w:left w:val="single" w:color="auto" w:sz="4" w:space="0"/>
              <w:bottom w:val="single" w:color="auto" w:sz="4" w:space="0"/>
              <w:right w:val="single" w:color="auto" w:sz="4" w:space="0"/>
            </w:tcBorders>
            <w:vAlign w:val="center"/>
          </w:tcPr>
          <w:p w14:paraId="3BA2FD24">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数量</w:t>
            </w:r>
          </w:p>
        </w:tc>
        <w:tc>
          <w:tcPr>
            <w:tcW w:w="767" w:type="dxa"/>
            <w:tcBorders>
              <w:top w:val="single" w:color="auto" w:sz="4" w:space="0"/>
              <w:left w:val="single" w:color="auto" w:sz="4" w:space="0"/>
              <w:bottom w:val="single" w:color="auto" w:sz="4" w:space="0"/>
              <w:right w:val="single" w:color="auto" w:sz="4" w:space="0"/>
            </w:tcBorders>
            <w:vAlign w:val="center"/>
          </w:tcPr>
          <w:p w14:paraId="0098F3BB">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单位</w:t>
            </w:r>
          </w:p>
        </w:tc>
        <w:tc>
          <w:tcPr>
            <w:tcW w:w="2044" w:type="dxa"/>
            <w:tcBorders>
              <w:top w:val="single" w:color="auto" w:sz="4" w:space="0"/>
              <w:left w:val="single" w:color="auto" w:sz="4" w:space="0"/>
              <w:bottom w:val="single" w:color="auto" w:sz="4" w:space="0"/>
              <w:right w:val="single" w:color="auto" w:sz="4" w:space="0"/>
            </w:tcBorders>
            <w:vAlign w:val="center"/>
          </w:tcPr>
          <w:p w14:paraId="577BA60B">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单价</w:t>
            </w:r>
          </w:p>
        </w:tc>
        <w:tc>
          <w:tcPr>
            <w:tcW w:w="1303" w:type="dxa"/>
            <w:tcBorders>
              <w:top w:val="single" w:color="auto" w:sz="4" w:space="0"/>
              <w:left w:val="single" w:color="auto" w:sz="4" w:space="0"/>
              <w:bottom w:val="single" w:color="auto" w:sz="4" w:space="0"/>
              <w:right w:val="single" w:color="auto" w:sz="4" w:space="0"/>
            </w:tcBorders>
            <w:vAlign w:val="center"/>
          </w:tcPr>
          <w:p w14:paraId="4DF7F23F">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总价</w:t>
            </w:r>
          </w:p>
        </w:tc>
        <w:tc>
          <w:tcPr>
            <w:tcW w:w="1327" w:type="dxa"/>
            <w:tcBorders>
              <w:top w:val="single" w:color="auto" w:sz="4" w:space="0"/>
              <w:left w:val="single" w:color="auto" w:sz="4" w:space="0"/>
              <w:bottom w:val="single" w:color="auto" w:sz="4" w:space="0"/>
              <w:right w:val="single" w:color="auto" w:sz="4" w:space="0"/>
            </w:tcBorders>
            <w:vAlign w:val="center"/>
          </w:tcPr>
          <w:p w14:paraId="2F2C8999">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备注</w:t>
            </w:r>
          </w:p>
        </w:tc>
      </w:tr>
      <w:tr w14:paraId="5FF4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50" w:type="dxa"/>
            <w:tcBorders>
              <w:top w:val="single" w:color="auto" w:sz="4" w:space="0"/>
              <w:left w:val="single" w:color="auto" w:sz="4" w:space="0"/>
              <w:bottom w:val="single" w:color="auto" w:sz="4" w:space="0"/>
              <w:right w:val="single" w:color="auto" w:sz="4" w:space="0"/>
            </w:tcBorders>
            <w:vAlign w:val="center"/>
          </w:tcPr>
          <w:p w14:paraId="3B5F5CB3">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1</w:t>
            </w:r>
          </w:p>
        </w:tc>
        <w:tc>
          <w:tcPr>
            <w:tcW w:w="2633" w:type="dxa"/>
            <w:tcBorders>
              <w:top w:val="single" w:color="auto" w:sz="4" w:space="0"/>
              <w:left w:val="single" w:color="auto" w:sz="4" w:space="0"/>
              <w:bottom w:val="single" w:color="auto" w:sz="4" w:space="0"/>
              <w:right w:val="single" w:color="auto" w:sz="4" w:space="0"/>
            </w:tcBorders>
            <w:vAlign w:val="center"/>
          </w:tcPr>
          <w:p w14:paraId="6B34D29B">
            <w:pPr>
              <w:spacing w:line="360" w:lineRule="auto"/>
              <w:contextualSpacing/>
              <w:jc w:val="center"/>
              <w:rPr>
                <w:rFonts w:ascii="宋体" w:hAnsi="宋体" w:cs="宋体"/>
                <w:color w:val="auto"/>
                <w:sz w:val="24"/>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3D4FF0AC">
            <w:pPr>
              <w:spacing w:line="360" w:lineRule="auto"/>
              <w:contextualSpacing/>
              <w:jc w:val="center"/>
              <w:rPr>
                <w:rFonts w:ascii="宋体" w:hAnsi="宋体" w:cs="宋体"/>
                <w:color w:val="auto"/>
                <w:sz w:val="24"/>
                <w:highlight w:val="none"/>
              </w:rPr>
            </w:pPr>
          </w:p>
        </w:tc>
        <w:tc>
          <w:tcPr>
            <w:tcW w:w="767" w:type="dxa"/>
            <w:tcBorders>
              <w:top w:val="single" w:color="auto" w:sz="4" w:space="0"/>
              <w:left w:val="single" w:color="auto" w:sz="4" w:space="0"/>
              <w:bottom w:val="single" w:color="auto" w:sz="4" w:space="0"/>
              <w:right w:val="single" w:color="auto" w:sz="4" w:space="0"/>
            </w:tcBorders>
          </w:tcPr>
          <w:p w14:paraId="51B4EF7F">
            <w:pPr>
              <w:spacing w:line="360" w:lineRule="auto"/>
              <w:contextualSpacing/>
              <w:rPr>
                <w:rFonts w:ascii="宋体" w:hAnsi="宋体" w:cs="宋体"/>
                <w:color w:val="auto"/>
                <w:sz w:val="24"/>
                <w:highlight w:val="none"/>
              </w:rPr>
            </w:pPr>
          </w:p>
        </w:tc>
        <w:tc>
          <w:tcPr>
            <w:tcW w:w="2044" w:type="dxa"/>
            <w:tcBorders>
              <w:top w:val="single" w:color="auto" w:sz="4" w:space="0"/>
              <w:left w:val="single" w:color="auto" w:sz="4" w:space="0"/>
              <w:bottom w:val="single" w:color="auto" w:sz="4" w:space="0"/>
              <w:right w:val="single" w:color="auto" w:sz="4" w:space="0"/>
            </w:tcBorders>
          </w:tcPr>
          <w:p w14:paraId="25DF4256">
            <w:pPr>
              <w:spacing w:line="360" w:lineRule="auto"/>
              <w:contextualSpacing/>
              <w:rPr>
                <w:rFonts w:ascii="宋体" w:hAnsi="宋体" w:cs="宋体"/>
                <w:color w:val="auto"/>
                <w:sz w:val="24"/>
                <w:highlight w:val="none"/>
              </w:rPr>
            </w:pPr>
          </w:p>
        </w:tc>
        <w:tc>
          <w:tcPr>
            <w:tcW w:w="1303" w:type="dxa"/>
            <w:tcBorders>
              <w:top w:val="single" w:color="auto" w:sz="4" w:space="0"/>
              <w:left w:val="single" w:color="auto" w:sz="4" w:space="0"/>
              <w:bottom w:val="single" w:color="auto" w:sz="4" w:space="0"/>
              <w:right w:val="single" w:color="auto" w:sz="4" w:space="0"/>
            </w:tcBorders>
          </w:tcPr>
          <w:p w14:paraId="53E58AEF">
            <w:pPr>
              <w:spacing w:line="360" w:lineRule="auto"/>
              <w:contextualSpacing/>
              <w:rPr>
                <w:rFonts w:ascii="宋体" w:hAnsi="宋体" w:cs="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61E79DEF">
            <w:pPr>
              <w:spacing w:line="360" w:lineRule="auto"/>
              <w:contextualSpacing/>
              <w:rPr>
                <w:rFonts w:ascii="宋体" w:hAnsi="宋体" w:cs="宋体"/>
                <w:color w:val="auto"/>
                <w:sz w:val="24"/>
                <w:highlight w:val="none"/>
              </w:rPr>
            </w:pPr>
          </w:p>
        </w:tc>
      </w:tr>
      <w:tr w14:paraId="1FBF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933" w:type="dxa"/>
            <w:gridSpan w:val="7"/>
            <w:tcBorders>
              <w:top w:val="single" w:color="auto" w:sz="4" w:space="0"/>
              <w:left w:val="single" w:color="auto" w:sz="4" w:space="0"/>
              <w:bottom w:val="single" w:color="auto" w:sz="4" w:space="0"/>
              <w:right w:val="single" w:color="auto" w:sz="4" w:space="0"/>
            </w:tcBorders>
            <w:vAlign w:val="center"/>
          </w:tcPr>
          <w:p w14:paraId="517BC5DA">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合计金额大写：人民币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043E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933" w:type="dxa"/>
            <w:gridSpan w:val="7"/>
            <w:tcBorders>
              <w:top w:val="single" w:color="auto" w:sz="4" w:space="0"/>
              <w:left w:val="single" w:color="auto" w:sz="4" w:space="0"/>
              <w:bottom w:val="single" w:color="auto" w:sz="4" w:space="0"/>
              <w:right w:val="single" w:color="auto" w:sz="4" w:space="0"/>
            </w:tcBorders>
            <w:vAlign w:val="center"/>
          </w:tcPr>
          <w:p w14:paraId="2AA73587">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合同履约期限：</w:t>
            </w:r>
          </w:p>
        </w:tc>
      </w:tr>
    </w:tbl>
    <w:p w14:paraId="518B69C6">
      <w:pPr>
        <w:spacing w:line="360" w:lineRule="auto"/>
        <w:contextualSpacing/>
        <w:jc w:val="left"/>
        <w:rPr>
          <w:rFonts w:ascii="宋体" w:hAnsi="宋体" w:cs="宋体"/>
          <w:color w:val="auto"/>
          <w:sz w:val="24"/>
          <w:highlight w:val="none"/>
        </w:rPr>
      </w:pPr>
    </w:p>
    <w:p w14:paraId="54109172">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1B8275C3">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1.供应商的报价表必须加盖供应商公章并由法定代表人或者委托代理人签字，</w:t>
      </w:r>
      <w:r>
        <w:rPr>
          <w:rFonts w:hint="eastAsia" w:ascii="宋体" w:hAnsi="宋体" w:cs="宋体"/>
          <w:b/>
          <w:color w:val="auto"/>
          <w:sz w:val="24"/>
          <w:highlight w:val="none"/>
        </w:rPr>
        <w:t>否则其响应文件按无效响应处理</w:t>
      </w:r>
      <w:r>
        <w:rPr>
          <w:rFonts w:hint="eastAsia" w:ascii="宋体" w:hAnsi="宋体" w:cs="宋体"/>
          <w:color w:val="auto"/>
          <w:sz w:val="24"/>
          <w:highlight w:val="none"/>
        </w:rPr>
        <w:t>。</w:t>
      </w:r>
    </w:p>
    <w:p w14:paraId="333FA30A">
      <w:pPr>
        <w:spacing w:line="360" w:lineRule="auto"/>
        <w:ind w:firstLine="480" w:firstLineChars="200"/>
        <w:contextualSpacing/>
        <w:jc w:val="left"/>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报价一经涂改，应在涂改处加盖供应商公章或者由法定代表人或者委托代理人签字或者盖章</w:t>
      </w:r>
      <w:r>
        <w:rPr>
          <w:rFonts w:hint="eastAsia" w:ascii="宋体" w:hAnsi="宋体" w:cs="宋体"/>
          <w:b/>
          <w:color w:val="auto"/>
          <w:sz w:val="24"/>
          <w:highlight w:val="none"/>
        </w:rPr>
        <w:t>，否则其响应文件按无效响应处理。</w:t>
      </w:r>
    </w:p>
    <w:p w14:paraId="2D1C7D91">
      <w:pPr>
        <w:spacing w:line="360" w:lineRule="auto"/>
        <w:ind w:right="-817" w:rightChars="-389"/>
        <w:contextualSpacing/>
        <w:rPr>
          <w:rFonts w:ascii="宋体" w:hAnsi="宋体" w:cs="宋体"/>
          <w:color w:val="auto"/>
          <w:sz w:val="24"/>
          <w:highlight w:val="none"/>
        </w:rPr>
      </w:pPr>
    </w:p>
    <w:p w14:paraId="010D5C1A">
      <w:pPr>
        <w:spacing w:line="360" w:lineRule="auto"/>
        <w:ind w:right="-817" w:rightChars="-389" w:firstLine="2640" w:firstLineChars="1100"/>
        <w:contextualSpacing/>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14:paraId="2CE9BA9E">
      <w:pPr>
        <w:spacing w:line="360" w:lineRule="auto"/>
        <w:ind w:right="-817" w:rightChars="-389" w:firstLine="2640" w:firstLineChars="1100"/>
        <w:contextualSpacing/>
        <w:rPr>
          <w:rFonts w:ascii="宋体" w:hAnsi="宋体" w:cs="宋体"/>
          <w:color w:val="auto"/>
          <w:sz w:val="24"/>
          <w:highlight w:val="none"/>
        </w:rPr>
      </w:pPr>
      <w:r>
        <w:rPr>
          <w:rFonts w:hint="eastAsia" w:ascii="宋体" w:hAnsi="宋体" w:cs="宋体"/>
          <w:color w:val="auto"/>
          <w:sz w:val="24"/>
          <w:highlight w:val="none"/>
        </w:rPr>
        <w:t xml:space="preserve">供应商（盖公章）：      </w:t>
      </w:r>
    </w:p>
    <w:p w14:paraId="79F79E62">
      <w:pPr>
        <w:spacing w:line="360" w:lineRule="auto"/>
        <w:ind w:right="-817" w:rightChars="-389" w:firstLine="4080" w:firstLineChars="1700"/>
        <w:contextualSpacing/>
        <w:rPr>
          <w:rFonts w:ascii="宋体" w:hAnsi="宋体" w:cs="宋体"/>
          <w:b/>
          <w:color w:val="auto"/>
          <w:sz w:val="24"/>
          <w:highlight w:val="none"/>
        </w:rPr>
      </w:pPr>
      <w:r>
        <w:rPr>
          <w:rFonts w:hint="eastAsia" w:ascii="宋体" w:hAnsi="宋体" w:cs="宋体"/>
          <w:color w:val="auto"/>
          <w:sz w:val="24"/>
          <w:highlight w:val="none"/>
        </w:rPr>
        <w:t>日期：   年   月   日</w:t>
      </w:r>
    </w:p>
    <w:p w14:paraId="1864AF14">
      <w:pPr>
        <w:spacing w:before="312" w:beforeLines="100" w:after="156" w:afterLines="50" w:line="520" w:lineRule="exact"/>
        <w:jc w:val="center"/>
        <w:rPr>
          <w:rFonts w:ascii="宋体" w:hAnsi="宋体" w:cs="宋体"/>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Cs/>
          <w:color w:val="auto"/>
          <w:sz w:val="44"/>
          <w:szCs w:val="44"/>
          <w:highlight w:val="none"/>
        </w:rPr>
        <w:t>法定代表人身份证明</w:t>
      </w:r>
    </w:p>
    <w:p w14:paraId="64CEA565">
      <w:pPr>
        <w:spacing w:line="360" w:lineRule="auto"/>
        <w:ind w:left="540"/>
        <w:contextualSpacing/>
        <w:rPr>
          <w:rFonts w:ascii="宋体" w:hAnsi="宋体" w:cs="宋体"/>
          <w:color w:val="auto"/>
          <w:sz w:val="32"/>
          <w:szCs w:val="32"/>
          <w:highlight w:val="none"/>
        </w:rPr>
      </w:pPr>
    </w:p>
    <w:p w14:paraId="30F022FC">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7154B9E8">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657C7D15">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11F988CD">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5EFCE8AD">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7A2A925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0F12320B">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54984DEF">
      <w:pPr>
        <w:spacing w:line="360" w:lineRule="auto"/>
        <w:ind w:left="540"/>
        <w:contextualSpacing/>
        <w:rPr>
          <w:rFonts w:ascii="宋体" w:hAnsi="宋体" w:cs="宋体"/>
          <w:color w:val="auto"/>
          <w:sz w:val="24"/>
          <w:highlight w:val="none"/>
        </w:rPr>
      </w:pPr>
    </w:p>
    <w:p w14:paraId="52B5487A">
      <w:pPr>
        <w:spacing w:line="360" w:lineRule="auto"/>
        <w:ind w:left="540"/>
        <w:contextualSpacing/>
        <w:rPr>
          <w:rFonts w:ascii="宋体" w:hAnsi="宋体" w:cs="宋体"/>
          <w:color w:val="auto"/>
          <w:sz w:val="24"/>
          <w:highlight w:val="none"/>
        </w:rPr>
      </w:pPr>
    </w:p>
    <w:p w14:paraId="3ABAA899">
      <w:pPr>
        <w:spacing w:line="360" w:lineRule="auto"/>
        <w:ind w:left="540"/>
        <w:contextualSpacing/>
        <w:rPr>
          <w:rFonts w:ascii="宋体" w:hAnsi="宋体" w:cs="宋体"/>
          <w:color w:val="auto"/>
          <w:sz w:val="24"/>
          <w:highlight w:val="none"/>
        </w:rPr>
      </w:pPr>
    </w:p>
    <w:p w14:paraId="29C2D237">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743D42C7">
      <w:pPr>
        <w:spacing w:line="360" w:lineRule="auto"/>
        <w:ind w:left="540"/>
        <w:contextualSpacing/>
        <w:rPr>
          <w:rFonts w:ascii="宋体" w:hAnsi="宋体" w:cs="宋体"/>
          <w:color w:val="auto"/>
          <w:sz w:val="24"/>
          <w:highlight w:val="none"/>
        </w:rPr>
      </w:pPr>
    </w:p>
    <w:p w14:paraId="11F05EB6">
      <w:pPr>
        <w:spacing w:line="360" w:lineRule="auto"/>
        <w:ind w:left="540"/>
        <w:contextualSpacing/>
        <w:jc w:val="center"/>
        <w:rPr>
          <w:rFonts w:ascii="宋体" w:hAnsi="宋体" w:cs="宋体"/>
          <w:color w:val="auto"/>
          <w:sz w:val="24"/>
          <w:highlight w:val="none"/>
        </w:rPr>
      </w:pPr>
      <w:r>
        <w:rPr>
          <w:rFonts w:hint="eastAsia" w:ascii="宋体" w:hAnsi="宋体" w:cs="宋体"/>
          <w:color w:val="auto"/>
          <w:sz w:val="24"/>
          <w:highlight w:val="none"/>
        </w:rPr>
        <w:t xml:space="preserve">                                    供应商（盖公章）：</w:t>
      </w:r>
      <w:r>
        <w:rPr>
          <w:rFonts w:hint="eastAsia" w:ascii="宋体" w:hAnsi="宋体" w:cs="宋体"/>
          <w:color w:val="auto"/>
          <w:sz w:val="24"/>
          <w:highlight w:val="none"/>
          <w:u w:val="single"/>
        </w:rPr>
        <w:t xml:space="preserve">               </w:t>
      </w:r>
    </w:p>
    <w:p w14:paraId="0E3369C2">
      <w:pPr>
        <w:spacing w:line="360" w:lineRule="auto"/>
        <w:contextualSpacing/>
        <w:jc w:val="righ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B42514D">
      <w:pPr>
        <w:spacing w:line="360" w:lineRule="auto"/>
        <w:contextualSpacing/>
        <w:jc w:val="center"/>
        <w:rPr>
          <w:rFonts w:ascii="宋体" w:hAnsi="宋体" w:cs="宋体"/>
          <w:b/>
          <w:color w:val="auto"/>
          <w:sz w:val="24"/>
          <w:highlight w:val="none"/>
        </w:rPr>
      </w:pPr>
    </w:p>
    <w:p w14:paraId="690949D3">
      <w:pPr>
        <w:spacing w:line="360" w:lineRule="auto"/>
        <w:contextualSpacing/>
        <w:jc w:val="left"/>
        <w:rPr>
          <w:rFonts w:ascii="宋体" w:hAnsi="宋体" w:cs="宋体"/>
          <w:color w:val="auto"/>
          <w:sz w:val="24"/>
          <w:highlight w:val="none"/>
        </w:rPr>
      </w:pPr>
    </w:p>
    <w:p w14:paraId="4620CDBC">
      <w:pPr>
        <w:adjustRightInd w:val="0"/>
        <w:snapToGrid w:val="0"/>
        <w:spacing w:line="300" w:lineRule="auto"/>
        <w:jc w:val="left"/>
        <w:rPr>
          <w:rFonts w:ascii="宋体" w:hAnsi="宋体" w:cs="宋体"/>
          <w:b/>
          <w:color w:val="auto"/>
          <w:szCs w:val="21"/>
          <w:highlight w:val="none"/>
        </w:rPr>
      </w:pPr>
    </w:p>
    <w:p w14:paraId="176CEA94">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 xml:space="preserve"> </w:t>
      </w:r>
    </w:p>
    <w:p w14:paraId="59D8F52A">
      <w:pPr>
        <w:spacing w:line="520" w:lineRule="exact"/>
        <w:jc w:val="center"/>
        <w:rPr>
          <w:rFonts w:ascii="宋体" w:hAnsi="宋体" w:cs="宋体"/>
          <w:color w:val="auto"/>
          <w:sz w:val="44"/>
          <w:szCs w:val="44"/>
          <w:highlight w:val="none"/>
        </w:rPr>
      </w:pPr>
      <w:bookmarkStart w:id="57" w:name="_Hlk65853643"/>
      <w:r>
        <w:rPr>
          <w:rFonts w:hint="eastAsia" w:ascii="宋体" w:hAnsi="宋体" w:cs="宋体"/>
          <w:color w:val="auto"/>
          <w:sz w:val="44"/>
          <w:szCs w:val="44"/>
          <w:highlight w:val="none"/>
        </w:rPr>
        <w:t>授权委托书</w:t>
      </w:r>
    </w:p>
    <w:p w14:paraId="7A26460B">
      <w:pPr>
        <w:spacing w:line="520" w:lineRule="exact"/>
        <w:jc w:val="center"/>
        <w:rPr>
          <w:rFonts w:ascii="宋体" w:hAnsi="宋体" w:cs="宋体"/>
          <w:color w:val="auto"/>
          <w:sz w:val="44"/>
          <w:szCs w:val="44"/>
          <w:highlight w:val="none"/>
        </w:rPr>
      </w:pPr>
      <w:r>
        <w:rPr>
          <w:rFonts w:hint="eastAsia" w:ascii="宋体" w:hAnsi="宋体" w:cs="宋体"/>
          <w:color w:val="auto"/>
          <w:sz w:val="32"/>
          <w:szCs w:val="32"/>
          <w:highlight w:val="none"/>
        </w:rPr>
        <w:t>（如有委托时）</w:t>
      </w:r>
    </w:p>
    <w:p w14:paraId="640039A9">
      <w:pPr>
        <w:spacing w:line="520" w:lineRule="exact"/>
        <w:rPr>
          <w:rFonts w:ascii="宋体" w:hAnsi="宋体" w:cs="宋体"/>
          <w:color w:val="auto"/>
          <w:sz w:val="32"/>
          <w:szCs w:val="32"/>
          <w:highlight w:val="none"/>
        </w:rPr>
      </w:pPr>
    </w:p>
    <w:p w14:paraId="3DFB2A91">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03667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27B617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0B4BD4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41D741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056517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14:paraId="7C196A6C">
      <w:pPr>
        <w:spacing w:line="360" w:lineRule="auto"/>
        <w:rPr>
          <w:rFonts w:ascii="宋体" w:hAnsi="宋体" w:cs="宋体"/>
          <w:color w:val="auto"/>
          <w:sz w:val="24"/>
          <w:highlight w:val="none"/>
        </w:rPr>
      </w:pPr>
    </w:p>
    <w:p w14:paraId="100F6D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法定代表人（签字或者盖章）：                    </w:t>
      </w:r>
    </w:p>
    <w:p w14:paraId="67E973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68756ED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25A6A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供应商（盖公章）：                      </w:t>
      </w:r>
    </w:p>
    <w:p w14:paraId="008F3BE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72207F1D">
      <w:pPr>
        <w:spacing w:line="360" w:lineRule="auto"/>
        <w:rPr>
          <w:rFonts w:ascii="宋体" w:hAnsi="宋体" w:cs="宋体"/>
          <w:color w:val="auto"/>
          <w:sz w:val="24"/>
          <w:highlight w:val="none"/>
        </w:rPr>
      </w:pPr>
    </w:p>
    <w:p w14:paraId="59C5E1B2">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法定代表人必须在授权委托书上亲笔签字或者盖章，委托代理人必须在授权委托书上亲笔签字，</w:t>
      </w:r>
      <w:r>
        <w:rPr>
          <w:rFonts w:hint="eastAsia" w:ascii="宋体" w:hAnsi="宋体" w:cs="宋体"/>
          <w:b/>
          <w:color w:val="auto"/>
          <w:sz w:val="24"/>
          <w:highlight w:val="none"/>
        </w:rPr>
        <w:t>否则其响应文件按无效响应处理。</w:t>
      </w:r>
    </w:p>
    <w:p w14:paraId="7B4B38A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bookmarkStart w:id="58" w:name="_Hlk65853109"/>
      <w:bookmarkStart w:id="59" w:name="_Hlk65853542"/>
      <w:r>
        <w:rPr>
          <w:rFonts w:hint="eastAsia" w:ascii="宋体" w:hAnsi="宋体" w:cs="宋体"/>
          <w:color w:val="auto"/>
          <w:sz w:val="24"/>
          <w:highlight w:val="none"/>
        </w:rPr>
        <w:t>法人、其他组织竞标时“我方”是指“我单位”，自然人竞标时“我方”是指“本人”。</w:t>
      </w:r>
      <w:bookmarkEnd w:id="58"/>
    </w:p>
    <w:bookmarkEnd w:id="59"/>
    <w:p w14:paraId="7244857D">
      <w:pPr>
        <w:spacing w:line="360" w:lineRule="auto"/>
        <w:ind w:firstLine="420" w:firstLineChars="200"/>
        <w:jc w:val="left"/>
        <w:rPr>
          <w:rFonts w:ascii="宋体" w:hAnsi="宋体" w:cs="宋体"/>
          <w:color w:val="auto"/>
          <w:szCs w:val="21"/>
          <w:highlight w:val="none"/>
        </w:rPr>
      </w:pPr>
    </w:p>
    <w:bookmarkEnd w:id="57"/>
    <w:p w14:paraId="2DE533FE">
      <w:pPr>
        <w:rPr>
          <w:rFonts w:ascii="宋体" w:hAnsi="宋体" w:cs="宋体"/>
          <w:bCs/>
          <w:color w:val="auto"/>
          <w:sz w:val="44"/>
          <w:szCs w:val="44"/>
          <w:highlight w:val="none"/>
        </w:rPr>
      </w:pPr>
      <w:r>
        <w:rPr>
          <w:rFonts w:hint="eastAsia" w:ascii="宋体" w:hAnsi="宋体" w:cs="宋体"/>
          <w:bCs/>
          <w:color w:val="auto"/>
          <w:sz w:val="44"/>
          <w:szCs w:val="44"/>
          <w:highlight w:val="none"/>
        </w:rPr>
        <w:br w:type="page"/>
      </w:r>
    </w:p>
    <w:p w14:paraId="0BD2D1D3">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商务要求偏离表</w:t>
      </w:r>
    </w:p>
    <w:p w14:paraId="49C5EAF8">
      <w:pPr>
        <w:spacing w:line="360" w:lineRule="auto"/>
        <w:contextualSpacing/>
        <w:jc w:val="left"/>
        <w:rPr>
          <w:rFonts w:ascii="宋体" w:hAnsi="宋体" w:cs="宋体"/>
          <w:color w:val="auto"/>
          <w:sz w:val="24"/>
          <w:highlight w:val="none"/>
        </w:rPr>
      </w:pPr>
    </w:p>
    <w:p w14:paraId="1972F8FF">
      <w:pPr>
        <w:pStyle w:val="20"/>
        <w:spacing w:line="360" w:lineRule="auto"/>
        <w:contextualSpacing/>
        <w:rPr>
          <w:rFonts w:hAnsi="宋体" w:cs="宋体"/>
          <w:color w:val="auto"/>
          <w:sz w:val="24"/>
          <w:szCs w:val="24"/>
          <w:highlight w:val="none"/>
        </w:rPr>
      </w:pPr>
      <w:r>
        <w:rPr>
          <w:rFonts w:hint="eastAsia" w:hAnsi="宋体" w:cs="宋体"/>
          <w:color w:val="auto"/>
          <w:sz w:val="24"/>
          <w:szCs w:val="24"/>
          <w:highlight w:val="none"/>
        </w:rPr>
        <w:t>所竞分标：</w:t>
      </w:r>
      <w:r>
        <w:rPr>
          <w:rFonts w:hint="eastAsia" w:hAnsi="宋体" w:cs="宋体"/>
          <w:color w:val="auto"/>
          <w:sz w:val="24"/>
          <w:szCs w:val="24"/>
          <w:highlight w:val="none"/>
          <w:u w:val="single"/>
        </w:rPr>
        <w:t xml:space="preserve">              </w:t>
      </w:r>
    </w:p>
    <w:p w14:paraId="63FD1CBA">
      <w:pPr>
        <w:spacing w:line="360" w:lineRule="auto"/>
        <w:contextualSpacing/>
        <w:jc w:val="left"/>
        <w:rPr>
          <w:rFonts w:ascii="宋体" w:hAnsi="宋体" w:cs="宋体"/>
          <w:color w:val="auto"/>
          <w:sz w:val="24"/>
          <w:highlight w:val="none"/>
          <w:u w:val="single"/>
        </w:rPr>
      </w:pPr>
    </w:p>
    <w:tbl>
      <w:tblPr>
        <w:tblStyle w:val="32"/>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6C5A3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3D4AEA11">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36DEDA69">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536B1025">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5747F5F6">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6E48B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7EB54377">
            <w:pPr>
              <w:jc w:val="center"/>
              <w:rPr>
                <w:rFonts w:ascii="宋体" w:hAnsi="宋体" w:cs="宋体"/>
                <w:color w:val="auto"/>
                <w:sz w:val="24"/>
                <w:highlight w:val="none"/>
              </w:rPr>
            </w:pPr>
            <w:r>
              <w:rPr>
                <w:rFonts w:hint="eastAsia" w:ascii="宋体" w:hAnsi="宋体" w:cs="宋体"/>
                <w:bCs/>
                <w:color w:val="auto"/>
                <w:sz w:val="24"/>
                <w:highlight w:val="none"/>
              </w:rPr>
              <w:t>磋商报价要求</w:t>
            </w:r>
          </w:p>
        </w:tc>
        <w:tc>
          <w:tcPr>
            <w:tcW w:w="2668" w:type="dxa"/>
            <w:tcBorders>
              <w:top w:val="single" w:color="auto" w:sz="4" w:space="0"/>
              <w:left w:val="single" w:color="auto" w:sz="4" w:space="0"/>
              <w:bottom w:val="single" w:color="auto" w:sz="4" w:space="0"/>
              <w:right w:val="single" w:color="auto" w:sz="4" w:space="0"/>
            </w:tcBorders>
            <w:vAlign w:val="center"/>
          </w:tcPr>
          <w:p w14:paraId="4C4352F3">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FDE3051">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4B5313D3">
            <w:pPr>
              <w:spacing w:line="360" w:lineRule="auto"/>
              <w:contextualSpacing/>
              <w:jc w:val="center"/>
              <w:rPr>
                <w:rFonts w:ascii="宋体" w:hAnsi="宋体" w:cs="宋体"/>
                <w:color w:val="auto"/>
                <w:sz w:val="24"/>
                <w:highlight w:val="none"/>
              </w:rPr>
            </w:pPr>
          </w:p>
        </w:tc>
      </w:tr>
      <w:tr w14:paraId="65E98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178" w:type="dxa"/>
            <w:tcBorders>
              <w:top w:val="single" w:color="auto" w:sz="4" w:space="0"/>
              <w:left w:val="single" w:color="auto" w:sz="4" w:space="0"/>
              <w:bottom w:val="single" w:color="auto" w:sz="4" w:space="0"/>
              <w:right w:val="single" w:color="auto" w:sz="4" w:space="0"/>
            </w:tcBorders>
            <w:vAlign w:val="center"/>
          </w:tcPr>
          <w:p w14:paraId="2ACD009A">
            <w:pPr>
              <w:jc w:val="center"/>
              <w:rPr>
                <w:rFonts w:ascii="宋体" w:hAnsi="宋体" w:cs="宋体"/>
                <w:color w:val="auto"/>
                <w:sz w:val="24"/>
                <w:highlight w:val="none"/>
              </w:rPr>
            </w:pPr>
            <w:r>
              <w:rPr>
                <w:rFonts w:hint="eastAsia" w:ascii="宋体" w:hAnsi="宋体" w:cs="宋体"/>
                <w:color w:val="auto"/>
                <w:sz w:val="24"/>
                <w:highlight w:val="none"/>
              </w:rPr>
              <w:t>合同履约期限</w:t>
            </w:r>
          </w:p>
        </w:tc>
        <w:tc>
          <w:tcPr>
            <w:tcW w:w="2668" w:type="dxa"/>
            <w:tcBorders>
              <w:top w:val="single" w:color="auto" w:sz="4" w:space="0"/>
              <w:left w:val="single" w:color="auto" w:sz="4" w:space="0"/>
              <w:bottom w:val="single" w:color="auto" w:sz="4" w:space="0"/>
              <w:right w:val="single" w:color="auto" w:sz="4" w:space="0"/>
            </w:tcBorders>
            <w:vAlign w:val="center"/>
          </w:tcPr>
          <w:p w14:paraId="14E69FC6">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5DDD137D">
            <w:pPr>
              <w:spacing w:line="360" w:lineRule="auto"/>
              <w:ind w:left="43"/>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7C5D80AD">
            <w:pPr>
              <w:spacing w:line="360" w:lineRule="auto"/>
              <w:ind w:left="43"/>
              <w:contextualSpacing/>
              <w:jc w:val="center"/>
              <w:rPr>
                <w:rFonts w:ascii="宋体" w:hAnsi="宋体" w:cs="宋体"/>
                <w:color w:val="auto"/>
                <w:sz w:val="24"/>
                <w:highlight w:val="none"/>
              </w:rPr>
            </w:pPr>
          </w:p>
        </w:tc>
      </w:tr>
      <w:tr w14:paraId="67AFE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053676B0">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261BEACB">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6A18E06A">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747966A7">
            <w:pPr>
              <w:spacing w:line="360" w:lineRule="auto"/>
              <w:contextualSpacing/>
              <w:jc w:val="center"/>
              <w:rPr>
                <w:rFonts w:ascii="宋体" w:hAnsi="宋体" w:cs="宋体"/>
                <w:color w:val="auto"/>
                <w:sz w:val="24"/>
                <w:highlight w:val="none"/>
              </w:rPr>
            </w:pPr>
          </w:p>
        </w:tc>
      </w:tr>
      <w:tr w14:paraId="57DCC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486C862A">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12A0CBC3">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6C5C3E7F">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B073BFA">
            <w:pPr>
              <w:spacing w:line="360" w:lineRule="auto"/>
              <w:contextualSpacing/>
              <w:jc w:val="center"/>
              <w:rPr>
                <w:rFonts w:ascii="宋体" w:hAnsi="宋体" w:cs="宋体"/>
                <w:color w:val="auto"/>
                <w:sz w:val="24"/>
                <w:highlight w:val="none"/>
              </w:rPr>
            </w:pPr>
          </w:p>
        </w:tc>
      </w:tr>
    </w:tbl>
    <w:p w14:paraId="4C85C4E9">
      <w:pPr>
        <w:pStyle w:val="14"/>
        <w:spacing w:after="0" w:line="360" w:lineRule="auto"/>
        <w:contextualSpacing/>
        <w:rPr>
          <w:rFonts w:ascii="宋体" w:hAnsi="宋体" w:cs="宋体"/>
          <w:color w:val="auto"/>
          <w:kern w:val="0"/>
          <w:sz w:val="24"/>
          <w:szCs w:val="24"/>
          <w:highlight w:val="none"/>
        </w:rPr>
      </w:pPr>
    </w:p>
    <w:p w14:paraId="4F9385F4">
      <w:pPr>
        <w:pStyle w:val="14"/>
        <w:spacing w:after="0" w:line="360" w:lineRule="auto"/>
        <w:ind w:firstLine="240" w:firstLineChars="100"/>
        <w:contextualSpacing/>
        <w:rPr>
          <w:rFonts w:hint="eastAsia" w:ascii="宋体" w:hAnsi="宋体" w:cs="宋体"/>
          <w:color w:val="auto"/>
          <w:kern w:val="0"/>
          <w:sz w:val="24"/>
          <w:szCs w:val="24"/>
          <w:highlight w:val="none"/>
        </w:rPr>
      </w:pPr>
    </w:p>
    <w:p w14:paraId="6D7D3F09">
      <w:pPr>
        <w:pStyle w:val="14"/>
        <w:spacing w:after="0" w:line="360" w:lineRule="auto"/>
        <w:ind w:firstLine="240" w:firstLineChars="100"/>
        <w:contextualSpacing/>
        <w:rPr>
          <w:rFonts w:hint="eastAsia" w:ascii="宋体" w:hAnsi="宋体" w:cs="宋体"/>
          <w:color w:val="auto"/>
          <w:kern w:val="0"/>
          <w:sz w:val="24"/>
          <w:szCs w:val="24"/>
          <w:highlight w:val="none"/>
        </w:rPr>
      </w:pPr>
    </w:p>
    <w:p w14:paraId="31FD39A5">
      <w:pPr>
        <w:pStyle w:val="14"/>
        <w:spacing w:after="0" w:line="360" w:lineRule="auto"/>
        <w:ind w:firstLine="240" w:firstLineChars="100"/>
        <w:contextualSpacing/>
        <w:rPr>
          <w:rFonts w:hint="eastAsia" w:ascii="宋体" w:hAnsi="宋体" w:cs="宋体"/>
          <w:color w:val="auto"/>
          <w:kern w:val="0"/>
          <w:sz w:val="24"/>
          <w:szCs w:val="24"/>
          <w:highlight w:val="none"/>
        </w:rPr>
      </w:pPr>
    </w:p>
    <w:p w14:paraId="00C5632A">
      <w:pPr>
        <w:pStyle w:val="14"/>
        <w:spacing w:after="0" w:line="360" w:lineRule="auto"/>
        <w:ind w:firstLine="240" w:firstLineChars="100"/>
        <w:contextualSpacing/>
        <w:rPr>
          <w:rFonts w:hint="eastAsia" w:ascii="宋体" w:hAnsi="宋体" w:cs="宋体"/>
          <w:color w:val="auto"/>
          <w:kern w:val="0"/>
          <w:sz w:val="24"/>
          <w:szCs w:val="24"/>
          <w:highlight w:val="none"/>
        </w:rPr>
      </w:pPr>
    </w:p>
    <w:p w14:paraId="355FD04C">
      <w:pPr>
        <w:pStyle w:val="14"/>
        <w:spacing w:after="0" w:line="360" w:lineRule="auto"/>
        <w:ind w:firstLine="240" w:firstLineChars="100"/>
        <w:contextualSpacing/>
        <w:rPr>
          <w:rFonts w:hint="eastAsia" w:ascii="宋体" w:hAnsi="宋体" w:cs="宋体"/>
          <w:color w:val="auto"/>
          <w:kern w:val="0"/>
          <w:sz w:val="24"/>
          <w:szCs w:val="24"/>
          <w:highlight w:val="none"/>
        </w:rPr>
      </w:pPr>
    </w:p>
    <w:p w14:paraId="4E019530">
      <w:pPr>
        <w:pStyle w:val="14"/>
        <w:spacing w:after="0" w:line="360" w:lineRule="auto"/>
        <w:ind w:firstLine="240" w:firstLineChars="100"/>
        <w:contextualSpacing/>
        <w:rPr>
          <w:rFonts w:hint="eastAsia" w:ascii="宋体" w:hAnsi="宋体" w:cs="宋体"/>
          <w:color w:val="auto"/>
          <w:kern w:val="0"/>
          <w:sz w:val="24"/>
          <w:szCs w:val="24"/>
          <w:highlight w:val="none"/>
        </w:rPr>
      </w:pPr>
    </w:p>
    <w:p w14:paraId="51E6C22D">
      <w:pPr>
        <w:pStyle w:val="14"/>
        <w:spacing w:after="0" w:line="360" w:lineRule="auto"/>
        <w:ind w:firstLine="240" w:firstLineChars="1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0EE31FA4">
      <w:pPr>
        <w:pStyle w:val="14"/>
        <w:spacing w:after="0"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 说明：应对照磋商文件“第三章 采购需求”中的商务要求逐条作出明确响应，并作出偏离说明。</w:t>
      </w:r>
    </w:p>
    <w:p w14:paraId="76AEB024">
      <w:pPr>
        <w:spacing w:line="360" w:lineRule="auto"/>
        <w:contextualSpacing/>
        <w:jc w:val="left"/>
        <w:rPr>
          <w:rFonts w:ascii="宋体" w:hAnsi="宋体" w:cs="宋体"/>
          <w:color w:val="auto"/>
          <w:sz w:val="24"/>
          <w:highlight w:val="none"/>
          <w:u w:val="single"/>
        </w:rPr>
      </w:pPr>
      <w:r>
        <w:rPr>
          <w:rFonts w:hint="eastAsia" w:ascii="宋体" w:hAnsi="宋体" w:cs="宋体"/>
          <w:color w:val="auto"/>
          <w:kern w:val="0"/>
          <w:sz w:val="24"/>
          <w:highlight w:val="none"/>
        </w:rPr>
        <w:t>2.供应商应根据自身的承诺，对照磋商文件要求在“偏离说明”中注明“正偏离”、“负偏离”或者“无偏离”。既不属于“正偏离”也不属于“负偏离”即为“无偏离”。</w:t>
      </w:r>
    </w:p>
    <w:p w14:paraId="778494E8">
      <w:pPr>
        <w:spacing w:line="360" w:lineRule="auto"/>
        <w:ind w:right="-817" w:rightChars="-389"/>
        <w:contextualSpacing/>
        <w:rPr>
          <w:rFonts w:ascii="宋体" w:hAnsi="宋体" w:cs="宋体"/>
          <w:color w:val="auto"/>
          <w:sz w:val="24"/>
          <w:highlight w:val="none"/>
        </w:rPr>
      </w:pPr>
    </w:p>
    <w:p w14:paraId="09FB7DD0">
      <w:pPr>
        <w:spacing w:line="360" w:lineRule="auto"/>
        <w:ind w:right="-817" w:rightChars="-389" w:firstLine="4800" w:firstLineChars="2000"/>
        <w:contextualSpacing/>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14:paraId="3FE9814E">
      <w:pPr>
        <w:spacing w:line="360" w:lineRule="auto"/>
        <w:ind w:right="-817" w:rightChars="-389" w:firstLine="4800" w:firstLineChars="2000"/>
        <w:contextualSpacing/>
        <w:rPr>
          <w:rFonts w:ascii="宋体" w:hAnsi="宋体" w:cs="宋体"/>
          <w:color w:val="auto"/>
          <w:sz w:val="24"/>
          <w:highlight w:val="none"/>
        </w:rPr>
      </w:pPr>
      <w:r>
        <w:rPr>
          <w:rFonts w:hint="eastAsia" w:ascii="宋体" w:hAnsi="宋体" w:cs="宋体"/>
          <w:color w:val="auto"/>
          <w:sz w:val="24"/>
          <w:highlight w:val="none"/>
        </w:rPr>
        <w:t xml:space="preserve">供应商（盖公章）：      </w:t>
      </w:r>
    </w:p>
    <w:p w14:paraId="410A5D40">
      <w:pPr>
        <w:spacing w:line="360" w:lineRule="auto"/>
        <w:ind w:right="-817" w:rightChars="-389" w:firstLine="4800" w:firstLineChars="2000"/>
        <w:contextualSpacing/>
        <w:rPr>
          <w:rFonts w:ascii="宋体" w:hAnsi="宋体" w:cs="宋体"/>
          <w:b/>
          <w:color w:val="auto"/>
          <w:sz w:val="32"/>
          <w:szCs w:val="32"/>
          <w:highlight w:val="none"/>
        </w:rPr>
      </w:pPr>
      <w:r>
        <w:rPr>
          <w:rFonts w:hint="eastAsia" w:ascii="宋体" w:hAnsi="宋体" w:cs="宋体"/>
          <w:color w:val="auto"/>
          <w:sz w:val="24"/>
          <w:highlight w:val="none"/>
        </w:rPr>
        <w:t>日期：   年   月   日</w:t>
      </w:r>
    </w:p>
    <w:p w14:paraId="7946CE4F">
      <w:pPr>
        <w:adjustRightInd w:val="0"/>
        <w:snapToGrid w:val="0"/>
        <w:spacing w:line="520" w:lineRule="exact"/>
        <w:ind w:firstLine="7040" w:firstLineChars="1600"/>
        <w:jc w:val="center"/>
        <w:rPr>
          <w:rFonts w:ascii="宋体" w:hAnsi="宋体" w:cs="宋体"/>
          <w:bCs/>
          <w:color w:val="auto"/>
          <w:sz w:val="44"/>
          <w:szCs w:val="44"/>
          <w:highlight w:val="none"/>
        </w:rPr>
      </w:pPr>
    </w:p>
    <w:p w14:paraId="6F88C695">
      <w:pPr>
        <w:adjustRightInd w:val="0"/>
        <w:snapToGrid w:val="0"/>
        <w:spacing w:line="520" w:lineRule="exact"/>
        <w:ind w:firstLine="7040" w:firstLineChars="1600"/>
        <w:jc w:val="center"/>
        <w:rPr>
          <w:rFonts w:ascii="宋体" w:hAnsi="宋体" w:cs="宋体"/>
          <w:bCs/>
          <w:color w:val="auto"/>
          <w:sz w:val="44"/>
          <w:szCs w:val="44"/>
          <w:highlight w:val="none"/>
        </w:rPr>
      </w:pPr>
    </w:p>
    <w:p w14:paraId="71C0C632">
      <w:pPr>
        <w:adjustRightInd w:val="0"/>
        <w:snapToGrid w:val="0"/>
        <w:spacing w:line="520" w:lineRule="exact"/>
        <w:ind w:firstLine="7040" w:firstLineChars="1600"/>
        <w:jc w:val="center"/>
        <w:rPr>
          <w:rFonts w:ascii="宋体" w:hAnsi="宋体" w:cs="宋体"/>
          <w:bCs/>
          <w:color w:val="auto"/>
          <w:sz w:val="44"/>
          <w:szCs w:val="44"/>
          <w:highlight w:val="none"/>
        </w:rPr>
      </w:pPr>
    </w:p>
    <w:p w14:paraId="5CF4DBAA">
      <w:pPr>
        <w:adjustRightInd w:val="0"/>
        <w:snapToGrid w:val="0"/>
        <w:spacing w:line="520" w:lineRule="exact"/>
        <w:ind w:firstLine="7040" w:firstLineChars="1600"/>
        <w:jc w:val="center"/>
        <w:rPr>
          <w:rFonts w:ascii="宋体" w:hAnsi="宋体" w:cs="宋体"/>
          <w:bCs/>
          <w:color w:val="auto"/>
          <w:sz w:val="44"/>
          <w:szCs w:val="44"/>
          <w:highlight w:val="none"/>
        </w:rPr>
      </w:pPr>
    </w:p>
    <w:p w14:paraId="6AB53652">
      <w:pPr>
        <w:adjustRightInd w:val="0"/>
        <w:snapToGrid w:val="0"/>
        <w:spacing w:line="30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br w:type="page"/>
      </w:r>
      <w:r>
        <w:rPr>
          <w:rFonts w:hint="eastAsia" w:ascii="宋体" w:hAnsi="宋体" w:cs="宋体"/>
          <w:bCs/>
          <w:color w:val="auto"/>
          <w:sz w:val="44"/>
          <w:szCs w:val="44"/>
          <w:highlight w:val="none"/>
        </w:rPr>
        <w:t>技术要求偏离表</w:t>
      </w:r>
    </w:p>
    <w:p w14:paraId="17A91923">
      <w:pPr>
        <w:spacing w:line="520" w:lineRule="exact"/>
        <w:rPr>
          <w:rFonts w:ascii="宋体" w:hAnsi="宋体" w:cs="宋体"/>
          <w:color w:val="auto"/>
          <w:sz w:val="32"/>
          <w:szCs w:val="32"/>
          <w:highlight w:val="none"/>
        </w:rPr>
      </w:pPr>
    </w:p>
    <w:p w14:paraId="2E9DE9B9">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07AA69E9">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p w14:paraId="79CB6533">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分标号：</w:t>
      </w:r>
      <w:r>
        <w:rPr>
          <w:rFonts w:hint="eastAsia" w:ascii="宋体" w:hAnsi="宋体" w:cs="宋体"/>
          <w:color w:val="auto"/>
          <w:sz w:val="24"/>
          <w:highlight w:val="none"/>
          <w:u w:val="single"/>
        </w:rPr>
        <w:t xml:space="preserve">                       </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14"/>
        <w:gridCol w:w="1014"/>
        <w:gridCol w:w="3368"/>
        <w:gridCol w:w="3031"/>
        <w:gridCol w:w="1655"/>
      </w:tblGrid>
      <w:tr w14:paraId="3327A8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3213F68C">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60" w:name="_Toc383699906"/>
            <w:bookmarkStart w:id="61" w:name="_Toc297193185"/>
            <w:bookmarkStart w:id="62" w:name="_Toc254970588"/>
            <w:bookmarkStart w:id="63" w:name="_Toc373333689"/>
            <w:bookmarkStart w:id="64" w:name="_Toc295404981"/>
            <w:bookmarkStart w:id="65" w:name="_Toc254970729"/>
            <w:bookmarkStart w:id="66" w:name="_Toc301781611"/>
            <w:bookmarkStart w:id="67" w:name="_Toc173211900"/>
            <w:bookmarkStart w:id="68" w:name="_Toc173066401"/>
            <w:r>
              <w:rPr>
                <w:rFonts w:hint="eastAsia" w:ascii="宋体" w:hAnsi="宋体" w:eastAsia="宋体" w:cs="宋体"/>
                <w:color w:val="auto"/>
                <w:kern w:val="2"/>
                <w:sz w:val="24"/>
                <w:szCs w:val="24"/>
                <w:highlight w:val="none"/>
              </w:rPr>
              <w:t>序号</w:t>
            </w:r>
            <w:bookmarkEnd w:id="60"/>
            <w:bookmarkEnd w:id="61"/>
            <w:bookmarkEnd w:id="62"/>
            <w:bookmarkEnd w:id="63"/>
            <w:bookmarkEnd w:id="64"/>
            <w:bookmarkEnd w:id="65"/>
            <w:bookmarkEnd w:id="66"/>
            <w:bookmarkEnd w:id="67"/>
            <w:bookmarkEnd w:id="68"/>
          </w:p>
        </w:tc>
        <w:tc>
          <w:tcPr>
            <w:tcW w:w="503" w:type="pct"/>
            <w:tcBorders>
              <w:right w:val="single" w:color="auto" w:sz="4" w:space="0"/>
            </w:tcBorders>
            <w:vAlign w:val="center"/>
          </w:tcPr>
          <w:p w14:paraId="1AE81AD0">
            <w:pPr>
              <w:pStyle w:val="18"/>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p>
        </w:tc>
        <w:tc>
          <w:tcPr>
            <w:tcW w:w="1670" w:type="pct"/>
            <w:tcBorders>
              <w:left w:val="single" w:color="auto" w:sz="4" w:space="0"/>
            </w:tcBorders>
            <w:vAlign w:val="center"/>
          </w:tcPr>
          <w:p w14:paraId="06E6D0EA">
            <w:pPr>
              <w:pStyle w:val="18"/>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磋商文件技术要求</w:t>
            </w:r>
          </w:p>
        </w:tc>
        <w:tc>
          <w:tcPr>
            <w:tcW w:w="1503" w:type="pct"/>
            <w:vAlign w:val="center"/>
          </w:tcPr>
          <w:p w14:paraId="445941D2">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69" w:name="_Toc383699908"/>
            <w:bookmarkStart w:id="70" w:name="_Toc295404983"/>
            <w:bookmarkStart w:id="71" w:name="_Toc173211902"/>
            <w:bookmarkStart w:id="72" w:name="_Toc373333691"/>
            <w:bookmarkStart w:id="73" w:name="_Toc254970731"/>
            <w:bookmarkStart w:id="74" w:name="_Toc301781613"/>
            <w:bookmarkStart w:id="75" w:name="_Toc173066403"/>
            <w:bookmarkStart w:id="76" w:name="_Toc297193187"/>
            <w:bookmarkStart w:id="77" w:name="_Toc254970590"/>
            <w:r>
              <w:rPr>
                <w:rFonts w:hint="eastAsia" w:ascii="宋体" w:hAnsi="宋体" w:eastAsia="宋体" w:cs="宋体"/>
                <w:color w:val="auto"/>
                <w:kern w:val="2"/>
                <w:sz w:val="24"/>
                <w:szCs w:val="24"/>
                <w:highlight w:val="none"/>
              </w:rPr>
              <w:t>竞标响应</w:t>
            </w:r>
            <w:bookmarkEnd w:id="69"/>
            <w:bookmarkEnd w:id="70"/>
            <w:bookmarkEnd w:id="71"/>
            <w:bookmarkEnd w:id="72"/>
            <w:bookmarkEnd w:id="73"/>
            <w:bookmarkEnd w:id="74"/>
            <w:bookmarkEnd w:id="75"/>
            <w:bookmarkEnd w:id="76"/>
            <w:bookmarkEnd w:id="77"/>
          </w:p>
        </w:tc>
        <w:tc>
          <w:tcPr>
            <w:tcW w:w="820" w:type="pct"/>
            <w:vAlign w:val="center"/>
          </w:tcPr>
          <w:p w14:paraId="7DDEE923">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78" w:name="_Toc383699909"/>
            <w:bookmarkStart w:id="79" w:name="_Toc173066404"/>
            <w:bookmarkStart w:id="80" w:name="_Toc297193188"/>
            <w:bookmarkStart w:id="81" w:name="_Toc373333692"/>
            <w:bookmarkStart w:id="82" w:name="_Toc295404984"/>
            <w:bookmarkStart w:id="83" w:name="_Toc173211903"/>
            <w:bookmarkStart w:id="84" w:name="_Toc254970732"/>
            <w:bookmarkStart w:id="85" w:name="_Toc301781614"/>
            <w:bookmarkStart w:id="86" w:name="_Toc254970591"/>
            <w:r>
              <w:rPr>
                <w:rFonts w:hint="eastAsia" w:ascii="宋体" w:hAnsi="宋体" w:eastAsia="宋体" w:cs="宋体"/>
                <w:color w:val="auto"/>
                <w:kern w:val="2"/>
                <w:sz w:val="24"/>
                <w:szCs w:val="24"/>
                <w:highlight w:val="none"/>
              </w:rPr>
              <w:t>偏离</w:t>
            </w:r>
            <w:bookmarkEnd w:id="78"/>
            <w:bookmarkEnd w:id="79"/>
            <w:bookmarkEnd w:id="80"/>
            <w:bookmarkEnd w:id="81"/>
            <w:bookmarkEnd w:id="82"/>
            <w:bookmarkEnd w:id="83"/>
            <w:bookmarkEnd w:id="84"/>
            <w:bookmarkEnd w:id="85"/>
            <w:bookmarkEnd w:id="86"/>
            <w:bookmarkStart w:id="87" w:name="_Toc254970592"/>
            <w:bookmarkStart w:id="88" w:name="_Toc173211904"/>
            <w:bookmarkStart w:id="89" w:name="_Toc297193189"/>
            <w:bookmarkStart w:id="90" w:name="_Toc254970733"/>
            <w:bookmarkStart w:id="91" w:name="_Toc295404985"/>
            <w:bookmarkStart w:id="92" w:name="_Toc373333693"/>
            <w:bookmarkStart w:id="93" w:name="_Toc173066405"/>
            <w:bookmarkStart w:id="94" w:name="_Toc301781615"/>
            <w:bookmarkStart w:id="95" w:name="_Toc383699910"/>
            <w:r>
              <w:rPr>
                <w:rFonts w:hint="eastAsia" w:ascii="宋体" w:hAnsi="宋体" w:eastAsia="宋体" w:cs="宋体"/>
                <w:color w:val="auto"/>
                <w:kern w:val="2"/>
                <w:sz w:val="24"/>
                <w:szCs w:val="24"/>
                <w:highlight w:val="none"/>
              </w:rPr>
              <w:t>说明</w:t>
            </w:r>
            <w:bookmarkEnd w:id="87"/>
            <w:bookmarkEnd w:id="88"/>
            <w:bookmarkEnd w:id="89"/>
            <w:bookmarkEnd w:id="90"/>
            <w:bookmarkEnd w:id="91"/>
            <w:bookmarkEnd w:id="92"/>
            <w:bookmarkEnd w:id="93"/>
            <w:bookmarkEnd w:id="94"/>
            <w:bookmarkEnd w:id="95"/>
          </w:p>
        </w:tc>
      </w:tr>
      <w:tr w14:paraId="6892FA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9DBCE38">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96" w:name="_Toc254970734"/>
            <w:bookmarkStart w:id="97" w:name="_Toc173211905"/>
            <w:bookmarkStart w:id="98" w:name="_Toc173066406"/>
            <w:bookmarkStart w:id="99" w:name="_Toc301781616"/>
            <w:bookmarkStart w:id="100" w:name="_Toc295404986"/>
            <w:bookmarkStart w:id="101" w:name="_Toc254970593"/>
            <w:bookmarkStart w:id="102" w:name="_Toc297193190"/>
            <w:bookmarkStart w:id="103" w:name="_Toc373333694"/>
            <w:bookmarkStart w:id="104" w:name="_Toc383699911"/>
            <w:r>
              <w:rPr>
                <w:rFonts w:hint="eastAsia" w:ascii="宋体" w:hAnsi="宋体" w:eastAsia="宋体" w:cs="宋体"/>
                <w:color w:val="auto"/>
                <w:kern w:val="2"/>
                <w:sz w:val="24"/>
                <w:szCs w:val="24"/>
                <w:highlight w:val="none"/>
              </w:rPr>
              <w:t>1</w:t>
            </w:r>
            <w:bookmarkEnd w:id="96"/>
            <w:bookmarkEnd w:id="97"/>
            <w:bookmarkEnd w:id="98"/>
            <w:bookmarkEnd w:id="99"/>
            <w:bookmarkEnd w:id="100"/>
            <w:bookmarkEnd w:id="101"/>
            <w:bookmarkEnd w:id="102"/>
            <w:bookmarkEnd w:id="103"/>
            <w:bookmarkEnd w:id="104"/>
          </w:p>
        </w:tc>
        <w:tc>
          <w:tcPr>
            <w:tcW w:w="503" w:type="pct"/>
            <w:tcBorders>
              <w:right w:val="single" w:color="auto" w:sz="4" w:space="0"/>
            </w:tcBorders>
            <w:vAlign w:val="center"/>
          </w:tcPr>
          <w:p w14:paraId="6156514E">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28385AD0">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7708B14B">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2C3D2081">
            <w:pPr>
              <w:pStyle w:val="18"/>
              <w:spacing w:line="360" w:lineRule="auto"/>
              <w:ind w:firstLine="0" w:firstLineChars="0"/>
              <w:contextualSpacing/>
              <w:jc w:val="center"/>
              <w:rPr>
                <w:rFonts w:ascii="宋体" w:hAnsi="宋体" w:eastAsia="宋体" w:cs="宋体"/>
                <w:color w:val="auto"/>
                <w:kern w:val="2"/>
                <w:sz w:val="24"/>
                <w:szCs w:val="24"/>
                <w:highlight w:val="none"/>
              </w:rPr>
            </w:pPr>
          </w:p>
        </w:tc>
      </w:tr>
      <w:tr w14:paraId="2FADAA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36A53399">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105" w:name="_Toc295404987"/>
            <w:bookmarkStart w:id="106" w:name="_Toc173211906"/>
            <w:bookmarkStart w:id="107" w:name="_Toc254970735"/>
            <w:bookmarkStart w:id="108" w:name="_Toc301781617"/>
            <w:bookmarkStart w:id="109" w:name="_Toc173066407"/>
            <w:bookmarkStart w:id="110" w:name="_Toc373333695"/>
            <w:bookmarkStart w:id="111" w:name="_Toc383699912"/>
            <w:bookmarkStart w:id="112" w:name="_Toc254970594"/>
            <w:bookmarkStart w:id="113" w:name="_Toc297193191"/>
            <w:r>
              <w:rPr>
                <w:rFonts w:hint="eastAsia" w:ascii="宋体" w:hAnsi="宋体" w:eastAsia="宋体" w:cs="宋体"/>
                <w:color w:val="auto"/>
                <w:kern w:val="2"/>
                <w:sz w:val="24"/>
                <w:szCs w:val="24"/>
                <w:highlight w:val="none"/>
              </w:rPr>
              <w:t>2</w:t>
            </w:r>
            <w:bookmarkEnd w:id="105"/>
            <w:bookmarkEnd w:id="106"/>
            <w:bookmarkEnd w:id="107"/>
            <w:bookmarkEnd w:id="108"/>
            <w:bookmarkEnd w:id="109"/>
            <w:bookmarkEnd w:id="110"/>
            <w:bookmarkEnd w:id="111"/>
            <w:bookmarkEnd w:id="112"/>
            <w:bookmarkEnd w:id="113"/>
          </w:p>
        </w:tc>
        <w:tc>
          <w:tcPr>
            <w:tcW w:w="503" w:type="pct"/>
            <w:tcBorders>
              <w:right w:val="single" w:color="auto" w:sz="4" w:space="0"/>
            </w:tcBorders>
            <w:vAlign w:val="center"/>
          </w:tcPr>
          <w:p w14:paraId="532CCE76">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3D2456A2">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08759F21">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6497FFDD">
            <w:pPr>
              <w:pStyle w:val="18"/>
              <w:spacing w:line="360" w:lineRule="auto"/>
              <w:ind w:firstLine="0" w:firstLineChars="0"/>
              <w:contextualSpacing/>
              <w:jc w:val="center"/>
              <w:rPr>
                <w:rFonts w:ascii="宋体" w:hAnsi="宋体" w:eastAsia="宋体" w:cs="宋体"/>
                <w:color w:val="auto"/>
                <w:kern w:val="2"/>
                <w:sz w:val="24"/>
                <w:szCs w:val="24"/>
                <w:highlight w:val="none"/>
              </w:rPr>
            </w:pPr>
          </w:p>
        </w:tc>
      </w:tr>
      <w:tr w14:paraId="336A91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7235472E">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114" w:name="_Toc373333696"/>
            <w:bookmarkStart w:id="115" w:name="_Toc254970736"/>
            <w:bookmarkStart w:id="116" w:name="_Toc173066408"/>
            <w:bookmarkStart w:id="117" w:name="_Toc254970595"/>
            <w:bookmarkStart w:id="118" w:name="_Toc383699913"/>
            <w:bookmarkStart w:id="119" w:name="_Toc301781618"/>
            <w:bookmarkStart w:id="120" w:name="_Toc173211907"/>
            <w:bookmarkStart w:id="121" w:name="_Toc297193192"/>
            <w:bookmarkStart w:id="122" w:name="_Toc295404988"/>
            <w:r>
              <w:rPr>
                <w:rFonts w:hint="eastAsia" w:ascii="宋体" w:hAnsi="宋体" w:eastAsia="宋体" w:cs="宋体"/>
                <w:color w:val="auto"/>
                <w:kern w:val="2"/>
                <w:sz w:val="24"/>
                <w:szCs w:val="24"/>
                <w:highlight w:val="none"/>
              </w:rPr>
              <w:t>3</w:t>
            </w:r>
            <w:bookmarkEnd w:id="114"/>
            <w:bookmarkEnd w:id="115"/>
            <w:bookmarkEnd w:id="116"/>
            <w:bookmarkEnd w:id="117"/>
            <w:bookmarkEnd w:id="118"/>
            <w:bookmarkEnd w:id="119"/>
            <w:bookmarkEnd w:id="120"/>
            <w:bookmarkEnd w:id="121"/>
            <w:bookmarkEnd w:id="122"/>
          </w:p>
        </w:tc>
        <w:tc>
          <w:tcPr>
            <w:tcW w:w="503" w:type="pct"/>
            <w:tcBorders>
              <w:right w:val="single" w:color="auto" w:sz="4" w:space="0"/>
            </w:tcBorders>
            <w:vAlign w:val="center"/>
          </w:tcPr>
          <w:p w14:paraId="5F3A8BF3">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22DBAC93">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44DFED4F">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365BB8DD">
            <w:pPr>
              <w:pStyle w:val="18"/>
              <w:spacing w:line="360" w:lineRule="auto"/>
              <w:ind w:firstLine="0" w:firstLineChars="0"/>
              <w:contextualSpacing/>
              <w:jc w:val="center"/>
              <w:rPr>
                <w:rFonts w:ascii="宋体" w:hAnsi="宋体" w:eastAsia="宋体" w:cs="宋体"/>
                <w:color w:val="auto"/>
                <w:kern w:val="2"/>
                <w:sz w:val="24"/>
                <w:szCs w:val="24"/>
                <w:highlight w:val="none"/>
              </w:rPr>
            </w:pPr>
          </w:p>
        </w:tc>
      </w:tr>
      <w:tr w14:paraId="7F9270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82D00A0">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123" w:name="_Toc254970596"/>
            <w:bookmarkStart w:id="124" w:name="_Toc173066409"/>
            <w:bookmarkStart w:id="125" w:name="_Toc254970737"/>
            <w:bookmarkStart w:id="126" w:name="_Toc297193193"/>
            <w:bookmarkStart w:id="127" w:name="_Toc295404989"/>
            <w:bookmarkStart w:id="128" w:name="_Toc301781619"/>
            <w:bookmarkStart w:id="129" w:name="_Toc173211908"/>
            <w:bookmarkStart w:id="130" w:name="_Toc373333697"/>
            <w:bookmarkStart w:id="131" w:name="_Toc383699914"/>
            <w:r>
              <w:rPr>
                <w:rFonts w:hint="eastAsia" w:ascii="宋体" w:hAnsi="宋体" w:eastAsia="宋体" w:cs="宋体"/>
                <w:color w:val="auto"/>
                <w:kern w:val="2"/>
                <w:sz w:val="24"/>
                <w:szCs w:val="24"/>
                <w:highlight w:val="none"/>
              </w:rPr>
              <w:t>4</w:t>
            </w:r>
            <w:bookmarkEnd w:id="123"/>
            <w:bookmarkEnd w:id="124"/>
            <w:bookmarkEnd w:id="125"/>
            <w:bookmarkEnd w:id="126"/>
            <w:bookmarkEnd w:id="127"/>
            <w:bookmarkEnd w:id="128"/>
            <w:bookmarkEnd w:id="129"/>
            <w:bookmarkEnd w:id="130"/>
            <w:bookmarkEnd w:id="131"/>
          </w:p>
        </w:tc>
        <w:tc>
          <w:tcPr>
            <w:tcW w:w="503" w:type="pct"/>
            <w:tcBorders>
              <w:right w:val="single" w:color="auto" w:sz="4" w:space="0"/>
            </w:tcBorders>
            <w:vAlign w:val="center"/>
          </w:tcPr>
          <w:p w14:paraId="4CBEBD44">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12419622">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59FC6D85">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1B098BBE">
            <w:pPr>
              <w:pStyle w:val="18"/>
              <w:spacing w:line="360" w:lineRule="auto"/>
              <w:ind w:firstLine="0" w:firstLineChars="0"/>
              <w:contextualSpacing/>
              <w:jc w:val="center"/>
              <w:rPr>
                <w:rFonts w:ascii="宋体" w:hAnsi="宋体" w:eastAsia="宋体" w:cs="宋体"/>
                <w:color w:val="auto"/>
                <w:kern w:val="2"/>
                <w:sz w:val="24"/>
                <w:szCs w:val="24"/>
                <w:highlight w:val="none"/>
              </w:rPr>
            </w:pPr>
          </w:p>
        </w:tc>
      </w:tr>
      <w:tr w14:paraId="1D8558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71EAC3FC">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132" w:name="_Toc301781620"/>
            <w:bookmarkStart w:id="133" w:name="_Toc173211909"/>
            <w:bookmarkStart w:id="134" w:name="_Toc297193194"/>
            <w:bookmarkStart w:id="135" w:name="_Toc254970738"/>
            <w:bookmarkStart w:id="136" w:name="_Toc383699915"/>
            <w:bookmarkStart w:id="137" w:name="_Toc373333698"/>
            <w:bookmarkStart w:id="138" w:name="_Toc173066410"/>
            <w:bookmarkStart w:id="139" w:name="_Toc254970597"/>
            <w:bookmarkStart w:id="140" w:name="_Toc295404990"/>
            <w:r>
              <w:rPr>
                <w:rFonts w:hint="eastAsia" w:ascii="宋体" w:hAnsi="宋体" w:eastAsia="宋体" w:cs="宋体"/>
                <w:color w:val="auto"/>
                <w:kern w:val="2"/>
                <w:sz w:val="24"/>
                <w:szCs w:val="24"/>
                <w:highlight w:val="none"/>
              </w:rPr>
              <w:t>5</w:t>
            </w:r>
            <w:bookmarkEnd w:id="132"/>
            <w:bookmarkEnd w:id="133"/>
            <w:bookmarkEnd w:id="134"/>
            <w:bookmarkEnd w:id="135"/>
            <w:bookmarkEnd w:id="136"/>
            <w:bookmarkEnd w:id="137"/>
            <w:bookmarkEnd w:id="138"/>
            <w:bookmarkEnd w:id="139"/>
            <w:bookmarkEnd w:id="140"/>
          </w:p>
        </w:tc>
        <w:tc>
          <w:tcPr>
            <w:tcW w:w="503" w:type="pct"/>
            <w:tcBorders>
              <w:right w:val="single" w:color="auto" w:sz="4" w:space="0"/>
            </w:tcBorders>
            <w:vAlign w:val="center"/>
          </w:tcPr>
          <w:p w14:paraId="7CEE069A">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57C9CA42">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2EE394C5">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79742F9D">
            <w:pPr>
              <w:pStyle w:val="18"/>
              <w:spacing w:line="360" w:lineRule="auto"/>
              <w:ind w:firstLine="0" w:firstLineChars="0"/>
              <w:contextualSpacing/>
              <w:jc w:val="center"/>
              <w:rPr>
                <w:rFonts w:ascii="宋体" w:hAnsi="宋体" w:eastAsia="宋体" w:cs="宋体"/>
                <w:color w:val="auto"/>
                <w:kern w:val="2"/>
                <w:sz w:val="24"/>
                <w:szCs w:val="24"/>
                <w:highlight w:val="none"/>
              </w:rPr>
            </w:pPr>
          </w:p>
        </w:tc>
      </w:tr>
      <w:tr w14:paraId="3A4174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vAlign w:val="center"/>
          </w:tcPr>
          <w:p w14:paraId="6FEBCCA9">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141" w:name="_Toc254970743"/>
            <w:bookmarkStart w:id="142" w:name="_Toc373333699"/>
            <w:bookmarkStart w:id="143" w:name="_Toc295404991"/>
            <w:bookmarkStart w:id="144" w:name="_Toc301781621"/>
            <w:bookmarkStart w:id="145" w:name="_Toc383699916"/>
            <w:bookmarkStart w:id="146" w:name="_Toc173211914"/>
            <w:bookmarkStart w:id="147" w:name="_Toc254970602"/>
            <w:bookmarkStart w:id="148" w:name="_Toc173066415"/>
            <w:bookmarkStart w:id="149" w:name="_Toc297193195"/>
            <w:r>
              <w:rPr>
                <w:rFonts w:hint="eastAsia" w:ascii="宋体" w:hAnsi="宋体" w:eastAsia="宋体" w:cs="宋体"/>
                <w:color w:val="auto"/>
                <w:kern w:val="2"/>
                <w:sz w:val="24"/>
                <w:szCs w:val="24"/>
                <w:highlight w:val="none"/>
              </w:rPr>
              <w:t>…</w:t>
            </w:r>
            <w:bookmarkEnd w:id="141"/>
            <w:bookmarkEnd w:id="142"/>
            <w:bookmarkEnd w:id="143"/>
            <w:bookmarkEnd w:id="144"/>
            <w:bookmarkEnd w:id="145"/>
            <w:bookmarkEnd w:id="146"/>
            <w:bookmarkEnd w:id="147"/>
            <w:bookmarkEnd w:id="148"/>
            <w:bookmarkEnd w:id="149"/>
          </w:p>
        </w:tc>
        <w:tc>
          <w:tcPr>
            <w:tcW w:w="503" w:type="pct"/>
            <w:tcBorders>
              <w:right w:val="single" w:color="auto" w:sz="4" w:space="0"/>
            </w:tcBorders>
            <w:vAlign w:val="center"/>
          </w:tcPr>
          <w:p w14:paraId="10762A3A">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2BF7109A">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503B279B">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tcBorders>
              <w:right w:val="single" w:color="auto" w:sz="4" w:space="0"/>
            </w:tcBorders>
            <w:vAlign w:val="center"/>
          </w:tcPr>
          <w:p w14:paraId="7FBBB4C8">
            <w:pPr>
              <w:pStyle w:val="18"/>
              <w:spacing w:line="360" w:lineRule="auto"/>
              <w:ind w:firstLine="0" w:firstLineChars="0"/>
              <w:contextualSpacing/>
              <w:jc w:val="center"/>
              <w:rPr>
                <w:rFonts w:ascii="宋体" w:hAnsi="宋体" w:eastAsia="宋体" w:cs="宋体"/>
                <w:color w:val="auto"/>
                <w:kern w:val="2"/>
                <w:sz w:val="24"/>
                <w:szCs w:val="24"/>
                <w:highlight w:val="none"/>
              </w:rPr>
            </w:pPr>
          </w:p>
        </w:tc>
      </w:tr>
    </w:tbl>
    <w:p w14:paraId="42913EAF">
      <w:pPr>
        <w:adjustRightInd w:val="0"/>
        <w:spacing w:line="360" w:lineRule="auto"/>
        <w:contextualSpacing/>
        <w:rPr>
          <w:rFonts w:ascii="宋体" w:hAnsi="宋体" w:cs="宋体"/>
          <w:color w:val="auto"/>
          <w:sz w:val="24"/>
          <w:highlight w:val="none"/>
        </w:rPr>
      </w:pPr>
    </w:p>
    <w:p w14:paraId="0E158145">
      <w:pPr>
        <w:pStyle w:val="18"/>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8220DFA">
      <w:pPr>
        <w:pStyle w:val="18"/>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说明：应对照磋商文件“第三章 采购需求”中的技术要求逐条作出明确响应，并作出偏离说明。</w:t>
      </w:r>
    </w:p>
    <w:p w14:paraId="7933AF39">
      <w:pPr>
        <w:pStyle w:val="18"/>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w:t>
      </w:r>
    </w:p>
    <w:p w14:paraId="5342D709">
      <w:pPr>
        <w:spacing w:line="360" w:lineRule="auto"/>
        <w:ind w:right="-817" w:rightChars="-389"/>
        <w:contextualSpacing/>
        <w:rPr>
          <w:rFonts w:ascii="宋体" w:hAnsi="宋体" w:cs="宋体"/>
          <w:color w:val="auto"/>
          <w:sz w:val="24"/>
          <w:highlight w:val="none"/>
        </w:rPr>
      </w:pPr>
    </w:p>
    <w:p w14:paraId="343A59CC">
      <w:pPr>
        <w:spacing w:line="360" w:lineRule="auto"/>
        <w:ind w:right="-817" w:rightChars="-389" w:firstLine="960" w:firstLineChars="400"/>
        <w:contextualSpacing/>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14:paraId="7BF6114F">
      <w:pPr>
        <w:spacing w:line="360" w:lineRule="auto"/>
        <w:ind w:right="-817" w:rightChars="-389" w:firstLine="2640" w:firstLineChars="1100"/>
        <w:contextualSpacing/>
        <w:rPr>
          <w:rFonts w:ascii="宋体" w:hAnsi="宋体" w:cs="宋体"/>
          <w:color w:val="auto"/>
          <w:sz w:val="24"/>
          <w:highlight w:val="none"/>
        </w:rPr>
      </w:pPr>
      <w:r>
        <w:rPr>
          <w:rFonts w:hint="eastAsia" w:ascii="宋体" w:hAnsi="宋体" w:cs="宋体"/>
          <w:color w:val="auto"/>
          <w:sz w:val="24"/>
          <w:highlight w:val="none"/>
        </w:rPr>
        <w:t xml:space="preserve">供应商（盖公章）：      </w:t>
      </w:r>
    </w:p>
    <w:p w14:paraId="671098C5">
      <w:pPr>
        <w:spacing w:line="360" w:lineRule="auto"/>
        <w:ind w:right="-817" w:rightChars="-389" w:firstLine="4080" w:firstLineChars="1700"/>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2035A997">
      <w:pPr>
        <w:snapToGrid w:val="0"/>
        <w:spacing w:before="156" w:beforeLines="50" w:after="50"/>
        <w:ind w:left="142"/>
        <w:jc w:val="left"/>
        <w:rPr>
          <w:rFonts w:ascii="宋体" w:hAnsi="宋体" w:cs="宋体"/>
          <w:b/>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项目实施人员一览表格式</w:t>
      </w:r>
    </w:p>
    <w:p w14:paraId="19CEAFE3">
      <w:pPr>
        <w:snapToGrid w:val="0"/>
        <w:spacing w:before="156" w:beforeLines="50" w:after="50"/>
        <w:ind w:left="142"/>
        <w:jc w:val="left"/>
        <w:rPr>
          <w:rFonts w:ascii="宋体" w:hAnsi="宋体" w:cs="宋体"/>
          <w:b/>
          <w:color w:val="auto"/>
          <w:sz w:val="24"/>
          <w:highlight w:val="none"/>
        </w:rPr>
      </w:pPr>
    </w:p>
    <w:p w14:paraId="0A1B7EBD">
      <w:pPr>
        <w:spacing w:line="360" w:lineRule="auto"/>
        <w:ind w:left="142"/>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14:paraId="085317F7">
      <w:pPr>
        <w:pStyle w:val="20"/>
        <w:spacing w:line="360" w:lineRule="auto"/>
        <w:contextualSpacing/>
        <w:rPr>
          <w:rFonts w:hAnsi="宋体" w:cs="宋体"/>
          <w:color w:val="auto"/>
          <w:sz w:val="24"/>
          <w:szCs w:val="24"/>
          <w:highlight w:val="none"/>
        </w:rPr>
      </w:pPr>
      <w:r>
        <w:rPr>
          <w:rFonts w:hint="eastAsia" w:hAnsi="宋体" w:cs="宋体"/>
          <w:color w:val="auto"/>
          <w:sz w:val="24"/>
          <w:szCs w:val="24"/>
          <w:highlight w:val="none"/>
        </w:rPr>
        <w:t>所竞分标：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905"/>
        <w:gridCol w:w="1309"/>
        <w:gridCol w:w="1956"/>
        <w:gridCol w:w="1935"/>
      </w:tblGrid>
      <w:tr w14:paraId="3D6D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2D5DD1C4">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709" w:type="dxa"/>
            <w:vAlign w:val="center"/>
          </w:tcPr>
          <w:p w14:paraId="18E00A3A">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2905" w:type="dxa"/>
            <w:vAlign w:val="center"/>
          </w:tcPr>
          <w:p w14:paraId="4C7263D3">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309" w:type="dxa"/>
            <w:vAlign w:val="center"/>
          </w:tcPr>
          <w:p w14:paraId="24C7028C">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956" w:type="dxa"/>
            <w:vAlign w:val="center"/>
          </w:tcPr>
          <w:p w14:paraId="6DBA06F1">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14:paraId="56CC8CFD">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1935" w:type="dxa"/>
            <w:vAlign w:val="center"/>
          </w:tcPr>
          <w:p w14:paraId="2AFA3B0A">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劳动合同编号</w:t>
            </w:r>
          </w:p>
        </w:tc>
      </w:tr>
      <w:tr w14:paraId="52EC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395075F6">
            <w:pPr>
              <w:spacing w:line="360" w:lineRule="auto"/>
              <w:contextualSpacing/>
              <w:jc w:val="center"/>
              <w:rPr>
                <w:rFonts w:ascii="宋体" w:hAnsi="宋体" w:cs="宋体"/>
                <w:color w:val="auto"/>
                <w:sz w:val="24"/>
                <w:szCs w:val="20"/>
                <w:highlight w:val="none"/>
              </w:rPr>
            </w:pPr>
          </w:p>
        </w:tc>
        <w:tc>
          <w:tcPr>
            <w:tcW w:w="709" w:type="dxa"/>
            <w:vAlign w:val="center"/>
          </w:tcPr>
          <w:p w14:paraId="04B1894F">
            <w:pPr>
              <w:spacing w:line="360" w:lineRule="auto"/>
              <w:contextualSpacing/>
              <w:jc w:val="center"/>
              <w:rPr>
                <w:rFonts w:ascii="宋体" w:hAnsi="宋体" w:cs="宋体"/>
                <w:color w:val="auto"/>
                <w:sz w:val="24"/>
                <w:szCs w:val="20"/>
                <w:highlight w:val="none"/>
              </w:rPr>
            </w:pPr>
          </w:p>
        </w:tc>
        <w:tc>
          <w:tcPr>
            <w:tcW w:w="2905" w:type="dxa"/>
            <w:vAlign w:val="center"/>
          </w:tcPr>
          <w:p w14:paraId="12BE14D6">
            <w:pPr>
              <w:spacing w:line="360" w:lineRule="auto"/>
              <w:contextualSpacing/>
              <w:jc w:val="center"/>
              <w:rPr>
                <w:rFonts w:ascii="宋体" w:hAnsi="宋体" w:cs="宋体"/>
                <w:color w:val="auto"/>
                <w:sz w:val="24"/>
                <w:szCs w:val="20"/>
                <w:highlight w:val="none"/>
              </w:rPr>
            </w:pPr>
          </w:p>
        </w:tc>
        <w:tc>
          <w:tcPr>
            <w:tcW w:w="1309" w:type="dxa"/>
            <w:vAlign w:val="center"/>
          </w:tcPr>
          <w:p w14:paraId="72A03EBF">
            <w:pPr>
              <w:spacing w:line="360" w:lineRule="auto"/>
              <w:contextualSpacing/>
              <w:jc w:val="center"/>
              <w:rPr>
                <w:rFonts w:ascii="宋体" w:hAnsi="宋体" w:cs="宋体"/>
                <w:color w:val="auto"/>
                <w:sz w:val="24"/>
                <w:szCs w:val="20"/>
                <w:highlight w:val="none"/>
              </w:rPr>
            </w:pPr>
          </w:p>
        </w:tc>
        <w:tc>
          <w:tcPr>
            <w:tcW w:w="1956" w:type="dxa"/>
            <w:vAlign w:val="center"/>
          </w:tcPr>
          <w:p w14:paraId="2516378C">
            <w:pPr>
              <w:spacing w:line="360" w:lineRule="auto"/>
              <w:contextualSpacing/>
              <w:jc w:val="center"/>
              <w:rPr>
                <w:rFonts w:ascii="宋体" w:hAnsi="宋体" w:cs="宋体"/>
                <w:color w:val="auto"/>
                <w:sz w:val="24"/>
                <w:szCs w:val="20"/>
                <w:highlight w:val="none"/>
              </w:rPr>
            </w:pPr>
          </w:p>
        </w:tc>
        <w:tc>
          <w:tcPr>
            <w:tcW w:w="1935" w:type="dxa"/>
            <w:vAlign w:val="center"/>
          </w:tcPr>
          <w:p w14:paraId="0BF5ED1B">
            <w:pPr>
              <w:spacing w:line="360" w:lineRule="auto"/>
              <w:contextualSpacing/>
              <w:jc w:val="center"/>
              <w:rPr>
                <w:rFonts w:ascii="宋体" w:hAnsi="宋体" w:cs="宋体"/>
                <w:color w:val="auto"/>
                <w:sz w:val="24"/>
                <w:szCs w:val="20"/>
                <w:highlight w:val="none"/>
              </w:rPr>
            </w:pPr>
          </w:p>
        </w:tc>
      </w:tr>
      <w:tr w14:paraId="0DCA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4F74B9FE">
            <w:pPr>
              <w:spacing w:line="360" w:lineRule="auto"/>
              <w:contextualSpacing/>
              <w:jc w:val="center"/>
              <w:rPr>
                <w:rFonts w:ascii="宋体" w:hAnsi="宋体" w:cs="宋体"/>
                <w:color w:val="auto"/>
                <w:sz w:val="24"/>
                <w:szCs w:val="20"/>
                <w:highlight w:val="none"/>
              </w:rPr>
            </w:pPr>
          </w:p>
        </w:tc>
        <w:tc>
          <w:tcPr>
            <w:tcW w:w="709" w:type="dxa"/>
            <w:vAlign w:val="center"/>
          </w:tcPr>
          <w:p w14:paraId="193989F6">
            <w:pPr>
              <w:spacing w:line="360" w:lineRule="auto"/>
              <w:contextualSpacing/>
              <w:jc w:val="center"/>
              <w:rPr>
                <w:rFonts w:ascii="宋体" w:hAnsi="宋体" w:cs="宋体"/>
                <w:color w:val="auto"/>
                <w:sz w:val="24"/>
                <w:szCs w:val="20"/>
                <w:highlight w:val="none"/>
              </w:rPr>
            </w:pPr>
          </w:p>
        </w:tc>
        <w:tc>
          <w:tcPr>
            <w:tcW w:w="2905" w:type="dxa"/>
            <w:vAlign w:val="center"/>
          </w:tcPr>
          <w:p w14:paraId="6BE3407B">
            <w:pPr>
              <w:spacing w:line="360" w:lineRule="auto"/>
              <w:contextualSpacing/>
              <w:jc w:val="center"/>
              <w:rPr>
                <w:rFonts w:ascii="宋体" w:hAnsi="宋体" w:cs="宋体"/>
                <w:color w:val="auto"/>
                <w:sz w:val="24"/>
                <w:szCs w:val="20"/>
                <w:highlight w:val="none"/>
              </w:rPr>
            </w:pPr>
          </w:p>
        </w:tc>
        <w:tc>
          <w:tcPr>
            <w:tcW w:w="1309" w:type="dxa"/>
            <w:vAlign w:val="center"/>
          </w:tcPr>
          <w:p w14:paraId="198F0D3D">
            <w:pPr>
              <w:spacing w:line="360" w:lineRule="auto"/>
              <w:contextualSpacing/>
              <w:jc w:val="center"/>
              <w:rPr>
                <w:rFonts w:ascii="宋体" w:hAnsi="宋体" w:cs="宋体"/>
                <w:color w:val="auto"/>
                <w:sz w:val="24"/>
                <w:szCs w:val="20"/>
                <w:highlight w:val="none"/>
              </w:rPr>
            </w:pPr>
          </w:p>
        </w:tc>
        <w:tc>
          <w:tcPr>
            <w:tcW w:w="1956" w:type="dxa"/>
            <w:vAlign w:val="center"/>
          </w:tcPr>
          <w:p w14:paraId="68063199">
            <w:pPr>
              <w:spacing w:line="360" w:lineRule="auto"/>
              <w:contextualSpacing/>
              <w:jc w:val="center"/>
              <w:rPr>
                <w:rFonts w:ascii="宋体" w:hAnsi="宋体" w:cs="宋体"/>
                <w:color w:val="auto"/>
                <w:sz w:val="24"/>
                <w:szCs w:val="20"/>
                <w:highlight w:val="none"/>
              </w:rPr>
            </w:pPr>
          </w:p>
        </w:tc>
        <w:tc>
          <w:tcPr>
            <w:tcW w:w="1935" w:type="dxa"/>
            <w:vAlign w:val="center"/>
          </w:tcPr>
          <w:p w14:paraId="25112118">
            <w:pPr>
              <w:spacing w:line="360" w:lineRule="auto"/>
              <w:contextualSpacing/>
              <w:jc w:val="center"/>
              <w:rPr>
                <w:rFonts w:ascii="宋体" w:hAnsi="宋体" w:cs="宋体"/>
                <w:color w:val="auto"/>
                <w:sz w:val="24"/>
                <w:szCs w:val="20"/>
                <w:highlight w:val="none"/>
              </w:rPr>
            </w:pPr>
          </w:p>
        </w:tc>
      </w:tr>
      <w:tr w14:paraId="41F9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08272160">
            <w:pPr>
              <w:spacing w:line="360" w:lineRule="auto"/>
              <w:contextualSpacing/>
              <w:jc w:val="center"/>
              <w:rPr>
                <w:rFonts w:ascii="宋体" w:hAnsi="宋体" w:cs="宋体"/>
                <w:color w:val="auto"/>
                <w:sz w:val="24"/>
                <w:szCs w:val="20"/>
                <w:highlight w:val="none"/>
              </w:rPr>
            </w:pPr>
          </w:p>
        </w:tc>
        <w:tc>
          <w:tcPr>
            <w:tcW w:w="709" w:type="dxa"/>
            <w:vAlign w:val="center"/>
          </w:tcPr>
          <w:p w14:paraId="26A96768">
            <w:pPr>
              <w:spacing w:line="360" w:lineRule="auto"/>
              <w:contextualSpacing/>
              <w:jc w:val="center"/>
              <w:rPr>
                <w:rFonts w:ascii="宋体" w:hAnsi="宋体" w:cs="宋体"/>
                <w:color w:val="auto"/>
                <w:sz w:val="24"/>
                <w:szCs w:val="20"/>
                <w:highlight w:val="none"/>
              </w:rPr>
            </w:pPr>
          </w:p>
        </w:tc>
        <w:tc>
          <w:tcPr>
            <w:tcW w:w="2905" w:type="dxa"/>
            <w:vAlign w:val="center"/>
          </w:tcPr>
          <w:p w14:paraId="1F1B588B">
            <w:pPr>
              <w:spacing w:line="360" w:lineRule="auto"/>
              <w:contextualSpacing/>
              <w:jc w:val="center"/>
              <w:rPr>
                <w:rFonts w:ascii="宋体" w:hAnsi="宋体" w:cs="宋体"/>
                <w:color w:val="auto"/>
                <w:sz w:val="24"/>
                <w:szCs w:val="20"/>
                <w:highlight w:val="none"/>
              </w:rPr>
            </w:pPr>
          </w:p>
        </w:tc>
        <w:tc>
          <w:tcPr>
            <w:tcW w:w="1309" w:type="dxa"/>
            <w:vAlign w:val="center"/>
          </w:tcPr>
          <w:p w14:paraId="4D4C0603">
            <w:pPr>
              <w:spacing w:line="360" w:lineRule="auto"/>
              <w:contextualSpacing/>
              <w:jc w:val="center"/>
              <w:rPr>
                <w:rFonts w:ascii="宋体" w:hAnsi="宋体" w:cs="宋体"/>
                <w:color w:val="auto"/>
                <w:sz w:val="24"/>
                <w:szCs w:val="20"/>
                <w:highlight w:val="none"/>
              </w:rPr>
            </w:pPr>
          </w:p>
        </w:tc>
        <w:tc>
          <w:tcPr>
            <w:tcW w:w="1956" w:type="dxa"/>
            <w:vAlign w:val="center"/>
          </w:tcPr>
          <w:p w14:paraId="48F28279">
            <w:pPr>
              <w:spacing w:line="360" w:lineRule="auto"/>
              <w:contextualSpacing/>
              <w:jc w:val="center"/>
              <w:rPr>
                <w:rFonts w:ascii="宋体" w:hAnsi="宋体" w:cs="宋体"/>
                <w:color w:val="auto"/>
                <w:sz w:val="24"/>
                <w:szCs w:val="20"/>
                <w:highlight w:val="none"/>
              </w:rPr>
            </w:pPr>
          </w:p>
        </w:tc>
        <w:tc>
          <w:tcPr>
            <w:tcW w:w="1935" w:type="dxa"/>
            <w:vAlign w:val="center"/>
          </w:tcPr>
          <w:p w14:paraId="3C98288E">
            <w:pPr>
              <w:spacing w:line="360" w:lineRule="auto"/>
              <w:contextualSpacing/>
              <w:jc w:val="center"/>
              <w:rPr>
                <w:rFonts w:ascii="宋体" w:hAnsi="宋体" w:cs="宋体"/>
                <w:color w:val="auto"/>
                <w:sz w:val="24"/>
                <w:szCs w:val="20"/>
                <w:highlight w:val="none"/>
              </w:rPr>
            </w:pPr>
          </w:p>
        </w:tc>
      </w:tr>
    </w:tbl>
    <w:p w14:paraId="64110F9E">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注：</w:t>
      </w:r>
    </w:p>
    <w:p w14:paraId="0489FC7A">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1.在填写时，如本表格不适合供应商的实际情况，可根据本表格式自行制表填写。</w:t>
      </w:r>
    </w:p>
    <w:p w14:paraId="35B14D8B">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2.供应商应当附本表所列证书的复印件并加盖供应商公章。</w:t>
      </w:r>
    </w:p>
    <w:p w14:paraId="263AFDF3">
      <w:pPr>
        <w:spacing w:line="360" w:lineRule="auto"/>
        <w:contextualSpacing/>
        <w:rPr>
          <w:rFonts w:ascii="宋体" w:hAns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hint="eastAsia" w:ascii="宋体" w:hAnsi="宋体" w:cs="宋体"/>
          <w:color w:val="auto"/>
          <w:spacing w:val="20"/>
          <w:sz w:val="24"/>
          <w:highlight w:val="none"/>
          <w:u w:val="single"/>
        </w:rPr>
        <w:t xml:space="preserve">        </w:t>
      </w:r>
    </w:p>
    <w:p w14:paraId="1DB2B798">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供应商（盖公章）：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7518240B">
      <w:pPr>
        <w:snapToGrid w:val="0"/>
        <w:spacing w:before="50" w:after="156" w:afterLines="50"/>
        <w:jc w:val="left"/>
        <w:rPr>
          <w:rFonts w:ascii="宋体" w:hAnsi="宋体" w:cs="宋体"/>
          <w:color w:val="auto"/>
          <w:sz w:val="24"/>
          <w:szCs w:val="20"/>
          <w:highlight w:val="none"/>
        </w:rPr>
      </w:pPr>
    </w:p>
    <w:p w14:paraId="6F390534">
      <w:pPr>
        <w:snapToGrid w:val="0"/>
        <w:spacing w:before="50" w:after="50" w:line="360" w:lineRule="auto"/>
        <w:ind w:right="-817" w:rightChars="-389" w:firstLine="5461" w:firstLineChars="1700"/>
        <w:rPr>
          <w:rFonts w:ascii="宋体" w:hAnsi="宋体" w:cs="宋体"/>
          <w:b/>
          <w:color w:val="auto"/>
          <w:sz w:val="32"/>
          <w:szCs w:val="32"/>
          <w:highlight w:val="none"/>
        </w:rPr>
      </w:pPr>
    </w:p>
    <w:p w14:paraId="470BEFDD">
      <w:pPr>
        <w:spacing w:line="300" w:lineRule="auto"/>
        <w:rPr>
          <w:rFonts w:ascii="宋体" w:hAnsi="宋体" w:cs="宋体"/>
          <w:color w:val="auto"/>
          <w:szCs w:val="21"/>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其他文书、文件格式</w:t>
      </w:r>
    </w:p>
    <w:p w14:paraId="76189871">
      <w:pPr>
        <w:jc w:val="center"/>
        <w:rPr>
          <w:rFonts w:ascii="宋体" w:hAnsi="宋体" w:cs="宋体"/>
          <w:color w:val="auto"/>
          <w:sz w:val="44"/>
          <w:szCs w:val="44"/>
          <w:highlight w:val="none"/>
        </w:rPr>
      </w:pPr>
      <w:bookmarkStart w:id="150" w:name="_Toc71365926"/>
      <w:r>
        <w:rPr>
          <w:rFonts w:hint="eastAsia" w:ascii="宋体" w:hAnsi="宋体" w:cs="宋体"/>
          <w:color w:val="auto"/>
          <w:sz w:val="44"/>
          <w:szCs w:val="44"/>
          <w:highlight w:val="none"/>
        </w:rPr>
        <w:t>中小企业声明函（服务）</w:t>
      </w:r>
      <w:bookmarkEnd w:id="150"/>
    </w:p>
    <w:p w14:paraId="60B006E0">
      <w:pPr>
        <w:spacing w:before="2" w:line="500" w:lineRule="exact"/>
        <w:ind w:firstLine="708" w:firstLineChars="294"/>
        <w:rPr>
          <w:rFonts w:ascii="宋体" w:hAnsi="宋体" w:cs="宋体"/>
          <w:b/>
          <w:bCs/>
          <w:color w:val="auto"/>
          <w:sz w:val="24"/>
          <w:highlight w:val="none"/>
        </w:rPr>
      </w:pPr>
    </w:p>
    <w:p w14:paraId="434B63BE">
      <w:pPr>
        <w:pStyle w:val="15"/>
        <w:spacing w:line="50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2CD95A0E">
      <w:pPr>
        <w:tabs>
          <w:tab w:val="left" w:pos="1384"/>
          <w:tab w:val="left" w:pos="4562"/>
          <w:tab w:val="left" w:pos="6803"/>
        </w:tabs>
        <w:spacing w:before="13" w:line="500" w:lineRule="exact"/>
        <w:ind w:right="142" w:firstLine="772" w:firstLineChars="322"/>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w:t>
      </w:r>
      <w:r>
        <w:rPr>
          <w:rFonts w:hint="eastAsia" w:ascii="宋体" w:hAnsi="宋体" w:cs="宋体"/>
          <w:color w:val="auto"/>
          <w:kern w:val="24"/>
          <w:sz w:val="24"/>
          <w:highlight w:val="none"/>
        </w:rPr>
        <w:t>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78B801E5">
      <w:pPr>
        <w:tabs>
          <w:tab w:val="left" w:pos="1065"/>
          <w:tab w:val="left" w:pos="4262"/>
          <w:tab w:val="left" w:pos="6477"/>
        </w:tabs>
        <w:spacing w:before="20" w:line="500" w:lineRule="exact"/>
        <w:ind w:right="84" w:firstLine="772" w:firstLineChars="322"/>
        <w:rPr>
          <w:rFonts w:ascii="宋体" w:hAnsi="宋体" w:cs="宋体"/>
          <w:color w:val="auto"/>
          <w:sz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w:t>
      </w:r>
      <w:r>
        <w:rPr>
          <w:rFonts w:hint="eastAsia" w:ascii="宋体" w:hAnsi="宋体" w:cs="宋体"/>
          <w:color w:val="auto"/>
          <w:kern w:val="24"/>
          <w:sz w:val="24"/>
          <w:highlight w:val="none"/>
        </w:rPr>
        <w:t>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61206F5F">
      <w:pPr>
        <w:pStyle w:val="15"/>
        <w:spacing w:before="34" w:line="50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 xml:space="preserve">…… </w:t>
      </w:r>
    </w:p>
    <w:p w14:paraId="4C9F7AC0">
      <w:pPr>
        <w:pStyle w:val="15"/>
        <w:spacing w:before="34" w:line="50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5BABEB0">
      <w:pPr>
        <w:pStyle w:val="15"/>
        <w:spacing w:before="25" w:line="50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D075016">
      <w:pPr>
        <w:pStyle w:val="15"/>
        <w:spacing w:before="56" w:line="500" w:lineRule="exact"/>
        <w:ind w:right="1808" w:firstLine="705" w:firstLineChars="294"/>
        <w:rPr>
          <w:rFonts w:ascii="宋体" w:hAnsi="宋体" w:cs="宋体"/>
          <w:color w:val="auto"/>
          <w:sz w:val="24"/>
          <w:highlight w:val="none"/>
        </w:rPr>
      </w:pPr>
    </w:p>
    <w:p w14:paraId="15268CB4">
      <w:pPr>
        <w:pStyle w:val="15"/>
        <w:spacing w:before="56" w:line="500" w:lineRule="exact"/>
        <w:ind w:right="650" w:firstLine="5625" w:firstLineChars="2344"/>
        <w:rPr>
          <w:rFonts w:ascii="宋体" w:hAnsi="宋体" w:cs="宋体"/>
          <w:color w:val="auto"/>
          <w:sz w:val="24"/>
          <w:highlight w:val="none"/>
        </w:rPr>
      </w:pPr>
      <w:r>
        <w:rPr>
          <w:rFonts w:hint="eastAsia" w:ascii="宋体" w:hAnsi="宋体" w:cs="宋体"/>
          <w:color w:val="auto"/>
          <w:sz w:val="24"/>
          <w:highlight w:val="none"/>
        </w:rPr>
        <w:t xml:space="preserve">企业名称（章）： </w:t>
      </w:r>
    </w:p>
    <w:p w14:paraId="49FDEFD9">
      <w:pPr>
        <w:pStyle w:val="15"/>
        <w:spacing w:before="56" w:line="500" w:lineRule="exact"/>
        <w:ind w:right="1808" w:firstLine="5625" w:firstLineChars="2344"/>
        <w:rPr>
          <w:rFonts w:ascii="宋体" w:hAnsi="宋体" w:cs="宋体"/>
          <w:color w:val="auto"/>
          <w:sz w:val="24"/>
          <w:highlight w:val="none"/>
        </w:rPr>
      </w:pPr>
      <w:r>
        <w:rPr>
          <w:rFonts w:hint="eastAsia" w:ascii="宋体" w:hAnsi="宋体" w:cs="宋体"/>
          <w:color w:val="auto"/>
          <w:sz w:val="24"/>
          <w:highlight w:val="none"/>
        </w:rPr>
        <w:t>日 期：</w:t>
      </w:r>
    </w:p>
    <w:p w14:paraId="441BD43B">
      <w:pPr>
        <w:spacing w:line="520" w:lineRule="exact"/>
        <w:jc w:val="left"/>
        <w:rPr>
          <w:rFonts w:ascii="宋体" w:hAnsi="宋体" w:cs="宋体"/>
          <w:color w:val="auto"/>
          <w:sz w:val="24"/>
          <w:highlight w:val="none"/>
        </w:rPr>
      </w:pPr>
      <w:r>
        <w:rPr>
          <w:rFonts w:hint="eastAsia" w:ascii="宋体" w:hAnsi="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00CAF4D">
      <w:pPr>
        <w:spacing w:line="520" w:lineRule="exact"/>
        <w:jc w:val="center"/>
        <w:rPr>
          <w:rFonts w:ascii="宋体" w:hAnsi="宋体" w:cs="宋体"/>
          <w:color w:val="auto"/>
          <w:sz w:val="24"/>
          <w:highlight w:val="none"/>
        </w:rPr>
      </w:pPr>
    </w:p>
    <w:p w14:paraId="19EE7A70">
      <w:pPr>
        <w:pStyle w:val="20"/>
        <w:jc w:val="left"/>
        <w:rPr>
          <w:rFonts w:hAnsi="宋体" w:cs="宋体"/>
          <w:color w:val="auto"/>
          <w:sz w:val="32"/>
          <w:szCs w:val="32"/>
          <w:highlight w:val="none"/>
        </w:rPr>
      </w:pPr>
      <w:r>
        <w:rPr>
          <w:rFonts w:hint="eastAsia" w:hAnsi="宋体" w:cs="宋体"/>
          <w:color w:val="auto"/>
          <w:sz w:val="24"/>
          <w:highlight w:val="none"/>
        </w:rPr>
        <w:br w:type="page"/>
      </w:r>
      <w:r>
        <w:rPr>
          <w:rFonts w:hint="eastAsia" w:hAnsi="宋体" w:cs="宋体"/>
          <w:color w:val="auto"/>
          <w:sz w:val="32"/>
          <w:szCs w:val="32"/>
          <w:highlight w:val="none"/>
        </w:rPr>
        <w:t>附：</w:t>
      </w:r>
    </w:p>
    <w:p w14:paraId="153CE753">
      <w:pPr>
        <w:jc w:val="center"/>
        <w:rPr>
          <w:rFonts w:ascii="宋体" w:hAnsi="宋体" w:cs="宋体"/>
          <w:color w:val="auto"/>
          <w:sz w:val="44"/>
          <w:szCs w:val="44"/>
          <w:highlight w:val="none"/>
        </w:rPr>
      </w:pPr>
      <w:r>
        <w:rPr>
          <w:rFonts w:hint="eastAsia" w:ascii="宋体" w:hAnsi="宋体" w:cs="宋体"/>
          <w:color w:val="auto"/>
          <w:sz w:val="44"/>
          <w:szCs w:val="44"/>
          <w:highlight w:val="none"/>
        </w:rPr>
        <w:t>中小微企业划型标准</w:t>
      </w:r>
    </w:p>
    <w:p w14:paraId="6D7DC569">
      <w:pPr>
        <w:ind w:left="1871"/>
        <w:rPr>
          <w:rFonts w:ascii="宋体" w:hAnsi="宋体" w:cs="宋体"/>
          <w:color w:val="auto"/>
          <w:szCs w:val="21"/>
          <w:highlight w:val="none"/>
        </w:rPr>
      </w:pPr>
    </w:p>
    <w:tbl>
      <w:tblPr>
        <w:tblStyle w:val="32"/>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12285002">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38C045B6">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0ECDDA19">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4F4F8FD6">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0118115B">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2248767F">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5CF7C081">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54F64133">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3610896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4E4439B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0FB2C0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616CA4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3B9942D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01E7226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819EA8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2E614F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2FA9CA3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B1CD2A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BAFC41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27306B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2513AC1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2C2E1F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9C46898">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822BF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90E7D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B0DB9A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5E6F5C2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566AD61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C60BC8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DADF65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586185A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E2D445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B0D45C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587E36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7FA0B72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55D210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AE61840">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5E7846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213A69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DA9FED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2668DB6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4B70DF6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E6452E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71A58A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76EC2DE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A6791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D6A6AA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6505CA7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41EA8EC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B1C88C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744E6C0">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BC481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C44422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522F4B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2E2A428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64F6F26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530167E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C468BC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013D5FC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B124CC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7B8417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751A0E5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419A28C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11568C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75EE92D">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3D9907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F62B84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C5E3E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4B93854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16AC1C5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B8B878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711C33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5587B47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0E5529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489398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1256C62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65D3CC6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46674E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EA26F23">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DDBDD9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2872EF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D301FA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4194C1B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65919AC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18A0AF2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C92714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231E17B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7C70E5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97B92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6632C6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2B5B993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93E1F4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322C49E">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1196C0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969EB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491B90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765B546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18A1E8A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6B976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94DB7C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7299E82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C9B341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46FF7E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419E34F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387E0B7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30C279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46A146E">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3CA4DC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553BC4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7AF7D7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7A7EF65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260C1EC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0B1C03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678B2D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694CB9F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7EBA6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AC29C4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2C5B1A5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4B0A507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6EB041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68D37D2">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C65DFA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1734F4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5CB34C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3C7D89D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77F357F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144B22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A5E068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67040B2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B0CB42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0214BC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D26883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2E4E29B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F937F8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BA4759A">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3C6D9D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B0ADDB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182D18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4F7A987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1053C00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C5C1E3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F1BC53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06C8DF0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47CB1C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B9D28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3A21D4F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263EE0D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AB3767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9FF69B8">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C71A32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8E5726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D8E8E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79DB38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329CB9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C6C147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C990E2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600E48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EA1DD1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F40593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7DCC15F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9C8444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9E0801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A94DA02">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31809D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5846E6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3420AE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3BE2236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52291CA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FB5258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B73F15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38363E4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0AD03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0E3996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79C35BA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2B9BBC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F33ECC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A66D785">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6E2EEA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2E5AEF3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CE29F3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21E808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1700E9E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394F492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8C5A80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0D41BB8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CE18AE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79A55C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1CE04B4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61AF15F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588132F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710C020">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EE49AA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ED8401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38ABF2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613DE09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220227F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0467FC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643541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00E3379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7E3A0F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1DF09D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2A5E03C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CDE029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7B129F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E2A29CA">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E6DB14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3F31358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4B3E24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168BABC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3034976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DAC1A3B">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2508E7E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35DCB23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E8F1F1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134EC8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2BFABA8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D0979B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78845089">
      <w:pPr>
        <w:spacing w:line="360" w:lineRule="auto"/>
        <w:ind w:firstLine="525" w:firstLineChars="250"/>
        <w:rPr>
          <w:rFonts w:ascii="宋体" w:hAnsi="宋体" w:cs="宋体"/>
          <w:color w:val="auto"/>
          <w:szCs w:val="21"/>
          <w:highlight w:val="none"/>
        </w:rPr>
      </w:pPr>
    </w:p>
    <w:p w14:paraId="420F858E">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21CEFDA">
      <w:pPr>
        <w:spacing w:line="520" w:lineRule="exact"/>
        <w:jc w:val="center"/>
        <w:rPr>
          <w:rFonts w:ascii="宋体" w:hAnsi="宋体" w:cs="宋体"/>
          <w:color w:val="auto"/>
          <w:sz w:val="32"/>
          <w:szCs w:val="32"/>
          <w:highlight w:val="none"/>
        </w:rPr>
      </w:pPr>
      <w:r>
        <w:rPr>
          <w:rFonts w:hint="eastAsia" w:ascii="宋体" w:hAnsi="宋体" w:cs="宋体"/>
          <w:color w:val="auto"/>
          <w:sz w:val="24"/>
          <w:highlight w:val="none"/>
        </w:rPr>
        <w:br w:type="page"/>
      </w:r>
      <w:r>
        <w:rPr>
          <w:rFonts w:hint="eastAsia" w:ascii="宋体" w:hAnsi="宋体" w:cs="宋体"/>
          <w:color w:val="auto"/>
          <w:sz w:val="44"/>
          <w:szCs w:val="44"/>
          <w:highlight w:val="none"/>
        </w:rPr>
        <w:t>残疾人福利性单位声明函</w:t>
      </w:r>
    </w:p>
    <w:p w14:paraId="1177E84F">
      <w:pPr>
        <w:spacing w:line="360" w:lineRule="auto"/>
        <w:contextualSpacing/>
        <w:rPr>
          <w:rFonts w:ascii="宋体" w:hAnsi="宋体" w:cs="宋体"/>
          <w:color w:val="auto"/>
          <w:sz w:val="32"/>
          <w:szCs w:val="32"/>
          <w:highlight w:val="none"/>
        </w:rPr>
      </w:pPr>
    </w:p>
    <w:p w14:paraId="36E47A4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CF9524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FD1CFC0">
      <w:pPr>
        <w:spacing w:line="360" w:lineRule="auto"/>
        <w:contextualSpacing/>
        <w:rPr>
          <w:rFonts w:ascii="宋体" w:hAnsi="宋体" w:cs="宋体"/>
          <w:color w:val="auto"/>
          <w:sz w:val="24"/>
          <w:highlight w:val="none"/>
        </w:rPr>
      </w:pPr>
    </w:p>
    <w:p w14:paraId="607E1434">
      <w:pPr>
        <w:spacing w:line="360" w:lineRule="auto"/>
        <w:contextualSpacing/>
        <w:rPr>
          <w:rFonts w:ascii="宋体" w:hAnsi="宋体" w:cs="宋体"/>
          <w:color w:val="auto"/>
          <w:sz w:val="24"/>
          <w:highlight w:val="none"/>
        </w:rPr>
      </w:pPr>
    </w:p>
    <w:p w14:paraId="38A8705E">
      <w:pPr>
        <w:spacing w:line="360" w:lineRule="auto"/>
        <w:contextualSpacing/>
        <w:rPr>
          <w:rFonts w:ascii="宋体" w:hAnsi="宋体" w:cs="宋体"/>
          <w:color w:val="auto"/>
          <w:sz w:val="24"/>
          <w:highlight w:val="none"/>
        </w:rPr>
      </w:pPr>
    </w:p>
    <w:p w14:paraId="7E1E8EE3">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单位名称（盖章）：</w:t>
      </w:r>
    </w:p>
    <w:p w14:paraId="377A6B8C">
      <w:pPr>
        <w:spacing w:line="360" w:lineRule="auto"/>
        <w:ind w:firstLine="3600" w:firstLineChars="1500"/>
        <w:contextualSpacing/>
        <w:rPr>
          <w:rFonts w:ascii="宋体" w:hAnsi="宋体" w:cs="宋体"/>
          <w:color w:val="auto"/>
          <w:sz w:val="24"/>
          <w:highlight w:val="none"/>
        </w:rPr>
      </w:pPr>
      <w:r>
        <w:rPr>
          <w:rFonts w:hint="eastAsia" w:ascii="宋体" w:hAnsi="宋体" w:cs="宋体"/>
          <w:color w:val="auto"/>
          <w:sz w:val="24"/>
          <w:highlight w:val="none"/>
        </w:rPr>
        <w:t>日  期：</w:t>
      </w:r>
    </w:p>
    <w:p w14:paraId="44DB9510">
      <w:pPr>
        <w:spacing w:line="360" w:lineRule="auto"/>
        <w:contextualSpacing/>
        <w:rPr>
          <w:rFonts w:ascii="宋体" w:hAnsi="宋体" w:cs="宋体"/>
          <w:color w:val="auto"/>
          <w:sz w:val="24"/>
          <w:highlight w:val="none"/>
        </w:rPr>
      </w:pPr>
    </w:p>
    <w:p w14:paraId="10344038">
      <w:pPr>
        <w:spacing w:line="360" w:lineRule="auto"/>
        <w:contextualSpacing/>
        <w:rPr>
          <w:rFonts w:ascii="宋体" w:hAnsi="宋体" w:cs="宋体"/>
          <w:color w:val="auto"/>
          <w:sz w:val="24"/>
          <w:highlight w:val="none"/>
        </w:rPr>
      </w:pPr>
    </w:p>
    <w:p w14:paraId="6BA1882C">
      <w:pPr>
        <w:spacing w:line="360" w:lineRule="auto"/>
        <w:contextualSpacing/>
        <w:rPr>
          <w:rFonts w:ascii="宋体" w:hAnsi="宋体" w:cs="宋体"/>
          <w:color w:val="auto"/>
          <w:sz w:val="24"/>
          <w:highlight w:val="none"/>
        </w:rPr>
      </w:pPr>
    </w:p>
    <w:p w14:paraId="2B3988FC">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2EB1C4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p>
    <w:p w14:paraId="18AB5D9C">
      <w:pPr>
        <w:spacing w:line="360" w:lineRule="auto"/>
        <w:jc w:val="center"/>
        <w:rPr>
          <w:rFonts w:ascii="宋体" w:hAnsi="宋体" w:cs="宋体"/>
          <w:b/>
          <w:bCs/>
          <w:color w:val="auto"/>
          <w:sz w:val="32"/>
          <w:szCs w:val="32"/>
          <w:highlight w:val="none"/>
        </w:rPr>
      </w:pPr>
      <w:r>
        <w:rPr>
          <w:rFonts w:hint="eastAsia" w:ascii="宋体" w:hAnsi="宋体" w:cs="宋体"/>
          <w:color w:val="auto"/>
          <w:sz w:val="44"/>
          <w:szCs w:val="44"/>
          <w:highlight w:val="none"/>
        </w:rPr>
        <w:t>质疑函</w:t>
      </w:r>
      <w:r>
        <w:rPr>
          <w:rFonts w:hint="eastAsia" w:ascii="宋体" w:hAnsi="宋体" w:cs="宋体"/>
          <w:color w:val="auto"/>
          <w:sz w:val="28"/>
          <w:szCs w:val="28"/>
          <w:highlight w:val="none"/>
        </w:rPr>
        <w:t>（格式）</w:t>
      </w:r>
    </w:p>
    <w:p w14:paraId="6BF25E29">
      <w:pPr>
        <w:pStyle w:val="20"/>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4AD4597A">
      <w:pPr>
        <w:pStyle w:val="20"/>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953C2AB">
      <w:pPr>
        <w:pStyle w:val="20"/>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3FE6E72">
      <w:pPr>
        <w:pStyle w:val="20"/>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557EEDBC">
      <w:pPr>
        <w:pStyle w:val="20"/>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5ACDB08A">
      <w:pPr>
        <w:pStyle w:val="20"/>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6E7ED29B">
      <w:pPr>
        <w:pStyle w:val="20"/>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02CDAAC">
      <w:pPr>
        <w:pStyle w:val="20"/>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6B8154C6">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1AD66364">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4D46301B">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4CACD29C">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639A2D3B">
      <w:pPr>
        <w:pStyle w:val="20"/>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1C03C6A6">
      <w:pPr>
        <w:pStyle w:val="20"/>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14:paraId="02D6965E">
      <w:pPr>
        <w:pStyle w:val="20"/>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57077F39">
      <w:pPr>
        <w:pStyle w:val="20"/>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125E9E0F">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5F07EA68">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6AB3CEB9">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1AD76339">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14:paraId="2BDBD38E">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061FC9CA">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468C4219">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4C3C6FD2">
      <w:pPr>
        <w:pStyle w:val="20"/>
        <w:spacing w:line="360" w:lineRule="auto"/>
        <w:ind w:left="25" w:leftChars="12" w:firstLine="352" w:firstLineChars="147"/>
        <w:contextualSpacing/>
        <w:rPr>
          <w:rFonts w:hAnsi="宋体" w:cs="宋体"/>
          <w:color w:val="auto"/>
          <w:sz w:val="24"/>
          <w:szCs w:val="24"/>
          <w:highlight w:val="none"/>
        </w:rPr>
      </w:pPr>
    </w:p>
    <w:p w14:paraId="0E04CB20">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                                       公章：</w:t>
      </w:r>
    </w:p>
    <w:p w14:paraId="7D91A972">
      <w:pPr>
        <w:pStyle w:val="20"/>
        <w:spacing w:line="360" w:lineRule="auto"/>
        <w:ind w:firstLine="480" w:firstLineChars="200"/>
        <w:contextualSpacing/>
        <w:rPr>
          <w:rFonts w:hAnsi="宋体" w:cs="宋体"/>
          <w:b/>
          <w:color w:val="auto"/>
          <w:sz w:val="24"/>
          <w:szCs w:val="24"/>
          <w:highlight w:val="none"/>
        </w:rPr>
      </w:pPr>
      <w:r>
        <w:rPr>
          <w:rFonts w:hint="eastAsia" w:hAnsi="宋体" w:cs="宋体"/>
          <w:color w:val="auto"/>
          <w:sz w:val="24"/>
          <w:szCs w:val="24"/>
          <w:highlight w:val="none"/>
        </w:rPr>
        <w:t>日期：</w:t>
      </w:r>
    </w:p>
    <w:p w14:paraId="757A9365">
      <w:pPr>
        <w:pStyle w:val="20"/>
        <w:spacing w:line="360" w:lineRule="auto"/>
        <w:contextualSpacing/>
        <w:rPr>
          <w:rFonts w:hAnsi="宋体" w:cs="宋体"/>
          <w:b/>
          <w:color w:val="auto"/>
          <w:sz w:val="24"/>
          <w:szCs w:val="24"/>
          <w:highlight w:val="none"/>
        </w:rPr>
      </w:pPr>
      <w:r>
        <w:rPr>
          <w:rFonts w:hint="eastAsia" w:hAnsi="宋体" w:cs="宋体"/>
          <w:b/>
          <w:color w:val="auto"/>
          <w:sz w:val="24"/>
          <w:szCs w:val="24"/>
          <w:highlight w:val="none"/>
        </w:rPr>
        <w:t>说明：</w:t>
      </w:r>
    </w:p>
    <w:p w14:paraId="2D910E2C">
      <w:pPr>
        <w:pStyle w:val="20"/>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52D87C27">
      <w:pPr>
        <w:pStyle w:val="20"/>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63DEE3B">
      <w:pPr>
        <w:pStyle w:val="20"/>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02B0ABA2">
      <w:pPr>
        <w:pStyle w:val="20"/>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7C10A84E">
      <w:pPr>
        <w:pStyle w:val="20"/>
        <w:spacing w:line="360" w:lineRule="auto"/>
        <w:ind w:left="25" w:leftChars="12" w:firstLine="354" w:firstLineChars="147"/>
        <w:contextualSpacing/>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6C3B6AAE">
      <w:pPr>
        <w:pStyle w:val="20"/>
        <w:snapToGrid w:val="0"/>
        <w:rPr>
          <w:rFonts w:hAnsi="宋体" w:cs="宋体"/>
          <w:b/>
          <w:color w:val="auto"/>
          <w:sz w:val="24"/>
          <w:szCs w:val="24"/>
          <w:highlight w:val="none"/>
        </w:rPr>
      </w:pPr>
    </w:p>
    <w:p w14:paraId="69C31243">
      <w:pPr>
        <w:rPr>
          <w:rFonts w:ascii="宋体" w:hAnsi="宋体" w:cs="宋体"/>
          <w:color w:val="auto"/>
          <w:sz w:val="32"/>
          <w:szCs w:val="40"/>
          <w:highlight w:val="none"/>
        </w:rPr>
      </w:pPr>
    </w:p>
    <w:p w14:paraId="2B785493">
      <w:pPr>
        <w:rPr>
          <w:rFonts w:ascii="宋体" w:hAnsi="宋体" w:cs="宋体"/>
          <w:color w:val="auto"/>
          <w:sz w:val="32"/>
          <w:szCs w:val="40"/>
          <w:highlight w:val="none"/>
        </w:rPr>
      </w:pPr>
    </w:p>
    <w:p w14:paraId="4985A25E">
      <w:pPr>
        <w:rPr>
          <w:rFonts w:ascii="宋体" w:hAnsi="宋体" w:cs="宋体"/>
          <w:color w:val="auto"/>
          <w:sz w:val="32"/>
          <w:szCs w:val="40"/>
          <w:highlight w:val="none"/>
        </w:rPr>
      </w:pPr>
    </w:p>
    <w:p w14:paraId="4279D756">
      <w:pPr>
        <w:rPr>
          <w:rFonts w:ascii="宋体" w:hAnsi="宋体" w:cs="宋体"/>
          <w:color w:val="auto"/>
          <w:sz w:val="32"/>
          <w:szCs w:val="40"/>
          <w:highlight w:val="none"/>
        </w:rPr>
      </w:pPr>
    </w:p>
    <w:p w14:paraId="78F94D96">
      <w:pPr>
        <w:rPr>
          <w:rFonts w:ascii="宋体" w:hAnsi="宋体" w:cs="宋体"/>
          <w:color w:val="auto"/>
          <w:sz w:val="32"/>
          <w:szCs w:val="40"/>
          <w:highlight w:val="none"/>
        </w:rPr>
      </w:pPr>
    </w:p>
    <w:p w14:paraId="648A5CA3">
      <w:pPr>
        <w:rPr>
          <w:rFonts w:ascii="宋体" w:hAnsi="宋体" w:cs="宋体"/>
          <w:color w:val="auto"/>
          <w:sz w:val="32"/>
          <w:szCs w:val="40"/>
          <w:highlight w:val="none"/>
        </w:rPr>
      </w:pPr>
    </w:p>
    <w:p w14:paraId="75FEB12A">
      <w:pPr>
        <w:rPr>
          <w:rFonts w:ascii="宋体" w:hAnsi="宋体" w:cs="宋体"/>
          <w:color w:val="auto"/>
          <w:sz w:val="32"/>
          <w:szCs w:val="40"/>
          <w:highlight w:val="none"/>
        </w:rPr>
      </w:pPr>
    </w:p>
    <w:p w14:paraId="1DAA83BB">
      <w:pPr>
        <w:rPr>
          <w:rFonts w:ascii="宋体" w:hAnsi="宋体" w:cs="宋体"/>
          <w:color w:val="auto"/>
          <w:sz w:val="32"/>
          <w:szCs w:val="40"/>
          <w:highlight w:val="none"/>
        </w:rPr>
      </w:pPr>
    </w:p>
    <w:p w14:paraId="2E52747D">
      <w:pPr>
        <w:rPr>
          <w:rFonts w:ascii="宋体" w:hAnsi="宋体" w:cs="宋体"/>
          <w:color w:val="auto"/>
          <w:sz w:val="32"/>
          <w:szCs w:val="40"/>
          <w:highlight w:val="none"/>
        </w:rPr>
      </w:pPr>
    </w:p>
    <w:p w14:paraId="12F4C3A7">
      <w:pPr>
        <w:rPr>
          <w:rFonts w:ascii="宋体" w:hAnsi="宋体" w:cs="宋体"/>
          <w:color w:val="auto"/>
          <w:sz w:val="32"/>
          <w:szCs w:val="40"/>
          <w:highlight w:val="none"/>
        </w:rPr>
      </w:pPr>
    </w:p>
    <w:p w14:paraId="4DE12BE3">
      <w:pPr>
        <w:rPr>
          <w:rFonts w:ascii="宋体" w:hAnsi="宋体" w:cs="宋体"/>
          <w:color w:val="auto"/>
          <w:sz w:val="32"/>
          <w:szCs w:val="40"/>
          <w:highlight w:val="none"/>
        </w:rPr>
      </w:pPr>
    </w:p>
    <w:p w14:paraId="53FC88B6">
      <w:pPr>
        <w:rPr>
          <w:rFonts w:ascii="宋体" w:hAnsi="宋体" w:cs="宋体"/>
          <w:color w:val="auto"/>
          <w:sz w:val="32"/>
          <w:szCs w:val="40"/>
          <w:highlight w:val="none"/>
        </w:rPr>
      </w:pPr>
    </w:p>
    <w:p w14:paraId="44E261C5">
      <w:pPr>
        <w:rPr>
          <w:rFonts w:ascii="宋体" w:hAnsi="宋体" w:cs="宋体"/>
          <w:color w:val="auto"/>
          <w:sz w:val="32"/>
          <w:szCs w:val="40"/>
          <w:highlight w:val="none"/>
        </w:rPr>
      </w:pPr>
    </w:p>
    <w:p w14:paraId="0CE239FA">
      <w:pPr>
        <w:rPr>
          <w:rFonts w:ascii="宋体" w:hAnsi="宋体" w:cs="宋体"/>
          <w:color w:val="auto"/>
          <w:sz w:val="32"/>
          <w:szCs w:val="40"/>
          <w:highlight w:val="none"/>
        </w:rPr>
      </w:pPr>
    </w:p>
    <w:p w14:paraId="6EEFC38C">
      <w:pPr>
        <w:spacing w:line="360" w:lineRule="auto"/>
        <w:jc w:val="center"/>
        <w:rPr>
          <w:rFonts w:ascii="宋体" w:hAnsi="宋体" w:cs="宋体"/>
          <w:color w:val="auto"/>
          <w:sz w:val="24"/>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投诉书</w:t>
      </w:r>
      <w:r>
        <w:rPr>
          <w:rFonts w:hint="eastAsia" w:ascii="宋体" w:hAnsi="宋体" w:cs="宋体"/>
          <w:color w:val="auto"/>
          <w:sz w:val="28"/>
          <w:szCs w:val="28"/>
          <w:highlight w:val="none"/>
        </w:rPr>
        <w:t>（格式）</w:t>
      </w:r>
    </w:p>
    <w:p w14:paraId="11EF8CA0">
      <w:pPr>
        <w:pStyle w:val="2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68F13678">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77A3651">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89C899E">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6E6E4384">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C6472EE">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797E2383">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08F9BE26">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0A82F2E">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14:paraId="563C3790">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7DD99EEE">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2BA23E1">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09085AAB">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14:paraId="77A2F1A4">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5EAE6277">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70B3AC4D">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204BCFFB">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1DE53D1">
      <w:pPr>
        <w:pStyle w:val="2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6E4AB010">
      <w:pPr>
        <w:pStyle w:val="20"/>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3E196C12">
      <w:pPr>
        <w:pStyle w:val="20"/>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64D62D0D">
      <w:pPr>
        <w:pStyle w:val="20"/>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55155943">
      <w:pPr>
        <w:pStyle w:val="20"/>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14:paraId="47CB898E">
      <w:pPr>
        <w:pStyle w:val="20"/>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竞争性磋商文件公告：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7FE3E96E">
      <w:pPr>
        <w:pStyle w:val="20"/>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3C29ADFE">
      <w:pPr>
        <w:pStyle w:val="20"/>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7C2DAD59">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610818CF">
      <w:pPr>
        <w:pStyle w:val="20"/>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62CEEEFB">
      <w:pPr>
        <w:pStyle w:val="20"/>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66C05B91">
      <w:pPr>
        <w:pStyle w:val="20"/>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5CE31171">
      <w:pPr>
        <w:pStyle w:val="20"/>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0DC42C73">
      <w:pPr>
        <w:pStyle w:val="20"/>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3E927BA1">
      <w:pPr>
        <w:pStyle w:val="2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04418567">
      <w:pPr>
        <w:pStyle w:val="20"/>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297A7B60">
      <w:pPr>
        <w:pStyle w:val="2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44D19AA4">
      <w:pPr>
        <w:pStyle w:val="20"/>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4F25A24D">
      <w:pPr>
        <w:pStyle w:val="20"/>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33D0011E">
      <w:pPr>
        <w:pStyle w:val="20"/>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4239B2CA">
      <w:pPr>
        <w:pStyle w:val="20"/>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3FF93783">
      <w:pPr>
        <w:pStyle w:val="20"/>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4D307223">
      <w:pPr>
        <w:pStyle w:val="20"/>
        <w:spacing w:line="360" w:lineRule="auto"/>
        <w:ind w:left="25" w:leftChars="12" w:firstLine="352" w:firstLineChars="147"/>
        <w:rPr>
          <w:rFonts w:hAnsi="宋体" w:cs="宋体"/>
          <w:color w:val="auto"/>
          <w:sz w:val="24"/>
          <w:szCs w:val="24"/>
          <w:highlight w:val="none"/>
        </w:rPr>
      </w:pPr>
    </w:p>
    <w:p w14:paraId="4F4D8CC5">
      <w:pPr>
        <w:pStyle w:val="20"/>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200EBC7F">
      <w:pPr>
        <w:pStyle w:val="20"/>
        <w:spacing w:line="360" w:lineRule="auto"/>
        <w:ind w:left="25" w:leftChars="12" w:firstLine="352" w:firstLineChars="147"/>
        <w:rPr>
          <w:rFonts w:hAnsi="宋体" w:cs="宋体"/>
          <w:color w:val="auto"/>
          <w:sz w:val="24"/>
          <w:szCs w:val="24"/>
          <w:highlight w:val="none"/>
        </w:rPr>
      </w:pPr>
    </w:p>
    <w:p w14:paraId="7A374475">
      <w:pPr>
        <w:pStyle w:val="20"/>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445B7E08">
      <w:pPr>
        <w:pStyle w:val="20"/>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 xml:space="preserve">                                                                                 </w:t>
      </w:r>
    </w:p>
    <w:p w14:paraId="6D02BE5C">
      <w:pPr>
        <w:pStyle w:val="2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2CF121B6">
      <w:pPr>
        <w:pStyle w:val="20"/>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31118898">
      <w:pPr>
        <w:pStyle w:val="20"/>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6D4A500">
      <w:pPr>
        <w:pStyle w:val="20"/>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3F11D2BC">
      <w:pPr>
        <w:pStyle w:val="20"/>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2D6A3E44">
      <w:pPr>
        <w:pStyle w:val="20"/>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5063AA39">
      <w:pPr>
        <w:pStyle w:val="20"/>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1A898AA1">
      <w:pPr>
        <w:rPr>
          <w:color w:val="auto"/>
          <w:highlight w:val="none"/>
        </w:rPr>
      </w:pPr>
      <w:bookmarkStart w:id="151" w:name="_Toc10662"/>
      <w:bookmarkStart w:id="152" w:name="_Toc11130"/>
      <w:bookmarkStart w:id="153" w:name="_Toc20110"/>
      <w:bookmarkStart w:id="154" w:name="_Toc19603"/>
      <w:bookmarkStart w:id="155" w:name="_Toc1723"/>
      <w:r>
        <w:rPr>
          <w:rFonts w:hint="eastAsia"/>
          <w:color w:val="auto"/>
          <w:highlight w:val="none"/>
        </w:rPr>
        <w:br w:type="page"/>
      </w:r>
    </w:p>
    <w:p w14:paraId="03EC7D30">
      <w:pPr>
        <w:pStyle w:val="2"/>
        <w:rPr>
          <w:rFonts w:ascii="宋体" w:hAnsi="宋体" w:cs="宋体"/>
          <w:color w:val="auto"/>
          <w:szCs w:val="21"/>
          <w:highlight w:val="none"/>
        </w:rPr>
      </w:pPr>
      <w:r>
        <w:rPr>
          <w:rFonts w:hint="eastAsia"/>
          <w:color w:val="auto"/>
          <w:highlight w:val="none"/>
        </w:rPr>
        <w:t>第六章 合同文本</w:t>
      </w:r>
      <w:bookmarkEnd w:id="151"/>
      <w:bookmarkEnd w:id="152"/>
      <w:bookmarkEnd w:id="153"/>
      <w:bookmarkEnd w:id="154"/>
      <w:bookmarkEnd w:id="155"/>
      <w:r>
        <w:rPr>
          <w:rFonts w:hint="eastAsia" w:ascii="宋体" w:hAnsi="宋体" w:cs="宋体"/>
          <w:color w:val="auto"/>
          <w:szCs w:val="21"/>
          <w:highlight w:val="none"/>
        </w:rPr>
        <w:t xml:space="preserve">                                                            </w:t>
      </w:r>
    </w:p>
    <w:p w14:paraId="41FA6432">
      <w:pPr>
        <w:spacing w:line="360" w:lineRule="auto"/>
        <w:ind w:right="800"/>
        <w:rPr>
          <w:rFonts w:ascii="宋体" w:hAnsi="宋体" w:cs="宋体"/>
          <w:color w:val="auto"/>
          <w:szCs w:val="21"/>
          <w:highlight w:val="none"/>
        </w:rPr>
      </w:pPr>
      <w:r>
        <w:rPr>
          <w:rFonts w:hint="eastAsia" w:ascii="宋体" w:hAnsi="宋体" w:cs="宋体"/>
          <w:color w:val="auto"/>
          <w:szCs w:val="21"/>
          <w:highlight w:val="none"/>
        </w:rPr>
        <w:t>分标：</w:t>
      </w:r>
    </w:p>
    <w:p w14:paraId="53D41503">
      <w:pPr>
        <w:spacing w:line="360" w:lineRule="auto"/>
        <w:ind w:right="800"/>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bCs/>
          <w:color w:val="auto"/>
          <w:szCs w:val="21"/>
          <w:highlight w:val="none"/>
        </w:rPr>
        <w:t>合同编号：</w:t>
      </w:r>
      <w:r>
        <w:rPr>
          <w:rFonts w:hint="eastAsia" w:ascii="宋体" w:hAnsi="宋体" w:cs="宋体"/>
          <w:color w:val="auto"/>
          <w:szCs w:val="21"/>
          <w:highlight w:val="none"/>
          <w:u w:val="single"/>
        </w:rPr>
        <w:t xml:space="preserve">                  </w:t>
      </w:r>
    </w:p>
    <w:p w14:paraId="1D6828E0">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E5C0D92">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p w14:paraId="3816036F">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14:paraId="5DC4486D">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6F8711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根据《中华人民共和国政府采购法》、《中华人民共和国民法典》等法律、法规规定，按照磋商文件规定条款和乙方响应文件及其承诺，甲乙双方签订本合同。</w:t>
      </w:r>
    </w:p>
    <w:p w14:paraId="54504EB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28F7E4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3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5481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65FDDD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1BB0440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vAlign w:val="center"/>
          </w:tcPr>
          <w:p w14:paraId="0E4541B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14:paraId="166B8B9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55ACF2C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13189A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  价</w:t>
            </w:r>
          </w:p>
          <w:p w14:paraId="6BA5734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207" w:type="dxa"/>
            <w:tcBorders>
              <w:top w:val="single" w:color="auto" w:sz="4" w:space="0"/>
              <w:left w:val="single" w:color="auto" w:sz="4" w:space="0"/>
              <w:bottom w:val="single" w:color="auto" w:sz="4" w:space="0"/>
              <w:right w:val="single" w:color="auto" w:sz="4" w:space="0"/>
            </w:tcBorders>
            <w:vAlign w:val="center"/>
          </w:tcPr>
          <w:p w14:paraId="6A27DD9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  价</w:t>
            </w:r>
          </w:p>
          <w:p w14:paraId="53C377C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r>
      <w:tr w14:paraId="7849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6D31251F">
            <w:pPr>
              <w:spacing w:line="360" w:lineRule="auto"/>
              <w:jc w:val="center"/>
              <w:rPr>
                <w:rFonts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vAlign w:val="center"/>
          </w:tcPr>
          <w:p w14:paraId="062EFD7C">
            <w:pP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vAlign w:val="center"/>
          </w:tcPr>
          <w:p w14:paraId="502C6B37">
            <w:pP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6AA2FBC9">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4285FFBD">
            <w:pPr>
              <w:spacing w:line="360" w:lineRule="auto"/>
              <w:jc w:val="center"/>
              <w:rPr>
                <w:rFonts w:ascii="宋体"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14:paraId="6695A8DF">
            <w:pPr>
              <w:spacing w:line="360" w:lineRule="auto"/>
              <w:jc w:val="center"/>
              <w:rPr>
                <w:rFonts w:ascii="宋体" w:hAnsi="宋体" w:cs="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14:paraId="1CB13960">
            <w:pPr>
              <w:spacing w:line="360" w:lineRule="auto"/>
              <w:jc w:val="center"/>
              <w:rPr>
                <w:rFonts w:ascii="宋体" w:hAnsi="宋体" w:cs="宋体"/>
                <w:color w:val="auto"/>
                <w:szCs w:val="21"/>
                <w:highlight w:val="none"/>
              </w:rPr>
            </w:pPr>
          </w:p>
        </w:tc>
      </w:tr>
      <w:tr w14:paraId="1514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2D07E7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详见报价表</w:t>
            </w:r>
          </w:p>
        </w:tc>
      </w:tr>
      <w:tr w14:paraId="096E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586A2C2F">
            <w:pPr>
              <w:spacing w:line="360" w:lineRule="auto"/>
              <w:rPr>
                <w:rFonts w:ascii="宋体" w:hAnsi="宋体" w:cs="宋体"/>
                <w:color w:val="auto"/>
                <w:szCs w:val="21"/>
                <w:highlight w:val="none"/>
              </w:rPr>
            </w:pPr>
            <w:r>
              <w:rPr>
                <w:rFonts w:hint="eastAsia" w:ascii="宋体" w:hAnsi="宋体" w:cs="宋体"/>
                <w:color w:val="auto"/>
                <w:szCs w:val="21"/>
                <w:highlight w:val="none"/>
              </w:rPr>
              <w:t>人民币合计金额（大写）：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bl>
    <w:p w14:paraId="420376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合计金额包括但不限于满足本次竞标全部采购需求所应提供的服务，以及伴随的货物的价格；包含竞标服务、货物、、运输（含保险）、安装（如有）、调试、检验、技术服务、培训、税费等所有费用。如磋商文件对其另有规定的，从其规定。</w:t>
      </w:r>
    </w:p>
    <w:p w14:paraId="16B9878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445CBCF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71D2E35C">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0534EA5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1、乙方应保证所提供服务在使用时不会侵犯任何第三方的专利权、商标权、著作权等知识产权及其他合法权利，且所有权、处分权等没有受到任何限制。</w:t>
      </w:r>
    </w:p>
    <w:p w14:paraId="78BC2D4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51E05075">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61AC12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合同履约期限</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71D7EF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14:paraId="7030B5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14:paraId="2F1FE8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69D1A7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5、甲乙双方应按照《广西壮族自治区政府采购项目履约验收管理办法》、双方合同、响应文件验收。</w:t>
      </w:r>
    </w:p>
    <w:p w14:paraId="058050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07FEBF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7DE0757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第五条  </w:t>
      </w:r>
      <w:r>
        <w:rPr>
          <w:rFonts w:hint="eastAsia" w:ascii="宋体" w:hAnsi="宋体" w:cs="宋体"/>
          <w:b/>
          <w:color w:val="auto"/>
          <w:szCs w:val="21"/>
          <w:highlight w:val="none"/>
          <w:lang w:eastAsia="zh-CN"/>
        </w:rPr>
        <w:t>后续服务</w:t>
      </w:r>
      <w:r>
        <w:rPr>
          <w:rFonts w:hint="eastAsia" w:ascii="宋体" w:hAnsi="宋体" w:cs="宋体"/>
          <w:b/>
          <w:color w:val="auto"/>
          <w:szCs w:val="21"/>
          <w:highlight w:val="none"/>
        </w:rPr>
        <w:t>及培训</w:t>
      </w:r>
    </w:p>
    <w:p w14:paraId="3BA0CC1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w:t>
      </w:r>
      <w:r>
        <w:rPr>
          <w:rFonts w:hint="eastAsia" w:ascii="宋体" w:hAnsi="宋体" w:cs="宋体"/>
          <w:color w:val="auto"/>
          <w:szCs w:val="21"/>
          <w:highlight w:val="none"/>
          <w:lang w:eastAsia="zh-CN"/>
        </w:rPr>
        <w:t>后续服务</w:t>
      </w:r>
      <w:r>
        <w:rPr>
          <w:rFonts w:hint="eastAsia" w:ascii="宋体" w:hAnsi="宋体" w:cs="宋体"/>
          <w:color w:val="auto"/>
          <w:szCs w:val="21"/>
          <w:highlight w:val="none"/>
        </w:rPr>
        <w:t>承诺》要求为甲方提供相应的</w:t>
      </w:r>
      <w:r>
        <w:rPr>
          <w:rFonts w:hint="eastAsia" w:ascii="宋体" w:hAnsi="宋体" w:cs="宋体"/>
          <w:color w:val="auto"/>
          <w:szCs w:val="21"/>
          <w:highlight w:val="none"/>
          <w:lang w:eastAsia="zh-CN"/>
        </w:rPr>
        <w:t>后续服务</w:t>
      </w:r>
      <w:r>
        <w:rPr>
          <w:rFonts w:hint="eastAsia" w:ascii="宋体" w:hAnsi="宋体" w:cs="宋体"/>
          <w:color w:val="auto"/>
          <w:szCs w:val="21"/>
          <w:highlight w:val="none"/>
        </w:rPr>
        <w:t>。</w:t>
      </w:r>
    </w:p>
    <w:p w14:paraId="67F097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5B16B1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041DF09">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29DA5481">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付款方式：</w:t>
      </w:r>
      <w:r>
        <w:rPr>
          <w:rFonts w:hint="eastAsia" w:ascii="宋体" w:hAnsi="宋体" w:cs="宋体"/>
          <w:bCs/>
          <w:color w:val="auto"/>
          <w:szCs w:val="21"/>
          <w:highlight w:val="none"/>
          <w:u w:val="single"/>
        </w:rPr>
        <w:t xml:space="preserve">                       </w:t>
      </w:r>
    </w:p>
    <w:p w14:paraId="67688BB5">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373ECBE5">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本项目不收取履约保证金</w:t>
      </w:r>
    </w:p>
    <w:p w14:paraId="25FA292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422034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本合同执行中依法产生的应由甲方或者乙方承担的一切税费均由乙方负担，合同另有约定的除外。</w:t>
      </w:r>
    </w:p>
    <w:p w14:paraId="2982530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165BB32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1、除不可抗力原因外，乙方没有按照合同规定的时间提供服务的，甲方可要求乙方支付违约金。每推迟一天按合同金额的3‰支付违约金，该违约金累计不超过合同金额的10%。                                  </w:t>
      </w:r>
    </w:p>
    <w:p w14:paraId="4C72ED2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2、乙方提供的服务如侵犯了第三方合法权益而引发的任何纠纷或者诉讼，均由乙方负责交涉并承担全部责任。同时，甲方有权单方解除合同，合同金额没有支付的，不再支付；已经支付的，甲方有权追回，</w:t>
      </w:r>
    </w:p>
    <w:p w14:paraId="68A0110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且乙方应按合同金额20%承担违约金，违约金无法弥补甲方损失的，乙方应当继续赔偿。</w:t>
      </w:r>
    </w:p>
    <w:p w14:paraId="750CEB0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3、甲方延期付款的，每天向乙方偿付延期款额3‰违约金，但违约金累计不得超过延期款额5%。</w:t>
      </w:r>
    </w:p>
    <w:p w14:paraId="21339B5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所提供的服务成果、数量、技术参数要求(技术参数需求)等不符合甲方要求的，应及时整改；乙方在甲方规定期限内不能完成整改的或无正当理由拒绝整改或经整改后仍不能达到甲方要求的，甲方有权终止合同，追回已付款项，并按本合同总价的10%计算违约金。</w:t>
      </w:r>
    </w:p>
    <w:p w14:paraId="01BE8B1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甲方有权依据采购文件、响应文件及乙方的磋商承诺对乙方的服务人员进行管理或要求更换，对于甲方要求更换服务人员的，乙方应无条件及时更换;乙方拒绝更换的，甲方有权终止合同，并按本合同总价的10%计算违约金。</w:t>
      </w:r>
    </w:p>
    <w:p w14:paraId="08E947E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6、乙方未按本合同和响应文件中规定的服务承诺提供</w:t>
      </w:r>
      <w:r>
        <w:rPr>
          <w:rFonts w:hint="eastAsia" w:ascii="宋体" w:hAnsi="宋体" w:cs="宋体"/>
          <w:color w:val="auto"/>
          <w:szCs w:val="21"/>
          <w:highlight w:val="none"/>
          <w:lang w:eastAsia="zh-CN"/>
        </w:rPr>
        <w:t>后续服务</w:t>
      </w:r>
      <w:r>
        <w:rPr>
          <w:rFonts w:hint="eastAsia" w:ascii="宋体" w:hAnsi="宋体" w:cs="宋体"/>
          <w:color w:val="auto"/>
          <w:szCs w:val="21"/>
          <w:highlight w:val="none"/>
        </w:rPr>
        <w:t>的，乙方应按本合同总金额的5%/次向甲方支付违约金。</w:t>
      </w:r>
    </w:p>
    <w:p w14:paraId="5993F6C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7、乙方提供的服务及其成果在服务期及售后期内，因设计缺陷或其它质量原因造成的问题，由乙方负责处理并承担费用。</w:t>
      </w:r>
    </w:p>
    <w:p w14:paraId="788C58F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由于乙方提供的产品和服务达不到磋商文件规定的服务质量、技术要求，致使验收不合格的，甲方不予验收，直至乙方按合同要求进行整改使该项目完全达到规定的技术及服务要求，整改期间产生的一切费用由乙方负责并承担逾期交付的违约责任。</w:t>
      </w:r>
    </w:p>
    <w:p w14:paraId="78EDE25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9、乙方不能就所成交的项目进行分包、转包，如发现乙方有分包、转包现象，甲方有权单方解除合同，同时乙方应向甲方支付合同总金额20%的违约金，由此造成的损失由乙方负责。</w:t>
      </w:r>
    </w:p>
    <w:p w14:paraId="7A1C490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10、本合同有效期内，乙方因自身原因要求终止或解除合同，应返还甲方已付款项，并按合同总价款的20%承担违约责任。</w:t>
      </w:r>
    </w:p>
    <w:p w14:paraId="5D0007D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11、如乙方违反合同约定的信息安全及保密要求，每违反一次收取合同总金额0.2%的违约金，累计不超过合同总金额的30%，违约金不足以弥补甲方实际损失的，乙方还应支付赔偿金。</w:t>
      </w:r>
    </w:p>
    <w:p w14:paraId="1D1C6EE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12、其它违约行为按合同总金额的5%收取违约金。</w:t>
      </w:r>
    </w:p>
    <w:p w14:paraId="664BA78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13、本条所称损失是指一方因另一方违约而遭受的全部经济损失(包括但不限于直接损失、间接损失及实现债权的费用，如诉讼费、律师费、差旅费、调查费、财产保全责任险保险费等)。</w:t>
      </w:r>
    </w:p>
    <w:p w14:paraId="03A116C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第十条  不可抗力事件处理</w:t>
      </w:r>
    </w:p>
    <w:p w14:paraId="7B275C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543427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08C1EF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094480C5">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第十一条  合同争议解决</w:t>
      </w:r>
    </w:p>
    <w:p w14:paraId="28AEBB2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5DE3887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14:paraId="1158CEC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2626B1F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7D91CD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5180ED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3C4582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0BE910D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18847B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6A137E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641E6E8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6949DC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1、成交通知书；</w:t>
      </w:r>
    </w:p>
    <w:p w14:paraId="585634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2、竞标报价表；</w:t>
      </w:r>
    </w:p>
    <w:p w14:paraId="0952DE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5AB52D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4、服务方案；</w:t>
      </w:r>
    </w:p>
    <w:p w14:paraId="225D68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5、响应文件中的其他相关文件。</w:t>
      </w:r>
    </w:p>
    <w:p w14:paraId="5CA492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6、上述合同文件互相补充和解释。如果合同文件之间存在矛盾或者不一致之处，以上述文件的排列顺序在先者为准。</w:t>
      </w:r>
    </w:p>
    <w:p w14:paraId="492CDFAB">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本合同一式伍份，具有同等法律效力，采购代理机构一份，甲、乙方各两份（可根据需要另增加）。</w:t>
      </w:r>
    </w:p>
    <w:p w14:paraId="48FA01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本合同甲乙双方签字盖章后生效，本合同自签订之日起2个工作日内，甲方应当将采购合同在广西壮族自治区财政厅指定的媒体上公告。</w:t>
      </w:r>
    </w:p>
    <w:tbl>
      <w:tblPr>
        <w:tblStyle w:val="32"/>
        <w:tblpPr w:leftFromText="180" w:rightFromText="180" w:vertAnchor="text" w:horzAnchor="margin" w:tblpXSpec="center"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1F6E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14:paraId="4B17420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甲方：（章）</w:t>
            </w:r>
          </w:p>
          <w:p w14:paraId="43F0C280">
            <w:pPr>
              <w:snapToGrid w:val="0"/>
              <w:spacing w:line="360" w:lineRule="auto"/>
              <w:rPr>
                <w:rFonts w:ascii="宋体" w:hAnsi="宋体" w:cs="宋体"/>
                <w:color w:val="auto"/>
                <w:szCs w:val="21"/>
                <w:highlight w:val="none"/>
              </w:rPr>
            </w:pPr>
          </w:p>
          <w:p w14:paraId="2F0A7449">
            <w:pPr>
              <w:snapToGrid w:val="0"/>
              <w:spacing w:line="360" w:lineRule="auto"/>
              <w:rPr>
                <w:rFonts w:ascii="宋体" w:hAnsi="宋体" w:cs="宋体"/>
                <w:color w:val="auto"/>
                <w:szCs w:val="21"/>
                <w:highlight w:val="none"/>
              </w:rPr>
            </w:pPr>
          </w:p>
          <w:p w14:paraId="736DC7B7">
            <w:pPr>
              <w:snapToGrid w:val="0"/>
              <w:spacing w:line="360" w:lineRule="auto"/>
              <w:ind w:firstLine="945" w:firstLineChars="450"/>
              <w:jc w:val="right"/>
              <w:rPr>
                <w:rFonts w:ascii="宋体" w:hAnsi="宋体" w:cs="宋体"/>
                <w:color w:val="auto"/>
                <w:szCs w:val="21"/>
                <w:highlight w:val="none"/>
              </w:rPr>
            </w:pPr>
          </w:p>
          <w:p w14:paraId="6D256D04">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39F67F8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14:paraId="243A4B01">
            <w:pPr>
              <w:snapToGrid w:val="0"/>
              <w:spacing w:line="360" w:lineRule="auto"/>
              <w:rPr>
                <w:rFonts w:ascii="宋体" w:hAnsi="宋体" w:cs="宋体"/>
                <w:color w:val="auto"/>
                <w:szCs w:val="21"/>
                <w:highlight w:val="none"/>
              </w:rPr>
            </w:pPr>
          </w:p>
          <w:p w14:paraId="3A627E1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6F87DDCD">
            <w:pPr>
              <w:snapToGrid w:val="0"/>
              <w:spacing w:line="360" w:lineRule="auto"/>
              <w:jc w:val="right"/>
              <w:rPr>
                <w:rFonts w:ascii="宋体" w:hAnsi="宋体" w:cs="宋体"/>
                <w:color w:val="auto"/>
                <w:szCs w:val="21"/>
                <w:highlight w:val="none"/>
              </w:rPr>
            </w:pPr>
          </w:p>
          <w:p w14:paraId="61ECBCF9">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3EE7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07C9AE7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vAlign w:val="center"/>
          </w:tcPr>
          <w:p w14:paraId="162215C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53B4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50CCD7E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2676E22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692B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551551F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6022E49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72FE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780E97E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682D5CB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5B45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5471C5C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56ACF26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60F3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2B333FF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4070913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52B3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38DE95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7F31080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142F8D2E">
      <w:pPr>
        <w:widowControl/>
        <w:jc w:val="left"/>
        <w:rPr>
          <w:rFonts w:ascii="宋体" w:hAnsi="宋体" w:cs="宋体"/>
          <w:color w:val="auto"/>
          <w:sz w:val="20"/>
          <w:szCs w:val="20"/>
          <w:highlight w:val="none"/>
        </w:rPr>
      </w:pPr>
    </w:p>
    <w:p w14:paraId="17863698">
      <w:pPr>
        <w:spacing w:before="4"/>
        <w:rPr>
          <w:rFonts w:ascii="宋体" w:hAnsi="宋体" w:cs="宋体"/>
          <w:color w:val="auto"/>
          <w:sz w:val="6"/>
          <w:szCs w:val="6"/>
          <w:highlight w:val="none"/>
        </w:rPr>
      </w:pPr>
    </w:p>
    <w:p w14:paraId="1EF9E16D">
      <w:pPr>
        <w:spacing w:before="4"/>
        <w:rPr>
          <w:rFonts w:ascii="宋体" w:hAnsi="宋体" w:cs="宋体"/>
          <w:color w:val="auto"/>
          <w:sz w:val="6"/>
          <w:szCs w:val="6"/>
          <w:highlight w:val="none"/>
        </w:rPr>
      </w:pPr>
    </w:p>
    <w:sectPr>
      <w:footerReference r:id="rId10" w:type="first"/>
      <w:footerReference r:id="rId9" w:type="default"/>
      <w:pgSz w:w="11906" w:h="16838"/>
      <w:pgMar w:top="1134" w:right="1020" w:bottom="1134" w:left="1020"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2CFE6">
    <w:pPr>
      <w:pStyle w:val="23"/>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6A5C93">
                          <w:pPr>
                            <w:pStyle w:val="23"/>
                          </w:pPr>
                          <w:r>
                            <w:fldChar w:fldCharType="begin"/>
                          </w:r>
                          <w:r>
                            <w:instrText xml:space="preserve"> PAGE  \* MERGEFORMAT </w:instrText>
                          </w:r>
                          <w:r>
                            <w:fldChar w:fldCharType="separate"/>
                          </w:r>
                          <w:r>
                            <w:t>87</w:t>
                          </w:r>
                          <w:r>
                            <w:fldChar w:fldCharType="end"/>
                          </w:r>
                        </w:p>
                      </w:txbxContent>
                    </wps:txbx>
                    <wps:bodyPr wrap="none" lIns="0" tIns="0" rIns="0" bIns="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Oz/cgBAACeAwAADgAAAGRycy9lMm9Eb2MueG1srVPNjtMwEL4j8Q6W&#10;7zRp0aI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drNc&#10;vUw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sjs/3IAQAAngMAAA4AAAAAAAAAAQAgAAAAHgEAAGRycy9lMm9Eb2Mu&#10;eG1sUEsFBgAAAAAGAAYAWQEAAFgFAAAAAA==&#10;">
              <v:fill on="f" focussize="0,0"/>
              <v:stroke on="f"/>
              <v:imagedata o:title=""/>
              <o:lock v:ext="edit" aspectratio="f"/>
              <v:textbox inset="0mm,0mm,0mm,0mm" style="mso-fit-shape-to-text:t;">
                <w:txbxContent>
                  <w:p w14:paraId="486A5C93">
                    <w:pPr>
                      <w:pStyle w:val="23"/>
                    </w:pPr>
                    <w:r>
                      <w:fldChar w:fldCharType="begin"/>
                    </w:r>
                    <w:r>
                      <w:instrText xml:space="preserve"> PAGE  \* MERGEFORMAT </w:instrText>
                    </w:r>
                    <w:r>
                      <w:fldChar w:fldCharType="separate"/>
                    </w:r>
                    <w:r>
                      <w:t>87</w:t>
                    </w:r>
                    <w:r>
                      <w:fldChar w:fldCharType="end"/>
                    </w:r>
                  </w:p>
                </w:txbxContent>
              </v:textbox>
            </v:shape>
          </w:pict>
        </mc:Fallback>
      </mc:AlternateContent>
    </w:r>
  </w:p>
  <w:p w14:paraId="449F4E3E">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EBD2F">
    <w:pPr>
      <w:pStyle w:val="23"/>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BD801B5"/>
                      </w:txbxContent>
                    </wps:txbx>
                    <wps:bodyPr wrap="none" lIns="0" tIns="0" rIns="0" bIns="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lB6FPIAQAAngMAAA4AAAAAAAAAAQAgAAAAHgEAAGRycy9lMm9Eb2Mu&#10;eG1sUEsFBgAAAAAGAAYAWQEAAFgFAAAAAA==&#10;">
              <v:fill on="f" focussize="0,0"/>
              <v:stroke on="f"/>
              <v:imagedata o:title=""/>
              <o:lock v:ext="edit" aspectratio="f"/>
              <v:textbox inset="0mm,0mm,0mm,0mm" style="mso-fit-shape-to-text:t;">
                <w:txbxContent>
                  <w:p w14:paraId="3BD801B5"/>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7803E">
    <w:pPr>
      <w:pStyle w:val="23"/>
      <w:tabs>
        <w:tab w:val="center" w:pos="4439"/>
        <w:tab w:val="clear" w:pos="4153"/>
      </w:tabs>
      <w:jc w:val="both"/>
    </w:pPr>
  </w:p>
  <w:p w14:paraId="03CB6094">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1136C">
    <w:pPr>
      <w:pStyle w:val="23"/>
      <w:tabs>
        <w:tab w:val="center" w:pos="4439"/>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158B5E"/>
                      </w:txbxContent>
                    </wps:txbx>
                    <wps:bodyPr wrap="none" lIns="0" tIns="0" rIns="0" bIns="0">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wVujzIAQAAngMAAA4AAAAAAAAAAQAgAAAAHgEAAGRycy9lMm9Eb2Mu&#10;eG1sUEsFBgAAAAAGAAYAWQEAAFgFAAAAAA==&#10;">
              <v:fill on="f" focussize="0,0"/>
              <v:stroke on="f"/>
              <v:imagedata o:title=""/>
              <o:lock v:ext="edit" aspectratio="f"/>
              <v:textbox inset="0mm,0mm,0mm,0mm" style="mso-fit-shape-to-text:t;">
                <w:txbxContent>
                  <w:p w14:paraId="5C158B5E"/>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FCE29">
    <w:pPr>
      <w:pStyle w:val="2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CD65C6">
                          <w:pPr>
                            <w:pStyle w:val="23"/>
                            <w:jc w:val="center"/>
                          </w:pPr>
                          <w:r>
                            <w:fldChar w:fldCharType="begin"/>
                          </w:r>
                          <w:r>
                            <w:instrText xml:space="preserve"> PAGE  \* MERGEFORMAT </w:instrText>
                          </w:r>
                          <w:r>
                            <w:fldChar w:fldCharType="separate"/>
                          </w:r>
                          <w:r>
                            <w:t>51</w:t>
                          </w:r>
                          <w:r>
                            <w:fldChar w:fldCharType="end"/>
                          </w:r>
                        </w:p>
                      </w:txbxContent>
                    </wps:txbx>
                    <wps:bodyPr wrap="none" lIns="0" tIns="0" rIns="0" bIns="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Wu+ckBAACeAwAADgAAAGRycy9lMm9Eb2MueG1srVPNjtMwEL4j8Q6W&#10;7zRpE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l5w5YenBL9+/XX78uvz8yl4t&#10;V8ukUO+xosI7T6VxeAsD7c0cRwom4kMbbPoSJUZ50vd81VcNkcl0ab1ar0tKScrNDuEXD9d9wPhO&#10;gWXJqHmgB8y6itMHjGPpXJK6ObjVxuRHNO6vAGGOEZW3YLqdmIwTJysO+2Git4fmTOx62oSaO1p8&#10;zsx7R0KnpZmNMBv7yUgd0b85RhojT5dQRyhilRx6tsxvWrG0F3/6uerht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iZa75yQEAAJ4DAAAOAAAAAAAAAAEAIAAAAB4BAABkcnMvZTJvRG9j&#10;LnhtbFBLBQYAAAAABgAGAFkBAABZBQAAAAA=&#10;">
              <v:fill on="f" focussize="0,0"/>
              <v:stroke on="f"/>
              <v:imagedata o:title=""/>
              <o:lock v:ext="edit" aspectratio="f"/>
              <v:textbox inset="0mm,0mm,0mm,0mm" style="mso-fit-shape-to-text:t;">
                <w:txbxContent>
                  <w:p w14:paraId="2CCD65C6">
                    <w:pPr>
                      <w:pStyle w:val="23"/>
                      <w:jc w:val="center"/>
                    </w:pPr>
                    <w:r>
                      <w:fldChar w:fldCharType="begin"/>
                    </w:r>
                    <w:r>
                      <w:instrText xml:space="preserve"> PAGE  \* MERGEFORMAT </w:instrText>
                    </w:r>
                    <w:r>
                      <w:fldChar w:fldCharType="separate"/>
                    </w:r>
                    <w:r>
                      <w:t>51</w:t>
                    </w:r>
                    <w:r>
                      <w:fldChar w:fldCharType="end"/>
                    </w:r>
                  </w:p>
                </w:txbxContent>
              </v:textbox>
            </v:shape>
          </w:pict>
        </mc:Fallback>
      </mc:AlternateContent>
    </w:r>
  </w:p>
  <w:p w14:paraId="7F067F2C">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000A2">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9A20C8">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YXsskBAACeAwAADgAAAGRycy9lMm9Eb2MueG1srVNLbtswEN0XyB0I&#10;7mPJQ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ekOJZQYf/Pz92/nHr/PPr+T1&#10;sqqSQr2HGgsfPJbG4Z0bcG/mOGAwER9kMOmLlAjmUd/TRV8xRMLTpVW1WpWY4pibHcQvnq77APFe&#10;OEOS0dCAD5h1ZccPEMfSuSR1s+5OaZ0fUdu/Aog5RkTegul2YjJOnKw47IaJ3s61J2TX4yY01OLi&#10;U6LfWxQ6Lc1shNnYTUbqCP7tIeIYebqEOkIhq+Tgs2V+04qlvfjTz1VPv9X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51heyyQEAAJ4DAAAOAAAAAAAAAAEAIAAAAB4BAABkcnMvZTJvRG9j&#10;LnhtbFBLBQYAAAAABgAGAFkBAABZBQAAAAA=&#10;">
              <v:fill on="f" focussize="0,0"/>
              <v:stroke on="f"/>
              <v:imagedata o:title=""/>
              <o:lock v:ext="edit" aspectratio="f"/>
              <v:textbox inset="0mm,0mm,0mm,0mm" style="mso-fit-shape-to-text:t;">
                <w:txbxContent>
                  <w:p w14:paraId="0E9A20C8">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3F0FD">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F255A">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61CE0"/>
    <w:multiLevelType w:val="singleLevel"/>
    <w:tmpl w:val="E5361CE0"/>
    <w:lvl w:ilvl="0" w:tentative="0">
      <w:start w:val="1"/>
      <w:numFmt w:val="decimal"/>
      <w:suff w:val="nothing"/>
      <w:lvlText w:val="%1、"/>
      <w:lvlJc w:val="left"/>
    </w:lvl>
  </w:abstractNum>
  <w:abstractNum w:abstractNumId="1">
    <w:nsid w:val="E929EF5B"/>
    <w:multiLevelType w:val="singleLevel"/>
    <w:tmpl w:val="E929EF5B"/>
    <w:lvl w:ilvl="0" w:tentative="0">
      <w:start w:val="1"/>
      <w:numFmt w:val="decimal"/>
      <w:suff w:val="nothing"/>
      <w:lvlText w:val="（%1）"/>
      <w:lvlJc w:val="left"/>
    </w:lvl>
  </w:abstractNum>
  <w:abstractNum w:abstractNumId="2">
    <w:nsid w:val="E9C77B7E"/>
    <w:multiLevelType w:val="singleLevel"/>
    <w:tmpl w:val="E9C77B7E"/>
    <w:lvl w:ilvl="0" w:tentative="0">
      <w:start w:val="1"/>
      <w:numFmt w:val="decimal"/>
      <w:suff w:val="nothing"/>
      <w:lvlText w:val="%1、"/>
      <w:lvlJc w:val="left"/>
    </w:lvl>
  </w:abstractNum>
  <w:abstractNum w:abstractNumId="3">
    <w:nsid w:val="EC25DEF1"/>
    <w:multiLevelType w:val="singleLevel"/>
    <w:tmpl w:val="EC25DEF1"/>
    <w:lvl w:ilvl="0" w:tentative="0">
      <w:start w:val="7"/>
      <w:numFmt w:val="chineseCounting"/>
      <w:suff w:val="nothing"/>
      <w:lvlText w:val="%1、"/>
      <w:lvlJc w:val="left"/>
      <w:rPr>
        <w:rFonts w:hint="eastAsia"/>
      </w:rPr>
    </w:lvl>
  </w:abstractNum>
  <w:abstractNum w:abstractNumId="4">
    <w:nsid w:val="0E7F68A8"/>
    <w:multiLevelType w:val="singleLevel"/>
    <w:tmpl w:val="0E7F68A8"/>
    <w:lvl w:ilvl="0" w:tentative="0">
      <w:start w:val="1"/>
      <w:numFmt w:val="chineseCounting"/>
      <w:suff w:val="nothing"/>
      <w:lvlText w:val="%1、"/>
      <w:lvlJc w:val="left"/>
      <w:rPr>
        <w:rFonts w:hint="eastAsia"/>
      </w:rPr>
    </w:lvl>
  </w:abstractNum>
  <w:abstractNum w:abstractNumId="5">
    <w:nsid w:val="145A385A"/>
    <w:multiLevelType w:val="singleLevel"/>
    <w:tmpl w:val="145A385A"/>
    <w:lvl w:ilvl="0" w:tentative="0">
      <w:start w:val="1"/>
      <w:numFmt w:val="decimal"/>
      <w:suff w:val="nothing"/>
      <w:lvlText w:val="%1、"/>
      <w:lvlJc w:val="left"/>
    </w:lvl>
  </w:abstractNum>
  <w:abstractNum w:abstractNumId="6">
    <w:nsid w:val="1FBED113"/>
    <w:multiLevelType w:val="singleLevel"/>
    <w:tmpl w:val="1FBED113"/>
    <w:lvl w:ilvl="0" w:tentative="0">
      <w:start w:val="7"/>
      <w:numFmt w:val="decimal"/>
      <w:suff w:val="nothing"/>
      <w:lvlText w:val="%1、"/>
      <w:lvlJc w:val="left"/>
    </w:lvl>
  </w:abstractNum>
  <w:abstractNum w:abstractNumId="7">
    <w:nsid w:val="3420C508"/>
    <w:multiLevelType w:val="singleLevel"/>
    <w:tmpl w:val="3420C508"/>
    <w:lvl w:ilvl="0" w:tentative="0">
      <w:start w:val="1"/>
      <w:numFmt w:val="decimal"/>
      <w:suff w:val="nothing"/>
      <w:lvlText w:val="%1、"/>
      <w:lvlJc w:val="left"/>
    </w:lvl>
  </w:abstractNum>
  <w:abstractNum w:abstractNumId="8">
    <w:nsid w:val="3FA20C8C"/>
    <w:multiLevelType w:val="singleLevel"/>
    <w:tmpl w:val="3FA20C8C"/>
    <w:lvl w:ilvl="0" w:tentative="0">
      <w:start w:val="4"/>
      <w:numFmt w:val="chineseCounting"/>
      <w:suff w:val="nothing"/>
      <w:lvlText w:val="%1、"/>
      <w:lvlJc w:val="left"/>
      <w:rPr>
        <w:rFonts w:hint="eastAsia"/>
      </w:rPr>
    </w:lvl>
  </w:abstractNum>
  <w:abstractNum w:abstractNumId="9">
    <w:nsid w:val="4D1967BE"/>
    <w:multiLevelType w:val="singleLevel"/>
    <w:tmpl w:val="4D1967BE"/>
    <w:lvl w:ilvl="0" w:tentative="0">
      <w:start w:val="2"/>
      <w:numFmt w:val="decimal"/>
      <w:suff w:val="nothing"/>
      <w:lvlText w:val="%1、"/>
      <w:lvlJc w:val="left"/>
    </w:lvl>
  </w:abstractNum>
  <w:abstractNum w:abstractNumId="10">
    <w:nsid w:val="5EE75099"/>
    <w:multiLevelType w:val="multilevel"/>
    <w:tmpl w:val="5EE75099"/>
    <w:lvl w:ilvl="0" w:tentative="0">
      <w:start w:val="1"/>
      <w:numFmt w:val="chineseCountingThousand"/>
      <w:pStyle w:val="85"/>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978"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suff w:val="nothing"/>
      <w:lvlText w:val="%3.%4.%5 "/>
      <w:lvlJc w:val="left"/>
      <w:pPr>
        <w:tabs>
          <w:tab w:val="left" w:pos="0"/>
        </w:tabs>
        <w:ind w:left="0" w:firstLine="0"/>
      </w:pPr>
      <w:rPr>
        <w:rFonts w:hint="eastAsia" w:ascii="宋体" w:hAnsi="宋体" w:eastAsia="宋体" w:cs="宋体"/>
        <w:b/>
      </w:rPr>
    </w:lvl>
    <w:lvl w:ilvl="5" w:tentative="0">
      <w:start w:val="1"/>
      <w:numFmt w:val="decimal"/>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1">
    <w:nsid w:val="655C152A"/>
    <w:multiLevelType w:val="singleLevel"/>
    <w:tmpl w:val="655C152A"/>
    <w:lvl w:ilvl="0" w:tentative="0">
      <w:start w:val="2"/>
      <w:numFmt w:val="chineseCounting"/>
      <w:suff w:val="nothing"/>
      <w:lvlText w:val="%1、"/>
      <w:lvlJc w:val="left"/>
      <w:rPr>
        <w:rFonts w:hint="eastAsia"/>
      </w:rPr>
    </w:lvl>
  </w:abstractNum>
  <w:num w:numId="1">
    <w:abstractNumId w:val="10"/>
  </w:num>
  <w:num w:numId="2">
    <w:abstractNumId w:val="11"/>
  </w:num>
  <w:num w:numId="3">
    <w:abstractNumId w:val="7"/>
  </w:num>
  <w:num w:numId="4">
    <w:abstractNumId w:val="9"/>
  </w:num>
  <w:num w:numId="5">
    <w:abstractNumId w:val="4"/>
  </w:num>
  <w:num w:numId="6">
    <w:abstractNumId w:val="1"/>
  </w:num>
  <w:num w:numId="7">
    <w:abstractNumId w:val="0"/>
  </w:num>
  <w:num w:numId="8">
    <w:abstractNumId w:val="6"/>
  </w:num>
  <w:num w:numId="9">
    <w:abstractNumId w:val="8"/>
  </w:num>
  <w:num w:numId="10">
    <w:abstractNumId w:val="5"/>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revisionView w:markup="0"/>
  <w:trackRevisions w:val="1"/>
  <w:documentProtection w:edit="readOnly" w:formatting="1" w:enforcement="1" w:cryptProviderType="rsaFull" w:cryptAlgorithmClass="hash" w:cryptAlgorithmType="typeAny" w:cryptAlgorithmSid="4" w:cryptSpinCount="0" w:hash="TsRJKPCj5p6O46V+SS52/z64v7Q=" w:salt="FoZmN4fsONc8auHy4m784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Nzg2NzY5NzM5NWYzYjBlNTA3MTIyZDljZTlhZmEifQ=="/>
    <w:docVar w:name="KSO_WPS_MARK_KEY" w:val="b95ecb36-b825-4aab-a484-008294de2a68"/>
  </w:docVars>
  <w:rsids>
    <w:rsidRoot w:val="00F34B14"/>
    <w:rsid w:val="00000672"/>
    <w:rsid w:val="00001013"/>
    <w:rsid w:val="00001799"/>
    <w:rsid w:val="00001AF2"/>
    <w:rsid w:val="00001ECA"/>
    <w:rsid w:val="00002D29"/>
    <w:rsid w:val="00002EAF"/>
    <w:rsid w:val="00003B93"/>
    <w:rsid w:val="0000474D"/>
    <w:rsid w:val="00005164"/>
    <w:rsid w:val="00005FDF"/>
    <w:rsid w:val="00006851"/>
    <w:rsid w:val="00006AC0"/>
    <w:rsid w:val="000070B3"/>
    <w:rsid w:val="000076B8"/>
    <w:rsid w:val="000109DC"/>
    <w:rsid w:val="00010D39"/>
    <w:rsid w:val="0001172C"/>
    <w:rsid w:val="00011BC9"/>
    <w:rsid w:val="00011C99"/>
    <w:rsid w:val="00012854"/>
    <w:rsid w:val="000129DB"/>
    <w:rsid w:val="00012EA6"/>
    <w:rsid w:val="00013359"/>
    <w:rsid w:val="000139CF"/>
    <w:rsid w:val="00013AA4"/>
    <w:rsid w:val="00013DFE"/>
    <w:rsid w:val="000141EA"/>
    <w:rsid w:val="00014CA1"/>
    <w:rsid w:val="00016ABC"/>
    <w:rsid w:val="00016DE6"/>
    <w:rsid w:val="000177DB"/>
    <w:rsid w:val="000179C9"/>
    <w:rsid w:val="00017CCC"/>
    <w:rsid w:val="00020227"/>
    <w:rsid w:val="00020263"/>
    <w:rsid w:val="00020455"/>
    <w:rsid w:val="000207F2"/>
    <w:rsid w:val="00020813"/>
    <w:rsid w:val="000220B2"/>
    <w:rsid w:val="0002264C"/>
    <w:rsid w:val="00022731"/>
    <w:rsid w:val="00022792"/>
    <w:rsid w:val="00024463"/>
    <w:rsid w:val="00025461"/>
    <w:rsid w:val="00025636"/>
    <w:rsid w:val="00025E36"/>
    <w:rsid w:val="00026855"/>
    <w:rsid w:val="00026886"/>
    <w:rsid w:val="0002785D"/>
    <w:rsid w:val="000279F1"/>
    <w:rsid w:val="000307BE"/>
    <w:rsid w:val="000313DC"/>
    <w:rsid w:val="000329E0"/>
    <w:rsid w:val="000352E9"/>
    <w:rsid w:val="00035494"/>
    <w:rsid w:val="00036125"/>
    <w:rsid w:val="000365AC"/>
    <w:rsid w:val="00036A07"/>
    <w:rsid w:val="00036C95"/>
    <w:rsid w:val="0003780B"/>
    <w:rsid w:val="00040571"/>
    <w:rsid w:val="00040973"/>
    <w:rsid w:val="0004156E"/>
    <w:rsid w:val="00041713"/>
    <w:rsid w:val="00041C18"/>
    <w:rsid w:val="00044263"/>
    <w:rsid w:val="0004440C"/>
    <w:rsid w:val="000451F1"/>
    <w:rsid w:val="00046B5E"/>
    <w:rsid w:val="000470CB"/>
    <w:rsid w:val="000479FF"/>
    <w:rsid w:val="000509D9"/>
    <w:rsid w:val="000512AF"/>
    <w:rsid w:val="00051ACB"/>
    <w:rsid w:val="000533E7"/>
    <w:rsid w:val="00055D41"/>
    <w:rsid w:val="00056EF6"/>
    <w:rsid w:val="00057CD6"/>
    <w:rsid w:val="00060DCE"/>
    <w:rsid w:val="000610E3"/>
    <w:rsid w:val="000614F3"/>
    <w:rsid w:val="000623B4"/>
    <w:rsid w:val="00062405"/>
    <w:rsid w:val="00062B42"/>
    <w:rsid w:val="000634A7"/>
    <w:rsid w:val="00063B0B"/>
    <w:rsid w:val="00063F81"/>
    <w:rsid w:val="00064847"/>
    <w:rsid w:val="00064F97"/>
    <w:rsid w:val="00065E08"/>
    <w:rsid w:val="000673E2"/>
    <w:rsid w:val="0007027E"/>
    <w:rsid w:val="0007063F"/>
    <w:rsid w:val="000707FD"/>
    <w:rsid w:val="00070949"/>
    <w:rsid w:val="000711E4"/>
    <w:rsid w:val="000720A1"/>
    <w:rsid w:val="000724D9"/>
    <w:rsid w:val="00072AED"/>
    <w:rsid w:val="00072BC8"/>
    <w:rsid w:val="00073F47"/>
    <w:rsid w:val="0007492F"/>
    <w:rsid w:val="00074ED8"/>
    <w:rsid w:val="00075B7E"/>
    <w:rsid w:val="00077266"/>
    <w:rsid w:val="00077ACA"/>
    <w:rsid w:val="00077C70"/>
    <w:rsid w:val="000813B5"/>
    <w:rsid w:val="0008191E"/>
    <w:rsid w:val="00081BA3"/>
    <w:rsid w:val="00081D2E"/>
    <w:rsid w:val="00081F89"/>
    <w:rsid w:val="00082619"/>
    <w:rsid w:val="00082D02"/>
    <w:rsid w:val="00083871"/>
    <w:rsid w:val="00083B91"/>
    <w:rsid w:val="0008473C"/>
    <w:rsid w:val="0008520B"/>
    <w:rsid w:val="000857DE"/>
    <w:rsid w:val="0008600E"/>
    <w:rsid w:val="000860BD"/>
    <w:rsid w:val="0008694B"/>
    <w:rsid w:val="000871B8"/>
    <w:rsid w:val="00087B0A"/>
    <w:rsid w:val="000904D2"/>
    <w:rsid w:val="000916DA"/>
    <w:rsid w:val="00092442"/>
    <w:rsid w:val="000929EF"/>
    <w:rsid w:val="00092C26"/>
    <w:rsid w:val="000933BE"/>
    <w:rsid w:val="0009560F"/>
    <w:rsid w:val="0009588E"/>
    <w:rsid w:val="000959EE"/>
    <w:rsid w:val="00096DB9"/>
    <w:rsid w:val="00097183"/>
    <w:rsid w:val="000972CB"/>
    <w:rsid w:val="00097608"/>
    <w:rsid w:val="000A1175"/>
    <w:rsid w:val="000A13F3"/>
    <w:rsid w:val="000A23B1"/>
    <w:rsid w:val="000A2B0E"/>
    <w:rsid w:val="000A398F"/>
    <w:rsid w:val="000A448C"/>
    <w:rsid w:val="000A509C"/>
    <w:rsid w:val="000A54A7"/>
    <w:rsid w:val="000A5712"/>
    <w:rsid w:val="000A6007"/>
    <w:rsid w:val="000A65A6"/>
    <w:rsid w:val="000A6829"/>
    <w:rsid w:val="000A70E3"/>
    <w:rsid w:val="000A7275"/>
    <w:rsid w:val="000A7A12"/>
    <w:rsid w:val="000A7A72"/>
    <w:rsid w:val="000B1202"/>
    <w:rsid w:val="000B13B8"/>
    <w:rsid w:val="000B1801"/>
    <w:rsid w:val="000B1D0C"/>
    <w:rsid w:val="000B2273"/>
    <w:rsid w:val="000B2BC6"/>
    <w:rsid w:val="000B2D03"/>
    <w:rsid w:val="000B37F2"/>
    <w:rsid w:val="000B3815"/>
    <w:rsid w:val="000B3C7B"/>
    <w:rsid w:val="000B4321"/>
    <w:rsid w:val="000B6A6B"/>
    <w:rsid w:val="000B6C95"/>
    <w:rsid w:val="000B79FC"/>
    <w:rsid w:val="000C1679"/>
    <w:rsid w:val="000C1EE3"/>
    <w:rsid w:val="000C3AE7"/>
    <w:rsid w:val="000C3CC9"/>
    <w:rsid w:val="000C6DE4"/>
    <w:rsid w:val="000C7202"/>
    <w:rsid w:val="000D0A89"/>
    <w:rsid w:val="000D1389"/>
    <w:rsid w:val="000D1798"/>
    <w:rsid w:val="000D2626"/>
    <w:rsid w:val="000D29A2"/>
    <w:rsid w:val="000D320C"/>
    <w:rsid w:val="000D341C"/>
    <w:rsid w:val="000D411D"/>
    <w:rsid w:val="000D4589"/>
    <w:rsid w:val="000D4809"/>
    <w:rsid w:val="000D73DD"/>
    <w:rsid w:val="000E1C51"/>
    <w:rsid w:val="000E28AB"/>
    <w:rsid w:val="000E2E3E"/>
    <w:rsid w:val="000E310E"/>
    <w:rsid w:val="000E3583"/>
    <w:rsid w:val="000E370E"/>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339"/>
    <w:rsid w:val="000F7AF4"/>
    <w:rsid w:val="000F7C33"/>
    <w:rsid w:val="000F7F0C"/>
    <w:rsid w:val="001004D6"/>
    <w:rsid w:val="00101D1B"/>
    <w:rsid w:val="00102676"/>
    <w:rsid w:val="001029C1"/>
    <w:rsid w:val="00103646"/>
    <w:rsid w:val="00103918"/>
    <w:rsid w:val="00104897"/>
    <w:rsid w:val="00104EDE"/>
    <w:rsid w:val="00105CDA"/>
    <w:rsid w:val="00106BEE"/>
    <w:rsid w:val="0010711C"/>
    <w:rsid w:val="00107BDF"/>
    <w:rsid w:val="00107C74"/>
    <w:rsid w:val="0011091C"/>
    <w:rsid w:val="00111266"/>
    <w:rsid w:val="001112EB"/>
    <w:rsid w:val="0011247D"/>
    <w:rsid w:val="00112FFB"/>
    <w:rsid w:val="00113678"/>
    <w:rsid w:val="00113A7D"/>
    <w:rsid w:val="00113C3E"/>
    <w:rsid w:val="00115132"/>
    <w:rsid w:val="00115E11"/>
    <w:rsid w:val="00115EEE"/>
    <w:rsid w:val="00115F56"/>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2B7"/>
    <w:rsid w:val="00130783"/>
    <w:rsid w:val="00130A47"/>
    <w:rsid w:val="00132B47"/>
    <w:rsid w:val="001337F8"/>
    <w:rsid w:val="001348B4"/>
    <w:rsid w:val="001351CB"/>
    <w:rsid w:val="00135530"/>
    <w:rsid w:val="00135947"/>
    <w:rsid w:val="001359A2"/>
    <w:rsid w:val="00135F92"/>
    <w:rsid w:val="00136020"/>
    <w:rsid w:val="0013641C"/>
    <w:rsid w:val="00136445"/>
    <w:rsid w:val="00137389"/>
    <w:rsid w:val="00140132"/>
    <w:rsid w:val="00141C9C"/>
    <w:rsid w:val="001424DE"/>
    <w:rsid w:val="0014277F"/>
    <w:rsid w:val="00142A96"/>
    <w:rsid w:val="001434BE"/>
    <w:rsid w:val="00143AAD"/>
    <w:rsid w:val="00144050"/>
    <w:rsid w:val="00144369"/>
    <w:rsid w:val="0014479F"/>
    <w:rsid w:val="001452B4"/>
    <w:rsid w:val="00145320"/>
    <w:rsid w:val="001476D3"/>
    <w:rsid w:val="001509CF"/>
    <w:rsid w:val="00150D1D"/>
    <w:rsid w:val="001525AA"/>
    <w:rsid w:val="00152A87"/>
    <w:rsid w:val="00152AC1"/>
    <w:rsid w:val="00153BB5"/>
    <w:rsid w:val="00154342"/>
    <w:rsid w:val="00154518"/>
    <w:rsid w:val="00155512"/>
    <w:rsid w:val="00156303"/>
    <w:rsid w:val="00156359"/>
    <w:rsid w:val="00156DD6"/>
    <w:rsid w:val="0016086E"/>
    <w:rsid w:val="00160D0C"/>
    <w:rsid w:val="00160DD1"/>
    <w:rsid w:val="00161172"/>
    <w:rsid w:val="00161998"/>
    <w:rsid w:val="00161E65"/>
    <w:rsid w:val="00162597"/>
    <w:rsid w:val="001629AF"/>
    <w:rsid w:val="001629FD"/>
    <w:rsid w:val="001630EF"/>
    <w:rsid w:val="0016428A"/>
    <w:rsid w:val="00164600"/>
    <w:rsid w:val="001647C9"/>
    <w:rsid w:val="00165627"/>
    <w:rsid w:val="00165987"/>
    <w:rsid w:val="001661A3"/>
    <w:rsid w:val="00167226"/>
    <w:rsid w:val="001677C9"/>
    <w:rsid w:val="0016782B"/>
    <w:rsid w:val="0016784D"/>
    <w:rsid w:val="00167853"/>
    <w:rsid w:val="00167887"/>
    <w:rsid w:val="001720EF"/>
    <w:rsid w:val="00172CA8"/>
    <w:rsid w:val="00173256"/>
    <w:rsid w:val="00173B0E"/>
    <w:rsid w:val="00173E03"/>
    <w:rsid w:val="001747F4"/>
    <w:rsid w:val="0017512C"/>
    <w:rsid w:val="00175541"/>
    <w:rsid w:val="001756AF"/>
    <w:rsid w:val="0017586A"/>
    <w:rsid w:val="00175BA6"/>
    <w:rsid w:val="00175FDC"/>
    <w:rsid w:val="00176CA7"/>
    <w:rsid w:val="00176D0C"/>
    <w:rsid w:val="00176F8E"/>
    <w:rsid w:val="001778C5"/>
    <w:rsid w:val="00177E56"/>
    <w:rsid w:val="00177F0A"/>
    <w:rsid w:val="00180DA0"/>
    <w:rsid w:val="00181EAD"/>
    <w:rsid w:val="00182862"/>
    <w:rsid w:val="00184F57"/>
    <w:rsid w:val="00185091"/>
    <w:rsid w:val="00185544"/>
    <w:rsid w:val="00185617"/>
    <w:rsid w:val="00186FE1"/>
    <w:rsid w:val="00187A14"/>
    <w:rsid w:val="0019171E"/>
    <w:rsid w:val="00192368"/>
    <w:rsid w:val="001923A0"/>
    <w:rsid w:val="001928B1"/>
    <w:rsid w:val="00193537"/>
    <w:rsid w:val="00193846"/>
    <w:rsid w:val="00193CA5"/>
    <w:rsid w:val="00193FD7"/>
    <w:rsid w:val="00195424"/>
    <w:rsid w:val="001955FF"/>
    <w:rsid w:val="00197EDD"/>
    <w:rsid w:val="001A02B3"/>
    <w:rsid w:val="001A04BB"/>
    <w:rsid w:val="001A08D0"/>
    <w:rsid w:val="001A0E82"/>
    <w:rsid w:val="001A1B39"/>
    <w:rsid w:val="001A2120"/>
    <w:rsid w:val="001A2256"/>
    <w:rsid w:val="001A28C6"/>
    <w:rsid w:val="001A2E69"/>
    <w:rsid w:val="001A30F7"/>
    <w:rsid w:val="001A3C34"/>
    <w:rsid w:val="001A3EDE"/>
    <w:rsid w:val="001A4222"/>
    <w:rsid w:val="001A50EA"/>
    <w:rsid w:val="001A5E24"/>
    <w:rsid w:val="001A624D"/>
    <w:rsid w:val="001A6795"/>
    <w:rsid w:val="001A6A20"/>
    <w:rsid w:val="001A6B27"/>
    <w:rsid w:val="001A6D8B"/>
    <w:rsid w:val="001A6DAA"/>
    <w:rsid w:val="001A7717"/>
    <w:rsid w:val="001A793A"/>
    <w:rsid w:val="001B125A"/>
    <w:rsid w:val="001B1EBA"/>
    <w:rsid w:val="001B2142"/>
    <w:rsid w:val="001B2C23"/>
    <w:rsid w:val="001B2F2B"/>
    <w:rsid w:val="001B327A"/>
    <w:rsid w:val="001B3338"/>
    <w:rsid w:val="001B35DE"/>
    <w:rsid w:val="001B3A13"/>
    <w:rsid w:val="001B3F5C"/>
    <w:rsid w:val="001B57C9"/>
    <w:rsid w:val="001B59FF"/>
    <w:rsid w:val="001B6512"/>
    <w:rsid w:val="001B65D7"/>
    <w:rsid w:val="001B6752"/>
    <w:rsid w:val="001B6768"/>
    <w:rsid w:val="001B6F1F"/>
    <w:rsid w:val="001B79E3"/>
    <w:rsid w:val="001B7ECC"/>
    <w:rsid w:val="001C025B"/>
    <w:rsid w:val="001C115F"/>
    <w:rsid w:val="001C1EAB"/>
    <w:rsid w:val="001C25A7"/>
    <w:rsid w:val="001C318C"/>
    <w:rsid w:val="001C35C4"/>
    <w:rsid w:val="001C37B7"/>
    <w:rsid w:val="001C4287"/>
    <w:rsid w:val="001C4479"/>
    <w:rsid w:val="001C5190"/>
    <w:rsid w:val="001C6081"/>
    <w:rsid w:val="001C73EB"/>
    <w:rsid w:val="001C7B48"/>
    <w:rsid w:val="001C7CFB"/>
    <w:rsid w:val="001D0A5D"/>
    <w:rsid w:val="001D0CFB"/>
    <w:rsid w:val="001D1A0D"/>
    <w:rsid w:val="001D343C"/>
    <w:rsid w:val="001D4BBD"/>
    <w:rsid w:val="001D58A1"/>
    <w:rsid w:val="001D58C2"/>
    <w:rsid w:val="001D5A8A"/>
    <w:rsid w:val="001D61CA"/>
    <w:rsid w:val="001D6E87"/>
    <w:rsid w:val="001D735E"/>
    <w:rsid w:val="001D73C8"/>
    <w:rsid w:val="001D7BC6"/>
    <w:rsid w:val="001E129E"/>
    <w:rsid w:val="001E175C"/>
    <w:rsid w:val="001E1B0E"/>
    <w:rsid w:val="001E3B63"/>
    <w:rsid w:val="001E5A94"/>
    <w:rsid w:val="001F2A2E"/>
    <w:rsid w:val="001F2FDF"/>
    <w:rsid w:val="001F3356"/>
    <w:rsid w:val="001F3C63"/>
    <w:rsid w:val="001F4460"/>
    <w:rsid w:val="001F6F91"/>
    <w:rsid w:val="001F711A"/>
    <w:rsid w:val="001F75B0"/>
    <w:rsid w:val="0020057C"/>
    <w:rsid w:val="002008A0"/>
    <w:rsid w:val="00200CE5"/>
    <w:rsid w:val="00200F7C"/>
    <w:rsid w:val="002014DB"/>
    <w:rsid w:val="0020150B"/>
    <w:rsid w:val="00201E12"/>
    <w:rsid w:val="00202295"/>
    <w:rsid w:val="002033B5"/>
    <w:rsid w:val="0020382C"/>
    <w:rsid w:val="00203FBD"/>
    <w:rsid w:val="0020437A"/>
    <w:rsid w:val="0020454C"/>
    <w:rsid w:val="00204740"/>
    <w:rsid w:val="00205129"/>
    <w:rsid w:val="0020521F"/>
    <w:rsid w:val="0020532C"/>
    <w:rsid w:val="002114C7"/>
    <w:rsid w:val="0021302C"/>
    <w:rsid w:val="00213B1C"/>
    <w:rsid w:val="00213F1E"/>
    <w:rsid w:val="00214202"/>
    <w:rsid w:val="002148E3"/>
    <w:rsid w:val="0021552D"/>
    <w:rsid w:val="002156AE"/>
    <w:rsid w:val="00215E99"/>
    <w:rsid w:val="0022054D"/>
    <w:rsid w:val="00220A95"/>
    <w:rsid w:val="0022107B"/>
    <w:rsid w:val="002212F6"/>
    <w:rsid w:val="00223DDB"/>
    <w:rsid w:val="00223FA4"/>
    <w:rsid w:val="00223FB0"/>
    <w:rsid w:val="00224067"/>
    <w:rsid w:val="0022421C"/>
    <w:rsid w:val="00224C4A"/>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AEF"/>
    <w:rsid w:val="00240D75"/>
    <w:rsid w:val="002415AE"/>
    <w:rsid w:val="00241D3C"/>
    <w:rsid w:val="00242109"/>
    <w:rsid w:val="00243189"/>
    <w:rsid w:val="002439AB"/>
    <w:rsid w:val="00243C19"/>
    <w:rsid w:val="00244AE8"/>
    <w:rsid w:val="00244DC9"/>
    <w:rsid w:val="00245495"/>
    <w:rsid w:val="00245587"/>
    <w:rsid w:val="002459B4"/>
    <w:rsid w:val="00245F2B"/>
    <w:rsid w:val="002466CD"/>
    <w:rsid w:val="00247F3A"/>
    <w:rsid w:val="00250122"/>
    <w:rsid w:val="00250755"/>
    <w:rsid w:val="00251043"/>
    <w:rsid w:val="00251C4A"/>
    <w:rsid w:val="0025271C"/>
    <w:rsid w:val="002533CD"/>
    <w:rsid w:val="002535EA"/>
    <w:rsid w:val="00254EAB"/>
    <w:rsid w:val="002557AF"/>
    <w:rsid w:val="0025589C"/>
    <w:rsid w:val="00255B62"/>
    <w:rsid w:val="002566B1"/>
    <w:rsid w:val="002575E3"/>
    <w:rsid w:val="00257A74"/>
    <w:rsid w:val="00257C5D"/>
    <w:rsid w:val="002603C1"/>
    <w:rsid w:val="002609A1"/>
    <w:rsid w:val="002612B1"/>
    <w:rsid w:val="00263BBE"/>
    <w:rsid w:val="00266165"/>
    <w:rsid w:val="00266F2C"/>
    <w:rsid w:val="0027125E"/>
    <w:rsid w:val="00271767"/>
    <w:rsid w:val="00272293"/>
    <w:rsid w:val="002723C8"/>
    <w:rsid w:val="00273C2A"/>
    <w:rsid w:val="00273CBE"/>
    <w:rsid w:val="002746B1"/>
    <w:rsid w:val="00274BAD"/>
    <w:rsid w:val="002756BF"/>
    <w:rsid w:val="00282D56"/>
    <w:rsid w:val="0028352B"/>
    <w:rsid w:val="002835B0"/>
    <w:rsid w:val="00283BD5"/>
    <w:rsid w:val="00283C74"/>
    <w:rsid w:val="0028407E"/>
    <w:rsid w:val="0028410F"/>
    <w:rsid w:val="00284572"/>
    <w:rsid w:val="002850AA"/>
    <w:rsid w:val="00285221"/>
    <w:rsid w:val="00286FB5"/>
    <w:rsid w:val="00287763"/>
    <w:rsid w:val="00290606"/>
    <w:rsid w:val="002909B2"/>
    <w:rsid w:val="0029198B"/>
    <w:rsid w:val="00291D6D"/>
    <w:rsid w:val="00291FF1"/>
    <w:rsid w:val="00292AA2"/>
    <w:rsid w:val="00293361"/>
    <w:rsid w:val="00294F10"/>
    <w:rsid w:val="002952B1"/>
    <w:rsid w:val="00295D11"/>
    <w:rsid w:val="00296FB6"/>
    <w:rsid w:val="002A0001"/>
    <w:rsid w:val="002A0BD9"/>
    <w:rsid w:val="002A0C3A"/>
    <w:rsid w:val="002A0DF8"/>
    <w:rsid w:val="002A1130"/>
    <w:rsid w:val="002A1880"/>
    <w:rsid w:val="002A23B7"/>
    <w:rsid w:val="002A3A57"/>
    <w:rsid w:val="002A4B4F"/>
    <w:rsid w:val="002A500F"/>
    <w:rsid w:val="002A57A8"/>
    <w:rsid w:val="002A6DEF"/>
    <w:rsid w:val="002A770B"/>
    <w:rsid w:val="002B013E"/>
    <w:rsid w:val="002B058D"/>
    <w:rsid w:val="002B0C16"/>
    <w:rsid w:val="002B2AC5"/>
    <w:rsid w:val="002B3528"/>
    <w:rsid w:val="002B3539"/>
    <w:rsid w:val="002B4532"/>
    <w:rsid w:val="002B5042"/>
    <w:rsid w:val="002B69CC"/>
    <w:rsid w:val="002B6D71"/>
    <w:rsid w:val="002C0145"/>
    <w:rsid w:val="002C03AE"/>
    <w:rsid w:val="002C0C1C"/>
    <w:rsid w:val="002C17CB"/>
    <w:rsid w:val="002C40E2"/>
    <w:rsid w:val="002C53AD"/>
    <w:rsid w:val="002C54C2"/>
    <w:rsid w:val="002C5D34"/>
    <w:rsid w:val="002C60BB"/>
    <w:rsid w:val="002C661A"/>
    <w:rsid w:val="002C71F0"/>
    <w:rsid w:val="002D0D6F"/>
    <w:rsid w:val="002D25FC"/>
    <w:rsid w:val="002D4AC6"/>
    <w:rsid w:val="002D5BF5"/>
    <w:rsid w:val="002D5EE8"/>
    <w:rsid w:val="002D7018"/>
    <w:rsid w:val="002D7360"/>
    <w:rsid w:val="002D7648"/>
    <w:rsid w:val="002D7C80"/>
    <w:rsid w:val="002E109C"/>
    <w:rsid w:val="002E193E"/>
    <w:rsid w:val="002E1A94"/>
    <w:rsid w:val="002E1D55"/>
    <w:rsid w:val="002E26C4"/>
    <w:rsid w:val="002E2734"/>
    <w:rsid w:val="002E30A5"/>
    <w:rsid w:val="002E4443"/>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CCB"/>
    <w:rsid w:val="00302EFC"/>
    <w:rsid w:val="00303243"/>
    <w:rsid w:val="00303BCC"/>
    <w:rsid w:val="00303F2B"/>
    <w:rsid w:val="00303F8D"/>
    <w:rsid w:val="00304840"/>
    <w:rsid w:val="0030572D"/>
    <w:rsid w:val="0030586A"/>
    <w:rsid w:val="0030622D"/>
    <w:rsid w:val="00306811"/>
    <w:rsid w:val="00306F32"/>
    <w:rsid w:val="0030744C"/>
    <w:rsid w:val="003074C5"/>
    <w:rsid w:val="00307A3C"/>
    <w:rsid w:val="00307FA4"/>
    <w:rsid w:val="00310290"/>
    <w:rsid w:val="00310CC1"/>
    <w:rsid w:val="00312504"/>
    <w:rsid w:val="00312B89"/>
    <w:rsid w:val="00313026"/>
    <w:rsid w:val="00313913"/>
    <w:rsid w:val="0031421F"/>
    <w:rsid w:val="00314B31"/>
    <w:rsid w:val="00315A65"/>
    <w:rsid w:val="003165D7"/>
    <w:rsid w:val="00317BA7"/>
    <w:rsid w:val="00320BE2"/>
    <w:rsid w:val="00321886"/>
    <w:rsid w:val="00321EDC"/>
    <w:rsid w:val="00323694"/>
    <w:rsid w:val="00323BE7"/>
    <w:rsid w:val="00324C3A"/>
    <w:rsid w:val="00324D63"/>
    <w:rsid w:val="003255AF"/>
    <w:rsid w:val="003256EB"/>
    <w:rsid w:val="003259DB"/>
    <w:rsid w:val="00327E56"/>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E38"/>
    <w:rsid w:val="00342F99"/>
    <w:rsid w:val="0034575A"/>
    <w:rsid w:val="00345F57"/>
    <w:rsid w:val="00346A51"/>
    <w:rsid w:val="0034727B"/>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5579"/>
    <w:rsid w:val="003667B0"/>
    <w:rsid w:val="003667DD"/>
    <w:rsid w:val="00366B48"/>
    <w:rsid w:val="00366E6E"/>
    <w:rsid w:val="00367764"/>
    <w:rsid w:val="00370316"/>
    <w:rsid w:val="00370D59"/>
    <w:rsid w:val="00370DC7"/>
    <w:rsid w:val="00371CBD"/>
    <w:rsid w:val="00371F20"/>
    <w:rsid w:val="003721E3"/>
    <w:rsid w:val="00372B98"/>
    <w:rsid w:val="003737B7"/>
    <w:rsid w:val="0037392D"/>
    <w:rsid w:val="003739D4"/>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5130"/>
    <w:rsid w:val="003861F0"/>
    <w:rsid w:val="00387051"/>
    <w:rsid w:val="00387ECF"/>
    <w:rsid w:val="0039021B"/>
    <w:rsid w:val="003903F7"/>
    <w:rsid w:val="00390429"/>
    <w:rsid w:val="00390666"/>
    <w:rsid w:val="003906A0"/>
    <w:rsid w:val="00391E03"/>
    <w:rsid w:val="003931AF"/>
    <w:rsid w:val="0039366C"/>
    <w:rsid w:val="00393EC8"/>
    <w:rsid w:val="00394456"/>
    <w:rsid w:val="00395E42"/>
    <w:rsid w:val="00396409"/>
    <w:rsid w:val="00396A2D"/>
    <w:rsid w:val="00396FC3"/>
    <w:rsid w:val="003A1A94"/>
    <w:rsid w:val="003A204E"/>
    <w:rsid w:val="003A2D25"/>
    <w:rsid w:val="003A5728"/>
    <w:rsid w:val="003A60AB"/>
    <w:rsid w:val="003A60E7"/>
    <w:rsid w:val="003A7092"/>
    <w:rsid w:val="003A72A1"/>
    <w:rsid w:val="003A7611"/>
    <w:rsid w:val="003A7D1F"/>
    <w:rsid w:val="003A7D3E"/>
    <w:rsid w:val="003B0A61"/>
    <w:rsid w:val="003B0B6A"/>
    <w:rsid w:val="003B22F7"/>
    <w:rsid w:val="003B29CF"/>
    <w:rsid w:val="003B3A90"/>
    <w:rsid w:val="003B3D01"/>
    <w:rsid w:val="003B4D34"/>
    <w:rsid w:val="003B534F"/>
    <w:rsid w:val="003B751E"/>
    <w:rsid w:val="003B7A79"/>
    <w:rsid w:val="003C0659"/>
    <w:rsid w:val="003C0FE1"/>
    <w:rsid w:val="003C151A"/>
    <w:rsid w:val="003C350C"/>
    <w:rsid w:val="003C3903"/>
    <w:rsid w:val="003C3BA0"/>
    <w:rsid w:val="003C4580"/>
    <w:rsid w:val="003C5658"/>
    <w:rsid w:val="003C5C5E"/>
    <w:rsid w:val="003C6746"/>
    <w:rsid w:val="003C7555"/>
    <w:rsid w:val="003C7898"/>
    <w:rsid w:val="003C7B16"/>
    <w:rsid w:val="003D0FF5"/>
    <w:rsid w:val="003D104E"/>
    <w:rsid w:val="003D11A3"/>
    <w:rsid w:val="003D1537"/>
    <w:rsid w:val="003D183C"/>
    <w:rsid w:val="003D2D1B"/>
    <w:rsid w:val="003D48C7"/>
    <w:rsid w:val="003D4C27"/>
    <w:rsid w:val="003D7109"/>
    <w:rsid w:val="003D7C75"/>
    <w:rsid w:val="003D7CE8"/>
    <w:rsid w:val="003E0514"/>
    <w:rsid w:val="003E1032"/>
    <w:rsid w:val="003E12C8"/>
    <w:rsid w:val="003E1904"/>
    <w:rsid w:val="003E1E29"/>
    <w:rsid w:val="003E285E"/>
    <w:rsid w:val="003E3124"/>
    <w:rsid w:val="003E3300"/>
    <w:rsid w:val="003E43D3"/>
    <w:rsid w:val="003E458E"/>
    <w:rsid w:val="003E48E1"/>
    <w:rsid w:val="003E50F4"/>
    <w:rsid w:val="003E59BB"/>
    <w:rsid w:val="003E6225"/>
    <w:rsid w:val="003E65AC"/>
    <w:rsid w:val="003E66AE"/>
    <w:rsid w:val="003E72B9"/>
    <w:rsid w:val="003E7612"/>
    <w:rsid w:val="003E7ED4"/>
    <w:rsid w:val="003F0E52"/>
    <w:rsid w:val="003F0F6B"/>
    <w:rsid w:val="003F1FC6"/>
    <w:rsid w:val="003F1FE3"/>
    <w:rsid w:val="003F2359"/>
    <w:rsid w:val="003F29B7"/>
    <w:rsid w:val="003F3232"/>
    <w:rsid w:val="003F3865"/>
    <w:rsid w:val="003F38AC"/>
    <w:rsid w:val="003F3D55"/>
    <w:rsid w:val="003F44E2"/>
    <w:rsid w:val="003F4632"/>
    <w:rsid w:val="003F47BA"/>
    <w:rsid w:val="003F4FE6"/>
    <w:rsid w:val="003F5638"/>
    <w:rsid w:val="003F59E9"/>
    <w:rsid w:val="003F6617"/>
    <w:rsid w:val="00402332"/>
    <w:rsid w:val="004025C2"/>
    <w:rsid w:val="00403195"/>
    <w:rsid w:val="004033A9"/>
    <w:rsid w:val="00403E55"/>
    <w:rsid w:val="0040407C"/>
    <w:rsid w:val="0040416C"/>
    <w:rsid w:val="00404681"/>
    <w:rsid w:val="00405445"/>
    <w:rsid w:val="00405AC1"/>
    <w:rsid w:val="00406923"/>
    <w:rsid w:val="00407198"/>
    <w:rsid w:val="0040763D"/>
    <w:rsid w:val="00410D17"/>
    <w:rsid w:val="00410EBA"/>
    <w:rsid w:val="00412039"/>
    <w:rsid w:val="004127AF"/>
    <w:rsid w:val="00412AA9"/>
    <w:rsid w:val="00413442"/>
    <w:rsid w:val="00413821"/>
    <w:rsid w:val="00413BA5"/>
    <w:rsid w:val="004141A3"/>
    <w:rsid w:val="0041421A"/>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5779"/>
    <w:rsid w:val="004360C8"/>
    <w:rsid w:val="00436823"/>
    <w:rsid w:val="004371D5"/>
    <w:rsid w:val="0044006B"/>
    <w:rsid w:val="0044033F"/>
    <w:rsid w:val="00440630"/>
    <w:rsid w:val="00440B89"/>
    <w:rsid w:val="00441F0F"/>
    <w:rsid w:val="00442965"/>
    <w:rsid w:val="004432B1"/>
    <w:rsid w:val="004432B6"/>
    <w:rsid w:val="00444157"/>
    <w:rsid w:val="0044417C"/>
    <w:rsid w:val="0044433F"/>
    <w:rsid w:val="00444DB3"/>
    <w:rsid w:val="00445617"/>
    <w:rsid w:val="00445A2F"/>
    <w:rsid w:val="0044684E"/>
    <w:rsid w:val="00446F22"/>
    <w:rsid w:val="0045019F"/>
    <w:rsid w:val="00450320"/>
    <w:rsid w:val="004503A4"/>
    <w:rsid w:val="0045052E"/>
    <w:rsid w:val="00450555"/>
    <w:rsid w:val="004506FA"/>
    <w:rsid w:val="00450DC6"/>
    <w:rsid w:val="004516A5"/>
    <w:rsid w:val="00451753"/>
    <w:rsid w:val="00451E9C"/>
    <w:rsid w:val="0045226B"/>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39AD"/>
    <w:rsid w:val="00464AB7"/>
    <w:rsid w:val="00465DE5"/>
    <w:rsid w:val="00467EF8"/>
    <w:rsid w:val="00470879"/>
    <w:rsid w:val="00472429"/>
    <w:rsid w:val="004725E5"/>
    <w:rsid w:val="00472751"/>
    <w:rsid w:val="00473128"/>
    <w:rsid w:val="00475078"/>
    <w:rsid w:val="00475767"/>
    <w:rsid w:val="004761F7"/>
    <w:rsid w:val="004779A0"/>
    <w:rsid w:val="004808E3"/>
    <w:rsid w:val="00481016"/>
    <w:rsid w:val="0048204C"/>
    <w:rsid w:val="004821BB"/>
    <w:rsid w:val="0048237A"/>
    <w:rsid w:val="00482698"/>
    <w:rsid w:val="004826FE"/>
    <w:rsid w:val="004827D5"/>
    <w:rsid w:val="00482AF2"/>
    <w:rsid w:val="004830C9"/>
    <w:rsid w:val="00483347"/>
    <w:rsid w:val="00483E2E"/>
    <w:rsid w:val="00484B69"/>
    <w:rsid w:val="00485406"/>
    <w:rsid w:val="0048590F"/>
    <w:rsid w:val="00486D60"/>
    <w:rsid w:val="00491049"/>
    <w:rsid w:val="00491FA1"/>
    <w:rsid w:val="00492A25"/>
    <w:rsid w:val="004938A3"/>
    <w:rsid w:val="0049558B"/>
    <w:rsid w:val="00496350"/>
    <w:rsid w:val="0049797C"/>
    <w:rsid w:val="004A0DAD"/>
    <w:rsid w:val="004A1405"/>
    <w:rsid w:val="004A1FC6"/>
    <w:rsid w:val="004A2E5F"/>
    <w:rsid w:val="004A38C2"/>
    <w:rsid w:val="004A3C03"/>
    <w:rsid w:val="004A3DB7"/>
    <w:rsid w:val="004A463B"/>
    <w:rsid w:val="004A5088"/>
    <w:rsid w:val="004A5255"/>
    <w:rsid w:val="004A6C3C"/>
    <w:rsid w:val="004A6CB0"/>
    <w:rsid w:val="004A70FF"/>
    <w:rsid w:val="004A7EDE"/>
    <w:rsid w:val="004B0D93"/>
    <w:rsid w:val="004B1FA4"/>
    <w:rsid w:val="004B23EC"/>
    <w:rsid w:val="004B29AC"/>
    <w:rsid w:val="004B35DF"/>
    <w:rsid w:val="004B3627"/>
    <w:rsid w:val="004B4922"/>
    <w:rsid w:val="004B57DF"/>
    <w:rsid w:val="004B5976"/>
    <w:rsid w:val="004B60F7"/>
    <w:rsid w:val="004B6496"/>
    <w:rsid w:val="004B6A0C"/>
    <w:rsid w:val="004B722E"/>
    <w:rsid w:val="004B72E8"/>
    <w:rsid w:val="004C01A5"/>
    <w:rsid w:val="004C0412"/>
    <w:rsid w:val="004C2138"/>
    <w:rsid w:val="004C3940"/>
    <w:rsid w:val="004C51FD"/>
    <w:rsid w:val="004C65A8"/>
    <w:rsid w:val="004C6689"/>
    <w:rsid w:val="004C691F"/>
    <w:rsid w:val="004D139A"/>
    <w:rsid w:val="004D14DC"/>
    <w:rsid w:val="004D17C6"/>
    <w:rsid w:val="004D2858"/>
    <w:rsid w:val="004D2E49"/>
    <w:rsid w:val="004D35BA"/>
    <w:rsid w:val="004D38E5"/>
    <w:rsid w:val="004D3C5A"/>
    <w:rsid w:val="004D449A"/>
    <w:rsid w:val="004D4701"/>
    <w:rsid w:val="004D47C7"/>
    <w:rsid w:val="004D4AD8"/>
    <w:rsid w:val="004D4B2B"/>
    <w:rsid w:val="004D4F35"/>
    <w:rsid w:val="004D51EE"/>
    <w:rsid w:val="004D5D45"/>
    <w:rsid w:val="004D618D"/>
    <w:rsid w:val="004D62A9"/>
    <w:rsid w:val="004D6FC3"/>
    <w:rsid w:val="004D7476"/>
    <w:rsid w:val="004D7716"/>
    <w:rsid w:val="004E0306"/>
    <w:rsid w:val="004E0572"/>
    <w:rsid w:val="004E1641"/>
    <w:rsid w:val="004E1686"/>
    <w:rsid w:val="004E1818"/>
    <w:rsid w:val="004E1990"/>
    <w:rsid w:val="004E24AF"/>
    <w:rsid w:val="004E25A8"/>
    <w:rsid w:val="004E3930"/>
    <w:rsid w:val="004E3ED9"/>
    <w:rsid w:val="004E5866"/>
    <w:rsid w:val="004E6097"/>
    <w:rsid w:val="004E61EF"/>
    <w:rsid w:val="004E63C6"/>
    <w:rsid w:val="004E67AC"/>
    <w:rsid w:val="004E76A7"/>
    <w:rsid w:val="004E7B03"/>
    <w:rsid w:val="004F0064"/>
    <w:rsid w:val="004F06AC"/>
    <w:rsid w:val="004F0E50"/>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05DE"/>
    <w:rsid w:val="005113C9"/>
    <w:rsid w:val="00512050"/>
    <w:rsid w:val="00512055"/>
    <w:rsid w:val="0051280C"/>
    <w:rsid w:val="00512842"/>
    <w:rsid w:val="005128BE"/>
    <w:rsid w:val="0051356F"/>
    <w:rsid w:val="00513E7C"/>
    <w:rsid w:val="005140BB"/>
    <w:rsid w:val="005142C6"/>
    <w:rsid w:val="00514FBE"/>
    <w:rsid w:val="00514FD9"/>
    <w:rsid w:val="0051550A"/>
    <w:rsid w:val="0051608F"/>
    <w:rsid w:val="00516480"/>
    <w:rsid w:val="00520815"/>
    <w:rsid w:val="00520843"/>
    <w:rsid w:val="00520EF8"/>
    <w:rsid w:val="005210F7"/>
    <w:rsid w:val="00521753"/>
    <w:rsid w:val="00521F1C"/>
    <w:rsid w:val="0052239D"/>
    <w:rsid w:val="005224EE"/>
    <w:rsid w:val="00522879"/>
    <w:rsid w:val="00523BB1"/>
    <w:rsid w:val="00524B23"/>
    <w:rsid w:val="0052570E"/>
    <w:rsid w:val="005260CD"/>
    <w:rsid w:val="00526265"/>
    <w:rsid w:val="0052655D"/>
    <w:rsid w:val="005265E0"/>
    <w:rsid w:val="00526BC3"/>
    <w:rsid w:val="00531761"/>
    <w:rsid w:val="0053248F"/>
    <w:rsid w:val="00532561"/>
    <w:rsid w:val="005327AB"/>
    <w:rsid w:val="00532AB8"/>
    <w:rsid w:val="00532D98"/>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EA1"/>
    <w:rsid w:val="00541E5A"/>
    <w:rsid w:val="0054358E"/>
    <w:rsid w:val="005436A7"/>
    <w:rsid w:val="00543AF4"/>
    <w:rsid w:val="00543F53"/>
    <w:rsid w:val="00544191"/>
    <w:rsid w:val="0054440C"/>
    <w:rsid w:val="005448EC"/>
    <w:rsid w:val="00544C0A"/>
    <w:rsid w:val="00544F39"/>
    <w:rsid w:val="005457FB"/>
    <w:rsid w:val="005458CD"/>
    <w:rsid w:val="00546F89"/>
    <w:rsid w:val="00546F90"/>
    <w:rsid w:val="00547EFB"/>
    <w:rsid w:val="005522F2"/>
    <w:rsid w:val="005531DF"/>
    <w:rsid w:val="00553874"/>
    <w:rsid w:val="00554577"/>
    <w:rsid w:val="00554AD8"/>
    <w:rsid w:val="00554F78"/>
    <w:rsid w:val="00555DA1"/>
    <w:rsid w:val="00556366"/>
    <w:rsid w:val="005565DF"/>
    <w:rsid w:val="00556BF7"/>
    <w:rsid w:val="00556E53"/>
    <w:rsid w:val="00557F60"/>
    <w:rsid w:val="00561730"/>
    <w:rsid w:val="00561B97"/>
    <w:rsid w:val="00562149"/>
    <w:rsid w:val="005640EB"/>
    <w:rsid w:val="00567B5D"/>
    <w:rsid w:val="00570757"/>
    <w:rsid w:val="00573733"/>
    <w:rsid w:val="00573F8B"/>
    <w:rsid w:val="00574528"/>
    <w:rsid w:val="00574554"/>
    <w:rsid w:val="00574737"/>
    <w:rsid w:val="00574E06"/>
    <w:rsid w:val="005751BB"/>
    <w:rsid w:val="00576089"/>
    <w:rsid w:val="00576415"/>
    <w:rsid w:val="005764B1"/>
    <w:rsid w:val="00576852"/>
    <w:rsid w:val="00576D06"/>
    <w:rsid w:val="005779E4"/>
    <w:rsid w:val="00577A03"/>
    <w:rsid w:val="00580EC7"/>
    <w:rsid w:val="0058283D"/>
    <w:rsid w:val="0058289C"/>
    <w:rsid w:val="005835A5"/>
    <w:rsid w:val="005836C7"/>
    <w:rsid w:val="0058408E"/>
    <w:rsid w:val="00585374"/>
    <w:rsid w:val="005854CA"/>
    <w:rsid w:val="00585FAB"/>
    <w:rsid w:val="005901F7"/>
    <w:rsid w:val="00590B77"/>
    <w:rsid w:val="00590D9A"/>
    <w:rsid w:val="005913A3"/>
    <w:rsid w:val="005940D4"/>
    <w:rsid w:val="00594A7B"/>
    <w:rsid w:val="0059580E"/>
    <w:rsid w:val="00595D90"/>
    <w:rsid w:val="00596A6F"/>
    <w:rsid w:val="00596D75"/>
    <w:rsid w:val="00596FCE"/>
    <w:rsid w:val="005A11BC"/>
    <w:rsid w:val="005A11CC"/>
    <w:rsid w:val="005A1525"/>
    <w:rsid w:val="005A1E17"/>
    <w:rsid w:val="005A24EF"/>
    <w:rsid w:val="005A252B"/>
    <w:rsid w:val="005A2A8F"/>
    <w:rsid w:val="005A2FDF"/>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B"/>
    <w:rsid w:val="005C08D0"/>
    <w:rsid w:val="005C1AED"/>
    <w:rsid w:val="005C2136"/>
    <w:rsid w:val="005C2D8A"/>
    <w:rsid w:val="005C30F5"/>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D7A7B"/>
    <w:rsid w:val="005E03E4"/>
    <w:rsid w:val="005E0454"/>
    <w:rsid w:val="005E05F6"/>
    <w:rsid w:val="005E2442"/>
    <w:rsid w:val="005E3111"/>
    <w:rsid w:val="005E3CA0"/>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572D"/>
    <w:rsid w:val="005F6181"/>
    <w:rsid w:val="005F6338"/>
    <w:rsid w:val="005F6D58"/>
    <w:rsid w:val="005F7383"/>
    <w:rsid w:val="0060058E"/>
    <w:rsid w:val="00602A3C"/>
    <w:rsid w:val="00603EFD"/>
    <w:rsid w:val="0060475B"/>
    <w:rsid w:val="00604BED"/>
    <w:rsid w:val="00604FB6"/>
    <w:rsid w:val="00605387"/>
    <w:rsid w:val="00606302"/>
    <w:rsid w:val="00606D8C"/>
    <w:rsid w:val="006076FD"/>
    <w:rsid w:val="0061143F"/>
    <w:rsid w:val="006114D8"/>
    <w:rsid w:val="00613553"/>
    <w:rsid w:val="00613601"/>
    <w:rsid w:val="00613791"/>
    <w:rsid w:val="00614AF6"/>
    <w:rsid w:val="006150D6"/>
    <w:rsid w:val="00615245"/>
    <w:rsid w:val="0061590D"/>
    <w:rsid w:val="0061732A"/>
    <w:rsid w:val="00617EEE"/>
    <w:rsid w:val="00620A1F"/>
    <w:rsid w:val="0062169D"/>
    <w:rsid w:val="0062181E"/>
    <w:rsid w:val="0062211B"/>
    <w:rsid w:val="00622BB7"/>
    <w:rsid w:val="00622C1E"/>
    <w:rsid w:val="00623389"/>
    <w:rsid w:val="00623DAA"/>
    <w:rsid w:val="00623FAF"/>
    <w:rsid w:val="006265C4"/>
    <w:rsid w:val="0062670C"/>
    <w:rsid w:val="0062678A"/>
    <w:rsid w:val="006270AF"/>
    <w:rsid w:val="006311E2"/>
    <w:rsid w:val="00633C69"/>
    <w:rsid w:val="00634367"/>
    <w:rsid w:val="006359B3"/>
    <w:rsid w:val="00640082"/>
    <w:rsid w:val="00640291"/>
    <w:rsid w:val="00640EFE"/>
    <w:rsid w:val="00641D6D"/>
    <w:rsid w:val="00641FAC"/>
    <w:rsid w:val="00643664"/>
    <w:rsid w:val="00643CAA"/>
    <w:rsid w:val="00644F16"/>
    <w:rsid w:val="006453F1"/>
    <w:rsid w:val="006455EB"/>
    <w:rsid w:val="006456C2"/>
    <w:rsid w:val="00645A65"/>
    <w:rsid w:val="006477F0"/>
    <w:rsid w:val="006478E4"/>
    <w:rsid w:val="0065171A"/>
    <w:rsid w:val="00652680"/>
    <w:rsid w:val="00652E4A"/>
    <w:rsid w:val="00653CDE"/>
    <w:rsid w:val="00654585"/>
    <w:rsid w:val="00654E5D"/>
    <w:rsid w:val="0065566E"/>
    <w:rsid w:val="00655AB6"/>
    <w:rsid w:val="00656061"/>
    <w:rsid w:val="00656281"/>
    <w:rsid w:val="0065636A"/>
    <w:rsid w:val="00657003"/>
    <w:rsid w:val="00660238"/>
    <w:rsid w:val="006602EF"/>
    <w:rsid w:val="00661277"/>
    <w:rsid w:val="006619E0"/>
    <w:rsid w:val="00663AE1"/>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022"/>
    <w:rsid w:val="00690437"/>
    <w:rsid w:val="00690679"/>
    <w:rsid w:val="00690DC3"/>
    <w:rsid w:val="00690E65"/>
    <w:rsid w:val="00690FB5"/>
    <w:rsid w:val="006911B7"/>
    <w:rsid w:val="00691387"/>
    <w:rsid w:val="0069188E"/>
    <w:rsid w:val="00691974"/>
    <w:rsid w:val="00692BF6"/>
    <w:rsid w:val="00692CE6"/>
    <w:rsid w:val="00693186"/>
    <w:rsid w:val="00693381"/>
    <w:rsid w:val="00693B6C"/>
    <w:rsid w:val="006942AE"/>
    <w:rsid w:val="00695421"/>
    <w:rsid w:val="006956FF"/>
    <w:rsid w:val="00697BD3"/>
    <w:rsid w:val="00697DFA"/>
    <w:rsid w:val="006A16D5"/>
    <w:rsid w:val="006A1772"/>
    <w:rsid w:val="006A1780"/>
    <w:rsid w:val="006A21DD"/>
    <w:rsid w:val="006A26C6"/>
    <w:rsid w:val="006A3302"/>
    <w:rsid w:val="006A3B28"/>
    <w:rsid w:val="006A418C"/>
    <w:rsid w:val="006A4FEE"/>
    <w:rsid w:val="006A5549"/>
    <w:rsid w:val="006A703E"/>
    <w:rsid w:val="006A7BE3"/>
    <w:rsid w:val="006A7D32"/>
    <w:rsid w:val="006B01D1"/>
    <w:rsid w:val="006B0DF4"/>
    <w:rsid w:val="006B16EA"/>
    <w:rsid w:val="006B1780"/>
    <w:rsid w:val="006B224E"/>
    <w:rsid w:val="006B376E"/>
    <w:rsid w:val="006B4589"/>
    <w:rsid w:val="006B4A81"/>
    <w:rsid w:val="006B5157"/>
    <w:rsid w:val="006B610E"/>
    <w:rsid w:val="006B6805"/>
    <w:rsid w:val="006B6C07"/>
    <w:rsid w:val="006B6DE0"/>
    <w:rsid w:val="006C0132"/>
    <w:rsid w:val="006C16C3"/>
    <w:rsid w:val="006C2187"/>
    <w:rsid w:val="006C32F4"/>
    <w:rsid w:val="006C3C54"/>
    <w:rsid w:val="006C4B6B"/>
    <w:rsid w:val="006C4CE1"/>
    <w:rsid w:val="006C4F9F"/>
    <w:rsid w:val="006C653C"/>
    <w:rsid w:val="006C71A2"/>
    <w:rsid w:val="006C73EC"/>
    <w:rsid w:val="006C7E3D"/>
    <w:rsid w:val="006D0C1D"/>
    <w:rsid w:val="006D2E9D"/>
    <w:rsid w:val="006D4A4E"/>
    <w:rsid w:val="006D4C42"/>
    <w:rsid w:val="006D5389"/>
    <w:rsid w:val="006D53A2"/>
    <w:rsid w:val="006D5809"/>
    <w:rsid w:val="006D607E"/>
    <w:rsid w:val="006D6E12"/>
    <w:rsid w:val="006D70CB"/>
    <w:rsid w:val="006D715C"/>
    <w:rsid w:val="006D7363"/>
    <w:rsid w:val="006D774E"/>
    <w:rsid w:val="006D7E24"/>
    <w:rsid w:val="006E0754"/>
    <w:rsid w:val="006E2668"/>
    <w:rsid w:val="006E2D39"/>
    <w:rsid w:val="006E2D63"/>
    <w:rsid w:val="006E32B0"/>
    <w:rsid w:val="006E348E"/>
    <w:rsid w:val="006E396A"/>
    <w:rsid w:val="006E3D63"/>
    <w:rsid w:val="006E585E"/>
    <w:rsid w:val="006E58BF"/>
    <w:rsid w:val="006E5DD8"/>
    <w:rsid w:val="006E5EA1"/>
    <w:rsid w:val="006E6DEE"/>
    <w:rsid w:val="006E7D4B"/>
    <w:rsid w:val="006F0527"/>
    <w:rsid w:val="006F0760"/>
    <w:rsid w:val="006F11E2"/>
    <w:rsid w:val="006F2574"/>
    <w:rsid w:val="006F3231"/>
    <w:rsid w:val="006F3DE3"/>
    <w:rsid w:val="006F4787"/>
    <w:rsid w:val="006F4BE6"/>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1DA"/>
    <w:rsid w:val="007125A2"/>
    <w:rsid w:val="00712656"/>
    <w:rsid w:val="00713DD9"/>
    <w:rsid w:val="00713F79"/>
    <w:rsid w:val="007148A8"/>
    <w:rsid w:val="00716AC8"/>
    <w:rsid w:val="00716E54"/>
    <w:rsid w:val="0072033C"/>
    <w:rsid w:val="00720B1B"/>
    <w:rsid w:val="00720EDC"/>
    <w:rsid w:val="00721062"/>
    <w:rsid w:val="00721E5D"/>
    <w:rsid w:val="007229D4"/>
    <w:rsid w:val="007230F8"/>
    <w:rsid w:val="0072318A"/>
    <w:rsid w:val="007233F4"/>
    <w:rsid w:val="00724044"/>
    <w:rsid w:val="007248D3"/>
    <w:rsid w:val="00724DF8"/>
    <w:rsid w:val="00725137"/>
    <w:rsid w:val="00725378"/>
    <w:rsid w:val="00727A43"/>
    <w:rsid w:val="00727FF2"/>
    <w:rsid w:val="00730550"/>
    <w:rsid w:val="00730C2A"/>
    <w:rsid w:val="00730FB4"/>
    <w:rsid w:val="00731434"/>
    <w:rsid w:val="00731E59"/>
    <w:rsid w:val="00731F63"/>
    <w:rsid w:val="007323E0"/>
    <w:rsid w:val="00732911"/>
    <w:rsid w:val="00732B4E"/>
    <w:rsid w:val="0073360F"/>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386"/>
    <w:rsid w:val="00747829"/>
    <w:rsid w:val="00747DE2"/>
    <w:rsid w:val="007502D0"/>
    <w:rsid w:val="007504BF"/>
    <w:rsid w:val="007506CD"/>
    <w:rsid w:val="0075267F"/>
    <w:rsid w:val="007526EC"/>
    <w:rsid w:val="00753C48"/>
    <w:rsid w:val="00754250"/>
    <w:rsid w:val="00754FE4"/>
    <w:rsid w:val="00755216"/>
    <w:rsid w:val="00756236"/>
    <w:rsid w:val="00756271"/>
    <w:rsid w:val="00756348"/>
    <w:rsid w:val="0075641E"/>
    <w:rsid w:val="00756521"/>
    <w:rsid w:val="00756AB7"/>
    <w:rsid w:val="00757053"/>
    <w:rsid w:val="00757673"/>
    <w:rsid w:val="0076106D"/>
    <w:rsid w:val="007623FB"/>
    <w:rsid w:val="00762517"/>
    <w:rsid w:val="00763240"/>
    <w:rsid w:val="0076354C"/>
    <w:rsid w:val="0076376A"/>
    <w:rsid w:val="007648AD"/>
    <w:rsid w:val="0076504E"/>
    <w:rsid w:val="0076554C"/>
    <w:rsid w:val="00767BFD"/>
    <w:rsid w:val="00767EA0"/>
    <w:rsid w:val="0077068F"/>
    <w:rsid w:val="00771EDF"/>
    <w:rsid w:val="00771FEC"/>
    <w:rsid w:val="007724B4"/>
    <w:rsid w:val="00772A90"/>
    <w:rsid w:val="00772F8D"/>
    <w:rsid w:val="0077408D"/>
    <w:rsid w:val="00774270"/>
    <w:rsid w:val="007743F6"/>
    <w:rsid w:val="00775679"/>
    <w:rsid w:val="0077574F"/>
    <w:rsid w:val="00775823"/>
    <w:rsid w:val="00777153"/>
    <w:rsid w:val="007774D0"/>
    <w:rsid w:val="007777CC"/>
    <w:rsid w:val="00777B32"/>
    <w:rsid w:val="0078051E"/>
    <w:rsid w:val="00781089"/>
    <w:rsid w:val="00782B6A"/>
    <w:rsid w:val="007834AD"/>
    <w:rsid w:val="007838F3"/>
    <w:rsid w:val="00785184"/>
    <w:rsid w:val="007856FE"/>
    <w:rsid w:val="00785F46"/>
    <w:rsid w:val="007865F4"/>
    <w:rsid w:val="00786D5C"/>
    <w:rsid w:val="00786E96"/>
    <w:rsid w:val="00787BB6"/>
    <w:rsid w:val="00787DFF"/>
    <w:rsid w:val="00787F93"/>
    <w:rsid w:val="00791E6D"/>
    <w:rsid w:val="00791EB5"/>
    <w:rsid w:val="00793307"/>
    <w:rsid w:val="0079343F"/>
    <w:rsid w:val="00793696"/>
    <w:rsid w:val="007955DA"/>
    <w:rsid w:val="00796F65"/>
    <w:rsid w:val="007A11C2"/>
    <w:rsid w:val="007A18BB"/>
    <w:rsid w:val="007A27DD"/>
    <w:rsid w:val="007A41BF"/>
    <w:rsid w:val="007A490A"/>
    <w:rsid w:val="007A6268"/>
    <w:rsid w:val="007A7B95"/>
    <w:rsid w:val="007B0297"/>
    <w:rsid w:val="007B02FA"/>
    <w:rsid w:val="007B08C7"/>
    <w:rsid w:val="007B0F53"/>
    <w:rsid w:val="007B21AE"/>
    <w:rsid w:val="007B2570"/>
    <w:rsid w:val="007B3113"/>
    <w:rsid w:val="007B3304"/>
    <w:rsid w:val="007B3BF0"/>
    <w:rsid w:val="007B55FE"/>
    <w:rsid w:val="007B7490"/>
    <w:rsid w:val="007C0525"/>
    <w:rsid w:val="007C13F7"/>
    <w:rsid w:val="007C152F"/>
    <w:rsid w:val="007C218D"/>
    <w:rsid w:val="007C2D28"/>
    <w:rsid w:val="007C3E22"/>
    <w:rsid w:val="007C4E19"/>
    <w:rsid w:val="007C58C1"/>
    <w:rsid w:val="007C6218"/>
    <w:rsid w:val="007C6484"/>
    <w:rsid w:val="007C67C6"/>
    <w:rsid w:val="007C78BE"/>
    <w:rsid w:val="007C7A5D"/>
    <w:rsid w:val="007C7E59"/>
    <w:rsid w:val="007D0476"/>
    <w:rsid w:val="007D0B91"/>
    <w:rsid w:val="007D1452"/>
    <w:rsid w:val="007D1563"/>
    <w:rsid w:val="007D3DCB"/>
    <w:rsid w:val="007D460C"/>
    <w:rsid w:val="007D4996"/>
    <w:rsid w:val="007D4AD3"/>
    <w:rsid w:val="007D4B4D"/>
    <w:rsid w:val="007D5D19"/>
    <w:rsid w:val="007D5FDC"/>
    <w:rsid w:val="007D6176"/>
    <w:rsid w:val="007D69CD"/>
    <w:rsid w:val="007D6D68"/>
    <w:rsid w:val="007E1D01"/>
    <w:rsid w:val="007E32DA"/>
    <w:rsid w:val="007E4998"/>
    <w:rsid w:val="007E4A9C"/>
    <w:rsid w:val="007E5065"/>
    <w:rsid w:val="007E6914"/>
    <w:rsid w:val="007E6B65"/>
    <w:rsid w:val="007E7F78"/>
    <w:rsid w:val="007F0179"/>
    <w:rsid w:val="007F1D16"/>
    <w:rsid w:val="007F2C13"/>
    <w:rsid w:val="007F2CEC"/>
    <w:rsid w:val="007F3327"/>
    <w:rsid w:val="007F3435"/>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A0B"/>
    <w:rsid w:val="00810BB6"/>
    <w:rsid w:val="00810E1F"/>
    <w:rsid w:val="00810E8E"/>
    <w:rsid w:val="00812C44"/>
    <w:rsid w:val="008135E1"/>
    <w:rsid w:val="00813779"/>
    <w:rsid w:val="00813E26"/>
    <w:rsid w:val="0081481D"/>
    <w:rsid w:val="00814BE8"/>
    <w:rsid w:val="00814F6E"/>
    <w:rsid w:val="00815B84"/>
    <w:rsid w:val="008162B6"/>
    <w:rsid w:val="008166F6"/>
    <w:rsid w:val="00816BE9"/>
    <w:rsid w:val="00817D10"/>
    <w:rsid w:val="00822518"/>
    <w:rsid w:val="008226F5"/>
    <w:rsid w:val="00823109"/>
    <w:rsid w:val="00823FC6"/>
    <w:rsid w:val="00824306"/>
    <w:rsid w:val="00825C74"/>
    <w:rsid w:val="00825CFA"/>
    <w:rsid w:val="00826AB9"/>
    <w:rsid w:val="00826E0E"/>
    <w:rsid w:val="00827D11"/>
    <w:rsid w:val="00827E0F"/>
    <w:rsid w:val="00827F6E"/>
    <w:rsid w:val="00831758"/>
    <w:rsid w:val="008317D9"/>
    <w:rsid w:val="0083279F"/>
    <w:rsid w:val="00833250"/>
    <w:rsid w:val="008334DB"/>
    <w:rsid w:val="00833B7F"/>
    <w:rsid w:val="00833E8E"/>
    <w:rsid w:val="00834906"/>
    <w:rsid w:val="00836075"/>
    <w:rsid w:val="00836417"/>
    <w:rsid w:val="00837526"/>
    <w:rsid w:val="00837B5A"/>
    <w:rsid w:val="008407A7"/>
    <w:rsid w:val="0084322B"/>
    <w:rsid w:val="0084341D"/>
    <w:rsid w:val="00843711"/>
    <w:rsid w:val="00843F81"/>
    <w:rsid w:val="00844087"/>
    <w:rsid w:val="008448F1"/>
    <w:rsid w:val="0084519E"/>
    <w:rsid w:val="00845CAE"/>
    <w:rsid w:val="008462C5"/>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0152"/>
    <w:rsid w:val="008607CC"/>
    <w:rsid w:val="00863A8E"/>
    <w:rsid w:val="00863B59"/>
    <w:rsid w:val="00864025"/>
    <w:rsid w:val="0086407F"/>
    <w:rsid w:val="008645E3"/>
    <w:rsid w:val="00864E79"/>
    <w:rsid w:val="0086661F"/>
    <w:rsid w:val="00866A0D"/>
    <w:rsid w:val="00866DB5"/>
    <w:rsid w:val="0086701D"/>
    <w:rsid w:val="0086702B"/>
    <w:rsid w:val="008672E2"/>
    <w:rsid w:val="0086784E"/>
    <w:rsid w:val="0087063A"/>
    <w:rsid w:val="0087121C"/>
    <w:rsid w:val="008719D4"/>
    <w:rsid w:val="00871FD2"/>
    <w:rsid w:val="00872084"/>
    <w:rsid w:val="00872827"/>
    <w:rsid w:val="00872A32"/>
    <w:rsid w:val="00874911"/>
    <w:rsid w:val="008754E4"/>
    <w:rsid w:val="00876EAE"/>
    <w:rsid w:val="00880106"/>
    <w:rsid w:val="00880F95"/>
    <w:rsid w:val="00882B44"/>
    <w:rsid w:val="008838AD"/>
    <w:rsid w:val="00885BC9"/>
    <w:rsid w:val="008864B3"/>
    <w:rsid w:val="008865E5"/>
    <w:rsid w:val="008871B0"/>
    <w:rsid w:val="00890B57"/>
    <w:rsid w:val="00890CEC"/>
    <w:rsid w:val="008916BA"/>
    <w:rsid w:val="00891DEB"/>
    <w:rsid w:val="0089217C"/>
    <w:rsid w:val="00892790"/>
    <w:rsid w:val="00893671"/>
    <w:rsid w:val="00894D50"/>
    <w:rsid w:val="00895838"/>
    <w:rsid w:val="00895A1E"/>
    <w:rsid w:val="00895A72"/>
    <w:rsid w:val="00895CDF"/>
    <w:rsid w:val="00896679"/>
    <w:rsid w:val="00896D8C"/>
    <w:rsid w:val="008A0FC9"/>
    <w:rsid w:val="008A1956"/>
    <w:rsid w:val="008A1A7C"/>
    <w:rsid w:val="008A2CE2"/>
    <w:rsid w:val="008A30EB"/>
    <w:rsid w:val="008A40D3"/>
    <w:rsid w:val="008A469C"/>
    <w:rsid w:val="008A51D1"/>
    <w:rsid w:val="008A5DCE"/>
    <w:rsid w:val="008A75D3"/>
    <w:rsid w:val="008B04AE"/>
    <w:rsid w:val="008B05DD"/>
    <w:rsid w:val="008B07B8"/>
    <w:rsid w:val="008B17E8"/>
    <w:rsid w:val="008B2E7C"/>
    <w:rsid w:val="008B368E"/>
    <w:rsid w:val="008B399A"/>
    <w:rsid w:val="008B45F0"/>
    <w:rsid w:val="008B4A70"/>
    <w:rsid w:val="008B502F"/>
    <w:rsid w:val="008B6DFC"/>
    <w:rsid w:val="008B7227"/>
    <w:rsid w:val="008B7B00"/>
    <w:rsid w:val="008C02FB"/>
    <w:rsid w:val="008C04E0"/>
    <w:rsid w:val="008C191C"/>
    <w:rsid w:val="008C1DA4"/>
    <w:rsid w:val="008C2138"/>
    <w:rsid w:val="008C29B0"/>
    <w:rsid w:val="008C2CD5"/>
    <w:rsid w:val="008C3618"/>
    <w:rsid w:val="008C39E7"/>
    <w:rsid w:val="008C3E75"/>
    <w:rsid w:val="008C43AD"/>
    <w:rsid w:val="008C6118"/>
    <w:rsid w:val="008C6341"/>
    <w:rsid w:val="008C653D"/>
    <w:rsid w:val="008C731F"/>
    <w:rsid w:val="008C74D9"/>
    <w:rsid w:val="008C7B1D"/>
    <w:rsid w:val="008D1804"/>
    <w:rsid w:val="008D2050"/>
    <w:rsid w:val="008D337B"/>
    <w:rsid w:val="008D3B2D"/>
    <w:rsid w:val="008D58D9"/>
    <w:rsid w:val="008D5AD4"/>
    <w:rsid w:val="008D695E"/>
    <w:rsid w:val="008D6DD5"/>
    <w:rsid w:val="008D6E59"/>
    <w:rsid w:val="008D7155"/>
    <w:rsid w:val="008D76E0"/>
    <w:rsid w:val="008E0B29"/>
    <w:rsid w:val="008E141A"/>
    <w:rsid w:val="008E1A44"/>
    <w:rsid w:val="008E211F"/>
    <w:rsid w:val="008E28E6"/>
    <w:rsid w:val="008E3232"/>
    <w:rsid w:val="008E3674"/>
    <w:rsid w:val="008E3B6C"/>
    <w:rsid w:val="008E3DE7"/>
    <w:rsid w:val="008E5227"/>
    <w:rsid w:val="008E562C"/>
    <w:rsid w:val="008E6540"/>
    <w:rsid w:val="008E77D4"/>
    <w:rsid w:val="008E7ADD"/>
    <w:rsid w:val="008F0869"/>
    <w:rsid w:val="008F091F"/>
    <w:rsid w:val="008F17B2"/>
    <w:rsid w:val="008F22B3"/>
    <w:rsid w:val="008F33A9"/>
    <w:rsid w:val="008F357B"/>
    <w:rsid w:val="008F44CA"/>
    <w:rsid w:val="008F49D3"/>
    <w:rsid w:val="008F6519"/>
    <w:rsid w:val="008F7012"/>
    <w:rsid w:val="008F75B6"/>
    <w:rsid w:val="008F7ADA"/>
    <w:rsid w:val="008F7B17"/>
    <w:rsid w:val="00900042"/>
    <w:rsid w:val="0090008E"/>
    <w:rsid w:val="0090034B"/>
    <w:rsid w:val="0090087C"/>
    <w:rsid w:val="00901121"/>
    <w:rsid w:val="00901B35"/>
    <w:rsid w:val="00902623"/>
    <w:rsid w:val="00902A67"/>
    <w:rsid w:val="00902C5E"/>
    <w:rsid w:val="00902F6B"/>
    <w:rsid w:val="00903CF9"/>
    <w:rsid w:val="00904BE4"/>
    <w:rsid w:val="0090504A"/>
    <w:rsid w:val="009051F5"/>
    <w:rsid w:val="00905221"/>
    <w:rsid w:val="00905A7C"/>
    <w:rsid w:val="00905D7E"/>
    <w:rsid w:val="00907037"/>
    <w:rsid w:val="0091112C"/>
    <w:rsid w:val="0091160A"/>
    <w:rsid w:val="0091199D"/>
    <w:rsid w:val="00911B4E"/>
    <w:rsid w:val="00912E04"/>
    <w:rsid w:val="00913258"/>
    <w:rsid w:val="00913851"/>
    <w:rsid w:val="0091389B"/>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183B"/>
    <w:rsid w:val="009321B1"/>
    <w:rsid w:val="00932ED7"/>
    <w:rsid w:val="0093422D"/>
    <w:rsid w:val="0093483B"/>
    <w:rsid w:val="00934CF9"/>
    <w:rsid w:val="00934DD7"/>
    <w:rsid w:val="00935CB2"/>
    <w:rsid w:val="009369A9"/>
    <w:rsid w:val="00936CF7"/>
    <w:rsid w:val="00937783"/>
    <w:rsid w:val="00937EAD"/>
    <w:rsid w:val="00937F28"/>
    <w:rsid w:val="00940FE1"/>
    <w:rsid w:val="00942306"/>
    <w:rsid w:val="009424B8"/>
    <w:rsid w:val="009432E2"/>
    <w:rsid w:val="00944668"/>
    <w:rsid w:val="00944DC6"/>
    <w:rsid w:val="00944F3C"/>
    <w:rsid w:val="009458B0"/>
    <w:rsid w:val="00945B52"/>
    <w:rsid w:val="00945B7A"/>
    <w:rsid w:val="00945F05"/>
    <w:rsid w:val="00946348"/>
    <w:rsid w:val="009463FF"/>
    <w:rsid w:val="00947224"/>
    <w:rsid w:val="00947797"/>
    <w:rsid w:val="009478A2"/>
    <w:rsid w:val="009533BD"/>
    <w:rsid w:val="00953808"/>
    <w:rsid w:val="009539A6"/>
    <w:rsid w:val="00953CC3"/>
    <w:rsid w:val="00954032"/>
    <w:rsid w:val="00954537"/>
    <w:rsid w:val="0095472D"/>
    <w:rsid w:val="00955342"/>
    <w:rsid w:val="00955FBB"/>
    <w:rsid w:val="0095694B"/>
    <w:rsid w:val="00956A73"/>
    <w:rsid w:val="00956BD5"/>
    <w:rsid w:val="00956D84"/>
    <w:rsid w:val="009577B5"/>
    <w:rsid w:val="00957B44"/>
    <w:rsid w:val="009608E6"/>
    <w:rsid w:val="00960F57"/>
    <w:rsid w:val="00961C90"/>
    <w:rsid w:val="00965443"/>
    <w:rsid w:val="00965954"/>
    <w:rsid w:val="00965A21"/>
    <w:rsid w:val="00965E55"/>
    <w:rsid w:val="0096608E"/>
    <w:rsid w:val="00966522"/>
    <w:rsid w:val="00966C33"/>
    <w:rsid w:val="00967F53"/>
    <w:rsid w:val="00970F18"/>
    <w:rsid w:val="00971CF1"/>
    <w:rsid w:val="00971F5D"/>
    <w:rsid w:val="009721E9"/>
    <w:rsid w:val="00973772"/>
    <w:rsid w:val="0097560A"/>
    <w:rsid w:val="00975E1E"/>
    <w:rsid w:val="00975E70"/>
    <w:rsid w:val="009761DE"/>
    <w:rsid w:val="009766FA"/>
    <w:rsid w:val="00977A95"/>
    <w:rsid w:val="00977CD6"/>
    <w:rsid w:val="0098048B"/>
    <w:rsid w:val="00980908"/>
    <w:rsid w:val="00980DF9"/>
    <w:rsid w:val="00981CD8"/>
    <w:rsid w:val="0098243D"/>
    <w:rsid w:val="00982D26"/>
    <w:rsid w:val="00983B6E"/>
    <w:rsid w:val="00983FE5"/>
    <w:rsid w:val="009849E9"/>
    <w:rsid w:val="00984AFF"/>
    <w:rsid w:val="00984E4B"/>
    <w:rsid w:val="009859E4"/>
    <w:rsid w:val="00987812"/>
    <w:rsid w:val="00987F24"/>
    <w:rsid w:val="00990225"/>
    <w:rsid w:val="00991307"/>
    <w:rsid w:val="00992A13"/>
    <w:rsid w:val="00994AAD"/>
    <w:rsid w:val="00995150"/>
    <w:rsid w:val="00995475"/>
    <w:rsid w:val="00995D67"/>
    <w:rsid w:val="00996E5D"/>
    <w:rsid w:val="00997613"/>
    <w:rsid w:val="009A013B"/>
    <w:rsid w:val="009A02F4"/>
    <w:rsid w:val="009A06BF"/>
    <w:rsid w:val="009A0D17"/>
    <w:rsid w:val="009A2494"/>
    <w:rsid w:val="009A32B1"/>
    <w:rsid w:val="009A33A3"/>
    <w:rsid w:val="009A36F2"/>
    <w:rsid w:val="009A40C3"/>
    <w:rsid w:val="009A40D5"/>
    <w:rsid w:val="009A5268"/>
    <w:rsid w:val="009A57D0"/>
    <w:rsid w:val="009A5BAA"/>
    <w:rsid w:val="009A6559"/>
    <w:rsid w:val="009A68FC"/>
    <w:rsid w:val="009A6CE4"/>
    <w:rsid w:val="009A6EC3"/>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B743A"/>
    <w:rsid w:val="009B7DC0"/>
    <w:rsid w:val="009C079D"/>
    <w:rsid w:val="009C0D70"/>
    <w:rsid w:val="009C13D1"/>
    <w:rsid w:val="009C2913"/>
    <w:rsid w:val="009C2BD4"/>
    <w:rsid w:val="009C3E72"/>
    <w:rsid w:val="009C4AE8"/>
    <w:rsid w:val="009C5848"/>
    <w:rsid w:val="009C5AFE"/>
    <w:rsid w:val="009C5F31"/>
    <w:rsid w:val="009C6606"/>
    <w:rsid w:val="009C6CE5"/>
    <w:rsid w:val="009C6D50"/>
    <w:rsid w:val="009C7547"/>
    <w:rsid w:val="009D0199"/>
    <w:rsid w:val="009D05EC"/>
    <w:rsid w:val="009D18D4"/>
    <w:rsid w:val="009D1A1F"/>
    <w:rsid w:val="009D2F60"/>
    <w:rsid w:val="009D3A2E"/>
    <w:rsid w:val="009D5ADE"/>
    <w:rsid w:val="009D5BAC"/>
    <w:rsid w:val="009D5C56"/>
    <w:rsid w:val="009D6265"/>
    <w:rsid w:val="009D64BD"/>
    <w:rsid w:val="009D6CB1"/>
    <w:rsid w:val="009D7F34"/>
    <w:rsid w:val="009E0286"/>
    <w:rsid w:val="009E153F"/>
    <w:rsid w:val="009E18C5"/>
    <w:rsid w:val="009E322A"/>
    <w:rsid w:val="009E3833"/>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621A"/>
    <w:rsid w:val="00A0740B"/>
    <w:rsid w:val="00A07ED3"/>
    <w:rsid w:val="00A10CA8"/>
    <w:rsid w:val="00A10F9B"/>
    <w:rsid w:val="00A10FA1"/>
    <w:rsid w:val="00A11042"/>
    <w:rsid w:val="00A12579"/>
    <w:rsid w:val="00A12CDC"/>
    <w:rsid w:val="00A133D8"/>
    <w:rsid w:val="00A15655"/>
    <w:rsid w:val="00A160B0"/>
    <w:rsid w:val="00A1740C"/>
    <w:rsid w:val="00A17904"/>
    <w:rsid w:val="00A20069"/>
    <w:rsid w:val="00A2244D"/>
    <w:rsid w:val="00A2253D"/>
    <w:rsid w:val="00A2267F"/>
    <w:rsid w:val="00A22CDB"/>
    <w:rsid w:val="00A23AEC"/>
    <w:rsid w:val="00A23C18"/>
    <w:rsid w:val="00A23E0A"/>
    <w:rsid w:val="00A247B8"/>
    <w:rsid w:val="00A2495A"/>
    <w:rsid w:val="00A24C7A"/>
    <w:rsid w:val="00A24D8F"/>
    <w:rsid w:val="00A25B8B"/>
    <w:rsid w:val="00A266D3"/>
    <w:rsid w:val="00A2689F"/>
    <w:rsid w:val="00A26ECA"/>
    <w:rsid w:val="00A27461"/>
    <w:rsid w:val="00A27B41"/>
    <w:rsid w:val="00A27D67"/>
    <w:rsid w:val="00A30ABC"/>
    <w:rsid w:val="00A322B4"/>
    <w:rsid w:val="00A33B74"/>
    <w:rsid w:val="00A34381"/>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BF7"/>
    <w:rsid w:val="00A47ECC"/>
    <w:rsid w:val="00A50171"/>
    <w:rsid w:val="00A5045C"/>
    <w:rsid w:val="00A504FA"/>
    <w:rsid w:val="00A5102E"/>
    <w:rsid w:val="00A5132E"/>
    <w:rsid w:val="00A51375"/>
    <w:rsid w:val="00A51533"/>
    <w:rsid w:val="00A52D36"/>
    <w:rsid w:val="00A531D4"/>
    <w:rsid w:val="00A54572"/>
    <w:rsid w:val="00A54DA4"/>
    <w:rsid w:val="00A575B8"/>
    <w:rsid w:val="00A61C60"/>
    <w:rsid w:val="00A61ECB"/>
    <w:rsid w:val="00A638A0"/>
    <w:rsid w:val="00A6410C"/>
    <w:rsid w:val="00A647B1"/>
    <w:rsid w:val="00A64DEF"/>
    <w:rsid w:val="00A654D2"/>
    <w:rsid w:val="00A665DF"/>
    <w:rsid w:val="00A6699F"/>
    <w:rsid w:val="00A67FCC"/>
    <w:rsid w:val="00A70AA5"/>
    <w:rsid w:val="00A70C03"/>
    <w:rsid w:val="00A70D0D"/>
    <w:rsid w:val="00A7103D"/>
    <w:rsid w:val="00A71256"/>
    <w:rsid w:val="00A7217B"/>
    <w:rsid w:val="00A73861"/>
    <w:rsid w:val="00A739A6"/>
    <w:rsid w:val="00A740ED"/>
    <w:rsid w:val="00A74C29"/>
    <w:rsid w:val="00A74C62"/>
    <w:rsid w:val="00A75EF9"/>
    <w:rsid w:val="00A7657C"/>
    <w:rsid w:val="00A81592"/>
    <w:rsid w:val="00A82486"/>
    <w:rsid w:val="00A8311C"/>
    <w:rsid w:val="00A835D0"/>
    <w:rsid w:val="00A84C5F"/>
    <w:rsid w:val="00A85930"/>
    <w:rsid w:val="00A863F7"/>
    <w:rsid w:val="00A86604"/>
    <w:rsid w:val="00A87519"/>
    <w:rsid w:val="00A9246D"/>
    <w:rsid w:val="00A92CCA"/>
    <w:rsid w:val="00A92F9F"/>
    <w:rsid w:val="00A939FA"/>
    <w:rsid w:val="00A93BD0"/>
    <w:rsid w:val="00A93CC2"/>
    <w:rsid w:val="00A94D4B"/>
    <w:rsid w:val="00A974CC"/>
    <w:rsid w:val="00AA2001"/>
    <w:rsid w:val="00AA2B5C"/>
    <w:rsid w:val="00AA32D2"/>
    <w:rsid w:val="00AA3B8B"/>
    <w:rsid w:val="00AA4016"/>
    <w:rsid w:val="00AA4B06"/>
    <w:rsid w:val="00AA4C1F"/>
    <w:rsid w:val="00AA4E80"/>
    <w:rsid w:val="00AA5328"/>
    <w:rsid w:val="00AA5393"/>
    <w:rsid w:val="00AA5D13"/>
    <w:rsid w:val="00AA63D4"/>
    <w:rsid w:val="00AB03FD"/>
    <w:rsid w:val="00AB2000"/>
    <w:rsid w:val="00AB2C54"/>
    <w:rsid w:val="00AB38CB"/>
    <w:rsid w:val="00AB3BEC"/>
    <w:rsid w:val="00AB44E4"/>
    <w:rsid w:val="00AB499C"/>
    <w:rsid w:val="00AB4AEB"/>
    <w:rsid w:val="00AB4E5F"/>
    <w:rsid w:val="00AB5352"/>
    <w:rsid w:val="00AB56AE"/>
    <w:rsid w:val="00AB62D5"/>
    <w:rsid w:val="00AB65B5"/>
    <w:rsid w:val="00AB6DCD"/>
    <w:rsid w:val="00AB6EE0"/>
    <w:rsid w:val="00AB73DC"/>
    <w:rsid w:val="00AC08E9"/>
    <w:rsid w:val="00AC17A2"/>
    <w:rsid w:val="00AC40B7"/>
    <w:rsid w:val="00AC4680"/>
    <w:rsid w:val="00AC516B"/>
    <w:rsid w:val="00AC531F"/>
    <w:rsid w:val="00AC5AAA"/>
    <w:rsid w:val="00AC5B36"/>
    <w:rsid w:val="00AC6377"/>
    <w:rsid w:val="00AC66A4"/>
    <w:rsid w:val="00AC6CB1"/>
    <w:rsid w:val="00AC75E9"/>
    <w:rsid w:val="00AC7D6D"/>
    <w:rsid w:val="00AD0091"/>
    <w:rsid w:val="00AD1A28"/>
    <w:rsid w:val="00AD23EF"/>
    <w:rsid w:val="00AD2662"/>
    <w:rsid w:val="00AD307B"/>
    <w:rsid w:val="00AD4014"/>
    <w:rsid w:val="00AD41B3"/>
    <w:rsid w:val="00AD5721"/>
    <w:rsid w:val="00AD663B"/>
    <w:rsid w:val="00AD69F0"/>
    <w:rsid w:val="00AD7127"/>
    <w:rsid w:val="00AD730C"/>
    <w:rsid w:val="00AE123A"/>
    <w:rsid w:val="00AE1539"/>
    <w:rsid w:val="00AE28A7"/>
    <w:rsid w:val="00AE2A98"/>
    <w:rsid w:val="00AE2CF2"/>
    <w:rsid w:val="00AE3012"/>
    <w:rsid w:val="00AE310D"/>
    <w:rsid w:val="00AE3297"/>
    <w:rsid w:val="00AE33A6"/>
    <w:rsid w:val="00AE3729"/>
    <w:rsid w:val="00AE4CCE"/>
    <w:rsid w:val="00AE5C6A"/>
    <w:rsid w:val="00AE5DB7"/>
    <w:rsid w:val="00AE7280"/>
    <w:rsid w:val="00AF01FA"/>
    <w:rsid w:val="00AF033A"/>
    <w:rsid w:val="00AF082B"/>
    <w:rsid w:val="00AF1699"/>
    <w:rsid w:val="00AF1FD3"/>
    <w:rsid w:val="00AF2910"/>
    <w:rsid w:val="00AF34B8"/>
    <w:rsid w:val="00AF3896"/>
    <w:rsid w:val="00AF3FC2"/>
    <w:rsid w:val="00AF4D55"/>
    <w:rsid w:val="00AF4DEC"/>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43"/>
    <w:rsid w:val="00B12FE6"/>
    <w:rsid w:val="00B1303F"/>
    <w:rsid w:val="00B1364A"/>
    <w:rsid w:val="00B13859"/>
    <w:rsid w:val="00B13EC9"/>
    <w:rsid w:val="00B14319"/>
    <w:rsid w:val="00B14A06"/>
    <w:rsid w:val="00B158E1"/>
    <w:rsid w:val="00B15AEE"/>
    <w:rsid w:val="00B16715"/>
    <w:rsid w:val="00B1768E"/>
    <w:rsid w:val="00B17910"/>
    <w:rsid w:val="00B20F18"/>
    <w:rsid w:val="00B21516"/>
    <w:rsid w:val="00B21A37"/>
    <w:rsid w:val="00B21D23"/>
    <w:rsid w:val="00B21F62"/>
    <w:rsid w:val="00B22CE0"/>
    <w:rsid w:val="00B23738"/>
    <w:rsid w:val="00B23BEF"/>
    <w:rsid w:val="00B23F1F"/>
    <w:rsid w:val="00B247BB"/>
    <w:rsid w:val="00B2504A"/>
    <w:rsid w:val="00B25EE6"/>
    <w:rsid w:val="00B2685C"/>
    <w:rsid w:val="00B30CD6"/>
    <w:rsid w:val="00B3115A"/>
    <w:rsid w:val="00B31825"/>
    <w:rsid w:val="00B31A5C"/>
    <w:rsid w:val="00B32265"/>
    <w:rsid w:val="00B3276D"/>
    <w:rsid w:val="00B33B06"/>
    <w:rsid w:val="00B33C19"/>
    <w:rsid w:val="00B359E2"/>
    <w:rsid w:val="00B35A15"/>
    <w:rsid w:val="00B35B45"/>
    <w:rsid w:val="00B36A99"/>
    <w:rsid w:val="00B40143"/>
    <w:rsid w:val="00B42264"/>
    <w:rsid w:val="00B42A54"/>
    <w:rsid w:val="00B434B2"/>
    <w:rsid w:val="00B43D45"/>
    <w:rsid w:val="00B459AF"/>
    <w:rsid w:val="00B468F2"/>
    <w:rsid w:val="00B469DE"/>
    <w:rsid w:val="00B47286"/>
    <w:rsid w:val="00B47EB4"/>
    <w:rsid w:val="00B50234"/>
    <w:rsid w:val="00B51BF4"/>
    <w:rsid w:val="00B52C68"/>
    <w:rsid w:val="00B5372B"/>
    <w:rsid w:val="00B542FE"/>
    <w:rsid w:val="00B54566"/>
    <w:rsid w:val="00B55A1B"/>
    <w:rsid w:val="00B561DB"/>
    <w:rsid w:val="00B5692B"/>
    <w:rsid w:val="00B56DF9"/>
    <w:rsid w:val="00B56E80"/>
    <w:rsid w:val="00B600BD"/>
    <w:rsid w:val="00B60C4A"/>
    <w:rsid w:val="00B61274"/>
    <w:rsid w:val="00B61DCE"/>
    <w:rsid w:val="00B62188"/>
    <w:rsid w:val="00B62F79"/>
    <w:rsid w:val="00B62F82"/>
    <w:rsid w:val="00B6306A"/>
    <w:rsid w:val="00B635E3"/>
    <w:rsid w:val="00B662FF"/>
    <w:rsid w:val="00B66679"/>
    <w:rsid w:val="00B70145"/>
    <w:rsid w:val="00B71A92"/>
    <w:rsid w:val="00B71B0A"/>
    <w:rsid w:val="00B721D8"/>
    <w:rsid w:val="00B730CA"/>
    <w:rsid w:val="00B732EA"/>
    <w:rsid w:val="00B7390A"/>
    <w:rsid w:val="00B747C5"/>
    <w:rsid w:val="00B74F2F"/>
    <w:rsid w:val="00B753ED"/>
    <w:rsid w:val="00B7665F"/>
    <w:rsid w:val="00B769BC"/>
    <w:rsid w:val="00B77167"/>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87712"/>
    <w:rsid w:val="00B902A5"/>
    <w:rsid w:val="00B90420"/>
    <w:rsid w:val="00B90848"/>
    <w:rsid w:val="00B91146"/>
    <w:rsid w:val="00B913E4"/>
    <w:rsid w:val="00B91DB9"/>
    <w:rsid w:val="00B91FF3"/>
    <w:rsid w:val="00B925F8"/>
    <w:rsid w:val="00B9370E"/>
    <w:rsid w:val="00B93EFE"/>
    <w:rsid w:val="00B944B9"/>
    <w:rsid w:val="00B94956"/>
    <w:rsid w:val="00B94C7F"/>
    <w:rsid w:val="00B94E93"/>
    <w:rsid w:val="00B956B5"/>
    <w:rsid w:val="00B96DF2"/>
    <w:rsid w:val="00B96E18"/>
    <w:rsid w:val="00B96F5A"/>
    <w:rsid w:val="00B9719E"/>
    <w:rsid w:val="00BA0B39"/>
    <w:rsid w:val="00BA0CB2"/>
    <w:rsid w:val="00BA0E26"/>
    <w:rsid w:val="00BA138B"/>
    <w:rsid w:val="00BA305B"/>
    <w:rsid w:val="00BA31BF"/>
    <w:rsid w:val="00BA3C0F"/>
    <w:rsid w:val="00BA3FC7"/>
    <w:rsid w:val="00BA4075"/>
    <w:rsid w:val="00BA478B"/>
    <w:rsid w:val="00BA5224"/>
    <w:rsid w:val="00BA575E"/>
    <w:rsid w:val="00BA76B7"/>
    <w:rsid w:val="00BA7DDB"/>
    <w:rsid w:val="00BA7E3B"/>
    <w:rsid w:val="00BB078D"/>
    <w:rsid w:val="00BB079C"/>
    <w:rsid w:val="00BB0D7A"/>
    <w:rsid w:val="00BB10E1"/>
    <w:rsid w:val="00BB186A"/>
    <w:rsid w:val="00BB1C05"/>
    <w:rsid w:val="00BB2471"/>
    <w:rsid w:val="00BB3035"/>
    <w:rsid w:val="00BB3633"/>
    <w:rsid w:val="00BB39C1"/>
    <w:rsid w:val="00BB3DF5"/>
    <w:rsid w:val="00BB3EA7"/>
    <w:rsid w:val="00BB5D16"/>
    <w:rsid w:val="00BB6180"/>
    <w:rsid w:val="00BB69E6"/>
    <w:rsid w:val="00BB7323"/>
    <w:rsid w:val="00BB7BE5"/>
    <w:rsid w:val="00BC0139"/>
    <w:rsid w:val="00BC08BD"/>
    <w:rsid w:val="00BC11E8"/>
    <w:rsid w:val="00BC1B7A"/>
    <w:rsid w:val="00BC2C17"/>
    <w:rsid w:val="00BC3ACD"/>
    <w:rsid w:val="00BC3B20"/>
    <w:rsid w:val="00BC3EE4"/>
    <w:rsid w:val="00BC49C7"/>
    <w:rsid w:val="00BC588C"/>
    <w:rsid w:val="00BC6785"/>
    <w:rsid w:val="00BC67FF"/>
    <w:rsid w:val="00BC6E73"/>
    <w:rsid w:val="00BC74D3"/>
    <w:rsid w:val="00BD0014"/>
    <w:rsid w:val="00BD01D8"/>
    <w:rsid w:val="00BD1A08"/>
    <w:rsid w:val="00BD255F"/>
    <w:rsid w:val="00BD2895"/>
    <w:rsid w:val="00BD4236"/>
    <w:rsid w:val="00BD483B"/>
    <w:rsid w:val="00BD5CD4"/>
    <w:rsid w:val="00BD65D9"/>
    <w:rsid w:val="00BD6DF3"/>
    <w:rsid w:val="00BD6E09"/>
    <w:rsid w:val="00BD6EF9"/>
    <w:rsid w:val="00BE0ACB"/>
    <w:rsid w:val="00BE180B"/>
    <w:rsid w:val="00BE2260"/>
    <w:rsid w:val="00BE32F3"/>
    <w:rsid w:val="00BE3917"/>
    <w:rsid w:val="00BE50FD"/>
    <w:rsid w:val="00BE51CA"/>
    <w:rsid w:val="00BE537F"/>
    <w:rsid w:val="00BE5D77"/>
    <w:rsid w:val="00BE6D47"/>
    <w:rsid w:val="00BE7032"/>
    <w:rsid w:val="00BE7330"/>
    <w:rsid w:val="00BF01C5"/>
    <w:rsid w:val="00BF061A"/>
    <w:rsid w:val="00BF066A"/>
    <w:rsid w:val="00BF14CC"/>
    <w:rsid w:val="00BF1821"/>
    <w:rsid w:val="00BF30B3"/>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47AB"/>
    <w:rsid w:val="00C04E43"/>
    <w:rsid w:val="00C058AF"/>
    <w:rsid w:val="00C05D1E"/>
    <w:rsid w:val="00C075B6"/>
    <w:rsid w:val="00C110FD"/>
    <w:rsid w:val="00C124C1"/>
    <w:rsid w:val="00C128AE"/>
    <w:rsid w:val="00C12BA8"/>
    <w:rsid w:val="00C13094"/>
    <w:rsid w:val="00C136D6"/>
    <w:rsid w:val="00C13D5B"/>
    <w:rsid w:val="00C141D7"/>
    <w:rsid w:val="00C154A3"/>
    <w:rsid w:val="00C16EB9"/>
    <w:rsid w:val="00C1711B"/>
    <w:rsid w:val="00C17AE2"/>
    <w:rsid w:val="00C20140"/>
    <w:rsid w:val="00C20F27"/>
    <w:rsid w:val="00C210A1"/>
    <w:rsid w:val="00C215CF"/>
    <w:rsid w:val="00C22250"/>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B19"/>
    <w:rsid w:val="00C37D56"/>
    <w:rsid w:val="00C40D4B"/>
    <w:rsid w:val="00C413CB"/>
    <w:rsid w:val="00C42752"/>
    <w:rsid w:val="00C42973"/>
    <w:rsid w:val="00C44206"/>
    <w:rsid w:val="00C44A36"/>
    <w:rsid w:val="00C46B95"/>
    <w:rsid w:val="00C4712A"/>
    <w:rsid w:val="00C47F88"/>
    <w:rsid w:val="00C5034F"/>
    <w:rsid w:val="00C50830"/>
    <w:rsid w:val="00C52479"/>
    <w:rsid w:val="00C5266E"/>
    <w:rsid w:val="00C52C59"/>
    <w:rsid w:val="00C5349E"/>
    <w:rsid w:val="00C539FF"/>
    <w:rsid w:val="00C544BD"/>
    <w:rsid w:val="00C549BB"/>
    <w:rsid w:val="00C54D3D"/>
    <w:rsid w:val="00C55A30"/>
    <w:rsid w:val="00C56384"/>
    <w:rsid w:val="00C568B6"/>
    <w:rsid w:val="00C60F8C"/>
    <w:rsid w:val="00C61794"/>
    <w:rsid w:val="00C61CB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3BA9"/>
    <w:rsid w:val="00C74035"/>
    <w:rsid w:val="00C748EA"/>
    <w:rsid w:val="00C75531"/>
    <w:rsid w:val="00C76CCF"/>
    <w:rsid w:val="00C77818"/>
    <w:rsid w:val="00C8063F"/>
    <w:rsid w:val="00C80931"/>
    <w:rsid w:val="00C81282"/>
    <w:rsid w:val="00C827B4"/>
    <w:rsid w:val="00C82B40"/>
    <w:rsid w:val="00C83214"/>
    <w:rsid w:val="00C8329F"/>
    <w:rsid w:val="00C84F8A"/>
    <w:rsid w:val="00C85BA4"/>
    <w:rsid w:val="00C8618F"/>
    <w:rsid w:val="00C8625D"/>
    <w:rsid w:val="00C87F3F"/>
    <w:rsid w:val="00C90372"/>
    <w:rsid w:val="00C9041F"/>
    <w:rsid w:val="00C9112E"/>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1E61"/>
    <w:rsid w:val="00CA25C0"/>
    <w:rsid w:val="00CA3451"/>
    <w:rsid w:val="00CA35C6"/>
    <w:rsid w:val="00CA4669"/>
    <w:rsid w:val="00CA4948"/>
    <w:rsid w:val="00CA4FA3"/>
    <w:rsid w:val="00CA4FF9"/>
    <w:rsid w:val="00CA52F9"/>
    <w:rsid w:val="00CA5368"/>
    <w:rsid w:val="00CA568B"/>
    <w:rsid w:val="00CA573A"/>
    <w:rsid w:val="00CA584D"/>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40B"/>
    <w:rsid w:val="00CD5DAD"/>
    <w:rsid w:val="00CD7037"/>
    <w:rsid w:val="00CD72C5"/>
    <w:rsid w:val="00CD79A7"/>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60E2"/>
    <w:rsid w:val="00CF7074"/>
    <w:rsid w:val="00CF7495"/>
    <w:rsid w:val="00D00E12"/>
    <w:rsid w:val="00D01CF9"/>
    <w:rsid w:val="00D02BF7"/>
    <w:rsid w:val="00D02FFD"/>
    <w:rsid w:val="00D0334D"/>
    <w:rsid w:val="00D0374D"/>
    <w:rsid w:val="00D06851"/>
    <w:rsid w:val="00D06D7B"/>
    <w:rsid w:val="00D06DA5"/>
    <w:rsid w:val="00D07191"/>
    <w:rsid w:val="00D07ECE"/>
    <w:rsid w:val="00D07F1D"/>
    <w:rsid w:val="00D10558"/>
    <w:rsid w:val="00D11D4D"/>
    <w:rsid w:val="00D126DC"/>
    <w:rsid w:val="00D12B03"/>
    <w:rsid w:val="00D13E70"/>
    <w:rsid w:val="00D15FCD"/>
    <w:rsid w:val="00D16C58"/>
    <w:rsid w:val="00D17019"/>
    <w:rsid w:val="00D17FC8"/>
    <w:rsid w:val="00D20B44"/>
    <w:rsid w:val="00D21168"/>
    <w:rsid w:val="00D240C6"/>
    <w:rsid w:val="00D2438C"/>
    <w:rsid w:val="00D2585A"/>
    <w:rsid w:val="00D259B0"/>
    <w:rsid w:val="00D26C3F"/>
    <w:rsid w:val="00D27185"/>
    <w:rsid w:val="00D3028A"/>
    <w:rsid w:val="00D31CDD"/>
    <w:rsid w:val="00D33488"/>
    <w:rsid w:val="00D33AB3"/>
    <w:rsid w:val="00D33F24"/>
    <w:rsid w:val="00D34160"/>
    <w:rsid w:val="00D3466D"/>
    <w:rsid w:val="00D346B8"/>
    <w:rsid w:val="00D34DCA"/>
    <w:rsid w:val="00D3575F"/>
    <w:rsid w:val="00D35AC8"/>
    <w:rsid w:val="00D36F87"/>
    <w:rsid w:val="00D37E4E"/>
    <w:rsid w:val="00D4056F"/>
    <w:rsid w:val="00D417D8"/>
    <w:rsid w:val="00D41F78"/>
    <w:rsid w:val="00D42E6C"/>
    <w:rsid w:val="00D4351C"/>
    <w:rsid w:val="00D4353A"/>
    <w:rsid w:val="00D43B80"/>
    <w:rsid w:val="00D44988"/>
    <w:rsid w:val="00D45B4C"/>
    <w:rsid w:val="00D45BA4"/>
    <w:rsid w:val="00D45EF6"/>
    <w:rsid w:val="00D471AF"/>
    <w:rsid w:val="00D471E2"/>
    <w:rsid w:val="00D4724F"/>
    <w:rsid w:val="00D50519"/>
    <w:rsid w:val="00D50614"/>
    <w:rsid w:val="00D50622"/>
    <w:rsid w:val="00D51601"/>
    <w:rsid w:val="00D51ECB"/>
    <w:rsid w:val="00D5264C"/>
    <w:rsid w:val="00D52BBC"/>
    <w:rsid w:val="00D537FE"/>
    <w:rsid w:val="00D53CC9"/>
    <w:rsid w:val="00D53DC6"/>
    <w:rsid w:val="00D54A6A"/>
    <w:rsid w:val="00D54B8F"/>
    <w:rsid w:val="00D55848"/>
    <w:rsid w:val="00D55951"/>
    <w:rsid w:val="00D559F0"/>
    <w:rsid w:val="00D57EB6"/>
    <w:rsid w:val="00D608C0"/>
    <w:rsid w:val="00D60D6D"/>
    <w:rsid w:val="00D6128C"/>
    <w:rsid w:val="00D66D8B"/>
    <w:rsid w:val="00D672EF"/>
    <w:rsid w:val="00D70849"/>
    <w:rsid w:val="00D72297"/>
    <w:rsid w:val="00D72A1C"/>
    <w:rsid w:val="00D7308F"/>
    <w:rsid w:val="00D7313E"/>
    <w:rsid w:val="00D73580"/>
    <w:rsid w:val="00D73802"/>
    <w:rsid w:val="00D73C2C"/>
    <w:rsid w:val="00D73D52"/>
    <w:rsid w:val="00D745E7"/>
    <w:rsid w:val="00D7581F"/>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87FCE"/>
    <w:rsid w:val="00D9074A"/>
    <w:rsid w:val="00D9099E"/>
    <w:rsid w:val="00D9193A"/>
    <w:rsid w:val="00D923B2"/>
    <w:rsid w:val="00D92463"/>
    <w:rsid w:val="00D93E29"/>
    <w:rsid w:val="00D93E64"/>
    <w:rsid w:val="00D93F64"/>
    <w:rsid w:val="00D94CA4"/>
    <w:rsid w:val="00D95E99"/>
    <w:rsid w:val="00D965D5"/>
    <w:rsid w:val="00D97DA2"/>
    <w:rsid w:val="00DA0485"/>
    <w:rsid w:val="00DA1A3A"/>
    <w:rsid w:val="00DA2351"/>
    <w:rsid w:val="00DA249E"/>
    <w:rsid w:val="00DA29C6"/>
    <w:rsid w:val="00DA2D3D"/>
    <w:rsid w:val="00DA3855"/>
    <w:rsid w:val="00DA4C30"/>
    <w:rsid w:val="00DA5C8A"/>
    <w:rsid w:val="00DA6A44"/>
    <w:rsid w:val="00DA7A3C"/>
    <w:rsid w:val="00DB0E38"/>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BB4"/>
    <w:rsid w:val="00DC2DE8"/>
    <w:rsid w:val="00DC34DC"/>
    <w:rsid w:val="00DC3780"/>
    <w:rsid w:val="00DC3ADA"/>
    <w:rsid w:val="00DC3CC6"/>
    <w:rsid w:val="00DC3F55"/>
    <w:rsid w:val="00DC4782"/>
    <w:rsid w:val="00DC514A"/>
    <w:rsid w:val="00DC6249"/>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617"/>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9AF"/>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FB8"/>
    <w:rsid w:val="00E10913"/>
    <w:rsid w:val="00E10B87"/>
    <w:rsid w:val="00E121CE"/>
    <w:rsid w:val="00E12209"/>
    <w:rsid w:val="00E1478B"/>
    <w:rsid w:val="00E14FAC"/>
    <w:rsid w:val="00E15007"/>
    <w:rsid w:val="00E16277"/>
    <w:rsid w:val="00E16EC7"/>
    <w:rsid w:val="00E17DCC"/>
    <w:rsid w:val="00E219CE"/>
    <w:rsid w:val="00E21D93"/>
    <w:rsid w:val="00E23812"/>
    <w:rsid w:val="00E24071"/>
    <w:rsid w:val="00E24EBC"/>
    <w:rsid w:val="00E25149"/>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198D"/>
    <w:rsid w:val="00E43054"/>
    <w:rsid w:val="00E43655"/>
    <w:rsid w:val="00E44440"/>
    <w:rsid w:val="00E46013"/>
    <w:rsid w:val="00E47099"/>
    <w:rsid w:val="00E47284"/>
    <w:rsid w:val="00E477A9"/>
    <w:rsid w:val="00E477C3"/>
    <w:rsid w:val="00E51E16"/>
    <w:rsid w:val="00E52DED"/>
    <w:rsid w:val="00E53730"/>
    <w:rsid w:val="00E5438D"/>
    <w:rsid w:val="00E54511"/>
    <w:rsid w:val="00E54E50"/>
    <w:rsid w:val="00E54EC9"/>
    <w:rsid w:val="00E55288"/>
    <w:rsid w:val="00E57577"/>
    <w:rsid w:val="00E60A2E"/>
    <w:rsid w:val="00E60BD7"/>
    <w:rsid w:val="00E62043"/>
    <w:rsid w:val="00E626B9"/>
    <w:rsid w:val="00E627C9"/>
    <w:rsid w:val="00E630F3"/>
    <w:rsid w:val="00E6332F"/>
    <w:rsid w:val="00E637C9"/>
    <w:rsid w:val="00E639E6"/>
    <w:rsid w:val="00E6402D"/>
    <w:rsid w:val="00E6680A"/>
    <w:rsid w:val="00E66F0D"/>
    <w:rsid w:val="00E67741"/>
    <w:rsid w:val="00E67CAE"/>
    <w:rsid w:val="00E70615"/>
    <w:rsid w:val="00E7161E"/>
    <w:rsid w:val="00E71B40"/>
    <w:rsid w:val="00E7207B"/>
    <w:rsid w:val="00E7347A"/>
    <w:rsid w:val="00E75A47"/>
    <w:rsid w:val="00E75BB6"/>
    <w:rsid w:val="00E75D8C"/>
    <w:rsid w:val="00E777BB"/>
    <w:rsid w:val="00E777F2"/>
    <w:rsid w:val="00E802C9"/>
    <w:rsid w:val="00E80342"/>
    <w:rsid w:val="00E80BFB"/>
    <w:rsid w:val="00E80F0A"/>
    <w:rsid w:val="00E815D4"/>
    <w:rsid w:val="00E8291B"/>
    <w:rsid w:val="00E82E70"/>
    <w:rsid w:val="00E82F92"/>
    <w:rsid w:val="00E8395F"/>
    <w:rsid w:val="00E8410F"/>
    <w:rsid w:val="00E849D7"/>
    <w:rsid w:val="00E85E41"/>
    <w:rsid w:val="00E85EA1"/>
    <w:rsid w:val="00E86030"/>
    <w:rsid w:val="00E86703"/>
    <w:rsid w:val="00E900DA"/>
    <w:rsid w:val="00E91044"/>
    <w:rsid w:val="00E910D3"/>
    <w:rsid w:val="00E92154"/>
    <w:rsid w:val="00E923CF"/>
    <w:rsid w:val="00E93685"/>
    <w:rsid w:val="00E93B65"/>
    <w:rsid w:val="00E93C8C"/>
    <w:rsid w:val="00E95111"/>
    <w:rsid w:val="00E95FDF"/>
    <w:rsid w:val="00EA1198"/>
    <w:rsid w:val="00EA14C8"/>
    <w:rsid w:val="00EA2110"/>
    <w:rsid w:val="00EA283A"/>
    <w:rsid w:val="00EA2C90"/>
    <w:rsid w:val="00EA2E07"/>
    <w:rsid w:val="00EA383B"/>
    <w:rsid w:val="00EA48F3"/>
    <w:rsid w:val="00EA60BF"/>
    <w:rsid w:val="00EA6847"/>
    <w:rsid w:val="00EA7365"/>
    <w:rsid w:val="00EA763F"/>
    <w:rsid w:val="00EA77E9"/>
    <w:rsid w:val="00EB05D0"/>
    <w:rsid w:val="00EB1151"/>
    <w:rsid w:val="00EB1D49"/>
    <w:rsid w:val="00EB23D9"/>
    <w:rsid w:val="00EB39A0"/>
    <w:rsid w:val="00EB559F"/>
    <w:rsid w:val="00EB566C"/>
    <w:rsid w:val="00EB5A18"/>
    <w:rsid w:val="00EB5F3D"/>
    <w:rsid w:val="00EB6C97"/>
    <w:rsid w:val="00EC1CEB"/>
    <w:rsid w:val="00EC1DC0"/>
    <w:rsid w:val="00EC1DC2"/>
    <w:rsid w:val="00EC1E09"/>
    <w:rsid w:val="00EC21EC"/>
    <w:rsid w:val="00EC24B8"/>
    <w:rsid w:val="00EC268C"/>
    <w:rsid w:val="00EC3753"/>
    <w:rsid w:val="00EC4E71"/>
    <w:rsid w:val="00EC5F1C"/>
    <w:rsid w:val="00ED0365"/>
    <w:rsid w:val="00ED0865"/>
    <w:rsid w:val="00ED1C60"/>
    <w:rsid w:val="00ED28A3"/>
    <w:rsid w:val="00ED2E25"/>
    <w:rsid w:val="00ED2EB9"/>
    <w:rsid w:val="00ED3722"/>
    <w:rsid w:val="00ED3A31"/>
    <w:rsid w:val="00ED4469"/>
    <w:rsid w:val="00ED44F6"/>
    <w:rsid w:val="00ED5424"/>
    <w:rsid w:val="00ED5F23"/>
    <w:rsid w:val="00ED6A63"/>
    <w:rsid w:val="00ED6DC0"/>
    <w:rsid w:val="00ED7A7A"/>
    <w:rsid w:val="00EE0327"/>
    <w:rsid w:val="00EE038C"/>
    <w:rsid w:val="00EE28C5"/>
    <w:rsid w:val="00EE2F09"/>
    <w:rsid w:val="00EE47C5"/>
    <w:rsid w:val="00EE490C"/>
    <w:rsid w:val="00EE4E57"/>
    <w:rsid w:val="00EE516C"/>
    <w:rsid w:val="00EE5415"/>
    <w:rsid w:val="00EE5738"/>
    <w:rsid w:val="00EE58BD"/>
    <w:rsid w:val="00EE5E59"/>
    <w:rsid w:val="00EE73D0"/>
    <w:rsid w:val="00EE7CB0"/>
    <w:rsid w:val="00EF08A8"/>
    <w:rsid w:val="00EF167B"/>
    <w:rsid w:val="00EF41A8"/>
    <w:rsid w:val="00EF44FB"/>
    <w:rsid w:val="00EF4DF5"/>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9EA"/>
    <w:rsid w:val="00F06E85"/>
    <w:rsid w:val="00F070E5"/>
    <w:rsid w:val="00F07DDE"/>
    <w:rsid w:val="00F11675"/>
    <w:rsid w:val="00F12557"/>
    <w:rsid w:val="00F13599"/>
    <w:rsid w:val="00F13B28"/>
    <w:rsid w:val="00F14542"/>
    <w:rsid w:val="00F1520A"/>
    <w:rsid w:val="00F156A0"/>
    <w:rsid w:val="00F15730"/>
    <w:rsid w:val="00F176A6"/>
    <w:rsid w:val="00F202C2"/>
    <w:rsid w:val="00F212A8"/>
    <w:rsid w:val="00F212F6"/>
    <w:rsid w:val="00F21905"/>
    <w:rsid w:val="00F22756"/>
    <w:rsid w:val="00F23248"/>
    <w:rsid w:val="00F23890"/>
    <w:rsid w:val="00F2504D"/>
    <w:rsid w:val="00F2637F"/>
    <w:rsid w:val="00F268F7"/>
    <w:rsid w:val="00F30B83"/>
    <w:rsid w:val="00F30BDB"/>
    <w:rsid w:val="00F30CF8"/>
    <w:rsid w:val="00F31EDF"/>
    <w:rsid w:val="00F32CDE"/>
    <w:rsid w:val="00F32D4C"/>
    <w:rsid w:val="00F3327E"/>
    <w:rsid w:val="00F337E0"/>
    <w:rsid w:val="00F338C3"/>
    <w:rsid w:val="00F34B14"/>
    <w:rsid w:val="00F34F58"/>
    <w:rsid w:val="00F35DA7"/>
    <w:rsid w:val="00F36A6A"/>
    <w:rsid w:val="00F40101"/>
    <w:rsid w:val="00F404F7"/>
    <w:rsid w:val="00F40CCA"/>
    <w:rsid w:val="00F40F46"/>
    <w:rsid w:val="00F42D97"/>
    <w:rsid w:val="00F436B2"/>
    <w:rsid w:val="00F43813"/>
    <w:rsid w:val="00F43FEE"/>
    <w:rsid w:val="00F4492F"/>
    <w:rsid w:val="00F45A72"/>
    <w:rsid w:val="00F46723"/>
    <w:rsid w:val="00F4703B"/>
    <w:rsid w:val="00F4706D"/>
    <w:rsid w:val="00F476E1"/>
    <w:rsid w:val="00F47D1D"/>
    <w:rsid w:val="00F47F29"/>
    <w:rsid w:val="00F50016"/>
    <w:rsid w:val="00F50451"/>
    <w:rsid w:val="00F50A80"/>
    <w:rsid w:val="00F5118A"/>
    <w:rsid w:val="00F51A21"/>
    <w:rsid w:val="00F52414"/>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67BED"/>
    <w:rsid w:val="00F70799"/>
    <w:rsid w:val="00F70A8B"/>
    <w:rsid w:val="00F70B8D"/>
    <w:rsid w:val="00F71936"/>
    <w:rsid w:val="00F724FB"/>
    <w:rsid w:val="00F726B8"/>
    <w:rsid w:val="00F72A26"/>
    <w:rsid w:val="00F733C3"/>
    <w:rsid w:val="00F746A1"/>
    <w:rsid w:val="00F74820"/>
    <w:rsid w:val="00F75282"/>
    <w:rsid w:val="00F756DD"/>
    <w:rsid w:val="00F77518"/>
    <w:rsid w:val="00F77F4E"/>
    <w:rsid w:val="00F80047"/>
    <w:rsid w:val="00F800C7"/>
    <w:rsid w:val="00F8104D"/>
    <w:rsid w:val="00F8153F"/>
    <w:rsid w:val="00F81587"/>
    <w:rsid w:val="00F81769"/>
    <w:rsid w:val="00F8288F"/>
    <w:rsid w:val="00F8376E"/>
    <w:rsid w:val="00F84802"/>
    <w:rsid w:val="00F85B72"/>
    <w:rsid w:val="00F86540"/>
    <w:rsid w:val="00F865CE"/>
    <w:rsid w:val="00F8766F"/>
    <w:rsid w:val="00F90282"/>
    <w:rsid w:val="00F91082"/>
    <w:rsid w:val="00F9116D"/>
    <w:rsid w:val="00F91250"/>
    <w:rsid w:val="00F91342"/>
    <w:rsid w:val="00F91A9A"/>
    <w:rsid w:val="00F92634"/>
    <w:rsid w:val="00F933F3"/>
    <w:rsid w:val="00F93ABB"/>
    <w:rsid w:val="00F94D79"/>
    <w:rsid w:val="00F954FC"/>
    <w:rsid w:val="00F9658C"/>
    <w:rsid w:val="00F96E05"/>
    <w:rsid w:val="00F97A7F"/>
    <w:rsid w:val="00FA0889"/>
    <w:rsid w:val="00FA16E7"/>
    <w:rsid w:val="00FA31C7"/>
    <w:rsid w:val="00FA472D"/>
    <w:rsid w:val="00FA4849"/>
    <w:rsid w:val="00FA681F"/>
    <w:rsid w:val="00FB0CBF"/>
    <w:rsid w:val="00FB18F6"/>
    <w:rsid w:val="00FB2A52"/>
    <w:rsid w:val="00FB2B7B"/>
    <w:rsid w:val="00FB2CDD"/>
    <w:rsid w:val="00FB3F92"/>
    <w:rsid w:val="00FB52C7"/>
    <w:rsid w:val="00FB57DC"/>
    <w:rsid w:val="00FB6E19"/>
    <w:rsid w:val="00FB71F6"/>
    <w:rsid w:val="00FB78C5"/>
    <w:rsid w:val="00FB7CF2"/>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2E"/>
    <w:rsid w:val="00FD0AB7"/>
    <w:rsid w:val="00FD297D"/>
    <w:rsid w:val="00FD2D13"/>
    <w:rsid w:val="00FD374D"/>
    <w:rsid w:val="00FD6071"/>
    <w:rsid w:val="00FD633B"/>
    <w:rsid w:val="00FE0794"/>
    <w:rsid w:val="00FE1041"/>
    <w:rsid w:val="00FE1A47"/>
    <w:rsid w:val="00FE24CB"/>
    <w:rsid w:val="00FE2FC2"/>
    <w:rsid w:val="00FE323F"/>
    <w:rsid w:val="00FE3473"/>
    <w:rsid w:val="00FE35CC"/>
    <w:rsid w:val="00FE4049"/>
    <w:rsid w:val="00FE4794"/>
    <w:rsid w:val="00FE480F"/>
    <w:rsid w:val="00FE4998"/>
    <w:rsid w:val="00FE56B7"/>
    <w:rsid w:val="00FE57DE"/>
    <w:rsid w:val="00FE6E91"/>
    <w:rsid w:val="00FE7A68"/>
    <w:rsid w:val="00FF0231"/>
    <w:rsid w:val="00FF1C9B"/>
    <w:rsid w:val="00FF1D49"/>
    <w:rsid w:val="00FF203B"/>
    <w:rsid w:val="00FF2562"/>
    <w:rsid w:val="00FF2B6C"/>
    <w:rsid w:val="00FF3A41"/>
    <w:rsid w:val="00FF3E5B"/>
    <w:rsid w:val="00FF4C8E"/>
    <w:rsid w:val="00FF57E4"/>
    <w:rsid w:val="00FF62AA"/>
    <w:rsid w:val="00FF78E5"/>
    <w:rsid w:val="010827C0"/>
    <w:rsid w:val="0119677B"/>
    <w:rsid w:val="012C5FAF"/>
    <w:rsid w:val="01AF3D99"/>
    <w:rsid w:val="01B52C2D"/>
    <w:rsid w:val="01F91C73"/>
    <w:rsid w:val="01F96404"/>
    <w:rsid w:val="0201302D"/>
    <w:rsid w:val="02200AAA"/>
    <w:rsid w:val="02247ACE"/>
    <w:rsid w:val="02337361"/>
    <w:rsid w:val="02511F9D"/>
    <w:rsid w:val="0296130E"/>
    <w:rsid w:val="02DB6B5E"/>
    <w:rsid w:val="03447834"/>
    <w:rsid w:val="035100F2"/>
    <w:rsid w:val="036543A8"/>
    <w:rsid w:val="03654FA1"/>
    <w:rsid w:val="03A03330"/>
    <w:rsid w:val="03A314B8"/>
    <w:rsid w:val="03B7227C"/>
    <w:rsid w:val="03BB1D6C"/>
    <w:rsid w:val="03C5243A"/>
    <w:rsid w:val="03D82B98"/>
    <w:rsid w:val="03E47515"/>
    <w:rsid w:val="03F83E8B"/>
    <w:rsid w:val="03FF37B7"/>
    <w:rsid w:val="04140663"/>
    <w:rsid w:val="04181B28"/>
    <w:rsid w:val="0451328B"/>
    <w:rsid w:val="046269DF"/>
    <w:rsid w:val="04BF763A"/>
    <w:rsid w:val="04CD61FB"/>
    <w:rsid w:val="04EF7F2B"/>
    <w:rsid w:val="050140F6"/>
    <w:rsid w:val="05067536"/>
    <w:rsid w:val="051929AB"/>
    <w:rsid w:val="05305068"/>
    <w:rsid w:val="05A131E3"/>
    <w:rsid w:val="05AC1B2E"/>
    <w:rsid w:val="05C56868"/>
    <w:rsid w:val="05CB2E5F"/>
    <w:rsid w:val="061C715B"/>
    <w:rsid w:val="06472F82"/>
    <w:rsid w:val="06705FB0"/>
    <w:rsid w:val="068F128E"/>
    <w:rsid w:val="0693415D"/>
    <w:rsid w:val="06EF31F8"/>
    <w:rsid w:val="06F2558C"/>
    <w:rsid w:val="06F62EB9"/>
    <w:rsid w:val="07017BB4"/>
    <w:rsid w:val="07131CDD"/>
    <w:rsid w:val="07A33592"/>
    <w:rsid w:val="07B72767"/>
    <w:rsid w:val="07BB67DE"/>
    <w:rsid w:val="07D63618"/>
    <w:rsid w:val="07E43A81"/>
    <w:rsid w:val="07FB4E2D"/>
    <w:rsid w:val="08077E72"/>
    <w:rsid w:val="0832086E"/>
    <w:rsid w:val="083245C7"/>
    <w:rsid w:val="0843490A"/>
    <w:rsid w:val="08492301"/>
    <w:rsid w:val="08882DD0"/>
    <w:rsid w:val="08946FCA"/>
    <w:rsid w:val="08B80099"/>
    <w:rsid w:val="09364131"/>
    <w:rsid w:val="093F3D8B"/>
    <w:rsid w:val="09666C3E"/>
    <w:rsid w:val="096B752A"/>
    <w:rsid w:val="097474D2"/>
    <w:rsid w:val="0981726F"/>
    <w:rsid w:val="098F7F12"/>
    <w:rsid w:val="09925144"/>
    <w:rsid w:val="09C23374"/>
    <w:rsid w:val="09CA084E"/>
    <w:rsid w:val="09CC2AAC"/>
    <w:rsid w:val="09EF16FD"/>
    <w:rsid w:val="0A092713"/>
    <w:rsid w:val="0A09478D"/>
    <w:rsid w:val="0A256191"/>
    <w:rsid w:val="0A397E8E"/>
    <w:rsid w:val="0A3A5CCA"/>
    <w:rsid w:val="0A3D797F"/>
    <w:rsid w:val="0A423A07"/>
    <w:rsid w:val="0A4A5BF8"/>
    <w:rsid w:val="0A652D3E"/>
    <w:rsid w:val="0A6E5D8A"/>
    <w:rsid w:val="0A7F7F97"/>
    <w:rsid w:val="0AAF0151"/>
    <w:rsid w:val="0AD876A7"/>
    <w:rsid w:val="0B0E1130"/>
    <w:rsid w:val="0B305702"/>
    <w:rsid w:val="0B326F2A"/>
    <w:rsid w:val="0B372620"/>
    <w:rsid w:val="0B3E3044"/>
    <w:rsid w:val="0B5374D4"/>
    <w:rsid w:val="0BFE313E"/>
    <w:rsid w:val="0C1E2888"/>
    <w:rsid w:val="0C350E08"/>
    <w:rsid w:val="0C4C20FB"/>
    <w:rsid w:val="0C6531BD"/>
    <w:rsid w:val="0C8E61AF"/>
    <w:rsid w:val="0C8F1FE8"/>
    <w:rsid w:val="0C92213C"/>
    <w:rsid w:val="0CAF06D2"/>
    <w:rsid w:val="0CBE28CD"/>
    <w:rsid w:val="0CC2027E"/>
    <w:rsid w:val="0D7B16D9"/>
    <w:rsid w:val="0D84032B"/>
    <w:rsid w:val="0D860CD8"/>
    <w:rsid w:val="0DB13EEB"/>
    <w:rsid w:val="0DB735A4"/>
    <w:rsid w:val="0E14123E"/>
    <w:rsid w:val="0E6454B7"/>
    <w:rsid w:val="0E8A6F0A"/>
    <w:rsid w:val="0E9F560A"/>
    <w:rsid w:val="0ECE329B"/>
    <w:rsid w:val="0EE428AF"/>
    <w:rsid w:val="0EF645A0"/>
    <w:rsid w:val="0F094436"/>
    <w:rsid w:val="0F2A74C4"/>
    <w:rsid w:val="0F5A5D56"/>
    <w:rsid w:val="0F620A10"/>
    <w:rsid w:val="0F711E78"/>
    <w:rsid w:val="0F7729A5"/>
    <w:rsid w:val="0FA61B22"/>
    <w:rsid w:val="10014FAA"/>
    <w:rsid w:val="101E5B5C"/>
    <w:rsid w:val="104A1F3F"/>
    <w:rsid w:val="104A4BA3"/>
    <w:rsid w:val="107240FA"/>
    <w:rsid w:val="108D4996"/>
    <w:rsid w:val="10A27F31"/>
    <w:rsid w:val="10BC7C76"/>
    <w:rsid w:val="10DC1574"/>
    <w:rsid w:val="10E03CC6"/>
    <w:rsid w:val="11101D8E"/>
    <w:rsid w:val="113F5142"/>
    <w:rsid w:val="115B4B8E"/>
    <w:rsid w:val="118916FB"/>
    <w:rsid w:val="11927058"/>
    <w:rsid w:val="11BA7B07"/>
    <w:rsid w:val="11BD2243"/>
    <w:rsid w:val="11C14915"/>
    <w:rsid w:val="11F72B09"/>
    <w:rsid w:val="121045D6"/>
    <w:rsid w:val="122D02D9"/>
    <w:rsid w:val="122D2087"/>
    <w:rsid w:val="12743D83"/>
    <w:rsid w:val="128D0D77"/>
    <w:rsid w:val="12957C2C"/>
    <w:rsid w:val="12AD3208"/>
    <w:rsid w:val="12B96010"/>
    <w:rsid w:val="12FE2018"/>
    <w:rsid w:val="130628D8"/>
    <w:rsid w:val="131928BF"/>
    <w:rsid w:val="131B727A"/>
    <w:rsid w:val="135B2B22"/>
    <w:rsid w:val="137D5290"/>
    <w:rsid w:val="138A3509"/>
    <w:rsid w:val="13914897"/>
    <w:rsid w:val="13946135"/>
    <w:rsid w:val="13AF4F03"/>
    <w:rsid w:val="13E04CDB"/>
    <w:rsid w:val="144A092A"/>
    <w:rsid w:val="144C7098"/>
    <w:rsid w:val="14566FC5"/>
    <w:rsid w:val="14704A54"/>
    <w:rsid w:val="14736E66"/>
    <w:rsid w:val="147F458F"/>
    <w:rsid w:val="14947BFE"/>
    <w:rsid w:val="149A00A4"/>
    <w:rsid w:val="14B10388"/>
    <w:rsid w:val="14D174E6"/>
    <w:rsid w:val="14E44281"/>
    <w:rsid w:val="15033573"/>
    <w:rsid w:val="1534169A"/>
    <w:rsid w:val="156068E6"/>
    <w:rsid w:val="156D538C"/>
    <w:rsid w:val="159B506F"/>
    <w:rsid w:val="15C03E03"/>
    <w:rsid w:val="16140CAA"/>
    <w:rsid w:val="16290DB7"/>
    <w:rsid w:val="162A25EB"/>
    <w:rsid w:val="16353C00"/>
    <w:rsid w:val="16735895"/>
    <w:rsid w:val="16816E45"/>
    <w:rsid w:val="16881F81"/>
    <w:rsid w:val="16A24A72"/>
    <w:rsid w:val="16B54D41"/>
    <w:rsid w:val="16C653F4"/>
    <w:rsid w:val="16D01B7A"/>
    <w:rsid w:val="16ED6288"/>
    <w:rsid w:val="16FA4BD2"/>
    <w:rsid w:val="16FD2A55"/>
    <w:rsid w:val="17001FDA"/>
    <w:rsid w:val="17067C1A"/>
    <w:rsid w:val="17233A58"/>
    <w:rsid w:val="173619DD"/>
    <w:rsid w:val="17366761"/>
    <w:rsid w:val="174E2EC4"/>
    <w:rsid w:val="17514A69"/>
    <w:rsid w:val="17567E8F"/>
    <w:rsid w:val="1763654B"/>
    <w:rsid w:val="176F6C9D"/>
    <w:rsid w:val="177C01F0"/>
    <w:rsid w:val="179E3EFA"/>
    <w:rsid w:val="17A252C5"/>
    <w:rsid w:val="17C84600"/>
    <w:rsid w:val="17CE6630"/>
    <w:rsid w:val="17F4641B"/>
    <w:rsid w:val="181D494B"/>
    <w:rsid w:val="18291A50"/>
    <w:rsid w:val="1844637C"/>
    <w:rsid w:val="184B6E30"/>
    <w:rsid w:val="18573BB3"/>
    <w:rsid w:val="185F6D12"/>
    <w:rsid w:val="18772542"/>
    <w:rsid w:val="187F3D33"/>
    <w:rsid w:val="18820F70"/>
    <w:rsid w:val="18972950"/>
    <w:rsid w:val="18F558C8"/>
    <w:rsid w:val="192F0F26"/>
    <w:rsid w:val="195474DE"/>
    <w:rsid w:val="195B507D"/>
    <w:rsid w:val="19BE25EF"/>
    <w:rsid w:val="19EE7E5D"/>
    <w:rsid w:val="1A1D50D7"/>
    <w:rsid w:val="1A5F0EA6"/>
    <w:rsid w:val="1A7B3BAB"/>
    <w:rsid w:val="1A8B76DB"/>
    <w:rsid w:val="1A98650B"/>
    <w:rsid w:val="1AA94BBC"/>
    <w:rsid w:val="1AAA4452"/>
    <w:rsid w:val="1AC252C2"/>
    <w:rsid w:val="1AC63078"/>
    <w:rsid w:val="1AD11A1D"/>
    <w:rsid w:val="1AFF0AFE"/>
    <w:rsid w:val="1B412001"/>
    <w:rsid w:val="1B4F19F8"/>
    <w:rsid w:val="1B5A7857"/>
    <w:rsid w:val="1BA972F6"/>
    <w:rsid w:val="1BE50DD1"/>
    <w:rsid w:val="1C1F23FA"/>
    <w:rsid w:val="1C4306F9"/>
    <w:rsid w:val="1C4526C3"/>
    <w:rsid w:val="1C5D5C5E"/>
    <w:rsid w:val="1C6B432E"/>
    <w:rsid w:val="1C8101E5"/>
    <w:rsid w:val="1C8409D2"/>
    <w:rsid w:val="1C970A1D"/>
    <w:rsid w:val="1CCE2EE5"/>
    <w:rsid w:val="1CDA72AF"/>
    <w:rsid w:val="1CDF6F49"/>
    <w:rsid w:val="1CEF7146"/>
    <w:rsid w:val="1D0A6375"/>
    <w:rsid w:val="1D181B85"/>
    <w:rsid w:val="1D322C47"/>
    <w:rsid w:val="1DB7314C"/>
    <w:rsid w:val="1DBE272D"/>
    <w:rsid w:val="1DC31AF1"/>
    <w:rsid w:val="1DE1641B"/>
    <w:rsid w:val="1DE5046B"/>
    <w:rsid w:val="1E1F1D09"/>
    <w:rsid w:val="1E3E4FB4"/>
    <w:rsid w:val="1E4852D2"/>
    <w:rsid w:val="1E4F2A7A"/>
    <w:rsid w:val="1E694596"/>
    <w:rsid w:val="1E70765E"/>
    <w:rsid w:val="1E9621D4"/>
    <w:rsid w:val="1EB202A6"/>
    <w:rsid w:val="1EC76CCF"/>
    <w:rsid w:val="1ECC44FA"/>
    <w:rsid w:val="1ED6486B"/>
    <w:rsid w:val="1EDB63FC"/>
    <w:rsid w:val="1F063325"/>
    <w:rsid w:val="1F1617FB"/>
    <w:rsid w:val="1F1C1B35"/>
    <w:rsid w:val="1F1F5219"/>
    <w:rsid w:val="1F300115"/>
    <w:rsid w:val="1F3A0E0F"/>
    <w:rsid w:val="1F5642FC"/>
    <w:rsid w:val="1F5F3A9B"/>
    <w:rsid w:val="1FAE057F"/>
    <w:rsid w:val="1FBC5DF5"/>
    <w:rsid w:val="1FF90588"/>
    <w:rsid w:val="2018762F"/>
    <w:rsid w:val="202A22FB"/>
    <w:rsid w:val="202B5346"/>
    <w:rsid w:val="202C2386"/>
    <w:rsid w:val="20400F91"/>
    <w:rsid w:val="20514B81"/>
    <w:rsid w:val="2056255B"/>
    <w:rsid w:val="20574407"/>
    <w:rsid w:val="206A570B"/>
    <w:rsid w:val="20BD452B"/>
    <w:rsid w:val="20C3623F"/>
    <w:rsid w:val="20DA182C"/>
    <w:rsid w:val="20F46465"/>
    <w:rsid w:val="210900A7"/>
    <w:rsid w:val="212156C5"/>
    <w:rsid w:val="2148258B"/>
    <w:rsid w:val="21611D4D"/>
    <w:rsid w:val="216B4602"/>
    <w:rsid w:val="21771E62"/>
    <w:rsid w:val="21781212"/>
    <w:rsid w:val="21B83F86"/>
    <w:rsid w:val="21EA380F"/>
    <w:rsid w:val="221178A8"/>
    <w:rsid w:val="221213CF"/>
    <w:rsid w:val="22327A92"/>
    <w:rsid w:val="223D23F1"/>
    <w:rsid w:val="2254540E"/>
    <w:rsid w:val="226C668D"/>
    <w:rsid w:val="22AD188F"/>
    <w:rsid w:val="22FF181D"/>
    <w:rsid w:val="230063DC"/>
    <w:rsid w:val="23151AAF"/>
    <w:rsid w:val="231D53A2"/>
    <w:rsid w:val="23447FE4"/>
    <w:rsid w:val="235B5EFE"/>
    <w:rsid w:val="236D5383"/>
    <w:rsid w:val="23863CED"/>
    <w:rsid w:val="239A7798"/>
    <w:rsid w:val="239F377F"/>
    <w:rsid w:val="23A35E53"/>
    <w:rsid w:val="23B24AE2"/>
    <w:rsid w:val="23B7504C"/>
    <w:rsid w:val="23C84DE9"/>
    <w:rsid w:val="2419690F"/>
    <w:rsid w:val="24571307"/>
    <w:rsid w:val="24715ECA"/>
    <w:rsid w:val="24754E93"/>
    <w:rsid w:val="247E43DB"/>
    <w:rsid w:val="24967F5F"/>
    <w:rsid w:val="249C557D"/>
    <w:rsid w:val="24F829C8"/>
    <w:rsid w:val="25110A2A"/>
    <w:rsid w:val="25145328"/>
    <w:rsid w:val="25240D0A"/>
    <w:rsid w:val="256C0944"/>
    <w:rsid w:val="25733194"/>
    <w:rsid w:val="258F03E8"/>
    <w:rsid w:val="25967363"/>
    <w:rsid w:val="259A582D"/>
    <w:rsid w:val="259F2E44"/>
    <w:rsid w:val="25E65E18"/>
    <w:rsid w:val="26446DE3"/>
    <w:rsid w:val="2674607E"/>
    <w:rsid w:val="267A740D"/>
    <w:rsid w:val="267E514F"/>
    <w:rsid w:val="269669E7"/>
    <w:rsid w:val="269E134D"/>
    <w:rsid w:val="26A270C1"/>
    <w:rsid w:val="26CE2F65"/>
    <w:rsid w:val="26D7699F"/>
    <w:rsid w:val="26FB054E"/>
    <w:rsid w:val="27174C5C"/>
    <w:rsid w:val="272C0399"/>
    <w:rsid w:val="277A5AEB"/>
    <w:rsid w:val="2789543C"/>
    <w:rsid w:val="27AA633E"/>
    <w:rsid w:val="27AF043B"/>
    <w:rsid w:val="27B0578B"/>
    <w:rsid w:val="27B87198"/>
    <w:rsid w:val="27BC5F2F"/>
    <w:rsid w:val="27DC037F"/>
    <w:rsid w:val="28177609"/>
    <w:rsid w:val="281E1EFD"/>
    <w:rsid w:val="282E5245"/>
    <w:rsid w:val="287B5CFE"/>
    <w:rsid w:val="28A3717E"/>
    <w:rsid w:val="28CA2DE2"/>
    <w:rsid w:val="28CB21A2"/>
    <w:rsid w:val="29260276"/>
    <w:rsid w:val="29283150"/>
    <w:rsid w:val="29316245"/>
    <w:rsid w:val="299802D6"/>
    <w:rsid w:val="29AE5D4B"/>
    <w:rsid w:val="29B75078"/>
    <w:rsid w:val="29D75F7F"/>
    <w:rsid w:val="29E22D43"/>
    <w:rsid w:val="29FB2613"/>
    <w:rsid w:val="2A13795C"/>
    <w:rsid w:val="2A1E2D2D"/>
    <w:rsid w:val="2A353998"/>
    <w:rsid w:val="2A9D41C3"/>
    <w:rsid w:val="2AA212FD"/>
    <w:rsid w:val="2AA607D0"/>
    <w:rsid w:val="2AF61758"/>
    <w:rsid w:val="2B095AA2"/>
    <w:rsid w:val="2B195E43"/>
    <w:rsid w:val="2B6C7A10"/>
    <w:rsid w:val="2B724B56"/>
    <w:rsid w:val="2B774624"/>
    <w:rsid w:val="2B81687D"/>
    <w:rsid w:val="2B8608E2"/>
    <w:rsid w:val="2B876854"/>
    <w:rsid w:val="2BA14AB8"/>
    <w:rsid w:val="2BB51EDD"/>
    <w:rsid w:val="2BD126E4"/>
    <w:rsid w:val="2BDD6474"/>
    <w:rsid w:val="2BEC6A86"/>
    <w:rsid w:val="2BEE242F"/>
    <w:rsid w:val="2BF52B8C"/>
    <w:rsid w:val="2C35005E"/>
    <w:rsid w:val="2C45281E"/>
    <w:rsid w:val="2C7A72BE"/>
    <w:rsid w:val="2C864D5D"/>
    <w:rsid w:val="2C9A7D75"/>
    <w:rsid w:val="2CA64B3B"/>
    <w:rsid w:val="2CC17412"/>
    <w:rsid w:val="2CD60BF4"/>
    <w:rsid w:val="2CD86C3B"/>
    <w:rsid w:val="2D183B14"/>
    <w:rsid w:val="2D283E6C"/>
    <w:rsid w:val="2D770813"/>
    <w:rsid w:val="2D7C1E99"/>
    <w:rsid w:val="2D9350C5"/>
    <w:rsid w:val="2DA505AE"/>
    <w:rsid w:val="2DC45B3D"/>
    <w:rsid w:val="2DE735DA"/>
    <w:rsid w:val="2DF57CF0"/>
    <w:rsid w:val="2DF87595"/>
    <w:rsid w:val="2E426A62"/>
    <w:rsid w:val="2E4507CD"/>
    <w:rsid w:val="2E4B4177"/>
    <w:rsid w:val="2E4C78E1"/>
    <w:rsid w:val="2E587F47"/>
    <w:rsid w:val="2E65368C"/>
    <w:rsid w:val="2E70537D"/>
    <w:rsid w:val="2E7B23A5"/>
    <w:rsid w:val="2E8452CD"/>
    <w:rsid w:val="2E9976CE"/>
    <w:rsid w:val="2E9A74E5"/>
    <w:rsid w:val="2EA60904"/>
    <w:rsid w:val="2EE00DC3"/>
    <w:rsid w:val="2EF01DEE"/>
    <w:rsid w:val="2F1877C3"/>
    <w:rsid w:val="2F3B2F8F"/>
    <w:rsid w:val="2F401D3C"/>
    <w:rsid w:val="2F4800A8"/>
    <w:rsid w:val="2F5051AF"/>
    <w:rsid w:val="2F5B24E1"/>
    <w:rsid w:val="2F80100D"/>
    <w:rsid w:val="2F9C5CDB"/>
    <w:rsid w:val="2FA23C5C"/>
    <w:rsid w:val="2FA95C88"/>
    <w:rsid w:val="2FBC149F"/>
    <w:rsid w:val="2FD61B58"/>
    <w:rsid w:val="2FD86E9B"/>
    <w:rsid w:val="2FDE37A5"/>
    <w:rsid w:val="2FE14059"/>
    <w:rsid w:val="2FF3270A"/>
    <w:rsid w:val="2FF80CC3"/>
    <w:rsid w:val="30221C48"/>
    <w:rsid w:val="3034687E"/>
    <w:rsid w:val="303B19BB"/>
    <w:rsid w:val="3041370F"/>
    <w:rsid w:val="30570A65"/>
    <w:rsid w:val="3060369A"/>
    <w:rsid w:val="30B87FED"/>
    <w:rsid w:val="30CF0057"/>
    <w:rsid w:val="30D0332C"/>
    <w:rsid w:val="30E5141E"/>
    <w:rsid w:val="30FE2A72"/>
    <w:rsid w:val="31002774"/>
    <w:rsid w:val="310148F0"/>
    <w:rsid w:val="312B50A3"/>
    <w:rsid w:val="313F18A3"/>
    <w:rsid w:val="31683980"/>
    <w:rsid w:val="31894FD2"/>
    <w:rsid w:val="318F27BC"/>
    <w:rsid w:val="31A55C86"/>
    <w:rsid w:val="31FF0F84"/>
    <w:rsid w:val="32057A20"/>
    <w:rsid w:val="3216448E"/>
    <w:rsid w:val="322A0A17"/>
    <w:rsid w:val="32453A27"/>
    <w:rsid w:val="32543208"/>
    <w:rsid w:val="3263064A"/>
    <w:rsid w:val="32A43132"/>
    <w:rsid w:val="32AC0C06"/>
    <w:rsid w:val="32BD2B5B"/>
    <w:rsid w:val="32EC7456"/>
    <w:rsid w:val="33272EB3"/>
    <w:rsid w:val="33344EF5"/>
    <w:rsid w:val="333472C1"/>
    <w:rsid w:val="334868C9"/>
    <w:rsid w:val="335135AD"/>
    <w:rsid w:val="335C05C6"/>
    <w:rsid w:val="338C209D"/>
    <w:rsid w:val="33C00B55"/>
    <w:rsid w:val="33E47F39"/>
    <w:rsid w:val="3438197C"/>
    <w:rsid w:val="3463556B"/>
    <w:rsid w:val="346F4329"/>
    <w:rsid w:val="349A203C"/>
    <w:rsid w:val="34AB094C"/>
    <w:rsid w:val="34D20697"/>
    <w:rsid w:val="350607E9"/>
    <w:rsid w:val="35066A3B"/>
    <w:rsid w:val="35147F85"/>
    <w:rsid w:val="353177BD"/>
    <w:rsid w:val="3537750C"/>
    <w:rsid w:val="3537798C"/>
    <w:rsid w:val="35464696"/>
    <w:rsid w:val="356B2D42"/>
    <w:rsid w:val="356C32E1"/>
    <w:rsid w:val="35725E7F"/>
    <w:rsid w:val="35737CAC"/>
    <w:rsid w:val="35784B06"/>
    <w:rsid w:val="358E67B3"/>
    <w:rsid w:val="359671E2"/>
    <w:rsid w:val="35C13FC9"/>
    <w:rsid w:val="35EF127D"/>
    <w:rsid w:val="36032A68"/>
    <w:rsid w:val="36107446"/>
    <w:rsid w:val="361376DE"/>
    <w:rsid w:val="36154A5C"/>
    <w:rsid w:val="364257B6"/>
    <w:rsid w:val="365810C1"/>
    <w:rsid w:val="36CC7811"/>
    <w:rsid w:val="36CD03FF"/>
    <w:rsid w:val="36D64360"/>
    <w:rsid w:val="36EB413B"/>
    <w:rsid w:val="36ED7342"/>
    <w:rsid w:val="36F01751"/>
    <w:rsid w:val="37205E40"/>
    <w:rsid w:val="37226CD7"/>
    <w:rsid w:val="37246F13"/>
    <w:rsid w:val="373D24BC"/>
    <w:rsid w:val="373D42AF"/>
    <w:rsid w:val="37517D16"/>
    <w:rsid w:val="37537F32"/>
    <w:rsid w:val="376D14AF"/>
    <w:rsid w:val="37EA5922"/>
    <w:rsid w:val="381D69EA"/>
    <w:rsid w:val="38251228"/>
    <w:rsid w:val="38276B93"/>
    <w:rsid w:val="382C2678"/>
    <w:rsid w:val="386F48F8"/>
    <w:rsid w:val="387A3C2D"/>
    <w:rsid w:val="388C36FB"/>
    <w:rsid w:val="38A8605B"/>
    <w:rsid w:val="38AC3431"/>
    <w:rsid w:val="38CE39D9"/>
    <w:rsid w:val="38D66725"/>
    <w:rsid w:val="38E31989"/>
    <w:rsid w:val="38FC35F8"/>
    <w:rsid w:val="390A63CE"/>
    <w:rsid w:val="392F2E16"/>
    <w:rsid w:val="39522A4F"/>
    <w:rsid w:val="39B43358"/>
    <w:rsid w:val="39DE1D35"/>
    <w:rsid w:val="39E00529"/>
    <w:rsid w:val="3A0B64A7"/>
    <w:rsid w:val="3A2B2AA0"/>
    <w:rsid w:val="3A377697"/>
    <w:rsid w:val="3A3D0823"/>
    <w:rsid w:val="3A40479E"/>
    <w:rsid w:val="3A574DDA"/>
    <w:rsid w:val="3A7E2CEE"/>
    <w:rsid w:val="3AC32CD9"/>
    <w:rsid w:val="3AD3075A"/>
    <w:rsid w:val="3AF74C02"/>
    <w:rsid w:val="3B08125F"/>
    <w:rsid w:val="3B117D69"/>
    <w:rsid w:val="3B143534"/>
    <w:rsid w:val="3B1B48C3"/>
    <w:rsid w:val="3B535B37"/>
    <w:rsid w:val="3B6031D3"/>
    <w:rsid w:val="3B657F1A"/>
    <w:rsid w:val="3B6C15C2"/>
    <w:rsid w:val="3B890DC1"/>
    <w:rsid w:val="3BA65070"/>
    <w:rsid w:val="3BBA50D2"/>
    <w:rsid w:val="3C0059A5"/>
    <w:rsid w:val="3C134E78"/>
    <w:rsid w:val="3C2D1349"/>
    <w:rsid w:val="3C406CD7"/>
    <w:rsid w:val="3C4A1903"/>
    <w:rsid w:val="3C4D31A2"/>
    <w:rsid w:val="3C526A0A"/>
    <w:rsid w:val="3C5E0698"/>
    <w:rsid w:val="3C6436E5"/>
    <w:rsid w:val="3C683F6D"/>
    <w:rsid w:val="3C686A41"/>
    <w:rsid w:val="3C88242C"/>
    <w:rsid w:val="3C885F88"/>
    <w:rsid w:val="3C8B21EB"/>
    <w:rsid w:val="3C926E07"/>
    <w:rsid w:val="3CA24F0A"/>
    <w:rsid w:val="3CB4104C"/>
    <w:rsid w:val="3CBD0327"/>
    <w:rsid w:val="3CCB6EDB"/>
    <w:rsid w:val="3D07507C"/>
    <w:rsid w:val="3D1141CF"/>
    <w:rsid w:val="3D1E051B"/>
    <w:rsid w:val="3D566798"/>
    <w:rsid w:val="3D580050"/>
    <w:rsid w:val="3D7F5B5C"/>
    <w:rsid w:val="3D812C57"/>
    <w:rsid w:val="3D8E57A9"/>
    <w:rsid w:val="3D9B618F"/>
    <w:rsid w:val="3DA05553"/>
    <w:rsid w:val="3DCC6348"/>
    <w:rsid w:val="3DEC579F"/>
    <w:rsid w:val="3DF6345D"/>
    <w:rsid w:val="3E0D0E3B"/>
    <w:rsid w:val="3E1B68A6"/>
    <w:rsid w:val="3E233DBE"/>
    <w:rsid w:val="3E2B5515"/>
    <w:rsid w:val="3E3D2CEB"/>
    <w:rsid w:val="3E3F4D6C"/>
    <w:rsid w:val="3E4D4F28"/>
    <w:rsid w:val="3E524A9F"/>
    <w:rsid w:val="3E817133"/>
    <w:rsid w:val="3E8E4943"/>
    <w:rsid w:val="3EBC63BD"/>
    <w:rsid w:val="3ECB7CDF"/>
    <w:rsid w:val="3ECC7453"/>
    <w:rsid w:val="3ED61746"/>
    <w:rsid w:val="3ED92EC4"/>
    <w:rsid w:val="3EE13701"/>
    <w:rsid w:val="3F1A4BB3"/>
    <w:rsid w:val="3F3874BF"/>
    <w:rsid w:val="3F3E3276"/>
    <w:rsid w:val="3F5A2E5F"/>
    <w:rsid w:val="3F713622"/>
    <w:rsid w:val="3FB362C2"/>
    <w:rsid w:val="3FB45515"/>
    <w:rsid w:val="3FB6105E"/>
    <w:rsid w:val="3FB90C6E"/>
    <w:rsid w:val="3FC731E3"/>
    <w:rsid w:val="3FCA4E37"/>
    <w:rsid w:val="3FEC0F24"/>
    <w:rsid w:val="3FEE07F8"/>
    <w:rsid w:val="400022D9"/>
    <w:rsid w:val="40153FD6"/>
    <w:rsid w:val="40192BA6"/>
    <w:rsid w:val="40D44BB8"/>
    <w:rsid w:val="40F63E08"/>
    <w:rsid w:val="40F8373D"/>
    <w:rsid w:val="41114D6F"/>
    <w:rsid w:val="416274F1"/>
    <w:rsid w:val="416B088F"/>
    <w:rsid w:val="41760AA5"/>
    <w:rsid w:val="41766EA9"/>
    <w:rsid w:val="41866B13"/>
    <w:rsid w:val="41935450"/>
    <w:rsid w:val="41AD09C3"/>
    <w:rsid w:val="41B65373"/>
    <w:rsid w:val="41C77F5B"/>
    <w:rsid w:val="41DE664A"/>
    <w:rsid w:val="41E6725D"/>
    <w:rsid w:val="41F77652"/>
    <w:rsid w:val="4217445F"/>
    <w:rsid w:val="423D5A66"/>
    <w:rsid w:val="42550A18"/>
    <w:rsid w:val="426E308D"/>
    <w:rsid w:val="429D496A"/>
    <w:rsid w:val="42A038DB"/>
    <w:rsid w:val="42A16911"/>
    <w:rsid w:val="42C4395D"/>
    <w:rsid w:val="42F473A1"/>
    <w:rsid w:val="431A7B56"/>
    <w:rsid w:val="43362BE2"/>
    <w:rsid w:val="437217EA"/>
    <w:rsid w:val="4392187A"/>
    <w:rsid w:val="43AB7156"/>
    <w:rsid w:val="43DE0B83"/>
    <w:rsid w:val="441E62C0"/>
    <w:rsid w:val="442102EF"/>
    <w:rsid w:val="442D4712"/>
    <w:rsid w:val="4434212B"/>
    <w:rsid w:val="443C665A"/>
    <w:rsid w:val="44916AD9"/>
    <w:rsid w:val="449D7506"/>
    <w:rsid w:val="44A71A4C"/>
    <w:rsid w:val="45062140"/>
    <w:rsid w:val="45325D14"/>
    <w:rsid w:val="45327DE5"/>
    <w:rsid w:val="45571063"/>
    <w:rsid w:val="456F23DB"/>
    <w:rsid w:val="45811C7C"/>
    <w:rsid w:val="45906116"/>
    <w:rsid w:val="45917908"/>
    <w:rsid w:val="45931B8C"/>
    <w:rsid w:val="459B015E"/>
    <w:rsid w:val="459B6D2C"/>
    <w:rsid w:val="45DF4F21"/>
    <w:rsid w:val="45EF2552"/>
    <w:rsid w:val="460B6AC0"/>
    <w:rsid w:val="463B22BD"/>
    <w:rsid w:val="464C1EC6"/>
    <w:rsid w:val="466E61EE"/>
    <w:rsid w:val="46733CB9"/>
    <w:rsid w:val="467550A7"/>
    <w:rsid w:val="468B3EFB"/>
    <w:rsid w:val="468E6891"/>
    <w:rsid w:val="46955E71"/>
    <w:rsid w:val="46C95B1B"/>
    <w:rsid w:val="46FA2EE3"/>
    <w:rsid w:val="470A6193"/>
    <w:rsid w:val="471548BC"/>
    <w:rsid w:val="47385210"/>
    <w:rsid w:val="47555600"/>
    <w:rsid w:val="475F1FDB"/>
    <w:rsid w:val="476D1D47"/>
    <w:rsid w:val="47A0743D"/>
    <w:rsid w:val="47A617A5"/>
    <w:rsid w:val="47C56F66"/>
    <w:rsid w:val="47D31E1A"/>
    <w:rsid w:val="47DC4F5C"/>
    <w:rsid w:val="4840005F"/>
    <w:rsid w:val="484F7DD9"/>
    <w:rsid w:val="48552BC8"/>
    <w:rsid w:val="48B40671"/>
    <w:rsid w:val="48BC6F7A"/>
    <w:rsid w:val="48CF0271"/>
    <w:rsid w:val="48F8074C"/>
    <w:rsid w:val="49042FF5"/>
    <w:rsid w:val="49076335"/>
    <w:rsid w:val="4922291D"/>
    <w:rsid w:val="492B4C09"/>
    <w:rsid w:val="492B6619"/>
    <w:rsid w:val="49604478"/>
    <w:rsid w:val="499B5738"/>
    <w:rsid w:val="499F244D"/>
    <w:rsid w:val="49B900C8"/>
    <w:rsid w:val="49CF169A"/>
    <w:rsid w:val="4A1953E5"/>
    <w:rsid w:val="4A1E617D"/>
    <w:rsid w:val="4A7E670F"/>
    <w:rsid w:val="4A970798"/>
    <w:rsid w:val="4A973F3F"/>
    <w:rsid w:val="4A9D48C2"/>
    <w:rsid w:val="4ABB577A"/>
    <w:rsid w:val="4ABC3301"/>
    <w:rsid w:val="4AC31D20"/>
    <w:rsid w:val="4AC83F74"/>
    <w:rsid w:val="4ACE1952"/>
    <w:rsid w:val="4AF96BC7"/>
    <w:rsid w:val="4B0C003F"/>
    <w:rsid w:val="4B136655"/>
    <w:rsid w:val="4B643D98"/>
    <w:rsid w:val="4B702A09"/>
    <w:rsid w:val="4B862A85"/>
    <w:rsid w:val="4B8F39AF"/>
    <w:rsid w:val="4BA53E30"/>
    <w:rsid w:val="4BB94F2D"/>
    <w:rsid w:val="4BDD0672"/>
    <w:rsid w:val="4BE33F9B"/>
    <w:rsid w:val="4BF36441"/>
    <w:rsid w:val="4C2832E3"/>
    <w:rsid w:val="4C4D68A6"/>
    <w:rsid w:val="4C6A0734"/>
    <w:rsid w:val="4C7E1155"/>
    <w:rsid w:val="4C8E7362"/>
    <w:rsid w:val="4C9F7D59"/>
    <w:rsid w:val="4CA010CC"/>
    <w:rsid w:val="4CB708CE"/>
    <w:rsid w:val="4CD7788D"/>
    <w:rsid w:val="4CDB23B6"/>
    <w:rsid w:val="4CDE5035"/>
    <w:rsid w:val="4CE54D31"/>
    <w:rsid w:val="4CEF36E2"/>
    <w:rsid w:val="4CEF4DC5"/>
    <w:rsid w:val="4D1D595E"/>
    <w:rsid w:val="4D2E492A"/>
    <w:rsid w:val="4D5674A9"/>
    <w:rsid w:val="4DAD1323"/>
    <w:rsid w:val="4DAE0576"/>
    <w:rsid w:val="4DB43081"/>
    <w:rsid w:val="4DBA440F"/>
    <w:rsid w:val="4DCC61A3"/>
    <w:rsid w:val="4DDA7116"/>
    <w:rsid w:val="4E257655"/>
    <w:rsid w:val="4E263853"/>
    <w:rsid w:val="4E2D4BE1"/>
    <w:rsid w:val="4E375A60"/>
    <w:rsid w:val="4E4A29CE"/>
    <w:rsid w:val="4E5A1BC6"/>
    <w:rsid w:val="4E612ADD"/>
    <w:rsid w:val="4E7B70F2"/>
    <w:rsid w:val="4EA54611"/>
    <w:rsid w:val="4ED01321"/>
    <w:rsid w:val="4EE01C53"/>
    <w:rsid w:val="4EF56E5A"/>
    <w:rsid w:val="4EFF09F2"/>
    <w:rsid w:val="4F017C92"/>
    <w:rsid w:val="4F372380"/>
    <w:rsid w:val="4F372FFB"/>
    <w:rsid w:val="4F373BA2"/>
    <w:rsid w:val="4F50685F"/>
    <w:rsid w:val="4F552D33"/>
    <w:rsid w:val="4F604F02"/>
    <w:rsid w:val="4F6D6A9E"/>
    <w:rsid w:val="4FAC106B"/>
    <w:rsid w:val="4FAD6032"/>
    <w:rsid w:val="4FDC1C12"/>
    <w:rsid w:val="4FDD1914"/>
    <w:rsid w:val="4FED287A"/>
    <w:rsid w:val="500D6A78"/>
    <w:rsid w:val="50137E07"/>
    <w:rsid w:val="501F792A"/>
    <w:rsid w:val="502320A0"/>
    <w:rsid w:val="5025116D"/>
    <w:rsid w:val="505C3744"/>
    <w:rsid w:val="505E5526"/>
    <w:rsid w:val="50CE76FD"/>
    <w:rsid w:val="50DE66D4"/>
    <w:rsid w:val="5119769F"/>
    <w:rsid w:val="511F7661"/>
    <w:rsid w:val="51262341"/>
    <w:rsid w:val="512978E2"/>
    <w:rsid w:val="513E4D75"/>
    <w:rsid w:val="517F61AE"/>
    <w:rsid w:val="519C2EC4"/>
    <w:rsid w:val="51B94AD4"/>
    <w:rsid w:val="51D07D5D"/>
    <w:rsid w:val="51DF6918"/>
    <w:rsid w:val="521B663F"/>
    <w:rsid w:val="52395ECD"/>
    <w:rsid w:val="52575E63"/>
    <w:rsid w:val="52650DED"/>
    <w:rsid w:val="52860CDE"/>
    <w:rsid w:val="52887E58"/>
    <w:rsid w:val="52BD6456"/>
    <w:rsid w:val="52C10D75"/>
    <w:rsid w:val="52E71BFE"/>
    <w:rsid w:val="53120DFC"/>
    <w:rsid w:val="533F163E"/>
    <w:rsid w:val="53586243"/>
    <w:rsid w:val="53626BF3"/>
    <w:rsid w:val="53832C97"/>
    <w:rsid w:val="538536A3"/>
    <w:rsid w:val="53C27FF8"/>
    <w:rsid w:val="53D76A77"/>
    <w:rsid w:val="544246B9"/>
    <w:rsid w:val="54794B5F"/>
    <w:rsid w:val="549E1A80"/>
    <w:rsid w:val="54A77640"/>
    <w:rsid w:val="54BA1986"/>
    <w:rsid w:val="54C658F4"/>
    <w:rsid w:val="54EB3100"/>
    <w:rsid w:val="5503044A"/>
    <w:rsid w:val="550C4BD7"/>
    <w:rsid w:val="55102A40"/>
    <w:rsid w:val="55275A0F"/>
    <w:rsid w:val="554B0C61"/>
    <w:rsid w:val="554C1D56"/>
    <w:rsid w:val="555109BF"/>
    <w:rsid w:val="555278AF"/>
    <w:rsid w:val="55572986"/>
    <w:rsid w:val="55757355"/>
    <w:rsid w:val="558E2819"/>
    <w:rsid w:val="55991055"/>
    <w:rsid w:val="55C37BD9"/>
    <w:rsid w:val="55CE6CAA"/>
    <w:rsid w:val="55D2686D"/>
    <w:rsid w:val="55E942E3"/>
    <w:rsid w:val="56233DAE"/>
    <w:rsid w:val="564E6D54"/>
    <w:rsid w:val="56507986"/>
    <w:rsid w:val="565340FA"/>
    <w:rsid w:val="565A22EB"/>
    <w:rsid w:val="565C6063"/>
    <w:rsid w:val="566841AB"/>
    <w:rsid w:val="568C38D5"/>
    <w:rsid w:val="568D27BB"/>
    <w:rsid w:val="56AD5F59"/>
    <w:rsid w:val="56AE5057"/>
    <w:rsid w:val="56B04601"/>
    <w:rsid w:val="56B22127"/>
    <w:rsid w:val="56E764C8"/>
    <w:rsid w:val="570C524E"/>
    <w:rsid w:val="575136EE"/>
    <w:rsid w:val="57645F73"/>
    <w:rsid w:val="576E2576"/>
    <w:rsid w:val="579049BE"/>
    <w:rsid w:val="579B0E0D"/>
    <w:rsid w:val="57A40B60"/>
    <w:rsid w:val="57A66625"/>
    <w:rsid w:val="57AB06F3"/>
    <w:rsid w:val="57B12A52"/>
    <w:rsid w:val="57BB4B36"/>
    <w:rsid w:val="57E01845"/>
    <w:rsid w:val="57EE5248"/>
    <w:rsid w:val="584658BF"/>
    <w:rsid w:val="58777AE3"/>
    <w:rsid w:val="588F4785"/>
    <w:rsid w:val="58C5233B"/>
    <w:rsid w:val="58C70DCE"/>
    <w:rsid w:val="59080725"/>
    <w:rsid w:val="59114324"/>
    <w:rsid w:val="5952374E"/>
    <w:rsid w:val="59777658"/>
    <w:rsid w:val="597C6A1D"/>
    <w:rsid w:val="598F0487"/>
    <w:rsid w:val="598F04FE"/>
    <w:rsid w:val="59A860E0"/>
    <w:rsid w:val="59B43CF0"/>
    <w:rsid w:val="59E30CB0"/>
    <w:rsid w:val="59EE5D29"/>
    <w:rsid w:val="5A161AA5"/>
    <w:rsid w:val="5A1E62F5"/>
    <w:rsid w:val="5A2F2CC8"/>
    <w:rsid w:val="5A5534F6"/>
    <w:rsid w:val="5A6516AD"/>
    <w:rsid w:val="5A7F64E2"/>
    <w:rsid w:val="5A8D7AED"/>
    <w:rsid w:val="5A8E77E6"/>
    <w:rsid w:val="5A981634"/>
    <w:rsid w:val="5A9E0BA0"/>
    <w:rsid w:val="5AB67D0C"/>
    <w:rsid w:val="5ADB6D24"/>
    <w:rsid w:val="5AE05C9A"/>
    <w:rsid w:val="5AF947C9"/>
    <w:rsid w:val="5B060C94"/>
    <w:rsid w:val="5B1F1D55"/>
    <w:rsid w:val="5B20432C"/>
    <w:rsid w:val="5B317B51"/>
    <w:rsid w:val="5B4D68C3"/>
    <w:rsid w:val="5B5E10B5"/>
    <w:rsid w:val="5B6657AD"/>
    <w:rsid w:val="5B697EEF"/>
    <w:rsid w:val="5BD06439"/>
    <w:rsid w:val="5C10702D"/>
    <w:rsid w:val="5C1212B5"/>
    <w:rsid w:val="5C152601"/>
    <w:rsid w:val="5C2238AB"/>
    <w:rsid w:val="5C563555"/>
    <w:rsid w:val="5C581F57"/>
    <w:rsid w:val="5C591F03"/>
    <w:rsid w:val="5C5B5602"/>
    <w:rsid w:val="5C877BB2"/>
    <w:rsid w:val="5C8A1B2F"/>
    <w:rsid w:val="5C9F4EFC"/>
    <w:rsid w:val="5CBB785C"/>
    <w:rsid w:val="5CCB58BF"/>
    <w:rsid w:val="5D2C3FDA"/>
    <w:rsid w:val="5D3F048D"/>
    <w:rsid w:val="5D501790"/>
    <w:rsid w:val="5D693414"/>
    <w:rsid w:val="5D7142FE"/>
    <w:rsid w:val="5D79648E"/>
    <w:rsid w:val="5D7E58D3"/>
    <w:rsid w:val="5D95186C"/>
    <w:rsid w:val="5DB744C7"/>
    <w:rsid w:val="5DE1109B"/>
    <w:rsid w:val="5DED477A"/>
    <w:rsid w:val="5DF66D9E"/>
    <w:rsid w:val="5DFB43B4"/>
    <w:rsid w:val="5DFC351B"/>
    <w:rsid w:val="5E1426A9"/>
    <w:rsid w:val="5E251431"/>
    <w:rsid w:val="5E954808"/>
    <w:rsid w:val="5EA22C56"/>
    <w:rsid w:val="5EBA0DC9"/>
    <w:rsid w:val="5F324EA1"/>
    <w:rsid w:val="5F3B73F3"/>
    <w:rsid w:val="5F447FDD"/>
    <w:rsid w:val="5F463F63"/>
    <w:rsid w:val="5F561B72"/>
    <w:rsid w:val="5F5924E9"/>
    <w:rsid w:val="5FCF5AF8"/>
    <w:rsid w:val="5FF44DA7"/>
    <w:rsid w:val="5FF732CD"/>
    <w:rsid w:val="5FF75D1E"/>
    <w:rsid w:val="600D6620"/>
    <w:rsid w:val="6037544B"/>
    <w:rsid w:val="603900D0"/>
    <w:rsid w:val="603B318E"/>
    <w:rsid w:val="6052125F"/>
    <w:rsid w:val="606007BB"/>
    <w:rsid w:val="60771CEC"/>
    <w:rsid w:val="609E54CA"/>
    <w:rsid w:val="60AC7F66"/>
    <w:rsid w:val="60C50CA9"/>
    <w:rsid w:val="60C95281"/>
    <w:rsid w:val="60EE58F6"/>
    <w:rsid w:val="611F485D"/>
    <w:rsid w:val="6149254E"/>
    <w:rsid w:val="615B1CEA"/>
    <w:rsid w:val="61730EFA"/>
    <w:rsid w:val="6180680C"/>
    <w:rsid w:val="6181445A"/>
    <w:rsid w:val="61AB60F1"/>
    <w:rsid w:val="61BF10D9"/>
    <w:rsid w:val="61FC6D54"/>
    <w:rsid w:val="620470D5"/>
    <w:rsid w:val="62224475"/>
    <w:rsid w:val="623B56C7"/>
    <w:rsid w:val="62400F9F"/>
    <w:rsid w:val="625B6730"/>
    <w:rsid w:val="627209BD"/>
    <w:rsid w:val="628726BA"/>
    <w:rsid w:val="62AC22DC"/>
    <w:rsid w:val="62EF025F"/>
    <w:rsid w:val="632838CD"/>
    <w:rsid w:val="632B4122"/>
    <w:rsid w:val="638A3663"/>
    <w:rsid w:val="638E37D8"/>
    <w:rsid w:val="63972D7A"/>
    <w:rsid w:val="63A22BFD"/>
    <w:rsid w:val="63BA6ABF"/>
    <w:rsid w:val="63CB6517"/>
    <w:rsid w:val="63D30291"/>
    <w:rsid w:val="63D61FE2"/>
    <w:rsid w:val="63E35DF8"/>
    <w:rsid w:val="63F33C04"/>
    <w:rsid w:val="64055F8C"/>
    <w:rsid w:val="645542BC"/>
    <w:rsid w:val="6472739A"/>
    <w:rsid w:val="64E45EF7"/>
    <w:rsid w:val="64F16511"/>
    <w:rsid w:val="64F56A29"/>
    <w:rsid w:val="64F91EF5"/>
    <w:rsid w:val="64FD3107"/>
    <w:rsid w:val="6507580D"/>
    <w:rsid w:val="6523128F"/>
    <w:rsid w:val="65353AE7"/>
    <w:rsid w:val="657607C4"/>
    <w:rsid w:val="65802BD8"/>
    <w:rsid w:val="65AA03FB"/>
    <w:rsid w:val="65B5753E"/>
    <w:rsid w:val="65BD4645"/>
    <w:rsid w:val="65F659AF"/>
    <w:rsid w:val="660E46E0"/>
    <w:rsid w:val="665C0356"/>
    <w:rsid w:val="66640969"/>
    <w:rsid w:val="6691014E"/>
    <w:rsid w:val="6692427B"/>
    <w:rsid w:val="66BA15B6"/>
    <w:rsid w:val="66C64D00"/>
    <w:rsid w:val="66C87CCE"/>
    <w:rsid w:val="66C969E6"/>
    <w:rsid w:val="670C5884"/>
    <w:rsid w:val="6731217B"/>
    <w:rsid w:val="67424E02"/>
    <w:rsid w:val="674F5576"/>
    <w:rsid w:val="675D3EA4"/>
    <w:rsid w:val="677060D3"/>
    <w:rsid w:val="677243C5"/>
    <w:rsid w:val="677435B2"/>
    <w:rsid w:val="67902011"/>
    <w:rsid w:val="67C21F06"/>
    <w:rsid w:val="67EF75F1"/>
    <w:rsid w:val="680372D4"/>
    <w:rsid w:val="68352BB8"/>
    <w:rsid w:val="68412CE1"/>
    <w:rsid w:val="684F4F11"/>
    <w:rsid w:val="6859473E"/>
    <w:rsid w:val="68644A48"/>
    <w:rsid w:val="68AA5354"/>
    <w:rsid w:val="68BE60F6"/>
    <w:rsid w:val="68CF4DBB"/>
    <w:rsid w:val="68D128E1"/>
    <w:rsid w:val="68DD74D8"/>
    <w:rsid w:val="68E151AE"/>
    <w:rsid w:val="69034A64"/>
    <w:rsid w:val="69104F01"/>
    <w:rsid w:val="69124F16"/>
    <w:rsid w:val="692C3C07"/>
    <w:rsid w:val="69540E1C"/>
    <w:rsid w:val="6973675D"/>
    <w:rsid w:val="69BA15C7"/>
    <w:rsid w:val="69CD5C14"/>
    <w:rsid w:val="69CF0D33"/>
    <w:rsid w:val="69CF2482"/>
    <w:rsid w:val="69D72179"/>
    <w:rsid w:val="69FF347E"/>
    <w:rsid w:val="6A077EF9"/>
    <w:rsid w:val="6A2B7301"/>
    <w:rsid w:val="6A4378D2"/>
    <w:rsid w:val="6A503CD9"/>
    <w:rsid w:val="6AB57FE0"/>
    <w:rsid w:val="6ADB40DC"/>
    <w:rsid w:val="6B4D4DA6"/>
    <w:rsid w:val="6B9946B3"/>
    <w:rsid w:val="6BAC13E3"/>
    <w:rsid w:val="6BD13793"/>
    <w:rsid w:val="6BDD0871"/>
    <w:rsid w:val="6BF402A7"/>
    <w:rsid w:val="6C1E27F0"/>
    <w:rsid w:val="6C276F3A"/>
    <w:rsid w:val="6C5C5C0D"/>
    <w:rsid w:val="6C7007C7"/>
    <w:rsid w:val="6C763D3D"/>
    <w:rsid w:val="6C7C7008"/>
    <w:rsid w:val="6C8549F4"/>
    <w:rsid w:val="6C8B2DA7"/>
    <w:rsid w:val="6C8E32FA"/>
    <w:rsid w:val="6CEA5182"/>
    <w:rsid w:val="6CED5B4D"/>
    <w:rsid w:val="6D0B5802"/>
    <w:rsid w:val="6D6F1396"/>
    <w:rsid w:val="6D7361B0"/>
    <w:rsid w:val="6D7636BA"/>
    <w:rsid w:val="6D7952F5"/>
    <w:rsid w:val="6D945A51"/>
    <w:rsid w:val="6DA32372"/>
    <w:rsid w:val="6DB16529"/>
    <w:rsid w:val="6DBC51E2"/>
    <w:rsid w:val="6DD96DB6"/>
    <w:rsid w:val="6DE76850"/>
    <w:rsid w:val="6E296D1B"/>
    <w:rsid w:val="6E66310E"/>
    <w:rsid w:val="6E932DE0"/>
    <w:rsid w:val="6EA7112B"/>
    <w:rsid w:val="6ECE2FB7"/>
    <w:rsid w:val="6EE47802"/>
    <w:rsid w:val="6EE97C7B"/>
    <w:rsid w:val="6EF91340"/>
    <w:rsid w:val="6EFB3C2C"/>
    <w:rsid w:val="6EFC020C"/>
    <w:rsid w:val="6EFD3419"/>
    <w:rsid w:val="6F1141AB"/>
    <w:rsid w:val="6F1B6617"/>
    <w:rsid w:val="6F234695"/>
    <w:rsid w:val="6F2A7F88"/>
    <w:rsid w:val="6F385179"/>
    <w:rsid w:val="6F4E5CAC"/>
    <w:rsid w:val="6F4F27B2"/>
    <w:rsid w:val="6F5E1A6F"/>
    <w:rsid w:val="6F80296B"/>
    <w:rsid w:val="6FB20BD4"/>
    <w:rsid w:val="6FB27657"/>
    <w:rsid w:val="6FBA59BE"/>
    <w:rsid w:val="6FE949B4"/>
    <w:rsid w:val="70296B3E"/>
    <w:rsid w:val="7049646A"/>
    <w:rsid w:val="7057153F"/>
    <w:rsid w:val="70611204"/>
    <w:rsid w:val="70BC724E"/>
    <w:rsid w:val="710C6DC7"/>
    <w:rsid w:val="7119271A"/>
    <w:rsid w:val="71621977"/>
    <w:rsid w:val="7165620F"/>
    <w:rsid w:val="717039F8"/>
    <w:rsid w:val="718F6E95"/>
    <w:rsid w:val="7197202C"/>
    <w:rsid w:val="71EC42E8"/>
    <w:rsid w:val="71FD3831"/>
    <w:rsid w:val="721B697B"/>
    <w:rsid w:val="721C028A"/>
    <w:rsid w:val="72233A82"/>
    <w:rsid w:val="72565C05"/>
    <w:rsid w:val="72605B9A"/>
    <w:rsid w:val="727367B7"/>
    <w:rsid w:val="72971B60"/>
    <w:rsid w:val="729726A7"/>
    <w:rsid w:val="72C264DB"/>
    <w:rsid w:val="72C54B39"/>
    <w:rsid w:val="72C6616E"/>
    <w:rsid w:val="72D07765"/>
    <w:rsid w:val="72EB459F"/>
    <w:rsid w:val="72F35B4A"/>
    <w:rsid w:val="72FA0C86"/>
    <w:rsid w:val="73027B3B"/>
    <w:rsid w:val="730648A1"/>
    <w:rsid w:val="734B6169"/>
    <w:rsid w:val="735E7467"/>
    <w:rsid w:val="73707765"/>
    <w:rsid w:val="737E5413"/>
    <w:rsid w:val="739104B2"/>
    <w:rsid w:val="73942F67"/>
    <w:rsid w:val="73C951CB"/>
    <w:rsid w:val="73EB6821"/>
    <w:rsid w:val="74281823"/>
    <w:rsid w:val="74327C85"/>
    <w:rsid w:val="744C0855"/>
    <w:rsid w:val="74673DB7"/>
    <w:rsid w:val="747A3D00"/>
    <w:rsid w:val="747B1BB4"/>
    <w:rsid w:val="74A0585D"/>
    <w:rsid w:val="74BA1345"/>
    <w:rsid w:val="74D13AD5"/>
    <w:rsid w:val="74E50DAE"/>
    <w:rsid w:val="74FA2C30"/>
    <w:rsid w:val="7521699E"/>
    <w:rsid w:val="752C4326"/>
    <w:rsid w:val="752D668A"/>
    <w:rsid w:val="754D5C4B"/>
    <w:rsid w:val="755723C0"/>
    <w:rsid w:val="75D27C98"/>
    <w:rsid w:val="75E82186"/>
    <w:rsid w:val="75FD6934"/>
    <w:rsid w:val="761024BB"/>
    <w:rsid w:val="76183420"/>
    <w:rsid w:val="7630676D"/>
    <w:rsid w:val="764F0490"/>
    <w:rsid w:val="76591EC6"/>
    <w:rsid w:val="766F3739"/>
    <w:rsid w:val="76751ABE"/>
    <w:rsid w:val="76BA0E58"/>
    <w:rsid w:val="76C240A7"/>
    <w:rsid w:val="76CE33B8"/>
    <w:rsid w:val="76D637B8"/>
    <w:rsid w:val="76DA416A"/>
    <w:rsid w:val="76F229C2"/>
    <w:rsid w:val="770E33B0"/>
    <w:rsid w:val="771D13E7"/>
    <w:rsid w:val="77336515"/>
    <w:rsid w:val="774B7D02"/>
    <w:rsid w:val="775246B7"/>
    <w:rsid w:val="776D5ECB"/>
    <w:rsid w:val="77705C44"/>
    <w:rsid w:val="7772528F"/>
    <w:rsid w:val="77BA09E4"/>
    <w:rsid w:val="77DC4DFE"/>
    <w:rsid w:val="780A719E"/>
    <w:rsid w:val="781E69D1"/>
    <w:rsid w:val="78395DAD"/>
    <w:rsid w:val="78914753"/>
    <w:rsid w:val="78957D19"/>
    <w:rsid w:val="78B90C9C"/>
    <w:rsid w:val="78B95140"/>
    <w:rsid w:val="78BD30E4"/>
    <w:rsid w:val="78E81581"/>
    <w:rsid w:val="7901747F"/>
    <w:rsid w:val="7908420F"/>
    <w:rsid w:val="79781D2E"/>
    <w:rsid w:val="798E4CA2"/>
    <w:rsid w:val="79AD7444"/>
    <w:rsid w:val="79C36276"/>
    <w:rsid w:val="79E32474"/>
    <w:rsid w:val="7A0B6B44"/>
    <w:rsid w:val="7A263B6B"/>
    <w:rsid w:val="7A2B5BC9"/>
    <w:rsid w:val="7A3C7DD6"/>
    <w:rsid w:val="7A454EDD"/>
    <w:rsid w:val="7A650681"/>
    <w:rsid w:val="7A7A34B3"/>
    <w:rsid w:val="7AA1584C"/>
    <w:rsid w:val="7AD87333"/>
    <w:rsid w:val="7AEF309B"/>
    <w:rsid w:val="7AF46346"/>
    <w:rsid w:val="7AF53DCD"/>
    <w:rsid w:val="7B0F5EBF"/>
    <w:rsid w:val="7B130FB9"/>
    <w:rsid w:val="7B324450"/>
    <w:rsid w:val="7B4F1915"/>
    <w:rsid w:val="7B5A4FB8"/>
    <w:rsid w:val="7B5B0730"/>
    <w:rsid w:val="7B656EB9"/>
    <w:rsid w:val="7B705F89"/>
    <w:rsid w:val="7BD32BE2"/>
    <w:rsid w:val="7BD71E38"/>
    <w:rsid w:val="7BD826EA"/>
    <w:rsid w:val="7BDF6C6B"/>
    <w:rsid w:val="7BE84708"/>
    <w:rsid w:val="7BEE62DE"/>
    <w:rsid w:val="7BF64EDE"/>
    <w:rsid w:val="7C09018C"/>
    <w:rsid w:val="7C400C1E"/>
    <w:rsid w:val="7C4128C5"/>
    <w:rsid w:val="7C75137E"/>
    <w:rsid w:val="7CBE0F77"/>
    <w:rsid w:val="7CF8403B"/>
    <w:rsid w:val="7D0C419B"/>
    <w:rsid w:val="7D181A6A"/>
    <w:rsid w:val="7D3D633F"/>
    <w:rsid w:val="7D513B99"/>
    <w:rsid w:val="7D537911"/>
    <w:rsid w:val="7D80675E"/>
    <w:rsid w:val="7D8F476B"/>
    <w:rsid w:val="7D951CD7"/>
    <w:rsid w:val="7DA03048"/>
    <w:rsid w:val="7DA37C8F"/>
    <w:rsid w:val="7DD11708"/>
    <w:rsid w:val="7DEE4A4F"/>
    <w:rsid w:val="7E036801"/>
    <w:rsid w:val="7E1339DF"/>
    <w:rsid w:val="7E171E3C"/>
    <w:rsid w:val="7E2412AD"/>
    <w:rsid w:val="7E3358F5"/>
    <w:rsid w:val="7E402F77"/>
    <w:rsid w:val="7EAE6230"/>
    <w:rsid w:val="7EBD579E"/>
    <w:rsid w:val="7EC167BD"/>
    <w:rsid w:val="7ECA3C03"/>
    <w:rsid w:val="7ED14F91"/>
    <w:rsid w:val="7EFE4FFA"/>
    <w:rsid w:val="7F0E3631"/>
    <w:rsid w:val="7F272D9E"/>
    <w:rsid w:val="7F823E73"/>
    <w:rsid w:val="7F961332"/>
    <w:rsid w:val="7FA206DC"/>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nhideWhenUsed="0" w:uiPriority="0"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qFormat="1" w:unhideWhenUsed="0" w:uiPriority="9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autoRedefine/>
    <w:qFormat/>
    <w:uiPriority w:val="9"/>
    <w:pPr>
      <w:keepNext/>
      <w:keepLines/>
      <w:spacing w:before="340" w:after="330" w:line="578" w:lineRule="auto"/>
      <w:jc w:val="center"/>
      <w:outlineLvl w:val="0"/>
    </w:pPr>
    <w:rPr>
      <w:b/>
      <w:bCs/>
      <w:kern w:val="44"/>
      <w:sz w:val="36"/>
      <w:szCs w:val="44"/>
    </w:rPr>
  </w:style>
  <w:style w:type="paragraph" w:styleId="3">
    <w:name w:val="heading 2"/>
    <w:basedOn w:val="1"/>
    <w:next w:val="1"/>
    <w:link w:val="4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kern w:val="0"/>
      <w:sz w:val="32"/>
      <w:szCs w:val="32"/>
    </w:rPr>
  </w:style>
  <w:style w:type="paragraph" w:styleId="5">
    <w:name w:val="heading 4"/>
    <w:basedOn w:val="1"/>
    <w:next w:val="1"/>
    <w:autoRedefine/>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7"/>
    <w:link w:val="42"/>
    <w:autoRedefine/>
    <w:qFormat/>
    <w:uiPriority w:val="9"/>
    <w:pPr>
      <w:keepNext/>
      <w:keepLines/>
      <w:spacing w:before="280" w:after="290" w:line="376" w:lineRule="auto"/>
      <w:outlineLvl w:val="4"/>
    </w:pPr>
    <w:rPr>
      <w:b/>
      <w:bCs/>
      <w:sz w:val="28"/>
      <w:szCs w:val="28"/>
    </w:rPr>
  </w:style>
  <w:style w:type="paragraph" w:styleId="8">
    <w:name w:val="heading 7"/>
    <w:basedOn w:val="1"/>
    <w:next w:val="1"/>
    <w:link w:val="43"/>
    <w:autoRedefine/>
    <w:qFormat/>
    <w:uiPriority w:val="0"/>
    <w:pPr>
      <w:keepNext/>
      <w:keepLines/>
      <w:spacing w:before="240" w:after="64" w:line="320" w:lineRule="auto"/>
      <w:outlineLvl w:val="6"/>
    </w:pPr>
    <w:rPr>
      <w:b/>
      <w:bCs/>
      <w:sz w:val="24"/>
    </w:rPr>
  </w:style>
  <w:style w:type="paragraph" w:styleId="9">
    <w:name w:val="heading 8"/>
    <w:basedOn w:val="1"/>
    <w:next w:val="1"/>
    <w:link w:val="44"/>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10">
    <w:name w:val="index 8"/>
    <w:basedOn w:val="1"/>
    <w:next w:val="1"/>
    <w:autoRedefine/>
    <w:qFormat/>
    <w:uiPriority w:val="0"/>
    <w:pPr>
      <w:ind w:left="2940"/>
    </w:pPr>
  </w:style>
  <w:style w:type="paragraph" w:styleId="11">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2">
    <w:name w:val="caption"/>
    <w:basedOn w:val="1"/>
    <w:next w:val="1"/>
    <w:autoRedefine/>
    <w:qFormat/>
    <w:uiPriority w:val="0"/>
    <w:pPr>
      <w:spacing w:before="152" w:after="160"/>
    </w:pPr>
    <w:rPr>
      <w:rFonts w:ascii="Arial" w:hAnsi="Arial" w:eastAsia="黑体" w:cs="Arial"/>
      <w:sz w:val="20"/>
      <w:szCs w:val="20"/>
    </w:rPr>
  </w:style>
  <w:style w:type="paragraph" w:styleId="13">
    <w:name w:val="annotation text"/>
    <w:basedOn w:val="1"/>
    <w:link w:val="45"/>
    <w:autoRedefine/>
    <w:qFormat/>
    <w:uiPriority w:val="0"/>
    <w:pPr>
      <w:jc w:val="left"/>
    </w:pPr>
  </w:style>
  <w:style w:type="paragraph" w:styleId="14">
    <w:name w:val="Body Text 3"/>
    <w:basedOn w:val="1"/>
    <w:link w:val="46"/>
    <w:autoRedefine/>
    <w:unhideWhenUsed/>
    <w:qFormat/>
    <w:uiPriority w:val="99"/>
    <w:pPr>
      <w:spacing w:after="120"/>
    </w:pPr>
    <w:rPr>
      <w:sz w:val="16"/>
      <w:szCs w:val="16"/>
    </w:rPr>
  </w:style>
  <w:style w:type="paragraph" w:styleId="15">
    <w:name w:val="Body Text"/>
    <w:basedOn w:val="1"/>
    <w:next w:val="16"/>
    <w:link w:val="47"/>
    <w:autoRedefine/>
    <w:unhideWhenUsed/>
    <w:qFormat/>
    <w:uiPriority w:val="0"/>
    <w:pPr>
      <w:spacing w:after="120"/>
    </w:pPr>
  </w:style>
  <w:style w:type="paragraph" w:styleId="16">
    <w:name w:val="Body Text First Indent"/>
    <w:basedOn w:val="15"/>
    <w:next w:val="17"/>
    <w:autoRedefine/>
    <w:unhideWhenUsed/>
    <w:qFormat/>
    <w:uiPriority w:val="99"/>
    <w:pPr>
      <w:ind w:firstLine="420" w:firstLineChars="100"/>
    </w:pPr>
  </w:style>
  <w:style w:type="paragraph" w:styleId="17">
    <w:name w:val="toc 6"/>
    <w:basedOn w:val="1"/>
    <w:next w:val="1"/>
    <w:autoRedefine/>
    <w:semiHidden/>
    <w:qFormat/>
    <w:uiPriority w:val="99"/>
    <w:pPr>
      <w:ind w:left="2100" w:leftChars="1000"/>
    </w:pPr>
  </w:style>
  <w:style w:type="paragraph" w:styleId="18">
    <w:name w:val="Body Text Indent"/>
    <w:basedOn w:val="1"/>
    <w:link w:val="48"/>
    <w:autoRedefine/>
    <w:qFormat/>
    <w:uiPriority w:val="0"/>
    <w:pPr>
      <w:ind w:firstLine="830" w:firstLineChars="352"/>
    </w:pPr>
    <w:rPr>
      <w:rFonts w:ascii="仿宋_GB2312" w:eastAsia="仿宋_GB2312"/>
      <w:kern w:val="0"/>
      <w:sz w:val="32"/>
      <w:szCs w:val="20"/>
    </w:rPr>
  </w:style>
  <w:style w:type="paragraph" w:styleId="19">
    <w:name w:val="List 2"/>
    <w:basedOn w:val="1"/>
    <w:autoRedefine/>
    <w:unhideWhenUsed/>
    <w:qFormat/>
    <w:uiPriority w:val="99"/>
    <w:pPr>
      <w:ind w:left="100" w:leftChars="200" w:hanging="200" w:hangingChars="200"/>
      <w:contextualSpacing/>
    </w:pPr>
  </w:style>
  <w:style w:type="paragraph" w:styleId="20">
    <w:name w:val="Plain Text"/>
    <w:basedOn w:val="1"/>
    <w:next w:val="1"/>
    <w:link w:val="49"/>
    <w:autoRedefine/>
    <w:qFormat/>
    <w:uiPriority w:val="0"/>
    <w:rPr>
      <w:rFonts w:ascii="宋体" w:hAnsi="Courier New"/>
      <w:kern w:val="0"/>
      <w:sz w:val="20"/>
      <w:szCs w:val="21"/>
    </w:rPr>
  </w:style>
  <w:style w:type="paragraph" w:styleId="21">
    <w:name w:val="Date"/>
    <w:basedOn w:val="1"/>
    <w:next w:val="1"/>
    <w:link w:val="50"/>
    <w:autoRedefine/>
    <w:unhideWhenUsed/>
    <w:qFormat/>
    <w:uiPriority w:val="99"/>
    <w:pPr>
      <w:ind w:left="100" w:leftChars="2500"/>
    </w:pPr>
  </w:style>
  <w:style w:type="paragraph" w:styleId="22">
    <w:name w:val="Balloon Text"/>
    <w:basedOn w:val="1"/>
    <w:autoRedefine/>
    <w:semiHidden/>
    <w:qFormat/>
    <w:uiPriority w:val="0"/>
    <w:rPr>
      <w:sz w:val="18"/>
      <w:szCs w:val="18"/>
    </w:rPr>
  </w:style>
  <w:style w:type="paragraph" w:styleId="23">
    <w:name w:val="footer"/>
    <w:basedOn w:val="1"/>
    <w:link w:val="51"/>
    <w:autoRedefine/>
    <w:unhideWhenUsed/>
    <w:qFormat/>
    <w:uiPriority w:val="0"/>
    <w:pPr>
      <w:tabs>
        <w:tab w:val="center" w:pos="4153"/>
        <w:tab w:val="right" w:pos="8306"/>
      </w:tabs>
      <w:snapToGrid w:val="0"/>
      <w:jc w:val="left"/>
    </w:pPr>
    <w:rPr>
      <w:kern w:val="0"/>
      <w:sz w:val="18"/>
      <w:szCs w:val="18"/>
    </w:rPr>
  </w:style>
  <w:style w:type="paragraph" w:styleId="24">
    <w:name w:val="header"/>
    <w:basedOn w:val="1"/>
    <w:link w:val="52"/>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autoRedefine/>
    <w:unhideWhenUsed/>
    <w:qFormat/>
    <w:uiPriority w:val="39"/>
  </w:style>
  <w:style w:type="paragraph" w:styleId="26">
    <w:name w:val="toc 2"/>
    <w:basedOn w:val="1"/>
    <w:next w:val="1"/>
    <w:autoRedefine/>
    <w:unhideWhenUsed/>
    <w:qFormat/>
    <w:uiPriority w:val="39"/>
    <w:pPr>
      <w:tabs>
        <w:tab w:val="right" w:leader="dot" w:pos="8296"/>
      </w:tabs>
      <w:ind w:left="420" w:leftChars="200"/>
    </w:pPr>
  </w:style>
  <w:style w:type="paragraph" w:styleId="27">
    <w:name w:val="Body Text 2"/>
    <w:basedOn w:val="1"/>
    <w:next w:val="15"/>
    <w:autoRedefine/>
    <w:qFormat/>
    <w:uiPriority w:val="0"/>
    <w:pPr>
      <w:spacing w:line="480" w:lineRule="auto"/>
    </w:pPr>
    <w:rPr>
      <w:kern w:val="0"/>
      <w:sz w:val="20"/>
    </w:rPr>
  </w:style>
  <w:style w:type="paragraph" w:styleId="28">
    <w:name w:val="Normal (Web)"/>
    <w:basedOn w:val="1"/>
    <w:autoRedefine/>
    <w:unhideWhenUsed/>
    <w:qFormat/>
    <w:uiPriority w:val="99"/>
    <w:rPr>
      <w:rFonts w:ascii="Calibri" w:hAnsi="Calibri"/>
      <w:kern w:val="0"/>
      <w:sz w:val="24"/>
    </w:rPr>
  </w:style>
  <w:style w:type="paragraph" w:styleId="29">
    <w:name w:val="Title"/>
    <w:basedOn w:val="1"/>
    <w:next w:val="1"/>
    <w:autoRedefine/>
    <w:qFormat/>
    <w:uiPriority w:val="0"/>
    <w:pPr>
      <w:spacing w:before="60" w:after="120" w:line="560" w:lineRule="exact"/>
      <w:jc w:val="center"/>
      <w:outlineLvl w:val="0"/>
    </w:pPr>
    <w:rPr>
      <w:rFonts w:eastAsia="方正小标宋简体"/>
      <w:bCs/>
      <w:sz w:val="44"/>
      <w:szCs w:val="32"/>
    </w:rPr>
  </w:style>
  <w:style w:type="paragraph" w:styleId="30">
    <w:name w:val="annotation subject"/>
    <w:basedOn w:val="13"/>
    <w:next w:val="13"/>
    <w:link w:val="53"/>
    <w:autoRedefine/>
    <w:qFormat/>
    <w:uiPriority w:val="99"/>
    <w:rPr>
      <w:b/>
      <w:bCs/>
    </w:rPr>
  </w:style>
  <w:style w:type="paragraph" w:styleId="31">
    <w:name w:val="Body Text First Indent 2"/>
    <w:basedOn w:val="18"/>
    <w:next w:val="1"/>
    <w:autoRedefine/>
    <w:qFormat/>
    <w:uiPriority w:val="0"/>
    <w:pPr>
      <w:spacing w:line="360" w:lineRule="auto"/>
      <w:ind w:firstLine="0"/>
    </w:pPr>
    <w:rPr>
      <w:sz w:val="24"/>
    </w:rPr>
  </w:style>
  <w:style w:type="table" w:styleId="33">
    <w:name w:val="Table Grid"/>
    <w:basedOn w:val="3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autoRedefine/>
    <w:unhideWhenUsed/>
    <w:qFormat/>
    <w:uiPriority w:val="99"/>
    <w:rPr>
      <w:vertAlign w:val="superscript"/>
    </w:rPr>
  </w:style>
  <w:style w:type="character" w:styleId="36">
    <w:name w:val="Hyperlink"/>
    <w:autoRedefine/>
    <w:unhideWhenUsed/>
    <w:qFormat/>
    <w:uiPriority w:val="99"/>
    <w:rPr>
      <w:color w:val="0000FF"/>
      <w:u w:val="single"/>
    </w:rPr>
  </w:style>
  <w:style w:type="character" w:styleId="37">
    <w:name w:val="annotation reference"/>
    <w:autoRedefine/>
    <w:qFormat/>
    <w:uiPriority w:val="0"/>
    <w:rPr>
      <w:sz w:val="21"/>
      <w:szCs w:val="21"/>
    </w:rPr>
  </w:style>
  <w:style w:type="paragraph" w:customStyle="1" w:styleId="38">
    <w:name w:val="目录 81"/>
    <w:next w:val="1"/>
    <w:autoRedefine/>
    <w:qFormat/>
    <w:uiPriority w:val="0"/>
    <w:pPr>
      <w:wordWrap w:val="0"/>
      <w:ind w:left="2975"/>
      <w:jc w:val="both"/>
    </w:pPr>
    <w:rPr>
      <w:rFonts w:ascii="Times New Roman" w:hAnsi="Times New Roman" w:eastAsia="宋体" w:cs="Times New Roman"/>
      <w:sz w:val="21"/>
      <w:szCs w:val="22"/>
      <w:lang w:val="en-US" w:eastAsia="zh-CN" w:bidi="ar-SA"/>
    </w:rPr>
  </w:style>
  <w:style w:type="paragraph" w:customStyle="1" w:styleId="39">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40">
    <w:name w:val="标题 1 Char"/>
    <w:link w:val="2"/>
    <w:autoRedefine/>
    <w:qFormat/>
    <w:uiPriority w:val="9"/>
    <w:rPr>
      <w:rFonts w:ascii="Times New Roman" w:hAnsi="Times New Roman" w:eastAsia="宋体"/>
      <w:b/>
      <w:bCs/>
      <w:kern w:val="44"/>
      <w:sz w:val="36"/>
      <w:szCs w:val="44"/>
    </w:rPr>
  </w:style>
  <w:style w:type="character" w:customStyle="1" w:styleId="41">
    <w:name w:val="标题 2 Char1"/>
    <w:link w:val="3"/>
    <w:autoRedefine/>
    <w:qFormat/>
    <w:uiPriority w:val="9"/>
    <w:rPr>
      <w:rFonts w:ascii="Cambria" w:hAnsi="Cambria" w:eastAsia="宋体" w:cs="Times New Roman"/>
      <w:b/>
      <w:bCs/>
      <w:kern w:val="2"/>
      <w:sz w:val="32"/>
      <w:szCs w:val="32"/>
    </w:rPr>
  </w:style>
  <w:style w:type="character" w:customStyle="1" w:styleId="42">
    <w:name w:val="标题 5 Char"/>
    <w:link w:val="6"/>
    <w:autoRedefine/>
    <w:semiHidden/>
    <w:qFormat/>
    <w:uiPriority w:val="9"/>
    <w:rPr>
      <w:rFonts w:ascii="Times New Roman" w:hAnsi="Times New Roman"/>
      <w:b/>
      <w:bCs/>
      <w:kern w:val="2"/>
      <w:sz w:val="28"/>
      <w:szCs w:val="28"/>
    </w:rPr>
  </w:style>
  <w:style w:type="character" w:customStyle="1" w:styleId="43">
    <w:name w:val="标题 7 Char"/>
    <w:link w:val="8"/>
    <w:autoRedefine/>
    <w:qFormat/>
    <w:uiPriority w:val="0"/>
    <w:rPr>
      <w:b/>
      <w:bCs/>
      <w:kern w:val="2"/>
      <w:sz w:val="24"/>
      <w:szCs w:val="24"/>
    </w:rPr>
  </w:style>
  <w:style w:type="character" w:customStyle="1" w:styleId="44">
    <w:name w:val="标题 8 Char1"/>
    <w:link w:val="9"/>
    <w:autoRedefine/>
    <w:semiHidden/>
    <w:qFormat/>
    <w:uiPriority w:val="9"/>
    <w:rPr>
      <w:rFonts w:ascii="等线 Light" w:hAnsi="等线 Light" w:eastAsia="等线 Light" w:cs="Times New Roman"/>
      <w:kern w:val="2"/>
      <w:sz w:val="24"/>
      <w:szCs w:val="24"/>
    </w:rPr>
  </w:style>
  <w:style w:type="character" w:customStyle="1" w:styleId="45">
    <w:name w:val="批注文字 Char1"/>
    <w:link w:val="13"/>
    <w:autoRedefine/>
    <w:qFormat/>
    <w:uiPriority w:val="0"/>
    <w:rPr>
      <w:rFonts w:ascii="Times New Roman" w:hAnsi="Times New Roman"/>
      <w:kern w:val="2"/>
      <w:sz w:val="21"/>
      <w:szCs w:val="24"/>
    </w:rPr>
  </w:style>
  <w:style w:type="character" w:customStyle="1" w:styleId="46">
    <w:name w:val="正文文本 3 Char"/>
    <w:link w:val="14"/>
    <w:autoRedefine/>
    <w:semiHidden/>
    <w:qFormat/>
    <w:uiPriority w:val="99"/>
    <w:rPr>
      <w:kern w:val="2"/>
      <w:sz w:val="16"/>
      <w:szCs w:val="16"/>
    </w:rPr>
  </w:style>
  <w:style w:type="character" w:customStyle="1" w:styleId="47">
    <w:name w:val="正文文本 Char1"/>
    <w:link w:val="15"/>
    <w:autoRedefine/>
    <w:qFormat/>
    <w:uiPriority w:val="0"/>
    <w:rPr>
      <w:rFonts w:ascii="Times New Roman" w:hAnsi="Times New Roman"/>
      <w:kern w:val="2"/>
      <w:sz w:val="21"/>
      <w:szCs w:val="24"/>
    </w:rPr>
  </w:style>
  <w:style w:type="character" w:customStyle="1" w:styleId="48">
    <w:name w:val="正文文本缩进 Char"/>
    <w:link w:val="18"/>
    <w:autoRedefine/>
    <w:qFormat/>
    <w:uiPriority w:val="0"/>
    <w:rPr>
      <w:rFonts w:ascii="仿宋_GB2312" w:hAnsi="Times New Roman" w:eastAsia="仿宋_GB2312" w:cs="Times New Roman"/>
      <w:sz w:val="32"/>
      <w:szCs w:val="20"/>
    </w:rPr>
  </w:style>
  <w:style w:type="character" w:customStyle="1" w:styleId="49">
    <w:name w:val="纯文本 Char1"/>
    <w:link w:val="20"/>
    <w:autoRedefine/>
    <w:qFormat/>
    <w:uiPriority w:val="0"/>
    <w:rPr>
      <w:rFonts w:ascii="宋体" w:hAnsi="Courier New" w:eastAsia="宋体" w:cs="Courier New"/>
      <w:szCs w:val="21"/>
    </w:rPr>
  </w:style>
  <w:style w:type="character" w:customStyle="1" w:styleId="50">
    <w:name w:val="日期 Char"/>
    <w:link w:val="21"/>
    <w:autoRedefine/>
    <w:semiHidden/>
    <w:qFormat/>
    <w:uiPriority w:val="99"/>
    <w:rPr>
      <w:rFonts w:ascii="Times New Roman" w:hAnsi="Times New Roman"/>
      <w:kern w:val="2"/>
      <w:sz w:val="21"/>
      <w:szCs w:val="24"/>
    </w:rPr>
  </w:style>
  <w:style w:type="character" w:customStyle="1" w:styleId="51">
    <w:name w:val="页脚 Char"/>
    <w:link w:val="23"/>
    <w:autoRedefine/>
    <w:qFormat/>
    <w:uiPriority w:val="0"/>
    <w:rPr>
      <w:sz w:val="18"/>
      <w:szCs w:val="18"/>
    </w:rPr>
  </w:style>
  <w:style w:type="character" w:customStyle="1" w:styleId="52">
    <w:name w:val="页眉 Char"/>
    <w:link w:val="24"/>
    <w:autoRedefine/>
    <w:qFormat/>
    <w:uiPriority w:val="99"/>
    <w:rPr>
      <w:sz w:val="18"/>
      <w:szCs w:val="18"/>
    </w:rPr>
  </w:style>
  <w:style w:type="character" w:customStyle="1" w:styleId="53">
    <w:name w:val="批注主题 Char"/>
    <w:link w:val="30"/>
    <w:autoRedefine/>
    <w:qFormat/>
    <w:uiPriority w:val="99"/>
    <w:rPr>
      <w:rFonts w:ascii="Times New Roman" w:hAnsi="Times New Roman"/>
      <w:b/>
      <w:bCs/>
      <w:kern w:val="2"/>
      <w:sz w:val="21"/>
      <w:szCs w:val="24"/>
    </w:rPr>
  </w:style>
  <w:style w:type="paragraph" w:customStyle="1" w:styleId="54">
    <w:name w:val="表格文字"/>
    <w:basedOn w:val="1"/>
    <w:autoRedefine/>
    <w:qFormat/>
    <w:uiPriority w:val="99"/>
    <w:pPr>
      <w:spacing w:before="25" w:after="25"/>
      <w:jc w:val="left"/>
    </w:pPr>
    <w:rPr>
      <w:bCs/>
      <w:spacing w:val="10"/>
      <w:kern w:val="0"/>
      <w:sz w:val="24"/>
    </w:rPr>
  </w:style>
  <w:style w:type="character" w:customStyle="1" w:styleId="55">
    <w:name w:val="标题 1 字符1"/>
    <w:autoRedefine/>
    <w:qFormat/>
    <w:uiPriority w:val="0"/>
    <w:rPr>
      <w:b/>
      <w:bCs/>
      <w:kern w:val="44"/>
      <w:sz w:val="44"/>
      <w:szCs w:val="44"/>
    </w:rPr>
  </w:style>
  <w:style w:type="character" w:customStyle="1" w:styleId="56">
    <w:name w:val="textcontents"/>
    <w:autoRedefine/>
    <w:qFormat/>
    <w:uiPriority w:val="0"/>
  </w:style>
  <w:style w:type="character" w:customStyle="1" w:styleId="57">
    <w:name w:val="批注文字 Char"/>
    <w:autoRedefine/>
    <w:qFormat/>
    <w:uiPriority w:val="0"/>
    <w:rPr>
      <w:rFonts w:ascii="Times New Roman" w:hAnsi="Times New Roman"/>
      <w:kern w:val="2"/>
      <w:sz w:val="21"/>
      <w:szCs w:val="24"/>
    </w:rPr>
  </w:style>
  <w:style w:type="character" w:customStyle="1" w:styleId="58">
    <w:name w:val="纯文本 字符"/>
    <w:autoRedefine/>
    <w:qFormat/>
    <w:uiPriority w:val="0"/>
    <w:rPr>
      <w:rFonts w:ascii="宋体" w:hAnsi="Courier New" w:eastAsia="宋体" w:cs="Courier New"/>
      <w:szCs w:val="21"/>
    </w:rPr>
  </w:style>
  <w:style w:type="character" w:customStyle="1" w:styleId="59">
    <w:name w:val="纯文本 Char"/>
    <w:autoRedefine/>
    <w:qFormat/>
    <w:uiPriority w:val="0"/>
    <w:rPr>
      <w:rFonts w:ascii="宋体" w:hAnsi="Courier New" w:eastAsia="宋体" w:cs="Courier New"/>
      <w:szCs w:val="21"/>
    </w:rPr>
  </w:style>
  <w:style w:type="character" w:customStyle="1" w:styleId="60">
    <w:name w:val="纯文本 字符2"/>
    <w:autoRedefine/>
    <w:qFormat/>
    <w:uiPriority w:val="0"/>
    <w:rPr>
      <w:rFonts w:ascii="宋体" w:hAnsi="Courier New" w:eastAsia="宋体" w:cs="Courier New"/>
      <w:szCs w:val="21"/>
    </w:rPr>
  </w:style>
  <w:style w:type="character" w:customStyle="1" w:styleId="61">
    <w:name w:val="批注文字 字符1"/>
    <w:autoRedefine/>
    <w:qFormat/>
    <w:uiPriority w:val="0"/>
    <w:rPr>
      <w:rFonts w:ascii="Times New Roman" w:hAnsi="Times New Roman"/>
      <w:kern w:val="2"/>
      <w:sz w:val="21"/>
      <w:szCs w:val="24"/>
    </w:rPr>
  </w:style>
  <w:style w:type="character" w:customStyle="1" w:styleId="62">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3">
    <w:name w:val="纯文本 字符1"/>
    <w:autoRedefine/>
    <w:qFormat/>
    <w:uiPriority w:val="0"/>
    <w:rPr>
      <w:rFonts w:ascii="宋体" w:hAnsi="Courier New"/>
    </w:rPr>
  </w:style>
  <w:style w:type="character" w:customStyle="1" w:styleId="64">
    <w:name w:val="正文文本 Char"/>
    <w:autoRedefine/>
    <w:qFormat/>
    <w:uiPriority w:val="0"/>
    <w:rPr>
      <w:rFonts w:ascii="Times New Roman" w:hAnsi="Times New Roman"/>
      <w:kern w:val="2"/>
      <w:sz w:val="21"/>
      <w:szCs w:val="24"/>
    </w:rPr>
  </w:style>
  <w:style w:type="character" w:customStyle="1" w:styleId="65">
    <w:name w:val="批注文字 字符"/>
    <w:autoRedefine/>
    <w:qFormat/>
    <w:uiPriority w:val="0"/>
    <w:rPr>
      <w:rFonts w:ascii="Times New Roman" w:hAnsi="Times New Roman"/>
      <w:kern w:val="2"/>
      <w:sz w:val="21"/>
      <w:szCs w:val="24"/>
    </w:rPr>
  </w:style>
  <w:style w:type="character" w:customStyle="1" w:styleId="66">
    <w:name w:val="标题 2 Char"/>
    <w:autoRedefine/>
    <w:qFormat/>
    <w:uiPriority w:val="9"/>
    <w:rPr>
      <w:rFonts w:ascii="Cambria" w:hAnsi="Cambria" w:eastAsia="宋体" w:cs="Times New Roman"/>
      <w:b/>
      <w:bCs/>
      <w:kern w:val="2"/>
      <w:sz w:val="32"/>
      <w:szCs w:val="32"/>
    </w:rPr>
  </w:style>
  <w:style w:type="character" w:customStyle="1" w:styleId="67">
    <w:name w:val="标题 8 Char"/>
    <w:autoRedefine/>
    <w:qFormat/>
    <w:uiPriority w:val="0"/>
    <w:rPr>
      <w:rFonts w:ascii="Arial" w:hAnsi="Arial" w:eastAsia="黑体"/>
      <w:kern w:val="2"/>
      <w:sz w:val="24"/>
      <w:szCs w:val="24"/>
    </w:rPr>
  </w:style>
  <w:style w:type="character" w:customStyle="1" w:styleId="68">
    <w:name w:val="apple-style-span"/>
    <w:autoRedefine/>
    <w:qFormat/>
    <w:uiPriority w:val="0"/>
  </w:style>
  <w:style w:type="paragraph" w:customStyle="1" w:styleId="69">
    <w:name w:val="默认段落字体 Para Char Char Char Char Char Char Char Char Char1 Char Char Char Char"/>
    <w:basedOn w:val="1"/>
    <w:autoRedefine/>
    <w:qFormat/>
    <w:uiPriority w:val="0"/>
    <w:rPr>
      <w:rFonts w:ascii="Tahoma" w:hAnsi="Tahoma"/>
      <w:sz w:val="24"/>
      <w:szCs w:val="20"/>
    </w:rPr>
  </w:style>
  <w:style w:type="paragraph" w:customStyle="1" w:styleId="70">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71">
    <w:name w:val="List Paragraph"/>
    <w:basedOn w:val="1"/>
    <w:autoRedefine/>
    <w:qFormat/>
    <w:uiPriority w:val="34"/>
    <w:pPr>
      <w:ind w:firstLine="420" w:firstLineChars="200"/>
    </w:pPr>
  </w:style>
  <w:style w:type="paragraph" w:customStyle="1" w:styleId="72">
    <w:name w:val="Table Paragraph"/>
    <w:basedOn w:val="1"/>
    <w:autoRedefine/>
    <w:qFormat/>
    <w:uiPriority w:val="1"/>
    <w:pPr>
      <w:jc w:val="left"/>
    </w:pPr>
    <w:rPr>
      <w:rFonts w:ascii="Calibri" w:hAnsi="Calibri"/>
      <w:kern w:val="0"/>
      <w:sz w:val="22"/>
      <w:szCs w:val="22"/>
      <w:lang w:eastAsia="en-US"/>
    </w:rPr>
  </w:style>
  <w:style w:type="character" w:customStyle="1" w:styleId="73">
    <w:name w:val="正文文本 字符"/>
    <w:autoRedefine/>
    <w:qFormat/>
    <w:uiPriority w:val="0"/>
    <w:rPr>
      <w:rFonts w:ascii="Times New Roman" w:hAnsi="Times New Roman"/>
      <w:kern w:val="2"/>
      <w:sz w:val="21"/>
      <w:szCs w:val="24"/>
    </w:rPr>
  </w:style>
  <w:style w:type="character" w:customStyle="1" w:styleId="74">
    <w:name w:val="批注文字 Char2"/>
    <w:autoRedefine/>
    <w:qFormat/>
    <w:uiPriority w:val="0"/>
    <w:rPr>
      <w:rFonts w:ascii="Times New Roman" w:hAnsi="Times New Roman"/>
      <w:kern w:val="2"/>
      <w:sz w:val="21"/>
      <w:szCs w:val="24"/>
    </w:rPr>
  </w:style>
  <w:style w:type="paragraph" w:customStyle="1" w:styleId="75">
    <w:name w:val="样式 正文缩进正文（首行缩进两字）首行缩进两字 + 首行缩进:  2 字符1"/>
    <w:basedOn w:val="7"/>
    <w:autoRedefine/>
    <w:qFormat/>
    <w:uiPriority w:val="0"/>
    <w:pPr>
      <w:autoSpaceDE w:val="0"/>
      <w:autoSpaceDN w:val="0"/>
      <w:spacing w:beforeLines="50" w:afterLines="50" w:line="500" w:lineRule="exact"/>
      <w:ind w:firstLine="200"/>
      <w:jc w:val="left"/>
    </w:pPr>
    <w:rPr>
      <w:rFonts w:ascii="楷体_GB2312" w:eastAsia="楷体_GB2312"/>
      <w:color w:val="000000"/>
      <w:kern w:val="0"/>
      <w:sz w:val="28"/>
    </w:rPr>
  </w:style>
  <w:style w:type="paragraph" w:customStyle="1" w:styleId="76">
    <w:name w:val="列出段落3"/>
    <w:basedOn w:val="1"/>
    <w:autoRedefine/>
    <w:qFormat/>
    <w:uiPriority w:val="0"/>
    <w:pPr>
      <w:widowControl/>
      <w:spacing w:line="400" w:lineRule="exact"/>
      <w:ind w:firstLine="420" w:firstLineChars="200"/>
      <w:jc w:val="left"/>
    </w:pPr>
  </w:style>
  <w:style w:type="paragraph" w:customStyle="1" w:styleId="77">
    <w:name w:val="正文文本2"/>
    <w:basedOn w:val="1"/>
    <w:autoRedefine/>
    <w:qFormat/>
    <w:uiPriority w:val="0"/>
    <w:pPr>
      <w:shd w:val="clear" w:color="auto" w:fill="FFFFFF"/>
      <w:spacing w:after="300" w:line="0" w:lineRule="atLeast"/>
    </w:pPr>
    <w:rPr>
      <w:rFonts w:ascii="MingLiU" w:hAnsi="MingLiU" w:eastAsia="MingLiU"/>
      <w:color w:val="000000"/>
      <w:kern w:val="0"/>
      <w:sz w:val="22"/>
      <w:szCs w:val="22"/>
      <w:shd w:val="clear" w:color="auto" w:fill="FFFFFF"/>
      <w:lang w:val="zh-TW"/>
    </w:rPr>
  </w:style>
  <w:style w:type="paragraph" w:customStyle="1" w:styleId="78">
    <w:name w:val="列出段落1"/>
    <w:autoRedefine/>
    <w:qFormat/>
    <w:uiPriority w:val="0"/>
    <w:pPr>
      <w:ind w:firstLine="200" w:firstLineChars="200"/>
    </w:pPr>
    <w:rPr>
      <w:rFonts w:ascii="Calibri" w:hAnsi="Calibri" w:eastAsia="宋体" w:cs="Times New Roman"/>
      <w:kern w:val="2"/>
      <w:sz w:val="21"/>
      <w:szCs w:val="22"/>
      <w:lang w:val="en-US" w:eastAsia="zh-CN" w:bidi="ar-SA"/>
    </w:rPr>
  </w:style>
  <w:style w:type="table" w:customStyle="1" w:styleId="79">
    <w:name w:val="Table Normal"/>
    <w:autoRedefine/>
    <w:unhideWhenUsed/>
    <w:qFormat/>
    <w:uiPriority w:val="0"/>
    <w:tblPr>
      <w:tblCellMar>
        <w:top w:w="0" w:type="dxa"/>
        <w:left w:w="0" w:type="dxa"/>
        <w:bottom w:w="0" w:type="dxa"/>
        <w:right w:w="0" w:type="dxa"/>
      </w:tblCellMar>
    </w:tblPr>
  </w:style>
  <w:style w:type="paragraph" w:customStyle="1" w:styleId="80">
    <w:name w:val="正文文本首行缩进1"/>
    <w:basedOn w:val="15"/>
    <w:autoRedefine/>
    <w:qFormat/>
    <w:uiPriority w:val="0"/>
    <w:pPr>
      <w:ind w:firstLine="100" w:firstLineChars="100"/>
    </w:pPr>
  </w:style>
  <w:style w:type="paragraph" w:customStyle="1" w:styleId="81">
    <w:name w:val="Table Text"/>
    <w:basedOn w:val="1"/>
    <w:autoRedefine/>
    <w:semiHidden/>
    <w:qFormat/>
    <w:uiPriority w:val="0"/>
    <w:rPr>
      <w:rFonts w:ascii="宋体" w:hAnsi="宋体" w:cs="宋体"/>
      <w:sz w:val="24"/>
      <w:lang w:eastAsia="en-US"/>
    </w:rPr>
  </w:style>
  <w:style w:type="table" w:customStyle="1" w:styleId="82">
    <w:name w:val="网格型1"/>
    <w:basedOn w:val="32"/>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3">
    <w:name w:val="正文缩进2"/>
    <w:autoRedefine/>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84">
    <w:name w:val="正文@中勤招标"/>
    <w:basedOn w:val="1"/>
    <w:autoRedefine/>
    <w:qFormat/>
    <w:uiPriority w:val="0"/>
    <w:pPr>
      <w:adjustRightInd w:val="0"/>
      <w:spacing w:line="360" w:lineRule="auto"/>
      <w:ind w:firstLine="200" w:firstLineChars="200"/>
    </w:pPr>
    <w:rPr>
      <w:rFonts w:ascii="宋体" w:hAnsi="宋体"/>
      <w:sz w:val="24"/>
      <w:szCs w:val="21"/>
      <w:lang w:eastAsia="zh-Hans"/>
    </w:rPr>
  </w:style>
  <w:style w:type="paragraph" w:customStyle="1" w:styleId="85">
    <w:name w:val="小标题"/>
    <w:basedOn w:val="1"/>
    <w:autoRedefine/>
    <w:qFormat/>
    <w:uiPriority w:val="0"/>
    <w:pPr>
      <w:numPr>
        <w:ilvl w:val="0"/>
        <w:numId w:val="1"/>
      </w:numPr>
      <w:spacing w:line="360" w:lineRule="auto"/>
    </w:pPr>
    <w:rPr>
      <w:sz w:val="24"/>
    </w:rPr>
  </w:style>
  <w:style w:type="paragraph" w:customStyle="1" w:styleId="86">
    <w:name w:val="BodyText"/>
    <w:basedOn w:val="1"/>
    <w:autoRedefine/>
    <w:qFormat/>
    <w:uiPriority w:val="0"/>
    <w:pPr>
      <w:spacing w:line="380" w:lineRule="exact"/>
      <w:textAlignment w:val="baseline"/>
    </w:pPr>
    <w:rPr>
      <w:kern w:val="0"/>
      <w:sz w:val="24"/>
    </w:rPr>
  </w:style>
  <w:style w:type="character" w:customStyle="1" w:styleId="87">
    <w:name w:val="font11"/>
    <w:basedOn w:val="34"/>
    <w:qFormat/>
    <w:uiPriority w:val="0"/>
    <w:rPr>
      <w:rFonts w:hint="eastAsia" w:ascii="宋体" w:hAnsi="宋体" w:eastAsia="宋体" w:cs="宋体"/>
      <w:b/>
      <w:bCs/>
      <w:color w:val="000000"/>
      <w:sz w:val="20"/>
      <w:szCs w:val="20"/>
      <w:u w:val="none"/>
    </w:rPr>
  </w:style>
  <w:style w:type="character" w:customStyle="1" w:styleId="88">
    <w:name w:val="font21"/>
    <w:basedOn w:val="34"/>
    <w:qFormat/>
    <w:uiPriority w:val="0"/>
    <w:rPr>
      <w:rFonts w:hint="eastAsia" w:ascii="宋体" w:hAnsi="宋体" w:eastAsia="宋体" w:cs="宋体"/>
      <w:color w:val="000000"/>
      <w:sz w:val="20"/>
      <w:szCs w:val="20"/>
      <w:u w:val="none"/>
    </w:rPr>
  </w:style>
  <w:style w:type="character" w:customStyle="1" w:styleId="89">
    <w:name w:val="font51"/>
    <w:basedOn w:val="34"/>
    <w:qFormat/>
    <w:uiPriority w:val="0"/>
    <w:rPr>
      <w:rFonts w:hint="default" w:ascii="Times New Roman" w:hAnsi="Times New Roman" w:cs="Times New Roman"/>
      <w:color w:val="000000"/>
      <w:sz w:val="20"/>
      <w:szCs w:val="20"/>
      <w:u w:val="none"/>
    </w:rPr>
  </w:style>
  <w:style w:type="character" w:customStyle="1" w:styleId="90">
    <w:name w:val="font41"/>
    <w:basedOn w:val="3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广西国泰招标</Company>
  <Pages>119</Pages>
  <Words>7279</Words>
  <Characters>8059</Characters>
  <Lines>617</Lines>
  <Paragraphs>173</Paragraphs>
  <TotalTime>60</TotalTime>
  <ScaleCrop>false</ScaleCrop>
  <LinksUpToDate>false</LinksUpToDate>
  <CharactersWithSpaces>8245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2025-04-15T08:30:00Z</dcterms:created>
  <dc:creator>广西国泰招标</dc:creator>
  <cp:lastModifiedBy>Administrator</cp:lastModifiedBy>
  <cp:lastPrinted>2025-04-22T02:08:00Z</cp:lastPrinted>
  <dcterms:modified xsi:type="dcterms:W3CDTF">2025-04-23T02:21:03Z</dcterms:modified>
  <dc:title>竞争性谈判文件规范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A74BC0B03C404D55B198F8AE4320E9C3_13</vt:lpwstr>
  </property>
  <property fmtid="{D5CDD505-2E9C-101B-9397-08002B2CF9AE}" pid="4" name="KSOTemplateDocerSaveRecord">
    <vt:lpwstr>eyJoZGlkIjoiYmZiNzg2NzY5NzM5NWYzYjBlNTA3MTIyZDljZTlhZmEifQ==</vt:lpwstr>
  </property>
</Properties>
</file>