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81EC4">
      <w:pPr>
        <w:pStyle w:val="19"/>
        <w:jc w:val="center"/>
        <w:rPr>
          <w:rFonts w:hAnsi="宋体" w:cs="宋体"/>
          <w:color w:val="auto"/>
          <w:spacing w:val="30"/>
          <w:kern w:val="52"/>
          <w:sz w:val="64"/>
          <w:szCs w:val="64"/>
          <w:highlight w:val="none"/>
        </w:rPr>
      </w:pPr>
      <w:r>
        <w:rPr>
          <w:rFonts w:hint="eastAsia" w:hAnsi="宋体" w:cs="宋体"/>
          <w:color w:val="auto"/>
          <w:highlight w:val="none"/>
        </w:rPr>
        <w:drawing>
          <wp:inline distT="0" distB="0" distL="114300" distR="114300">
            <wp:extent cx="1031875" cy="965835"/>
            <wp:effectExtent l="0" t="0" r="15875" b="5715"/>
            <wp:docPr id="2" name="图片 1"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泰标志"/>
                    <pic:cNvPicPr>
                      <a:picLocks noChangeAspect="1"/>
                    </pic:cNvPicPr>
                  </pic:nvPicPr>
                  <pic:blipFill>
                    <a:blip r:embed="rId10" cstate="print"/>
                    <a:stretch>
                      <a:fillRect/>
                    </a:stretch>
                  </pic:blipFill>
                  <pic:spPr>
                    <a:xfrm>
                      <a:off x="0" y="0"/>
                      <a:ext cx="1031875" cy="965835"/>
                    </a:xfrm>
                    <a:prstGeom prst="rect">
                      <a:avLst/>
                    </a:prstGeom>
                    <a:noFill/>
                    <a:ln>
                      <a:noFill/>
                    </a:ln>
                  </pic:spPr>
                </pic:pic>
              </a:graphicData>
            </a:graphic>
          </wp:inline>
        </w:drawing>
      </w:r>
    </w:p>
    <w:p w14:paraId="397D0760">
      <w:pPr>
        <w:pStyle w:val="19"/>
        <w:jc w:val="center"/>
        <w:rPr>
          <w:rFonts w:hAnsi="宋体" w:cs="宋体"/>
          <w:color w:val="auto"/>
          <w:spacing w:val="30"/>
          <w:kern w:val="52"/>
          <w:sz w:val="64"/>
          <w:szCs w:val="64"/>
          <w:highlight w:val="none"/>
        </w:rPr>
      </w:pPr>
      <w:r>
        <w:rPr>
          <w:rFonts w:hint="eastAsia" w:hAnsi="宋体" w:cs="宋体"/>
          <w:color w:val="auto"/>
          <w:spacing w:val="30"/>
          <w:kern w:val="52"/>
          <w:sz w:val="64"/>
          <w:szCs w:val="64"/>
          <w:highlight w:val="none"/>
        </w:rPr>
        <w:t>广西国泰招标咨询有限公司</w:t>
      </w:r>
    </w:p>
    <w:p w14:paraId="015B450E">
      <w:pPr>
        <w:pStyle w:val="19"/>
        <w:jc w:val="center"/>
        <w:rPr>
          <w:rFonts w:hAnsi="宋体" w:cs="宋体"/>
          <w:b/>
          <w:color w:val="auto"/>
          <w:sz w:val="44"/>
          <w:szCs w:val="44"/>
          <w:highlight w:val="none"/>
        </w:rPr>
      </w:pPr>
      <w:r>
        <w:rPr>
          <w:rFonts w:hAnsi="宋体" w:cs="宋体"/>
          <w:b/>
          <w:color w:val="auto"/>
          <w:spacing w:val="-18"/>
          <w:sz w:val="64"/>
          <w:szCs w:val="64"/>
          <w:highlight w:val="none"/>
        </w:rPr>
        <w:pict>
          <v:line id="_x0000_s1026" o:spid="_x0000_s1026" o:spt="20" style="position:absolute;left:0pt;margin-left:9pt;margin-top:7.8pt;height:0pt;width:432pt;z-index:251659264;mso-width-relative:page;mso-height-relative:page;"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awUM&#10;1AAAAAgBAAAPAAAAAAAAAAEAIAAAACIAAABkcnMvZG93bnJldi54bWxQSwECFAAUAAAACACHTuJA&#10;a+11dOwBAADqAwAADgAAAAAAAAABACAAAAAjAQAAZHJzL2Uyb0RvYy54bWxQSwUGAAAAAAYABgBZ&#10;AQAAgQUAAAAA&#10;">
            <v:path arrowok="t"/>
            <v:fill focussize="0,0"/>
            <v:stroke weight="1pt"/>
            <v:imagedata o:title=""/>
            <o:lock v:ext="edit"/>
          </v:line>
        </w:pict>
      </w:r>
    </w:p>
    <w:p w14:paraId="153E68E2">
      <w:pPr>
        <w:snapToGrid w:val="0"/>
        <w:spacing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7D275040">
      <w:pPr>
        <w:snapToGrid w:val="0"/>
        <w:spacing w:line="360" w:lineRule="auto"/>
        <w:rPr>
          <w:rFonts w:ascii="宋体" w:hAnsi="宋体" w:cs="宋体"/>
          <w:b/>
          <w:color w:val="auto"/>
          <w:sz w:val="48"/>
          <w:szCs w:val="48"/>
          <w:highlight w:val="none"/>
        </w:rPr>
      </w:pPr>
    </w:p>
    <w:p w14:paraId="74F21EBD">
      <w:pPr>
        <w:pStyle w:val="19"/>
        <w:snapToGrid w:val="0"/>
        <w:spacing w:line="360" w:lineRule="auto"/>
        <w:ind w:firstLine="1205" w:firstLineChars="400"/>
        <w:rPr>
          <w:rFonts w:hAnsi="宋体" w:cs="宋体"/>
          <w:b/>
          <w:bCs/>
          <w:color w:val="auto"/>
          <w:sz w:val="30"/>
          <w:szCs w:val="30"/>
          <w:highlight w:val="none"/>
        </w:rPr>
      </w:pPr>
    </w:p>
    <w:p w14:paraId="19C2282C">
      <w:pPr>
        <w:pStyle w:val="19"/>
        <w:snapToGrid w:val="0"/>
        <w:spacing w:line="360" w:lineRule="auto"/>
        <w:ind w:left="1792" w:leftChars="710" w:hanging="301" w:hangingChars="100"/>
        <w:rPr>
          <w:rFonts w:hAnsi="宋体" w:cs="宋体"/>
          <w:b/>
          <w:bCs/>
          <w:color w:val="auto"/>
          <w:sz w:val="30"/>
          <w:szCs w:val="30"/>
          <w:highlight w:val="none"/>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color w:val="auto"/>
          <w:sz w:val="32"/>
          <w:szCs w:val="32"/>
          <w:highlight w:val="none"/>
        </w:rPr>
        <w:t>2025-2026年车辆租赁服务采购</w:t>
      </w:r>
    </w:p>
    <w:p w14:paraId="30F335BF">
      <w:pPr>
        <w:pStyle w:val="19"/>
        <w:snapToGrid w:val="0"/>
        <w:spacing w:line="360" w:lineRule="auto"/>
        <w:ind w:firstLine="1506" w:firstLine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color w:val="auto"/>
          <w:sz w:val="32"/>
          <w:szCs w:val="32"/>
          <w:highlight w:val="none"/>
          <w:lang w:eastAsia="zh-CN"/>
        </w:rPr>
        <w:t>GXZC2025-C3-000261-GTZB</w:t>
      </w:r>
    </w:p>
    <w:p w14:paraId="0962DC13">
      <w:pPr>
        <w:pStyle w:val="19"/>
        <w:snapToGrid w:val="0"/>
        <w:spacing w:line="360" w:lineRule="auto"/>
        <w:ind w:firstLine="1205" w:firstLineChars="400"/>
        <w:rPr>
          <w:rFonts w:hAnsi="宋体" w:cs="宋体"/>
          <w:b/>
          <w:bCs/>
          <w:color w:val="auto"/>
          <w:sz w:val="30"/>
          <w:szCs w:val="30"/>
          <w:highlight w:val="none"/>
        </w:rPr>
      </w:pPr>
    </w:p>
    <w:p w14:paraId="528F2B22">
      <w:pPr>
        <w:snapToGrid w:val="0"/>
        <w:spacing w:line="360" w:lineRule="auto"/>
        <w:ind w:firstLine="1145" w:firstLineChars="400"/>
        <w:rPr>
          <w:rFonts w:ascii="宋体" w:hAnsi="宋体" w:cs="宋体"/>
          <w:b/>
          <w:bCs/>
          <w:color w:val="auto"/>
          <w:w w:val="95"/>
          <w:sz w:val="30"/>
          <w:szCs w:val="30"/>
          <w:highlight w:val="none"/>
        </w:rPr>
      </w:pPr>
    </w:p>
    <w:p w14:paraId="6C0B7DBE">
      <w:pPr>
        <w:pStyle w:val="3"/>
        <w:rPr>
          <w:color w:val="auto"/>
          <w:highlight w:val="none"/>
        </w:rPr>
      </w:pPr>
    </w:p>
    <w:p w14:paraId="5F6ADEAD">
      <w:pPr>
        <w:snapToGrid w:val="0"/>
        <w:spacing w:line="360" w:lineRule="auto"/>
        <w:ind w:firstLine="1205" w:firstLineChars="400"/>
        <w:rPr>
          <w:rFonts w:ascii="宋体" w:hAnsi="宋体" w:cs="宋体"/>
          <w:color w:val="auto"/>
          <w:sz w:val="30"/>
          <w:szCs w:val="72"/>
          <w:highlight w:val="none"/>
        </w:rPr>
      </w:pPr>
      <w:r>
        <w:rPr>
          <w:rFonts w:hint="eastAsia" w:ascii="宋体" w:hAnsi="宋体" w:cs="宋体"/>
          <w:b/>
          <w:color w:val="auto"/>
          <w:sz w:val="30"/>
          <w:szCs w:val="48"/>
          <w:highlight w:val="none"/>
        </w:rPr>
        <w:t xml:space="preserve"> </w:t>
      </w:r>
    </w:p>
    <w:p w14:paraId="097D5D25">
      <w:pPr>
        <w:pStyle w:val="19"/>
        <w:snapToGrid w:val="0"/>
        <w:spacing w:line="360" w:lineRule="auto"/>
        <w:ind w:firstLine="1431" w:firstLineChars="500"/>
        <w:rPr>
          <w:rFonts w:hAnsi="宋体" w:cs="宋体"/>
          <w:b/>
          <w:bCs/>
          <w:color w:val="auto"/>
          <w:w w:val="95"/>
          <w:sz w:val="30"/>
          <w:szCs w:val="30"/>
          <w:highlight w:val="none"/>
        </w:rPr>
      </w:pPr>
      <w:r>
        <w:rPr>
          <w:rFonts w:hint="eastAsia" w:hAnsi="宋体" w:cs="宋体"/>
          <w:b/>
          <w:bCs/>
          <w:color w:val="auto"/>
          <w:w w:val="95"/>
          <w:sz w:val="30"/>
          <w:szCs w:val="30"/>
          <w:highlight w:val="none"/>
        </w:rPr>
        <w:t>采购人：</w:t>
      </w:r>
      <w:r>
        <w:rPr>
          <w:rFonts w:hint="eastAsia" w:hAnsi="宋体" w:cs="宋体"/>
          <w:b/>
          <w:color w:val="auto"/>
          <w:sz w:val="32"/>
          <w:szCs w:val="32"/>
          <w:highlight w:val="none"/>
        </w:rPr>
        <w:t>广西壮族自治区自然资源调查监测院</w:t>
      </w:r>
    </w:p>
    <w:p w14:paraId="47A31322">
      <w:pPr>
        <w:pStyle w:val="19"/>
        <w:snapToGrid w:val="0"/>
        <w:spacing w:line="360" w:lineRule="auto"/>
        <w:ind w:firstLine="1431" w:firstLineChars="5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w:t>
      </w:r>
      <w:r>
        <w:rPr>
          <w:rFonts w:hint="eastAsia" w:hAnsi="宋体" w:cs="宋体"/>
          <w:b/>
          <w:color w:val="auto"/>
          <w:sz w:val="32"/>
          <w:szCs w:val="32"/>
          <w:highlight w:val="none"/>
        </w:rPr>
        <w:t>广西国泰招标咨询有限公司</w:t>
      </w:r>
    </w:p>
    <w:p w14:paraId="098292B7">
      <w:pPr>
        <w:pStyle w:val="19"/>
        <w:snapToGrid w:val="0"/>
        <w:spacing w:line="360" w:lineRule="auto"/>
        <w:ind w:firstLine="1125" w:firstLineChars="393"/>
        <w:rPr>
          <w:rFonts w:hAnsi="宋体" w:cs="宋体"/>
          <w:b/>
          <w:bCs/>
          <w:color w:val="auto"/>
          <w:w w:val="95"/>
          <w:sz w:val="30"/>
          <w:szCs w:val="30"/>
          <w:highlight w:val="none"/>
        </w:rPr>
      </w:pPr>
    </w:p>
    <w:p w14:paraId="762A66A2">
      <w:pPr>
        <w:pStyle w:val="20"/>
        <w:rPr>
          <w:color w:val="auto"/>
          <w:highlight w:val="none"/>
        </w:rPr>
      </w:pPr>
    </w:p>
    <w:p w14:paraId="6C988D59">
      <w:pPr>
        <w:rPr>
          <w:color w:val="auto"/>
          <w:highlight w:val="none"/>
        </w:rPr>
      </w:pPr>
    </w:p>
    <w:p w14:paraId="145DE86B">
      <w:pPr>
        <w:pStyle w:val="19"/>
        <w:snapToGrid w:val="0"/>
        <w:spacing w:line="360" w:lineRule="auto"/>
        <w:ind w:left="420" w:firstLine="841" w:firstLineChars="294"/>
        <w:rPr>
          <w:rFonts w:hAnsi="宋体" w:cs="宋体"/>
          <w:b/>
          <w:bCs/>
          <w:color w:val="auto"/>
          <w:w w:val="95"/>
          <w:sz w:val="30"/>
          <w:szCs w:val="30"/>
          <w:highlight w:val="none"/>
        </w:rPr>
      </w:pPr>
      <w:r>
        <w:rPr>
          <w:rFonts w:hint="eastAsia" w:hAnsi="宋体" w:cs="宋体"/>
          <w:b/>
          <w:bCs/>
          <w:color w:val="auto"/>
          <w:w w:val="95"/>
          <w:sz w:val="30"/>
          <w:szCs w:val="30"/>
          <w:highlight w:val="none"/>
        </w:rPr>
        <w:t xml:space="preserve">                2025年3月</w:t>
      </w:r>
    </w:p>
    <w:p w14:paraId="30CD70A0">
      <w:pPr>
        <w:rPr>
          <w:color w:val="auto"/>
          <w:highlight w:val="none"/>
        </w:rPr>
      </w:pPr>
      <w:r>
        <w:rPr>
          <w:color w:val="auto"/>
          <w:highlight w:val="none"/>
        </w:rPr>
        <w:br w:type="page"/>
      </w:r>
    </w:p>
    <w:p w14:paraId="7B592572">
      <w:pPr>
        <w:pStyle w:val="50"/>
        <w:rPr>
          <w:color w:val="auto"/>
          <w:highlight w:val="none"/>
        </w:rPr>
      </w:pPr>
    </w:p>
    <w:p w14:paraId="085D350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2FF7F016">
      <w:pPr>
        <w:spacing w:line="400" w:lineRule="exact"/>
        <w:jc w:val="center"/>
        <w:rPr>
          <w:rFonts w:ascii="宋体" w:hAnsi="宋体" w:cs="宋体"/>
          <w:b/>
          <w:color w:val="auto"/>
          <w:sz w:val="44"/>
          <w:szCs w:val="44"/>
          <w:highlight w:val="none"/>
        </w:rPr>
      </w:pPr>
    </w:p>
    <w:p w14:paraId="2AA960AA">
      <w:pPr>
        <w:pStyle w:val="20"/>
        <w:tabs>
          <w:tab w:val="right" w:leader="dot" w:pos="8869"/>
        </w:tabs>
        <w:snapToGrid w:val="0"/>
        <w:spacing w:line="500" w:lineRule="atLeast"/>
        <w:rPr>
          <w:rFonts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34"/>
          <w:rFonts w:hint="eastAsia" w:ascii="宋体" w:hAnsi="宋体" w:cs="宋体"/>
          <w:b/>
          <w:color w:val="auto"/>
          <w:sz w:val="24"/>
          <w:highlight w:val="none"/>
        </w:rPr>
        <w:t>第一章 竞争性磋商公告</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_Toc74323456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1</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2B2F589E">
      <w:pPr>
        <w:pStyle w:val="20"/>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34"/>
          <w:rFonts w:hint="eastAsia" w:ascii="宋体" w:hAnsi="宋体" w:cs="宋体"/>
          <w:b/>
          <w:color w:val="auto"/>
          <w:sz w:val="24"/>
          <w:highlight w:val="none"/>
        </w:rPr>
        <w:t>第二章 供应</w:t>
      </w:r>
      <w:bookmarkStart w:id="0" w:name="_Hlt82161237"/>
      <w:r>
        <w:rPr>
          <w:rStyle w:val="34"/>
          <w:rFonts w:hint="eastAsia" w:ascii="宋体" w:hAnsi="宋体" w:cs="宋体"/>
          <w:b/>
          <w:color w:val="auto"/>
          <w:sz w:val="24"/>
          <w:highlight w:val="none"/>
        </w:rPr>
        <w:t>商</w:t>
      </w:r>
      <w:bookmarkEnd w:id="0"/>
      <w:r>
        <w:rPr>
          <w:rStyle w:val="34"/>
          <w:rFonts w:hint="eastAsia" w:ascii="宋体" w:hAnsi="宋体" w:cs="宋体"/>
          <w:b/>
          <w:color w:val="auto"/>
          <w:sz w:val="24"/>
          <w:highlight w:val="none"/>
        </w:rPr>
        <w:t>须知</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_Toc74323457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5</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054B51A5">
      <w:pPr>
        <w:pStyle w:val="20"/>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34"/>
          <w:rFonts w:hint="eastAsia" w:ascii="宋体" w:hAnsi="宋体" w:cs="宋体"/>
          <w:b/>
          <w:color w:val="auto"/>
          <w:sz w:val="24"/>
          <w:highlight w:val="none"/>
        </w:rPr>
        <w:t>第三章 采购需</w:t>
      </w:r>
      <w:bookmarkStart w:id="1" w:name="_Hlt82166940"/>
      <w:r>
        <w:rPr>
          <w:rStyle w:val="34"/>
          <w:rFonts w:hint="eastAsia" w:ascii="宋体" w:hAnsi="宋体" w:cs="宋体"/>
          <w:b/>
          <w:color w:val="auto"/>
          <w:sz w:val="24"/>
          <w:highlight w:val="none"/>
        </w:rPr>
        <w:t>求</w:t>
      </w:r>
      <w:bookmarkEnd w:id="1"/>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_Toc74323458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21</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2CC7F1C0">
      <w:pPr>
        <w:pStyle w:val="20"/>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34"/>
          <w:rFonts w:hint="eastAsia" w:ascii="宋体" w:hAnsi="宋体" w:cs="宋体"/>
          <w:b/>
          <w:color w:val="auto"/>
          <w:sz w:val="24"/>
          <w:highlight w:val="none"/>
        </w:rPr>
        <w:t>第四章 评审程序、</w:t>
      </w:r>
      <w:bookmarkStart w:id="2" w:name="_Hlt82166000"/>
      <w:r>
        <w:rPr>
          <w:rStyle w:val="34"/>
          <w:rFonts w:hint="eastAsia" w:ascii="宋体" w:hAnsi="宋体" w:cs="宋体"/>
          <w:b/>
          <w:color w:val="auto"/>
          <w:sz w:val="24"/>
          <w:highlight w:val="none"/>
        </w:rPr>
        <w:t>评</w:t>
      </w:r>
      <w:bookmarkEnd w:id="2"/>
      <w:r>
        <w:rPr>
          <w:rStyle w:val="34"/>
          <w:rFonts w:hint="eastAsia" w:ascii="宋体" w:hAnsi="宋体" w:cs="宋体"/>
          <w:b/>
          <w:color w:val="auto"/>
          <w:sz w:val="24"/>
          <w:highlight w:val="none"/>
        </w:rPr>
        <w:t>审方法和评审标准</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_Toc74323459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21</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5EAA999B">
      <w:pPr>
        <w:pStyle w:val="20"/>
        <w:tabs>
          <w:tab w:val="right" w:leader="dot" w:pos="8869"/>
        </w:tabs>
        <w:snapToGrid w:val="0"/>
        <w:spacing w:line="500" w:lineRule="atLeast"/>
        <w:rPr>
          <w:rFonts w:ascii="宋体" w:hAnsi="宋体" w:cs="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34"/>
          <w:rFonts w:hint="eastAsia" w:ascii="宋体" w:hAnsi="宋体" w:cs="宋体"/>
          <w:b/>
          <w:color w:val="auto"/>
          <w:sz w:val="24"/>
          <w:highlight w:val="none"/>
        </w:rPr>
        <w:t>第五章 响应文件格式</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_Toc74323460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35</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38235C3F">
      <w:pPr>
        <w:pStyle w:val="20"/>
        <w:tabs>
          <w:tab w:val="right" w:leader="dot" w:pos="8869"/>
        </w:tabs>
        <w:snapToGrid w:val="0"/>
        <w:spacing w:line="500" w:lineRule="atLeast"/>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34"/>
          <w:rFonts w:hint="eastAsia" w:ascii="宋体" w:hAnsi="宋体" w:cs="宋体"/>
          <w:b/>
          <w:color w:val="auto"/>
          <w:sz w:val="24"/>
          <w:highlight w:val="none"/>
        </w:rPr>
        <w:t>第六章 合同文本</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_Toc74323461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62</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2B7DC4F4">
      <w:pPr>
        <w:pStyle w:val="25"/>
        <w:tabs>
          <w:tab w:val="right" w:leader="dot" w:pos="8931"/>
          <w:tab w:val="clear" w:pos="8296"/>
        </w:tabs>
        <w:snapToGrid w:val="0"/>
        <w:spacing w:line="500" w:lineRule="atLeast"/>
        <w:ind w:left="0" w:leftChars="0"/>
        <w:rPr>
          <w:rFonts w:ascii="宋体" w:hAnsi="宋体" w:cs="宋体"/>
          <w:b/>
          <w:color w:val="auto"/>
          <w:sz w:val="24"/>
          <w:highlight w:val="none"/>
        </w:rPr>
      </w:pPr>
      <w:r>
        <w:rPr>
          <w:rFonts w:hint="eastAsia" w:ascii="宋体" w:hAnsi="宋体" w:cs="宋体"/>
          <w:b/>
          <w:color w:val="auto"/>
          <w:sz w:val="24"/>
          <w:highlight w:val="none"/>
        </w:rPr>
        <w:fldChar w:fldCharType="end"/>
      </w:r>
    </w:p>
    <w:p w14:paraId="33521689">
      <w:pPr>
        <w:spacing w:line="400" w:lineRule="exact"/>
        <w:jc w:val="left"/>
        <w:rPr>
          <w:rFonts w:ascii="宋体" w:hAnsi="宋体" w:cs="宋体"/>
          <w:b/>
          <w:color w:val="auto"/>
          <w:sz w:val="32"/>
          <w:szCs w:val="32"/>
          <w:highlight w:val="none"/>
        </w:rPr>
      </w:pPr>
    </w:p>
    <w:p w14:paraId="08F186ED">
      <w:pPr>
        <w:spacing w:line="400" w:lineRule="exact"/>
        <w:jc w:val="center"/>
        <w:rPr>
          <w:rFonts w:ascii="宋体" w:hAnsi="宋体" w:cs="宋体"/>
          <w:b/>
          <w:color w:val="auto"/>
          <w:sz w:val="32"/>
          <w:szCs w:val="32"/>
          <w:highlight w:val="none"/>
        </w:rPr>
      </w:pPr>
    </w:p>
    <w:p w14:paraId="3FA5C10C">
      <w:pPr>
        <w:spacing w:line="400" w:lineRule="exact"/>
        <w:jc w:val="center"/>
        <w:rPr>
          <w:rFonts w:ascii="宋体" w:hAnsi="宋体" w:cs="宋体"/>
          <w:b/>
          <w:color w:val="auto"/>
          <w:sz w:val="32"/>
          <w:szCs w:val="32"/>
          <w:highlight w:val="none"/>
        </w:rPr>
      </w:pPr>
    </w:p>
    <w:p w14:paraId="487EC542">
      <w:pPr>
        <w:spacing w:line="400" w:lineRule="exact"/>
        <w:jc w:val="center"/>
        <w:rPr>
          <w:rFonts w:ascii="宋体" w:hAnsi="宋体" w:cs="宋体"/>
          <w:b/>
          <w:color w:val="auto"/>
          <w:sz w:val="32"/>
          <w:szCs w:val="32"/>
          <w:highlight w:val="none"/>
        </w:rPr>
      </w:pPr>
    </w:p>
    <w:p w14:paraId="74921749">
      <w:pPr>
        <w:spacing w:line="400" w:lineRule="exact"/>
        <w:jc w:val="center"/>
        <w:rPr>
          <w:rFonts w:ascii="宋体" w:hAnsi="宋体" w:cs="宋体"/>
          <w:b/>
          <w:color w:val="auto"/>
          <w:sz w:val="32"/>
          <w:szCs w:val="32"/>
          <w:highlight w:val="none"/>
        </w:rPr>
      </w:pPr>
    </w:p>
    <w:p w14:paraId="2ABF14B4">
      <w:pPr>
        <w:spacing w:line="400" w:lineRule="exact"/>
        <w:rPr>
          <w:rFonts w:ascii="宋体" w:hAnsi="宋体" w:cs="宋体"/>
          <w:b/>
          <w:color w:val="auto"/>
          <w:sz w:val="32"/>
          <w:szCs w:val="32"/>
          <w:highlight w:val="none"/>
        </w:rPr>
      </w:pPr>
    </w:p>
    <w:p w14:paraId="44554858">
      <w:pPr>
        <w:rPr>
          <w:color w:val="auto"/>
          <w:highlight w:val="none"/>
        </w:rPr>
      </w:pPr>
    </w:p>
    <w:p w14:paraId="39621E6C">
      <w:pPr>
        <w:rPr>
          <w:color w:val="auto"/>
          <w:highlight w:val="none"/>
        </w:rPr>
      </w:pPr>
    </w:p>
    <w:p w14:paraId="77129566">
      <w:pPr>
        <w:rPr>
          <w:color w:val="auto"/>
          <w:highlight w:val="none"/>
        </w:rPr>
      </w:pPr>
    </w:p>
    <w:p w14:paraId="13E8AE5D">
      <w:pPr>
        <w:rPr>
          <w:color w:val="auto"/>
          <w:highlight w:val="none"/>
        </w:rPr>
      </w:pPr>
    </w:p>
    <w:p w14:paraId="1ACB0BC2">
      <w:pPr>
        <w:rPr>
          <w:color w:val="auto"/>
          <w:highlight w:val="none"/>
        </w:rPr>
      </w:pPr>
    </w:p>
    <w:p w14:paraId="1D3B33A5">
      <w:pPr>
        <w:rPr>
          <w:color w:val="auto"/>
          <w:highlight w:val="none"/>
        </w:rPr>
      </w:pPr>
    </w:p>
    <w:p w14:paraId="4133CB65">
      <w:pPr>
        <w:rPr>
          <w:color w:val="auto"/>
          <w:highlight w:val="none"/>
        </w:rPr>
      </w:pPr>
    </w:p>
    <w:p w14:paraId="131B3EAE">
      <w:pPr>
        <w:rPr>
          <w:color w:val="auto"/>
          <w:highlight w:val="none"/>
        </w:rPr>
      </w:pPr>
    </w:p>
    <w:p w14:paraId="74A4AC27">
      <w:pPr>
        <w:rPr>
          <w:color w:val="auto"/>
          <w:highlight w:val="none"/>
        </w:rPr>
      </w:pPr>
    </w:p>
    <w:p w14:paraId="3F5D4D5B">
      <w:pPr>
        <w:rPr>
          <w:color w:val="auto"/>
          <w:highlight w:val="none"/>
        </w:rPr>
      </w:pPr>
    </w:p>
    <w:p w14:paraId="253029BA">
      <w:pPr>
        <w:rPr>
          <w:color w:val="auto"/>
          <w:highlight w:val="none"/>
        </w:rPr>
      </w:pPr>
    </w:p>
    <w:p w14:paraId="043E97BF">
      <w:pPr>
        <w:rPr>
          <w:color w:val="auto"/>
          <w:highlight w:val="none"/>
        </w:rPr>
      </w:pPr>
    </w:p>
    <w:p w14:paraId="0F9E7F6A">
      <w:pPr>
        <w:rPr>
          <w:color w:val="auto"/>
          <w:highlight w:val="none"/>
        </w:rPr>
      </w:pPr>
    </w:p>
    <w:p w14:paraId="328F1B60">
      <w:pPr>
        <w:rPr>
          <w:color w:val="auto"/>
          <w:highlight w:val="none"/>
        </w:rPr>
      </w:pPr>
    </w:p>
    <w:p w14:paraId="770A122C">
      <w:pPr>
        <w:rPr>
          <w:color w:val="auto"/>
          <w:highlight w:val="none"/>
        </w:rPr>
      </w:pPr>
    </w:p>
    <w:p w14:paraId="70D25301">
      <w:pPr>
        <w:rPr>
          <w:color w:val="auto"/>
          <w:highlight w:val="none"/>
        </w:rPr>
      </w:pPr>
    </w:p>
    <w:p w14:paraId="79FE98B6">
      <w:pPr>
        <w:rPr>
          <w:color w:val="auto"/>
          <w:highlight w:val="none"/>
        </w:rPr>
      </w:pPr>
    </w:p>
    <w:p w14:paraId="3EBC30FC">
      <w:pPr>
        <w:rPr>
          <w:color w:val="auto"/>
          <w:highlight w:val="none"/>
        </w:rPr>
      </w:pPr>
    </w:p>
    <w:p w14:paraId="00C3CB01">
      <w:pPr>
        <w:rPr>
          <w:color w:val="auto"/>
          <w:highlight w:val="none"/>
        </w:rPr>
      </w:pPr>
    </w:p>
    <w:p w14:paraId="48BD961C">
      <w:pPr>
        <w:tabs>
          <w:tab w:val="center" w:pos="4439"/>
        </w:tabs>
        <w:jc w:val="left"/>
        <w:rPr>
          <w:color w:val="auto"/>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r>
        <w:rPr>
          <w:rFonts w:hint="eastAsia"/>
          <w:color w:val="auto"/>
          <w:highlight w:val="none"/>
        </w:rPr>
        <w:tab/>
      </w:r>
    </w:p>
    <w:p w14:paraId="276752CA">
      <w:pPr>
        <w:pStyle w:val="6"/>
        <w:rPr>
          <w:rFonts w:ascii="宋体" w:hAnsi="宋体" w:cs="宋体"/>
          <w:color w:val="auto"/>
          <w:highlight w:val="none"/>
        </w:rPr>
      </w:pPr>
      <w:bookmarkStart w:id="3" w:name="_Toc74323456"/>
      <w:r>
        <w:rPr>
          <w:rFonts w:hint="eastAsia"/>
          <w:color w:val="auto"/>
          <w:highlight w:val="none"/>
        </w:rPr>
        <w:t>第一章 竞争性磋商公告</w:t>
      </w:r>
      <w:bookmarkEnd w:id="3"/>
    </w:p>
    <w:p w14:paraId="5393EBC7">
      <w:pPr>
        <w:spacing w:line="360" w:lineRule="auto"/>
        <w:jc w:val="center"/>
        <w:rPr>
          <w:rFonts w:ascii="宋体" w:hAnsi="宋体" w:cs="宋体"/>
          <w:b/>
          <w:bCs/>
          <w:color w:val="auto"/>
          <w:sz w:val="32"/>
          <w:szCs w:val="32"/>
          <w:highlight w:val="none"/>
        </w:rPr>
      </w:pPr>
    </w:p>
    <w:p w14:paraId="46889ACE">
      <w:pPr>
        <w:pStyle w:val="19"/>
        <w:jc w:val="center"/>
        <w:rPr>
          <w:rFonts w:hAnsi="宋体" w:cs="宋体"/>
          <w:b/>
          <w:color w:val="auto"/>
          <w:sz w:val="36"/>
          <w:szCs w:val="36"/>
          <w:highlight w:val="none"/>
        </w:rPr>
      </w:pPr>
      <w:r>
        <w:rPr>
          <w:rFonts w:hint="eastAsia" w:hAnsi="宋体" w:cs="宋体"/>
          <w:b/>
          <w:color w:val="auto"/>
          <w:sz w:val="32"/>
          <w:szCs w:val="32"/>
          <w:highlight w:val="none"/>
        </w:rPr>
        <w:t>广西国泰招标咨询有限公司关于2025-2026年车辆租赁服务采购  （</w:t>
      </w:r>
      <w:r>
        <w:rPr>
          <w:rFonts w:hint="eastAsia" w:hAnsi="宋体" w:cs="宋体"/>
          <w:b/>
          <w:color w:val="auto"/>
          <w:sz w:val="32"/>
          <w:szCs w:val="32"/>
          <w:highlight w:val="none"/>
          <w:lang w:eastAsia="zh-CN"/>
        </w:rPr>
        <w:t>GXZC2025-C3-000261-GTZB</w:t>
      </w:r>
      <w:r>
        <w:rPr>
          <w:rFonts w:hint="eastAsia" w:hAnsi="宋体" w:cs="宋体"/>
          <w:b/>
          <w:color w:val="auto"/>
          <w:sz w:val="32"/>
          <w:szCs w:val="32"/>
          <w:highlight w:val="none"/>
        </w:rPr>
        <w:t>）竞争性磋商公告</w:t>
      </w:r>
    </w:p>
    <w:p w14:paraId="635C0108">
      <w:pPr>
        <w:spacing w:line="360" w:lineRule="auto"/>
        <w:jc w:val="center"/>
        <w:rPr>
          <w:rFonts w:ascii="宋体" w:hAnsi="宋体" w:cs="宋体"/>
          <w:color w:val="auto"/>
          <w:szCs w:val="21"/>
          <w:highlight w:val="none"/>
        </w:rPr>
      </w:pPr>
    </w:p>
    <w:p w14:paraId="628EA1C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4" w:name="_Hlk37430271"/>
      <w:r>
        <w:rPr>
          <w:rFonts w:hint="eastAsia" w:ascii="宋体" w:hAnsi="宋体" w:cs="宋体"/>
          <w:color w:val="auto"/>
          <w:szCs w:val="21"/>
          <w:highlight w:val="none"/>
        </w:rPr>
        <w:t>项目概况</w:t>
      </w:r>
    </w:p>
    <w:p w14:paraId="17F1C57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2025-2026年车辆租赁服务采购采购项目的潜在供应商应在广西政府采购云平台（https://www.gcy.zfcg.gxzf.gov.cn/）获取采购文件，并于</w:t>
      </w:r>
      <w:r>
        <w:rPr>
          <w:rFonts w:hint="eastAsia" w:ascii="宋体" w:hAnsi="宋体" w:cs="宋体"/>
          <w:color w:val="auto"/>
          <w:szCs w:val="21"/>
          <w:highlight w:val="none"/>
        </w:rPr>
        <w:t>2025年3月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r>
        <w:rPr>
          <w:rFonts w:hint="eastAsia" w:ascii="宋体" w:hAnsi="宋体" w:cs="宋体"/>
          <w:color w:val="auto"/>
          <w:szCs w:val="21"/>
          <w:highlight w:val="none"/>
        </w:rPr>
        <w:t>09时00分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4311B1D8">
      <w:pPr>
        <w:spacing w:line="360" w:lineRule="auto"/>
        <w:ind w:firstLine="354" w:firstLineChars="147"/>
        <w:rPr>
          <w:rFonts w:ascii="宋体" w:hAnsi="宋体" w:cs="宋体"/>
          <w:b/>
          <w:color w:val="auto"/>
          <w:sz w:val="24"/>
          <w:highlight w:val="none"/>
        </w:rPr>
      </w:pPr>
      <w:bookmarkStart w:id="5" w:name="_Toc35393629"/>
      <w:bookmarkStart w:id="6" w:name="_Toc28359089"/>
      <w:bookmarkStart w:id="7" w:name="_Toc71365905"/>
      <w:bookmarkStart w:id="8" w:name="_Toc28359012"/>
      <w:bookmarkStart w:id="9" w:name="_Toc35393798"/>
      <w:bookmarkStart w:id="10" w:name="_Toc44229878"/>
    </w:p>
    <w:bookmarkEnd w:id="5"/>
    <w:bookmarkEnd w:id="6"/>
    <w:bookmarkEnd w:id="7"/>
    <w:bookmarkEnd w:id="8"/>
    <w:bookmarkEnd w:id="9"/>
    <w:bookmarkEnd w:id="10"/>
    <w:p w14:paraId="46A5B73E">
      <w:pPr>
        <w:spacing w:line="360" w:lineRule="auto"/>
        <w:ind w:firstLine="354" w:firstLineChars="147"/>
        <w:rPr>
          <w:rFonts w:ascii="宋体" w:hAnsi="宋体" w:cs="宋体"/>
          <w:b/>
          <w:color w:val="auto"/>
          <w:sz w:val="24"/>
          <w:highlight w:val="none"/>
        </w:rPr>
      </w:pPr>
      <w:bookmarkStart w:id="11" w:name="_Hlk37429674"/>
      <w:bookmarkStart w:id="12" w:name="_Toc35393805"/>
      <w:bookmarkStart w:id="13" w:name="_Toc35393636"/>
      <w:bookmarkStart w:id="14" w:name="_Toc44229885"/>
      <w:bookmarkStart w:id="15" w:name="_Toc28359018"/>
      <w:bookmarkStart w:id="16" w:name="_Toc28359095"/>
      <w:r>
        <w:rPr>
          <w:rFonts w:hint="eastAsia" w:ascii="宋体" w:hAnsi="宋体" w:cs="宋体"/>
          <w:b/>
          <w:color w:val="auto"/>
          <w:sz w:val="24"/>
          <w:highlight w:val="none"/>
        </w:rPr>
        <w:t>一、项目基本情况</w:t>
      </w:r>
    </w:p>
    <w:p w14:paraId="36A7424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GXZC2025-C3-000261-GTZB</w:t>
      </w:r>
    </w:p>
    <w:p w14:paraId="3FB60F2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项目名称：2025-2026年车辆租赁服务采购</w:t>
      </w:r>
    </w:p>
    <w:p w14:paraId="0FC6D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04BED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预算金额：210.00万元。</w:t>
      </w:r>
    </w:p>
    <w:p w14:paraId="775869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iCs/>
          <w:color w:val="auto"/>
          <w:szCs w:val="21"/>
          <w:highlight w:val="none"/>
        </w:rPr>
        <w:t>210.00</w:t>
      </w:r>
      <w:r>
        <w:rPr>
          <w:rFonts w:hint="eastAsia" w:ascii="宋体" w:hAnsi="宋体"/>
          <w:color w:val="auto"/>
          <w:szCs w:val="21"/>
          <w:highlight w:val="none"/>
        </w:rPr>
        <w:t>万元</w:t>
      </w:r>
      <w:r>
        <w:rPr>
          <w:rFonts w:hint="eastAsia" w:ascii="宋体" w:hAnsi="宋体" w:cs="宋体"/>
          <w:color w:val="auto"/>
          <w:szCs w:val="21"/>
          <w:highlight w:val="none"/>
        </w:rPr>
        <w:t>。</w:t>
      </w:r>
    </w:p>
    <w:p w14:paraId="7E5FBF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8"/>
        <w:gridCol w:w="3704"/>
        <w:gridCol w:w="1484"/>
        <w:gridCol w:w="4176"/>
      </w:tblGrid>
      <w:tr w14:paraId="52899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ECA4572">
            <w:pPr>
              <w:snapToGrid w:val="0"/>
              <w:spacing w:line="360" w:lineRule="auto"/>
              <w:rPr>
                <w:rFonts w:ascii="宋体" w:hAnsi="宋体"/>
                <w:color w:val="auto"/>
                <w:szCs w:val="21"/>
                <w:highlight w:val="none"/>
              </w:rPr>
            </w:pPr>
            <w:r>
              <w:rPr>
                <w:rFonts w:hint="eastAsia" w:ascii="宋体" w:hAnsi="宋体"/>
                <w:b/>
                <w:bCs/>
                <w:color w:val="auto"/>
                <w:szCs w:val="21"/>
                <w:highlight w:val="none"/>
              </w:rPr>
              <w:t>预算金额：</w:t>
            </w:r>
            <w:r>
              <w:rPr>
                <w:rFonts w:hint="eastAsia" w:ascii="宋体" w:hAnsi="宋体"/>
                <w:b/>
                <w:bCs/>
                <w:color w:val="auto"/>
                <w:szCs w:val="21"/>
                <w:highlight w:val="none"/>
                <w:u w:val="single"/>
              </w:rPr>
              <w:t>210.00</w:t>
            </w:r>
            <w:r>
              <w:rPr>
                <w:rFonts w:hint="eastAsia" w:ascii="宋体" w:hAnsi="宋体" w:cs="宋体"/>
                <w:b/>
                <w:bCs/>
                <w:color w:val="auto"/>
                <w:szCs w:val="21"/>
                <w:highlight w:val="none"/>
                <w:u w:val="single"/>
              </w:rPr>
              <w:t xml:space="preserve">万元 </w:t>
            </w:r>
          </w:p>
        </w:tc>
      </w:tr>
      <w:tr w14:paraId="73DC4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156F9E06">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序号</w:t>
            </w:r>
          </w:p>
        </w:tc>
        <w:tc>
          <w:tcPr>
            <w:tcW w:w="1837" w:type="pct"/>
            <w:tcBorders>
              <w:top w:val="single" w:color="auto" w:sz="4" w:space="0"/>
              <w:left w:val="single" w:color="auto" w:sz="4" w:space="0"/>
              <w:bottom w:val="single" w:color="auto" w:sz="4" w:space="0"/>
              <w:right w:val="single" w:color="auto" w:sz="4" w:space="0"/>
            </w:tcBorders>
            <w:vAlign w:val="center"/>
          </w:tcPr>
          <w:p w14:paraId="21BC9F15">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标的的名称</w:t>
            </w:r>
          </w:p>
        </w:tc>
        <w:tc>
          <w:tcPr>
            <w:tcW w:w="736" w:type="pct"/>
            <w:tcBorders>
              <w:top w:val="single" w:color="auto" w:sz="4" w:space="0"/>
              <w:left w:val="single" w:color="auto" w:sz="4" w:space="0"/>
              <w:bottom w:val="single" w:color="auto" w:sz="4" w:space="0"/>
              <w:right w:val="single" w:color="auto" w:sz="4" w:space="0"/>
            </w:tcBorders>
            <w:vAlign w:val="center"/>
          </w:tcPr>
          <w:p w14:paraId="13E2A26D">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数量及单位</w:t>
            </w:r>
          </w:p>
        </w:tc>
        <w:tc>
          <w:tcPr>
            <w:tcW w:w="2069" w:type="pct"/>
            <w:tcBorders>
              <w:top w:val="single" w:color="auto" w:sz="4" w:space="0"/>
              <w:left w:val="single" w:color="auto" w:sz="4" w:space="0"/>
              <w:bottom w:val="single" w:color="auto" w:sz="4" w:space="0"/>
              <w:right w:val="single" w:color="auto" w:sz="4" w:space="0"/>
            </w:tcBorders>
            <w:vAlign w:val="center"/>
          </w:tcPr>
          <w:p w14:paraId="1F9C3ECF">
            <w:pPr>
              <w:snapToGrid w:val="0"/>
              <w:spacing w:line="360" w:lineRule="auto"/>
              <w:jc w:val="center"/>
              <w:rPr>
                <w:rFonts w:ascii="宋体" w:hAnsi="宋体"/>
                <w:color w:val="auto"/>
                <w:szCs w:val="21"/>
                <w:highlight w:val="none"/>
                <w:u w:val="single"/>
              </w:rPr>
            </w:pPr>
            <w:r>
              <w:rPr>
                <w:rFonts w:hint="eastAsia" w:ascii="宋体" w:hAnsi="宋体"/>
                <w:color w:val="auto"/>
                <w:szCs w:val="21"/>
                <w:highlight w:val="none"/>
              </w:rPr>
              <w:t>简要技术需求或者服务要求</w:t>
            </w:r>
          </w:p>
        </w:tc>
      </w:tr>
      <w:tr w14:paraId="090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14:paraId="1025E50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837" w:type="pct"/>
            <w:tcBorders>
              <w:top w:val="single" w:color="auto" w:sz="4" w:space="0"/>
              <w:left w:val="single" w:color="auto" w:sz="4" w:space="0"/>
              <w:bottom w:val="single" w:color="auto" w:sz="4" w:space="0"/>
              <w:right w:val="single" w:color="auto" w:sz="4" w:space="0"/>
            </w:tcBorders>
            <w:vAlign w:val="center"/>
          </w:tcPr>
          <w:p w14:paraId="7155C9D2">
            <w:pPr>
              <w:snapToGrid w:val="0"/>
              <w:spacing w:line="360" w:lineRule="auto"/>
              <w:jc w:val="center"/>
              <w:rPr>
                <w:color w:val="auto"/>
                <w:highlight w:val="none"/>
              </w:rPr>
            </w:pPr>
            <w:r>
              <w:rPr>
                <w:rFonts w:hint="eastAsia" w:ascii="宋体" w:hAnsi="宋体" w:cs="宋体"/>
                <w:color w:val="auto"/>
                <w:szCs w:val="21"/>
                <w:highlight w:val="none"/>
              </w:rPr>
              <w:t>2025-2026年车辆租赁服务采购</w:t>
            </w:r>
          </w:p>
        </w:tc>
        <w:tc>
          <w:tcPr>
            <w:tcW w:w="736" w:type="pct"/>
            <w:tcBorders>
              <w:top w:val="single" w:color="auto" w:sz="4" w:space="0"/>
              <w:left w:val="single" w:color="auto" w:sz="4" w:space="0"/>
              <w:bottom w:val="single" w:color="auto" w:sz="4" w:space="0"/>
              <w:right w:val="single" w:color="auto" w:sz="4" w:space="0"/>
            </w:tcBorders>
            <w:vAlign w:val="center"/>
          </w:tcPr>
          <w:p w14:paraId="6FFB891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2069" w:type="pct"/>
            <w:tcBorders>
              <w:top w:val="single" w:color="auto" w:sz="4" w:space="0"/>
              <w:left w:val="single" w:color="auto" w:sz="4" w:space="0"/>
              <w:bottom w:val="single" w:color="auto" w:sz="4" w:space="0"/>
              <w:right w:val="single" w:color="auto" w:sz="4" w:space="0"/>
            </w:tcBorders>
            <w:vAlign w:val="center"/>
          </w:tcPr>
          <w:p w14:paraId="18E91057">
            <w:pPr>
              <w:pStyle w:val="74"/>
              <w:widowControl w:val="0"/>
              <w:spacing w:line="300" w:lineRule="exact"/>
              <w:ind w:firstLine="0" w:firstLineChars="0"/>
              <w:rPr>
                <w:rFonts w:ascii="宋体" w:hAnsi="宋体"/>
                <w:color w:val="auto"/>
                <w:szCs w:val="21"/>
                <w:highlight w:val="none"/>
              </w:rPr>
            </w:pPr>
            <w:r>
              <w:rPr>
                <w:rFonts w:hint="eastAsia" w:ascii="宋体" w:hAnsi="宋体"/>
                <w:color w:val="auto"/>
                <w:szCs w:val="21"/>
                <w:highlight w:val="none"/>
              </w:rPr>
              <w:t>2025-2026年车辆租赁服务采购1项，具体详见竞争性磋商采购文件第三章采购需求。</w:t>
            </w:r>
          </w:p>
        </w:tc>
      </w:tr>
    </w:tbl>
    <w:p w14:paraId="290A285F">
      <w:pPr>
        <w:spacing w:line="360" w:lineRule="auto"/>
        <w:ind w:firstLine="420" w:firstLineChars="200"/>
        <w:rPr>
          <w:color w:val="auto"/>
          <w:highlight w:val="none"/>
        </w:rPr>
      </w:pPr>
      <w:r>
        <w:rPr>
          <w:rFonts w:hint="eastAsia" w:ascii="宋体" w:hAnsi="宋体"/>
          <w:color w:val="auto"/>
          <w:szCs w:val="21"/>
          <w:highlight w:val="none"/>
        </w:rPr>
        <w:t>合同履行期限：</w:t>
      </w:r>
      <w:r>
        <w:rPr>
          <w:rFonts w:hint="eastAsia"/>
          <w:bCs/>
          <w:color w:val="auto"/>
          <w:highlight w:val="none"/>
        </w:rPr>
        <w:t>签订合同之日起1年，自合同签订之日起生效。或服务期内，如预算用尽，</w:t>
      </w:r>
      <w:r>
        <w:rPr>
          <w:rFonts w:hint="eastAsia"/>
          <w:bCs/>
          <w:color w:val="auto"/>
          <w:highlight w:val="none"/>
          <w:lang w:val="zh-CN"/>
        </w:rPr>
        <w:t>采购人无法支付车辆租赁费用时，合同自动终止。</w:t>
      </w:r>
    </w:p>
    <w:p w14:paraId="7733B2A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本项目不接受联合体。</w:t>
      </w:r>
    </w:p>
    <w:p w14:paraId="12DDCA3E">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二、申请人的资格条件：</w:t>
      </w:r>
    </w:p>
    <w:p w14:paraId="456305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93E5C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专门面向小微企业采购，供应商应为小微企业或监狱企业或残疾人福利性单位</w:t>
      </w:r>
      <w:r>
        <w:rPr>
          <w:rFonts w:hint="eastAsia" w:ascii="宋体" w:hAnsi="宋体"/>
          <w:color w:val="auto"/>
          <w:szCs w:val="21"/>
          <w:highlight w:val="none"/>
        </w:rPr>
        <w:t>；</w:t>
      </w:r>
    </w:p>
    <w:p w14:paraId="7FE070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18507CC8">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三、获取竞争性磋商文件</w:t>
      </w:r>
    </w:p>
    <w:p w14:paraId="6B183F7A">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color w:val="auto"/>
          <w:highlight w:val="none"/>
        </w:rPr>
        <w:t>2025年3月</w:t>
      </w:r>
      <w:r>
        <w:rPr>
          <w:rFonts w:hint="eastAsia" w:ascii="宋体" w:hAnsi="宋体" w:cs="宋体"/>
          <w:color w:val="auto"/>
          <w:highlight w:val="none"/>
          <w:lang w:val="en-US" w:eastAsia="zh-CN"/>
        </w:rPr>
        <w:t>17</w:t>
      </w:r>
      <w:r>
        <w:rPr>
          <w:rFonts w:hint="eastAsia" w:ascii="宋体" w:hAnsi="宋体" w:cs="宋体"/>
          <w:color w:val="auto"/>
          <w:highlight w:val="none"/>
        </w:rPr>
        <w:t>日</w:t>
      </w:r>
      <w:r>
        <w:rPr>
          <w:rFonts w:hint="eastAsia" w:ascii="宋体" w:hAnsi="宋体" w:cs="宋体"/>
          <w:color w:val="auto"/>
          <w:szCs w:val="21"/>
          <w:highlight w:val="none"/>
        </w:rPr>
        <w:t>至</w:t>
      </w:r>
      <w:r>
        <w:rPr>
          <w:rFonts w:hint="eastAsia" w:ascii="宋体" w:hAnsi="宋体" w:cs="宋体"/>
          <w:color w:val="auto"/>
          <w:highlight w:val="none"/>
        </w:rPr>
        <w:t>2025年3月</w:t>
      </w:r>
      <w:r>
        <w:rPr>
          <w:rFonts w:hint="eastAsia" w:ascii="宋体" w:hAnsi="宋体" w:cs="宋体"/>
          <w:color w:val="auto"/>
          <w:highlight w:val="none"/>
          <w:lang w:val="en-US" w:eastAsia="zh-CN"/>
        </w:rPr>
        <w:t>24</w:t>
      </w:r>
      <w:r>
        <w:rPr>
          <w:rFonts w:hint="eastAsia" w:ascii="宋体" w:hAnsi="宋体" w:cs="宋体"/>
          <w:color w:val="auto"/>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rPr>
        <w:t>每天上午00:00-12:00；下午1</w:t>
      </w: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00</w:t>
      </w:r>
      <w:r>
        <w:rPr>
          <w:rFonts w:hint="eastAsia" w:ascii="宋体" w:hAnsi="宋体" w:cs="宋体"/>
          <w:color w:val="auto"/>
          <w:szCs w:val="21"/>
          <w:highlight w:val="none"/>
        </w:rPr>
        <w:t>-23:</w:t>
      </w:r>
      <w:r>
        <w:rPr>
          <w:rFonts w:hint="eastAsia" w:ascii="宋体" w:hAnsi="宋体" w:cs="宋体"/>
          <w:color w:val="auto"/>
          <w:highlight w:val="none"/>
        </w:rPr>
        <w:t>59</w:t>
      </w:r>
      <w:r>
        <w:rPr>
          <w:rFonts w:hint="eastAsia" w:ascii="宋体" w:hAnsi="宋体" w:cs="宋体"/>
          <w:color w:val="auto"/>
          <w:szCs w:val="21"/>
          <w:highlight w:val="none"/>
        </w:rPr>
        <w:t>（北京时间，法定节假日除外）</w:t>
      </w:r>
      <w:r>
        <w:rPr>
          <w:rFonts w:hint="eastAsia" w:ascii="宋体" w:hAnsi="宋体" w:cs="宋体"/>
          <w:bCs/>
          <w:color w:val="auto"/>
          <w:kern w:val="0"/>
          <w:szCs w:val="21"/>
          <w:highlight w:val="none"/>
        </w:rPr>
        <w:t>。</w:t>
      </w:r>
    </w:p>
    <w:p w14:paraId="26E69AEB">
      <w:pPr>
        <w:spacing w:line="360" w:lineRule="auto"/>
        <w:ind w:firstLine="420" w:firstLineChars="200"/>
        <w:rPr>
          <w:rFonts w:ascii="宋体" w:hAnsi="宋体" w:cs="宋体"/>
          <w:color w:val="auto"/>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5BAD3424">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方式：网上下载。供应商登录广西政府采购云平台https://www.gcy.zfcg.gxzf.gov.cn/在线申请获取采购文件（进入“项目采购”应用，在获取采购文件菜单中选择项目，申请获取采购文件）。</w:t>
      </w:r>
    </w:p>
    <w:p w14:paraId="041EC772">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5B106359">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四、响应文件提交</w:t>
      </w:r>
    </w:p>
    <w:p w14:paraId="0BB1194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color w:val="auto"/>
          <w:szCs w:val="21"/>
          <w:highlight w:val="none"/>
        </w:rPr>
        <w:t>2025年3月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r>
        <w:rPr>
          <w:rFonts w:hint="eastAsia" w:ascii="宋体" w:hAnsi="宋体" w:cs="宋体"/>
          <w:bCs/>
          <w:color w:val="auto"/>
          <w:kern w:val="0"/>
          <w:szCs w:val="21"/>
          <w:highlight w:val="none"/>
        </w:rPr>
        <w:t>09时00分（北京时间）</w:t>
      </w:r>
    </w:p>
    <w:p w14:paraId="2DECCF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2、地点：通过广西政府采购云平台（https://www.gcy.zfcg.gxzf.gov.cn/）在线提交。</w:t>
      </w:r>
    </w:p>
    <w:p w14:paraId="15ED16FA">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五、开启</w:t>
      </w:r>
    </w:p>
    <w:p w14:paraId="364AC7B3">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1、首次响应文件开启时间：</w:t>
      </w:r>
      <w:r>
        <w:rPr>
          <w:rFonts w:hint="eastAsia" w:ascii="宋体" w:hAnsi="宋体" w:cs="宋体"/>
          <w:color w:val="auto"/>
          <w:szCs w:val="21"/>
          <w:highlight w:val="none"/>
        </w:rPr>
        <w:t>2025年3月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r>
        <w:rPr>
          <w:rFonts w:hint="eastAsia" w:ascii="宋体" w:hAnsi="宋体" w:cs="宋体"/>
          <w:bCs/>
          <w:color w:val="auto"/>
          <w:kern w:val="0"/>
          <w:szCs w:val="21"/>
          <w:highlight w:val="none"/>
        </w:rPr>
        <w:t>09时00分（北京时间）</w:t>
      </w:r>
    </w:p>
    <w:p w14:paraId="01B8B5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2、地点：本项目将在广西政府采购云平台电子开标大厅解密、开启。</w:t>
      </w:r>
    </w:p>
    <w:p w14:paraId="46381A4F">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六、公告期限</w:t>
      </w:r>
    </w:p>
    <w:p w14:paraId="519E82B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A68B547">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七、其他补充事宜</w:t>
      </w:r>
    </w:p>
    <w:p w14:paraId="156FE352">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1、磋商保证金（人民币）：21000.00元。</w:t>
      </w:r>
    </w:p>
    <w:p w14:paraId="17645B6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CAD0C6">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5951370">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4、网上查询地址：中国政府采购网（www.ccgp.gov.cn）、广西政府采购网（zfcg.gxzf.gov.cn）。</w:t>
      </w:r>
    </w:p>
    <w:p w14:paraId="37EB1BD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5、本项目需要落实的政府采购政策：</w:t>
      </w:r>
    </w:p>
    <w:p w14:paraId="47DF1B5C">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62F4CA85">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3E7287C0">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1ECE093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1FCB9AAD">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1479BE47">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（6）扶持不发达地区和少数民族地区政策</w:t>
      </w:r>
    </w:p>
    <w:p w14:paraId="215FB65E">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6、磋商注意事项：</w:t>
      </w:r>
    </w:p>
    <w:bookmarkEnd w:id="11"/>
    <w:p w14:paraId="22F9747E">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新版客户端”（新版客户端下载路径：请自行前往广西政府采购网（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w:t>
      </w:r>
      <w:r>
        <w:rPr>
          <w:rFonts w:hint="eastAsia" w:ascii="宋体" w:hAnsi="宋体" w:cs="宋体"/>
          <w:bCs/>
          <w:color w:val="auto"/>
          <w:kern w:val="0"/>
          <w:szCs w:val="21"/>
          <w:highlight w:val="none"/>
        </w:rPr>
        <w:t>广西政府采购云平台</w:t>
      </w:r>
      <w:r>
        <w:rPr>
          <w:rFonts w:hint="eastAsia" w:ascii="宋体" w:hAnsi="宋体" w:cs="宋体"/>
          <w:color w:val="auto"/>
          <w:szCs w:val="21"/>
          <w:highlight w:val="none"/>
        </w:rPr>
        <w:t>客服热线：95763）。</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（3）CA证书在线解密：供应商竞标时，需凭制作响应文件时用来加密的有效数字证书（CA认证）登录“广西政府采购云平台”电子开标大厅现场按规定时间对加密的响应文件进行解密，否则后果自负。</w:t>
      </w:r>
      <w:r>
        <w:rPr>
          <w:rFonts w:hint="eastAsia" w:ascii="宋体" w:hAnsi="宋体" w:cs="宋体"/>
          <w:color w:val="auto"/>
          <w:szCs w:val="21"/>
          <w:highlight w:val="none"/>
        </w:rPr>
        <w:br w:type="textWrapping"/>
      </w:r>
      <w:r>
        <w:rPr>
          <w:rFonts w:hint="eastAsia" w:ascii="宋体" w:hAnsi="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竞标截止时间前完成电子响应文件的上传、提交，竞标截止时间前可以补充、修改或者撤回响应文件。补充或者修改响应文件的，应当先行撤回原响应文件，补充、修改后重新上传、提交，提交响应文件截止时间前未完成上传、提交的，视为撤回响应文件。提交响应文件截止时间以后上传递交的响应文件，“广西政府采购云平台”将予以拒收。</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（4）供应商需要在具备有摄像头及语音功能且互联网网络状况良好的电脑登录“广西政府采购云平台”远程开标大厅参与本次磋商，否则后果自负。</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5）若对项目采购电子交易系统操作有疑问，可登录“广西政府采购云平台”（https://www.gcy.zfcg.gxzf.gov.cn/），点击右侧咨询小采，获取采小蜜智能服务管家帮助，或拨打广西政府采购云平台服务热线95763获取热线服务帮助。</w:t>
      </w:r>
    </w:p>
    <w:p w14:paraId="1127F7DF">
      <w:pPr>
        <w:spacing w:line="360" w:lineRule="auto"/>
        <w:ind w:firstLine="354" w:firstLineChars="147"/>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12"/>
      <w:bookmarkEnd w:id="13"/>
      <w:bookmarkEnd w:id="14"/>
      <w:bookmarkEnd w:id="15"/>
      <w:bookmarkEnd w:id="16"/>
    </w:p>
    <w:p w14:paraId="6A175678">
      <w:pPr>
        <w:spacing w:line="360" w:lineRule="auto"/>
        <w:ind w:firstLine="567" w:firstLineChars="270"/>
        <w:jc w:val="left"/>
        <w:rPr>
          <w:rFonts w:ascii="宋体" w:hAnsi="宋体" w:cs="宋体"/>
          <w:color w:val="auto"/>
          <w:szCs w:val="21"/>
          <w:highlight w:val="none"/>
        </w:rPr>
      </w:pPr>
      <w:bookmarkStart w:id="17" w:name="_Toc28359096"/>
      <w:bookmarkStart w:id="18" w:name="_Toc35393806"/>
      <w:bookmarkStart w:id="19" w:name="_Toc35393637"/>
      <w:bookmarkStart w:id="20" w:name="_Toc28359019"/>
      <w:r>
        <w:rPr>
          <w:rFonts w:hint="eastAsia" w:ascii="宋体" w:hAnsi="宋体" w:cs="宋体"/>
          <w:color w:val="auto"/>
          <w:szCs w:val="21"/>
          <w:highlight w:val="none"/>
        </w:rPr>
        <w:t>1.采购人信息</w:t>
      </w:r>
    </w:p>
    <w:p w14:paraId="5CA54313">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highlight w:val="none"/>
        </w:rPr>
        <w:t>广西壮族自治区自然资源调查监测院</w:t>
      </w:r>
    </w:p>
    <w:p w14:paraId="1B13D39B">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Arial"/>
          <w:color w:val="auto"/>
          <w:szCs w:val="21"/>
          <w:highlight w:val="none"/>
        </w:rPr>
        <w:t>广西南宁市良庆区冬花路21号</w:t>
      </w:r>
    </w:p>
    <w:p w14:paraId="4BB990D7">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21" w:name="_Toc28359009"/>
      <w:bookmarkStart w:id="22" w:name="_Toc28359086"/>
      <w:r>
        <w:rPr>
          <w:rFonts w:hint="eastAsia" w:ascii="宋体" w:hAnsi="宋体" w:cs="宋体"/>
          <w:color w:val="auto"/>
          <w:szCs w:val="21"/>
          <w:highlight w:val="none"/>
        </w:rPr>
        <w:t xml:space="preserve">廖工，联系电话： 0771-5627975 </w:t>
      </w:r>
    </w:p>
    <w:p w14:paraId="7F1B4D16">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21"/>
      <w:bookmarkEnd w:id="22"/>
    </w:p>
    <w:p w14:paraId="32EB9ED3">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名 称：广西国泰招标咨询有限公司</w:t>
      </w:r>
    </w:p>
    <w:p w14:paraId="5FCD7D65">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地　址：广西南宁市民族大道141号中鼎万象东方大厦D区</w:t>
      </w:r>
      <w:r>
        <w:rPr>
          <w:rFonts w:hint="eastAsia" w:ascii="宋体" w:hAnsi="宋体" w:cs="宋体"/>
          <w:color w:val="auto"/>
          <w:highlight w:val="none"/>
        </w:rPr>
        <w:t>六</w:t>
      </w:r>
      <w:r>
        <w:rPr>
          <w:rFonts w:hint="eastAsia" w:ascii="宋体" w:hAnsi="宋体" w:cs="宋体"/>
          <w:color w:val="auto"/>
          <w:szCs w:val="21"/>
          <w:highlight w:val="none"/>
        </w:rPr>
        <w:t>层D</w:t>
      </w:r>
      <w:r>
        <w:rPr>
          <w:rFonts w:hint="eastAsia" w:ascii="宋体" w:hAnsi="宋体" w:cs="宋体"/>
          <w:color w:val="auto"/>
          <w:highlight w:val="none"/>
        </w:rPr>
        <w:t>607</w:t>
      </w:r>
    </w:p>
    <w:p w14:paraId="09ACA54A">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联系方式：</w:t>
      </w:r>
      <w:bookmarkStart w:id="23" w:name="_Toc28359087"/>
      <w:bookmarkStart w:id="24" w:name="_Toc28359010"/>
      <w:r>
        <w:rPr>
          <w:rFonts w:hint="eastAsia" w:ascii="宋体" w:hAnsi="宋体" w:cs="宋体"/>
          <w:color w:val="auto"/>
          <w:szCs w:val="21"/>
          <w:highlight w:val="none"/>
        </w:rPr>
        <w:t>　联系人：黄工；联系电话：0771-2023496</w:t>
      </w:r>
    </w:p>
    <w:p w14:paraId="09B60E6F">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3.项目联系方式</w:t>
      </w:r>
      <w:bookmarkEnd w:id="23"/>
      <w:bookmarkEnd w:id="24"/>
    </w:p>
    <w:p w14:paraId="1CFEC3C1">
      <w:pPr>
        <w:pStyle w:val="19"/>
        <w:spacing w:line="360" w:lineRule="auto"/>
        <w:ind w:firstLine="567" w:firstLineChars="270"/>
        <w:rPr>
          <w:rFonts w:hAnsi="宋体" w:cs="宋体"/>
          <w:color w:val="auto"/>
          <w:sz w:val="21"/>
          <w:highlight w:val="none"/>
        </w:rPr>
      </w:pPr>
      <w:r>
        <w:rPr>
          <w:rFonts w:hint="eastAsia" w:hAnsi="宋体" w:cs="宋体"/>
          <w:color w:val="auto"/>
          <w:sz w:val="21"/>
          <w:highlight w:val="none"/>
        </w:rPr>
        <w:t>项目联系人：</w:t>
      </w:r>
      <w:r>
        <w:rPr>
          <w:rFonts w:hint="eastAsia" w:hAnsi="宋体"/>
          <w:color w:val="auto"/>
          <w:highlight w:val="none"/>
        </w:rPr>
        <w:t>黄工</w:t>
      </w:r>
      <w:r>
        <w:rPr>
          <w:rFonts w:hint="eastAsia" w:hAnsi="宋体" w:cs="宋体"/>
          <w:color w:val="auto"/>
          <w:sz w:val="21"/>
          <w:highlight w:val="none"/>
        </w:rPr>
        <w:t xml:space="preserve">     </w:t>
      </w:r>
    </w:p>
    <w:p w14:paraId="7F606055">
      <w:pPr>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电　话：0771-2023496　　　　　　　　　　</w:t>
      </w:r>
    </w:p>
    <w:p w14:paraId="4DABC4BF">
      <w:pPr>
        <w:spacing w:line="380" w:lineRule="exact"/>
        <w:ind w:firstLine="6195" w:firstLineChars="2950"/>
        <w:rPr>
          <w:rFonts w:ascii="宋体" w:hAnsi="宋体" w:cs="宋体"/>
          <w:color w:val="auto"/>
          <w:szCs w:val="21"/>
          <w:highlight w:val="none"/>
        </w:rPr>
      </w:pPr>
    </w:p>
    <w:p w14:paraId="617875FD">
      <w:pPr>
        <w:spacing w:line="380" w:lineRule="exact"/>
        <w:ind w:firstLine="6195" w:firstLineChars="2950"/>
        <w:rPr>
          <w:rFonts w:ascii="宋体" w:hAnsi="宋体" w:cs="宋体"/>
          <w:color w:val="auto"/>
          <w:szCs w:val="21"/>
          <w:highlight w:val="none"/>
        </w:rPr>
      </w:pPr>
    </w:p>
    <w:p w14:paraId="6FE2F275">
      <w:pPr>
        <w:spacing w:line="360" w:lineRule="auto"/>
        <w:ind w:firstLine="6232" w:firstLineChars="2968"/>
        <w:rPr>
          <w:rFonts w:ascii="宋体" w:hAnsi="宋体" w:cs="宋体"/>
          <w:color w:val="auto"/>
          <w:szCs w:val="21"/>
          <w:highlight w:val="none"/>
        </w:rPr>
      </w:pPr>
      <w:r>
        <w:rPr>
          <w:rFonts w:hint="eastAsia" w:ascii="宋体" w:hAnsi="宋体" w:cs="宋体"/>
          <w:color w:val="auto"/>
          <w:szCs w:val="21"/>
          <w:highlight w:val="none"/>
        </w:rPr>
        <w:t>广西国泰招标咨询有限公司</w:t>
      </w:r>
    </w:p>
    <w:p w14:paraId="423C6813">
      <w:pPr>
        <w:spacing w:line="360" w:lineRule="auto"/>
        <w:ind w:firstLine="567" w:firstLineChars="270"/>
        <w:jc w:val="center"/>
        <w:rPr>
          <w:rStyle w:val="36"/>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t xml:space="preserve">      2025年3月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w:t>
      </w:r>
      <w:bookmarkEnd w:id="4"/>
      <w:bookmarkEnd w:id="17"/>
      <w:bookmarkEnd w:id="18"/>
      <w:bookmarkEnd w:id="19"/>
      <w:bookmarkEnd w:id="20"/>
      <w:r>
        <w:rPr>
          <w:rFonts w:hint="eastAsia" w:ascii="宋体" w:hAnsi="宋体" w:cs="宋体"/>
          <w:b/>
          <w:bCs/>
          <w:color w:val="auto"/>
          <w:sz w:val="32"/>
          <w:szCs w:val="32"/>
          <w:highlight w:val="none"/>
        </w:rPr>
        <w:br w:type="page"/>
      </w:r>
      <w:bookmarkStart w:id="25" w:name="_Toc74323457"/>
      <w:r>
        <w:rPr>
          <w:rStyle w:val="36"/>
          <w:rFonts w:hint="eastAsia"/>
          <w:color w:val="auto"/>
          <w:highlight w:val="none"/>
        </w:rPr>
        <w:t>第二章 供应商须知</w:t>
      </w:r>
      <w:bookmarkEnd w:id="25"/>
    </w:p>
    <w:p w14:paraId="4E3F828C">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6BA24A59">
      <w:pPr>
        <w:spacing w:line="400" w:lineRule="exact"/>
        <w:jc w:val="center"/>
        <w:rPr>
          <w:rFonts w:ascii="宋体" w:hAnsi="宋体" w:cs="宋体"/>
          <w:b/>
          <w:color w:val="auto"/>
          <w:sz w:val="32"/>
          <w:szCs w:val="32"/>
          <w:highlight w:val="none"/>
        </w:rPr>
      </w:pP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31B07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7EB65D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627" w:type="dxa"/>
          </w:tcPr>
          <w:p w14:paraId="7E0B558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F54A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C140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627" w:type="dxa"/>
            <w:vAlign w:val="center"/>
          </w:tcPr>
          <w:p w14:paraId="106C20E9">
            <w:pPr>
              <w:spacing w:line="360" w:lineRule="auto"/>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0D1EE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3440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8627" w:type="dxa"/>
            <w:vAlign w:val="center"/>
          </w:tcPr>
          <w:p w14:paraId="2F6D13E3">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601CA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B62D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8627" w:type="dxa"/>
            <w:vAlign w:val="center"/>
          </w:tcPr>
          <w:p w14:paraId="0A2449FB">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p>
          <w:p w14:paraId="30F812C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1、两个以上供应商可以组成一个竞标联合体，以一个供应商的身份共同参加竞标，联合体供应商的名称应统一按“XXX 公司与 XXX 公司的联合体”的规则填写。</w:t>
            </w:r>
            <w:r>
              <w:rPr>
                <w:rFonts w:hint="eastAsia" w:ascii="宋体" w:hAnsi="宋体" w:cs="宋体"/>
                <w:color w:val="auto"/>
                <w:szCs w:val="21"/>
                <w:highlight w:val="none"/>
              </w:rPr>
              <w:tab/>
            </w:r>
          </w:p>
          <w:p w14:paraId="026AD8A7">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6FA7120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s="宋体"/>
                <w:color w:val="auto"/>
                <w:szCs w:val="21"/>
                <w:highlight w:val="none"/>
              </w:rPr>
              <w:tab/>
            </w:r>
          </w:p>
          <w:p w14:paraId="512206C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Cs w:val="21"/>
                <w:highlight w:val="none"/>
              </w:rPr>
              <w:tab/>
            </w:r>
            <w:r>
              <w:rPr>
                <w:rFonts w:hint="eastAsia" w:ascii="宋体" w:hAnsi="宋体" w:cs="宋体"/>
                <w:color w:val="auto"/>
                <w:szCs w:val="21"/>
                <w:highlight w:val="none"/>
              </w:rPr>
              <w:tab/>
            </w:r>
          </w:p>
          <w:p w14:paraId="647EB33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r>
              <w:rPr>
                <w:rFonts w:hint="eastAsia" w:ascii="宋体" w:hAnsi="宋体" w:cs="宋体"/>
                <w:color w:val="auto"/>
                <w:szCs w:val="21"/>
                <w:highlight w:val="none"/>
              </w:rPr>
              <w:tab/>
            </w:r>
            <w:r>
              <w:rPr>
                <w:rFonts w:hint="eastAsia" w:ascii="宋体" w:hAnsi="宋体" w:cs="宋体"/>
                <w:color w:val="auto"/>
                <w:szCs w:val="21"/>
                <w:highlight w:val="none"/>
              </w:rPr>
              <w:tab/>
            </w:r>
          </w:p>
          <w:p w14:paraId="41D34D9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6、联合体各方均应按照竞争性磋商文件的规定提交资格证明文件。</w:t>
            </w:r>
          </w:p>
        </w:tc>
      </w:tr>
      <w:tr w14:paraId="257AF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0979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27" w:type="dxa"/>
            <w:vAlign w:val="center"/>
          </w:tcPr>
          <w:p w14:paraId="17FD3507">
            <w:pPr>
              <w:pStyle w:val="15"/>
              <w:spacing w:line="400" w:lineRule="exact"/>
              <w:rPr>
                <w:rFonts w:ascii="宋体" w:hAnsi="宋体" w:cs="宋体"/>
                <w:color w:val="auto"/>
                <w:szCs w:val="21"/>
                <w:highlight w:val="none"/>
              </w:rPr>
            </w:pPr>
            <w:r>
              <w:rPr>
                <w:rFonts w:hint="eastAsia" w:ascii="宋体" w:hAnsi="宋体" w:cs="宋体"/>
                <w:color w:val="auto"/>
                <w:szCs w:val="21"/>
                <w:highlight w:val="none"/>
              </w:rPr>
              <w:t>本项目不允许分包。</w:t>
            </w:r>
          </w:p>
        </w:tc>
      </w:tr>
      <w:tr w14:paraId="3060F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D2F4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8627" w:type="dxa"/>
            <w:vAlign w:val="center"/>
          </w:tcPr>
          <w:p w14:paraId="7BA5FC59">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6AF0288E">
            <w:pPr>
              <w:pStyle w:val="15"/>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E483202">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 xml:space="preserve"> 2024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9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月内连续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38C74FB">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 xml:space="preserve">  2024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9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FF19D0">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u w:val="single"/>
              </w:rPr>
              <w:t xml:space="preserve"> 2023</w:t>
            </w:r>
            <w:r>
              <w:rPr>
                <w:rFonts w:hint="eastAsia" w:ascii="宋体" w:hAnsi="宋体" w:cs="宋体"/>
                <w:color w:val="auto"/>
                <w:szCs w:val="21"/>
                <w:highlight w:val="none"/>
              </w:rPr>
              <w:t>年度财务报表复印件或者银行出具的资信证明；供应商属于</w:t>
            </w:r>
            <w:r>
              <w:rPr>
                <w:rFonts w:hint="eastAsia" w:ascii="宋体" w:hAnsi="宋体" w:cs="宋体"/>
                <w:color w:val="auto"/>
                <w:highlight w:val="none"/>
              </w:rPr>
              <w:t>成立时间</w:t>
            </w:r>
            <w:r>
              <w:rPr>
                <w:rFonts w:hint="eastAsia" w:ascii="宋体" w:hAnsi="宋体" w:cs="宋体"/>
                <w:color w:val="auto"/>
                <w:kern w:val="0"/>
                <w:highlight w:val="none"/>
              </w:rPr>
              <w:t>在规定年度之后</w:t>
            </w:r>
            <w:r>
              <w:rPr>
                <w:rFonts w:hint="eastAsia" w:ascii="宋体" w:hAnsi="宋体" w:cs="宋体"/>
                <w:color w:val="auto"/>
                <w:highlight w:val="none"/>
              </w:rPr>
              <w:t>的</w:t>
            </w:r>
            <w:r>
              <w:rPr>
                <w:rFonts w:hint="eastAsia" w:ascii="宋体" w:hAnsi="宋体" w:cs="宋体"/>
                <w:color w:val="auto"/>
                <w:szCs w:val="21"/>
                <w:highlight w:val="none"/>
              </w:rPr>
              <w:t>法人或其他组织</w:t>
            </w:r>
            <w:r>
              <w:rPr>
                <w:rFonts w:hint="eastAsia" w:ascii="宋体" w:hAnsi="宋体" w:cs="宋体"/>
                <w:color w:val="auto"/>
                <w:highlight w:val="none"/>
              </w:rPr>
              <w:t>，需提供成立之日起至响应文件提交截止时间前的月报表</w:t>
            </w:r>
            <w:r>
              <w:rPr>
                <w:rFonts w:hint="eastAsia" w:ascii="宋体" w:hAnsi="宋体" w:cs="宋体"/>
                <w:color w:val="auto"/>
                <w:szCs w:val="21"/>
                <w:highlight w:val="none"/>
              </w:rPr>
              <w:t>或银行出具的资信证明；资信证明应在有效期内，未注明有效期的，银行出具时间至响应文件提交截止时间不超过一年）；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除自然人外必须提供，否则响应文件按无效响应处理</w:t>
            </w:r>
            <w:r>
              <w:rPr>
                <w:rFonts w:hint="eastAsia" w:ascii="宋体" w:hAnsi="宋体" w:cs="宋体"/>
                <w:bCs/>
                <w:color w:val="auto"/>
                <w:szCs w:val="21"/>
                <w:highlight w:val="none"/>
              </w:rPr>
              <w:t>）</w:t>
            </w:r>
          </w:p>
          <w:p w14:paraId="12802D7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23AE0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E86E04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4F8E8067">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8、中小企业声明函或由省级以上监狱管理局、戒毒管理局（含新疆生产建设兵团）出具的属于监狱企业的证明文件或残疾人福利性单位声明函（格式后附）；（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DD6929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11CABE7B">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w:t>
            </w:r>
          </w:p>
          <w:p w14:paraId="67CFC2D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74323F1B">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2、竞标声明必须由法定代表人在规定签章处签字并加盖供应商公章，否则响应文件按无效响应处理。</w:t>
            </w:r>
          </w:p>
          <w:p w14:paraId="5E0AA528">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3、供应商直接控股、管理关系信息表必须由法定代表人或者委托代理人在规定签章处签字并加盖供应商公章，否则响应文件按无效响应处理。</w:t>
            </w:r>
          </w:p>
          <w:p w14:paraId="1D7AD189">
            <w:pPr>
              <w:pStyle w:val="15"/>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4、联合体竞标时，第1-5项资格证明文件联合体各方均必须分别提供，联合体各方分别盖章和签字，否则响应文件按无效响应处理。</w:t>
            </w:r>
          </w:p>
          <w:p w14:paraId="5C8D2B7F">
            <w:pPr>
              <w:pStyle w:val="15"/>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5、分公司参加竞标的，应当取得总公司授权，否则响应文件按无效响应处理。</w:t>
            </w:r>
          </w:p>
        </w:tc>
      </w:tr>
      <w:tr w14:paraId="299C1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066A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627" w:type="dxa"/>
            <w:vAlign w:val="center"/>
          </w:tcPr>
          <w:p w14:paraId="488D3F9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6E1DA92A">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D9FFC5">
            <w:pPr>
              <w:spacing w:line="360" w:lineRule="auto"/>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65627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9167C1">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A23D4DE">
            <w:pPr>
              <w:spacing w:line="360" w:lineRule="auto"/>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FC8C6EC">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E74FB6">
            <w:pPr>
              <w:spacing w:line="360" w:lineRule="auto"/>
              <w:rPr>
                <w:rFonts w:ascii="宋体" w:hAnsi="宋体" w:cs="宋体"/>
                <w:color w:val="auto"/>
                <w:szCs w:val="21"/>
                <w:highlight w:val="none"/>
              </w:rPr>
            </w:pPr>
            <w:r>
              <w:rPr>
                <w:rFonts w:hint="eastAsia" w:ascii="宋体" w:hAnsi="宋体" w:cs="宋体"/>
                <w:color w:val="auto"/>
                <w:szCs w:val="21"/>
                <w:highlight w:val="none"/>
              </w:rPr>
              <w:t>7、服务方案（格式自拟）；（</w:t>
            </w:r>
            <w:r>
              <w:rPr>
                <w:rFonts w:hint="eastAsia" w:ascii="宋体" w:hAnsi="宋体" w:cs="宋体"/>
                <w:b/>
                <w:color w:val="auto"/>
                <w:szCs w:val="21"/>
                <w:highlight w:val="none"/>
              </w:rPr>
              <w:t>根据竞争性磋商文件的要求提供</w:t>
            </w:r>
            <w:r>
              <w:rPr>
                <w:rFonts w:hint="eastAsia" w:ascii="宋体" w:hAnsi="宋体" w:cs="宋体"/>
                <w:color w:val="auto"/>
                <w:szCs w:val="21"/>
                <w:highlight w:val="none"/>
              </w:rPr>
              <w:t>）</w:t>
            </w:r>
          </w:p>
          <w:p w14:paraId="3F155C07">
            <w:pPr>
              <w:spacing w:line="360" w:lineRule="auto"/>
              <w:rPr>
                <w:rFonts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F038670">
            <w:pPr>
              <w:spacing w:line="360" w:lineRule="auto"/>
              <w:rPr>
                <w:rFonts w:ascii="宋体" w:hAnsi="宋体" w:cs="宋体"/>
                <w:color w:val="auto"/>
                <w:szCs w:val="21"/>
                <w:highlight w:val="none"/>
              </w:rPr>
            </w:pPr>
            <w:r>
              <w:rPr>
                <w:rFonts w:hint="eastAsia" w:ascii="宋体" w:hAnsi="宋体" w:cs="宋体"/>
                <w:color w:val="auto"/>
                <w:szCs w:val="21"/>
                <w:highlight w:val="none"/>
              </w:rPr>
              <w:t>9、项目实施人员一览表（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 xml:space="preserve">）； </w:t>
            </w:r>
          </w:p>
          <w:p w14:paraId="30B3878F">
            <w:pPr>
              <w:spacing w:line="360" w:lineRule="auto"/>
              <w:rPr>
                <w:rFonts w:ascii="宋体" w:hAnsi="宋体" w:cs="宋体"/>
                <w:color w:val="auto"/>
                <w:szCs w:val="21"/>
                <w:highlight w:val="none"/>
              </w:rPr>
            </w:pPr>
            <w:r>
              <w:rPr>
                <w:rFonts w:hint="eastAsia" w:ascii="宋体" w:hAnsi="宋体" w:cs="宋体"/>
                <w:color w:val="auto"/>
                <w:szCs w:val="21"/>
                <w:highlight w:val="none"/>
              </w:rPr>
              <w:t>10、对应采购需求的技术要求、商务要求提供的其他文件资料（格式自拟）；</w:t>
            </w:r>
          </w:p>
          <w:p w14:paraId="698F6ECA">
            <w:pPr>
              <w:spacing w:line="360" w:lineRule="auto"/>
              <w:rPr>
                <w:rFonts w:ascii="宋体" w:hAnsi="宋体" w:cs="宋体"/>
                <w:b/>
                <w:color w:val="auto"/>
                <w:szCs w:val="21"/>
                <w:highlight w:val="none"/>
              </w:rPr>
            </w:pPr>
            <w:r>
              <w:rPr>
                <w:rFonts w:hint="eastAsia" w:ascii="宋体" w:hAnsi="宋体" w:cs="宋体"/>
                <w:color w:val="auto"/>
                <w:szCs w:val="21"/>
                <w:highlight w:val="none"/>
              </w:rPr>
              <w:t>11、供应商认为需要提供的其他有关资料。</w:t>
            </w:r>
          </w:p>
          <w:p w14:paraId="3F012490">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注：以上标明“必须提供”的材料属于复印件的，必须加盖供应商公章，否则响应文件按无效响应处理。</w:t>
            </w:r>
          </w:p>
        </w:tc>
      </w:tr>
      <w:tr w14:paraId="62D3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1128A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627" w:type="dxa"/>
            <w:vAlign w:val="center"/>
          </w:tcPr>
          <w:p w14:paraId="51321C3B">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磋商报价</w:t>
            </w:r>
            <w:r>
              <w:rPr>
                <w:rFonts w:hint="eastAsia" w:ascii="宋体" w:hAnsi="宋体" w:cs="宋体"/>
                <w:bCs/>
                <w:color w:val="auto"/>
                <w:szCs w:val="21"/>
                <w:highlight w:val="none"/>
                <w:lang w:eastAsia="zh-CN"/>
              </w:rPr>
              <w:t>：</w:t>
            </w:r>
            <w:r>
              <w:rPr>
                <w:rFonts w:hint="eastAsia" w:ascii="宋体" w:hAnsi="宋体" w:cs="宋体"/>
                <w:b/>
                <w:bCs/>
                <w:color w:val="auto"/>
                <w:szCs w:val="21"/>
                <w:highlight w:val="none"/>
              </w:rPr>
              <w:t>供应商按单价进行报价。</w:t>
            </w:r>
            <w:r>
              <w:rPr>
                <w:rFonts w:hint="eastAsia" w:ascii="宋体" w:hAnsi="宋体" w:cs="宋体"/>
                <w:color w:val="auto"/>
                <w:szCs w:val="21"/>
                <w:highlight w:val="none"/>
              </w:rPr>
              <w:t>竞标报价是履行合同的最终价格，即满足全部采购需求所应提供的服务的价格。包括竞标服务的成本、运输（含保险）、税费、车辆保险、乘客人身保险、车辆养护维修费用等所有费用。各项单价报价不得超出&lt;磋商报价明细表&gt;中上控价。如使用其他车型双方可根据正常市场价格协商确定。</w:t>
            </w:r>
          </w:p>
        </w:tc>
      </w:tr>
      <w:tr w14:paraId="5258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FBDB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8627" w:type="dxa"/>
            <w:vAlign w:val="center"/>
          </w:tcPr>
          <w:p w14:paraId="3806E63E">
            <w:pPr>
              <w:spacing w:line="360" w:lineRule="auto"/>
              <w:rPr>
                <w:rFonts w:ascii="宋体" w:hAnsi="宋体" w:cs="宋体"/>
                <w:color w:val="auto"/>
                <w:szCs w:val="21"/>
                <w:highlight w:val="none"/>
              </w:rPr>
            </w:pPr>
            <w:r>
              <w:rPr>
                <w:rFonts w:hint="eastAsia" w:ascii="宋体" w:hAnsi="宋体" w:cs="宋体"/>
                <w:color w:val="auto"/>
                <w:szCs w:val="21"/>
                <w:highlight w:val="none"/>
              </w:rPr>
              <w:t>竞标有效期：首次响应文件提交截止之日起60天内。</w:t>
            </w:r>
          </w:p>
        </w:tc>
      </w:tr>
      <w:tr w14:paraId="39E27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6357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627" w:type="dxa"/>
            <w:vAlign w:val="center"/>
          </w:tcPr>
          <w:p w14:paraId="05E5189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本项目收取磋商保证金，具体规定如下：</w:t>
            </w:r>
          </w:p>
          <w:p w14:paraId="0774B08B">
            <w:pPr>
              <w:widowControl/>
              <w:spacing w:line="360" w:lineRule="auto"/>
              <w:rPr>
                <w:rFonts w:ascii="宋体" w:hAnsi="宋体" w:cs="宋体"/>
                <w:color w:val="auto"/>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21000.00</w:t>
            </w:r>
            <w:r>
              <w:rPr>
                <w:rFonts w:hint="eastAsia" w:ascii="宋体" w:hAnsi="宋体" w:cs="宋体"/>
                <w:color w:val="auto"/>
                <w:szCs w:val="21"/>
                <w:highlight w:val="none"/>
              </w:rPr>
              <w:t>元；</w:t>
            </w:r>
          </w:p>
          <w:p w14:paraId="7351578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磋商保证金的交纳方式：银行转账、支票、汇票、本票或者金融、担保金融、担保机构出具的保函，禁止采用现钞方式。采用银行转账方式的，在响应文件提交截止时间前交至指定账户并且到账（开户银行：</w:t>
            </w:r>
            <w:r>
              <w:rPr>
                <w:rFonts w:hint="eastAsia" w:ascii="宋体" w:hAnsi="宋体" w:cs="宋体"/>
                <w:color w:val="auto"/>
                <w:kern w:val="0"/>
                <w:szCs w:val="21"/>
                <w:highlight w:val="none"/>
                <w:u w:val="single"/>
              </w:rPr>
              <w:t xml:space="preserve"> 广西北部湾银行股份有限公司南宁分行</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广西国泰招标咨询有限公司</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0101012090615711</w:t>
            </w:r>
            <w:r>
              <w:rPr>
                <w:rFonts w:hint="eastAsia" w:ascii="宋体" w:hAnsi="宋体" w:cs="宋体"/>
                <w:color w:val="auto"/>
                <w:kern w:val="0"/>
                <w:szCs w:val="21"/>
                <w:highlight w:val="none"/>
              </w:rPr>
              <w:t>）；采用支票、汇票、本票或者保函等方式的，在响应文件提交截止时间前，供应商必须提交支票、汇票、本票或者保函原件。否则视为无效磋商保证金。</w:t>
            </w:r>
          </w:p>
          <w:p w14:paraId="3552BC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4CBA59F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06153CC">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r>
              <w:rPr>
                <w:rFonts w:hint="eastAsia" w:ascii="宋体" w:hAnsi="宋体" w:cs="宋体"/>
                <w:b/>
                <w:color w:val="auto"/>
                <w:szCs w:val="21"/>
                <w:highlight w:val="none"/>
              </w:rPr>
              <w:t>供应商必须在首次响应文件提交截止时间前将支票、汇票、本票或者金融、</w:t>
            </w:r>
            <w:r>
              <w:rPr>
                <w:rFonts w:hint="eastAsia" w:ascii="宋体" w:hAnsi="宋体"/>
                <w:b/>
                <w:color w:val="auto"/>
                <w:szCs w:val="21"/>
                <w:highlight w:val="none"/>
              </w:rPr>
              <w:t>担保机构出具</w:t>
            </w:r>
            <w:r>
              <w:rPr>
                <w:rFonts w:hint="eastAsia" w:ascii="宋体" w:hAnsi="宋体"/>
                <w:b/>
                <w:bCs/>
                <w:color w:val="auto"/>
                <w:szCs w:val="21"/>
                <w:highlight w:val="none"/>
              </w:rPr>
              <w:t>的保函原件（电子保函的打印保函并加盖供应商公章）等单独密封提交给采购代理机构</w:t>
            </w:r>
            <w:r>
              <w:rPr>
                <w:rFonts w:hint="eastAsia" w:ascii="宋体" w:hAnsi="宋体" w:cs="宋体"/>
                <w:b/>
                <w:color w:val="auto"/>
                <w:szCs w:val="21"/>
                <w:highlight w:val="none"/>
              </w:rPr>
              <w:t>，由采购代理机构向供应商出具回执，并妥善保管。联系人：黄柳娜  联系电话：0771-2023496。</w:t>
            </w:r>
          </w:p>
          <w:p w14:paraId="31F65CA9">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7E5A66F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20E0B495">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738CCA4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63B40F3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56318E8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08C8770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p w14:paraId="57F2F4F7">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6、保证金凭证应注明正确的项目编号、分标号（如有）等信息，否则，信息不明确或有误的将可能被视为无效磋商保证金，并有可能影响保证金的及时退付。</w:t>
            </w:r>
          </w:p>
        </w:tc>
      </w:tr>
      <w:tr w14:paraId="70D14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195056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18.2</w:t>
            </w:r>
          </w:p>
        </w:tc>
        <w:tc>
          <w:tcPr>
            <w:tcW w:w="8627" w:type="dxa"/>
            <w:vAlign w:val="center"/>
          </w:tcPr>
          <w:p w14:paraId="6A2E0354">
            <w:pPr>
              <w:spacing w:line="360" w:lineRule="auto"/>
              <w:rPr>
                <w:rFonts w:ascii="宋体" w:hAnsi="宋体" w:cs="宋体"/>
                <w:color w:val="auto"/>
                <w:szCs w:val="21"/>
                <w:highlight w:val="none"/>
              </w:rPr>
            </w:pPr>
            <w:r>
              <w:rPr>
                <w:rFonts w:hint="eastAsia" w:ascii="宋体" w:hAnsi="宋体" w:cs="宋体"/>
                <w:color w:val="auto"/>
                <w:szCs w:val="21"/>
                <w:highlight w:val="none"/>
              </w:rPr>
              <w:t>响应文件应按资格证明文件、报价商务技术文件分别编制，并按广西政府采购云平台的要求编制、加密、上传。</w:t>
            </w:r>
          </w:p>
        </w:tc>
      </w:tr>
      <w:tr w14:paraId="326F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BC8B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627" w:type="dxa"/>
            <w:vAlign w:val="center"/>
          </w:tcPr>
          <w:p w14:paraId="5386BFC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0B384356">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3851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B917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627" w:type="dxa"/>
            <w:vAlign w:val="center"/>
          </w:tcPr>
          <w:p w14:paraId="2AC79FBC">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磋商小组的人数：3人。</w:t>
            </w:r>
          </w:p>
        </w:tc>
      </w:tr>
      <w:tr w14:paraId="1A29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B8D73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25.2</w:t>
            </w:r>
          </w:p>
        </w:tc>
        <w:tc>
          <w:tcPr>
            <w:tcW w:w="8627" w:type="dxa"/>
            <w:vAlign w:val="center"/>
          </w:tcPr>
          <w:p w14:paraId="4B87802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p>
        </w:tc>
      </w:tr>
      <w:tr w14:paraId="208FE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1104A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8627" w:type="dxa"/>
            <w:vAlign w:val="center"/>
          </w:tcPr>
          <w:p w14:paraId="6EEA8EF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5370EA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项。</w:t>
            </w:r>
          </w:p>
        </w:tc>
      </w:tr>
      <w:tr w14:paraId="1D3A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92" w:type="dxa"/>
            <w:vMerge w:val="continue"/>
            <w:vAlign w:val="center"/>
          </w:tcPr>
          <w:p w14:paraId="4DEF830C">
            <w:pPr>
              <w:spacing w:line="360" w:lineRule="auto"/>
              <w:jc w:val="center"/>
              <w:rPr>
                <w:rFonts w:ascii="宋体" w:hAnsi="宋体" w:cs="宋体"/>
                <w:color w:val="auto"/>
                <w:szCs w:val="21"/>
                <w:highlight w:val="none"/>
              </w:rPr>
            </w:pPr>
          </w:p>
        </w:tc>
        <w:tc>
          <w:tcPr>
            <w:tcW w:w="8627" w:type="dxa"/>
            <w:vAlign w:val="center"/>
          </w:tcPr>
          <w:p w14:paraId="75A59DE3">
            <w:pPr>
              <w:pStyle w:val="15"/>
              <w:spacing w:line="320" w:lineRule="exact"/>
              <w:jc w:val="both"/>
              <w:rPr>
                <w:rFonts w:ascii="宋体" w:hAnsi="宋体" w:cs="宋体"/>
                <w:color w:val="auto"/>
                <w:szCs w:val="21"/>
                <w:highlight w:val="none"/>
              </w:rPr>
            </w:pPr>
            <w:r>
              <w:rPr>
                <w:rFonts w:hint="eastAsia" w:ascii="宋体" w:hAnsi="宋体" w:cs="宋体"/>
                <w:color w:val="auto"/>
                <w:szCs w:val="21"/>
                <w:highlight w:val="none"/>
              </w:rPr>
              <w:t>磋商的顺序：按“广西政府采购云平台”系统的编号顺序。</w:t>
            </w:r>
          </w:p>
          <w:p w14:paraId="75871850">
            <w:pPr>
              <w:pStyle w:val="15"/>
              <w:spacing w:line="360" w:lineRule="auto"/>
              <w:jc w:val="both"/>
              <w:rPr>
                <w:rFonts w:ascii="宋体" w:hAnsi="宋体" w:cs="宋体"/>
                <w:b/>
                <w:color w:val="auto"/>
                <w:szCs w:val="21"/>
                <w:highlight w:val="none"/>
              </w:rPr>
            </w:pPr>
            <w:r>
              <w:rPr>
                <w:rFonts w:hint="eastAsia" w:ascii="宋体" w:hAnsi="宋体" w:cs="宋体"/>
                <w:b/>
                <w:color w:val="auto"/>
                <w:szCs w:val="21"/>
                <w:highlight w:val="none"/>
              </w:rPr>
              <w:t>符合磋商资格的供应商必须在接到磋商通知后规定时间内参加磋商，未在规定时间内参加磋商的视同放弃参加磋商权利，其响应文件按无效响应处理。</w:t>
            </w:r>
          </w:p>
          <w:p w14:paraId="271B6079">
            <w:pPr>
              <w:pStyle w:val="15"/>
              <w:spacing w:line="360" w:lineRule="auto"/>
              <w:jc w:val="both"/>
              <w:rPr>
                <w:rFonts w:ascii="宋体" w:hAnsi="宋体" w:cs="宋体"/>
                <w:b/>
                <w:color w:val="auto"/>
                <w:szCs w:val="21"/>
                <w:highlight w:val="none"/>
              </w:rPr>
            </w:pPr>
            <w:r>
              <w:rPr>
                <w:rFonts w:hint="eastAsia" w:ascii="宋体" w:hAnsi="宋体" w:cs="宋体"/>
                <w:b/>
                <w:color w:val="auto"/>
                <w:szCs w:val="21"/>
                <w:highlight w:val="none"/>
              </w:rPr>
              <w:t>注：参与磋商前，供应商法定代表人或者委托代理人向磋商小组出示本人有效证件原件[有效证件可以是身份证（含临时身份证明）或者护照的其中一项]。</w:t>
            </w:r>
          </w:p>
        </w:tc>
      </w:tr>
      <w:tr w14:paraId="78394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6180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8627" w:type="dxa"/>
            <w:vAlign w:val="center"/>
          </w:tcPr>
          <w:p w14:paraId="3C844BB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323F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F8B8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8627" w:type="dxa"/>
            <w:vAlign w:val="center"/>
          </w:tcPr>
          <w:p w14:paraId="326600D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4A3EB4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64C795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2114C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34B0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8627" w:type="dxa"/>
            <w:vAlign w:val="center"/>
          </w:tcPr>
          <w:p w14:paraId="68C1D66F">
            <w:pPr>
              <w:pStyle w:val="19"/>
              <w:snapToGrid w:val="0"/>
              <w:spacing w:line="360" w:lineRule="auto"/>
              <w:rPr>
                <w:rFonts w:hAnsi="宋体" w:cs="宋体"/>
                <w:color w:val="auto"/>
                <w:sz w:val="21"/>
                <w:highlight w:val="none"/>
              </w:rPr>
            </w:pPr>
            <w:r>
              <w:rPr>
                <w:rFonts w:hint="eastAsia" w:hAnsi="宋体" w:cs="宋体"/>
                <w:color w:val="auto"/>
                <w:sz w:val="21"/>
                <w:highlight w:val="none"/>
              </w:rPr>
              <w:t>接收质疑函方式：以纸质书面形式。</w:t>
            </w:r>
          </w:p>
          <w:p w14:paraId="3EA9F162">
            <w:pPr>
              <w:pStyle w:val="19"/>
              <w:snapToGrid w:val="0"/>
              <w:spacing w:line="360" w:lineRule="auto"/>
              <w:rPr>
                <w:rFonts w:hAnsi="宋体" w:cs="宋体"/>
                <w:color w:val="auto"/>
                <w:sz w:val="21"/>
                <w:highlight w:val="none"/>
              </w:rPr>
            </w:pPr>
            <w:r>
              <w:rPr>
                <w:rFonts w:hint="eastAsia" w:hAnsi="宋体" w:cs="宋体"/>
                <w:color w:val="auto"/>
                <w:sz w:val="21"/>
                <w:highlight w:val="none"/>
              </w:rPr>
              <w:t>质疑联系部门及联系方式：广西国泰招标咨询有限公司，质疑联系人：黄柳娜  联系电话：0771-2023496，通讯地址：广西南宁市民族大道141号中鼎万象东方大厦C区六层</w:t>
            </w:r>
          </w:p>
          <w:p w14:paraId="2886FD35">
            <w:pPr>
              <w:pStyle w:val="19"/>
              <w:snapToGrid w:val="0"/>
              <w:spacing w:line="360" w:lineRule="auto"/>
              <w:rPr>
                <w:rFonts w:hAnsi="宋体" w:cs="宋体"/>
                <w:color w:val="auto"/>
                <w:highlight w:val="none"/>
              </w:rPr>
            </w:pPr>
            <w:r>
              <w:rPr>
                <w:rFonts w:hint="eastAsia" w:hAnsi="宋体" w:cs="宋体"/>
                <w:color w:val="auto"/>
                <w:sz w:val="21"/>
                <w:highlight w:val="none"/>
              </w:rPr>
              <w:t>现场提交质疑办理业务时间：工作日，上午8:00-12:00；下午15:00-18:00（北京时间）</w:t>
            </w:r>
          </w:p>
        </w:tc>
      </w:tr>
      <w:tr w14:paraId="7AB1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47A14F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8627" w:type="dxa"/>
            <w:vAlign w:val="center"/>
          </w:tcPr>
          <w:p w14:paraId="38B67A82">
            <w:pPr>
              <w:pStyle w:val="19"/>
              <w:snapToGrid w:val="0"/>
              <w:spacing w:line="400" w:lineRule="exact"/>
              <w:rPr>
                <w:rFonts w:hAnsi="宋体" w:cs="宋体"/>
                <w:color w:val="auto"/>
                <w:sz w:val="21"/>
                <w:highlight w:val="none"/>
              </w:rPr>
            </w:pPr>
            <w:r>
              <w:rPr>
                <w:rFonts w:hint="eastAsia" w:hAnsi="宋体" w:cs="宋体"/>
                <w:color w:val="auto"/>
                <w:sz w:val="21"/>
                <w:highlight w:val="none"/>
              </w:rPr>
              <w:t>1、采购代理服务费支付方式：</w:t>
            </w:r>
            <w:r>
              <w:rPr>
                <w:rFonts w:hint="eastAsia" w:hAnsi="宋体"/>
                <w:color w:val="auto"/>
                <w:sz w:val="21"/>
                <w:highlight w:val="none"/>
              </w:rPr>
              <w:t>本项目的招标代理服务费按以下收费标准向</w:t>
            </w:r>
            <w:r>
              <w:rPr>
                <w:rFonts w:hint="eastAsia" w:hAnsi="宋体" w:cs="宋体"/>
                <w:color w:val="auto"/>
                <w:sz w:val="21"/>
                <w:highlight w:val="none"/>
              </w:rPr>
              <w:t>成交供应商</w:t>
            </w:r>
            <w:r>
              <w:rPr>
                <w:rFonts w:hint="eastAsia" w:hAnsi="宋体"/>
                <w:color w:val="auto"/>
                <w:sz w:val="21"/>
                <w:highlight w:val="none"/>
              </w:rPr>
              <w:t>收取，领取成交通知书前，</w:t>
            </w:r>
            <w:r>
              <w:rPr>
                <w:rFonts w:hint="eastAsia" w:hAnsi="宋体" w:cs="宋体"/>
                <w:color w:val="auto"/>
                <w:sz w:val="21"/>
                <w:highlight w:val="none"/>
              </w:rPr>
              <w:t>成交供应商</w:t>
            </w:r>
            <w:r>
              <w:rPr>
                <w:rFonts w:hint="eastAsia" w:hAnsi="宋体"/>
                <w:color w:val="auto"/>
                <w:sz w:val="21"/>
                <w:highlight w:val="none"/>
              </w:rPr>
              <w:t>应向采购代理机构一次付清招标代理服务费，否则采购代理机构有权不予以办理。</w:t>
            </w:r>
          </w:p>
          <w:p w14:paraId="193EF11D">
            <w:pPr>
              <w:pStyle w:val="19"/>
              <w:snapToGrid w:val="0"/>
              <w:spacing w:line="400" w:lineRule="exact"/>
              <w:rPr>
                <w:rFonts w:hAnsi="宋体" w:cs="宋体"/>
                <w:color w:val="auto"/>
                <w:sz w:val="21"/>
                <w:highlight w:val="none"/>
              </w:rPr>
            </w:pPr>
            <w:r>
              <w:rPr>
                <w:rFonts w:hint="eastAsia" w:hAnsi="宋体" w:cs="宋体"/>
                <w:color w:val="auto"/>
                <w:sz w:val="21"/>
                <w:highlight w:val="none"/>
              </w:rPr>
              <w:t>2、采购代理服务费收取标准：本项目为单价报价，采购代理服务费以</w:t>
            </w:r>
            <w:r>
              <w:rPr>
                <w:rFonts w:hint="eastAsia" w:hAnsi="宋体" w:cs="宋体"/>
                <w:b/>
                <w:bCs/>
                <w:color w:val="auto"/>
                <w:sz w:val="21"/>
                <w:highlight w:val="none"/>
              </w:rPr>
              <w:t>采购预算</w:t>
            </w:r>
            <w:r>
              <w:rPr>
                <w:rFonts w:hint="eastAsia" w:hAnsi="宋体" w:cs="宋体"/>
                <w:color w:val="auto"/>
                <w:sz w:val="21"/>
                <w:highlight w:val="none"/>
              </w:rPr>
              <w:t>金额为计费额，按本须知正文第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w:t>
            </w:r>
            <w:r>
              <w:rPr>
                <w:rFonts w:hint="eastAsia" w:hAnsi="宋体" w:cs="宋体"/>
                <w:b/>
                <w:color w:val="auto"/>
                <w:sz w:val="21"/>
                <w:highlight w:val="none"/>
              </w:rPr>
              <w:t>服务类</w:t>
            </w:r>
            <w:r>
              <w:rPr>
                <w:rFonts w:hint="eastAsia" w:hAnsi="宋体" w:cs="宋体"/>
                <w:color w:val="auto"/>
                <w:sz w:val="21"/>
                <w:highlight w:val="none"/>
              </w:rPr>
              <w:t>）采用差额定率累进法计算出收费基准价格，采购代理服务费收费按收费基准价格收取。</w:t>
            </w:r>
          </w:p>
          <w:p w14:paraId="469B9E6E">
            <w:pPr>
              <w:pStyle w:val="19"/>
              <w:snapToGrid w:val="0"/>
              <w:spacing w:line="400" w:lineRule="exact"/>
              <w:rPr>
                <w:rFonts w:hAnsi="宋体" w:cs="宋体"/>
                <w:color w:val="auto"/>
                <w:sz w:val="21"/>
                <w:highlight w:val="none"/>
              </w:rPr>
            </w:pPr>
            <w:r>
              <w:rPr>
                <w:rFonts w:hint="eastAsia" w:hAnsi="宋体" w:cs="宋体"/>
                <w:color w:val="auto"/>
                <w:sz w:val="21"/>
                <w:highlight w:val="none"/>
              </w:rPr>
              <w:t>3、代理服务费缴费账户信息：</w:t>
            </w:r>
          </w:p>
          <w:p w14:paraId="2FA007AB">
            <w:pPr>
              <w:pStyle w:val="19"/>
              <w:snapToGrid w:val="0"/>
              <w:spacing w:line="400" w:lineRule="exact"/>
              <w:rPr>
                <w:rFonts w:hAnsi="宋体" w:cs="宋体"/>
                <w:color w:val="auto"/>
                <w:sz w:val="21"/>
                <w:highlight w:val="none"/>
              </w:rPr>
            </w:pPr>
            <w:r>
              <w:rPr>
                <w:rFonts w:hint="eastAsia" w:hAnsi="宋体" w:cs="宋体"/>
                <w:color w:val="auto"/>
                <w:sz w:val="21"/>
                <w:highlight w:val="none"/>
              </w:rPr>
              <w:t>开户名称：广西国泰招标咨询有限公司南宁第五分公司</w:t>
            </w:r>
          </w:p>
          <w:p w14:paraId="10253848">
            <w:pPr>
              <w:pStyle w:val="19"/>
              <w:snapToGrid w:val="0"/>
              <w:spacing w:line="400" w:lineRule="exact"/>
              <w:rPr>
                <w:rFonts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63D3724C">
            <w:pPr>
              <w:pStyle w:val="19"/>
              <w:snapToGrid w:val="0"/>
              <w:spacing w:line="400" w:lineRule="exact"/>
              <w:rPr>
                <w:rFonts w:hAnsi="宋体" w:cs="宋体"/>
                <w:color w:val="auto"/>
                <w:sz w:val="21"/>
                <w:highlight w:val="none"/>
              </w:rPr>
            </w:pPr>
            <w:r>
              <w:rPr>
                <w:rFonts w:hint="eastAsia" w:hAnsi="宋体" w:cs="宋体"/>
                <w:color w:val="auto"/>
                <w:sz w:val="21"/>
                <w:highlight w:val="none"/>
              </w:rPr>
              <w:t>银行账号：805022302700001</w:t>
            </w:r>
          </w:p>
        </w:tc>
      </w:tr>
      <w:tr w14:paraId="1A8F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350C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8627" w:type="dxa"/>
            <w:vAlign w:val="center"/>
          </w:tcPr>
          <w:p w14:paraId="7DB66ACD">
            <w:pPr>
              <w:pStyle w:val="19"/>
              <w:snapToGrid w:val="0"/>
              <w:spacing w:line="360" w:lineRule="auto"/>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7811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498250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8627" w:type="dxa"/>
            <w:vAlign w:val="center"/>
          </w:tcPr>
          <w:p w14:paraId="314D8350">
            <w:pPr>
              <w:pStyle w:val="19"/>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49623E65">
            <w:pPr>
              <w:pStyle w:val="19"/>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5858DBB">
            <w:pPr>
              <w:pStyle w:val="19"/>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3、本磋商文件中描述供应商的“签字”是指供应商的法定代表人或者委托代理人在文件规定签署处签名（含电子签名）的行为，私章、印鉴等其他形式均不能代替签字。</w:t>
            </w:r>
          </w:p>
          <w:p w14:paraId="437C56E9">
            <w:pPr>
              <w:pStyle w:val="19"/>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6ACDCF61">
            <w:pPr>
              <w:pStyle w:val="19"/>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6EDBFC2C">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6B41AC08">
      <w:pPr>
        <w:spacing w:line="400" w:lineRule="exact"/>
        <w:jc w:val="center"/>
        <w:rPr>
          <w:rFonts w:ascii="宋体" w:hAnsi="宋体" w:cs="宋体"/>
          <w:b/>
          <w:color w:val="auto"/>
          <w:sz w:val="32"/>
          <w:szCs w:val="32"/>
          <w:highlight w:val="none"/>
        </w:rPr>
      </w:pPr>
    </w:p>
    <w:p w14:paraId="4750C54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102357BA">
      <w:pPr>
        <w:spacing w:line="400" w:lineRule="exact"/>
        <w:rPr>
          <w:rFonts w:ascii="宋体" w:hAnsi="宋体" w:cs="宋体"/>
          <w:color w:val="auto"/>
          <w:szCs w:val="21"/>
          <w:highlight w:val="none"/>
        </w:rPr>
      </w:pPr>
    </w:p>
    <w:p w14:paraId="39EF97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638A61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9C3B8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A9DF33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0B7F5C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006067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E68E0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A55E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CA411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1D9EE2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0419BF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961978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3C98DFF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752E59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0C6B852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3B4256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57299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738997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0F7F2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559BAA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72670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C17F9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2F678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3C5F16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26" w:name="_Hlk66782192"/>
      <w:r>
        <w:rPr>
          <w:rFonts w:hint="eastAsia" w:ascii="宋体" w:hAnsi="宋体" w:cs="宋体"/>
          <w:color w:val="auto"/>
          <w:szCs w:val="21"/>
          <w:highlight w:val="none"/>
        </w:rPr>
        <w:t>根据《政府采购促进中小企业发展管理办法》（财库〔2020〕46号）第九条第二款</w:t>
      </w:r>
      <w:r>
        <w:rPr>
          <w:rFonts w:hint="eastAsia" w:ascii="宋体" w:hAnsi="宋体" w:cs="宋体"/>
          <w:bCs/>
          <w:color w:val="auto"/>
          <w:szCs w:val="21"/>
          <w:highlight w:val="none"/>
        </w:rPr>
        <w:t>以及《广西壮族自治区财政厅关于持续优化政府采购营商环境推动高质量发展的通知》（桂财采〔2024〕55号）的</w:t>
      </w:r>
      <w:r>
        <w:rPr>
          <w:rFonts w:hint="eastAsia" w:ascii="宋体" w:hAnsi="宋体" w:cs="宋体"/>
          <w:color w:val="auto"/>
          <w:szCs w:val="21"/>
          <w:highlight w:val="none"/>
        </w:rPr>
        <w:t>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6"/>
    </w:p>
    <w:p w14:paraId="055DDE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759911E8">
      <w:pPr>
        <w:pStyle w:val="9"/>
        <w:keepNext w:val="0"/>
        <w:keepLines w:val="0"/>
        <w:spacing w:before="0" w:after="0" w:line="360" w:lineRule="auto"/>
        <w:ind w:left="420" w:leftChars="200"/>
        <w:rPr>
          <w:rFonts w:ascii="宋体" w:hAnsi="宋体" w:cs="宋体"/>
          <w:b w:val="0"/>
          <w:color w:val="auto"/>
          <w:sz w:val="21"/>
          <w:szCs w:val="21"/>
          <w:highlight w:val="none"/>
        </w:rPr>
      </w:pPr>
      <w:bookmarkStart w:id="27" w:name="_Toc254970673"/>
      <w:bookmarkStart w:id="28" w:name="_Toc254970532"/>
      <w:r>
        <w:rPr>
          <w:rFonts w:hint="eastAsia" w:ascii="宋体" w:hAnsi="宋体" w:cs="宋体"/>
          <w:b w:val="0"/>
          <w:color w:val="auto"/>
          <w:sz w:val="21"/>
          <w:szCs w:val="21"/>
          <w:highlight w:val="none"/>
        </w:rPr>
        <w:t>6.1本项目不允许转包。</w:t>
      </w:r>
    </w:p>
    <w:p w14:paraId="1E5A3E50">
      <w:pPr>
        <w:pStyle w:val="9"/>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095541E">
      <w:pPr>
        <w:pStyle w:val="9"/>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C4DDD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27"/>
      <w:bookmarkEnd w:id="28"/>
    </w:p>
    <w:p w14:paraId="2819F639">
      <w:pPr>
        <w:spacing w:line="360" w:lineRule="auto"/>
        <w:ind w:firstLine="420" w:firstLineChars="200"/>
        <w:rPr>
          <w:rFonts w:ascii="宋体" w:hAnsi="宋体" w:cs="宋体"/>
          <w:color w:val="auto"/>
          <w:szCs w:val="21"/>
          <w:highlight w:val="none"/>
        </w:rPr>
      </w:pPr>
      <w:bookmarkStart w:id="29" w:name="_8.1提供相同品牌产品且通过资格审查、符合性审查的不同投标人参加同一合"/>
      <w:bookmarkEnd w:id="29"/>
      <w:r>
        <w:rPr>
          <w:rFonts w:hint="eastAsia" w:ascii="宋体" w:hAnsi="宋体" w:cs="宋体"/>
          <w:color w:val="auto"/>
          <w:szCs w:val="21"/>
          <w:highlight w:val="none"/>
        </w:rPr>
        <w:t>7.1</w:t>
      </w:r>
      <w:bookmarkStart w:id="30"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30"/>
    <w:p w14:paraId="7797FB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7A31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7.3供应商在竞标活动中提供任何疑似虚假材料，将报监管部门查处；签订合同后发现的，成交供应商须依法赔偿采购人，且民事赔偿并不免除违法供应商的行政与刑事责任。</w:t>
      </w:r>
    </w:p>
    <w:p w14:paraId="31118A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ECE67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02A4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06084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6879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E2F01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E6778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9A24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0409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833C2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D2877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CBD03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E11FC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3E6EF3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C496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30FB87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8A36E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01082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F7F12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D307A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8316C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ACDD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B1A0ECF">
      <w:pPr>
        <w:spacing w:line="360" w:lineRule="auto"/>
        <w:ind w:firstLine="420" w:firstLineChars="200"/>
        <w:rPr>
          <w:rFonts w:ascii="宋体" w:hAnsi="宋体" w:cs="宋体"/>
          <w:color w:val="auto"/>
          <w:szCs w:val="21"/>
          <w:highlight w:val="none"/>
        </w:rPr>
      </w:pPr>
    </w:p>
    <w:p w14:paraId="50A7AD5B">
      <w:pPr>
        <w:spacing w:line="360" w:lineRule="auto"/>
        <w:ind w:left="1" w:firstLine="417" w:firstLineChars="199"/>
        <w:jc w:val="center"/>
        <w:rPr>
          <w:rFonts w:ascii="宋体" w:hAnsi="宋体" w:cs="宋体"/>
          <w:color w:val="auto"/>
          <w:highlight w:val="none"/>
        </w:rPr>
      </w:pPr>
      <w:bookmarkStart w:id="31" w:name="_Toc254970675"/>
      <w:bookmarkStart w:id="32" w:name="_Toc254970534"/>
    </w:p>
    <w:p w14:paraId="6B8F8DF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31"/>
      <w:bookmarkEnd w:id="32"/>
    </w:p>
    <w:p w14:paraId="1EF137BD">
      <w:pPr>
        <w:spacing w:line="360" w:lineRule="auto"/>
        <w:ind w:firstLine="482" w:firstLineChars="200"/>
        <w:rPr>
          <w:rFonts w:ascii="宋体" w:hAnsi="宋体" w:cs="宋体"/>
          <w:b/>
          <w:bCs/>
          <w:color w:val="auto"/>
          <w:sz w:val="24"/>
          <w:highlight w:val="none"/>
        </w:rPr>
      </w:pPr>
    </w:p>
    <w:p w14:paraId="4C8331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12FAA1C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570437D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97728E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0FA88F3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67B59BE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42AE92C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55FB4B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3948F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38EBC75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8E33DC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47BC82A0">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10.2采购人和采购代理机构可以视采购具体情况，变更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，并</w:t>
      </w:r>
      <w:r>
        <w:rPr>
          <w:rFonts w:hint="eastAsia" w:ascii="宋体" w:hAnsi="宋体" w:cs="宋体"/>
          <w:color w:val="auto"/>
          <w:szCs w:val="21"/>
          <w:highlight w:val="none"/>
        </w:rPr>
        <w:t>在原公告发布媒体上发布更正公告。</w:t>
      </w:r>
    </w:p>
    <w:p w14:paraId="26B3AC1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10.3</w:t>
      </w:r>
      <w:r>
        <w:rPr>
          <w:rFonts w:hint="eastAsia" w:ascii="宋体" w:hAnsi="宋体" w:cs="宋体"/>
          <w:color w:val="auto"/>
          <w:szCs w:val="21"/>
          <w:highlight w:val="none"/>
        </w:rPr>
        <w:t>磋商文件澄清、答复、修改、补充的内容为磋商文件的组成部分。</w:t>
      </w:r>
      <w:r>
        <w:rPr>
          <w:rFonts w:hint="eastAsia" w:ascii="宋体" w:hAnsi="宋体" w:cs="宋体"/>
          <w:b/>
          <w:color w:val="auto"/>
          <w:szCs w:val="21"/>
          <w:highlight w:val="none"/>
        </w:rPr>
        <w:t>当磋商文件与磋商文件的澄清、答复、修改、补充通知就同一内容的表述不一致时，以最后发出的文件为准。</w:t>
      </w:r>
    </w:p>
    <w:p w14:paraId="4A254506">
      <w:pPr>
        <w:spacing w:line="400" w:lineRule="exact"/>
        <w:ind w:firstLine="422" w:firstLineChars="200"/>
        <w:rPr>
          <w:rFonts w:ascii="宋体" w:hAnsi="宋体" w:cs="宋体"/>
          <w:b/>
          <w:color w:val="auto"/>
          <w:szCs w:val="21"/>
          <w:highlight w:val="none"/>
        </w:rPr>
      </w:pPr>
      <w:r>
        <w:rPr>
          <w:rFonts w:hint="eastAsia" w:ascii="宋体" w:hAnsi="宋体" w:cs="宋体"/>
          <w:b/>
          <w:color w:val="auto"/>
          <w:highlight w:val="none"/>
        </w:rPr>
        <w:t>10.4</w:t>
      </w:r>
      <w:r>
        <w:rPr>
          <w:rFonts w:hint="eastAsia" w:ascii="宋体" w:hAnsi="宋体" w:cs="宋体"/>
          <w:b/>
          <w:color w:val="auto"/>
          <w:szCs w:val="21"/>
          <w:highlight w:val="none"/>
        </w:rPr>
        <w:t>响应文件未按磋商文件的澄清、修改后的内容编制的，其响应文件作无效响应处理。</w:t>
      </w:r>
    </w:p>
    <w:p w14:paraId="2ABC0089">
      <w:pPr>
        <w:spacing w:line="400" w:lineRule="exact"/>
        <w:ind w:firstLine="422" w:firstLineChars="200"/>
        <w:rPr>
          <w:rFonts w:ascii="宋体" w:hAnsi="宋体" w:cs="宋体"/>
          <w:b/>
          <w:color w:val="auto"/>
          <w:szCs w:val="21"/>
          <w:highlight w:val="none"/>
        </w:rPr>
      </w:pPr>
    </w:p>
    <w:p w14:paraId="7CE5E5B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三、响应文件的编制</w:t>
      </w:r>
    </w:p>
    <w:p w14:paraId="5786E187">
      <w:pPr>
        <w:spacing w:line="360" w:lineRule="auto"/>
        <w:ind w:firstLine="482" w:firstLineChars="200"/>
        <w:rPr>
          <w:rFonts w:ascii="宋体" w:hAnsi="宋体" w:cs="宋体"/>
          <w:b/>
          <w:bCs/>
          <w:color w:val="auto"/>
          <w:sz w:val="24"/>
          <w:highlight w:val="none"/>
        </w:rPr>
      </w:pPr>
    </w:p>
    <w:p w14:paraId="481755E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24B73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5CF68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9D464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26FCDDA1">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7555259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1AF9D76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3C532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227415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2974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D7FDB6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4910C93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03F3246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022603AB">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7EE2FA2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15.3.1供应商的竞标报价应符合以下要求，否则响应文件按无效响应处理：</w:t>
      </w:r>
    </w:p>
    <w:p w14:paraId="0175A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48D122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40A55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15.3.2最后报价超过所竞标分标规定的采购预算金额或者最高限价的，其响应文件将按无效响应处理。</w:t>
      </w:r>
      <w:bookmarkStart w:id="33" w:name="_Hlk42592874"/>
    </w:p>
    <w:bookmarkEnd w:id="33"/>
    <w:p w14:paraId="06BCA5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45D45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18E5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28E36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B29B01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0A40A8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2344A92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3CDF7C3A">
      <w:pPr>
        <w:spacing w:line="360" w:lineRule="auto"/>
        <w:ind w:firstLine="420" w:firstLineChars="200"/>
        <w:rPr>
          <w:rFonts w:ascii="宋体" w:hAnsi="宋体" w:cs="宋体"/>
          <w:color w:val="auto"/>
          <w:szCs w:val="21"/>
          <w:highlight w:val="none"/>
        </w:rPr>
      </w:pPr>
      <w:bookmarkStart w:id="3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w:t>
      </w:r>
      <w:bookmarkEnd w:id="34"/>
      <w:r>
        <w:rPr>
          <w:rFonts w:hint="eastAsia" w:ascii="宋体" w:hAnsi="宋体" w:cs="宋体"/>
          <w:color w:val="auto"/>
          <w:szCs w:val="21"/>
          <w:highlight w:val="none"/>
        </w:rPr>
        <w:t xml:space="preserve"> </w:t>
      </w:r>
    </w:p>
    <w:p w14:paraId="478A423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4E6D4F2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7E7FDD6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3D954F2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480FD3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5AE83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53EBF76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8A7EE3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0E21D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6306C474">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18.1供应商应按本磋商文件规定的格式和顺序编制响应文件并标注页码，响应文件内容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215AC0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18.2响应文件应按资格证明文件、报价商务技术文件分别编制电子文件，并按“广西政府采购云平台”的要求编制、加密、上传。</w:t>
      </w:r>
    </w:p>
    <w:p w14:paraId="78DBF1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35" w:name="_Hlk65832699"/>
      <w:r>
        <w:rPr>
          <w:rFonts w:hint="eastAsia" w:ascii="宋体" w:hAnsi="宋体" w:cs="宋体"/>
          <w:color w:val="auto"/>
          <w:szCs w:val="21"/>
          <w:highlight w:val="none"/>
        </w:rPr>
        <w:t>3响应文件须由供应商在规定位置盖公章并签字</w:t>
      </w:r>
      <w:bookmarkStart w:id="36" w:name="_Hlk65832569"/>
      <w:r>
        <w:rPr>
          <w:rFonts w:hint="eastAsia" w:ascii="宋体" w:hAnsi="宋体" w:cs="宋体"/>
          <w:color w:val="auto"/>
          <w:szCs w:val="21"/>
          <w:highlight w:val="none"/>
        </w:rPr>
        <w:t>（具体以供应商须知前附表或响应文件格式规定为准）</w:t>
      </w:r>
      <w:bookmarkEnd w:id="35"/>
      <w:bookmarkEnd w:id="36"/>
      <w:r>
        <w:rPr>
          <w:rFonts w:hint="eastAsia" w:ascii="宋体" w:hAnsi="宋体" w:cs="宋体"/>
          <w:color w:val="auto"/>
          <w:szCs w:val="21"/>
          <w:highlight w:val="none"/>
        </w:rPr>
        <w:t>，否则其响应文件按无效响应处理。</w:t>
      </w:r>
    </w:p>
    <w:p w14:paraId="7435B3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52F73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08184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19.响应文件的加密、解密</w:t>
      </w:r>
    </w:p>
    <w:p w14:paraId="5BF695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19.1电子响应文件编制完成后，供应商应按“广西政府采购云平台”的要求进行加密，并在规定时间内解密，否则，由此产生的后果由供应商自行负责。</w:t>
      </w:r>
    </w:p>
    <w:p w14:paraId="0C697DE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6A91B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4B0F8285">
      <w:pPr>
        <w:widowControl/>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20.2本项目为全流程电子化采购项目，通过“广西政府采购云平台”（https://www.gcy.zfcg.gxzf.gov.cn/）实行在线电子竞标，供应商应先安装“广西政府采购云平台新版客户端”（新版客户端下载路径：请自行前往“广西政府采购云平台”（访问地址http://zfcg.gxzf.gov.cn/）—办事服务—下载专区），并按照本项目竞争性磋商文件和“广西政府采购云平台”的要求编制、加密后在竞标截止时间前通过网络上传至 “广西政府采购云平台”，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1B165C7F">
      <w:pPr>
        <w:pStyle w:val="9"/>
        <w:keepNext w:val="0"/>
        <w:keepLines w:val="0"/>
        <w:spacing w:before="0" w:after="0" w:line="360" w:lineRule="auto"/>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20.3未在规定时间内上传或者未按“广西政府采购云平台”的要求编制、加密的电子响应文件，“广西政府采购云平台”将拒收。</w:t>
      </w:r>
    </w:p>
    <w:p w14:paraId="467B4321">
      <w:pPr>
        <w:pStyle w:val="10"/>
        <w:rPr>
          <w:rFonts w:ascii="宋体" w:hAnsi="宋体" w:cs="宋体"/>
          <w:color w:val="auto"/>
          <w:szCs w:val="21"/>
          <w:highlight w:val="none"/>
        </w:rPr>
      </w:pPr>
      <w:r>
        <w:rPr>
          <w:rFonts w:hint="eastAsia" w:ascii="宋体" w:hAnsi="宋体" w:cs="宋体"/>
          <w:color w:val="auto"/>
          <w:szCs w:val="21"/>
          <w:highlight w:val="none"/>
        </w:rPr>
        <w:t>20.4电子响应文件提交方</w:t>
      </w:r>
      <w:r>
        <w:rPr>
          <w:rFonts w:hint="eastAsia" w:ascii="宋体" w:hAnsi="宋体" w:cs="宋体"/>
          <w:bCs/>
          <w:color w:val="auto"/>
          <w:szCs w:val="21"/>
          <w:highlight w:val="none"/>
        </w:rPr>
        <w:t>式见“竞争性磋商公告”</w:t>
      </w:r>
      <w:r>
        <w:rPr>
          <w:rFonts w:hint="eastAsia" w:ascii="宋体" w:hAnsi="宋体" w:cs="宋体"/>
          <w:color w:val="auto"/>
          <w:szCs w:val="21"/>
          <w:highlight w:val="none"/>
        </w:rPr>
        <w:t>中“四、响应文件提交”。</w:t>
      </w:r>
    </w:p>
    <w:p w14:paraId="727B2BC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B547AA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40406C23">
      <w:pPr>
        <w:spacing w:line="360" w:lineRule="auto"/>
        <w:ind w:firstLine="482" w:firstLineChars="200"/>
        <w:rPr>
          <w:rFonts w:ascii="宋体" w:hAnsi="宋体" w:cs="宋体"/>
          <w:b/>
          <w:bCs/>
          <w:color w:val="auto"/>
          <w:sz w:val="24"/>
          <w:highlight w:val="none"/>
        </w:rPr>
      </w:pPr>
      <w:bookmarkStart w:id="37" w:name="_Hlk45702405"/>
      <w:r>
        <w:rPr>
          <w:rFonts w:hint="eastAsia" w:ascii="宋体" w:hAnsi="宋体" w:cs="宋体"/>
          <w:b/>
          <w:bCs/>
          <w:color w:val="auto"/>
          <w:sz w:val="24"/>
          <w:highlight w:val="none"/>
        </w:rPr>
        <w:t>22. 首次响应文件的退回</w:t>
      </w:r>
    </w:p>
    <w:p w14:paraId="132E1DC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49BC8FB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3DB07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23.1供应商在首次响应文件提交截止时间后书面通知采购人、采购代理机构书面撤回响应文件的，将根据本须知正文17.4的规定不予退还其磋商保证金。</w:t>
      </w:r>
    </w:p>
    <w:bookmarkEnd w:id="37"/>
    <w:p w14:paraId="248064B5">
      <w:pPr>
        <w:spacing w:line="360" w:lineRule="auto"/>
        <w:rPr>
          <w:rFonts w:ascii="宋体" w:hAnsi="宋体" w:cs="宋体"/>
          <w:color w:val="auto"/>
          <w:szCs w:val="21"/>
          <w:highlight w:val="none"/>
        </w:rPr>
      </w:pPr>
    </w:p>
    <w:p w14:paraId="291EC7F1">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4364320E">
      <w:pPr>
        <w:spacing w:line="360" w:lineRule="auto"/>
        <w:ind w:firstLine="482" w:firstLineChars="200"/>
        <w:rPr>
          <w:rFonts w:ascii="宋体" w:hAnsi="宋体" w:cs="宋体"/>
          <w:b/>
          <w:bCs/>
          <w:color w:val="auto"/>
          <w:sz w:val="24"/>
          <w:highlight w:val="none"/>
        </w:rPr>
      </w:pPr>
    </w:p>
    <w:p w14:paraId="1E41EC9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615C88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47C64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96270F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24EC7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02F135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（解密异常情况处理：详见本章26.2电子交易活动的中止。）</w:t>
      </w:r>
    </w:p>
    <w:p w14:paraId="62AD85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72A903A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B9155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4458ECB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26.2电子交易活动的中止。采购过程中出现以下情形，导致电子交易平台无法正常运行，或者无法保证电子交易的公平、公正和安全时，采购机构可中止电子交易活动：</w:t>
      </w:r>
    </w:p>
    <w:p w14:paraId="0737E4C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0DCF50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661468C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17D922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D96141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7E084529">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26.3出现以上情形，不影响采购公平、公正性的，采购代理机构可以待上述情形消除后继续组织电子交易活动；影响或可能影响采购公平、公正性的，经采购代理机构确认后，应当重新采购。</w:t>
      </w:r>
    </w:p>
    <w:p w14:paraId="358139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A4D34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9C39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8"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38"/>
    </w:p>
    <w:p w14:paraId="37112A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2C79D2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4DF64E3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734D21C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28.2在履约保证金退还日期前，若成交供应商的开户名称、开户银行、帐号有变动的，请以书面形式通知履约保证金收取单位，否则由此产生的后果由成交供应商自行承担。</w:t>
      </w:r>
    </w:p>
    <w:p w14:paraId="4E1AE5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FA662E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5686179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签订合同时间：按成交通知书规定的时间与采购人签订政府采购合同（最长不能超过25日）。</w:t>
      </w:r>
    </w:p>
    <w:p w14:paraId="4225D0E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29.3成交供应商拒绝与采购人签订合同的，按照本须知正文第27.3条的规定执行。</w:t>
      </w:r>
    </w:p>
    <w:p w14:paraId="3B7F047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5258D8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B8F706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29DD9C2B">
      <w:pPr>
        <w:pStyle w:val="10"/>
        <w:spacing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6BE6CA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7638A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AEB68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D718A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7787FA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3A200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2B63B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FDC0E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2CB0437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E484D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1B14C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513238E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5DF833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EC9CD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8E601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722F19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6A3814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62BB257">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194D38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71EAC7B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.1代理服务费：代理服务收取标准及缴费账户详见“供应商须知前附表”，供应商为联合体的，可以由联合体中的一方或者多方共同交纳代理服务费。</w:t>
      </w:r>
    </w:p>
    <w:p w14:paraId="74D99DE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5EB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6805E4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服务类型</w:t>
            </w:r>
          </w:p>
          <w:p w14:paraId="05C0F3CE">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6E73591A">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64EBD6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74DA54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50D3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71942A5">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72E8CABA">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1B55FDA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51CA016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7BAE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F350B2">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20C67A1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212D644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375EC00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BA5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A542852">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2F72EA43">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79A61E4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4A99585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5AD9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FE2262D">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0D338C4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742D489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5DDDC0E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5DC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3E0EFFE">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13F7C54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2B532F5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005463F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1DCA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F007DE">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696CCBB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6428EC0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09C5599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3A50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1DBA17">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1A62F034">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1DC3A1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EE8A4F9">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69A2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793584">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4A1CBDB8">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4418CC2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625A2189">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3A76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5FD74B0">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30107E1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3168D7C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2503601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0283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4F74D71">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7849344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66787AD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01F85244">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71E920EF">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102C9F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w:t>
      </w:r>
      <w:r>
        <w:rPr>
          <w:rFonts w:hint="eastAsia" w:ascii="宋体" w:hAnsi="宋体" w:cs="宋体"/>
          <w:color w:val="auto"/>
          <w:szCs w:val="21"/>
          <w:highlight w:val="none"/>
        </w:rPr>
        <w:t>金额</w:t>
      </w:r>
      <w:r>
        <w:rPr>
          <w:rFonts w:ascii="宋体" w:hAnsi="宋体" w:cs="宋体"/>
          <w:color w:val="auto"/>
          <w:highlight w:val="none"/>
        </w:rPr>
        <w:t>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799542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112127F1">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05BBF8AD">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14:paraId="162AA145">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14:paraId="298A744F">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14:paraId="0822293D">
      <w:pPr>
        <w:spacing w:line="360" w:lineRule="auto"/>
        <w:ind w:firstLine="420" w:firstLineChars="200"/>
        <w:rPr>
          <w:rFonts w:ascii="宋体" w:hAnsi="宋体" w:cs="宋体"/>
          <w:color w:val="auto"/>
          <w:kern w:val="0"/>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.3</w:t>
      </w:r>
      <w:r>
        <w:rPr>
          <w:rFonts w:hint="eastAsia" w:ascii="宋体" w:hAnsi="宋体" w:cs="宋体"/>
          <w:color w:val="auto"/>
          <w:kern w:val="0"/>
          <w:szCs w:val="21"/>
          <w:highlight w:val="none"/>
        </w:rPr>
        <w:t>代理服务费交纳</w:t>
      </w:r>
      <w:r>
        <w:rPr>
          <w:rFonts w:ascii="宋体" w:hAnsi="宋体" w:cs="宋体"/>
          <w:color w:val="auto"/>
          <w:kern w:val="0"/>
          <w:szCs w:val="21"/>
          <w:highlight w:val="none"/>
        </w:rPr>
        <w:t>银行帐号信息</w:t>
      </w:r>
    </w:p>
    <w:p w14:paraId="226F326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开户名称：广西国泰招标咨询有限公司南宁第五分公司</w:t>
      </w:r>
    </w:p>
    <w:p w14:paraId="24F45B8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开户银行：广西北部湾银行股份有限公司南宁市云景支行</w:t>
      </w:r>
    </w:p>
    <w:p w14:paraId="596BCAF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银行账号：805022302700001</w:t>
      </w:r>
    </w:p>
    <w:p w14:paraId="21EFA8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77815B62">
      <w:pPr>
        <w:pStyle w:val="19"/>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1701FDE6">
      <w:pPr>
        <w:pStyle w:val="19"/>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23CD5A14">
      <w:pPr>
        <w:pStyle w:val="19"/>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2FB1B0E">
      <w:pPr>
        <w:pStyle w:val="19"/>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3C35388">
      <w:pPr>
        <w:pStyle w:val="19"/>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1BEF3BE">
      <w:pPr>
        <w:pStyle w:val="19"/>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89DAC66">
      <w:pPr>
        <w:pStyle w:val="19"/>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1898C7B">
      <w:pPr>
        <w:pStyle w:val="19"/>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41DFCDC8">
      <w:pPr>
        <w:pStyle w:val="6"/>
        <w:spacing w:line="360" w:lineRule="auto"/>
        <w:rPr>
          <w:rFonts w:ascii="宋体" w:hAnsi="宋体" w:cs="宋体"/>
          <w:color w:val="auto"/>
          <w:highlight w:val="none"/>
        </w:rPr>
      </w:pPr>
      <w:bookmarkStart w:id="39" w:name="_Toc74323458"/>
      <w:r>
        <w:rPr>
          <w:rFonts w:hint="eastAsia" w:ascii="宋体" w:hAnsi="宋体" w:cs="宋体"/>
          <w:color w:val="auto"/>
          <w:highlight w:val="none"/>
        </w:rPr>
        <w:br w:type="page"/>
      </w:r>
      <w:r>
        <w:rPr>
          <w:rFonts w:hint="eastAsia" w:ascii="宋体" w:hAnsi="宋体" w:cs="宋体"/>
          <w:color w:val="auto"/>
          <w:highlight w:val="none"/>
        </w:rPr>
        <w:t>第三章 采购需求</w:t>
      </w:r>
      <w:bookmarkEnd w:id="39"/>
    </w:p>
    <w:p w14:paraId="4ECF1177">
      <w:pPr>
        <w:spacing w:line="440" w:lineRule="exact"/>
        <w:jc w:val="center"/>
        <w:rPr>
          <w:rFonts w:ascii="宋体" w:hAnsi="宋体" w:cs="宋体"/>
          <w:b/>
          <w:color w:val="auto"/>
          <w:sz w:val="32"/>
          <w:szCs w:val="32"/>
          <w:highlight w:val="none"/>
        </w:rPr>
      </w:pPr>
    </w:p>
    <w:p w14:paraId="78F4A4E1">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说明：</w:t>
      </w:r>
    </w:p>
    <w:p w14:paraId="51A4D6BE">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2461FBD8">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号）的规定，采购需求中如有货物产品，且货物产品属于节能产品政府采购品目清单内标注“★”的，供应商的竞标货物必须使用政府强制采购的节能产品，否则响应文件作无效响应处理。</w:t>
      </w:r>
    </w:p>
    <w:p w14:paraId="103D5F01">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3、如供应商竞标产品存在侵犯他人的知识产权或者专利成果行为的，由供应商自行承担相应法律责任。</w:t>
      </w:r>
    </w:p>
    <w:p w14:paraId="23DCB228">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4、“实质性要求”是指竞争性磋商文件中已经指明不满足则响应无效的条款，或者不能负偏离的条款，或者采购需求中带“▲”的条款。</w:t>
      </w:r>
    </w:p>
    <w:p w14:paraId="6C777D8D">
      <w:pPr>
        <w:spacing w:line="360" w:lineRule="auto"/>
        <w:ind w:firstLine="310" w:firstLineChars="147"/>
        <w:jc w:val="left"/>
        <w:rPr>
          <w:rFonts w:ascii="宋体" w:hAnsi="宋体" w:cs="宋体"/>
          <w:bCs/>
          <w:color w:val="auto"/>
          <w:szCs w:val="21"/>
          <w:highlight w:val="none"/>
          <w:u w:val="single"/>
        </w:rPr>
      </w:pPr>
      <w:bookmarkStart w:id="40" w:name="_Toc74323459"/>
      <w:r>
        <w:rPr>
          <w:rFonts w:hint="eastAsia" w:ascii="宋体" w:hAnsi="宋体" w:cs="宋体"/>
          <w:b/>
          <w:color w:val="auto"/>
          <w:szCs w:val="21"/>
          <w:highlight w:val="none"/>
        </w:rPr>
        <w:t>采购预算：</w:t>
      </w:r>
      <w:r>
        <w:rPr>
          <w:rFonts w:hint="eastAsia" w:ascii="宋体" w:hAnsi="宋体" w:cs="宋体"/>
          <w:b/>
          <w:color w:val="auto"/>
          <w:szCs w:val="21"/>
          <w:highlight w:val="none"/>
          <w:u w:val="single"/>
        </w:rPr>
        <w:t>210.00万元</w:t>
      </w:r>
      <w:r>
        <w:rPr>
          <w:rFonts w:hint="eastAsia" w:ascii="宋体" w:hAnsi="宋体" w:cs="宋体"/>
          <w:b/>
          <w:color w:val="auto"/>
          <w:szCs w:val="21"/>
          <w:highlight w:val="none"/>
        </w:rPr>
        <w:t xml:space="preserve">            </w:t>
      </w:r>
    </w:p>
    <w:tbl>
      <w:tblPr>
        <w:tblStyle w:val="30"/>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1518"/>
        <w:gridCol w:w="68"/>
        <w:gridCol w:w="934"/>
        <w:gridCol w:w="826"/>
        <w:gridCol w:w="5786"/>
      </w:tblGrid>
      <w:tr w14:paraId="7DF5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82" w:type="dxa"/>
            <w:vAlign w:val="center"/>
          </w:tcPr>
          <w:p w14:paraId="24400B0F">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86" w:type="dxa"/>
            <w:gridSpan w:val="2"/>
            <w:vAlign w:val="center"/>
          </w:tcPr>
          <w:p w14:paraId="24D96535">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34" w:type="dxa"/>
            <w:vAlign w:val="center"/>
          </w:tcPr>
          <w:p w14:paraId="26BD803B">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826" w:type="dxa"/>
            <w:vAlign w:val="center"/>
          </w:tcPr>
          <w:p w14:paraId="7A1D33CA">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14:paraId="59EDB4CF">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5786" w:type="dxa"/>
            <w:vAlign w:val="center"/>
          </w:tcPr>
          <w:p w14:paraId="2DAB35D1">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54C45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82" w:type="dxa"/>
            <w:vAlign w:val="center"/>
          </w:tcPr>
          <w:p w14:paraId="0DE32588">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586" w:type="dxa"/>
            <w:gridSpan w:val="2"/>
            <w:vAlign w:val="center"/>
          </w:tcPr>
          <w:p w14:paraId="71B686B2">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2025-2026年车辆租赁服务采购</w:t>
            </w:r>
          </w:p>
        </w:tc>
        <w:tc>
          <w:tcPr>
            <w:tcW w:w="934" w:type="dxa"/>
            <w:vAlign w:val="center"/>
          </w:tcPr>
          <w:p w14:paraId="1226DC3C">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826" w:type="dxa"/>
            <w:vAlign w:val="center"/>
          </w:tcPr>
          <w:p w14:paraId="1EBE5DCB">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5786" w:type="dxa"/>
          </w:tcPr>
          <w:p w14:paraId="71970A30">
            <w:pPr>
              <w:pStyle w:val="76"/>
              <w:widowControl/>
              <w:ind w:firstLine="420" w:firstLineChars="200"/>
              <w:jc w:val="left"/>
              <w:rPr>
                <w:color w:val="auto"/>
                <w:szCs w:val="21"/>
                <w:highlight w:val="none"/>
              </w:rPr>
            </w:pPr>
            <w:r>
              <w:rPr>
                <w:rFonts w:hint="eastAsia"/>
                <w:color w:val="auto"/>
                <w:szCs w:val="21"/>
                <w:highlight w:val="none"/>
              </w:rPr>
              <w:t>根据采购人要求，供应商负责组织和提供运力，满足采购方的租赁需求，并对租赁过程中的相关安全和服务质量负责。具体租赁车辆的车型、数量、时间以采购人通知为准。</w:t>
            </w:r>
          </w:p>
          <w:p w14:paraId="4EB7DA3E">
            <w:pPr>
              <w:pStyle w:val="76"/>
              <w:widowControl/>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一、对供应商的基本服务要求：</w:t>
            </w:r>
          </w:p>
          <w:p w14:paraId="0C4FA8B0">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承诺提供派车上门服务；承诺在随车的服务监督卡上公示服务监督、投诉电话号码或互联网址等有效联系方式，接受用车人的意见和投诉，五个工作日内予以答复。供应商承诺安排的驾驶员应持有合法的从业资格和具有相应准驾车型5年以上安全驾驶经历，且驾驶技术娴熟、服务态度好，能够严格遵守交通法规，没有重大以上交通责任事故记录，具有良好的职业道德，身体健康、年龄在50岁以内，且身体无残疾状况。</w:t>
            </w:r>
          </w:p>
          <w:p w14:paraId="6CFB46E6">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2、有完善的车辆管理、安全管理制度以及保养维修管理制度，具有良好的信用记录，保障项目运行要求。建立制定并完善安全出车应急预案和故障处置方案。</w:t>
            </w:r>
          </w:p>
          <w:p w14:paraId="44F7F863">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3、根据采购人用车需求安排车辆，提前将接送时间、地点、线路、用车联系人等信息通知出车司机，督促司机提前做好出车相关准备。</w:t>
            </w:r>
          </w:p>
          <w:p w14:paraId="74481F04">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4、车辆需至少提前15分钟到达采购人指定用车地点，并在规定出车时间内启动车辆。</w:t>
            </w:r>
          </w:p>
          <w:p w14:paraId="7E048666">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5、能满足采购人应急出车要求，对采购人的紧急用车情况要求在30分钟内响应。完善出车365天24小时值班值守制度。有应急事件或抢险救援或安全事故处置的或特殊时期的， 优先满足并及时安排解决采购人用车需求。能安排综合素质好的司机参与采购人启动应急响应期间的24小时应急值班备勤工作。</w:t>
            </w:r>
          </w:p>
          <w:p w14:paraId="73B0D8FD">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6、如实记录行车线路、用车时间和产生费用，不弄虛作假。</w:t>
            </w:r>
          </w:p>
          <w:p w14:paraId="077D12C8">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7、供应商每次出车，及时收集用车人对当次用车满意度和实际用车情况的反馈意见并汇总。</w:t>
            </w:r>
          </w:p>
          <w:p w14:paraId="231812A9">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8、因河流阻碍或道路狭小等原因导致供应商无法用租用车辆将采购人送达指定地点，供应商需协调船或其他交通工具并对所产生的费用进行支付，同时开具相应的税务正规发票。</w:t>
            </w:r>
          </w:p>
          <w:p w14:paraId="72FBB8EA">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9、供应商可以部分使用新能源汽（含插电式新能源）车投入本项目服务，价格参照燃油车执行，执行距离远、道路崎岖等道路的公务任务时，供应商应根据采购人的实际安排，使用燃油车辆完成任务。        </w:t>
            </w:r>
          </w:p>
          <w:p w14:paraId="13735B43">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10、提供上门送车、收车服务。根据采购人要求将车辆送达南宁市城区范围内(除武鸣区、横州市和4县）指定地点（区域），采购人用车完毕后提供上门收回车辆服务。</w:t>
            </w:r>
          </w:p>
          <w:p w14:paraId="3122568A">
            <w:pPr>
              <w:pStyle w:val="76"/>
              <w:widowControl/>
              <w:ind w:firstLine="422" w:firstLineChars="200"/>
              <w:jc w:val="left"/>
              <w:rPr>
                <w:rFonts w:hint="eastAsia" w:ascii="宋体" w:hAnsi="宋体" w:eastAsia="宋体" w:cs="宋体"/>
                <w:color w:val="auto"/>
                <w:szCs w:val="21"/>
                <w:highlight w:val="none"/>
                <w:lang w:eastAsia="zh-CN"/>
              </w:rPr>
            </w:pPr>
            <w:r>
              <w:rPr>
                <w:rFonts w:hint="eastAsia" w:ascii="宋体" w:hAnsi="宋体" w:cs="宋体"/>
                <w:b/>
                <w:bCs/>
                <w:color w:val="auto"/>
                <w:highlight w:val="none"/>
              </w:rPr>
              <w:t>▲</w:t>
            </w:r>
            <w:r>
              <w:rPr>
                <w:rFonts w:hint="eastAsia" w:ascii="宋体" w:hAnsi="宋体" w:cs="宋体"/>
                <w:color w:val="auto"/>
                <w:szCs w:val="21"/>
                <w:highlight w:val="none"/>
              </w:rPr>
              <w:t>11、按《广西壮族自治区人民政府办公厅印发关于支持广西新能源汽车推广应用若干措施的通知》（桂政办发〔2021〕106号）文件“全区各级公务用车管理机构在进行公务用车租赁政府采购时，要将新能源汽车比例作为采购条件。企业拥有所有权的新能源汽车占比达到30%及以上，是企业可作为公务用车租赁服务供应商的必要条件”要求，供应商名下新能源车辆占比应达到名下所有车辆的30%。（注：企业所有权车辆包括子公司或分公司是指车管系统中登记在该企业名下的全部车辆，不参与本次</w:t>
            </w:r>
            <w:r>
              <w:rPr>
                <w:rFonts w:hint="eastAsia" w:ascii="宋体" w:hAnsi="宋体" w:cs="宋体"/>
                <w:color w:val="auto"/>
                <w:szCs w:val="21"/>
                <w:highlight w:val="none"/>
                <w:lang w:eastAsia="zh-CN"/>
              </w:rPr>
              <w:t>竞</w:t>
            </w:r>
            <w:r>
              <w:rPr>
                <w:rFonts w:hint="eastAsia" w:ascii="宋体" w:hAnsi="宋体" w:cs="宋体"/>
                <w:color w:val="auto"/>
                <w:szCs w:val="21"/>
                <w:highlight w:val="none"/>
              </w:rPr>
              <w:t>标的名下其他车辆也属于企业所有权车辆范围。）</w:t>
            </w:r>
            <w:r>
              <w:rPr>
                <w:rFonts w:hint="eastAsia" w:ascii="宋体" w:hAnsi="宋体" w:cs="宋体"/>
                <w:color w:val="auto"/>
                <w:szCs w:val="21"/>
                <w:highlight w:val="none"/>
                <w:lang w:eastAsia="zh-CN"/>
              </w:rPr>
              <w:t>提供《机动车登记证书》或机动车行驶证正反双面复印件等相关证明材料，否则按无效响应处理。</w:t>
            </w:r>
          </w:p>
          <w:p w14:paraId="5C68CE9C">
            <w:pPr>
              <w:pStyle w:val="76"/>
              <w:widowControl/>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二、车辆基本要求：</w:t>
            </w:r>
          </w:p>
          <w:p w14:paraId="63B9C9CF">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燃油轿车5座，</w:t>
            </w:r>
            <w:r>
              <w:rPr>
                <w:rFonts w:hint="eastAsia" w:ascii="宋体" w:hAnsi="宋体" w:cs="宋体"/>
                <w:color w:val="auto"/>
                <w:szCs w:val="21"/>
                <w:highlight w:val="none"/>
              </w:rPr>
              <w:t>磋商供应商自运营的车辆；</w:t>
            </w:r>
          </w:p>
          <w:p w14:paraId="2A06CC9E">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1.1车辆价值（以原购车价为准）：A2车型15万-18万（以内）；</w:t>
            </w:r>
          </w:p>
          <w:p w14:paraId="2276B196">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 车辆排量1.2L-1.8L（含）；</w:t>
            </w:r>
          </w:p>
          <w:p w14:paraId="7605D6E2">
            <w:pPr>
              <w:pStyle w:val="76"/>
              <w:widowControl/>
              <w:ind w:firstLine="422" w:firstLineChars="200"/>
              <w:jc w:val="left"/>
              <w:rPr>
                <w:rFonts w:ascii="宋体" w:hAnsi="宋体" w:cs="宋体"/>
                <w:b/>
                <w:bCs/>
                <w:color w:val="auto"/>
                <w:szCs w:val="21"/>
                <w:highlight w:val="none"/>
              </w:rPr>
            </w:pPr>
            <w:r>
              <w:rPr>
                <w:rFonts w:hint="eastAsia" w:ascii="宋体" w:hAnsi="宋体" w:cs="宋体"/>
                <w:b/>
                <w:bCs/>
                <w:color w:val="auto"/>
                <w:highlight w:val="none"/>
              </w:rPr>
              <w:t>▲</w:t>
            </w:r>
            <w:r>
              <w:rPr>
                <w:rFonts w:hint="eastAsia" w:ascii="宋体" w:hAnsi="宋体" w:cs="宋体"/>
                <w:b/>
                <w:bCs/>
                <w:color w:val="auto"/>
                <w:szCs w:val="21"/>
                <w:highlight w:val="none"/>
              </w:rPr>
              <w:t>1.3车龄：3年内；</w:t>
            </w:r>
          </w:p>
          <w:p w14:paraId="52CC0898">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1.4车辆已购买国家规定的全保险种，缴纳必缴的税费，包括但不限于（满足如下标准要求或以上）：（1）第三者责任险150万元，（2）座位险各30万。</w:t>
            </w:r>
          </w:p>
          <w:p w14:paraId="6D6B3CD1">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燃油越野车5-7座，</w:t>
            </w:r>
            <w:r>
              <w:rPr>
                <w:rFonts w:hint="eastAsia" w:ascii="宋体" w:hAnsi="宋体" w:cs="宋体"/>
                <w:color w:val="auto"/>
                <w:szCs w:val="21"/>
                <w:highlight w:val="none"/>
              </w:rPr>
              <w:t>磋商供应商自运营的车辆；</w:t>
            </w:r>
          </w:p>
          <w:p w14:paraId="4D1772FE">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 车辆价值（以原购车价为准）：B2车型18万-25万（以内）；</w:t>
            </w:r>
          </w:p>
          <w:p w14:paraId="4B37E558">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车辆排量：1.5L-2.5L（含）；</w:t>
            </w:r>
          </w:p>
          <w:p w14:paraId="23C7934A">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 车辆轴距：2650mm 以上；</w:t>
            </w:r>
          </w:p>
          <w:p w14:paraId="0F4F99D2">
            <w:pPr>
              <w:pStyle w:val="76"/>
              <w:widowControl/>
              <w:ind w:firstLine="422" w:firstLineChars="200"/>
              <w:jc w:val="left"/>
              <w:rPr>
                <w:rFonts w:ascii="宋体" w:hAnsi="宋体" w:cs="宋体"/>
                <w:b/>
                <w:bCs/>
                <w:color w:val="auto"/>
                <w:szCs w:val="21"/>
                <w:highlight w:val="none"/>
              </w:rPr>
            </w:pPr>
            <w:r>
              <w:rPr>
                <w:rFonts w:hint="eastAsia" w:ascii="宋体" w:hAnsi="宋体" w:cs="宋体"/>
                <w:b/>
                <w:bCs/>
                <w:color w:val="auto"/>
                <w:highlight w:val="none"/>
              </w:rPr>
              <w:t>▲</w:t>
            </w:r>
            <w:r>
              <w:rPr>
                <w:rFonts w:hint="eastAsia" w:ascii="宋体" w:hAnsi="宋体" w:cs="宋体"/>
                <w:color w:val="auto"/>
                <w:szCs w:val="21"/>
                <w:highlight w:val="none"/>
              </w:rPr>
              <w:t xml:space="preserve">2.4 </w:t>
            </w:r>
            <w:r>
              <w:rPr>
                <w:rFonts w:hint="eastAsia" w:ascii="宋体" w:hAnsi="宋体" w:cs="宋体"/>
                <w:b/>
                <w:bCs/>
                <w:color w:val="auto"/>
                <w:szCs w:val="21"/>
                <w:highlight w:val="none"/>
              </w:rPr>
              <w:t>车龄：3年内；</w:t>
            </w:r>
          </w:p>
          <w:p w14:paraId="61C8BF5D">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2.5 车辆已购买国家规定的全保险种，缴纳必缴的税费，包括但不限于（满足如下标准要求或以上）：（1）第三者责任险150万元，（2）座位险各30万。                                              </w:t>
            </w:r>
          </w:p>
          <w:p w14:paraId="76E59C95">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燃油商务车7座，</w:t>
            </w:r>
            <w:r>
              <w:rPr>
                <w:rFonts w:hint="eastAsia" w:ascii="宋体" w:hAnsi="宋体" w:cs="宋体"/>
                <w:color w:val="auto"/>
                <w:szCs w:val="21"/>
                <w:highlight w:val="none"/>
              </w:rPr>
              <w:t>磋商供应商自运营的车辆；</w:t>
            </w:r>
          </w:p>
          <w:p w14:paraId="32DA1578">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3.1车辆价值（以原购车价为准）：C2车型18万-25万（以内）；</w:t>
            </w:r>
          </w:p>
          <w:p w14:paraId="71AB63AB">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 车辆排量：1.5L-2.5L；</w:t>
            </w:r>
          </w:p>
          <w:p w14:paraId="1A9C2B05">
            <w:pPr>
              <w:pStyle w:val="76"/>
              <w:widowControl/>
              <w:ind w:firstLine="422" w:firstLineChars="200"/>
              <w:jc w:val="left"/>
              <w:rPr>
                <w:rFonts w:ascii="宋体" w:hAnsi="宋体" w:cs="宋体"/>
                <w:color w:val="auto"/>
                <w:szCs w:val="21"/>
                <w:highlight w:val="none"/>
              </w:rPr>
            </w:pPr>
            <w:r>
              <w:rPr>
                <w:rFonts w:hint="eastAsia" w:ascii="宋体" w:hAnsi="宋体" w:cs="宋体"/>
                <w:b/>
                <w:bCs/>
                <w:color w:val="auto"/>
                <w:highlight w:val="none"/>
              </w:rPr>
              <w:t>▲</w:t>
            </w:r>
            <w:r>
              <w:rPr>
                <w:rFonts w:hint="eastAsia" w:ascii="宋体" w:hAnsi="宋体" w:cs="宋体"/>
                <w:color w:val="auto"/>
                <w:szCs w:val="21"/>
                <w:highlight w:val="none"/>
              </w:rPr>
              <w:t xml:space="preserve">3.3 </w:t>
            </w:r>
            <w:r>
              <w:rPr>
                <w:rFonts w:hint="eastAsia" w:ascii="宋体" w:hAnsi="宋体" w:cs="宋体"/>
                <w:b/>
                <w:bCs/>
                <w:color w:val="auto"/>
                <w:szCs w:val="21"/>
                <w:highlight w:val="none"/>
              </w:rPr>
              <w:t>车龄：3年内；</w:t>
            </w:r>
          </w:p>
          <w:p w14:paraId="1A3764BD">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3.4车辆已购买国家规定的全保险种，缴纳必缴的税费，包括但不限于（满足如下标准要求或以上）：（1）第三者责任险150万元，（2）座位险各30万。</w:t>
            </w:r>
          </w:p>
          <w:p w14:paraId="29FA6663">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新能源车辆基本要求（以原车补贴后为准、车辆已购买国家规定的保险，缴纳必缴的的税费，车龄：3年以下），</w:t>
            </w:r>
            <w:r>
              <w:rPr>
                <w:rFonts w:hint="eastAsia" w:ascii="宋体" w:hAnsi="宋体" w:cs="宋体"/>
                <w:color w:val="auto"/>
                <w:szCs w:val="21"/>
                <w:highlight w:val="none"/>
              </w:rPr>
              <w:t>磋商供应商自运营的车辆；</w:t>
            </w:r>
            <w:r>
              <w:rPr>
                <w:rFonts w:hint="eastAsia" w:ascii="宋体" w:hAnsi="宋体" w:cs="宋体"/>
                <w:color w:val="auto"/>
                <w:szCs w:val="21"/>
                <w:highlight w:val="none"/>
              </w:rPr>
              <w:t xml:space="preserve">                                         </w:t>
            </w:r>
          </w:p>
          <w:p w14:paraId="51E2671C">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4.1.F五座新能源轿车:18万元（含）以下；</w:t>
            </w:r>
          </w:p>
          <w:p w14:paraId="7A97251C">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4.2.G新能源越野车：18万元（含）以下；</w:t>
            </w:r>
          </w:p>
          <w:p w14:paraId="34AB19B2">
            <w:pPr>
              <w:pStyle w:val="76"/>
              <w:widowControl/>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4.3.H 新能源商务车：18万元（含）以下：车辆已购买国家规定的全保险种，缴纳必缴的税费，包括但不限于（满足如下标准要求或以上）：（1）第三者责任险150万元，（2）座位险各30万。</w:t>
            </w:r>
          </w:p>
          <w:p w14:paraId="7D2159E5">
            <w:pPr>
              <w:pStyle w:val="76"/>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新能源车辆日租价格</w:t>
            </w:r>
            <w:r>
              <w:rPr>
                <w:rFonts w:hint="eastAsia" w:ascii="宋体" w:hAnsi="宋体" w:cs="宋体"/>
                <w:color w:val="auto"/>
                <w:szCs w:val="21"/>
                <w:highlight w:val="none"/>
                <w:lang w:eastAsia="zh-CN"/>
              </w:rPr>
              <w:t>参照磋商文件“</w:t>
            </w:r>
            <w:r>
              <w:rPr>
                <w:rFonts w:hint="eastAsia" w:ascii="宋体" w:hAnsi="宋体" w:cs="宋体"/>
                <w:color w:val="auto"/>
                <w:highlight w:val="none"/>
              </w:rPr>
              <w:t>第五章响应文件格式</w:t>
            </w:r>
            <w:r>
              <w:rPr>
                <w:rFonts w:hint="eastAsia" w:ascii="宋体" w:hAnsi="宋体" w:cs="宋体"/>
                <w:color w:val="auto"/>
                <w:highlight w:val="none"/>
                <w:lang w:eastAsia="zh-CN"/>
              </w:rPr>
              <w:t>”的磋商报价明细表1（燃油车）。</w:t>
            </w:r>
          </w:p>
          <w:p w14:paraId="42B73383">
            <w:pPr>
              <w:pStyle w:val="76"/>
              <w:widowControl/>
              <w:ind w:firstLine="422" w:firstLineChars="200"/>
              <w:jc w:val="left"/>
              <w:rPr>
                <w:rFonts w:ascii="宋体" w:hAnsi="宋体" w:cs="宋体"/>
                <w:color w:val="auto"/>
                <w:szCs w:val="21"/>
                <w:highlight w:val="none"/>
              </w:rPr>
            </w:pPr>
            <w:r>
              <w:rPr>
                <w:rFonts w:hint="eastAsia" w:ascii="宋体" w:hAnsi="宋体" w:cs="宋体"/>
                <w:b/>
                <w:bCs/>
                <w:color w:val="auto"/>
                <w:highlight w:val="none"/>
              </w:rPr>
              <w:t>▲</w:t>
            </w:r>
            <w:r>
              <w:rPr>
                <w:rFonts w:hint="eastAsia" w:ascii="宋体" w:hAnsi="宋体" w:cs="宋体"/>
                <w:color w:val="auto"/>
                <w:szCs w:val="21"/>
                <w:highlight w:val="none"/>
              </w:rPr>
              <w:t xml:space="preserve">5. </w:t>
            </w:r>
            <w:r>
              <w:rPr>
                <w:rFonts w:hint="eastAsia" w:ascii="宋体" w:hAnsi="宋体" w:cs="宋体"/>
                <w:b/>
                <w:bCs/>
                <w:color w:val="auto"/>
                <w:szCs w:val="21"/>
                <w:highlight w:val="none"/>
              </w:rPr>
              <w:t>大中型客车（9座以上车型）各车型以车的座位数作为划分依据（货车以核载量为依据），</w:t>
            </w:r>
            <w:r>
              <w:rPr>
                <w:rFonts w:hint="eastAsia" w:ascii="宋体" w:hAnsi="宋体" w:cs="宋体"/>
                <w:b/>
                <w:bCs/>
                <w:color w:val="auto"/>
                <w:szCs w:val="21"/>
                <w:highlight w:val="none"/>
              </w:rPr>
              <w:t>车龄：5年内</w:t>
            </w:r>
            <w:r>
              <w:rPr>
                <w:rFonts w:hint="eastAsia" w:ascii="宋体" w:hAnsi="宋体" w:cs="宋体"/>
                <w:b/>
                <w:bCs/>
                <w:color w:val="auto"/>
                <w:szCs w:val="21"/>
                <w:highlight w:val="none"/>
              </w:rPr>
              <w:t>；</w:t>
            </w:r>
          </w:p>
          <w:p w14:paraId="216C21E1">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I车型（载客量9-19座）</w:t>
            </w:r>
          </w:p>
          <w:p w14:paraId="1B114586">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5.2 J车型（载客量20座以上）                     </w:t>
            </w:r>
          </w:p>
          <w:p w14:paraId="272B249D">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 车辆已购买国家规定的全保险种，缴纳必缴的税费，包括但不限于（满足如下标准要求或以上）：（1）第三者责任险200万元，（2）座位险各30万。</w:t>
            </w:r>
          </w:p>
          <w:p w14:paraId="40706459">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▲6.拟投入车辆：磋商供应商拟投入本项目的车辆必须提供拟派出的车辆在近三年内没有发生严重交通事故证明资料。车辆必须安装有GPS或北斗定位系统，能将当天工作路线图导出存档。</w:t>
            </w:r>
          </w:p>
          <w:p w14:paraId="639532C1">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7.车辆使用要求：</w:t>
            </w:r>
          </w:p>
          <w:p w14:paraId="027E8588">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供应商需负责做好车辆的日常维护检查工作。每天检查车辆使用状况，保证车辆外观完好，水、电、汽油充足。做好维护计划，车辆每行驶一万公里(或6个月以上，两者其中之一先到为准)报修并送厂进行保养。发现车辆有故障应及时维修，不带故障出车，确保所提供服务的车辆完好率达100%，随时能执行任务。</w:t>
            </w:r>
          </w:p>
          <w:p w14:paraId="2E3AD5A4">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供应商需负责车辆保洁、美容等服务。保证每车辆:车身光洁，车窗明洁，车轮光圈亮洁，挡泥板无污垢;机舱无明显油垢和积尘；把手、仪表台、方向盘、脚垫、座位等部位清洁干净;车内无异味、无污垢、无烟灰、烟头、积尘和其它杂物。定期安排车辆在露天通风、太阳晒驱霉，每半年清洁皮座椅。</w:t>
            </w:r>
          </w:p>
          <w:p w14:paraId="5CE79EEA">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7.3车辆使用地点为采购人所在地至以下地点：</w:t>
            </w:r>
          </w:p>
          <w:p w14:paraId="029304BF">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（1）南宁市市区、广西区内；</w:t>
            </w:r>
          </w:p>
          <w:p w14:paraId="6386DE28">
            <w:pPr>
              <w:pStyle w:val="76"/>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（2）上级部门下达任务需到达的其他地点。</w:t>
            </w:r>
          </w:p>
        </w:tc>
      </w:tr>
      <w:tr w14:paraId="4EDB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4" w:type="dxa"/>
            <w:gridSpan w:val="6"/>
            <w:tcBorders>
              <w:top w:val="single" w:color="auto" w:sz="4" w:space="0"/>
              <w:left w:val="single" w:color="auto" w:sz="4" w:space="0"/>
              <w:bottom w:val="single" w:color="auto" w:sz="4" w:space="0"/>
              <w:right w:val="single" w:color="auto" w:sz="4" w:space="0"/>
            </w:tcBorders>
          </w:tcPr>
          <w:p w14:paraId="69408B82">
            <w:pPr>
              <w:spacing w:line="360" w:lineRule="auto"/>
              <w:rPr>
                <w:rFonts w:ascii="宋体" w:hAnsi="宋体" w:cs="宋体"/>
                <w:color w:val="auto"/>
                <w:szCs w:val="21"/>
                <w:highlight w:val="none"/>
              </w:rPr>
            </w:pPr>
            <w:r>
              <w:rPr>
                <w:rFonts w:hint="eastAsia" w:ascii="宋体" w:hAnsi="宋体" w:cs="宋体"/>
                <w:b/>
                <w:color w:val="auto"/>
                <w:szCs w:val="21"/>
                <w:highlight w:val="none"/>
              </w:rPr>
              <w:t>商务要求</w:t>
            </w:r>
          </w:p>
        </w:tc>
      </w:tr>
      <w:tr w14:paraId="28D99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05EED988">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Cs/>
                <w:color w:val="auto"/>
                <w:szCs w:val="21"/>
                <w:highlight w:val="none"/>
              </w:rPr>
              <w:t>磋商报价要求</w:t>
            </w:r>
          </w:p>
        </w:tc>
        <w:tc>
          <w:tcPr>
            <w:tcW w:w="7614" w:type="dxa"/>
            <w:gridSpan w:val="4"/>
            <w:tcBorders>
              <w:top w:val="single" w:color="auto" w:sz="4" w:space="0"/>
              <w:left w:val="single" w:color="auto" w:sz="4" w:space="0"/>
              <w:bottom w:val="single" w:color="auto" w:sz="4" w:space="0"/>
              <w:right w:val="single" w:color="auto" w:sz="4" w:space="0"/>
            </w:tcBorders>
            <w:vAlign w:val="center"/>
          </w:tcPr>
          <w:p w14:paraId="4A131577">
            <w:pPr>
              <w:pStyle w:val="3"/>
              <w:rPr>
                <w:color w:val="auto"/>
                <w:highlight w:val="none"/>
              </w:rPr>
            </w:pPr>
            <w:r>
              <w:rPr>
                <w:rFonts w:hint="eastAsia" w:ascii="宋体" w:hAnsi="宋体" w:cs="宋体"/>
                <w:b/>
                <w:bCs/>
                <w:color w:val="auto"/>
                <w:szCs w:val="21"/>
                <w:highlight w:val="none"/>
              </w:rPr>
              <w:t>供应商按单价进行报价。</w:t>
            </w:r>
            <w:r>
              <w:rPr>
                <w:rFonts w:hint="eastAsia" w:ascii="宋体" w:hAnsi="宋体" w:cs="宋体"/>
                <w:color w:val="auto"/>
                <w:szCs w:val="21"/>
                <w:highlight w:val="none"/>
              </w:rPr>
              <w:t>竞标报价是履行合同的最终价格，即满足全部采购需求所应提供的服务的价格。包括竞标服务的成本、运输（含保险）、税费、车辆保险、乘客人身保险、车辆养护维修费用等所有费用。各项单价报价不得超出&lt;磋商报价明细表&gt;中上控价。如使用其他车型双方可根据正常市场价格协商确定。</w:t>
            </w:r>
          </w:p>
        </w:tc>
      </w:tr>
      <w:tr w14:paraId="55901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631BF455">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合同履约期限（服务期限）和服务地点</w:t>
            </w:r>
          </w:p>
        </w:tc>
        <w:tc>
          <w:tcPr>
            <w:tcW w:w="7614" w:type="dxa"/>
            <w:gridSpan w:val="4"/>
            <w:tcBorders>
              <w:top w:val="single" w:color="auto" w:sz="4" w:space="0"/>
              <w:left w:val="single" w:color="auto" w:sz="4" w:space="0"/>
              <w:bottom w:val="single" w:color="auto" w:sz="4" w:space="0"/>
              <w:right w:val="single" w:color="auto" w:sz="4" w:space="0"/>
            </w:tcBorders>
            <w:vAlign w:val="center"/>
          </w:tcPr>
          <w:p w14:paraId="6B084D1B">
            <w:pPr>
              <w:spacing w:line="360" w:lineRule="auto"/>
              <w:rPr>
                <w:rFonts w:ascii="宋体" w:hAnsi="宋体" w:cs="宋体"/>
                <w:color w:val="auto"/>
                <w:szCs w:val="21"/>
                <w:highlight w:val="none"/>
              </w:rPr>
            </w:pPr>
            <w:r>
              <w:rPr>
                <w:rFonts w:hint="eastAsia" w:ascii="宋体" w:hAnsi="宋体" w:cs="宋体"/>
                <w:color w:val="auto"/>
                <w:szCs w:val="21"/>
                <w:highlight w:val="none"/>
              </w:rPr>
              <w:t>1、合同履约期限（服务期限）：签订合同之日起1年，自合同签订之日起生效。或服务期内，如预算（¥2100000.00）用尽，采购人无法支付车辆租赁费用时，合同自动终止。</w:t>
            </w:r>
          </w:p>
          <w:p w14:paraId="6D6B101C">
            <w:pPr>
              <w:spacing w:line="360" w:lineRule="auto"/>
              <w:rPr>
                <w:color w:val="auto"/>
                <w:highlight w:val="none"/>
              </w:rPr>
            </w:pPr>
            <w:r>
              <w:rPr>
                <w:rFonts w:hint="eastAsia" w:ascii="宋体" w:hAnsi="宋体" w:cs="宋体"/>
                <w:color w:val="auto"/>
                <w:szCs w:val="21"/>
                <w:highlight w:val="none"/>
              </w:rPr>
              <w:t>2、服务地点：采购人指定地点。</w:t>
            </w:r>
          </w:p>
        </w:tc>
      </w:tr>
      <w:tr w14:paraId="2F046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6C855653">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付款条件</w:t>
            </w:r>
          </w:p>
        </w:tc>
        <w:tc>
          <w:tcPr>
            <w:tcW w:w="7614" w:type="dxa"/>
            <w:gridSpan w:val="4"/>
            <w:tcBorders>
              <w:top w:val="single" w:color="auto" w:sz="4" w:space="0"/>
              <w:left w:val="single" w:color="auto" w:sz="4" w:space="0"/>
              <w:bottom w:val="single" w:color="auto" w:sz="4" w:space="0"/>
              <w:right w:val="single" w:color="auto" w:sz="4" w:space="0"/>
            </w:tcBorders>
            <w:vAlign w:val="center"/>
          </w:tcPr>
          <w:p w14:paraId="107BA46B">
            <w:pPr>
              <w:spacing w:line="360" w:lineRule="auto"/>
              <w:rPr>
                <w:rFonts w:ascii="宋体" w:hAnsi="宋体" w:cs="宋体"/>
                <w:bCs/>
                <w:color w:val="auto"/>
                <w:szCs w:val="21"/>
                <w:highlight w:val="none"/>
              </w:rPr>
            </w:pPr>
            <w:r>
              <w:rPr>
                <w:rFonts w:hint="eastAsia" w:ascii="宋体" w:hAnsi="宋体" w:cs="宋体"/>
                <w:bCs/>
                <w:color w:val="auto"/>
                <w:szCs w:val="21"/>
                <w:highlight w:val="none"/>
              </w:rPr>
              <w:t>1.在单次租赁业务完成10个工作日内，采购人与成交供应商双方核对信息无误后，成交供应商向采购人开具单次租赁业务相应款项的增值税专用发票，采购人收到发票后20个工作日进行对公转账支付（成交供应商必须为采购人提供真实、有效、合法的正式增值税专用发票，如提供假发票，成交供应商除补开合法的增值税专用发票外，必须赔偿采购人发票面额5倍违约金，由此产生的一切损失均由成交供应商承担）。</w:t>
            </w:r>
          </w:p>
          <w:p w14:paraId="09DFC760">
            <w:pPr>
              <w:spacing w:line="360" w:lineRule="auto"/>
              <w:rPr>
                <w:rFonts w:ascii="宋体" w:hAnsi="宋体" w:cs="宋体"/>
                <w:bCs/>
                <w:color w:val="auto"/>
                <w:szCs w:val="21"/>
                <w:highlight w:val="none"/>
              </w:rPr>
            </w:pPr>
            <w:r>
              <w:rPr>
                <w:rFonts w:hint="eastAsia" w:ascii="宋体" w:hAnsi="宋体" w:cs="宋体"/>
                <w:bCs/>
                <w:color w:val="auto"/>
                <w:szCs w:val="21"/>
                <w:highlight w:val="none"/>
              </w:rPr>
              <w:t>2. 车辆租赁费用按照实际完成的车辆租赁服务订单进行结算，结算金额 = 实际完成订单数量×对应车型的成交价。</w:t>
            </w:r>
          </w:p>
        </w:tc>
      </w:tr>
      <w:tr w14:paraId="68B77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5E29EC95">
            <w:pPr>
              <w:spacing w:line="360" w:lineRule="auto"/>
              <w:jc w:val="center"/>
              <w:rPr>
                <w:rFonts w:ascii="宋体" w:hAnsi="宋体" w:cs="宋体"/>
                <w:b/>
                <w:color w:val="auto"/>
                <w:szCs w:val="21"/>
                <w:highlight w:val="none"/>
              </w:rPr>
            </w:pPr>
            <w:r>
              <w:rPr>
                <w:rFonts w:hint="eastAsia" w:ascii="宋体" w:hAnsi="宋体" w:cs="宋体"/>
                <w:color w:val="auto"/>
                <w:szCs w:val="21"/>
                <w:highlight w:val="none"/>
              </w:rPr>
              <w:t>▲售后服务</w:t>
            </w:r>
          </w:p>
        </w:tc>
        <w:tc>
          <w:tcPr>
            <w:tcW w:w="7614" w:type="dxa"/>
            <w:gridSpan w:val="4"/>
            <w:tcBorders>
              <w:top w:val="single" w:color="auto" w:sz="4" w:space="0"/>
              <w:left w:val="single" w:color="auto" w:sz="4" w:space="0"/>
              <w:bottom w:val="single" w:color="auto" w:sz="4" w:space="0"/>
              <w:right w:val="single" w:color="auto" w:sz="4" w:space="0"/>
            </w:tcBorders>
            <w:vAlign w:val="center"/>
          </w:tcPr>
          <w:p w14:paraId="05D89E26">
            <w:pPr>
              <w:spacing w:line="360" w:lineRule="auto"/>
              <w:rPr>
                <w:rFonts w:ascii="宋体" w:hAnsi="宋体" w:cs="宋体"/>
                <w:color w:val="auto"/>
                <w:szCs w:val="21"/>
                <w:highlight w:val="none"/>
              </w:rPr>
            </w:pPr>
            <w:r>
              <w:rPr>
                <w:rFonts w:hint="eastAsia" w:ascii="宋体" w:hAnsi="宋体" w:cs="宋体"/>
                <w:color w:val="auto"/>
                <w:szCs w:val="21"/>
                <w:highlight w:val="none"/>
              </w:rPr>
              <w:t>1、处理问题响应时间：接到采购人处理问题通知后半小时内客服对接采购人解决问题；</w:t>
            </w:r>
          </w:p>
          <w:p w14:paraId="7245A487">
            <w:pPr>
              <w:spacing w:line="360" w:lineRule="auto"/>
              <w:rPr>
                <w:rFonts w:ascii="宋体" w:hAnsi="宋体" w:cs="宋体"/>
                <w:color w:val="auto"/>
                <w:szCs w:val="21"/>
                <w:highlight w:val="none"/>
              </w:rPr>
            </w:pPr>
            <w:r>
              <w:rPr>
                <w:rFonts w:hint="eastAsia" w:ascii="宋体" w:hAnsi="宋体" w:cs="宋体"/>
                <w:color w:val="auto"/>
                <w:szCs w:val="21"/>
                <w:highlight w:val="none"/>
              </w:rPr>
              <w:t>2、接到采购人用车需求的通知后，一般用车承诺2小时内必须作出响应，并按采购人要求的时间地点准时派出符合要求的车辆到达采购人指定位置提供服务；紧急用车承诺30分钟内响应，优先满足并及时安排解决采购人用车需求。</w:t>
            </w:r>
          </w:p>
          <w:p w14:paraId="338982CB">
            <w:pPr>
              <w:spacing w:line="360" w:lineRule="auto"/>
              <w:rPr>
                <w:rFonts w:ascii="宋体" w:hAnsi="宋体" w:cs="宋体"/>
                <w:color w:val="auto"/>
                <w:szCs w:val="22"/>
                <w:highlight w:val="none"/>
              </w:rPr>
            </w:pPr>
            <w:r>
              <w:rPr>
                <w:rFonts w:hint="eastAsia" w:ascii="宋体" w:hAnsi="宋体" w:cs="宋体"/>
                <w:color w:val="auto"/>
                <w:szCs w:val="21"/>
                <w:highlight w:val="none"/>
              </w:rPr>
              <w:t>3、特殊情况（例如：野外工作环境较差）确实需要超标准租用车辆，且采购人所需租用的车辆不在本项目商定的供应商供应的车型范围内的（例如：货车、皮卡车、等），应在厉行节约的前提下，按市场价格租用；</w:t>
            </w:r>
          </w:p>
        </w:tc>
      </w:tr>
      <w:tr w14:paraId="76594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477EE788">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其他要求</w:t>
            </w:r>
          </w:p>
        </w:tc>
        <w:tc>
          <w:tcPr>
            <w:tcW w:w="7614" w:type="dxa"/>
            <w:gridSpan w:val="4"/>
            <w:tcBorders>
              <w:top w:val="single" w:color="auto" w:sz="4" w:space="0"/>
              <w:left w:val="single" w:color="auto" w:sz="4" w:space="0"/>
              <w:bottom w:val="single" w:color="auto" w:sz="4" w:space="0"/>
              <w:right w:val="single" w:color="auto" w:sz="4" w:space="0"/>
            </w:tcBorders>
            <w:vAlign w:val="center"/>
          </w:tcPr>
          <w:p w14:paraId="653DE72E">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采购人有权根据各定点成交供应商的服务能力和服务质量确定具体的公务用车租赁事项。</w:t>
            </w:r>
          </w:p>
          <w:p w14:paraId="75A064E1">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、磋商供应商对采购文件的项目要求应完全响应，如果存在虚假响应或者是虚假承诺，由此造成的一切后果由供应商自行承担。</w:t>
            </w:r>
            <w:r>
              <w:rPr>
                <w:rFonts w:hint="eastAsia" w:ascii="宋体" w:hAnsi="宋体" w:cs="宋体"/>
                <w:color w:val="auto"/>
                <w:szCs w:val="21"/>
                <w:highlight w:val="none"/>
                <w:lang w:val="zh-CN"/>
              </w:rPr>
              <w:t>中标后双方约定试服务期（3个月），具体时间在签订合同时确定，试服务期满</w:t>
            </w:r>
            <w:r>
              <w:rPr>
                <w:rFonts w:hint="eastAsia" w:ascii="宋体" w:hAnsi="宋体" w:cs="宋体"/>
                <w:color w:val="auto"/>
                <w:szCs w:val="21"/>
                <w:highlight w:val="none"/>
              </w:rPr>
              <w:t>后</w:t>
            </w:r>
            <w:r>
              <w:rPr>
                <w:rFonts w:hint="eastAsia" w:ascii="宋体" w:hAnsi="宋体" w:cs="宋体"/>
                <w:color w:val="auto"/>
                <w:szCs w:val="21"/>
                <w:highlight w:val="none"/>
                <w:lang w:val="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zh-CN"/>
              </w:rPr>
              <w:t>对</w:t>
            </w:r>
            <w:r>
              <w:rPr>
                <w:rFonts w:hint="eastAsia" w:ascii="宋体" w:hAnsi="宋体" w:cs="宋体"/>
                <w:color w:val="auto"/>
                <w:szCs w:val="21"/>
                <w:highlight w:val="none"/>
              </w:rPr>
              <w:t>成交</w:t>
            </w:r>
            <w:r>
              <w:rPr>
                <w:rFonts w:hint="eastAsia" w:ascii="宋体" w:hAnsi="宋体" w:cs="宋体"/>
                <w:color w:val="auto"/>
                <w:szCs w:val="21"/>
                <w:highlight w:val="none"/>
                <w:lang w:val="zh-CN"/>
              </w:rPr>
              <w:t>人服务质量做一次考核测评，满意度未到</w:t>
            </w:r>
            <w:r>
              <w:rPr>
                <w:rFonts w:hint="eastAsia" w:ascii="宋体" w:hAnsi="宋体" w:cs="宋体"/>
                <w:color w:val="auto"/>
                <w:szCs w:val="21"/>
                <w:highlight w:val="none"/>
              </w:rPr>
              <w:t>8</w:t>
            </w:r>
            <w:r>
              <w:rPr>
                <w:rFonts w:hint="eastAsia" w:ascii="宋体" w:hAnsi="宋体" w:cs="宋体"/>
                <w:color w:val="auto"/>
                <w:szCs w:val="21"/>
                <w:highlight w:val="none"/>
                <w:lang w:val="zh-CN"/>
              </w:rPr>
              <w:t>0%</w:t>
            </w:r>
            <w:r>
              <w:rPr>
                <w:rFonts w:hint="eastAsia" w:ascii="宋体" w:hAnsi="宋体" w:cs="宋体"/>
                <w:color w:val="auto"/>
                <w:szCs w:val="21"/>
                <w:highlight w:val="none"/>
              </w:rPr>
              <w:t>以上</w:t>
            </w:r>
            <w:r>
              <w:rPr>
                <w:rFonts w:hint="eastAsia" w:ascii="宋体" w:hAnsi="宋体" w:cs="宋体"/>
                <w:color w:val="auto"/>
                <w:szCs w:val="21"/>
                <w:highlight w:val="none"/>
                <w:lang w:val="zh-CN"/>
              </w:rPr>
              <w:t>的，采购</w:t>
            </w:r>
            <w:r>
              <w:rPr>
                <w:rFonts w:hint="eastAsia" w:ascii="宋体" w:hAnsi="宋体" w:cs="宋体"/>
                <w:color w:val="auto"/>
                <w:szCs w:val="21"/>
                <w:highlight w:val="none"/>
              </w:rPr>
              <w:t>人</w:t>
            </w:r>
            <w:r>
              <w:rPr>
                <w:rFonts w:hint="eastAsia" w:ascii="宋体" w:hAnsi="宋体" w:cs="宋体"/>
                <w:color w:val="auto"/>
                <w:szCs w:val="21"/>
                <w:highlight w:val="none"/>
                <w:lang w:val="zh-CN"/>
              </w:rPr>
              <w:t>有权要求</w:t>
            </w:r>
            <w:r>
              <w:rPr>
                <w:rFonts w:hint="eastAsia" w:ascii="宋体" w:hAnsi="宋体" w:cs="宋体"/>
                <w:color w:val="auto"/>
                <w:szCs w:val="21"/>
                <w:highlight w:val="none"/>
              </w:rPr>
              <w:t>成交</w:t>
            </w:r>
            <w:r>
              <w:rPr>
                <w:rFonts w:hint="eastAsia" w:ascii="宋体" w:hAnsi="宋体" w:cs="宋体"/>
                <w:color w:val="auto"/>
                <w:szCs w:val="21"/>
                <w:highlight w:val="none"/>
                <w:lang w:val="zh-CN"/>
              </w:rPr>
              <w:t>人进行整改，整改期限为</w:t>
            </w:r>
            <w:r>
              <w:rPr>
                <w:rFonts w:hint="eastAsia" w:ascii="宋体" w:hAnsi="宋体" w:cs="宋体"/>
                <w:color w:val="auto"/>
                <w:szCs w:val="21"/>
                <w:highlight w:val="none"/>
              </w:rPr>
              <w:t>1</w:t>
            </w:r>
            <w:r>
              <w:rPr>
                <w:rFonts w:hint="eastAsia" w:ascii="宋体" w:hAnsi="宋体" w:cs="宋体"/>
                <w:color w:val="auto"/>
                <w:szCs w:val="21"/>
                <w:highlight w:val="none"/>
                <w:lang w:val="zh-CN"/>
              </w:rPr>
              <w:t>个月，逾期未能</w:t>
            </w:r>
            <w:r>
              <w:rPr>
                <w:rFonts w:hint="eastAsia" w:ascii="宋体" w:hAnsi="宋体" w:cs="宋体"/>
                <w:color w:val="auto"/>
                <w:szCs w:val="21"/>
                <w:highlight w:val="none"/>
              </w:rPr>
              <w:t>改正</w:t>
            </w:r>
            <w:r>
              <w:rPr>
                <w:rFonts w:hint="eastAsia" w:ascii="宋体" w:hAnsi="宋体" w:cs="宋体"/>
                <w:color w:val="auto"/>
                <w:szCs w:val="21"/>
                <w:highlight w:val="none"/>
                <w:lang w:val="zh-CN"/>
              </w:rPr>
              <w:t>的，采购</w:t>
            </w:r>
            <w:r>
              <w:rPr>
                <w:rFonts w:hint="eastAsia" w:ascii="宋体" w:hAnsi="宋体" w:cs="宋体"/>
                <w:color w:val="auto"/>
                <w:szCs w:val="21"/>
                <w:highlight w:val="none"/>
              </w:rPr>
              <w:t>人</w:t>
            </w:r>
            <w:r>
              <w:rPr>
                <w:rFonts w:hint="eastAsia" w:ascii="宋体" w:hAnsi="宋体" w:cs="宋体"/>
                <w:color w:val="auto"/>
                <w:szCs w:val="21"/>
                <w:highlight w:val="none"/>
                <w:lang w:val="zh-CN"/>
              </w:rPr>
              <w:t>有权单方终止服务</w:t>
            </w:r>
            <w:r>
              <w:rPr>
                <w:rFonts w:hint="eastAsia" w:ascii="宋体" w:hAnsi="宋体" w:cs="宋体"/>
                <w:color w:val="auto"/>
                <w:szCs w:val="21"/>
                <w:highlight w:val="none"/>
              </w:rPr>
              <w:t>合同，并不做任何赔偿或补偿。</w:t>
            </w:r>
          </w:p>
          <w:p w14:paraId="427F0651">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、设立专线投诉电话和员工意见箱，积极接受投诉与监督，及时处理投诉意见和反馈信息。</w:t>
            </w:r>
          </w:p>
          <w:p w14:paraId="4EA9389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、建立投诉受理制度，对用车人提出的投诉，应立即核实，妥善处理，并且留有记录。</w:t>
            </w:r>
          </w:p>
          <w:p w14:paraId="4A276975">
            <w:pPr>
              <w:spacing w:line="360" w:lineRule="auto"/>
              <w:rPr>
                <w:rFonts w:ascii="宋体" w:hAnsi="宋体" w:cs="宋体"/>
                <w:bCs/>
                <w:color w:val="auto"/>
                <w:szCs w:val="22"/>
                <w:highlight w:val="none"/>
              </w:rPr>
            </w:pPr>
            <w:r>
              <w:rPr>
                <w:rFonts w:hint="eastAsia" w:ascii="宋体" w:hAnsi="宋体" w:cs="宋体"/>
                <w:color w:val="auto"/>
                <w:szCs w:val="21"/>
                <w:highlight w:val="none"/>
              </w:rPr>
              <w:t>如果因服务质量问题（如服务态度差、刁难谩骂采购人职工等等）被用车人投诉，一经查实，对相关责任人严格处罚，按情节大小及累计次数，酌情扣除当次租车费用（不超过当次租车费用50%），情节严重或知错不改者给予单次租费用的2倍罚款处理。</w:t>
            </w:r>
          </w:p>
        </w:tc>
      </w:tr>
    </w:tbl>
    <w:p w14:paraId="753FDDE4">
      <w:pPr>
        <w:pStyle w:val="6"/>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第四章  评审程序、评审方法和评审标准</w:t>
      </w:r>
      <w:bookmarkEnd w:id="40"/>
    </w:p>
    <w:p w14:paraId="311D8CD5">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43478F99">
      <w:pPr>
        <w:spacing w:line="360" w:lineRule="auto"/>
        <w:ind w:firstLine="482" w:firstLineChars="200"/>
        <w:rPr>
          <w:rFonts w:ascii="宋体" w:hAnsi="宋体" w:cs="宋体"/>
          <w:b/>
          <w:bCs/>
          <w:color w:val="auto"/>
          <w:sz w:val="24"/>
          <w:highlight w:val="none"/>
        </w:rPr>
      </w:pPr>
    </w:p>
    <w:p w14:paraId="30B7C3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67D937F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6C79157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highlight w:val="none"/>
        </w:rPr>
        <w:t>www.ccgp.gov.cn</w:t>
      </w:r>
      <w:r>
        <w:rPr>
          <w:rFonts w:hint="eastAsia" w:ascii="宋体" w:hAnsi="宋体" w:cs="宋体"/>
          <w:color w:val="auto"/>
          <w:highlight w:val="none"/>
        </w:rPr>
        <w:fldChar w:fldCharType="end"/>
      </w:r>
      <w:r>
        <w:rPr>
          <w:rFonts w:hint="eastAsia" w:ascii="宋体" w:hAnsi="宋体" w:cs="宋体"/>
          <w:color w:val="auto"/>
          <w:szCs w:val="21"/>
          <w:highlight w:val="none"/>
        </w:rPr>
        <w:t>）</w:t>
      </w:r>
    </w:p>
    <w:p w14:paraId="61C59B8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DCFF46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（3）查询记录和证据留存方式：通过广西政府采购云平台链接到相关查询网站进行查询及记录。</w:t>
      </w:r>
    </w:p>
    <w:p w14:paraId="3D93EFD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312623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2E84C8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47B83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C2848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19CA17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1586F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34F6B5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205CAA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4E8BC120">
      <w:pPr>
        <w:spacing w:line="360" w:lineRule="auto"/>
        <w:ind w:firstLine="420" w:firstLineChars="200"/>
        <w:rPr>
          <w:rFonts w:ascii="宋体" w:hAnsi="宋体" w:cs="宋体"/>
          <w:color w:val="auto"/>
          <w:szCs w:val="21"/>
          <w:highlight w:val="none"/>
        </w:rPr>
      </w:pPr>
      <w:bookmarkStart w:id="41" w:name="_Hlk42528882"/>
      <w:r>
        <w:rPr>
          <w:rFonts w:hint="eastAsia" w:ascii="宋体" w:hAnsi="宋体" w:cs="宋体"/>
          <w:color w:val="auto"/>
          <w:szCs w:val="21"/>
          <w:highlight w:val="none"/>
        </w:rPr>
        <w:t>2.1由磋商小组对资格审查的合格供应商的响应文件的竞标报价、商务、技术等实质性要求进行符合性审查，以确定其是否满足磋商文件的实质性要求。</w:t>
      </w:r>
    </w:p>
    <w:bookmarkEnd w:id="41"/>
    <w:p w14:paraId="5635DE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723CD0">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highlight w:val="none"/>
        </w:rPr>
        <w:t>。供应商为自然人的，必须由本人签字并附身份证明。</w:t>
      </w:r>
    </w:p>
    <w:p w14:paraId="6DA2FD3C">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68E82C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10A9A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AC66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FC53E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35013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02EF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41FBA7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513E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27A47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DB45B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B700E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42BFDA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28C95F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14:paraId="2B2BF5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3F450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66222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0C442C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A4755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0462B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11）技术要求中标“▲”的条款发生负偏离或允许负偏离的条款数超过“供应商须知前附表”规定项数的；</w:t>
      </w:r>
    </w:p>
    <w:p w14:paraId="2A253F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0F02DF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4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42"/>
    </w:p>
    <w:p w14:paraId="6B6582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25C5E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15）竞争性磋商文件明确不允许分包，响应文件拟分包的；</w:t>
      </w:r>
    </w:p>
    <w:p w14:paraId="1C2C27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02C08B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260496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AFDD7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报价商务技术文件中规定的“竞标报价表”；</w:t>
      </w:r>
    </w:p>
    <w:p w14:paraId="448F70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7479C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8178C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43" w:name="_Hlk42596405"/>
      <w:r>
        <w:rPr>
          <w:rFonts w:hint="eastAsia" w:ascii="宋体" w:hAnsi="宋体" w:cs="宋体"/>
          <w:color w:val="auto"/>
          <w:szCs w:val="21"/>
          <w:highlight w:val="none"/>
        </w:rPr>
        <w:t xml:space="preserve"> </w:t>
      </w:r>
      <w:bookmarkEnd w:id="43"/>
    </w:p>
    <w:p w14:paraId="136CD5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1524D2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14:paraId="5B99AD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476995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B2D6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031D61D5">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2BF20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5533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3.3对磋商文件作出的实质性变动是磋商文件的有效组成部分，由磋商小组及时以电子磋商记录形式同时通知所有参加磋商的供应商。</w:t>
      </w:r>
    </w:p>
    <w:p w14:paraId="4EDB49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43EE05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7C4424A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3.6对磋商过程提交的响应文件进行有效性、完整性和响应程度审查，通过审查的合格供应商不足3家的，采购人或者采购代理机构应当重新开展采购活动。</w:t>
      </w:r>
    </w:p>
    <w:p w14:paraId="08599896">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FDCB835">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369D82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2A73B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6050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本章第3.8条情形的，</w:t>
      </w:r>
      <w:r>
        <w:rPr>
          <w:rFonts w:hint="eastAsia" w:ascii="宋体" w:hAnsi="宋体" w:cs="宋体"/>
          <w:color w:val="auto"/>
          <w:szCs w:val="21"/>
          <w:highlight w:val="none"/>
        </w:rPr>
        <w:t>提交最后报价的供应商可以为2家。</w:t>
      </w:r>
    </w:p>
    <w:p w14:paraId="26D17E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7C60A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7B740C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4.6磋商小组收齐某一分标最后报价后或达到规定时间后统一开启，磋商小组对最后报价进行有效性、完整性和响应程度的审查。</w:t>
      </w:r>
    </w:p>
    <w:p w14:paraId="579753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05D76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4.8经供应商确认修正后的最后报价作为评审及签订合同的依据。</w:t>
      </w:r>
    </w:p>
    <w:p w14:paraId="431D71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4.9供应商出现最后报价按无效响应处理或者响应文件按无效响应处理时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B444B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4.10最后报价结束后，磋商小组不得再与供应商进行任何形式的商谈。</w:t>
      </w:r>
    </w:p>
    <w:p w14:paraId="522CF12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0B976C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2191A1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5D8703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4DAAFE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69938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DB1C5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5.4评标价为供应商的最后报价进行政策性扣除后的价格，评标价只是作为评审时使用。最终成交供应商的成交金额等于最后报价（如有修正，以确认修正后的最后报价为准）。</w:t>
      </w:r>
    </w:p>
    <w:p w14:paraId="210EC06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w:t>
      </w:r>
      <w:r>
        <w:rPr>
          <w:rFonts w:hint="eastAsia" w:ascii="宋体" w:hAnsi="宋体" w:cs="宋体"/>
          <w:color w:val="auto"/>
          <w:szCs w:val="21"/>
          <w:highlight w:val="none"/>
        </w:rPr>
        <w:t>2.7、3.7、4.3</w:t>
      </w:r>
      <w:r>
        <w:rPr>
          <w:rFonts w:hint="eastAsia" w:ascii="宋体" w:hAnsi="宋体" w:cs="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0408ACDC">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101A04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0202FF5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670"/>
        <w:gridCol w:w="5239"/>
      </w:tblGrid>
      <w:tr w14:paraId="0629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1B026B3E">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280" w:type="dxa"/>
            <w:vAlign w:val="center"/>
          </w:tcPr>
          <w:p w14:paraId="6043BCD0">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709" w:type="dxa"/>
            <w:vAlign w:val="center"/>
          </w:tcPr>
          <w:p w14:paraId="7E10DBA3">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6909" w:type="dxa"/>
            <w:gridSpan w:val="2"/>
            <w:vAlign w:val="center"/>
          </w:tcPr>
          <w:p w14:paraId="0CBA4370">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64B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5570CE5C">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80" w:type="dxa"/>
            <w:vAlign w:val="center"/>
          </w:tcPr>
          <w:p w14:paraId="4EFFA976">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报价</w:t>
            </w:r>
          </w:p>
        </w:tc>
        <w:tc>
          <w:tcPr>
            <w:tcW w:w="709" w:type="dxa"/>
            <w:vAlign w:val="center"/>
          </w:tcPr>
          <w:p w14:paraId="66057E8D">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20分</w:t>
            </w:r>
          </w:p>
        </w:tc>
        <w:tc>
          <w:tcPr>
            <w:tcW w:w="6909" w:type="dxa"/>
            <w:gridSpan w:val="2"/>
            <w:vAlign w:val="center"/>
          </w:tcPr>
          <w:p w14:paraId="17323149">
            <w:pPr>
              <w:pStyle w:val="19"/>
              <w:spacing w:line="420" w:lineRule="exact"/>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1、报价分采用低价优先法计算，满足竞争性磋商文件要求的有效供应商最低的的最后总报价为评标基准价，其报价分为满分。</w:t>
            </w:r>
          </w:p>
          <w:p w14:paraId="4C54E297">
            <w:pPr>
              <w:pStyle w:val="19"/>
              <w:spacing w:line="420" w:lineRule="exact"/>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2、其他供应商的价格分统一按照下列公式计算：</w:t>
            </w:r>
          </w:p>
          <w:p w14:paraId="0AE2D01E">
            <w:pPr>
              <w:pStyle w:val="19"/>
              <w:spacing w:line="420" w:lineRule="exact"/>
              <w:rPr>
                <w:rFonts w:hAnsi="宋体" w:cs="宋体"/>
                <w:bCs/>
                <w:color w:val="auto"/>
                <w:kern w:val="2"/>
                <w:sz w:val="21"/>
                <w:highlight w:val="none"/>
              </w:rPr>
            </w:pPr>
            <w:r>
              <w:rPr>
                <w:rFonts w:hint="eastAsia" w:ascii="宋体" w:hAnsi="宋体" w:eastAsia="宋体" w:cs="宋体"/>
                <w:bCs/>
                <w:color w:val="auto"/>
                <w:kern w:val="2"/>
                <w:sz w:val="21"/>
                <w:szCs w:val="21"/>
                <w:highlight w:val="none"/>
                <w:lang w:val="en-US" w:eastAsia="zh-CN" w:bidi="ar-SA"/>
              </w:rPr>
              <w:t>某有效供应商的报价分=（评标基准价／某有效供应商最后总报价）× 20分</w:t>
            </w:r>
          </w:p>
        </w:tc>
      </w:tr>
      <w:tr w14:paraId="6EB8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1184B8F2">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80" w:type="dxa"/>
            <w:vMerge w:val="restart"/>
            <w:vAlign w:val="center"/>
          </w:tcPr>
          <w:p w14:paraId="6194573D">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服务水平</w:t>
            </w:r>
          </w:p>
        </w:tc>
        <w:tc>
          <w:tcPr>
            <w:tcW w:w="709" w:type="dxa"/>
            <w:vMerge w:val="restart"/>
            <w:vAlign w:val="center"/>
          </w:tcPr>
          <w:p w14:paraId="18C19B4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64分</w:t>
            </w:r>
          </w:p>
        </w:tc>
        <w:tc>
          <w:tcPr>
            <w:tcW w:w="1670" w:type="dxa"/>
            <w:vAlign w:val="center"/>
          </w:tcPr>
          <w:p w14:paraId="2E33B0B5">
            <w:pPr>
              <w:widowControl/>
              <w:spacing w:line="360" w:lineRule="auto"/>
              <w:rPr>
                <w:rFonts w:ascii="宋体" w:hAnsi="宋体" w:cs="宋体"/>
                <w:color w:val="auto"/>
                <w:szCs w:val="21"/>
                <w:highlight w:val="none"/>
              </w:rPr>
            </w:pPr>
            <w:r>
              <w:rPr>
                <w:rFonts w:hint="eastAsia" w:ascii="宋体" w:hAnsi="Courier New"/>
                <w:b/>
                <w:color w:val="auto"/>
                <w:highlight w:val="none"/>
              </w:rPr>
              <w:t>服务方案分（满分16分）</w:t>
            </w:r>
          </w:p>
          <w:p w14:paraId="693FB861">
            <w:pPr>
              <w:adjustRightInd w:val="0"/>
              <w:spacing w:line="360" w:lineRule="auto"/>
              <w:jc w:val="center"/>
              <w:textAlignment w:val="baseline"/>
              <w:rPr>
                <w:rFonts w:ascii="宋体" w:hAnsi="宋体" w:cs="宋体"/>
                <w:bCs/>
                <w:color w:val="auto"/>
                <w:szCs w:val="21"/>
                <w:highlight w:val="none"/>
              </w:rPr>
            </w:pPr>
          </w:p>
        </w:tc>
        <w:tc>
          <w:tcPr>
            <w:tcW w:w="5239" w:type="dxa"/>
            <w:vAlign w:val="center"/>
          </w:tcPr>
          <w:p w14:paraId="5807D0D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由磋商小组在打分前根据供应商对</w:t>
            </w:r>
            <w:r>
              <w:rPr>
                <w:rFonts w:hint="eastAsia" w:ascii="宋体" w:hAnsi="宋体" w:cs="宋体"/>
                <w:color w:val="auto"/>
                <w:szCs w:val="21"/>
                <w:highlight w:val="none"/>
              </w:rPr>
              <w:t>服务方案</w:t>
            </w:r>
            <w:r>
              <w:rPr>
                <w:rFonts w:hint="eastAsia" w:ascii="宋体" w:hAnsi="宋体" w:cs="宋体"/>
                <w:bCs/>
                <w:color w:val="auto"/>
                <w:szCs w:val="21"/>
                <w:highlight w:val="none"/>
              </w:rPr>
              <w:t>确定各供应商所属档次及得分。达不到一档要求或不提供的得0分。</w:t>
            </w:r>
          </w:p>
          <w:p w14:paraId="34D6D3C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一档（4分）：承诺车辆性能保持稳定，工况车速等达到标准要求，随车配备简易工具，便于采购人行车时及时排除简易故障，基本能够确保服务工作的正常运转，承诺解决采购人应急用车服务时间在30分钟以内的。 </w:t>
            </w:r>
          </w:p>
          <w:p w14:paraId="15C8811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二档（10分）：在一档基础上，提供服务方案包括项目执行组织措施和保障措施，承诺解决采购人应急用车服务时间在 30分钟以内的。 </w:t>
            </w:r>
          </w:p>
          <w:p w14:paraId="5F4D19B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三档（16分）：在二档基础上，提出详细的故障排除和应急方案，具有健全的安全保证体系，安全事故控制得力，承诺解决采购人应急用车服务时间在30分钟以内的。 </w:t>
            </w:r>
          </w:p>
        </w:tc>
      </w:tr>
      <w:tr w14:paraId="7FCB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30" w:type="dxa"/>
            <w:vMerge w:val="continue"/>
            <w:vAlign w:val="center"/>
          </w:tcPr>
          <w:p w14:paraId="100B35C2">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0C09AA9F">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2F8F7E25">
            <w:pPr>
              <w:adjustRightInd w:val="0"/>
              <w:spacing w:line="360" w:lineRule="auto"/>
              <w:jc w:val="center"/>
              <w:textAlignment w:val="baseline"/>
              <w:rPr>
                <w:rFonts w:ascii="宋体" w:hAnsi="宋体" w:cs="宋体"/>
                <w:b/>
                <w:color w:val="auto"/>
                <w:szCs w:val="21"/>
                <w:highlight w:val="none"/>
              </w:rPr>
            </w:pPr>
          </w:p>
        </w:tc>
        <w:tc>
          <w:tcPr>
            <w:tcW w:w="1670" w:type="dxa"/>
            <w:vAlign w:val="center"/>
          </w:tcPr>
          <w:p w14:paraId="146BEF44">
            <w:pPr>
              <w:pStyle w:val="19"/>
              <w:spacing w:after="156" w:line="360" w:lineRule="auto"/>
              <w:rPr>
                <w:rFonts w:hAnsi="宋体" w:cs="宋体"/>
                <w:bCs/>
                <w:color w:val="auto"/>
                <w:kern w:val="2"/>
                <w:sz w:val="21"/>
                <w:highlight w:val="none"/>
              </w:rPr>
            </w:pPr>
            <w:r>
              <w:rPr>
                <w:rFonts w:hint="eastAsia" w:hAnsi="宋体" w:cs="宋体"/>
                <w:b/>
                <w:bCs/>
                <w:color w:val="auto"/>
                <w:kern w:val="2"/>
                <w:sz w:val="21"/>
                <w:highlight w:val="none"/>
              </w:rPr>
              <w:t>租赁业务信息化管理分（满分4分）</w:t>
            </w:r>
          </w:p>
        </w:tc>
        <w:tc>
          <w:tcPr>
            <w:tcW w:w="5239" w:type="dxa"/>
          </w:tcPr>
          <w:p w14:paraId="10FE87C1">
            <w:pPr>
              <w:pStyle w:val="19"/>
              <w:spacing w:after="156" w:line="360" w:lineRule="auto"/>
              <w:rPr>
                <w:rFonts w:hAnsi="宋体" w:cs="宋体"/>
                <w:bCs/>
                <w:color w:val="auto"/>
                <w:kern w:val="2"/>
                <w:sz w:val="21"/>
                <w:highlight w:val="none"/>
              </w:rPr>
            </w:pPr>
            <w:r>
              <w:rPr>
                <w:rFonts w:hint="eastAsia" w:hAnsi="宋体" w:cs="宋体"/>
                <w:bCs/>
                <w:color w:val="auto"/>
                <w:kern w:val="2"/>
                <w:sz w:val="21"/>
                <w:highlight w:val="none"/>
              </w:rPr>
              <w:t>供应商具有信息化管理的车辆管理平台系统，提供系统截图，得4分。</w:t>
            </w:r>
          </w:p>
        </w:tc>
      </w:tr>
      <w:tr w14:paraId="2507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532A912C">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241DF00A">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2AA051E1">
            <w:pPr>
              <w:adjustRightInd w:val="0"/>
              <w:spacing w:line="360" w:lineRule="auto"/>
              <w:jc w:val="center"/>
              <w:textAlignment w:val="baseline"/>
              <w:rPr>
                <w:rFonts w:ascii="宋体" w:hAnsi="宋体" w:cs="宋体"/>
                <w:b/>
                <w:color w:val="auto"/>
                <w:szCs w:val="21"/>
                <w:highlight w:val="none"/>
              </w:rPr>
            </w:pPr>
          </w:p>
        </w:tc>
        <w:tc>
          <w:tcPr>
            <w:tcW w:w="1670" w:type="dxa"/>
            <w:vAlign w:val="center"/>
          </w:tcPr>
          <w:p w14:paraId="1E51B801">
            <w:pPr>
              <w:adjustRightInd w:val="0"/>
              <w:spacing w:line="360" w:lineRule="auto"/>
              <w:textAlignment w:val="baseline"/>
              <w:rPr>
                <w:rFonts w:ascii="宋体" w:hAnsi="宋体" w:cs="宋体"/>
                <w:bCs/>
                <w:color w:val="auto"/>
                <w:szCs w:val="21"/>
                <w:highlight w:val="none"/>
              </w:rPr>
            </w:pPr>
            <w:r>
              <w:rPr>
                <w:rFonts w:hint="eastAsia" w:ascii="宋体" w:hAnsi="宋体" w:cs="宋体"/>
                <w:b/>
                <w:color w:val="auto"/>
                <w:szCs w:val="21"/>
                <w:highlight w:val="none"/>
                <w:lang w:eastAsia="zh-CN"/>
              </w:rPr>
              <w:t>拟投入</w:t>
            </w:r>
            <w:r>
              <w:rPr>
                <w:rFonts w:hint="eastAsia" w:ascii="宋体" w:hAnsi="宋体" w:cs="宋体"/>
                <w:b/>
                <w:color w:val="auto"/>
                <w:szCs w:val="21"/>
                <w:highlight w:val="none"/>
              </w:rPr>
              <w:t>使用的司机分（满分8分）</w:t>
            </w:r>
          </w:p>
        </w:tc>
        <w:tc>
          <w:tcPr>
            <w:tcW w:w="5239" w:type="dxa"/>
            <w:vAlign w:val="center"/>
          </w:tcPr>
          <w:p w14:paraId="1DEC2304">
            <w:pPr>
              <w:spacing w:line="360" w:lineRule="auto"/>
              <w:ind w:firstLine="420" w:firstLineChars="200"/>
              <w:jc w:val="left"/>
              <w:rPr>
                <w:color w:val="auto"/>
                <w:highlight w:val="none"/>
              </w:rPr>
            </w:pPr>
            <w:r>
              <w:rPr>
                <w:rFonts w:hint="eastAsia" w:ascii="宋体" w:hAnsi="宋体" w:cs="宋体"/>
                <w:bCs/>
                <w:color w:val="auto"/>
                <w:szCs w:val="21"/>
                <w:highlight w:val="none"/>
              </w:rPr>
              <w:t>由磋商小组在打分前根据供应商对</w:t>
            </w:r>
            <w:r>
              <w:rPr>
                <w:rFonts w:hint="eastAsia" w:ascii="宋体" w:hAnsi="宋体" w:cs="宋体"/>
                <w:bCs/>
                <w:color w:val="auto"/>
                <w:szCs w:val="21"/>
                <w:highlight w:val="none"/>
                <w:lang w:eastAsia="zh-CN"/>
              </w:rPr>
              <w:t>拟投入</w:t>
            </w:r>
            <w:r>
              <w:rPr>
                <w:rFonts w:hint="eastAsia" w:ascii="宋体" w:hAnsi="宋体" w:cs="宋体"/>
                <w:bCs/>
                <w:color w:val="auto"/>
                <w:szCs w:val="21"/>
                <w:highlight w:val="none"/>
              </w:rPr>
              <w:t>使用</w:t>
            </w:r>
            <w:r>
              <w:rPr>
                <w:rFonts w:hint="eastAsia" w:ascii="宋体" w:hAnsi="宋体" w:cs="宋体"/>
                <w:color w:val="auto"/>
                <w:szCs w:val="21"/>
                <w:highlight w:val="none"/>
              </w:rPr>
              <w:t>的司机</w:t>
            </w:r>
            <w:r>
              <w:rPr>
                <w:rFonts w:hint="eastAsia" w:ascii="宋体" w:hAnsi="宋体" w:cs="宋体"/>
                <w:bCs/>
                <w:color w:val="auto"/>
                <w:szCs w:val="21"/>
                <w:highlight w:val="none"/>
              </w:rPr>
              <w:t>确定各供应商所属档次及得分。达不到一档要求或不提供的得0分。</w:t>
            </w:r>
          </w:p>
          <w:p w14:paraId="568F3A39">
            <w:pPr>
              <w:pStyle w:val="19"/>
              <w:spacing w:after="156" w:line="360" w:lineRule="auto"/>
              <w:ind w:firstLine="420" w:firstLineChars="200"/>
              <w:rPr>
                <w:color w:val="auto"/>
                <w:sz w:val="21"/>
                <w:highlight w:val="none"/>
              </w:rPr>
            </w:pPr>
            <w:r>
              <w:rPr>
                <w:rFonts w:hint="eastAsia"/>
                <w:color w:val="auto"/>
                <w:sz w:val="21"/>
                <w:highlight w:val="none"/>
              </w:rPr>
              <w:t>一档（2分）：</w:t>
            </w:r>
            <w:r>
              <w:rPr>
                <w:rFonts w:hint="eastAsia" w:ascii="宋体" w:hAnsi="宋体" w:cs="宋体"/>
                <w:bCs/>
                <w:color w:val="auto"/>
                <w:szCs w:val="21"/>
                <w:highlight w:val="none"/>
                <w:lang w:eastAsia="zh-CN"/>
              </w:rPr>
              <w:t>拟投入</w:t>
            </w:r>
            <w:r>
              <w:rPr>
                <w:rFonts w:hint="eastAsia"/>
                <w:color w:val="auto"/>
                <w:sz w:val="21"/>
                <w:highlight w:val="none"/>
              </w:rPr>
              <w:t>使用的司机人数在10人内的；</w:t>
            </w:r>
          </w:p>
          <w:p w14:paraId="0B1031BB">
            <w:pPr>
              <w:pStyle w:val="19"/>
              <w:spacing w:after="156" w:line="360" w:lineRule="auto"/>
              <w:ind w:firstLine="420" w:firstLineChars="200"/>
              <w:rPr>
                <w:color w:val="auto"/>
                <w:sz w:val="21"/>
                <w:highlight w:val="none"/>
              </w:rPr>
            </w:pPr>
            <w:r>
              <w:rPr>
                <w:rFonts w:hint="eastAsia"/>
                <w:color w:val="auto"/>
                <w:sz w:val="21"/>
                <w:highlight w:val="none"/>
              </w:rPr>
              <w:t>二档（4分）：</w:t>
            </w:r>
            <w:r>
              <w:rPr>
                <w:rFonts w:hint="eastAsia" w:ascii="宋体" w:hAnsi="宋体" w:cs="宋体"/>
                <w:bCs/>
                <w:color w:val="auto"/>
                <w:szCs w:val="21"/>
                <w:highlight w:val="none"/>
                <w:lang w:eastAsia="zh-CN"/>
              </w:rPr>
              <w:t>拟投入</w:t>
            </w:r>
            <w:r>
              <w:rPr>
                <w:rFonts w:hint="eastAsia"/>
                <w:color w:val="auto"/>
                <w:sz w:val="21"/>
                <w:highlight w:val="none"/>
              </w:rPr>
              <w:t>使用司机的人数在10-19人且驾龄5年以上。</w:t>
            </w:r>
          </w:p>
          <w:p w14:paraId="2FC0E65B">
            <w:pPr>
              <w:pStyle w:val="19"/>
              <w:spacing w:after="156" w:line="360" w:lineRule="auto"/>
              <w:ind w:firstLine="420" w:firstLineChars="200"/>
              <w:rPr>
                <w:color w:val="auto"/>
                <w:sz w:val="21"/>
                <w:highlight w:val="none"/>
              </w:rPr>
            </w:pPr>
            <w:r>
              <w:rPr>
                <w:rFonts w:hint="eastAsia"/>
                <w:color w:val="auto"/>
                <w:sz w:val="21"/>
                <w:highlight w:val="none"/>
              </w:rPr>
              <w:t>三档（8分）：</w:t>
            </w:r>
            <w:r>
              <w:rPr>
                <w:rFonts w:hint="eastAsia" w:ascii="宋体" w:hAnsi="宋体" w:cs="宋体"/>
                <w:bCs/>
                <w:color w:val="auto"/>
                <w:szCs w:val="21"/>
                <w:highlight w:val="none"/>
                <w:lang w:eastAsia="zh-CN"/>
              </w:rPr>
              <w:t>拟投入</w:t>
            </w:r>
            <w:r>
              <w:rPr>
                <w:rFonts w:hint="eastAsia"/>
                <w:color w:val="auto"/>
                <w:sz w:val="21"/>
                <w:highlight w:val="none"/>
              </w:rPr>
              <w:t>使用的司机人数在20人及以上，且驾龄5年以上，经验丰富。</w:t>
            </w:r>
          </w:p>
          <w:p w14:paraId="27D994F8">
            <w:pPr>
              <w:pStyle w:val="8"/>
              <w:rPr>
                <w:color w:val="auto"/>
                <w:sz w:val="21"/>
                <w:szCs w:val="21"/>
                <w:highlight w:val="none"/>
              </w:rPr>
            </w:pPr>
            <w:r>
              <w:rPr>
                <w:rFonts w:hint="eastAsia"/>
                <w:color w:val="auto"/>
                <w:sz w:val="21"/>
                <w:szCs w:val="21"/>
                <w:highlight w:val="none"/>
              </w:rPr>
              <w:t>注：（需提供驾驶员的驾驶证、身份证、劳动合同等相关证明材料，不提供不得分）</w:t>
            </w:r>
          </w:p>
        </w:tc>
      </w:tr>
      <w:tr w14:paraId="361B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9D62B9F">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671E2E6E">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1CC1954D">
            <w:pPr>
              <w:adjustRightInd w:val="0"/>
              <w:spacing w:line="360" w:lineRule="auto"/>
              <w:jc w:val="center"/>
              <w:textAlignment w:val="baseline"/>
              <w:rPr>
                <w:rFonts w:ascii="宋体" w:hAnsi="宋体" w:cs="宋体"/>
                <w:b/>
                <w:color w:val="auto"/>
                <w:szCs w:val="21"/>
                <w:highlight w:val="none"/>
              </w:rPr>
            </w:pPr>
          </w:p>
        </w:tc>
        <w:tc>
          <w:tcPr>
            <w:tcW w:w="1670" w:type="dxa"/>
            <w:vAlign w:val="center"/>
          </w:tcPr>
          <w:p w14:paraId="1B3FE97D">
            <w:pPr>
              <w:spacing w:line="360" w:lineRule="auto"/>
              <w:jc w:val="center"/>
              <w:rPr>
                <w:rFonts w:hint="eastAsia" w:ascii="宋体" w:hAnsi="Courier New"/>
                <w:b/>
                <w:color w:val="auto"/>
                <w:highlight w:val="none"/>
              </w:rPr>
            </w:pPr>
            <w:r>
              <w:rPr>
                <w:rFonts w:hint="eastAsia" w:ascii="宋体" w:hAnsi="Courier New"/>
                <w:b/>
                <w:color w:val="auto"/>
                <w:highlight w:val="none"/>
              </w:rPr>
              <w:t>拟投入</w:t>
            </w:r>
          </w:p>
          <w:p w14:paraId="788024D9">
            <w:pPr>
              <w:spacing w:line="360" w:lineRule="auto"/>
              <w:jc w:val="center"/>
              <w:rPr>
                <w:rFonts w:ascii="宋体" w:hAnsi="宋体" w:cs="宋体"/>
                <w:b/>
                <w:color w:val="auto"/>
                <w:szCs w:val="21"/>
                <w:highlight w:val="none"/>
              </w:rPr>
            </w:pPr>
            <w:r>
              <w:rPr>
                <w:rFonts w:hint="eastAsia" w:ascii="宋体" w:hAnsi="Courier New"/>
                <w:b/>
                <w:color w:val="auto"/>
                <w:highlight w:val="none"/>
              </w:rPr>
              <w:t>服务团队人员（满分11分）</w:t>
            </w:r>
          </w:p>
        </w:tc>
        <w:tc>
          <w:tcPr>
            <w:tcW w:w="5239" w:type="dxa"/>
            <w:vAlign w:val="center"/>
          </w:tcPr>
          <w:p w14:paraId="18AF8A04">
            <w:pPr>
              <w:spacing w:line="360" w:lineRule="auto"/>
              <w:ind w:firstLine="420" w:firstLineChars="200"/>
              <w:jc w:val="left"/>
              <w:rPr>
                <w:color w:val="auto"/>
                <w:highlight w:val="none"/>
              </w:rPr>
            </w:pPr>
            <w:r>
              <w:rPr>
                <w:rFonts w:hint="eastAsia" w:ascii="宋体" w:hAnsi="宋体" w:cs="宋体"/>
                <w:bCs/>
                <w:color w:val="auto"/>
                <w:szCs w:val="21"/>
                <w:highlight w:val="none"/>
              </w:rPr>
              <w:t>由磋商小组在打分前根据供应商拟投入服务团队人员确定各供应商所属档次及得分。达不到一档要求或不提供的得0分。</w:t>
            </w:r>
          </w:p>
          <w:p w14:paraId="2B41C7ED">
            <w:pPr>
              <w:spacing w:line="360" w:lineRule="auto"/>
              <w:ind w:firstLine="420" w:firstLineChars="200"/>
              <w:rPr>
                <w:color w:val="auto"/>
                <w:highlight w:val="none"/>
              </w:rPr>
            </w:pPr>
            <w:r>
              <w:rPr>
                <w:rFonts w:hint="eastAsia"/>
                <w:color w:val="auto"/>
                <w:highlight w:val="none"/>
              </w:rPr>
              <w:t>除自有专业驾驶员外，拟派项目服务团队人员（包括客服、维修、管理等相关人员）：</w:t>
            </w:r>
          </w:p>
          <w:p w14:paraId="0D3E404B">
            <w:pPr>
              <w:spacing w:line="360" w:lineRule="auto"/>
              <w:ind w:firstLine="420" w:firstLineChars="200"/>
              <w:rPr>
                <w:color w:val="auto"/>
                <w:highlight w:val="none"/>
              </w:rPr>
            </w:pPr>
            <w:r>
              <w:rPr>
                <w:rFonts w:hint="eastAsia"/>
                <w:color w:val="auto"/>
                <w:highlight w:val="none"/>
              </w:rPr>
              <w:t>一档（3分）：服务团队人员人数不足5人的。</w:t>
            </w:r>
          </w:p>
          <w:p w14:paraId="5D4B6DD3">
            <w:pPr>
              <w:spacing w:line="360" w:lineRule="auto"/>
              <w:ind w:firstLine="420" w:firstLineChars="200"/>
              <w:rPr>
                <w:color w:val="auto"/>
                <w:highlight w:val="none"/>
              </w:rPr>
            </w:pPr>
            <w:r>
              <w:rPr>
                <w:rFonts w:hint="eastAsia"/>
                <w:color w:val="auto"/>
                <w:highlight w:val="none"/>
              </w:rPr>
              <w:t>二档（7分）：服务团队人员人数5</w:t>
            </w:r>
            <w:r>
              <w:rPr>
                <w:color w:val="auto"/>
                <w:highlight w:val="none"/>
              </w:rPr>
              <w:t>~</w:t>
            </w:r>
            <w:r>
              <w:rPr>
                <w:rFonts w:hint="eastAsia"/>
                <w:color w:val="auto"/>
                <w:highlight w:val="none"/>
              </w:rPr>
              <w:t>9人的客服、维修、管理人员均有。</w:t>
            </w:r>
          </w:p>
          <w:p w14:paraId="79F25A67">
            <w:pPr>
              <w:spacing w:line="360" w:lineRule="auto"/>
              <w:ind w:firstLine="420" w:firstLineChars="200"/>
              <w:rPr>
                <w:color w:val="auto"/>
                <w:highlight w:val="none"/>
              </w:rPr>
            </w:pPr>
            <w:r>
              <w:rPr>
                <w:rFonts w:hint="eastAsia"/>
                <w:color w:val="auto"/>
                <w:highlight w:val="none"/>
              </w:rPr>
              <w:t>三档（11分）服务团队人员人数10人及以上的客服、维修、管理人员均有；汽车维修人员及维修技术能力展现或合作修理厂介绍（提供维修设备图片及功能等相关介绍材料）。</w:t>
            </w:r>
          </w:p>
          <w:p w14:paraId="0BFF79E1">
            <w:pPr>
              <w:pStyle w:val="76"/>
              <w:widowControl/>
              <w:spacing w:line="360" w:lineRule="auto"/>
              <w:ind w:left="-2" w:firstLine="0" w:firstLineChars="0"/>
              <w:jc w:val="left"/>
              <w:rPr>
                <w:color w:val="auto"/>
                <w:szCs w:val="21"/>
                <w:highlight w:val="none"/>
              </w:rPr>
            </w:pPr>
            <w:r>
              <w:rPr>
                <w:rFonts w:hint="eastAsia" w:ascii="Arial" w:hAnsi="Arial" w:cs="Arial"/>
                <w:b/>
                <w:bCs/>
                <w:color w:val="auto"/>
                <w:highlight w:val="none"/>
              </w:rPr>
              <w:t>注：提供相关人员身份证复印件和资格证相关证明材料，修理厂资质证明。</w:t>
            </w:r>
          </w:p>
        </w:tc>
      </w:tr>
      <w:tr w14:paraId="029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0" w:type="dxa"/>
            <w:vMerge w:val="continue"/>
            <w:vAlign w:val="center"/>
          </w:tcPr>
          <w:p w14:paraId="6F11C406">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4466D669">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01A5B232">
            <w:pPr>
              <w:adjustRightInd w:val="0"/>
              <w:spacing w:line="360" w:lineRule="auto"/>
              <w:jc w:val="center"/>
              <w:textAlignment w:val="baseline"/>
              <w:rPr>
                <w:rFonts w:ascii="宋体" w:hAnsi="宋体" w:cs="宋体"/>
                <w:b/>
                <w:color w:val="auto"/>
                <w:szCs w:val="21"/>
                <w:highlight w:val="none"/>
              </w:rPr>
            </w:pPr>
          </w:p>
        </w:tc>
        <w:tc>
          <w:tcPr>
            <w:tcW w:w="1670" w:type="dxa"/>
            <w:vAlign w:val="center"/>
          </w:tcPr>
          <w:p w14:paraId="3B88254D">
            <w:pPr>
              <w:adjustRightInd w:val="0"/>
              <w:spacing w:line="360" w:lineRule="auto"/>
              <w:textAlignment w:val="baseline"/>
              <w:rPr>
                <w:rFonts w:ascii="宋体" w:hAnsi="宋体" w:cs="宋体"/>
                <w:b/>
                <w:color w:val="auto"/>
                <w:szCs w:val="21"/>
                <w:highlight w:val="none"/>
              </w:rPr>
            </w:pPr>
            <w:r>
              <w:rPr>
                <w:rFonts w:hint="eastAsia" w:ascii="宋体" w:hAnsi="宋体" w:cs="宋体"/>
                <w:b/>
                <w:color w:val="auto"/>
                <w:szCs w:val="21"/>
                <w:highlight w:val="none"/>
              </w:rPr>
              <w:t>拟投入车辆分（满分10分）</w:t>
            </w:r>
          </w:p>
        </w:tc>
        <w:tc>
          <w:tcPr>
            <w:tcW w:w="5239" w:type="dxa"/>
            <w:vAlign w:val="center"/>
          </w:tcPr>
          <w:p w14:paraId="45380DDB">
            <w:pPr>
              <w:spacing w:line="360" w:lineRule="auto"/>
              <w:ind w:firstLine="420" w:firstLineChars="200"/>
              <w:jc w:val="left"/>
              <w:rPr>
                <w:color w:val="auto"/>
                <w:highlight w:val="none"/>
              </w:rPr>
            </w:pPr>
            <w:r>
              <w:rPr>
                <w:rFonts w:hint="eastAsia" w:ascii="宋体" w:hAnsi="宋体" w:cs="宋体"/>
                <w:bCs/>
                <w:color w:val="auto"/>
                <w:szCs w:val="21"/>
                <w:highlight w:val="none"/>
              </w:rPr>
              <w:t>由磋商小组在打分前根据供应商拟投入车辆确定各供应商所属档次及得分。达不到一档要求或不提供的得0分。</w:t>
            </w:r>
          </w:p>
          <w:p w14:paraId="6AA86488">
            <w:pPr>
              <w:spacing w:line="360" w:lineRule="auto"/>
              <w:ind w:firstLine="420" w:firstLineChars="200"/>
              <w:rPr>
                <w:color w:val="auto"/>
                <w:highlight w:val="none"/>
              </w:rPr>
            </w:pPr>
            <w:r>
              <w:rPr>
                <w:rFonts w:hint="eastAsia"/>
                <w:color w:val="auto"/>
                <w:highlight w:val="none"/>
              </w:rPr>
              <w:t>一档(3分)：满足采购文件第三章“采购需求”中各种车辆基本要求，</w:t>
            </w:r>
            <w:r>
              <w:rPr>
                <w:rFonts w:hint="eastAsia"/>
                <w:color w:val="auto"/>
                <w:highlight w:val="none"/>
              </w:rPr>
              <w:t>供应商拟提供服务的车辆的车龄符合采购要求，每种车型至少提供一辆；</w:t>
            </w:r>
            <w:r>
              <w:rPr>
                <w:rFonts w:hint="eastAsia"/>
                <w:color w:val="auto"/>
                <w:highlight w:val="none"/>
              </w:rPr>
              <w:t>承诺车辆服务期内每 6 个月做定期维护保养，检查车辆存在的潜在风险，及时修理调整，检查车辆运行情况。</w:t>
            </w:r>
          </w:p>
          <w:p w14:paraId="20028E10">
            <w:pPr>
              <w:spacing w:line="360" w:lineRule="auto"/>
              <w:ind w:firstLine="420" w:firstLineChars="200"/>
              <w:rPr>
                <w:color w:val="auto"/>
                <w:highlight w:val="none"/>
              </w:rPr>
            </w:pPr>
            <w:r>
              <w:rPr>
                <w:rFonts w:hint="eastAsia"/>
                <w:color w:val="auto"/>
                <w:highlight w:val="none"/>
              </w:rPr>
              <w:t>二档 (6分)：满足采购文件第三章“采购需求”中各种车辆基本要求，供应商拟提供服务的车辆的车龄符合采购要求，</w:t>
            </w:r>
            <w:r>
              <w:rPr>
                <w:rFonts w:hint="eastAsia"/>
                <w:color w:val="auto"/>
                <w:highlight w:val="none"/>
              </w:rPr>
              <w:t>每种车型至少提供一辆；另外增加备用车辆1-6辆（前后含本数）</w:t>
            </w:r>
            <w:r>
              <w:rPr>
                <w:rFonts w:hint="eastAsia"/>
                <w:color w:val="auto"/>
                <w:highlight w:val="none"/>
              </w:rPr>
              <w:t>；承诺车辆服务期内每 4 个月做定期维护保养，检查车辆存在的潜在风险，及时修理调整，检查车辆运行情况。</w:t>
            </w:r>
          </w:p>
          <w:p w14:paraId="77C001AB">
            <w:pPr>
              <w:spacing w:line="360" w:lineRule="auto"/>
              <w:ind w:firstLine="420" w:firstLineChars="200"/>
              <w:rPr>
                <w:color w:val="auto"/>
                <w:highlight w:val="none"/>
              </w:rPr>
            </w:pPr>
            <w:r>
              <w:rPr>
                <w:rFonts w:hint="eastAsia"/>
                <w:color w:val="auto"/>
                <w:highlight w:val="none"/>
              </w:rPr>
              <w:t>三档(10分)：满足采购文件第三章“采购需求”中各种车辆基本要求，供应商拟提供服务的车辆的车龄符合采购要求，</w:t>
            </w:r>
            <w:r>
              <w:rPr>
                <w:rFonts w:hint="eastAsia"/>
                <w:color w:val="auto"/>
                <w:highlight w:val="none"/>
              </w:rPr>
              <w:t>每种车型至少提供一辆；另外增加备用车辆7辆及以上</w:t>
            </w:r>
            <w:r>
              <w:rPr>
                <w:rFonts w:hint="eastAsia"/>
                <w:color w:val="auto"/>
                <w:highlight w:val="none"/>
              </w:rPr>
              <w:t>；承诺车辆服务期内每 2个月做定期维护保养，检查车辆存在的潜在风险，及时修理调整，检查车辆运行情况。</w:t>
            </w:r>
          </w:p>
          <w:p w14:paraId="465D007A">
            <w:pPr>
              <w:spacing w:line="360" w:lineRule="auto"/>
              <w:rPr>
                <w:color w:val="auto"/>
                <w:szCs w:val="21"/>
                <w:highlight w:val="none"/>
              </w:rPr>
            </w:pPr>
            <w:r>
              <w:rPr>
                <w:rFonts w:hint="eastAsia"/>
                <w:b/>
                <w:bCs/>
                <w:color w:val="auto"/>
                <w:highlight w:val="none"/>
              </w:rPr>
              <w:t>(注:车辆年限须提供《机动车登记证书》或机动车行驶证正反双面复印件等相关证明)</w:t>
            </w:r>
          </w:p>
        </w:tc>
      </w:tr>
      <w:tr w14:paraId="01BE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3F07337">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3C17BE37">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37EF66E0">
            <w:pPr>
              <w:adjustRightInd w:val="0"/>
              <w:spacing w:line="360" w:lineRule="auto"/>
              <w:jc w:val="center"/>
              <w:textAlignment w:val="baseline"/>
              <w:rPr>
                <w:rFonts w:ascii="宋体" w:hAnsi="宋体" w:cs="宋体"/>
                <w:b/>
                <w:color w:val="auto"/>
                <w:szCs w:val="21"/>
                <w:highlight w:val="none"/>
              </w:rPr>
            </w:pPr>
          </w:p>
        </w:tc>
        <w:tc>
          <w:tcPr>
            <w:tcW w:w="1670" w:type="dxa"/>
            <w:vAlign w:val="center"/>
          </w:tcPr>
          <w:p w14:paraId="52E41C94">
            <w:pPr>
              <w:adjustRightInd w:val="0"/>
              <w:spacing w:line="360" w:lineRule="auto"/>
              <w:textAlignment w:val="baseline"/>
              <w:rPr>
                <w:rFonts w:ascii="宋体" w:hAnsi="宋体" w:cs="宋体"/>
                <w:b/>
                <w:color w:val="auto"/>
                <w:szCs w:val="21"/>
                <w:highlight w:val="none"/>
              </w:rPr>
            </w:pPr>
            <w:r>
              <w:rPr>
                <w:rFonts w:hint="eastAsia" w:ascii="宋体" w:hAnsi="Courier New"/>
                <w:b/>
                <w:color w:val="auto"/>
                <w:highlight w:val="none"/>
              </w:rPr>
              <w:t>车辆应急救援方案分（满分9分</w:t>
            </w:r>
            <w:r>
              <w:rPr>
                <w:rFonts w:hint="eastAsia" w:ascii="宋体" w:hAnsi="Courier New"/>
                <w:b/>
                <w:bCs/>
                <w:color w:val="auto"/>
                <w:highlight w:val="none"/>
              </w:rPr>
              <w:t>）</w:t>
            </w:r>
          </w:p>
        </w:tc>
        <w:tc>
          <w:tcPr>
            <w:tcW w:w="5239" w:type="dxa"/>
            <w:vAlign w:val="center"/>
          </w:tcPr>
          <w:p w14:paraId="32085389">
            <w:pPr>
              <w:spacing w:line="360" w:lineRule="auto"/>
              <w:ind w:firstLine="420" w:firstLineChars="200"/>
              <w:rPr>
                <w:color w:val="auto"/>
                <w:highlight w:val="none"/>
              </w:rPr>
            </w:pPr>
            <w:r>
              <w:rPr>
                <w:rFonts w:hint="eastAsia"/>
                <w:color w:val="auto"/>
                <w:highlight w:val="none"/>
              </w:rPr>
              <w:t>由磋商小组在打分前根据供应商车辆应急救援确定各供应商所属档次及得分。达不到一档要求或不提供的得0分。</w:t>
            </w:r>
          </w:p>
          <w:p w14:paraId="303B2F3B">
            <w:pPr>
              <w:spacing w:line="360" w:lineRule="auto"/>
              <w:ind w:firstLine="420" w:firstLineChars="200"/>
              <w:rPr>
                <w:color w:val="auto"/>
                <w:highlight w:val="none"/>
              </w:rPr>
            </w:pPr>
            <w:r>
              <w:rPr>
                <w:rFonts w:hint="eastAsia"/>
                <w:color w:val="auto"/>
                <w:highlight w:val="none"/>
              </w:rPr>
              <w:t>一档（1 分）：车辆应急救援方案简单。</w:t>
            </w:r>
          </w:p>
          <w:p w14:paraId="49092CAC">
            <w:pPr>
              <w:spacing w:line="360" w:lineRule="auto"/>
              <w:ind w:firstLine="420" w:firstLineChars="200"/>
              <w:rPr>
                <w:color w:val="auto"/>
                <w:highlight w:val="none"/>
              </w:rPr>
            </w:pPr>
            <w:r>
              <w:rPr>
                <w:rFonts w:hint="eastAsia"/>
                <w:color w:val="auto"/>
                <w:highlight w:val="none"/>
              </w:rPr>
              <w:t>二档（5 分）：突发应急情况处理，提供符合本项目的安全保障能力方案，有系统的处置办法；</w:t>
            </w:r>
          </w:p>
          <w:p w14:paraId="6C59909D">
            <w:pPr>
              <w:spacing w:line="360" w:lineRule="auto"/>
              <w:ind w:firstLine="420" w:firstLineChars="200"/>
              <w:rPr>
                <w:color w:val="auto"/>
                <w:szCs w:val="21"/>
                <w:highlight w:val="none"/>
              </w:rPr>
            </w:pPr>
            <w:r>
              <w:rPr>
                <w:rFonts w:hint="eastAsia"/>
                <w:color w:val="auto"/>
                <w:highlight w:val="none"/>
              </w:rPr>
              <w:t>三档(9分)：各种突发应急情况处理，提供符合本项目的安全保障能力方案，保证体系健全，规章严谨管理规范，有系统的处置办法。而且有应急备用车辆，提供应急备用车辆详细信息。</w:t>
            </w:r>
            <w:r>
              <w:rPr>
                <w:rFonts w:hint="eastAsia"/>
                <w:color w:val="auto"/>
                <w:szCs w:val="21"/>
                <w:highlight w:val="none"/>
              </w:rPr>
              <w:t xml:space="preserve"> </w:t>
            </w:r>
          </w:p>
        </w:tc>
      </w:tr>
      <w:tr w14:paraId="3BCC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30" w:type="dxa"/>
            <w:vMerge w:val="continue"/>
            <w:vAlign w:val="center"/>
          </w:tcPr>
          <w:p w14:paraId="15DE90D4">
            <w:pPr>
              <w:adjustRightInd w:val="0"/>
              <w:spacing w:line="360" w:lineRule="auto"/>
              <w:jc w:val="center"/>
              <w:textAlignment w:val="baseline"/>
              <w:rPr>
                <w:rFonts w:ascii="宋体" w:hAnsi="宋体" w:cs="宋体"/>
                <w:b/>
                <w:color w:val="auto"/>
                <w:szCs w:val="21"/>
                <w:highlight w:val="none"/>
              </w:rPr>
            </w:pPr>
          </w:p>
        </w:tc>
        <w:tc>
          <w:tcPr>
            <w:tcW w:w="1280" w:type="dxa"/>
            <w:vMerge w:val="continue"/>
            <w:vAlign w:val="center"/>
          </w:tcPr>
          <w:p w14:paraId="31A2E177">
            <w:pPr>
              <w:adjustRightInd w:val="0"/>
              <w:spacing w:line="360" w:lineRule="auto"/>
              <w:jc w:val="center"/>
              <w:textAlignment w:val="baseline"/>
              <w:rPr>
                <w:rFonts w:ascii="宋体" w:hAnsi="宋体" w:cs="宋体"/>
                <w:b/>
                <w:color w:val="auto"/>
                <w:szCs w:val="21"/>
                <w:highlight w:val="none"/>
              </w:rPr>
            </w:pPr>
          </w:p>
        </w:tc>
        <w:tc>
          <w:tcPr>
            <w:tcW w:w="709" w:type="dxa"/>
            <w:vMerge w:val="continue"/>
            <w:vAlign w:val="center"/>
          </w:tcPr>
          <w:p w14:paraId="47C86453">
            <w:pPr>
              <w:adjustRightInd w:val="0"/>
              <w:spacing w:line="360" w:lineRule="auto"/>
              <w:jc w:val="center"/>
              <w:textAlignment w:val="baseline"/>
              <w:rPr>
                <w:rFonts w:ascii="宋体" w:hAnsi="宋体" w:cs="宋体"/>
                <w:b/>
                <w:color w:val="auto"/>
                <w:szCs w:val="21"/>
                <w:highlight w:val="none"/>
              </w:rPr>
            </w:pPr>
          </w:p>
        </w:tc>
        <w:tc>
          <w:tcPr>
            <w:tcW w:w="1670" w:type="dxa"/>
            <w:vAlign w:val="center"/>
          </w:tcPr>
          <w:p w14:paraId="283F78EC">
            <w:pPr>
              <w:adjustRightInd w:val="0"/>
              <w:spacing w:line="360" w:lineRule="auto"/>
              <w:textAlignment w:val="baseline"/>
              <w:rPr>
                <w:rFonts w:ascii="宋体" w:hAnsi="宋体" w:cs="宋体"/>
                <w:b/>
                <w:color w:val="auto"/>
                <w:szCs w:val="21"/>
                <w:highlight w:val="none"/>
              </w:rPr>
            </w:pPr>
            <w:r>
              <w:rPr>
                <w:rFonts w:hint="eastAsia" w:ascii="宋体" w:hAnsi="Courier New"/>
                <w:b/>
                <w:color w:val="auto"/>
                <w:highlight w:val="none"/>
              </w:rPr>
              <w:t>其他服务承诺分（满分6分）</w:t>
            </w:r>
          </w:p>
        </w:tc>
        <w:tc>
          <w:tcPr>
            <w:tcW w:w="5239" w:type="dxa"/>
            <w:vAlign w:val="center"/>
          </w:tcPr>
          <w:p w14:paraId="638316EF">
            <w:pPr>
              <w:spacing w:line="360" w:lineRule="auto"/>
              <w:ind w:firstLine="420" w:firstLineChars="200"/>
              <w:rPr>
                <w:color w:val="auto"/>
                <w:highlight w:val="none"/>
              </w:rPr>
            </w:pPr>
            <w:r>
              <w:rPr>
                <w:rFonts w:hint="eastAsia"/>
                <w:color w:val="auto"/>
                <w:highlight w:val="none"/>
              </w:rPr>
              <w:t>由磋商小组在打分前根据供应商其他服务承诺确定各供应商所属档次及得分。达不到一档要求或不提供的得0分。</w:t>
            </w:r>
          </w:p>
          <w:p w14:paraId="57B3CEC3">
            <w:pPr>
              <w:spacing w:line="360" w:lineRule="auto"/>
              <w:ind w:firstLine="420" w:firstLineChars="200"/>
              <w:rPr>
                <w:color w:val="auto"/>
                <w:highlight w:val="none"/>
              </w:rPr>
            </w:pPr>
            <w:r>
              <w:rPr>
                <w:rFonts w:hint="eastAsia"/>
                <w:color w:val="auto"/>
                <w:highlight w:val="none"/>
              </w:rPr>
              <w:t>一档（1 分）：服务承诺简单。</w:t>
            </w:r>
          </w:p>
          <w:p w14:paraId="400563D2">
            <w:pPr>
              <w:spacing w:line="360" w:lineRule="auto"/>
              <w:ind w:firstLine="420" w:firstLineChars="200"/>
              <w:rPr>
                <w:color w:val="auto"/>
                <w:highlight w:val="none"/>
              </w:rPr>
            </w:pPr>
            <w:r>
              <w:rPr>
                <w:rFonts w:hint="eastAsia"/>
                <w:color w:val="auto"/>
                <w:highlight w:val="none"/>
              </w:rPr>
              <w:t>二档（3 分）：</w:t>
            </w:r>
            <w:r>
              <w:rPr>
                <w:rFonts w:hint="eastAsia" w:ascii="宋体" w:hAnsi="宋体"/>
                <w:color w:val="auto"/>
                <w:highlight w:val="none"/>
              </w:rPr>
              <w:t>供应商可提供与本采购项目相关的、采购需求未提及的服务</w:t>
            </w:r>
            <w:r>
              <w:rPr>
                <w:rFonts w:hint="eastAsia"/>
                <w:color w:val="auto"/>
                <w:highlight w:val="none"/>
              </w:rPr>
              <w:t>。</w:t>
            </w:r>
          </w:p>
          <w:p w14:paraId="0C28B930">
            <w:pPr>
              <w:spacing w:line="360" w:lineRule="auto"/>
              <w:ind w:firstLine="420" w:firstLineChars="200"/>
              <w:rPr>
                <w:color w:val="auto"/>
                <w:szCs w:val="21"/>
                <w:highlight w:val="none"/>
              </w:rPr>
            </w:pPr>
            <w:r>
              <w:rPr>
                <w:rFonts w:hint="eastAsia"/>
                <w:color w:val="auto"/>
                <w:highlight w:val="none"/>
              </w:rPr>
              <w:t>三档(6分)：</w:t>
            </w:r>
            <w:r>
              <w:rPr>
                <w:rFonts w:hint="eastAsia" w:ascii="宋体" w:hAnsi="宋体"/>
                <w:color w:val="auto"/>
                <w:highlight w:val="none"/>
              </w:rPr>
              <w:t>供应商可提供与本采购项目相关的、采购需求未提及的服务且具体有明细</w:t>
            </w:r>
            <w:r>
              <w:rPr>
                <w:rFonts w:hint="eastAsia"/>
                <w:color w:val="auto"/>
                <w:highlight w:val="none"/>
              </w:rPr>
              <w:t>。如随车备足雨衣雨伞、应急药箱等物资、野外作业时提供代订餐取餐等）</w:t>
            </w:r>
          </w:p>
        </w:tc>
      </w:tr>
      <w:tr w14:paraId="36EA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30" w:type="dxa"/>
            <w:vAlign w:val="center"/>
          </w:tcPr>
          <w:p w14:paraId="17D837A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280" w:type="dxa"/>
            <w:vAlign w:val="center"/>
          </w:tcPr>
          <w:p w14:paraId="443148DA">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商务分</w:t>
            </w:r>
          </w:p>
        </w:tc>
        <w:tc>
          <w:tcPr>
            <w:tcW w:w="709" w:type="dxa"/>
            <w:vAlign w:val="center"/>
          </w:tcPr>
          <w:p w14:paraId="15F3282D">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kern w:val="0"/>
                <w:szCs w:val="21"/>
                <w:highlight w:val="none"/>
              </w:rPr>
              <w:t>16分</w:t>
            </w:r>
          </w:p>
        </w:tc>
        <w:tc>
          <w:tcPr>
            <w:tcW w:w="6909" w:type="dxa"/>
            <w:gridSpan w:val="2"/>
            <w:vAlign w:val="center"/>
          </w:tcPr>
          <w:p w14:paraId="0CA568CC">
            <w:pPr>
              <w:spacing w:line="400" w:lineRule="exact"/>
              <w:rPr>
                <w:rFonts w:ascii="宋体" w:hAnsi="Courier New"/>
                <w:b/>
                <w:color w:val="auto"/>
                <w:highlight w:val="none"/>
              </w:rPr>
            </w:pPr>
            <w:r>
              <w:rPr>
                <w:rFonts w:hint="eastAsia" w:ascii="宋体" w:hAnsi="Courier New"/>
                <w:b/>
                <w:color w:val="auto"/>
                <w:highlight w:val="none"/>
              </w:rPr>
              <w:t>（1）</w:t>
            </w:r>
            <w:r>
              <w:rPr>
                <w:rFonts w:hint="eastAsia" w:ascii="宋体" w:hAnsi="Courier New"/>
                <w:color w:val="auto"/>
                <w:highlight w:val="none"/>
              </w:rPr>
              <w:t>供应商具有</w:t>
            </w:r>
            <w:r>
              <w:rPr>
                <w:rFonts w:hint="eastAsia" w:ascii="宋体" w:hAnsi="宋体"/>
                <w:color w:val="auto"/>
                <w:szCs w:val="22"/>
                <w:highlight w:val="none"/>
              </w:rPr>
              <w:t>ISO9001质量管理体系认证、ISO14001环境管理体系认证、ISO 45001职业健康管理体系认证</w:t>
            </w:r>
            <w:r>
              <w:rPr>
                <w:rFonts w:hint="eastAsia" w:ascii="宋体" w:hAnsi="Courier New"/>
                <w:color w:val="auto"/>
                <w:highlight w:val="none"/>
              </w:rPr>
              <w:t>的，每项得1分，</w:t>
            </w:r>
            <w:r>
              <w:rPr>
                <w:rFonts w:hint="eastAsia" w:ascii="宋体" w:hAnsi="Courier New"/>
                <w:b/>
                <w:color w:val="auto"/>
                <w:highlight w:val="none"/>
              </w:rPr>
              <w:t>满分得3分</w:t>
            </w:r>
            <w:r>
              <w:rPr>
                <w:rFonts w:hint="eastAsia" w:ascii="宋体" w:hAnsi="Courier New"/>
                <w:color w:val="auto"/>
                <w:highlight w:val="none"/>
              </w:rPr>
              <w:t>。</w:t>
            </w:r>
            <w:r>
              <w:rPr>
                <w:rFonts w:hint="eastAsia" w:ascii="Calibri" w:hAnsi="Calibri"/>
                <w:color w:val="auto"/>
                <w:szCs w:val="22"/>
                <w:highlight w:val="none"/>
              </w:rPr>
              <w:t>（以上证书均要求在有效期内，否则不得分，提供证书</w:t>
            </w:r>
            <w:r>
              <w:rPr>
                <w:rFonts w:hint="eastAsia" w:ascii="宋体" w:hAnsi="宋体"/>
                <w:b/>
                <w:color w:val="auto"/>
                <w:szCs w:val="21"/>
                <w:highlight w:val="none"/>
              </w:rPr>
              <w:t>原件复印件或其他电子文件</w:t>
            </w:r>
            <w:r>
              <w:rPr>
                <w:rFonts w:hint="eastAsia" w:ascii="Calibri" w:hAnsi="Calibri"/>
                <w:color w:val="auto"/>
                <w:szCs w:val="22"/>
                <w:highlight w:val="none"/>
              </w:rPr>
              <w:t>）</w:t>
            </w:r>
          </w:p>
          <w:p w14:paraId="0951793D">
            <w:pPr>
              <w:spacing w:line="400" w:lineRule="exact"/>
              <w:rPr>
                <w:rFonts w:ascii="宋体" w:hAnsi="Courier New"/>
                <w:color w:val="auto"/>
                <w:highlight w:val="none"/>
              </w:rPr>
            </w:pPr>
            <w:r>
              <w:rPr>
                <w:rFonts w:hint="eastAsia" w:ascii="宋体" w:hAnsi="Courier New"/>
                <w:color w:val="auto"/>
                <w:highlight w:val="none"/>
              </w:rPr>
              <w:t>（2）供应商提供用车租赁业务的（</w:t>
            </w:r>
            <w:r>
              <w:rPr>
                <w:rFonts w:hint="eastAsia" w:ascii="宋体" w:hAnsi="Courier New"/>
                <w:b/>
                <w:bCs/>
                <w:color w:val="auto"/>
                <w:highlight w:val="none"/>
              </w:rPr>
              <w:t>提供案例清单及合同主要主文档</w:t>
            </w:r>
            <w:r>
              <w:rPr>
                <w:rFonts w:hint="eastAsia" w:ascii="宋体" w:hAnsi="宋体"/>
                <w:b/>
                <w:bCs/>
                <w:color w:val="auto"/>
                <w:szCs w:val="21"/>
                <w:highlight w:val="none"/>
              </w:rPr>
              <w:t>原件复印件</w:t>
            </w:r>
            <w:r>
              <w:rPr>
                <w:rFonts w:hint="eastAsia" w:ascii="宋体" w:hAnsi="宋体"/>
                <w:b/>
                <w:color w:val="auto"/>
                <w:szCs w:val="21"/>
                <w:highlight w:val="none"/>
              </w:rPr>
              <w:t>或其他电子文件，否则不计分</w:t>
            </w:r>
            <w:r>
              <w:rPr>
                <w:rFonts w:hint="eastAsia" w:ascii="宋体" w:hAnsi="Courier New"/>
                <w:color w:val="auto"/>
                <w:highlight w:val="none"/>
              </w:rPr>
              <w:t>），每有一个有效案例，得1分，</w:t>
            </w:r>
            <w:r>
              <w:rPr>
                <w:rFonts w:hint="eastAsia" w:ascii="宋体" w:hAnsi="Courier New"/>
                <w:b/>
                <w:bCs/>
                <w:color w:val="auto"/>
                <w:highlight w:val="none"/>
              </w:rPr>
              <w:t>满分10分。</w:t>
            </w:r>
          </w:p>
          <w:p w14:paraId="42D649DE">
            <w:pPr>
              <w:spacing w:line="400" w:lineRule="exact"/>
              <w:rPr>
                <w:rFonts w:ascii="宋体" w:hAnsi="Courier New"/>
                <w:color w:val="auto"/>
                <w:highlight w:val="none"/>
              </w:rPr>
            </w:pPr>
            <w:r>
              <w:rPr>
                <w:rFonts w:hint="eastAsia" w:ascii="宋体" w:hAnsi="Courier New"/>
                <w:b/>
                <w:bCs/>
                <w:color w:val="auto"/>
                <w:highlight w:val="none"/>
              </w:rPr>
              <w:t>（3）汽车维修厂资源</w:t>
            </w:r>
            <w:r>
              <w:rPr>
                <w:rFonts w:hint="eastAsia" w:ascii="宋体" w:hAnsi="Courier New"/>
                <w:color w:val="auto"/>
                <w:highlight w:val="none"/>
              </w:rPr>
              <w:t>（</w:t>
            </w:r>
            <w:r>
              <w:rPr>
                <w:rFonts w:hint="eastAsia" w:ascii="宋体" w:hAnsi="Courier New"/>
                <w:b/>
                <w:color w:val="auto"/>
                <w:highlight w:val="none"/>
              </w:rPr>
              <w:t>满分3分</w:t>
            </w:r>
            <w:r>
              <w:rPr>
                <w:rFonts w:hint="eastAsia" w:ascii="宋体" w:hAnsi="Courier New"/>
                <w:color w:val="auto"/>
                <w:highlight w:val="none"/>
              </w:rPr>
              <w:t>）</w:t>
            </w:r>
          </w:p>
          <w:p w14:paraId="4ADD894D">
            <w:pPr>
              <w:spacing w:line="400" w:lineRule="exact"/>
              <w:rPr>
                <w:color w:val="auto"/>
                <w:highlight w:val="none"/>
              </w:rPr>
            </w:pPr>
            <w:r>
              <w:rPr>
                <w:rFonts w:hint="eastAsia" w:ascii="宋体" w:hAnsi="Courier New"/>
                <w:color w:val="auto"/>
                <w:highlight w:val="none"/>
              </w:rPr>
              <w:t>自有一类或二类维修厂的，或与一类或二类维修厂签订一年以上合作协议的，</w:t>
            </w:r>
            <w:r>
              <w:rPr>
                <w:rFonts w:hint="eastAsia" w:ascii="宋体" w:hAnsi="Courier New"/>
                <w:b/>
                <w:color w:val="auto"/>
                <w:highlight w:val="none"/>
              </w:rPr>
              <w:t>得3分</w:t>
            </w:r>
            <w:r>
              <w:rPr>
                <w:rFonts w:hint="eastAsia" w:ascii="宋体" w:hAnsi="Courier New"/>
                <w:color w:val="auto"/>
                <w:highlight w:val="none"/>
              </w:rPr>
              <w:t>；否则0分；</w:t>
            </w:r>
            <w:r>
              <w:rPr>
                <w:rFonts w:hint="eastAsia" w:ascii="宋体" w:hAnsi="Courier New"/>
                <w:b/>
                <w:bCs/>
                <w:color w:val="auto"/>
                <w:highlight w:val="none"/>
              </w:rPr>
              <w:t>（提供的相关证明文件复印件，未提供不得分）。</w:t>
            </w:r>
          </w:p>
        </w:tc>
      </w:tr>
      <w:tr w14:paraId="321F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584484BD">
            <w:pPr>
              <w:pStyle w:val="19"/>
              <w:spacing w:line="360" w:lineRule="auto"/>
              <w:rPr>
                <w:rFonts w:hAnsi="宋体" w:cs="宋体"/>
                <w:bCs/>
                <w:color w:val="auto"/>
                <w:kern w:val="2"/>
                <w:sz w:val="21"/>
                <w:highlight w:val="none"/>
              </w:rPr>
            </w:pPr>
            <w:r>
              <w:rPr>
                <w:rFonts w:hint="eastAsia" w:hAnsi="宋体" w:cs="宋体"/>
                <w:b/>
                <w:bCs/>
                <w:color w:val="auto"/>
                <w:kern w:val="2"/>
                <w:sz w:val="21"/>
                <w:highlight w:val="none"/>
              </w:rPr>
              <w:t>总得分=1+2+3。</w:t>
            </w:r>
          </w:p>
        </w:tc>
      </w:tr>
    </w:tbl>
    <w:p w14:paraId="22B8B4D1">
      <w:pPr>
        <w:spacing w:line="360" w:lineRule="auto"/>
        <w:ind w:firstLine="420" w:firstLineChars="200"/>
        <w:rPr>
          <w:rFonts w:ascii="宋体" w:hAnsi="宋体" w:cs="宋体"/>
          <w:bCs/>
          <w:color w:val="auto"/>
          <w:szCs w:val="21"/>
          <w:highlight w:val="none"/>
        </w:rPr>
      </w:pPr>
    </w:p>
    <w:p w14:paraId="19BC8829">
      <w:pPr>
        <w:spacing w:line="360" w:lineRule="auto"/>
        <w:ind w:firstLine="420" w:firstLineChars="200"/>
        <w:rPr>
          <w:rFonts w:ascii="宋体" w:hAnsi="宋体" w:cs="宋体"/>
          <w:snapToGrid w:val="0"/>
          <w:color w:val="auto"/>
          <w:kern w:val="0"/>
          <w:sz w:val="24"/>
          <w:highlight w:val="none"/>
        </w:rPr>
      </w:pPr>
      <w:r>
        <w:rPr>
          <w:rFonts w:hint="eastAsia" w:ascii="宋体" w:hAnsi="宋体" w:cs="宋体"/>
          <w:bCs/>
          <w:color w:val="auto"/>
          <w:szCs w:val="21"/>
          <w:highlight w:val="none"/>
        </w:rPr>
        <w:t>7.由磋商小组根据综合评分情况，按照评审得分由高到低顺序推荐3名以上成交候选供应商，并编写评审报告。符合本章第</w:t>
      </w:r>
      <w:r>
        <w:rPr>
          <w:rFonts w:hint="eastAsia" w:ascii="宋体" w:hAnsi="宋体" w:cs="宋体"/>
          <w:color w:val="auto"/>
          <w:szCs w:val="21"/>
          <w:highlight w:val="none"/>
        </w:rPr>
        <w:t>2.7、3.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、4.3</w:t>
      </w:r>
      <w:r>
        <w:rPr>
          <w:rFonts w:hint="eastAsia" w:ascii="宋体" w:hAnsi="宋体" w:cs="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s="宋体"/>
          <w:color w:val="auto"/>
          <w:szCs w:val="21"/>
          <w:highlight w:val="none"/>
        </w:rPr>
        <w:t>按综合评分中服务水平、履约能力得分高低依次确定</w:t>
      </w:r>
      <w:r>
        <w:rPr>
          <w:rFonts w:hint="eastAsia" w:ascii="宋体" w:hAnsi="宋体" w:cs="宋体"/>
          <w:bCs/>
          <w:color w:val="auto"/>
          <w:szCs w:val="21"/>
          <w:highlight w:val="none"/>
        </w:rPr>
        <w:t>）。</w:t>
      </w:r>
    </w:p>
    <w:p w14:paraId="6F668C69">
      <w:pPr>
        <w:spacing w:line="400" w:lineRule="exact"/>
        <w:ind w:firstLine="420" w:firstLineChars="200"/>
        <w:rPr>
          <w:rFonts w:ascii="宋体" w:hAnsi="宋体" w:cs="宋体"/>
          <w:color w:val="auto"/>
          <w:highlight w:val="none"/>
        </w:rPr>
      </w:pPr>
    </w:p>
    <w:p w14:paraId="04B566F4">
      <w:pPr>
        <w:spacing w:line="400" w:lineRule="exact"/>
        <w:ind w:firstLine="420" w:firstLineChars="200"/>
        <w:rPr>
          <w:rFonts w:ascii="宋体" w:hAnsi="宋体" w:cs="宋体"/>
          <w:color w:val="auto"/>
          <w:highlight w:val="none"/>
        </w:rPr>
      </w:pPr>
    </w:p>
    <w:p w14:paraId="3DB3ED41">
      <w:pPr>
        <w:pStyle w:val="6"/>
        <w:rPr>
          <w:color w:val="auto"/>
          <w:highlight w:val="none"/>
        </w:rPr>
      </w:pPr>
    </w:p>
    <w:p w14:paraId="1A321B23">
      <w:pPr>
        <w:rPr>
          <w:rFonts w:ascii="宋体" w:hAnsi="宋体" w:cs="宋体"/>
          <w:color w:val="auto"/>
          <w:highlight w:val="none"/>
        </w:rPr>
      </w:pPr>
    </w:p>
    <w:p w14:paraId="013C554C">
      <w:pPr>
        <w:rPr>
          <w:rFonts w:ascii="宋体" w:hAnsi="宋体" w:cs="宋体"/>
          <w:color w:val="auto"/>
          <w:highlight w:val="none"/>
        </w:rPr>
      </w:pPr>
    </w:p>
    <w:p w14:paraId="79DD0360">
      <w:pPr>
        <w:rPr>
          <w:rFonts w:ascii="宋体" w:hAnsi="宋体" w:cs="宋体"/>
          <w:color w:val="auto"/>
          <w:highlight w:val="none"/>
        </w:rPr>
      </w:pPr>
    </w:p>
    <w:p w14:paraId="35036F0A">
      <w:pPr>
        <w:rPr>
          <w:rFonts w:ascii="宋体" w:hAnsi="宋体" w:cs="宋体"/>
          <w:color w:val="auto"/>
          <w:highlight w:val="none"/>
        </w:rPr>
      </w:pPr>
    </w:p>
    <w:p w14:paraId="1529CB6B">
      <w:pPr>
        <w:rPr>
          <w:rFonts w:ascii="宋体" w:hAnsi="宋体" w:cs="宋体"/>
          <w:color w:val="auto"/>
          <w:highlight w:val="none"/>
        </w:rPr>
      </w:pPr>
    </w:p>
    <w:p w14:paraId="3503BF57">
      <w:pPr>
        <w:rPr>
          <w:rFonts w:ascii="宋体" w:hAnsi="宋体" w:cs="宋体"/>
          <w:color w:val="auto"/>
          <w:highlight w:val="none"/>
        </w:rPr>
      </w:pPr>
    </w:p>
    <w:p w14:paraId="4EF24B0B">
      <w:pPr>
        <w:rPr>
          <w:rFonts w:ascii="宋体" w:hAnsi="宋体" w:cs="宋体"/>
          <w:color w:val="auto"/>
          <w:highlight w:val="none"/>
        </w:rPr>
      </w:pPr>
    </w:p>
    <w:p w14:paraId="6023FFAC">
      <w:pPr>
        <w:rPr>
          <w:rFonts w:ascii="宋体" w:hAnsi="宋体" w:cs="宋体"/>
          <w:color w:val="auto"/>
          <w:highlight w:val="none"/>
        </w:rPr>
      </w:pPr>
    </w:p>
    <w:p w14:paraId="177964EB">
      <w:pPr>
        <w:rPr>
          <w:rFonts w:ascii="宋体" w:hAnsi="宋体" w:cs="宋体"/>
          <w:color w:val="auto"/>
          <w:highlight w:val="none"/>
        </w:rPr>
      </w:pPr>
    </w:p>
    <w:p w14:paraId="667ABF24">
      <w:pPr>
        <w:pStyle w:val="6"/>
        <w:rPr>
          <w:rFonts w:ascii="宋体" w:hAnsi="宋体" w:cs="宋体"/>
          <w:color w:val="auto"/>
          <w:highlight w:val="none"/>
        </w:rPr>
      </w:pPr>
      <w:bookmarkStart w:id="44" w:name="_Toc74323460"/>
      <w:r>
        <w:rPr>
          <w:rFonts w:hint="eastAsia" w:ascii="宋体" w:hAnsi="宋体" w:cs="宋体"/>
          <w:color w:val="auto"/>
          <w:highlight w:val="none"/>
        </w:rPr>
        <w:br w:type="page"/>
      </w:r>
      <w:r>
        <w:rPr>
          <w:rFonts w:hint="eastAsia" w:ascii="宋体" w:hAnsi="宋体" w:cs="宋体"/>
          <w:color w:val="auto"/>
          <w:highlight w:val="none"/>
        </w:rPr>
        <w:t>第五章 响应文件格式</w:t>
      </w:r>
      <w:bookmarkEnd w:id="44"/>
    </w:p>
    <w:p w14:paraId="0F2BE702">
      <w:pPr>
        <w:spacing w:line="240" w:lineRule="atLeast"/>
        <w:rPr>
          <w:rFonts w:ascii="宋体" w:hAnsi="宋体" w:cs="宋体"/>
          <w:b/>
          <w:color w:val="auto"/>
          <w:sz w:val="32"/>
          <w:szCs w:val="32"/>
          <w:highlight w:val="none"/>
        </w:rPr>
      </w:pPr>
    </w:p>
    <w:p w14:paraId="1ECF12BC">
      <w:pPr>
        <w:spacing w:line="240" w:lineRule="atLeast"/>
        <w:rPr>
          <w:rFonts w:ascii="宋体" w:hAnsi="宋体" w:cs="宋体"/>
          <w:b/>
          <w:color w:val="auto"/>
          <w:sz w:val="32"/>
          <w:szCs w:val="32"/>
          <w:highlight w:val="none"/>
        </w:rPr>
      </w:pPr>
    </w:p>
    <w:p w14:paraId="6CE613A3">
      <w:pPr>
        <w:spacing w:line="240" w:lineRule="atLeast"/>
        <w:rPr>
          <w:rFonts w:ascii="宋体" w:hAnsi="宋体" w:cs="宋体"/>
          <w:b/>
          <w:color w:val="auto"/>
          <w:sz w:val="32"/>
          <w:szCs w:val="32"/>
          <w:highlight w:val="none"/>
        </w:rPr>
      </w:pPr>
    </w:p>
    <w:p w14:paraId="34E32643">
      <w:pPr>
        <w:spacing w:line="240" w:lineRule="atLeast"/>
        <w:rPr>
          <w:rFonts w:ascii="宋体" w:hAnsi="宋体" w:cs="宋体"/>
          <w:b/>
          <w:color w:val="auto"/>
          <w:sz w:val="32"/>
          <w:szCs w:val="32"/>
          <w:highlight w:val="none"/>
        </w:rPr>
      </w:pPr>
    </w:p>
    <w:p w14:paraId="7C1B3FF3">
      <w:pPr>
        <w:spacing w:line="240" w:lineRule="atLeast"/>
        <w:rPr>
          <w:rFonts w:ascii="宋体" w:hAnsi="宋体" w:cs="宋体"/>
          <w:b/>
          <w:color w:val="auto"/>
          <w:sz w:val="32"/>
          <w:szCs w:val="32"/>
          <w:highlight w:val="none"/>
        </w:rPr>
      </w:pPr>
    </w:p>
    <w:p w14:paraId="3A73FDE3">
      <w:pPr>
        <w:spacing w:line="240" w:lineRule="atLeast"/>
        <w:rPr>
          <w:rFonts w:ascii="宋体" w:hAnsi="宋体" w:cs="宋体"/>
          <w:b/>
          <w:color w:val="auto"/>
          <w:sz w:val="32"/>
          <w:szCs w:val="32"/>
          <w:highlight w:val="none"/>
        </w:rPr>
      </w:pPr>
    </w:p>
    <w:p w14:paraId="75167125">
      <w:pPr>
        <w:spacing w:line="240" w:lineRule="atLeast"/>
        <w:rPr>
          <w:rFonts w:ascii="宋体" w:hAnsi="宋体" w:cs="宋体"/>
          <w:b/>
          <w:color w:val="auto"/>
          <w:sz w:val="32"/>
          <w:szCs w:val="32"/>
          <w:highlight w:val="none"/>
        </w:rPr>
      </w:pPr>
    </w:p>
    <w:p w14:paraId="04AB1D0B">
      <w:pPr>
        <w:spacing w:line="240" w:lineRule="atLeast"/>
        <w:rPr>
          <w:rFonts w:ascii="宋体" w:hAnsi="宋体" w:cs="宋体"/>
          <w:b/>
          <w:color w:val="auto"/>
          <w:sz w:val="32"/>
          <w:szCs w:val="32"/>
          <w:highlight w:val="none"/>
        </w:rPr>
      </w:pPr>
    </w:p>
    <w:p w14:paraId="22BC351D">
      <w:pPr>
        <w:spacing w:line="240" w:lineRule="atLeast"/>
        <w:rPr>
          <w:rFonts w:ascii="宋体" w:hAnsi="宋体" w:cs="宋体"/>
          <w:b/>
          <w:color w:val="auto"/>
          <w:sz w:val="32"/>
          <w:szCs w:val="32"/>
          <w:highlight w:val="none"/>
        </w:rPr>
      </w:pPr>
    </w:p>
    <w:p w14:paraId="2F4C80A2">
      <w:pPr>
        <w:spacing w:line="240" w:lineRule="atLeast"/>
        <w:rPr>
          <w:rFonts w:ascii="宋体" w:hAnsi="宋体" w:cs="宋体"/>
          <w:bCs/>
          <w:color w:val="auto"/>
          <w:sz w:val="32"/>
          <w:szCs w:val="32"/>
          <w:highlight w:val="none"/>
        </w:rPr>
      </w:pPr>
    </w:p>
    <w:p w14:paraId="7D59D369">
      <w:pPr>
        <w:rPr>
          <w:rFonts w:ascii="宋体" w:hAnsi="宋体" w:cs="宋体"/>
          <w:b/>
          <w:color w:val="auto"/>
          <w:sz w:val="32"/>
          <w:szCs w:val="32"/>
          <w:highlight w:val="none"/>
        </w:rPr>
      </w:pPr>
      <w:bookmarkStart w:id="45" w:name="_Toc44229899"/>
      <w:bookmarkStart w:id="46" w:name="_Toc31728084"/>
      <w:bookmarkStart w:id="47" w:name="_Toc35611516"/>
      <w:bookmarkStart w:id="48" w:name="_Toc71365925"/>
      <w:bookmarkStart w:id="49" w:name="_Toc31723070"/>
      <w:bookmarkStart w:id="50" w:name="_Toc35611438"/>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一、资格证明文件格式</w:t>
      </w:r>
      <w:bookmarkEnd w:id="45"/>
      <w:bookmarkEnd w:id="46"/>
      <w:bookmarkEnd w:id="47"/>
      <w:bookmarkEnd w:id="48"/>
      <w:bookmarkEnd w:id="49"/>
      <w:bookmarkEnd w:id="50"/>
    </w:p>
    <w:p w14:paraId="616C4C64">
      <w:pPr>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25B5C945">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543E4843">
      <w:pPr>
        <w:snapToGrid w:val="0"/>
        <w:spacing w:beforeLines="50" w:after="50"/>
        <w:rPr>
          <w:rFonts w:ascii="宋体" w:hAnsi="宋体" w:cs="宋体"/>
          <w:color w:val="auto"/>
          <w:sz w:val="24"/>
          <w:szCs w:val="20"/>
          <w:highlight w:val="none"/>
        </w:rPr>
      </w:pPr>
    </w:p>
    <w:p w14:paraId="40F590E7">
      <w:pPr>
        <w:snapToGrid w:val="0"/>
        <w:spacing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1C108B69">
      <w:pPr>
        <w:snapToGrid w:val="0"/>
        <w:spacing w:beforeLines="50" w:after="50"/>
        <w:jc w:val="center"/>
        <w:rPr>
          <w:rFonts w:ascii="宋体" w:hAnsi="宋体" w:cs="宋体"/>
          <w:bCs/>
          <w:color w:val="auto"/>
          <w:sz w:val="44"/>
          <w:szCs w:val="44"/>
          <w:highlight w:val="none"/>
        </w:rPr>
      </w:pPr>
    </w:p>
    <w:p w14:paraId="35B847FF">
      <w:pPr>
        <w:snapToGrid w:val="0"/>
        <w:spacing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181B0081">
      <w:pPr>
        <w:snapToGrid w:val="0"/>
        <w:spacing w:beforeLines="50" w:after="50"/>
        <w:rPr>
          <w:rFonts w:ascii="宋体" w:hAnsi="宋体" w:cs="宋体"/>
          <w:bCs/>
          <w:color w:val="auto"/>
          <w:sz w:val="24"/>
          <w:szCs w:val="20"/>
          <w:highlight w:val="none"/>
        </w:rPr>
      </w:pPr>
    </w:p>
    <w:p w14:paraId="64170FE3">
      <w:pPr>
        <w:snapToGrid w:val="0"/>
        <w:spacing w:beforeLines="50" w:after="50"/>
        <w:rPr>
          <w:rFonts w:ascii="宋体" w:hAnsi="宋体" w:cs="宋体"/>
          <w:bCs/>
          <w:color w:val="auto"/>
          <w:sz w:val="24"/>
          <w:szCs w:val="20"/>
          <w:highlight w:val="none"/>
        </w:rPr>
      </w:pPr>
    </w:p>
    <w:p w14:paraId="1DD73BBC">
      <w:pPr>
        <w:snapToGrid w:val="0"/>
        <w:spacing w:beforeLines="50" w:after="50"/>
        <w:rPr>
          <w:rFonts w:ascii="宋体" w:hAnsi="宋体" w:cs="宋体"/>
          <w:bCs/>
          <w:color w:val="auto"/>
          <w:sz w:val="24"/>
          <w:szCs w:val="20"/>
          <w:highlight w:val="none"/>
        </w:rPr>
      </w:pPr>
    </w:p>
    <w:p w14:paraId="672E5E3D">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58B2E8C">
      <w:pPr>
        <w:snapToGrid w:val="0"/>
        <w:spacing w:beforeLines="50" w:after="50"/>
        <w:ind w:firstLine="720" w:firstLineChars="225"/>
        <w:rPr>
          <w:rFonts w:ascii="宋体" w:hAnsi="宋体" w:cs="宋体"/>
          <w:bCs/>
          <w:color w:val="auto"/>
          <w:sz w:val="32"/>
          <w:szCs w:val="32"/>
          <w:highlight w:val="none"/>
        </w:rPr>
      </w:pPr>
    </w:p>
    <w:p w14:paraId="7E070B4B">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6B37FB2">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F8A44F9">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p>
    <w:p w14:paraId="2FB94B5B">
      <w:pPr>
        <w:snapToGrid w:val="0"/>
        <w:spacing w:beforeLines="50" w:after="50"/>
        <w:ind w:firstLine="720" w:firstLineChars="225"/>
        <w:rPr>
          <w:rFonts w:ascii="宋体" w:hAnsi="宋体" w:cs="宋体"/>
          <w:bCs/>
          <w:color w:val="auto"/>
          <w:sz w:val="32"/>
          <w:szCs w:val="32"/>
          <w:highlight w:val="none"/>
        </w:rPr>
      </w:pPr>
    </w:p>
    <w:p w14:paraId="181E58C4">
      <w:pPr>
        <w:pStyle w:val="10"/>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4F01CE5">
      <w:pPr>
        <w:pStyle w:val="10"/>
        <w:snapToGrid w:val="0"/>
        <w:spacing w:before="50" w:after="50"/>
        <w:ind w:firstLine="720" w:firstLineChars="225"/>
        <w:rPr>
          <w:rFonts w:ascii="宋体" w:hAnsi="宋体" w:cs="宋体"/>
          <w:bCs/>
          <w:color w:val="auto"/>
          <w:sz w:val="32"/>
          <w:szCs w:val="32"/>
          <w:highlight w:val="none"/>
        </w:rPr>
      </w:pPr>
    </w:p>
    <w:p w14:paraId="2AC3AD96">
      <w:pPr>
        <w:pStyle w:val="10"/>
        <w:snapToGrid w:val="0"/>
        <w:spacing w:before="50" w:after="50"/>
        <w:ind w:firstLine="720" w:firstLineChars="225"/>
        <w:rPr>
          <w:rFonts w:ascii="宋体" w:hAnsi="宋体" w:cs="宋体"/>
          <w:bCs/>
          <w:color w:val="auto"/>
          <w:sz w:val="32"/>
          <w:szCs w:val="32"/>
          <w:highlight w:val="none"/>
        </w:rPr>
      </w:pPr>
    </w:p>
    <w:p w14:paraId="773876C9">
      <w:pPr>
        <w:pStyle w:val="10"/>
        <w:snapToGrid w:val="0"/>
        <w:spacing w:before="50" w:after="50"/>
        <w:ind w:firstLine="1280" w:firstLineChars="400"/>
        <w:rPr>
          <w:rFonts w:ascii="宋体" w:hAnsi="宋体" w:cs="宋体"/>
          <w:bCs/>
          <w:color w:val="auto"/>
          <w:sz w:val="32"/>
          <w:szCs w:val="32"/>
          <w:highlight w:val="none"/>
        </w:rPr>
      </w:pPr>
    </w:p>
    <w:p w14:paraId="57DC4A9C">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74DEB13">
      <w:pPr>
        <w:snapToGrid w:val="0"/>
        <w:spacing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F9A1B34">
      <w:pPr>
        <w:snapToGrid w:val="0"/>
        <w:spacing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76A1F7E4">
      <w:pPr>
        <w:snapToGrid w:val="0"/>
        <w:spacing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F25864A">
      <w:pPr>
        <w:spacing w:line="300" w:lineRule="auto"/>
        <w:rPr>
          <w:rFonts w:ascii="宋体" w:hAnsi="宋体" w:cs="宋体"/>
          <w:color w:val="auto"/>
          <w:szCs w:val="21"/>
          <w:highlight w:val="none"/>
        </w:rPr>
      </w:pPr>
    </w:p>
    <w:p w14:paraId="18CEACE7">
      <w:pPr>
        <w:spacing w:line="300" w:lineRule="auto"/>
        <w:rPr>
          <w:rFonts w:ascii="宋体" w:hAnsi="宋体" w:cs="宋体"/>
          <w:color w:val="auto"/>
          <w:szCs w:val="21"/>
          <w:highlight w:val="none"/>
        </w:rPr>
      </w:pPr>
    </w:p>
    <w:p w14:paraId="00064284">
      <w:pPr>
        <w:spacing w:line="300" w:lineRule="auto"/>
        <w:rPr>
          <w:rFonts w:ascii="宋体" w:hAnsi="宋体" w:cs="宋体"/>
          <w:color w:val="auto"/>
          <w:szCs w:val="21"/>
          <w:highlight w:val="none"/>
        </w:rPr>
      </w:pPr>
    </w:p>
    <w:p w14:paraId="5D0F72B5">
      <w:pPr>
        <w:spacing w:line="300" w:lineRule="auto"/>
        <w:rPr>
          <w:rFonts w:ascii="宋体" w:hAnsi="宋体" w:cs="宋体"/>
          <w:color w:val="auto"/>
          <w:szCs w:val="21"/>
          <w:highlight w:val="none"/>
        </w:rPr>
      </w:pPr>
    </w:p>
    <w:p w14:paraId="05CE69D5">
      <w:pPr>
        <w:spacing w:line="300" w:lineRule="auto"/>
        <w:rPr>
          <w:rFonts w:ascii="宋体" w:hAnsi="宋体" w:cs="宋体"/>
          <w:color w:val="auto"/>
          <w:szCs w:val="21"/>
          <w:highlight w:val="none"/>
        </w:rPr>
      </w:pPr>
    </w:p>
    <w:p w14:paraId="63E3B5F1">
      <w:pPr>
        <w:spacing w:line="300" w:lineRule="auto"/>
        <w:rPr>
          <w:rFonts w:ascii="宋体" w:hAnsi="宋体" w:cs="宋体"/>
          <w:color w:val="auto"/>
          <w:szCs w:val="21"/>
          <w:highlight w:val="none"/>
        </w:rPr>
      </w:pPr>
    </w:p>
    <w:p w14:paraId="10AAA063">
      <w:pPr>
        <w:spacing w:line="300" w:lineRule="auto"/>
        <w:rPr>
          <w:rFonts w:ascii="宋体" w:hAnsi="宋体" w:cs="宋体"/>
          <w:color w:val="auto"/>
          <w:szCs w:val="21"/>
          <w:highlight w:val="none"/>
        </w:rPr>
      </w:pPr>
    </w:p>
    <w:p w14:paraId="15B1CD00">
      <w:pPr>
        <w:spacing w:line="300" w:lineRule="auto"/>
        <w:rPr>
          <w:rFonts w:ascii="宋体" w:hAnsi="宋体" w:cs="宋体"/>
          <w:color w:val="auto"/>
          <w:szCs w:val="21"/>
          <w:highlight w:val="none"/>
        </w:rPr>
      </w:pPr>
    </w:p>
    <w:p w14:paraId="1AE59C5A">
      <w:pPr>
        <w:spacing w:line="300" w:lineRule="auto"/>
        <w:rPr>
          <w:rFonts w:ascii="宋体" w:hAnsi="宋体" w:cs="宋体"/>
          <w:color w:val="auto"/>
          <w:szCs w:val="21"/>
          <w:highlight w:val="none"/>
        </w:rPr>
      </w:pPr>
    </w:p>
    <w:p w14:paraId="020C9A6F">
      <w:pPr>
        <w:spacing w:line="300" w:lineRule="auto"/>
        <w:rPr>
          <w:rFonts w:ascii="宋体" w:hAnsi="宋体" w:cs="宋体"/>
          <w:color w:val="auto"/>
          <w:szCs w:val="21"/>
          <w:highlight w:val="none"/>
        </w:rPr>
      </w:pPr>
    </w:p>
    <w:p w14:paraId="788B9C62">
      <w:pPr>
        <w:spacing w:line="300" w:lineRule="auto"/>
        <w:rPr>
          <w:rFonts w:ascii="宋体" w:hAnsi="宋体" w:cs="宋体"/>
          <w:color w:val="auto"/>
          <w:szCs w:val="21"/>
          <w:highlight w:val="none"/>
        </w:rPr>
      </w:pPr>
    </w:p>
    <w:p w14:paraId="6F6CEF55">
      <w:pPr>
        <w:spacing w:line="300" w:lineRule="auto"/>
        <w:rPr>
          <w:rFonts w:ascii="宋体" w:hAnsi="宋体" w:cs="宋体"/>
          <w:color w:val="auto"/>
          <w:szCs w:val="21"/>
          <w:highlight w:val="none"/>
        </w:rPr>
      </w:pPr>
    </w:p>
    <w:p w14:paraId="59241633">
      <w:pPr>
        <w:spacing w:line="300" w:lineRule="auto"/>
        <w:rPr>
          <w:rFonts w:ascii="宋体" w:hAnsi="宋体" w:cs="宋体"/>
          <w:color w:val="auto"/>
          <w:szCs w:val="21"/>
          <w:highlight w:val="none"/>
        </w:rPr>
      </w:pPr>
    </w:p>
    <w:p w14:paraId="19892DDB">
      <w:pPr>
        <w:spacing w:line="300" w:lineRule="auto"/>
        <w:rPr>
          <w:rFonts w:ascii="宋体" w:hAnsi="宋体" w:cs="宋体"/>
          <w:color w:val="auto"/>
          <w:szCs w:val="21"/>
          <w:highlight w:val="none"/>
        </w:rPr>
      </w:pPr>
    </w:p>
    <w:p w14:paraId="2DE8692A">
      <w:pPr>
        <w:spacing w:line="300" w:lineRule="auto"/>
        <w:rPr>
          <w:rFonts w:ascii="宋体" w:hAnsi="宋体" w:cs="宋体"/>
          <w:color w:val="auto"/>
          <w:szCs w:val="21"/>
          <w:highlight w:val="none"/>
        </w:rPr>
      </w:pPr>
    </w:p>
    <w:p w14:paraId="1CFD0A3C">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1F2B9315">
      <w:pPr>
        <w:wordWrap w:val="0"/>
        <w:spacing w:beforeLines="50" w:after="50" w:line="320" w:lineRule="exact"/>
        <w:ind w:right="482" w:firstLine="210" w:firstLineChars="100"/>
        <w:contextualSpacing/>
        <w:jc w:val="center"/>
        <w:rPr>
          <w:rFonts w:ascii="宋体" w:hAnsi="宋体" w:cs="宋体"/>
          <w:color w:val="auto"/>
          <w:szCs w:val="21"/>
          <w:highlight w:val="none"/>
        </w:rPr>
      </w:pPr>
    </w:p>
    <w:p w14:paraId="13AAFA78">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52253171">
      <w:pPr>
        <w:snapToGrid w:val="0"/>
        <w:spacing w:beforeLines="50" w:after="50" w:line="360" w:lineRule="auto"/>
        <w:jc w:val="center"/>
        <w:rPr>
          <w:rFonts w:ascii="宋体" w:hAnsi="宋体" w:cs="宋体"/>
          <w:b/>
          <w:color w:val="auto"/>
          <w:sz w:val="24"/>
          <w:highlight w:val="none"/>
        </w:rPr>
      </w:pPr>
    </w:p>
    <w:p w14:paraId="338E5AB9">
      <w:pPr>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706C5555">
      <w:pPr>
        <w:spacing w:line="360" w:lineRule="auto"/>
        <w:contextualSpacing/>
        <w:jc w:val="center"/>
        <w:rPr>
          <w:rFonts w:ascii="宋体" w:hAnsi="宋体" w:cs="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D82587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02426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30828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2FFE3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56CBB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380D5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C3565D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D13C3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A9EAD4">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34B529">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9BC275">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240EEC">
            <w:pPr>
              <w:widowControl/>
              <w:spacing w:line="360" w:lineRule="auto"/>
              <w:contextualSpacing/>
              <w:jc w:val="center"/>
              <w:rPr>
                <w:rFonts w:ascii="宋体" w:hAnsi="宋体" w:cs="宋体"/>
                <w:color w:val="auto"/>
                <w:kern w:val="0"/>
                <w:sz w:val="24"/>
                <w:highlight w:val="none"/>
              </w:rPr>
            </w:pPr>
          </w:p>
        </w:tc>
      </w:tr>
      <w:tr w14:paraId="2C1C48C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A704D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BDD319">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FDD9BB">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D572E5">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CDF01D">
            <w:pPr>
              <w:widowControl/>
              <w:spacing w:line="360" w:lineRule="auto"/>
              <w:contextualSpacing/>
              <w:jc w:val="center"/>
              <w:rPr>
                <w:rFonts w:ascii="宋体" w:hAnsi="宋体" w:cs="宋体"/>
                <w:color w:val="auto"/>
                <w:kern w:val="0"/>
                <w:sz w:val="24"/>
                <w:highlight w:val="none"/>
              </w:rPr>
            </w:pPr>
          </w:p>
        </w:tc>
      </w:tr>
      <w:tr w14:paraId="5E304B4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BEA18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002785">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6AC8F6">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B8DA92">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FF4FF">
            <w:pPr>
              <w:widowControl/>
              <w:spacing w:line="360" w:lineRule="auto"/>
              <w:contextualSpacing/>
              <w:jc w:val="center"/>
              <w:rPr>
                <w:rFonts w:ascii="宋体" w:hAnsi="宋体" w:cs="宋体"/>
                <w:color w:val="auto"/>
                <w:kern w:val="0"/>
                <w:sz w:val="24"/>
                <w:highlight w:val="none"/>
              </w:rPr>
            </w:pPr>
          </w:p>
        </w:tc>
      </w:tr>
      <w:tr w14:paraId="65ADAF3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E6E41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3A5803">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803805">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E19AA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31F9A7">
            <w:pPr>
              <w:widowControl/>
              <w:spacing w:line="360" w:lineRule="auto"/>
              <w:contextualSpacing/>
              <w:jc w:val="center"/>
              <w:rPr>
                <w:rFonts w:ascii="宋体" w:hAnsi="宋体" w:cs="宋体"/>
                <w:color w:val="auto"/>
                <w:kern w:val="0"/>
                <w:sz w:val="24"/>
                <w:highlight w:val="none"/>
              </w:rPr>
            </w:pPr>
          </w:p>
        </w:tc>
      </w:tr>
    </w:tbl>
    <w:p w14:paraId="4852B60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47911D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74161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CFF77D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78F07EF1">
      <w:pPr>
        <w:snapToGrid w:val="0"/>
        <w:spacing w:line="360" w:lineRule="auto"/>
        <w:jc w:val="left"/>
        <w:rPr>
          <w:rFonts w:ascii="宋体" w:hAnsi="宋体" w:cs="宋体"/>
          <w:color w:val="auto"/>
          <w:sz w:val="24"/>
          <w:highlight w:val="none"/>
        </w:rPr>
      </w:pPr>
    </w:p>
    <w:p w14:paraId="423F22E2">
      <w:pPr>
        <w:snapToGrid w:val="0"/>
        <w:spacing w:line="360" w:lineRule="auto"/>
        <w:jc w:val="left"/>
        <w:rPr>
          <w:rFonts w:ascii="宋体" w:hAnsi="宋体" w:cs="宋体"/>
          <w:color w:val="auto"/>
          <w:sz w:val="24"/>
          <w:highlight w:val="none"/>
        </w:rPr>
      </w:pPr>
    </w:p>
    <w:p w14:paraId="57AB82A9">
      <w:pPr>
        <w:snapToGrid w:val="0"/>
        <w:spacing w:line="360" w:lineRule="auto"/>
        <w:jc w:val="left"/>
        <w:rPr>
          <w:rFonts w:ascii="宋体" w:hAnsi="宋体" w:cs="宋体"/>
          <w:color w:val="auto"/>
          <w:sz w:val="24"/>
          <w:highlight w:val="none"/>
        </w:rPr>
      </w:pPr>
    </w:p>
    <w:p w14:paraId="5E3A1697">
      <w:pPr>
        <w:snapToGrid w:val="0"/>
        <w:spacing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F770F20">
      <w:pPr>
        <w:snapToGrid w:val="0"/>
        <w:spacing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14:paraId="1EF520A8">
      <w:pPr>
        <w:snapToGrid w:val="0"/>
        <w:spacing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14:paraId="34DFEA9B">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44C04868">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3CC52BE5">
      <w:pPr>
        <w:snapToGrid w:val="0"/>
        <w:spacing w:line="360" w:lineRule="auto"/>
        <w:jc w:val="center"/>
        <w:rPr>
          <w:rFonts w:ascii="宋体" w:hAnsi="宋体" w:cs="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F7D133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FA1C5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7E007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3A867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F8CE9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72EB38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210EE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2D7BF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CFC090">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E3966E">
            <w:pPr>
              <w:widowControl/>
              <w:spacing w:line="360" w:lineRule="auto"/>
              <w:contextualSpacing/>
              <w:jc w:val="center"/>
              <w:rPr>
                <w:rFonts w:ascii="宋体" w:hAnsi="宋体" w:cs="宋体"/>
                <w:color w:val="auto"/>
                <w:kern w:val="0"/>
                <w:sz w:val="24"/>
                <w:highlight w:val="none"/>
              </w:rPr>
            </w:pPr>
          </w:p>
        </w:tc>
      </w:tr>
      <w:tr w14:paraId="39DD00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64768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DC153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D0347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F61B94">
            <w:pPr>
              <w:widowControl/>
              <w:spacing w:line="360" w:lineRule="auto"/>
              <w:contextualSpacing/>
              <w:jc w:val="center"/>
              <w:rPr>
                <w:rFonts w:ascii="宋体" w:hAnsi="宋体" w:cs="宋体"/>
                <w:color w:val="auto"/>
                <w:kern w:val="0"/>
                <w:sz w:val="24"/>
                <w:highlight w:val="none"/>
              </w:rPr>
            </w:pPr>
          </w:p>
        </w:tc>
      </w:tr>
      <w:tr w14:paraId="2A1981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48F6B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1B146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B4AD9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A2CC54">
            <w:pPr>
              <w:widowControl/>
              <w:spacing w:line="360" w:lineRule="auto"/>
              <w:contextualSpacing/>
              <w:jc w:val="center"/>
              <w:rPr>
                <w:rFonts w:ascii="宋体" w:hAnsi="宋体" w:cs="宋体"/>
                <w:color w:val="auto"/>
                <w:kern w:val="0"/>
                <w:sz w:val="24"/>
                <w:highlight w:val="none"/>
              </w:rPr>
            </w:pPr>
          </w:p>
        </w:tc>
      </w:tr>
      <w:tr w14:paraId="135B5E4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A3D76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6F8A5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32024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330548">
            <w:pPr>
              <w:widowControl/>
              <w:spacing w:line="360" w:lineRule="auto"/>
              <w:contextualSpacing/>
              <w:jc w:val="center"/>
              <w:rPr>
                <w:rFonts w:ascii="宋体" w:hAnsi="宋体" w:cs="宋体"/>
                <w:color w:val="auto"/>
                <w:kern w:val="0"/>
                <w:sz w:val="24"/>
                <w:highlight w:val="none"/>
              </w:rPr>
            </w:pPr>
          </w:p>
        </w:tc>
      </w:tr>
    </w:tbl>
    <w:p w14:paraId="71E76845">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6F8C78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7E17B5C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2EB864F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1F4B02CA">
      <w:pPr>
        <w:spacing w:line="360" w:lineRule="auto"/>
        <w:contextualSpacing/>
        <w:jc w:val="left"/>
        <w:rPr>
          <w:rFonts w:ascii="宋体" w:hAnsi="宋体" w:cs="宋体"/>
          <w:color w:val="auto"/>
          <w:sz w:val="24"/>
          <w:highlight w:val="none"/>
        </w:rPr>
      </w:pPr>
    </w:p>
    <w:p w14:paraId="1A904F84">
      <w:pPr>
        <w:spacing w:line="360" w:lineRule="auto"/>
        <w:contextualSpacing/>
        <w:jc w:val="left"/>
        <w:rPr>
          <w:rFonts w:ascii="宋体" w:hAnsi="宋体" w:cs="宋体"/>
          <w:color w:val="auto"/>
          <w:sz w:val="24"/>
          <w:highlight w:val="none"/>
        </w:rPr>
      </w:pPr>
    </w:p>
    <w:p w14:paraId="3CB674EB">
      <w:pPr>
        <w:spacing w:line="360" w:lineRule="auto"/>
        <w:contextualSpacing/>
        <w:jc w:val="left"/>
        <w:rPr>
          <w:rFonts w:ascii="宋体" w:hAnsi="宋体" w:cs="宋体"/>
          <w:color w:val="auto"/>
          <w:sz w:val="24"/>
          <w:highlight w:val="none"/>
        </w:rPr>
      </w:pPr>
    </w:p>
    <w:p w14:paraId="308A512B">
      <w:pPr>
        <w:spacing w:line="360" w:lineRule="auto"/>
        <w:contextualSpacing/>
        <w:jc w:val="left"/>
        <w:rPr>
          <w:rFonts w:ascii="宋体" w:hAnsi="宋体" w:cs="宋体"/>
          <w:color w:val="auto"/>
          <w:sz w:val="24"/>
          <w:highlight w:val="none"/>
        </w:rPr>
      </w:pPr>
    </w:p>
    <w:p w14:paraId="28653866">
      <w:pPr>
        <w:spacing w:line="360" w:lineRule="auto"/>
        <w:contextualSpacing/>
        <w:jc w:val="left"/>
        <w:rPr>
          <w:rFonts w:ascii="宋体" w:hAnsi="宋体" w:cs="宋体"/>
          <w:color w:val="auto"/>
          <w:sz w:val="24"/>
          <w:highlight w:val="none"/>
        </w:rPr>
      </w:pPr>
    </w:p>
    <w:p w14:paraId="61524234">
      <w:pPr>
        <w:spacing w:line="360" w:lineRule="auto"/>
        <w:contextualSpacing/>
        <w:jc w:val="left"/>
        <w:rPr>
          <w:rFonts w:ascii="宋体" w:hAnsi="宋体" w:cs="宋体"/>
          <w:color w:val="auto"/>
          <w:sz w:val="24"/>
          <w:highlight w:val="none"/>
        </w:rPr>
      </w:pPr>
    </w:p>
    <w:p w14:paraId="48EEF109">
      <w:pPr>
        <w:spacing w:line="360" w:lineRule="auto"/>
        <w:ind w:right="480" w:firstLine="3360" w:firstLineChars="1400"/>
        <w:contextualSpacing/>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F938C71">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7A09077B">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年    月    日</w:t>
      </w:r>
    </w:p>
    <w:p w14:paraId="1B9BBEB3">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75AB1C63">
      <w:pPr>
        <w:spacing w:line="320" w:lineRule="exact"/>
        <w:jc w:val="center"/>
        <w:rPr>
          <w:rFonts w:ascii="宋体" w:hAnsi="宋体" w:cs="宋体"/>
          <w:color w:val="auto"/>
          <w:sz w:val="24"/>
          <w:szCs w:val="20"/>
          <w:highlight w:val="none"/>
        </w:rPr>
      </w:pPr>
    </w:p>
    <w:p w14:paraId="3CFA7E5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1C066E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043BD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BA8745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F920E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5DE15DE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177603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3A8C62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08C1B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82A66F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88179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A1E4AA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4B6A1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09550B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2972E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FCF3A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EFBE3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736B5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DB7AF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A2881D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AF9E3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07507FE">
      <w:pPr>
        <w:pStyle w:val="19"/>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D0F6E93">
      <w:pPr>
        <w:pStyle w:val="19"/>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3AF22C5">
      <w:pPr>
        <w:pStyle w:val="18"/>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9EF438A">
      <w:pPr>
        <w:pStyle w:val="18"/>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51DA083">
      <w:pPr>
        <w:pStyle w:val="18"/>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E156006">
      <w:pPr>
        <w:pStyle w:val="18"/>
        <w:tabs>
          <w:tab w:val="left" w:pos="939"/>
        </w:tabs>
        <w:spacing w:line="360" w:lineRule="auto"/>
        <w:ind w:left="0" w:leftChars="0" w:firstLine="482" w:firstLineChars="200"/>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14:paraId="6EB551F7">
      <w:pPr>
        <w:pStyle w:val="18"/>
        <w:tabs>
          <w:tab w:val="left" w:pos="939"/>
        </w:tabs>
        <w:spacing w:line="360" w:lineRule="auto"/>
        <w:ind w:left="0" w:leftChars="0" w:firstLine="480" w:firstLineChars="200"/>
        <w:rPr>
          <w:rFonts w:ascii="宋体" w:hAnsi="宋体" w:cs="宋体"/>
          <w:color w:val="auto"/>
          <w:sz w:val="24"/>
          <w:highlight w:val="none"/>
        </w:rPr>
      </w:pPr>
    </w:p>
    <w:p w14:paraId="410D3BA3">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7971744">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90F835">
      <w:pPr>
        <w:spacing w:line="360" w:lineRule="auto"/>
        <w:ind w:right="480" w:firstLine="240" w:firstLineChars="1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1810900">
      <w:pPr>
        <w:pStyle w:val="10"/>
        <w:overflowPunct w:val="0"/>
        <w:spacing w:line="520" w:lineRule="exact"/>
        <w:ind w:firstLine="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联合体竞标协议书</w:t>
      </w:r>
    </w:p>
    <w:p w14:paraId="7EB18780">
      <w:pPr>
        <w:pStyle w:val="10"/>
        <w:overflowPunct w:val="0"/>
        <w:spacing w:line="360" w:lineRule="auto"/>
        <w:ind w:firstLine="0"/>
        <w:rPr>
          <w:rFonts w:ascii="宋体" w:hAnsi="宋体" w:cs="宋体"/>
          <w:color w:val="auto"/>
          <w:sz w:val="24"/>
          <w:szCs w:val="24"/>
          <w:highlight w:val="none"/>
        </w:rPr>
      </w:pPr>
    </w:p>
    <w:p w14:paraId="577B796B">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（项目名称）采购项目竞标。现就联合体竞标事宜订立如下协议。</w:t>
      </w:r>
    </w:p>
    <w:p w14:paraId="1F52409A">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535228EA">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28901D24">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5CC4E6DE">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F734D10">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协议书自所有成员单位法定代表人（单位负责人）或者其委托代理人签字或者盖单位章之日起生效，合同履行完毕后自动失效。</w:t>
      </w:r>
    </w:p>
    <w:p w14:paraId="0BF45991">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3322530F">
      <w:pPr>
        <w:pStyle w:val="10"/>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注：本协议书由法定代表人（单位负责人）签字的，应附法定代表人（单位负责人）身份证明书；由委托代理人签字的，应附联合体协议签订授权委托书（格式自拟）。</w:t>
      </w:r>
    </w:p>
    <w:p w14:paraId="1ACA9AD9">
      <w:pPr>
        <w:pStyle w:val="10"/>
        <w:overflowPunct w:val="0"/>
        <w:spacing w:line="360" w:lineRule="auto"/>
        <w:ind w:firstLineChars="175"/>
        <w:contextualSpacing/>
        <w:rPr>
          <w:rFonts w:ascii="宋体" w:hAnsi="宋体" w:cs="宋体"/>
          <w:color w:val="auto"/>
          <w:sz w:val="24"/>
          <w:szCs w:val="24"/>
          <w:highlight w:val="none"/>
        </w:rPr>
      </w:pPr>
    </w:p>
    <w:p w14:paraId="49F13781">
      <w:pPr>
        <w:pStyle w:val="10"/>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联合体牵头人名称（盖公章）：</w:t>
      </w:r>
    </w:p>
    <w:p w14:paraId="74DEE0AA">
      <w:pPr>
        <w:pStyle w:val="10"/>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法定代表人（单位负责人）或者其委托代理人（签字）：</w:t>
      </w:r>
    </w:p>
    <w:p w14:paraId="0B064EC6">
      <w:pPr>
        <w:pStyle w:val="10"/>
        <w:overflowPunct w:val="0"/>
        <w:spacing w:line="360" w:lineRule="auto"/>
        <w:ind w:firstLine="0"/>
        <w:contextualSpacing/>
        <w:rPr>
          <w:rFonts w:ascii="宋体" w:hAnsi="宋体" w:cs="宋体"/>
          <w:color w:val="auto"/>
          <w:sz w:val="24"/>
          <w:szCs w:val="24"/>
          <w:highlight w:val="none"/>
        </w:rPr>
      </w:pPr>
    </w:p>
    <w:p w14:paraId="5CF979E9">
      <w:pPr>
        <w:pStyle w:val="10"/>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382258D0">
      <w:pPr>
        <w:pStyle w:val="10"/>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法定代表人（单位负责人）或者其委托代理人（签字）：</w:t>
      </w:r>
    </w:p>
    <w:p w14:paraId="3DFCDCD8">
      <w:pPr>
        <w:pStyle w:val="10"/>
        <w:overflowPunct w:val="0"/>
        <w:spacing w:line="360" w:lineRule="auto"/>
        <w:ind w:firstLine="0"/>
        <w:contextualSpacing/>
        <w:rPr>
          <w:rFonts w:ascii="宋体" w:hAnsi="宋体" w:cs="宋体"/>
          <w:color w:val="auto"/>
          <w:sz w:val="24"/>
          <w:szCs w:val="24"/>
          <w:highlight w:val="none"/>
        </w:rPr>
      </w:pPr>
    </w:p>
    <w:p w14:paraId="43164717">
      <w:pPr>
        <w:pStyle w:val="10"/>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w:t>
      </w:r>
    </w:p>
    <w:p w14:paraId="68812FE1">
      <w:pPr>
        <w:pStyle w:val="10"/>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法定代表人（单位负责人）或者其委托代理人（签字）：</w:t>
      </w:r>
    </w:p>
    <w:p w14:paraId="45577FED">
      <w:pPr>
        <w:pStyle w:val="10"/>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1D96F024">
      <w:pPr>
        <w:spacing w:line="360" w:lineRule="auto"/>
        <w:ind w:right="480" w:firstLine="240" w:firstLineChars="100"/>
        <w:contextualSpacing/>
        <w:jc w:val="center"/>
        <w:rPr>
          <w:rFonts w:ascii="宋体" w:hAnsi="宋体" w:cs="宋体"/>
          <w:b/>
          <w:bCs/>
          <w:color w:val="auto"/>
          <w:sz w:val="32"/>
          <w:szCs w:val="32"/>
          <w:highlight w:val="none"/>
        </w:rPr>
      </w:pPr>
      <w:r>
        <w:rPr>
          <w:rFonts w:hint="eastAsia" w:ascii="宋体" w:hAnsi="宋体" w:cs="宋体"/>
          <w:color w:val="auto"/>
          <w:sz w:val="24"/>
          <w:highlight w:val="none"/>
        </w:rPr>
        <w:t xml:space="preserve">                                                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14:paraId="311BFA8A">
      <w:pPr>
        <w:snapToGrid w:val="0"/>
        <w:spacing w:beforeLines="50" w:after="50" w:line="360" w:lineRule="auto"/>
        <w:ind w:right="480"/>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6542A102">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64C038A1">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C510291">
      <w:pPr>
        <w:snapToGrid w:val="0"/>
        <w:spacing w:beforeLines="50" w:after="50"/>
        <w:rPr>
          <w:rFonts w:ascii="宋体" w:hAnsi="宋体" w:cs="宋体"/>
          <w:color w:val="auto"/>
          <w:sz w:val="24"/>
          <w:szCs w:val="20"/>
          <w:highlight w:val="none"/>
        </w:rPr>
      </w:pPr>
    </w:p>
    <w:p w14:paraId="21DB91CA">
      <w:pPr>
        <w:snapToGrid w:val="0"/>
        <w:spacing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5A8EC151">
      <w:pPr>
        <w:snapToGrid w:val="0"/>
        <w:spacing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77BE2AFA">
      <w:pPr>
        <w:snapToGrid w:val="0"/>
        <w:spacing w:beforeLines="50" w:after="50"/>
        <w:rPr>
          <w:rFonts w:ascii="宋体" w:hAnsi="宋体" w:cs="宋体"/>
          <w:bCs/>
          <w:color w:val="auto"/>
          <w:sz w:val="24"/>
          <w:szCs w:val="20"/>
          <w:highlight w:val="none"/>
        </w:rPr>
      </w:pPr>
    </w:p>
    <w:p w14:paraId="34FDE8A9">
      <w:pPr>
        <w:snapToGrid w:val="0"/>
        <w:spacing w:beforeLines="50" w:after="50"/>
        <w:rPr>
          <w:rFonts w:ascii="宋体" w:hAnsi="宋体" w:cs="宋体"/>
          <w:bCs/>
          <w:color w:val="auto"/>
          <w:sz w:val="24"/>
          <w:szCs w:val="20"/>
          <w:highlight w:val="none"/>
        </w:rPr>
      </w:pPr>
    </w:p>
    <w:p w14:paraId="2C3ACA9D">
      <w:pPr>
        <w:snapToGrid w:val="0"/>
        <w:spacing w:beforeLines="50" w:after="50"/>
        <w:rPr>
          <w:rFonts w:ascii="宋体" w:hAnsi="宋体" w:cs="宋体"/>
          <w:bCs/>
          <w:color w:val="auto"/>
          <w:sz w:val="24"/>
          <w:szCs w:val="20"/>
          <w:highlight w:val="none"/>
        </w:rPr>
      </w:pPr>
    </w:p>
    <w:p w14:paraId="755128D1">
      <w:pPr>
        <w:snapToGrid w:val="0"/>
        <w:spacing w:beforeLines="50" w:after="50"/>
        <w:rPr>
          <w:rFonts w:ascii="宋体" w:hAnsi="宋体" w:cs="宋体"/>
          <w:bCs/>
          <w:color w:val="auto"/>
          <w:sz w:val="24"/>
          <w:szCs w:val="20"/>
          <w:highlight w:val="none"/>
        </w:rPr>
      </w:pPr>
    </w:p>
    <w:p w14:paraId="52A1FE11">
      <w:pPr>
        <w:snapToGrid w:val="0"/>
        <w:spacing w:beforeLines="50" w:after="50"/>
        <w:rPr>
          <w:rFonts w:ascii="宋体" w:hAnsi="宋体" w:cs="宋体"/>
          <w:bCs/>
          <w:color w:val="auto"/>
          <w:sz w:val="24"/>
          <w:szCs w:val="20"/>
          <w:highlight w:val="none"/>
        </w:rPr>
      </w:pPr>
    </w:p>
    <w:p w14:paraId="1E11FDB9">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35363A4">
      <w:pPr>
        <w:snapToGrid w:val="0"/>
        <w:spacing w:beforeLines="50" w:after="50"/>
        <w:ind w:firstLine="720" w:firstLineChars="225"/>
        <w:rPr>
          <w:rFonts w:ascii="宋体" w:hAnsi="宋体" w:cs="宋体"/>
          <w:bCs/>
          <w:color w:val="auto"/>
          <w:sz w:val="32"/>
          <w:szCs w:val="32"/>
          <w:highlight w:val="none"/>
        </w:rPr>
      </w:pPr>
    </w:p>
    <w:p w14:paraId="661E26A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83FB30C">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236BBA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w:t>
      </w:r>
    </w:p>
    <w:p w14:paraId="6D3C75DE">
      <w:pPr>
        <w:snapToGrid w:val="0"/>
        <w:spacing w:beforeLines="50" w:after="50"/>
        <w:ind w:firstLine="720" w:firstLineChars="225"/>
        <w:rPr>
          <w:rFonts w:ascii="宋体" w:hAnsi="宋体" w:cs="宋体"/>
          <w:bCs/>
          <w:color w:val="auto"/>
          <w:sz w:val="32"/>
          <w:szCs w:val="32"/>
          <w:highlight w:val="none"/>
        </w:rPr>
      </w:pPr>
    </w:p>
    <w:p w14:paraId="23EA278C">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05E4567">
      <w:pPr>
        <w:pStyle w:val="10"/>
        <w:snapToGrid w:val="0"/>
        <w:spacing w:before="50" w:after="50"/>
        <w:ind w:firstLine="720" w:firstLineChars="225"/>
        <w:rPr>
          <w:rFonts w:ascii="宋体" w:hAnsi="宋体" w:cs="宋体"/>
          <w:bCs/>
          <w:color w:val="auto"/>
          <w:sz w:val="32"/>
          <w:szCs w:val="32"/>
          <w:highlight w:val="none"/>
        </w:rPr>
      </w:pPr>
    </w:p>
    <w:p w14:paraId="7E795E08">
      <w:pPr>
        <w:pStyle w:val="10"/>
        <w:snapToGrid w:val="0"/>
        <w:spacing w:before="50" w:after="50"/>
        <w:ind w:firstLine="720" w:firstLineChars="225"/>
        <w:rPr>
          <w:rFonts w:ascii="宋体" w:hAnsi="宋体" w:cs="宋体"/>
          <w:bCs/>
          <w:color w:val="auto"/>
          <w:sz w:val="32"/>
          <w:szCs w:val="32"/>
          <w:highlight w:val="none"/>
        </w:rPr>
      </w:pPr>
    </w:p>
    <w:p w14:paraId="039FB894">
      <w:pPr>
        <w:pStyle w:val="10"/>
        <w:snapToGrid w:val="0"/>
        <w:spacing w:before="50" w:after="50"/>
        <w:ind w:firstLine="1280" w:firstLineChars="400"/>
        <w:rPr>
          <w:rFonts w:ascii="宋体" w:hAnsi="宋体" w:cs="宋体"/>
          <w:bCs/>
          <w:color w:val="auto"/>
          <w:sz w:val="32"/>
          <w:szCs w:val="32"/>
          <w:highlight w:val="none"/>
        </w:rPr>
      </w:pPr>
    </w:p>
    <w:p w14:paraId="2B1FA5D4">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C4355B2">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53BBEF3C">
      <w:pPr>
        <w:snapToGrid w:val="0"/>
        <w:spacing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DDF4961">
      <w:pPr>
        <w:spacing w:line="400" w:lineRule="exact"/>
        <w:rPr>
          <w:rFonts w:ascii="宋体" w:hAnsi="宋体" w:cs="宋体"/>
          <w:color w:val="auto"/>
          <w:sz w:val="32"/>
          <w:szCs w:val="32"/>
          <w:highlight w:val="none"/>
        </w:rPr>
      </w:pPr>
    </w:p>
    <w:p w14:paraId="3134F518">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0E5F858B">
      <w:pPr>
        <w:spacing w:line="360" w:lineRule="auto"/>
        <w:ind w:firstLine="640" w:firstLineChars="200"/>
        <w:contextualSpacing/>
        <w:rPr>
          <w:rFonts w:ascii="宋体" w:hAnsi="宋体" w:cs="宋体"/>
          <w:color w:val="auto"/>
          <w:sz w:val="32"/>
          <w:szCs w:val="32"/>
          <w:highlight w:val="none"/>
        </w:rPr>
      </w:pPr>
    </w:p>
    <w:p w14:paraId="0AB20F5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112273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639D079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76F26B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1DB17C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3720D9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DB3B8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1EB2CDC8">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C7220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2E210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234791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035EBB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14530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0AD82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E27A3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FED85D9">
      <w:pPr>
        <w:spacing w:line="360" w:lineRule="auto"/>
        <w:ind w:firstLine="480" w:firstLineChars="200"/>
        <w:contextualSpacing/>
        <w:rPr>
          <w:rFonts w:ascii="宋体" w:hAnsi="宋体" w:cs="宋体"/>
          <w:color w:val="auto"/>
          <w:sz w:val="24"/>
          <w:highlight w:val="none"/>
        </w:rPr>
      </w:pPr>
    </w:p>
    <w:p w14:paraId="2F322E5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2C23D283">
      <w:pPr>
        <w:spacing w:line="360" w:lineRule="auto"/>
        <w:contextualSpacing/>
        <w:rPr>
          <w:rFonts w:ascii="宋体" w:hAnsi="宋体" w:cs="宋体"/>
          <w:color w:val="auto"/>
          <w:sz w:val="24"/>
          <w:highlight w:val="none"/>
        </w:rPr>
      </w:pPr>
    </w:p>
    <w:p w14:paraId="6C90CF8C">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供应商（盖公章）：</w:t>
      </w:r>
    </w:p>
    <w:p w14:paraId="0D743515">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12200F18">
      <w:pPr>
        <w:pStyle w:val="20"/>
        <w:tabs>
          <w:tab w:val="right" w:leader="dot" w:pos="8398"/>
        </w:tabs>
        <w:rPr>
          <w:color w:val="auto"/>
          <w:highlight w:val="none"/>
        </w:rPr>
      </w:pPr>
      <w:r>
        <w:rPr>
          <w:rFonts w:hint="eastAsia" w:ascii="宋体" w:hAnsi="宋体" w:cs="宋体"/>
          <w:bCs/>
          <w:color w:val="auto"/>
          <w:sz w:val="44"/>
          <w:szCs w:val="44"/>
          <w:highlight w:val="none"/>
        </w:rPr>
        <w:br w:type="page"/>
      </w:r>
    </w:p>
    <w:p w14:paraId="3CEADBC2">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磋商</w:t>
      </w:r>
      <w:r>
        <w:rPr>
          <w:rFonts w:hint="eastAsia" w:ascii="宋体" w:hAnsi="宋体" w:cs="宋体"/>
          <w:b/>
          <w:color w:val="auto"/>
          <w:sz w:val="36"/>
          <w:szCs w:val="36"/>
          <w:highlight w:val="none"/>
          <w:lang w:eastAsia="zh-CN"/>
        </w:rPr>
        <w:t>总</w:t>
      </w:r>
      <w:r>
        <w:rPr>
          <w:rFonts w:hint="eastAsia" w:ascii="宋体" w:hAnsi="宋体" w:cs="宋体"/>
          <w:b/>
          <w:color w:val="auto"/>
          <w:sz w:val="36"/>
          <w:szCs w:val="36"/>
          <w:highlight w:val="none"/>
        </w:rPr>
        <w:t>报价表（格式）</w:t>
      </w:r>
    </w:p>
    <w:p w14:paraId="20C63CF2">
      <w:pPr>
        <w:spacing w:line="500" w:lineRule="exact"/>
        <w:jc w:val="center"/>
        <w:rPr>
          <w:rFonts w:ascii="宋体" w:hAnsi="宋体" w:cs="宋体"/>
          <w:b/>
          <w:color w:val="auto"/>
          <w:sz w:val="32"/>
          <w:szCs w:val="32"/>
          <w:highlight w:val="none"/>
        </w:rPr>
      </w:pPr>
    </w:p>
    <w:p w14:paraId="4C6251ED">
      <w:pPr>
        <w:spacing w:line="300" w:lineRule="auto"/>
        <w:ind w:firstLine="210" w:firstLineChars="100"/>
        <w:rPr>
          <w:rFonts w:ascii="宋体" w:hAnsi="宋体"/>
          <w:color w:val="auto"/>
          <w:szCs w:val="21"/>
          <w:highlight w:val="none"/>
          <w:u w:val="single"/>
        </w:rPr>
      </w:pPr>
      <w:r>
        <w:rPr>
          <w:rFonts w:ascii="宋体" w:hAnsi="宋体"/>
          <w:color w:val="auto"/>
          <w:szCs w:val="21"/>
          <w:highlight w:val="none"/>
        </w:rPr>
        <w:t>采购项目编号:</w:t>
      </w:r>
      <w:r>
        <w:rPr>
          <w:rFonts w:ascii="宋体" w:hAnsi="宋体"/>
          <w:color w:val="auto"/>
          <w:szCs w:val="21"/>
          <w:highlight w:val="none"/>
          <w:u w:val="single"/>
        </w:rPr>
        <w:t xml:space="preserve">                 </w:t>
      </w:r>
    </w:p>
    <w:p w14:paraId="19B6F2B6">
      <w:pPr>
        <w:spacing w:line="300" w:lineRule="auto"/>
        <w:ind w:firstLine="210" w:firstLineChars="100"/>
        <w:rPr>
          <w:rFonts w:ascii="宋体" w:hAnsi="宋体"/>
          <w:color w:val="auto"/>
          <w:szCs w:val="21"/>
          <w:highlight w:val="none"/>
          <w:u w:val="single"/>
        </w:rPr>
      </w:pPr>
      <w:r>
        <w:rPr>
          <w:rFonts w:ascii="宋体" w:hAnsi="宋体"/>
          <w:color w:val="auto"/>
          <w:szCs w:val="21"/>
          <w:highlight w:val="none"/>
        </w:rPr>
        <w:t>采购项目名称:</w:t>
      </w:r>
      <w:r>
        <w:rPr>
          <w:rFonts w:ascii="宋体" w:hAnsi="宋体"/>
          <w:color w:val="auto"/>
          <w:szCs w:val="21"/>
          <w:highlight w:val="none"/>
          <w:u w:val="single"/>
        </w:rPr>
        <w:t xml:space="preserve">                 </w:t>
      </w:r>
    </w:p>
    <w:tbl>
      <w:tblPr>
        <w:tblStyle w:val="30"/>
        <w:tblW w:w="93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3827"/>
        <w:gridCol w:w="1727"/>
        <w:gridCol w:w="2931"/>
      </w:tblGrid>
      <w:tr w14:paraId="1E81E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47B712D4">
            <w:pPr>
              <w:snapToGrid w:val="0"/>
              <w:spacing w:before="50" w:after="5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827" w:type="dxa"/>
            <w:tcBorders>
              <w:top w:val="single" w:color="auto" w:sz="4" w:space="0"/>
              <w:left w:val="single" w:color="auto" w:sz="4" w:space="0"/>
              <w:bottom w:val="single" w:color="auto" w:sz="4" w:space="0"/>
              <w:right w:val="single" w:color="auto" w:sz="4" w:space="0"/>
            </w:tcBorders>
            <w:vAlign w:val="center"/>
          </w:tcPr>
          <w:p w14:paraId="335BD107">
            <w:pPr>
              <w:snapToGrid w:val="0"/>
              <w:spacing w:before="50" w:after="50"/>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1727" w:type="dxa"/>
            <w:tcBorders>
              <w:top w:val="single" w:color="auto" w:sz="4" w:space="0"/>
              <w:left w:val="single" w:color="auto" w:sz="4" w:space="0"/>
              <w:bottom w:val="single" w:color="auto" w:sz="4" w:space="0"/>
              <w:right w:val="single" w:color="auto" w:sz="4" w:space="0"/>
            </w:tcBorders>
            <w:vAlign w:val="center"/>
          </w:tcPr>
          <w:p w14:paraId="68EA2C66">
            <w:pPr>
              <w:snapToGrid w:val="0"/>
              <w:spacing w:before="50" w:after="50"/>
              <w:jc w:val="center"/>
              <w:rPr>
                <w:rFonts w:ascii="宋体" w:hAnsi="宋体" w:cs="宋体"/>
                <w:b/>
                <w:color w:val="auto"/>
                <w:szCs w:val="21"/>
                <w:highlight w:val="none"/>
              </w:rPr>
            </w:pPr>
            <w:r>
              <w:rPr>
                <w:rFonts w:hint="eastAsia" w:ascii="宋体" w:hAnsi="宋体" w:cs="宋体"/>
                <w:b/>
                <w:color w:val="auto"/>
                <w:szCs w:val="21"/>
                <w:highlight w:val="none"/>
              </w:rPr>
              <w:t>价格（元）</w:t>
            </w:r>
          </w:p>
        </w:tc>
        <w:tc>
          <w:tcPr>
            <w:tcW w:w="2931" w:type="dxa"/>
            <w:tcBorders>
              <w:top w:val="single" w:color="auto" w:sz="4" w:space="0"/>
              <w:left w:val="single" w:color="auto" w:sz="4" w:space="0"/>
              <w:bottom w:val="single" w:color="auto" w:sz="4" w:space="0"/>
              <w:right w:val="single" w:color="auto" w:sz="4" w:space="0"/>
            </w:tcBorders>
            <w:vAlign w:val="center"/>
          </w:tcPr>
          <w:p w14:paraId="488C4388">
            <w:pPr>
              <w:snapToGrid w:val="0"/>
              <w:spacing w:before="50" w:after="50"/>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1BADC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09EE6387">
            <w:pPr>
              <w:tabs>
                <w:tab w:val="left" w:pos="1418"/>
              </w:tabs>
              <w:snapToGrid w:val="0"/>
              <w:spacing w:before="50" w:after="50" w:line="40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1</w:t>
            </w:r>
          </w:p>
        </w:tc>
        <w:tc>
          <w:tcPr>
            <w:tcW w:w="3827" w:type="dxa"/>
            <w:tcBorders>
              <w:top w:val="single" w:color="auto" w:sz="4" w:space="0"/>
              <w:left w:val="single" w:color="auto" w:sz="4" w:space="0"/>
              <w:bottom w:val="single" w:color="auto" w:sz="4" w:space="0"/>
              <w:right w:val="single" w:color="auto" w:sz="4" w:space="0"/>
            </w:tcBorders>
            <w:vAlign w:val="center"/>
          </w:tcPr>
          <w:p w14:paraId="453A0E4E">
            <w:pPr>
              <w:snapToGrid w:val="0"/>
              <w:spacing w:before="50" w:after="50"/>
              <w:jc w:val="center"/>
              <w:rPr>
                <w:rFonts w:ascii="宋体" w:hAnsi="宋体" w:cs="宋体"/>
                <w:b/>
                <w:color w:val="auto"/>
                <w:szCs w:val="21"/>
                <w:highlight w:val="none"/>
              </w:rPr>
            </w:pPr>
            <w:r>
              <w:rPr>
                <w:rFonts w:hint="eastAsia" w:cs="宋体"/>
                <w:b/>
                <w:bCs/>
                <w:color w:val="auto"/>
                <w:sz w:val="28"/>
                <w:szCs w:val="28"/>
                <w:highlight w:val="none"/>
              </w:rPr>
              <w:t>燃油车磋商报价合计</w:t>
            </w:r>
          </w:p>
        </w:tc>
        <w:tc>
          <w:tcPr>
            <w:tcW w:w="1727" w:type="dxa"/>
            <w:tcBorders>
              <w:top w:val="single" w:color="auto" w:sz="4" w:space="0"/>
              <w:left w:val="single" w:color="auto" w:sz="4" w:space="0"/>
              <w:bottom w:val="single" w:color="auto" w:sz="4" w:space="0"/>
              <w:right w:val="single" w:color="auto" w:sz="4" w:space="0"/>
            </w:tcBorders>
            <w:vAlign w:val="center"/>
          </w:tcPr>
          <w:p w14:paraId="2C10D24C">
            <w:pPr>
              <w:snapToGrid w:val="0"/>
              <w:spacing w:before="50" w:after="50"/>
              <w:jc w:val="center"/>
              <w:rPr>
                <w:rFonts w:ascii="宋体" w:hAnsi="宋体" w:cs="宋体"/>
                <w:b/>
                <w:color w:val="auto"/>
                <w:szCs w:val="21"/>
                <w:highlight w:val="none"/>
              </w:rPr>
            </w:pPr>
          </w:p>
        </w:tc>
        <w:tc>
          <w:tcPr>
            <w:tcW w:w="2931" w:type="dxa"/>
            <w:tcBorders>
              <w:top w:val="single" w:color="auto" w:sz="4" w:space="0"/>
              <w:left w:val="single" w:color="auto" w:sz="4" w:space="0"/>
              <w:bottom w:val="single" w:color="auto" w:sz="4" w:space="0"/>
              <w:right w:val="single" w:color="auto" w:sz="4" w:space="0"/>
            </w:tcBorders>
            <w:vAlign w:val="center"/>
          </w:tcPr>
          <w:p w14:paraId="4442DC0F">
            <w:pPr>
              <w:pStyle w:val="76"/>
              <w:ind w:firstLine="211"/>
              <w:jc w:val="center"/>
              <w:rPr>
                <w:color w:val="auto"/>
                <w:sz w:val="48"/>
                <w:szCs w:val="56"/>
                <w:highlight w:val="none"/>
              </w:rPr>
            </w:pPr>
            <w:r>
              <w:rPr>
                <w:rFonts w:hint="eastAsia" w:ascii="宋体" w:hAnsi="宋体" w:cs="宋体"/>
                <w:b/>
                <w:color w:val="auto"/>
                <w:szCs w:val="21"/>
                <w:highlight w:val="none"/>
              </w:rPr>
              <w:t>各种燃油车型单天的费用报价合计，见“磋商报价明细表1（燃油车）”</w:t>
            </w:r>
          </w:p>
          <w:p w14:paraId="047F1EDA">
            <w:pPr>
              <w:snapToGrid w:val="0"/>
              <w:spacing w:before="50" w:after="50"/>
              <w:jc w:val="center"/>
              <w:rPr>
                <w:rFonts w:ascii="宋体" w:hAnsi="宋体" w:cs="宋体"/>
                <w:b/>
                <w:color w:val="auto"/>
                <w:szCs w:val="21"/>
                <w:highlight w:val="none"/>
              </w:rPr>
            </w:pPr>
          </w:p>
        </w:tc>
      </w:tr>
      <w:tr w14:paraId="27289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7"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5DB073D">
            <w:pPr>
              <w:tabs>
                <w:tab w:val="left" w:pos="1418"/>
              </w:tabs>
              <w:snapToGrid w:val="0"/>
              <w:spacing w:before="50" w:after="50" w:line="40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2</w:t>
            </w:r>
          </w:p>
        </w:tc>
        <w:tc>
          <w:tcPr>
            <w:tcW w:w="3827" w:type="dxa"/>
            <w:tcBorders>
              <w:top w:val="single" w:color="auto" w:sz="4" w:space="0"/>
              <w:left w:val="single" w:color="auto" w:sz="4" w:space="0"/>
              <w:bottom w:val="single" w:color="auto" w:sz="4" w:space="0"/>
              <w:right w:val="single" w:color="auto" w:sz="4" w:space="0"/>
            </w:tcBorders>
            <w:vAlign w:val="center"/>
          </w:tcPr>
          <w:p w14:paraId="401CA21E">
            <w:pPr>
              <w:snapToGrid w:val="0"/>
              <w:spacing w:before="50" w:after="50"/>
              <w:jc w:val="center"/>
              <w:rPr>
                <w:rFonts w:cs="宋体"/>
                <w:b/>
                <w:bCs/>
                <w:color w:val="auto"/>
                <w:sz w:val="28"/>
                <w:szCs w:val="28"/>
                <w:highlight w:val="none"/>
              </w:rPr>
            </w:pPr>
            <w:r>
              <w:rPr>
                <w:rFonts w:hint="eastAsia" w:cs="宋体"/>
                <w:b/>
                <w:bCs/>
                <w:color w:val="auto"/>
                <w:sz w:val="28"/>
                <w:szCs w:val="28"/>
                <w:highlight w:val="none"/>
              </w:rPr>
              <w:t>大车磋商报价</w:t>
            </w:r>
          </w:p>
          <w:p w14:paraId="190D735D">
            <w:pPr>
              <w:snapToGrid w:val="0"/>
              <w:spacing w:before="50" w:after="50"/>
              <w:jc w:val="center"/>
              <w:rPr>
                <w:rFonts w:ascii="宋体" w:hAnsi="宋体" w:cs="宋体"/>
                <w:b/>
                <w:color w:val="auto"/>
                <w:szCs w:val="21"/>
                <w:highlight w:val="none"/>
              </w:rPr>
            </w:pPr>
            <w:r>
              <w:rPr>
                <w:rFonts w:hint="eastAsia" w:cs="宋体"/>
                <w:b/>
                <w:bCs/>
                <w:color w:val="auto"/>
                <w:sz w:val="28"/>
                <w:szCs w:val="28"/>
                <w:highlight w:val="none"/>
              </w:rPr>
              <w:t>合计</w:t>
            </w:r>
          </w:p>
        </w:tc>
        <w:tc>
          <w:tcPr>
            <w:tcW w:w="1727" w:type="dxa"/>
            <w:tcBorders>
              <w:top w:val="single" w:color="auto" w:sz="4" w:space="0"/>
              <w:left w:val="single" w:color="auto" w:sz="4" w:space="0"/>
              <w:bottom w:val="single" w:color="auto" w:sz="4" w:space="0"/>
              <w:right w:val="single" w:color="auto" w:sz="4" w:space="0"/>
            </w:tcBorders>
            <w:vAlign w:val="center"/>
          </w:tcPr>
          <w:p w14:paraId="7413B279">
            <w:pPr>
              <w:snapToGrid w:val="0"/>
              <w:spacing w:before="50" w:after="50"/>
              <w:jc w:val="center"/>
              <w:rPr>
                <w:rFonts w:ascii="宋体" w:hAnsi="宋体" w:cs="宋体"/>
                <w:b/>
                <w:color w:val="auto"/>
                <w:szCs w:val="21"/>
                <w:highlight w:val="none"/>
              </w:rPr>
            </w:pPr>
          </w:p>
        </w:tc>
        <w:tc>
          <w:tcPr>
            <w:tcW w:w="2931" w:type="dxa"/>
            <w:tcBorders>
              <w:top w:val="single" w:color="auto" w:sz="4" w:space="0"/>
              <w:left w:val="single" w:color="auto" w:sz="4" w:space="0"/>
              <w:bottom w:val="single" w:color="auto" w:sz="4" w:space="0"/>
              <w:right w:val="single" w:color="auto" w:sz="4" w:space="0"/>
            </w:tcBorders>
            <w:vAlign w:val="center"/>
          </w:tcPr>
          <w:p w14:paraId="19DBAC4E">
            <w:pPr>
              <w:spacing w:line="360" w:lineRule="auto"/>
              <w:ind w:right="-23" w:rightChars="-11"/>
              <w:contextualSpacing/>
              <w:rPr>
                <w:rFonts w:ascii="宋体" w:hAnsi="宋体" w:cs="宋体"/>
                <w:b/>
                <w:color w:val="auto"/>
                <w:szCs w:val="21"/>
                <w:highlight w:val="none"/>
              </w:rPr>
            </w:pPr>
            <w:r>
              <w:rPr>
                <w:rFonts w:hint="eastAsia" w:ascii="宋体" w:hAnsi="宋体" w:cs="宋体"/>
                <w:b/>
                <w:color w:val="auto"/>
                <w:szCs w:val="21"/>
                <w:highlight w:val="none"/>
              </w:rPr>
              <w:t>各种大车型一趟的费用报价合计，见磋商报价明细表2（大车）</w:t>
            </w:r>
          </w:p>
          <w:p w14:paraId="3FA695E4">
            <w:pPr>
              <w:snapToGrid w:val="0"/>
              <w:spacing w:before="50" w:after="50"/>
              <w:jc w:val="center"/>
              <w:rPr>
                <w:rFonts w:ascii="宋体" w:hAnsi="宋体" w:cs="宋体"/>
                <w:b/>
                <w:color w:val="auto"/>
                <w:szCs w:val="21"/>
                <w:highlight w:val="none"/>
              </w:rPr>
            </w:pPr>
          </w:p>
        </w:tc>
      </w:tr>
      <w:tr w14:paraId="60790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4670" w:type="dxa"/>
            <w:gridSpan w:val="2"/>
            <w:tcBorders>
              <w:top w:val="single" w:color="auto" w:sz="4" w:space="0"/>
              <w:left w:val="single" w:color="auto" w:sz="4" w:space="0"/>
              <w:bottom w:val="single" w:color="auto" w:sz="4" w:space="0"/>
              <w:right w:val="single" w:color="auto" w:sz="4" w:space="0"/>
            </w:tcBorders>
            <w:vAlign w:val="center"/>
          </w:tcPr>
          <w:p w14:paraId="2F5C25DB">
            <w:pPr>
              <w:snapToGrid w:val="0"/>
              <w:spacing w:before="50" w:after="50"/>
              <w:jc w:val="center"/>
              <w:rPr>
                <w:rFonts w:ascii="宋体" w:hAnsi="宋体" w:cs="宋体"/>
                <w:b/>
                <w:color w:val="auto"/>
                <w:szCs w:val="21"/>
                <w:highlight w:val="none"/>
              </w:rPr>
            </w:pPr>
            <w:r>
              <w:rPr>
                <w:rFonts w:hint="eastAsia" w:ascii="宋体" w:hAnsi="宋体" w:cs="宋体"/>
                <w:b/>
                <w:color w:val="auto"/>
                <w:szCs w:val="21"/>
                <w:highlight w:val="none"/>
              </w:rPr>
              <w:t>磋商报价合计</w:t>
            </w:r>
          </w:p>
        </w:tc>
        <w:tc>
          <w:tcPr>
            <w:tcW w:w="1727" w:type="dxa"/>
            <w:tcBorders>
              <w:top w:val="single" w:color="auto" w:sz="4" w:space="0"/>
              <w:left w:val="single" w:color="auto" w:sz="4" w:space="0"/>
              <w:bottom w:val="single" w:color="auto" w:sz="4" w:space="0"/>
              <w:right w:val="single" w:color="auto" w:sz="4" w:space="0"/>
            </w:tcBorders>
            <w:vAlign w:val="center"/>
          </w:tcPr>
          <w:p w14:paraId="7392CDD7">
            <w:pPr>
              <w:snapToGrid w:val="0"/>
              <w:spacing w:before="50" w:after="50"/>
              <w:jc w:val="center"/>
              <w:rPr>
                <w:rFonts w:ascii="宋体" w:hAnsi="宋体" w:cs="宋体"/>
                <w:b/>
                <w:color w:val="auto"/>
                <w:szCs w:val="21"/>
                <w:highlight w:val="none"/>
              </w:rPr>
            </w:pPr>
          </w:p>
        </w:tc>
        <w:tc>
          <w:tcPr>
            <w:tcW w:w="2931" w:type="dxa"/>
            <w:tcBorders>
              <w:top w:val="single" w:color="auto" w:sz="4" w:space="0"/>
              <w:left w:val="single" w:color="auto" w:sz="4" w:space="0"/>
              <w:bottom w:val="single" w:color="auto" w:sz="4" w:space="0"/>
              <w:right w:val="single" w:color="auto" w:sz="4" w:space="0"/>
            </w:tcBorders>
            <w:vAlign w:val="center"/>
          </w:tcPr>
          <w:p w14:paraId="112BBCAF">
            <w:pPr>
              <w:snapToGrid w:val="0"/>
              <w:spacing w:before="50" w:after="50"/>
              <w:jc w:val="center"/>
              <w:rPr>
                <w:rFonts w:ascii="宋体" w:hAnsi="宋体" w:cs="宋体"/>
                <w:b/>
                <w:color w:val="auto"/>
                <w:szCs w:val="21"/>
                <w:highlight w:val="none"/>
              </w:rPr>
            </w:pPr>
          </w:p>
          <w:p w14:paraId="25BB8C23">
            <w:pPr>
              <w:snapToGrid w:val="0"/>
              <w:spacing w:before="50" w:after="50"/>
              <w:jc w:val="center"/>
              <w:rPr>
                <w:rFonts w:ascii="宋体" w:hAnsi="宋体" w:cs="宋体"/>
                <w:b/>
                <w:color w:val="auto"/>
                <w:szCs w:val="21"/>
                <w:highlight w:val="none"/>
              </w:rPr>
            </w:pPr>
          </w:p>
        </w:tc>
      </w:tr>
      <w:tr w14:paraId="7C54A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28" w:type="dxa"/>
            <w:gridSpan w:val="4"/>
            <w:tcBorders>
              <w:top w:val="single" w:color="auto" w:sz="4" w:space="0"/>
              <w:left w:val="single" w:color="auto" w:sz="4" w:space="0"/>
              <w:bottom w:val="single" w:color="auto" w:sz="4" w:space="0"/>
              <w:right w:val="single" w:color="auto" w:sz="4" w:space="0"/>
            </w:tcBorders>
            <w:vAlign w:val="center"/>
          </w:tcPr>
          <w:p w14:paraId="53D8E801">
            <w:pPr>
              <w:snapToGrid w:val="0"/>
              <w:spacing w:before="50" w:after="50"/>
              <w:rPr>
                <w:rFonts w:ascii="宋体" w:hAnsi="宋体" w:cs="宋体"/>
                <w:color w:val="auto"/>
                <w:szCs w:val="21"/>
                <w:highlight w:val="none"/>
                <w:u w:val="single"/>
              </w:rPr>
            </w:pPr>
            <w:r>
              <w:rPr>
                <w:rFonts w:hint="eastAsia" w:ascii="宋体" w:hAnsi="宋体" w:cs="宋体"/>
                <w:color w:val="auto"/>
                <w:szCs w:val="21"/>
                <w:highlight w:val="none"/>
              </w:rPr>
              <w:t xml:space="preserve">磋商总报价：人民币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14:paraId="6F7B0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28" w:type="dxa"/>
            <w:gridSpan w:val="4"/>
            <w:tcBorders>
              <w:top w:val="single" w:color="auto" w:sz="4" w:space="0"/>
              <w:left w:val="single" w:color="auto" w:sz="4" w:space="0"/>
              <w:bottom w:val="single" w:color="auto" w:sz="4" w:space="0"/>
              <w:right w:val="single" w:color="auto" w:sz="4" w:space="0"/>
            </w:tcBorders>
            <w:vAlign w:val="center"/>
          </w:tcPr>
          <w:p w14:paraId="2468CA66">
            <w:pPr>
              <w:snapToGrid w:val="0"/>
              <w:spacing w:before="50" w:after="50"/>
              <w:rPr>
                <w:rFonts w:ascii="宋体" w:hAnsi="宋体" w:cs="宋体"/>
                <w:color w:val="auto"/>
                <w:szCs w:val="21"/>
                <w:highlight w:val="none"/>
              </w:rPr>
            </w:pPr>
            <w:r>
              <w:rPr>
                <w:rFonts w:hint="eastAsia" w:ascii="宋体" w:hAnsi="宋体" w:cs="宋体"/>
                <w:color w:val="auto"/>
                <w:szCs w:val="21"/>
                <w:highlight w:val="none"/>
              </w:rPr>
              <w:t>合同履行期限：签订合同之日起1年，自合同签订之日起生效。或服务期内，如预算用尽，采购人无法支付车辆租赁费用时，合同自动终止。</w:t>
            </w:r>
          </w:p>
        </w:tc>
      </w:tr>
    </w:tbl>
    <w:p w14:paraId="0B6EDF81">
      <w:pPr>
        <w:pStyle w:val="19"/>
        <w:spacing w:line="500" w:lineRule="exact"/>
        <w:rPr>
          <w:rFonts w:hAnsi="宋体" w:cs="宋体"/>
          <w:color w:val="auto"/>
          <w:sz w:val="24"/>
          <w:szCs w:val="24"/>
          <w:highlight w:val="none"/>
        </w:rPr>
      </w:pPr>
    </w:p>
    <w:p w14:paraId="25534128">
      <w:pPr>
        <w:pStyle w:val="19"/>
        <w:spacing w:line="500" w:lineRule="exact"/>
        <w:ind w:firstLine="240" w:firstLineChars="100"/>
        <w:rPr>
          <w:rFonts w:hAnsi="宋体" w:cs="宋体"/>
          <w:color w:val="auto"/>
          <w:sz w:val="24"/>
          <w:szCs w:val="24"/>
          <w:highlight w:val="none"/>
          <w:u w:val="single"/>
        </w:rPr>
      </w:pPr>
      <w:r>
        <w:rPr>
          <w:rFonts w:hint="eastAsia" w:hAnsi="宋体" w:cs="宋体"/>
          <w:color w:val="auto"/>
          <w:sz w:val="24"/>
          <w:szCs w:val="24"/>
          <w:highlight w:val="none"/>
        </w:rPr>
        <w:t>法定代表人或委托代理人（签字）：</w:t>
      </w:r>
      <w:r>
        <w:rPr>
          <w:rFonts w:hint="eastAsia" w:hAnsi="宋体" w:cs="宋体"/>
          <w:color w:val="auto"/>
          <w:sz w:val="24"/>
          <w:szCs w:val="24"/>
          <w:highlight w:val="none"/>
          <w:u w:val="single"/>
        </w:rPr>
        <w:t xml:space="preserve">                  </w:t>
      </w:r>
    </w:p>
    <w:p w14:paraId="16776747">
      <w:pPr>
        <w:pStyle w:val="19"/>
        <w:spacing w:line="500" w:lineRule="exact"/>
        <w:ind w:firstLine="240" w:firstLineChars="100"/>
        <w:rPr>
          <w:rFonts w:hAnsi="宋体" w:cs="宋体"/>
          <w:color w:val="auto"/>
          <w:sz w:val="24"/>
          <w:szCs w:val="24"/>
          <w:highlight w:val="none"/>
          <w:u w:val="single"/>
        </w:rPr>
      </w:pPr>
      <w:r>
        <w:rPr>
          <w:rFonts w:hint="eastAsia" w:hAnsi="宋体" w:cs="宋体"/>
          <w:color w:val="auto"/>
          <w:sz w:val="24"/>
          <w:szCs w:val="24"/>
          <w:highlight w:val="none"/>
        </w:rPr>
        <w:t>供应商名称（盖章）：</w:t>
      </w:r>
      <w:r>
        <w:rPr>
          <w:rFonts w:hint="eastAsia" w:hAnsi="宋体" w:cs="宋体"/>
          <w:color w:val="auto"/>
          <w:sz w:val="24"/>
          <w:szCs w:val="24"/>
          <w:highlight w:val="none"/>
          <w:u w:val="single"/>
        </w:rPr>
        <w:t xml:space="preserve">                              </w:t>
      </w:r>
    </w:p>
    <w:p w14:paraId="1AAA330F">
      <w:pPr>
        <w:pStyle w:val="19"/>
        <w:spacing w:line="500" w:lineRule="exact"/>
        <w:ind w:firstLine="240" w:firstLineChars="100"/>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日 </w:t>
      </w:r>
    </w:p>
    <w:p w14:paraId="0BFB2645">
      <w:pPr>
        <w:pStyle w:val="76"/>
        <w:ind w:firstLine="440"/>
        <w:jc w:val="center"/>
        <w:rPr>
          <w:rFonts w:ascii="宋体" w:hAnsi="宋体" w:cs="仿宋_GB2312"/>
          <w:color w:val="auto"/>
          <w:sz w:val="24"/>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磋商报价明细表</w:t>
      </w:r>
      <w:r>
        <w:rPr>
          <w:rFonts w:hint="eastAsia"/>
          <w:color w:val="auto"/>
          <w:sz w:val="48"/>
          <w:szCs w:val="56"/>
          <w:highlight w:val="none"/>
        </w:rPr>
        <w:t>1</w:t>
      </w:r>
      <w:r>
        <w:rPr>
          <w:rFonts w:hint="eastAsia" w:ascii="方正小标宋简体" w:hAnsi="方正小标宋简体" w:eastAsia="方正小标宋简体" w:cs="方正小标宋简体"/>
          <w:bCs/>
          <w:color w:val="auto"/>
          <w:sz w:val="44"/>
          <w:szCs w:val="44"/>
          <w:highlight w:val="none"/>
        </w:rPr>
        <w:t>（燃油车）</w:t>
      </w:r>
    </w:p>
    <w:p w14:paraId="0898058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11B5650">
      <w:pPr>
        <w:spacing w:line="360" w:lineRule="auto"/>
        <w:contextualSpacing/>
        <w:rPr>
          <w:color w:val="auto"/>
          <w:szCs w:val="21"/>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30"/>
        <w:tblW w:w="97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7"/>
        <w:gridCol w:w="1627"/>
        <w:gridCol w:w="1733"/>
        <w:gridCol w:w="2340"/>
        <w:gridCol w:w="1934"/>
      </w:tblGrid>
      <w:tr w14:paraId="309B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077" w:type="dxa"/>
            <w:vAlign w:val="center"/>
          </w:tcPr>
          <w:p w14:paraId="6984C3FC">
            <w:pPr>
              <w:jc w:val="center"/>
              <w:rPr>
                <w:b/>
                <w:bCs/>
                <w:color w:val="auto"/>
                <w:highlight w:val="none"/>
              </w:rPr>
            </w:pPr>
            <w:r>
              <w:rPr>
                <w:rFonts w:hint="eastAsia"/>
                <w:b/>
                <w:bCs/>
                <w:color w:val="auto"/>
                <w:highlight w:val="none"/>
              </w:rPr>
              <w:t>车型级别</w:t>
            </w:r>
          </w:p>
        </w:tc>
        <w:tc>
          <w:tcPr>
            <w:tcW w:w="1627" w:type="dxa"/>
            <w:vAlign w:val="center"/>
          </w:tcPr>
          <w:p w14:paraId="323AD6BA">
            <w:pPr>
              <w:jc w:val="center"/>
              <w:rPr>
                <w:b/>
                <w:bCs/>
                <w:color w:val="auto"/>
                <w:highlight w:val="none"/>
              </w:rPr>
            </w:pPr>
            <w:r>
              <w:rPr>
                <w:rFonts w:hint="eastAsia"/>
                <w:b/>
                <w:bCs/>
                <w:color w:val="auto"/>
                <w:highlight w:val="none"/>
              </w:rPr>
              <w:t>排量</w:t>
            </w:r>
          </w:p>
        </w:tc>
        <w:tc>
          <w:tcPr>
            <w:tcW w:w="1733" w:type="dxa"/>
            <w:vAlign w:val="center"/>
          </w:tcPr>
          <w:p w14:paraId="6CDAF3A4">
            <w:pPr>
              <w:jc w:val="center"/>
              <w:rPr>
                <w:b/>
                <w:bCs/>
                <w:color w:val="auto"/>
                <w:highlight w:val="none"/>
              </w:rPr>
            </w:pPr>
            <w:r>
              <w:rPr>
                <w:rFonts w:hint="eastAsia"/>
                <w:b/>
                <w:bCs/>
                <w:color w:val="auto"/>
                <w:highlight w:val="none"/>
              </w:rPr>
              <w:t>上控价（</w:t>
            </w:r>
            <w:r>
              <w:rPr>
                <w:rFonts w:hint="eastAsia" w:ascii="宋体" w:hAnsi="宋体" w:cs="宋体"/>
                <w:b/>
                <w:bCs/>
                <w:color w:val="auto"/>
                <w:highlight w:val="none"/>
              </w:rPr>
              <w:t>含司机</w:t>
            </w:r>
            <w:r>
              <w:rPr>
                <w:rFonts w:hint="eastAsia"/>
                <w:b/>
                <w:bCs/>
                <w:color w:val="auto"/>
                <w:highlight w:val="none"/>
              </w:rPr>
              <w:t>）</w:t>
            </w:r>
          </w:p>
        </w:tc>
        <w:tc>
          <w:tcPr>
            <w:tcW w:w="2340" w:type="dxa"/>
            <w:tcBorders>
              <w:right w:val="single" w:color="auto" w:sz="4" w:space="0"/>
            </w:tcBorders>
            <w:vAlign w:val="center"/>
          </w:tcPr>
          <w:p w14:paraId="6E9C263D">
            <w:pPr>
              <w:jc w:val="center"/>
              <w:rPr>
                <w:b/>
                <w:bCs/>
                <w:color w:val="auto"/>
                <w:highlight w:val="none"/>
              </w:rPr>
            </w:pPr>
            <w:r>
              <w:rPr>
                <w:rFonts w:hint="eastAsia"/>
                <w:b/>
                <w:bCs/>
                <w:color w:val="auto"/>
                <w:highlight w:val="none"/>
              </w:rPr>
              <w:t>磋商报价（元/天,</w:t>
            </w:r>
            <w:r>
              <w:rPr>
                <w:rFonts w:hint="eastAsia" w:ascii="宋体" w:hAnsi="宋体" w:cs="宋体"/>
                <w:b/>
                <w:bCs/>
                <w:color w:val="auto"/>
                <w:highlight w:val="none"/>
              </w:rPr>
              <w:t>含司机</w:t>
            </w:r>
            <w:r>
              <w:rPr>
                <w:rFonts w:hint="eastAsia"/>
                <w:b/>
                <w:bCs/>
                <w:color w:val="auto"/>
                <w:highlight w:val="none"/>
              </w:rPr>
              <w:t>）</w:t>
            </w:r>
          </w:p>
        </w:tc>
        <w:tc>
          <w:tcPr>
            <w:tcW w:w="1934" w:type="dxa"/>
            <w:tcBorders>
              <w:left w:val="single" w:color="auto" w:sz="4" w:space="0"/>
            </w:tcBorders>
            <w:vAlign w:val="center"/>
          </w:tcPr>
          <w:p w14:paraId="0EADC587">
            <w:pPr>
              <w:jc w:val="center"/>
              <w:rPr>
                <w:b/>
                <w:bCs/>
                <w:color w:val="auto"/>
                <w:highlight w:val="none"/>
              </w:rPr>
            </w:pPr>
            <w:r>
              <w:rPr>
                <w:rFonts w:hint="eastAsia"/>
                <w:b/>
                <w:bCs/>
                <w:color w:val="auto"/>
                <w:highlight w:val="none"/>
              </w:rPr>
              <w:t>备注</w:t>
            </w:r>
          </w:p>
          <w:p w14:paraId="0D95D72B">
            <w:pPr>
              <w:jc w:val="center"/>
              <w:rPr>
                <w:b/>
                <w:bCs/>
                <w:color w:val="auto"/>
                <w:highlight w:val="none"/>
              </w:rPr>
            </w:pPr>
            <w:r>
              <w:rPr>
                <w:rFonts w:hint="eastAsia"/>
                <w:b/>
                <w:bCs/>
                <w:color w:val="auto"/>
                <w:highlight w:val="none"/>
              </w:rPr>
              <w:t>(其中司机工资元</w:t>
            </w:r>
            <w:r>
              <w:rPr>
                <w:b/>
                <w:bCs/>
                <w:color w:val="auto"/>
                <w:highlight w:val="none"/>
              </w:rPr>
              <w:t>/</w:t>
            </w:r>
            <w:r>
              <w:rPr>
                <w:rFonts w:hint="eastAsia"/>
                <w:b/>
                <w:bCs/>
                <w:color w:val="auto"/>
                <w:highlight w:val="none"/>
              </w:rPr>
              <w:t>天)</w:t>
            </w:r>
          </w:p>
        </w:tc>
      </w:tr>
      <w:tr w14:paraId="3F3F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077" w:type="dxa"/>
            <w:vAlign w:val="center"/>
          </w:tcPr>
          <w:p w14:paraId="4C94F32B">
            <w:pPr>
              <w:rPr>
                <w:rFonts w:ascii="宋体" w:hAnsi="宋体" w:cs="宋体"/>
                <w:color w:val="auto"/>
                <w:sz w:val="24"/>
                <w:highlight w:val="none"/>
              </w:rPr>
            </w:pPr>
            <w:r>
              <w:rPr>
                <w:rFonts w:hint="eastAsia" w:ascii="宋体" w:hAnsi="宋体" w:cs="宋体"/>
                <w:color w:val="auto"/>
                <w:sz w:val="24"/>
                <w:highlight w:val="none"/>
              </w:rPr>
              <w:t>A2、15-18万轿车</w:t>
            </w:r>
          </w:p>
        </w:tc>
        <w:tc>
          <w:tcPr>
            <w:tcW w:w="1627" w:type="dxa"/>
            <w:vAlign w:val="center"/>
          </w:tcPr>
          <w:p w14:paraId="516A81C7">
            <w:pPr>
              <w:pStyle w:val="77"/>
              <w:spacing w:before="91" w:line="219" w:lineRule="auto"/>
              <w:jc w:val="center"/>
              <w:rPr>
                <w:color w:val="auto"/>
                <w:highlight w:val="none"/>
                <w:lang w:eastAsia="zh-CN"/>
              </w:rPr>
            </w:pPr>
            <w:r>
              <w:rPr>
                <w:rFonts w:hint="eastAsia"/>
                <w:color w:val="auto"/>
                <w:szCs w:val="21"/>
                <w:highlight w:val="none"/>
              </w:rPr>
              <w:t>1.2L-1.8L（含）</w:t>
            </w:r>
          </w:p>
        </w:tc>
        <w:tc>
          <w:tcPr>
            <w:tcW w:w="1733" w:type="dxa"/>
            <w:vAlign w:val="center"/>
          </w:tcPr>
          <w:p w14:paraId="1C5B5DD6">
            <w:pPr>
              <w:spacing w:before="151" w:line="184" w:lineRule="auto"/>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550元/天</w:t>
            </w:r>
          </w:p>
        </w:tc>
        <w:tc>
          <w:tcPr>
            <w:tcW w:w="2340" w:type="dxa"/>
            <w:tcBorders>
              <w:right w:val="single" w:color="auto" w:sz="4" w:space="0"/>
            </w:tcBorders>
          </w:tcPr>
          <w:p w14:paraId="317B8954">
            <w:pPr>
              <w:pStyle w:val="77"/>
              <w:spacing w:before="152" w:line="183" w:lineRule="auto"/>
              <w:rPr>
                <w:color w:val="auto"/>
                <w:highlight w:val="none"/>
                <w:lang w:eastAsia="zh-CN"/>
              </w:rPr>
            </w:pPr>
          </w:p>
        </w:tc>
        <w:tc>
          <w:tcPr>
            <w:tcW w:w="1934" w:type="dxa"/>
            <w:tcBorders>
              <w:left w:val="single" w:color="auto" w:sz="4" w:space="0"/>
            </w:tcBorders>
          </w:tcPr>
          <w:p w14:paraId="1C363ADD">
            <w:pPr>
              <w:pStyle w:val="77"/>
              <w:spacing w:before="152" w:line="183" w:lineRule="auto"/>
              <w:rPr>
                <w:color w:val="auto"/>
                <w:highlight w:val="none"/>
                <w:lang w:eastAsia="zh-CN"/>
              </w:rPr>
            </w:pPr>
          </w:p>
        </w:tc>
      </w:tr>
      <w:tr w14:paraId="4EEE9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077" w:type="dxa"/>
            <w:vAlign w:val="center"/>
          </w:tcPr>
          <w:p w14:paraId="38E6CFCE">
            <w:pPr>
              <w:jc w:val="center"/>
              <w:rPr>
                <w:rFonts w:ascii="宋体" w:hAnsi="宋体" w:cs="宋体"/>
                <w:color w:val="auto"/>
                <w:sz w:val="24"/>
                <w:highlight w:val="none"/>
              </w:rPr>
            </w:pPr>
            <w:r>
              <w:rPr>
                <w:rFonts w:hint="eastAsia" w:ascii="宋体" w:hAnsi="宋体" w:cs="宋体"/>
                <w:color w:val="auto"/>
                <w:sz w:val="24"/>
                <w:highlight w:val="none"/>
              </w:rPr>
              <w:t>B2、18-25万越野车</w:t>
            </w:r>
          </w:p>
        </w:tc>
        <w:tc>
          <w:tcPr>
            <w:tcW w:w="1627" w:type="dxa"/>
            <w:vAlign w:val="center"/>
          </w:tcPr>
          <w:p w14:paraId="519CFA7D">
            <w:pPr>
              <w:pStyle w:val="77"/>
              <w:spacing w:before="91" w:line="219" w:lineRule="auto"/>
              <w:jc w:val="center"/>
              <w:rPr>
                <w:color w:val="auto"/>
                <w:highlight w:val="none"/>
                <w:lang w:eastAsia="zh-CN"/>
              </w:rPr>
            </w:pPr>
            <w:r>
              <w:rPr>
                <w:rFonts w:hint="eastAsia"/>
                <w:color w:val="auto"/>
                <w:szCs w:val="21"/>
                <w:highlight w:val="none"/>
              </w:rPr>
              <w:t>1.5L-2.5L（含）</w:t>
            </w:r>
          </w:p>
        </w:tc>
        <w:tc>
          <w:tcPr>
            <w:tcW w:w="1733" w:type="dxa"/>
            <w:vAlign w:val="center"/>
          </w:tcPr>
          <w:p w14:paraId="4C0956D2">
            <w:pPr>
              <w:pStyle w:val="77"/>
              <w:spacing w:before="151" w:line="184" w:lineRule="auto"/>
              <w:jc w:val="center"/>
              <w:rPr>
                <w:color w:val="auto"/>
                <w:highlight w:val="none"/>
                <w:lang w:eastAsia="zh-CN"/>
              </w:rPr>
            </w:pPr>
            <w:r>
              <w:rPr>
                <w:rFonts w:hint="eastAsia"/>
                <w:color w:val="auto"/>
                <w:highlight w:val="none"/>
                <w:lang w:eastAsia="zh-CN"/>
              </w:rPr>
              <w:t>650</w:t>
            </w:r>
            <w:r>
              <w:rPr>
                <w:rFonts w:hint="eastAsia"/>
                <w:snapToGrid w:val="0"/>
                <w:color w:val="auto"/>
                <w:kern w:val="0"/>
                <w:highlight w:val="none"/>
              </w:rPr>
              <w:t>元/天</w:t>
            </w:r>
          </w:p>
        </w:tc>
        <w:tc>
          <w:tcPr>
            <w:tcW w:w="2340" w:type="dxa"/>
            <w:tcBorders>
              <w:right w:val="single" w:color="auto" w:sz="4" w:space="0"/>
            </w:tcBorders>
          </w:tcPr>
          <w:p w14:paraId="4A4522D0">
            <w:pPr>
              <w:pStyle w:val="77"/>
              <w:spacing w:before="152" w:line="183" w:lineRule="auto"/>
              <w:ind w:left="388"/>
              <w:rPr>
                <w:color w:val="auto"/>
                <w:highlight w:val="none"/>
                <w:lang w:eastAsia="zh-CN"/>
              </w:rPr>
            </w:pPr>
          </w:p>
        </w:tc>
        <w:tc>
          <w:tcPr>
            <w:tcW w:w="1934" w:type="dxa"/>
            <w:tcBorders>
              <w:left w:val="single" w:color="auto" w:sz="4" w:space="0"/>
            </w:tcBorders>
          </w:tcPr>
          <w:p w14:paraId="59A09505">
            <w:pPr>
              <w:pStyle w:val="77"/>
              <w:spacing w:before="152" w:line="183" w:lineRule="auto"/>
              <w:ind w:left="388"/>
              <w:rPr>
                <w:color w:val="auto"/>
                <w:highlight w:val="none"/>
                <w:lang w:eastAsia="zh-CN"/>
              </w:rPr>
            </w:pPr>
          </w:p>
        </w:tc>
      </w:tr>
      <w:tr w14:paraId="7B680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077" w:type="dxa"/>
            <w:vAlign w:val="center"/>
          </w:tcPr>
          <w:p w14:paraId="1FC94DB1">
            <w:pPr>
              <w:jc w:val="center"/>
              <w:rPr>
                <w:rFonts w:ascii="宋体" w:hAnsi="宋体" w:cs="宋体"/>
                <w:color w:val="auto"/>
                <w:sz w:val="24"/>
                <w:highlight w:val="none"/>
              </w:rPr>
            </w:pPr>
            <w:r>
              <w:rPr>
                <w:rFonts w:hint="eastAsia" w:ascii="宋体" w:hAnsi="宋体" w:cs="宋体"/>
                <w:color w:val="auto"/>
                <w:sz w:val="24"/>
                <w:highlight w:val="none"/>
              </w:rPr>
              <w:t>C2、18-25万商务车</w:t>
            </w:r>
          </w:p>
        </w:tc>
        <w:tc>
          <w:tcPr>
            <w:tcW w:w="1627" w:type="dxa"/>
            <w:vAlign w:val="center"/>
          </w:tcPr>
          <w:p w14:paraId="59292ADA">
            <w:pPr>
              <w:pStyle w:val="77"/>
              <w:spacing w:before="91" w:line="219" w:lineRule="auto"/>
              <w:jc w:val="center"/>
              <w:rPr>
                <w:color w:val="auto"/>
                <w:highlight w:val="none"/>
                <w:lang w:eastAsia="zh-CN"/>
              </w:rPr>
            </w:pPr>
            <w:r>
              <w:rPr>
                <w:rFonts w:hint="eastAsia"/>
                <w:color w:val="auto"/>
                <w:szCs w:val="21"/>
                <w:highlight w:val="none"/>
              </w:rPr>
              <w:t>1.5L-2.5L</w:t>
            </w:r>
          </w:p>
        </w:tc>
        <w:tc>
          <w:tcPr>
            <w:tcW w:w="1733" w:type="dxa"/>
            <w:vAlign w:val="center"/>
          </w:tcPr>
          <w:p w14:paraId="27D00B7B">
            <w:pPr>
              <w:pStyle w:val="77"/>
              <w:spacing w:before="151" w:line="184" w:lineRule="auto"/>
              <w:jc w:val="center"/>
              <w:rPr>
                <w:color w:val="auto"/>
                <w:highlight w:val="none"/>
                <w:lang w:eastAsia="zh-CN"/>
              </w:rPr>
            </w:pPr>
            <w:r>
              <w:rPr>
                <w:rFonts w:hint="eastAsia"/>
                <w:color w:val="auto"/>
                <w:highlight w:val="none"/>
                <w:lang w:eastAsia="zh-CN"/>
              </w:rPr>
              <w:t>680</w:t>
            </w:r>
            <w:r>
              <w:rPr>
                <w:rFonts w:hint="eastAsia"/>
                <w:snapToGrid w:val="0"/>
                <w:color w:val="auto"/>
                <w:kern w:val="0"/>
                <w:highlight w:val="none"/>
              </w:rPr>
              <w:t>元/天</w:t>
            </w:r>
          </w:p>
        </w:tc>
        <w:tc>
          <w:tcPr>
            <w:tcW w:w="2340" w:type="dxa"/>
            <w:tcBorders>
              <w:right w:val="single" w:color="auto" w:sz="4" w:space="0"/>
            </w:tcBorders>
          </w:tcPr>
          <w:p w14:paraId="4EA47084">
            <w:pPr>
              <w:pStyle w:val="77"/>
              <w:spacing w:before="152" w:line="183" w:lineRule="auto"/>
              <w:ind w:left="388"/>
              <w:rPr>
                <w:color w:val="auto"/>
                <w:highlight w:val="none"/>
                <w:lang w:eastAsia="zh-CN"/>
              </w:rPr>
            </w:pPr>
          </w:p>
        </w:tc>
        <w:tc>
          <w:tcPr>
            <w:tcW w:w="1934" w:type="dxa"/>
            <w:tcBorders>
              <w:left w:val="single" w:color="auto" w:sz="4" w:space="0"/>
            </w:tcBorders>
          </w:tcPr>
          <w:p w14:paraId="50B1F073">
            <w:pPr>
              <w:pStyle w:val="77"/>
              <w:spacing w:before="152" w:line="183" w:lineRule="auto"/>
              <w:ind w:left="388"/>
              <w:rPr>
                <w:color w:val="auto"/>
                <w:highlight w:val="none"/>
                <w:lang w:eastAsia="zh-CN"/>
              </w:rPr>
            </w:pPr>
          </w:p>
        </w:tc>
      </w:tr>
      <w:tr w14:paraId="6530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5437" w:type="dxa"/>
            <w:gridSpan w:val="3"/>
            <w:vAlign w:val="center"/>
          </w:tcPr>
          <w:p w14:paraId="13CB6F7F">
            <w:pPr>
              <w:pStyle w:val="77"/>
              <w:spacing w:before="151" w:line="184" w:lineRule="auto"/>
              <w:ind w:firstLine="241" w:firstLineChars="100"/>
              <w:jc w:val="center"/>
              <w:rPr>
                <w:color w:val="auto"/>
                <w:highlight w:val="none"/>
                <w:lang w:eastAsia="zh-CN"/>
              </w:rPr>
            </w:pPr>
            <w:r>
              <w:rPr>
                <w:rFonts w:hint="eastAsia"/>
                <w:b/>
                <w:bCs/>
                <w:color w:val="auto"/>
                <w:highlight w:val="none"/>
                <w:lang w:eastAsia="zh-CN"/>
              </w:rPr>
              <w:t>磋商报价合计</w:t>
            </w:r>
          </w:p>
        </w:tc>
        <w:tc>
          <w:tcPr>
            <w:tcW w:w="2340" w:type="dxa"/>
            <w:tcBorders>
              <w:right w:val="single" w:color="auto" w:sz="4" w:space="0"/>
            </w:tcBorders>
          </w:tcPr>
          <w:p w14:paraId="4B4B0C28">
            <w:pPr>
              <w:pStyle w:val="77"/>
              <w:spacing w:before="152" w:line="183" w:lineRule="auto"/>
              <w:ind w:left="388"/>
              <w:rPr>
                <w:color w:val="auto"/>
                <w:highlight w:val="none"/>
                <w:lang w:eastAsia="zh-CN"/>
              </w:rPr>
            </w:pPr>
          </w:p>
        </w:tc>
        <w:tc>
          <w:tcPr>
            <w:tcW w:w="1934" w:type="dxa"/>
            <w:tcBorders>
              <w:left w:val="single" w:color="auto" w:sz="4" w:space="0"/>
            </w:tcBorders>
          </w:tcPr>
          <w:p w14:paraId="18611F7A">
            <w:pPr>
              <w:pStyle w:val="77"/>
              <w:spacing w:before="152" w:line="183" w:lineRule="auto"/>
              <w:ind w:left="388"/>
              <w:rPr>
                <w:color w:val="auto"/>
                <w:highlight w:val="none"/>
                <w:lang w:eastAsia="zh-CN"/>
              </w:rPr>
            </w:pPr>
          </w:p>
        </w:tc>
      </w:tr>
      <w:tr w14:paraId="29DB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711" w:type="dxa"/>
            <w:gridSpan w:val="5"/>
            <w:tcBorders>
              <w:top w:val="single" w:color="auto" w:sz="4" w:space="0"/>
            </w:tcBorders>
            <w:vAlign w:val="center"/>
          </w:tcPr>
          <w:p w14:paraId="00C36B47">
            <w:pPr>
              <w:pStyle w:val="77"/>
              <w:spacing w:before="152" w:line="183" w:lineRule="auto"/>
              <w:rPr>
                <w:color w:val="auto"/>
                <w:highlight w:val="none"/>
                <w:lang w:eastAsia="zh-CN"/>
              </w:rPr>
            </w:pPr>
            <w:r>
              <w:rPr>
                <w:rFonts w:hint="eastAsia"/>
                <w:b/>
                <w:bCs/>
                <w:color w:val="auto"/>
                <w:szCs w:val="21"/>
                <w:highlight w:val="none"/>
                <w:lang w:eastAsia="zh-CN"/>
              </w:rPr>
              <w:t>1、供应商</w:t>
            </w:r>
            <w:r>
              <w:rPr>
                <w:rFonts w:hint="eastAsia"/>
                <w:b/>
                <w:bCs/>
                <w:color w:val="auto"/>
                <w:szCs w:val="21"/>
                <w:highlight w:val="none"/>
              </w:rPr>
              <w:t>按</w:t>
            </w:r>
            <w:r>
              <w:rPr>
                <w:rFonts w:hint="eastAsia"/>
                <w:b/>
                <w:bCs/>
                <w:color w:val="auto"/>
                <w:szCs w:val="21"/>
                <w:highlight w:val="none"/>
                <w:lang w:eastAsia="zh-CN"/>
              </w:rPr>
              <w:t>单价</w:t>
            </w:r>
            <w:r>
              <w:rPr>
                <w:rFonts w:hint="eastAsia"/>
                <w:b/>
                <w:bCs/>
                <w:color w:val="auto"/>
                <w:szCs w:val="21"/>
                <w:highlight w:val="none"/>
              </w:rPr>
              <w:t>进行报价</w:t>
            </w:r>
            <w:r>
              <w:rPr>
                <w:rFonts w:hint="eastAsia"/>
                <w:b/>
                <w:bCs/>
                <w:color w:val="auto"/>
                <w:szCs w:val="21"/>
                <w:highlight w:val="none"/>
                <w:lang w:eastAsia="zh-CN"/>
              </w:rPr>
              <w:t>。</w:t>
            </w:r>
          </w:p>
        </w:tc>
      </w:tr>
      <w:tr w14:paraId="1770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711" w:type="dxa"/>
            <w:gridSpan w:val="5"/>
            <w:tcBorders>
              <w:bottom w:val="nil"/>
            </w:tcBorders>
            <w:vAlign w:val="center"/>
          </w:tcPr>
          <w:p w14:paraId="6A719E0E">
            <w:pPr>
              <w:pStyle w:val="68"/>
              <w:ind w:left="3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cs="宋体"/>
                <w:b/>
                <w:bCs/>
                <w:color w:val="auto"/>
                <w:sz w:val="24"/>
                <w:szCs w:val="24"/>
                <w:highlight w:val="none"/>
                <w:lang w:eastAsia="zh-CN"/>
              </w:rPr>
              <w:t>本报价</w:t>
            </w:r>
            <w:r>
              <w:rPr>
                <w:rFonts w:hint="eastAsia" w:ascii="宋体" w:hAnsi="宋体" w:cs="宋体"/>
                <w:color w:val="auto"/>
                <w:sz w:val="24"/>
                <w:szCs w:val="24"/>
                <w:highlight w:val="none"/>
                <w:lang w:eastAsia="zh-CN"/>
              </w:rPr>
              <w:t>含保险，车辆保养费，3%增值税。配驾司机住宿费用由采购人负责。</w:t>
            </w:r>
          </w:p>
        </w:tc>
      </w:tr>
      <w:tr w14:paraId="1B13D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711" w:type="dxa"/>
            <w:gridSpan w:val="5"/>
            <w:vAlign w:val="center"/>
          </w:tcPr>
          <w:p w14:paraId="15F214CE">
            <w:pPr>
              <w:pStyle w:val="68"/>
              <w:ind w:left="3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3、以上日租报价不含油费、路费、停车费，如有需要成交供应商帮代垫付，结束用车后凭票据向采购人报销。</w:t>
            </w:r>
          </w:p>
        </w:tc>
      </w:tr>
      <w:tr w14:paraId="4FEC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711" w:type="dxa"/>
            <w:gridSpan w:val="5"/>
            <w:vAlign w:val="center"/>
          </w:tcPr>
          <w:p w14:paraId="6FB5E91F">
            <w:pPr>
              <w:pStyle w:val="68"/>
              <w:ind w:left="3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4、报价一年内按以上价格执行，租赁车辆不再另行询价。</w:t>
            </w:r>
          </w:p>
        </w:tc>
      </w:tr>
      <w:tr w14:paraId="01CDB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11" w:type="dxa"/>
            <w:gridSpan w:val="5"/>
            <w:vAlign w:val="center"/>
          </w:tcPr>
          <w:p w14:paraId="3DDC758E">
            <w:pPr>
              <w:pStyle w:val="68"/>
              <w:ind w:left="3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5、租用车的车龄不超过3年（含3年）。</w:t>
            </w:r>
          </w:p>
        </w:tc>
      </w:tr>
      <w:tr w14:paraId="35817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711" w:type="dxa"/>
            <w:gridSpan w:val="5"/>
            <w:vAlign w:val="center"/>
          </w:tcPr>
          <w:p w14:paraId="21F4FAF4">
            <w:pPr>
              <w:pStyle w:val="68"/>
              <w:ind w:left="3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6、交车时间按用车需求提前15分钟送达到位，如交车迟到，按超时不足一小时扣除日租金30％，超时一小时以上扣日租金50％。</w:t>
            </w:r>
          </w:p>
        </w:tc>
      </w:tr>
      <w:tr w14:paraId="18FD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711" w:type="dxa"/>
            <w:gridSpan w:val="5"/>
            <w:vAlign w:val="center"/>
          </w:tcPr>
          <w:p w14:paraId="12E1B744">
            <w:pPr>
              <w:pStyle w:val="68"/>
              <w:ind w:left="3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7、交车时，车辆必须外观干净，车内整洁，车况完好，车辆配件齐全，油料加满，保险手续齐全。如有一条不符合规定，扣除日租金30％。</w:t>
            </w:r>
          </w:p>
        </w:tc>
      </w:tr>
      <w:tr w14:paraId="37AED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711" w:type="dxa"/>
            <w:gridSpan w:val="5"/>
            <w:vAlign w:val="center"/>
          </w:tcPr>
          <w:p w14:paraId="44E7F405">
            <w:pPr>
              <w:pStyle w:val="68"/>
              <w:ind w:left="3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8、</w:t>
            </w:r>
            <w:r>
              <w:rPr>
                <w:rFonts w:hint="eastAsia" w:ascii="宋体" w:hAnsi="宋体" w:cs="宋体"/>
                <w:color w:val="auto"/>
                <w:sz w:val="24"/>
                <w:szCs w:val="24"/>
                <w:highlight w:val="none"/>
                <w:lang w:val="en-US" w:eastAsia="zh-CN"/>
              </w:rPr>
              <w:t>不包含司机的租赁车辆价格=</w:t>
            </w:r>
            <w:r>
              <w:rPr>
                <w:rFonts w:hint="eastAsia" w:ascii="宋体" w:hAnsi="宋体" w:cs="宋体"/>
                <w:color w:val="auto"/>
                <w:sz w:val="24"/>
                <w:szCs w:val="24"/>
                <w:highlight w:val="none"/>
                <w:lang w:eastAsia="zh-CN"/>
              </w:rPr>
              <w:t>磋商报价（元/天,含司机）</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备注(其中司机工资元/天)</w:t>
            </w:r>
          </w:p>
        </w:tc>
      </w:tr>
    </w:tbl>
    <w:p w14:paraId="54B3E326">
      <w:pPr>
        <w:spacing w:line="360" w:lineRule="auto"/>
        <w:ind w:right="-817" w:rightChars="-389" w:firstLine="960" w:firstLineChars="400"/>
        <w:contextualSpacing/>
        <w:jc w:val="center"/>
        <w:rPr>
          <w:rFonts w:ascii="宋体" w:hAnsi="宋体" w:cs="仿宋_GB2312"/>
          <w:color w:val="auto"/>
          <w:sz w:val="24"/>
          <w:highlight w:val="none"/>
        </w:rPr>
      </w:pPr>
    </w:p>
    <w:p w14:paraId="34CC24EE">
      <w:pPr>
        <w:spacing w:line="360" w:lineRule="auto"/>
        <w:ind w:right="-817" w:rightChars="-389" w:firstLine="960" w:firstLineChars="4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5F7E993A">
      <w:pPr>
        <w:spacing w:line="360" w:lineRule="auto"/>
        <w:ind w:right="-817" w:rightChars="-389" w:firstLine="2640" w:firstLineChars="11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162EFC24">
      <w:pPr>
        <w:spacing w:line="360" w:lineRule="auto"/>
        <w:ind w:right="-817" w:rightChars="-389" w:firstLine="4800" w:firstLineChars="2000"/>
        <w:contextualSpacing/>
        <w:rPr>
          <w:color w:val="auto"/>
          <w:highlight w:val="none"/>
        </w:rPr>
      </w:pPr>
      <w:r>
        <w:rPr>
          <w:rFonts w:hint="eastAsia" w:ascii="宋体" w:hAnsi="宋体" w:cs="仿宋_GB2312"/>
          <w:color w:val="auto"/>
          <w:sz w:val="24"/>
          <w:highlight w:val="none"/>
        </w:rPr>
        <w:t>日期：   年   月   日</w:t>
      </w:r>
    </w:p>
    <w:p w14:paraId="41D0D0F1">
      <w:pPr>
        <w:rPr>
          <w:color w:val="auto"/>
          <w:highlight w:val="none"/>
        </w:rPr>
      </w:pPr>
    </w:p>
    <w:p w14:paraId="4B82DACB">
      <w:pPr>
        <w:rPr>
          <w:color w:val="auto"/>
          <w:highlight w:val="none"/>
        </w:rPr>
      </w:pPr>
    </w:p>
    <w:p w14:paraId="5E5A4FAE">
      <w:pPr>
        <w:rPr>
          <w:color w:val="auto"/>
          <w:highlight w:val="none"/>
        </w:rPr>
      </w:pPr>
    </w:p>
    <w:p w14:paraId="17CF3E67">
      <w:pPr>
        <w:rPr>
          <w:color w:val="auto"/>
          <w:highlight w:val="none"/>
        </w:rPr>
      </w:pPr>
    </w:p>
    <w:p w14:paraId="18D67B10">
      <w:pPr>
        <w:rPr>
          <w:rFonts w:ascii="宋体" w:hAnsi="宋体" w:cs="仿宋_GB2312"/>
          <w:color w:val="auto"/>
          <w:sz w:val="24"/>
          <w:highlight w:val="none"/>
        </w:rPr>
      </w:pPr>
    </w:p>
    <w:p w14:paraId="7E4006B6">
      <w:pPr>
        <w:spacing w:line="360" w:lineRule="auto"/>
        <w:ind w:right="-817" w:rightChars="-389"/>
        <w:contextualSpacing/>
        <w:jc w:val="center"/>
        <w:rPr>
          <w:rFonts w:ascii="方正小标宋简体" w:hAnsi="方正小标宋简体" w:eastAsia="方正小标宋简体" w:cs="方正小标宋简体"/>
          <w:bCs/>
          <w:color w:val="auto"/>
          <w:sz w:val="44"/>
          <w:szCs w:val="44"/>
          <w:highlight w:val="none"/>
        </w:rPr>
      </w:pPr>
    </w:p>
    <w:p w14:paraId="6F94D1D5">
      <w:pPr>
        <w:spacing w:line="360" w:lineRule="auto"/>
        <w:ind w:right="-817" w:rightChars="-389"/>
        <w:contextualSpacing/>
        <w:jc w:val="center"/>
        <w:rPr>
          <w:rFonts w:ascii="宋体" w:hAnsi="宋体" w:eastAsia="方正小标宋简体" w:cs="仿宋_GB2312"/>
          <w:b/>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磋商报价明细表2（大车）</w:t>
      </w:r>
    </w:p>
    <w:p w14:paraId="28BDFA45">
      <w:pPr>
        <w:spacing w:line="360" w:lineRule="auto"/>
        <w:contextualSpacing/>
        <w:rPr>
          <w:rFonts w:ascii="宋体" w:hAnsi="宋体" w:cs="仿宋_GB2312"/>
          <w:color w:val="auto"/>
          <w:sz w:val="24"/>
          <w:highlight w:val="none"/>
        </w:rPr>
      </w:pPr>
    </w:p>
    <w:p w14:paraId="13743492">
      <w:pPr>
        <w:spacing w:line="360" w:lineRule="auto"/>
        <w:ind w:firstLine="480" w:firstLineChars="200"/>
        <w:contextualSpacing/>
        <w:rPr>
          <w:rFonts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p w14:paraId="3F6F65A5">
      <w:pPr>
        <w:spacing w:line="360" w:lineRule="auto"/>
        <w:ind w:firstLine="480" w:firstLineChars="200"/>
        <w:contextualSpacing/>
        <w:rPr>
          <w:color w:val="auto"/>
          <w:szCs w:val="21"/>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30"/>
        <w:tblW w:w="98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5"/>
        <w:gridCol w:w="1461"/>
        <w:gridCol w:w="4365"/>
        <w:gridCol w:w="2595"/>
      </w:tblGrid>
      <w:tr w14:paraId="46E87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95" w:type="dxa"/>
            <w:vAlign w:val="center"/>
          </w:tcPr>
          <w:p w14:paraId="53568CAE">
            <w:pPr>
              <w:jc w:val="center"/>
              <w:rPr>
                <w:rFonts w:ascii="宋体" w:hAnsi="宋体" w:cs="宋体"/>
                <w:b/>
                <w:bCs/>
                <w:color w:val="auto"/>
                <w:highlight w:val="none"/>
              </w:rPr>
            </w:pPr>
            <w:r>
              <w:rPr>
                <w:rFonts w:hint="eastAsia" w:ascii="宋体" w:hAnsi="宋体" w:cs="宋体"/>
                <w:b/>
                <w:bCs/>
                <w:color w:val="auto"/>
                <w:highlight w:val="none"/>
              </w:rPr>
              <w:t>车型级别</w:t>
            </w:r>
          </w:p>
        </w:tc>
        <w:tc>
          <w:tcPr>
            <w:tcW w:w="1461" w:type="dxa"/>
            <w:vAlign w:val="center"/>
          </w:tcPr>
          <w:p w14:paraId="2489BA38">
            <w:pPr>
              <w:jc w:val="center"/>
              <w:rPr>
                <w:rFonts w:ascii="宋体" w:hAnsi="宋体" w:cs="宋体"/>
                <w:b/>
                <w:bCs/>
                <w:color w:val="auto"/>
                <w:highlight w:val="none"/>
              </w:rPr>
            </w:pPr>
            <w:r>
              <w:rPr>
                <w:rFonts w:hint="eastAsia" w:ascii="宋体" w:hAnsi="宋体" w:cs="宋体"/>
                <w:b/>
                <w:bCs/>
                <w:color w:val="auto"/>
                <w:highlight w:val="none"/>
              </w:rPr>
              <w:t>里程</w:t>
            </w:r>
          </w:p>
        </w:tc>
        <w:tc>
          <w:tcPr>
            <w:tcW w:w="4365" w:type="dxa"/>
            <w:vAlign w:val="center"/>
          </w:tcPr>
          <w:p w14:paraId="68673AF7">
            <w:pPr>
              <w:jc w:val="center"/>
              <w:rPr>
                <w:rFonts w:ascii="宋体" w:hAnsi="宋体" w:cs="宋体"/>
                <w:b/>
                <w:bCs/>
                <w:color w:val="auto"/>
                <w:highlight w:val="none"/>
              </w:rPr>
            </w:pPr>
            <w:r>
              <w:rPr>
                <w:rFonts w:hint="eastAsia" w:ascii="宋体" w:hAnsi="宋体" w:cs="宋体"/>
                <w:b/>
                <w:bCs/>
                <w:color w:val="auto"/>
                <w:highlight w:val="none"/>
              </w:rPr>
              <w:t>上控价（元/趟,包含司机）</w:t>
            </w:r>
          </w:p>
        </w:tc>
        <w:tc>
          <w:tcPr>
            <w:tcW w:w="2595" w:type="dxa"/>
            <w:vAlign w:val="center"/>
          </w:tcPr>
          <w:p w14:paraId="58FC6E18">
            <w:pPr>
              <w:jc w:val="center"/>
              <w:rPr>
                <w:rFonts w:ascii="宋体" w:hAnsi="宋体" w:cs="宋体"/>
                <w:b/>
                <w:bCs/>
                <w:color w:val="auto"/>
                <w:highlight w:val="none"/>
              </w:rPr>
            </w:pPr>
            <w:r>
              <w:rPr>
                <w:rFonts w:hint="eastAsia" w:ascii="宋体" w:hAnsi="宋体" w:cs="宋体"/>
                <w:b/>
                <w:bCs/>
                <w:color w:val="auto"/>
                <w:highlight w:val="none"/>
              </w:rPr>
              <w:t>磋商报价（元/趟,包含司机）</w:t>
            </w:r>
          </w:p>
        </w:tc>
      </w:tr>
      <w:tr w14:paraId="42D1D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395" w:type="dxa"/>
            <w:vAlign w:val="center"/>
          </w:tcPr>
          <w:p w14:paraId="46C5BB0F">
            <w:pPr>
              <w:jc w:val="center"/>
              <w:rPr>
                <w:color w:val="auto"/>
                <w:highlight w:val="none"/>
              </w:rPr>
            </w:pPr>
            <w:r>
              <w:rPr>
                <w:rFonts w:hint="eastAsia"/>
                <w:color w:val="auto"/>
                <w:highlight w:val="none"/>
              </w:rPr>
              <w:t>I、9-19座</w:t>
            </w:r>
          </w:p>
        </w:tc>
        <w:tc>
          <w:tcPr>
            <w:tcW w:w="1461" w:type="dxa"/>
            <w:vAlign w:val="center"/>
          </w:tcPr>
          <w:p w14:paraId="7D1A0F55">
            <w:pPr>
              <w:pStyle w:val="77"/>
              <w:spacing w:before="91" w:line="219" w:lineRule="auto"/>
              <w:jc w:val="center"/>
              <w:rPr>
                <w:rFonts w:ascii="Times New Roman" w:hAnsi="Times New Roman" w:cs="Times New Roman"/>
                <w:color w:val="auto"/>
                <w:sz w:val="21"/>
                <w:highlight w:val="none"/>
                <w:lang w:eastAsia="zh-CN"/>
              </w:rPr>
            </w:pPr>
            <w:r>
              <w:rPr>
                <w:rFonts w:hint="eastAsia" w:ascii="Times New Roman" w:hAnsi="Times New Roman" w:cs="Times New Roman"/>
                <w:color w:val="auto"/>
                <w:sz w:val="21"/>
                <w:highlight w:val="none"/>
                <w:lang w:eastAsia="zh-CN"/>
              </w:rPr>
              <w:t>广西区内（1500公里以内）</w:t>
            </w:r>
          </w:p>
        </w:tc>
        <w:tc>
          <w:tcPr>
            <w:tcW w:w="4365" w:type="dxa"/>
            <w:vAlign w:val="center"/>
          </w:tcPr>
          <w:p w14:paraId="0D909937">
            <w:pPr>
              <w:spacing w:before="151" w:line="184" w:lineRule="auto"/>
              <w:ind w:firstLine="240" w:firstLineChars="10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1100元</w:t>
            </w:r>
          </w:p>
        </w:tc>
        <w:tc>
          <w:tcPr>
            <w:tcW w:w="2595" w:type="dxa"/>
            <w:vAlign w:val="center"/>
          </w:tcPr>
          <w:p w14:paraId="72929BD4">
            <w:pPr>
              <w:pStyle w:val="77"/>
              <w:spacing w:before="152" w:line="183" w:lineRule="auto"/>
              <w:ind w:left="388"/>
              <w:jc w:val="center"/>
              <w:rPr>
                <w:color w:val="auto"/>
                <w:highlight w:val="none"/>
                <w:lang w:eastAsia="zh-CN"/>
              </w:rPr>
            </w:pPr>
          </w:p>
        </w:tc>
      </w:tr>
      <w:tr w14:paraId="0C10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395" w:type="dxa"/>
            <w:vAlign w:val="center"/>
          </w:tcPr>
          <w:p w14:paraId="66F4076A">
            <w:pPr>
              <w:jc w:val="center"/>
              <w:rPr>
                <w:color w:val="auto"/>
                <w:highlight w:val="none"/>
              </w:rPr>
            </w:pPr>
            <w:r>
              <w:rPr>
                <w:rFonts w:hint="eastAsia"/>
                <w:color w:val="auto"/>
                <w:highlight w:val="none"/>
              </w:rPr>
              <w:t>J、20座以上</w:t>
            </w:r>
          </w:p>
        </w:tc>
        <w:tc>
          <w:tcPr>
            <w:tcW w:w="1461" w:type="dxa"/>
            <w:vAlign w:val="center"/>
          </w:tcPr>
          <w:p w14:paraId="75F0DE91">
            <w:pPr>
              <w:pStyle w:val="77"/>
              <w:spacing w:before="91" w:line="219" w:lineRule="auto"/>
              <w:jc w:val="center"/>
              <w:rPr>
                <w:rFonts w:ascii="Times New Roman" w:hAnsi="Times New Roman" w:cs="Times New Roman"/>
                <w:color w:val="auto"/>
                <w:sz w:val="21"/>
                <w:highlight w:val="none"/>
                <w:lang w:eastAsia="zh-CN"/>
              </w:rPr>
            </w:pPr>
            <w:r>
              <w:rPr>
                <w:rFonts w:hint="eastAsia" w:ascii="Times New Roman" w:hAnsi="Times New Roman" w:cs="Times New Roman"/>
                <w:color w:val="auto"/>
                <w:sz w:val="21"/>
                <w:highlight w:val="none"/>
                <w:lang w:eastAsia="zh-CN"/>
              </w:rPr>
              <w:t>广西区内（1500公里以内）</w:t>
            </w:r>
          </w:p>
        </w:tc>
        <w:tc>
          <w:tcPr>
            <w:tcW w:w="4365" w:type="dxa"/>
            <w:vAlign w:val="center"/>
          </w:tcPr>
          <w:p w14:paraId="2140B296">
            <w:pPr>
              <w:spacing w:before="151" w:line="184" w:lineRule="auto"/>
              <w:ind w:firstLine="240" w:firstLineChars="100"/>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1300元</w:t>
            </w:r>
          </w:p>
        </w:tc>
        <w:tc>
          <w:tcPr>
            <w:tcW w:w="2595" w:type="dxa"/>
            <w:vAlign w:val="center"/>
          </w:tcPr>
          <w:p w14:paraId="2BCA95DC">
            <w:pPr>
              <w:pStyle w:val="77"/>
              <w:spacing w:before="152" w:line="183" w:lineRule="auto"/>
              <w:ind w:left="388"/>
              <w:jc w:val="center"/>
              <w:rPr>
                <w:color w:val="auto"/>
                <w:highlight w:val="none"/>
                <w:lang w:eastAsia="zh-CN"/>
              </w:rPr>
            </w:pPr>
          </w:p>
        </w:tc>
      </w:tr>
      <w:tr w14:paraId="18FD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7221" w:type="dxa"/>
            <w:gridSpan w:val="3"/>
            <w:vAlign w:val="center"/>
          </w:tcPr>
          <w:p w14:paraId="652A2C83">
            <w:pPr>
              <w:pStyle w:val="77"/>
              <w:spacing w:before="91" w:line="219" w:lineRule="auto"/>
              <w:rPr>
                <w:snapToGrid w:val="0"/>
                <w:color w:val="auto"/>
                <w:kern w:val="0"/>
                <w:highlight w:val="none"/>
                <w:lang w:eastAsia="zh-CN"/>
              </w:rPr>
            </w:pPr>
            <w:r>
              <w:rPr>
                <w:rFonts w:hint="eastAsia"/>
                <w:b/>
                <w:bCs/>
                <w:color w:val="auto"/>
                <w:sz w:val="28"/>
                <w:szCs w:val="28"/>
                <w:highlight w:val="none"/>
              </w:rPr>
              <w:t>磋商报价（包含司机）合计</w:t>
            </w:r>
          </w:p>
        </w:tc>
        <w:tc>
          <w:tcPr>
            <w:tcW w:w="2595" w:type="dxa"/>
          </w:tcPr>
          <w:p w14:paraId="053020D1">
            <w:pPr>
              <w:pStyle w:val="77"/>
              <w:spacing w:before="152" w:line="183" w:lineRule="auto"/>
              <w:ind w:left="388"/>
              <w:rPr>
                <w:color w:val="auto"/>
                <w:highlight w:val="none"/>
                <w:lang w:eastAsia="zh-CN"/>
              </w:rPr>
            </w:pPr>
          </w:p>
        </w:tc>
      </w:tr>
      <w:tr w14:paraId="706FA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9816" w:type="dxa"/>
            <w:gridSpan w:val="4"/>
            <w:vAlign w:val="center"/>
          </w:tcPr>
          <w:p w14:paraId="5ED62E2F">
            <w:pPr>
              <w:pStyle w:val="77"/>
              <w:spacing w:before="91" w:line="219" w:lineRule="auto"/>
              <w:rPr>
                <w:color w:val="auto"/>
                <w:highlight w:val="none"/>
                <w:lang w:eastAsia="zh-CN"/>
              </w:rPr>
            </w:pPr>
            <w:r>
              <w:rPr>
                <w:rFonts w:hint="eastAsia"/>
                <w:b/>
                <w:bCs/>
                <w:color w:val="auto"/>
                <w:sz w:val="21"/>
                <w:szCs w:val="21"/>
                <w:highlight w:val="none"/>
                <w:lang w:eastAsia="zh-CN"/>
              </w:rPr>
              <w:t>1、供应商按单价进行报价。</w:t>
            </w:r>
          </w:p>
        </w:tc>
      </w:tr>
      <w:tr w14:paraId="62A0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816" w:type="dxa"/>
            <w:gridSpan w:val="4"/>
            <w:tcBorders>
              <w:bottom w:val="nil"/>
            </w:tcBorders>
            <w:vAlign w:val="center"/>
          </w:tcPr>
          <w:p w14:paraId="5680D712">
            <w:pPr>
              <w:pStyle w:val="68"/>
              <w:ind w:left="30"/>
              <w:rPr>
                <w:rFonts w:hint="eastAsia"/>
                <w:color w:val="auto"/>
                <w:sz w:val="21"/>
                <w:szCs w:val="32"/>
                <w:highlight w:val="none"/>
                <w:lang w:eastAsia="zh-CN"/>
              </w:rPr>
            </w:pPr>
            <w:r>
              <w:rPr>
                <w:rFonts w:hint="eastAsia"/>
                <w:color w:val="auto"/>
                <w:sz w:val="21"/>
                <w:szCs w:val="32"/>
                <w:highlight w:val="none"/>
                <w:lang w:eastAsia="zh-CN"/>
              </w:rPr>
              <w:t>2、本报价含司机餐费，保险，车辆保养费，3%增值税。住宿费用由采购人负责。</w:t>
            </w:r>
          </w:p>
        </w:tc>
      </w:tr>
      <w:tr w14:paraId="26E3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816" w:type="dxa"/>
            <w:gridSpan w:val="4"/>
            <w:tcBorders>
              <w:bottom w:val="nil"/>
            </w:tcBorders>
            <w:vAlign w:val="center"/>
          </w:tcPr>
          <w:p w14:paraId="33276325">
            <w:pPr>
              <w:pStyle w:val="68"/>
              <w:ind w:left="30"/>
              <w:rPr>
                <w:rFonts w:hint="eastAsia"/>
                <w:color w:val="auto"/>
                <w:sz w:val="21"/>
                <w:szCs w:val="32"/>
                <w:highlight w:val="none"/>
                <w:lang w:eastAsia="zh-CN"/>
              </w:rPr>
            </w:pPr>
            <w:r>
              <w:rPr>
                <w:rFonts w:hint="eastAsia"/>
                <w:color w:val="auto"/>
                <w:sz w:val="21"/>
                <w:szCs w:val="32"/>
                <w:highlight w:val="none"/>
                <w:lang w:eastAsia="zh-CN"/>
              </w:rPr>
              <w:t>3、本报价不含油费、路费、停车费，如有需要成交供应商帮代垫付，结束用车后凭票据向采购人报销。</w:t>
            </w:r>
          </w:p>
        </w:tc>
      </w:tr>
      <w:tr w14:paraId="3668F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816" w:type="dxa"/>
            <w:gridSpan w:val="4"/>
            <w:vAlign w:val="center"/>
          </w:tcPr>
          <w:p w14:paraId="79C10C93">
            <w:pPr>
              <w:pStyle w:val="68"/>
              <w:ind w:left="30"/>
              <w:rPr>
                <w:color w:val="auto"/>
                <w:sz w:val="21"/>
                <w:szCs w:val="32"/>
                <w:highlight w:val="none"/>
                <w:lang w:eastAsia="zh-CN"/>
              </w:rPr>
            </w:pPr>
            <w:r>
              <w:rPr>
                <w:rFonts w:hint="eastAsia"/>
                <w:color w:val="auto"/>
                <w:sz w:val="21"/>
                <w:szCs w:val="32"/>
                <w:highlight w:val="none"/>
                <w:lang w:eastAsia="zh-CN"/>
              </w:rPr>
              <w:t>4</w:t>
            </w:r>
            <w:r>
              <w:rPr>
                <w:color w:val="auto"/>
                <w:sz w:val="21"/>
                <w:szCs w:val="32"/>
                <w:highlight w:val="none"/>
                <w:lang w:eastAsia="zh-CN"/>
              </w:rPr>
              <w:t>、</w:t>
            </w:r>
            <w:r>
              <w:rPr>
                <w:rFonts w:hint="eastAsia"/>
                <w:color w:val="auto"/>
                <w:sz w:val="21"/>
                <w:szCs w:val="32"/>
                <w:highlight w:val="none"/>
                <w:lang w:eastAsia="zh-CN"/>
              </w:rPr>
              <w:t>租用车的车龄不超过5年（含5年）</w:t>
            </w:r>
            <w:r>
              <w:rPr>
                <w:rFonts w:hint="eastAsia" w:ascii="宋体" w:hAnsi="宋体" w:cs="宋体"/>
                <w:color w:val="auto"/>
                <w:sz w:val="24"/>
                <w:szCs w:val="24"/>
                <w:highlight w:val="none"/>
                <w:lang w:eastAsia="zh-CN"/>
              </w:rPr>
              <w:t>。</w:t>
            </w:r>
          </w:p>
        </w:tc>
      </w:tr>
    </w:tbl>
    <w:p w14:paraId="4448B0F3">
      <w:pPr>
        <w:spacing w:line="360" w:lineRule="auto"/>
        <w:ind w:right="-817" w:rightChars="-389" w:firstLine="960" w:firstLineChars="4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53C66C05">
      <w:pPr>
        <w:spacing w:line="360" w:lineRule="auto"/>
        <w:ind w:right="-817" w:rightChars="-389" w:firstLine="960" w:firstLineChars="400"/>
        <w:contextualSpacing/>
        <w:jc w:val="center"/>
        <w:rPr>
          <w:rFonts w:ascii="宋体" w:hAnsi="宋体" w:cs="仿宋_GB2312"/>
          <w:color w:val="auto"/>
          <w:sz w:val="24"/>
          <w:highlight w:val="none"/>
        </w:rPr>
      </w:pPr>
      <w:bookmarkStart w:id="146" w:name="_GoBack"/>
      <w:bookmarkEnd w:id="146"/>
      <w:r>
        <w:rPr>
          <w:rFonts w:hint="eastAsia" w:ascii="宋体" w:hAnsi="宋体" w:cs="仿宋_GB2312"/>
          <w:color w:val="auto"/>
          <w:sz w:val="24"/>
          <w:highlight w:val="none"/>
        </w:rPr>
        <w:t xml:space="preserve">                          法定代表人或者委托代理人（签字）：                    </w:t>
      </w:r>
    </w:p>
    <w:p w14:paraId="67893744">
      <w:pPr>
        <w:spacing w:line="360" w:lineRule="auto"/>
        <w:ind w:right="-817" w:rightChars="-389" w:firstLine="5280" w:firstLineChars="2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709A683F">
      <w:pPr>
        <w:spacing w:line="360" w:lineRule="auto"/>
        <w:ind w:right="-817" w:rightChars="-389" w:firstLine="5280" w:firstLineChars="2200"/>
        <w:contextualSpacing/>
        <w:rPr>
          <w:color w:val="auto"/>
          <w:highlight w:val="none"/>
        </w:rPr>
      </w:pPr>
      <w:r>
        <w:rPr>
          <w:rFonts w:hint="eastAsia" w:ascii="宋体" w:hAnsi="宋体" w:cs="仿宋_GB2312"/>
          <w:color w:val="auto"/>
          <w:sz w:val="24"/>
          <w:highlight w:val="none"/>
        </w:rPr>
        <w:t>日期：   年   月   日</w:t>
      </w:r>
    </w:p>
    <w:p w14:paraId="1710C6BC">
      <w:pPr>
        <w:spacing w:beforeLines="100" w:afterLines="50" w:line="520" w:lineRule="exact"/>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Cs/>
          <w:color w:val="auto"/>
          <w:sz w:val="44"/>
          <w:szCs w:val="44"/>
          <w:highlight w:val="none"/>
        </w:rPr>
        <w:t>法定代表人身份证明</w:t>
      </w:r>
    </w:p>
    <w:p w14:paraId="6A819054">
      <w:pPr>
        <w:spacing w:line="360" w:lineRule="auto"/>
        <w:ind w:left="540"/>
        <w:contextualSpacing/>
        <w:rPr>
          <w:rFonts w:ascii="宋体" w:hAnsi="宋体" w:cs="宋体"/>
          <w:color w:val="auto"/>
          <w:sz w:val="32"/>
          <w:szCs w:val="32"/>
          <w:highlight w:val="none"/>
        </w:rPr>
      </w:pPr>
    </w:p>
    <w:p w14:paraId="057F5BA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00B0E2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5861F4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01E44CD">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113909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8A223D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007BE1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0DE913CD">
      <w:pPr>
        <w:spacing w:line="360" w:lineRule="auto"/>
        <w:ind w:left="540"/>
        <w:contextualSpacing/>
        <w:rPr>
          <w:rFonts w:ascii="宋体" w:hAnsi="宋体" w:cs="宋体"/>
          <w:color w:val="auto"/>
          <w:sz w:val="24"/>
          <w:highlight w:val="none"/>
        </w:rPr>
      </w:pPr>
    </w:p>
    <w:p w14:paraId="1A1217D4">
      <w:pPr>
        <w:spacing w:line="360" w:lineRule="auto"/>
        <w:ind w:left="540"/>
        <w:contextualSpacing/>
        <w:rPr>
          <w:rFonts w:ascii="宋体" w:hAnsi="宋体" w:cs="宋体"/>
          <w:color w:val="auto"/>
          <w:sz w:val="24"/>
          <w:highlight w:val="none"/>
        </w:rPr>
      </w:pPr>
    </w:p>
    <w:p w14:paraId="503B5F49">
      <w:pPr>
        <w:spacing w:line="360" w:lineRule="auto"/>
        <w:ind w:left="540"/>
        <w:contextualSpacing/>
        <w:rPr>
          <w:rFonts w:ascii="宋体" w:hAnsi="宋体" w:cs="宋体"/>
          <w:color w:val="auto"/>
          <w:sz w:val="24"/>
          <w:highlight w:val="none"/>
        </w:rPr>
      </w:pPr>
    </w:p>
    <w:p w14:paraId="2B36A31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0F2F9C5">
      <w:pPr>
        <w:spacing w:line="360" w:lineRule="auto"/>
        <w:ind w:left="540"/>
        <w:contextualSpacing/>
        <w:rPr>
          <w:rFonts w:ascii="宋体" w:hAnsi="宋体" w:cs="宋体"/>
          <w:color w:val="auto"/>
          <w:sz w:val="24"/>
          <w:highlight w:val="none"/>
        </w:rPr>
      </w:pPr>
    </w:p>
    <w:p w14:paraId="58793E00">
      <w:pPr>
        <w:spacing w:line="360" w:lineRule="auto"/>
        <w:ind w:left="54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供应商（盖公章）：</w:t>
      </w:r>
      <w:r>
        <w:rPr>
          <w:rFonts w:hint="eastAsia" w:ascii="宋体" w:hAnsi="宋体" w:cs="宋体"/>
          <w:color w:val="auto"/>
          <w:sz w:val="24"/>
          <w:highlight w:val="none"/>
          <w:u w:val="single"/>
        </w:rPr>
        <w:t xml:space="preserve">               </w:t>
      </w:r>
    </w:p>
    <w:p w14:paraId="25A36F1C">
      <w:pPr>
        <w:spacing w:line="360" w:lineRule="auto"/>
        <w:ind w:firstLine="6960" w:firstLineChars="29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EF965BA">
      <w:pPr>
        <w:spacing w:line="360" w:lineRule="auto"/>
        <w:contextualSpacing/>
        <w:jc w:val="center"/>
        <w:rPr>
          <w:rFonts w:ascii="宋体" w:hAnsi="宋体" w:cs="宋体"/>
          <w:b/>
          <w:color w:val="auto"/>
          <w:sz w:val="24"/>
          <w:highlight w:val="none"/>
        </w:rPr>
      </w:pPr>
    </w:p>
    <w:p w14:paraId="324B40DE">
      <w:pPr>
        <w:spacing w:line="360" w:lineRule="auto"/>
        <w:contextualSpacing/>
        <w:jc w:val="left"/>
        <w:rPr>
          <w:rFonts w:ascii="宋体" w:hAnsi="宋体" w:cs="宋体"/>
          <w:color w:val="auto"/>
          <w:sz w:val="24"/>
          <w:highlight w:val="none"/>
        </w:rPr>
      </w:pPr>
    </w:p>
    <w:p w14:paraId="3D4894E0">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56EBE63C">
      <w:pPr>
        <w:adjustRightInd w:val="0"/>
        <w:snapToGrid w:val="0"/>
        <w:spacing w:line="300" w:lineRule="auto"/>
        <w:jc w:val="left"/>
        <w:rPr>
          <w:rFonts w:ascii="宋体" w:hAnsi="宋体" w:cs="宋体"/>
          <w:b/>
          <w:color w:val="auto"/>
          <w:szCs w:val="21"/>
          <w:highlight w:val="none"/>
        </w:rPr>
      </w:pPr>
    </w:p>
    <w:p w14:paraId="1F76C3FE">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716FD77E">
      <w:pPr>
        <w:spacing w:line="520" w:lineRule="exact"/>
        <w:jc w:val="center"/>
        <w:rPr>
          <w:rFonts w:ascii="宋体" w:hAnsi="宋体" w:cs="宋体"/>
          <w:color w:val="auto"/>
          <w:sz w:val="44"/>
          <w:szCs w:val="44"/>
          <w:highlight w:val="none"/>
        </w:rPr>
      </w:pPr>
      <w:bookmarkStart w:id="51" w:name="_Hlk65853643"/>
      <w:r>
        <w:rPr>
          <w:rFonts w:hint="eastAsia" w:ascii="宋体" w:hAnsi="宋体" w:cs="宋体"/>
          <w:color w:val="auto"/>
          <w:sz w:val="44"/>
          <w:szCs w:val="44"/>
          <w:highlight w:val="none"/>
        </w:rPr>
        <w:t>授权委托书</w:t>
      </w:r>
    </w:p>
    <w:p w14:paraId="31132343">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7C176E70">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5BB2B021">
      <w:pPr>
        <w:spacing w:line="520" w:lineRule="exact"/>
        <w:rPr>
          <w:rFonts w:ascii="宋体" w:hAnsi="宋体" w:cs="宋体"/>
          <w:color w:val="auto"/>
          <w:sz w:val="32"/>
          <w:szCs w:val="32"/>
          <w:highlight w:val="none"/>
        </w:rPr>
      </w:pPr>
    </w:p>
    <w:p w14:paraId="066840A6">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3D28E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AC9A63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C14D2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D0026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0ACF1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0E56A00F">
      <w:pPr>
        <w:spacing w:line="360" w:lineRule="auto"/>
        <w:rPr>
          <w:rFonts w:ascii="宋体" w:hAnsi="宋体" w:cs="宋体"/>
          <w:color w:val="auto"/>
          <w:sz w:val="24"/>
          <w:highlight w:val="none"/>
        </w:rPr>
      </w:pPr>
    </w:p>
    <w:p w14:paraId="136478B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法定代表人（签字或者盖章）：                    </w:t>
      </w:r>
    </w:p>
    <w:p w14:paraId="3DD483C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3A13002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4C2CD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供应商（盖公章）：                      </w:t>
      </w:r>
    </w:p>
    <w:p w14:paraId="7B7645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4140C577">
      <w:pPr>
        <w:spacing w:line="360" w:lineRule="auto"/>
        <w:rPr>
          <w:rFonts w:ascii="宋体" w:hAnsi="宋体" w:cs="宋体"/>
          <w:color w:val="auto"/>
          <w:sz w:val="24"/>
          <w:highlight w:val="none"/>
        </w:rPr>
      </w:pPr>
    </w:p>
    <w:p w14:paraId="267151F6">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0586ED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bookmarkStart w:id="52" w:name="_Hlk65853109"/>
      <w:bookmarkStart w:id="53" w:name="_Hlk65853542"/>
      <w:r>
        <w:rPr>
          <w:rFonts w:hint="eastAsia" w:ascii="宋体" w:hAnsi="宋体" w:cs="宋体"/>
          <w:color w:val="auto"/>
          <w:sz w:val="24"/>
          <w:highlight w:val="none"/>
        </w:rPr>
        <w:t>法人、其他组织竞标时“我方”是指“我单位”，自然人竞标时“我方”是指“本人”。</w:t>
      </w:r>
      <w:bookmarkEnd w:id="52"/>
    </w:p>
    <w:bookmarkEnd w:id="53"/>
    <w:p w14:paraId="2A081161">
      <w:pPr>
        <w:spacing w:line="360" w:lineRule="auto"/>
        <w:ind w:firstLine="420" w:firstLineChars="200"/>
        <w:jc w:val="left"/>
        <w:rPr>
          <w:rFonts w:ascii="宋体" w:hAnsi="宋体" w:cs="宋体"/>
          <w:color w:val="auto"/>
          <w:szCs w:val="21"/>
          <w:highlight w:val="none"/>
        </w:rPr>
      </w:pPr>
    </w:p>
    <w:p w14:paraId="00926C22">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w:t>
      </w:r>
    </w:p>
    <w:p w14:paraId="4012C3F3">
      <w:pPr>
        <w:spacing w:line="5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758B7D7D">
      <w:pPr>
        <w:spacing w:line="50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1B74BE14">
      <w:pPr>
        <w:spacing w:line="500" w:lineRule="exact"/>
        <w:jc w:val="center"/>
        <w:rPr>
          <w:rFonts w:ascii="宋体" w:hAnsi="宋体" w:cs="宋体"/>
          <w:color w:val="auto"/>
          <w:sz w:val="44"/>
          <w:szCs w:val="44"/>
          <w:highlight w:val="none"/>
        </w:rPr>
      </w:pPr>
    </w:p>
    <w:p w14:paraId="739BDACB">
      <w:pPr>
        <w:spacing w:line="500" w:lineRule="exact"/>
        <w:jc w:val="center"/>
        <w:rPr>
          <w:rFonts w:ascii="宋体" w:hAnsi="宋体" w:cs="宋体"/>
          <w:color w:val="auto"/>
          <w:sz w:val="32"/>
          <w:szCs w:val="32"/>
          <w:highlight w:val="none"/>
        </w:rPr>
      </w:pPr>
    </w:p>
    <w:p w14:paraId="3469816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38CEFB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0461C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BAB40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BEAAF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176675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2336C93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牵头人（盖公章）：</w:t>
      </w:r>
    </w:p>
    <w:p w14:paraId="3366BDE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205157D">
      <w:pPr>
        <w:spacing w:line="360" w:lineRule="auto"/>
        <w:rPr>
          <w:rFonts w:ascii="宋体" w:hAnsi="宋体" w:cs="宋体"/>
          <w:color w:val="auto"/>
          <w:sz w:val="24"/>
          <w:highlight w:val="none"/>
        </w:rPr>
      </w:pPr>
    </w:p>
    <w:p w14:paraId="5D647637">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028A04F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9468101">
      <w:pPr>
        <w:spacing w:line="360" w:lineRule="auto"/>
        <w:rPr>
          <w:rFonts w:ascii="宋体" w:hAnsi="宋体" w:cs="宋体"/>
          <w:color w:val="auto"/>
          <w:sz w:val="24"/>
          <w:highlight w:val="none"/>
        </w:rPr>
      </w:pPr>
    </w:p>
    <w:p w14:paraId="6D2A5B73">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1CC6BDB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01764C5B">
      <w:pPr>
        <w:spacing w:line="360" w:lineRule="auto"/>
        <w:ind w:firstLine="480" w:firstLineChars="200"/>
        <w:jc w:val="left"/>
        <w:rPr>
          <w:rFonts w:ascii="宋体" w:hAnsi="宋体" w:cs="宋体"/>
          <w:color w:val="auto"/>
          <w:spacing w:val="-11"/>
          <w:sz w:val="24"/>
          <w:highlight w:val="none"/>
        </w:rPr>
      </w:pPr>
      <w:r>
        <w:rPr>
          <w:rFonts w:hint="eastAsia" w:ascii="宋体" w:hAnsi="宋体" w:cs="宋体"/>
          <w:color w:val="auto"/>
          <w:sz w:val="24"/>
          <w:highlight w:val="none"/>
        </w:rPr>
        <w:t>3.</w:t>
      </w:r>
      <w:r>
        <w:rPr>
          <w:rFonts w:hint="eastAsia" w:ascii="宋体" w:hAnsi="宋体" w:cs="宋体"/>
          <w:color w:val="auto"/>
          <w:spacing w:val="-11"/>
          <w:sz w:val="24"/>
          <w:highlight w:val="none"/>
        </w:rPr>
        <w:t>法人、其他组织竞标时“我方”是指“我单位”，自然人竞标时“我方”是指“本人”。</w:t>
      </w:r>
    </w:p>
    <w:bookmarkEnd w:id="51"/>
    <w:p w14:paraId="0EEC4DA4">
      <w:pPr>
        <w:spacing w:line="500" w:lineRule="exact"/>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商务要求偏离表</w:t>
      </w:r>
    </w:p>
    <w:p w14:paraId="7104DDC9">
      <w:pPr>
        <w:spacing w:line="360" w:lineRule="auto"/>
        <w:contextualSpacing/>
        <w:jc w:val="left"/>
        <w:rPr>
          <w:rFonts w:ascii="宋体" w:hAnsi="宋体" w:cs="宋体"/>
          <w:color w:val="auto"/>
          <w:sz w:val="24"/>
          <w:highlight w:val="none"/>
        </w:rPr>
      </w:pPr>
    </w:p>
    <w:p w14:paraId="2AA27E97">
      <w:pPr>
        <w:pStyle w:val="19"/>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p w14:paraId="619E83D8">
      <w:pPr>
        <w:spacing w:line="360" w:lineRule="auto"/>
        <w:contextualSpacing/>
        <w:jc w:val="left"/>
        <w:rPr>
          <w:rFonts w:ascii="宋体" w:hAnsi="宋体" w:cs="宋体"/>
          <w:color w:val="auto"/>
          <w:sz w:val="24"/>
          <w:highlight w:val="none"/>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5BC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76FCD2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747BB58">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CC8A05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EE34280">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2A31D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60B43E9E">
            <w:pPr>
              <w:jc w:val="center"/>
              <w:rPr>
                <w:rFonts w:ascii="宋体" w:hAnsi="宋体" w:cs="宋体"/>
                <w:color w:val="auto"/>
                <w:sz w:val="24"/>
                <w:highlight w:val="none"/>
              </w:rPr>
            </w:pPr>
            <w:r>
              <w:rPr>
                <w:rFonts w:hint="eastAsia" w:ascii="宋体" w:hAnsi="宋体" w:cs="宋体"/>
                <w:bCs/>
                <w:color w:val="auto"/>
                <w:szCs w:val="21"/>
                <w:highlight w:val="none"/>
              </w:rPr>
              <w:t>磋商报价要求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0FDFCEA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A009807">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2443050">
            <w:pPr>
              <w:spacing w:line="360" w:lineRule="auto"/>
              <w:contextualSpacing/>
              <w:jc w:val="center"/>
              <w:rPr>
                <w:rFonts w:ascii="宋体" w:hAnsi="宋体" w:cs="宋体"/>
                <w:color w:val="auto"/>
                <w:sz w:val="24"/>
                <w:highlight w:val="none"/>
              </w:rPr>
            </w:pPr>
          </w:p>
        </w:tc>
      </w:tr>
      <w:tr w14:paraId="15696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78" w:type="dxa"/>
            <w:tcBorders>
              <w:top w:val="single" w:color="auto" w:sz="4" w:space="0"/>
              <w:left w:val="single" w:color="auto" w:sz="4" w:space="0"/>
              <w:bottom w:val="single" w:color="auto" w:sz="4" w:space="0"/>
              <w:right w:val="single" w:color="auto" w:sz="4" w:space="0"/>
            </w:tcBorders>
            <w:vAlign w:val="center"/>
          </w:tcPr>
          <w:p w14:paraId="06E61308">
            <w:pPr>
              <w:jc w:val="center"/>
              <w:rPr>
                <w:rFonts w:ascii="宋体" w:hAnsi="宋体" w:cs="宋体"/>
                <w:color w:val="auto"/>
                <w:sz w:val="24"/>
                <w:highlight w:val="none"/>
              </w:rPr>
            </w:pPr>
            <w:r>
              <w:rPr>
                <w:rFonts w:hint="eastAsia" w:ascii="宋体" w:hAnsi="宋体" w:cs="宋体"/>
                <w:color w:val="auto"/>
                <w:szCs w:val="21"/>
                <w:highlight w:val="none"/>
              </w:rPr>
              <w:t>合同履约期限（服务期限）和服务地点</w:t>
            </w:r>
          </w:p>
        </w:tc>
        <w:tc>
          <w:tcPr>
            <w:tcW w:w="2668" w:type="dxa"/>
            <w:tcBorders>
              <w:top w:val="single" w:color="auto" w:sz="4" w:space="0"/>
              <w:left w:val="single" w:color="auto" w:sz="4" w:space="0"/>
              <w:bottom w:val="single" w:color="auto" w:sz="4" w:space="0"/>
              <w:right w:val="single" w:color="auto" w:sz="4" w:space="0"/>
            </w:tcBorders>
            <w:vAlign w:val="center"/>
          </w:tcPr>
          <w:p w14:paraId="23800EED">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FF34C8D">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11B53A7">
            <w:pPr>
              <w:spacing w:line="360" w:lineRule="auto"/>
              <w:ind w:left="43"/>
              <w:contextualSpacing/>
              <w:jc w:val="center"/>
              <w:rPr>
                <w:rFonts w:ascii="宋体" w:hAnsi="宋体" w:cs="宋体"/>
                <w:color w:val="auto"/>
                <w:sz w:val="24"/>
                <w:highlight w:val="none"/>
              </w:rPr>
            </w:pPr>
          </w:p>
        </w:tc>
      </w:tr>
      <w:tr w14:paraId="7A91C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C1B0C6E">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5DD5BF95">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BBCA6BA">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EAA3707">
            <w:pPr>
              <w:spacing w:line="360" w:lineRule="auto"/>
              <w:contextualSpacing/>
              <w:jc w:val="center"/>
              <w:rPr>
                <w:rFonts w:ascii="宋体" w:hAnsi="宋体" w:cs="宋体"/>
                <w:color w:val="auto"/>
                <w:sz w:val="24"/>
                <w:highlight w:val="none"/>
              </w:rPr>
            </w:pPr>
          </w:p>
        </w:tc>
      </w:tr>
      <w:tr w14:paraId="5C558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4D6020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4E08CDCD">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ED51D26">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434656C">
            <w:pPr>
              <w:spacing w:line="360" w:lineRule="auto"/>
              <w:contextualSpacing/>
              <w:jc w:val="center"/>
              <w:rPr>
                <w:rFonts w:ascii="宋体" w:hAnsi="宋体" w:cs="宋体"/>
                <w:color w:val="auto"/>
                <w:sz w:val="24"/>
                <w:highlight w:val="none"/>
              </w:rPr>
            </w:pPr>
          </w:p>
        </w:tc>
      </w:tr>
    </w:tbl>
    <w:p w14:paraId="40E0C915">
      <w:pPr>
        <w:pStyle w:val="16"/>
        <w:spacing w:after="0" w:line="360" w:lineRule="auto"/>
        <w:ind w:firstLine="240" w:firstLineChars="1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14:paraId="7B0A3572">
      <w:pPr>
        <w:pStyle w:val="16"/>
        <w:spacing w:after="0" w:line="360" w:lineRule="auto"/>
        <w:ind w:firstLine="240" w:firstLineChars="100"/>
        <w:contextualSpacing/>
        <w:rPr>
          <w:rFonts w:ascii="宋体" w:hAnsi="宋体" w:cs="宋体"/>
          <w:color w:val="auto"/>
          <w:kern w:val="0"/>
          <w:sz w:val="24"/>
          <w:szCs w:val="24"/>
          <w:highlight w:val="none"/>
        </w:rPr>
      </w:pPr>
    </w:p>
    <w:p w14:paraId="62A7A438">
      <w:pPr>
        <w:pStyle w:val="16"/>
        <w:spacing w:after="0" w:line="360" w:lineRule="auto"/>
        <w:ind w:firstLine="240" w:firstLineChars="100"/>
        <w:contextualSpacing/>
        <w:rPr>
          <w:rFonts w:ascii="宋体" w:hAnsi="宋体" w:cs="宋体"/>
          <w:color w:val="auto"/>
          <w:kern w:val="0"/>
          <w:sz w:val="24"/>
          <w:szCs w:val="24"/>
          <w:highlight w:val="none"/>
        </w:rPr>
      </w:pPr>
    </w:p>
    <w:p w14:paraId="732A6A50">
      <w:pPr>
        <w:pStyle w:val="16"/>
        <w:spacing w:after="0" w:line="360" w:lineRule="auto"/>
        <w:ind w:firstLine="240" w:firstLineChars="100"/>
        <w:contextualSpacing/>
        <w:rPr>
          <w:rFonts w:ascii="宋体" w:hAnsi="宋体" w:cs="宋体"/>
          <w:color w:val="auto"/>
          <w:kern w:val="0"/>
          <w:sz w:val="24"/>
          <w:szCs w:val="24"/>
          <w:highlight w:val="none"/>
        </w:rPr>
      </w:pPr>
    </w:p>
    <w:p w14:paraId="36FB2265">
      <w:pPr>
        <w:pStyle w:val="16"/>
        <w:spacing w:after="0" w:line="360" w:lineRule="auto"/>
        <w:ind w:firstLine="240" w:firstLineChars="100"/>
        <w:contextualSpacing/>
        <w:rPr>
          <w:rFonts w:ascii="宋体" w:hAnsi="宋体" w:cs="宋体"/>
          <w:color w:val="auto"/>
          <w:kern w:val="0"/>
          <w:sz w:val="24"/>
          <w:szCs w:val="24"/>
          <w:highlight w:val="none"/>
        </w:rPr>
      </w:pPr>
    </w:p>
    <w:p w14:paraId="4C4E545C">
      <w:pPr>
        <w:pStyle w:val="16"/>
        <w:spacing w:after="0" w:line="360" w:lineRule="auto"/>
        <w:ind w:firstLine="240" w:firstLineChars="100"/>
        <w:contextualSpacing/>
        <w:rPr>
          <w:rFonts w:ascii="宋体" w:hAnsi="宋体" w:cs="宋体"/>
          <w:color w:val="auto"/>
          <w:kern w:val="0"/>
          <w:sz w:val="24"/>
          <w:szCs w:val="24"/>
          <w:highlight w:val="none"/>
        </w:rPr>
      </w:pPr>
    </w:p>
    <w:p w14:paraId="5DD36F86">
      <w:pPr>
        <w:pStyle w:val="16"/>
        <w:spacing w:after="0" w:line="360" w:lineRule="auto"/>
        <w:ind w:firstLine="240" w:firstLineChars="1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4C5B5FB">
      <w:pPr>
        <w:pStyle w:val="16"/>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采购需求”中的商务要求逐条作出明确响应，并作出偏离说明。</w:t>
      </w:r>
    </w:p>
    <w:p w14:paraId="3F163C86">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16FB7D9D">
      <w:pPr>
        <w:spacing w:line="360" w:lineRule="auto"/>
        <w:ind w:right="-817" w:rightChars="-389"/>
        <w:contextualSpacing/>
        <w:rPr>
          <w:rFonts w:ascii="宋体" w:hAnsi="宋体" w:cs="宋体"/>
          <w:color w:val="auto"/>
          <w:sz w:val="24"/>
          <w:highlight w:val="none"/>
        </w:rPr>
      </w:pPr>
    </w:p>
    <w:p w14:paraId="392EABAD">
      <w:pPr>
        <w:spacing w:line="360" w:lineRule="auto"/>
        <w:ind w:right="-817" w:rightChars="-389" w:firstLine="4800" w:firstLineChars="20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05A46B00">
      <w:pPr>
        <w:spacing w:line="360" w:lineRule="auto"/>
        <w:ind w:right="-817" w:rightChars="-389" w:firstLine="4800" w:firstLineChars="2000"/>
        <w:contextualSpacing/>
        <w:rPr>
          <w:rFonts w:ascii="宋体" w:hAnsi="宋体" w:cs="宋体"/>
          <w:color w:val="auto"/>
          <w:sz w:val="24"/>
          <w:highlight w:val="none"/>
        </w:rPr>
      </w:pPr>
      <w:r>
        <w:rPr>
          <w:rFonts w:hint="eastAsia" w:ascii="宋体" w:hAnsi="宋体" w:cs="宋体"/>
          <w:color w:val="auto"/>
          <w:sz w:val="24"/>
          <w:highlight w:val="none"/>
        </w:rPr>
        <w:t xml:space="preserve">供应商（盖公章）：      </w:t>
      </w:r>
    </w:p>
    <w:p w14:paraId="4F0A5751">
      <w:pPr>
        <w:spacing w:line="360" w:lineRule="auto"/>
        <w:ind w:right="-817" w:rightChars="-389" w:firstLine="4800" w:firstLineChars="20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54479EBE">
      <w:pPr>
        <w:adjustRightInd w:val="0"/>
        <w:snapToGrid w:val="0"/>
        <w:spacing w:line="520" w:lineRule="exact"/>
        <w:ind w:firstLine="7040" w:firstLineChars="1600"/>
        <w:jc w:val="center"/>
        <w:rPr>
          <w:rFonts w:ascii="宋体" w:hAnsi="宋体" w:cs="宋体"/>
          <w:bCs/>
          <w:color w:val="auto"/>
          <w:sz w:val="44"/>
          <w:szCs w:val="44"/>
          <w:highlight w:val="none"/>
        </w:rPr>
      </w:pPr>
    </w:p>
    <w:p w14:paraId="53B6AEA5">
      <w:pPr>
        <w:adjustRightInd w:val="0"/>
        <w:snapToGrid w:val="0"/>
        <w:spacing w:line="520" w:lineRule="exact"/>
        <w:ind w:firstLine="7040" w:firstLineChars="1600"/>
        <w:jc w:val="center"/>
        <w:rPr>
          <w:rFonts w:ascii="宋体" w:hAnsi="宋体" w:cs="宋体"/>
          <w:bCs/>
          <w:color w:val="auto"/>
          <w:sz w:val="44"/>
          <w:szCs w:val="44"/>
          <w:highlight w:val="none"/>
        </w:rPr>
      </w:pPr>
    </w:p>
    <w:p w14:paraId="5FF23F61">
      <w:pPr>
        <w:adjustRightInd w:val="0"/>
        <w:snapToGrid w:val="0"/>
        <w:spacing w:line="520" w:lineRule="exact"/>
        <w:ind w:firstLine="7040" w:firstLineChars="1600"/>
        <w:jc w:val="center"/>
        <w:rPr>
          <w:rFonts w:ascii="宋体" w:hAnsi="宋体" w:cs="宋体"/>
          <w:bCs/>
          <w:color w:val="auto"/>
          <w:sz w:val="44"/>
          <w:szCs w:val="44"/>
          <w:highlight w:val="none"/>
        </w:rPr>
      </w:pPr>
    </w:p>
    <w:p w14:paraId="31DD1FB9">
      <w:pPr>
        <w:adjustRightInd w:val="0"/>
        <w:snapToGrid w:val="0"/>
        <w:spacing w:line="520" w:lineRule="exact"/>
        <w:ind w:firstLine="7040" w:firstLineChars="1600"/>
        <w:jc w:val="center"/>
        <w:rPr>
          <w:rFonts w:ascii="宋体" w:hAnsi="宋体" w:cs="宋体"/>
          <w:bCs/>
          <w:color w:val="auto"/>
          <w:sz w:val="44"/>
          <w:szCs w:val="44"/>
          <w:highlight w:val="none"/>
        </w:rPr>
      </w:pPr>
    </w:p>
    <w:p w14:paraId="5BA27800">
      <w:pPr>
        <w:adjustRightInd w:val="0"/>
        <w:snapToGrid w:val="0"/>
        <w:spacing w:line="520" w:lineRule="exact"/>
        <w:rPr>
          <w:rFonts w:ascii="宋体" w:hAnsi="宋体" w:cs="宋体"/>
          <w:color w:val="auto"/>
          <w:szCs w:val="21"/>
          <w:highlight w:val="none"/>
          <w:u w:val="single"/>
        </w:rPr>
      </w:pPr>
    </w:p>
    <w:p w14:paraId="0CCFF399">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技术要求偏离表</w:t>
      </w:r>
    </w:p>
    <w:p w14:paraId="01B965F1">
      <w:pPr>
        <w:spacing w:line="520" w:lineRule="exact"/>
        <w:rPr>
          <w:rFonts w:ascii="宋体" w:hAnsi="宋体" w:cs="宋体"/>
          <w:color w:val="auto"/>
          <w:sz w:val="32"/>
          <w:szCs w:val="32"/>
          <w:highlight w:val="none"/>
        </w:rPr>
      </w:pPr>
    </w:p>
    <w:p w14:paraId="16701612">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0296CDB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BDD9E02">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14"/>
        <w:gridCol w:w="1014"/>
        <w:gridCol w:w="3368"/>
        <w:gridCol w:w="3031"/>
        <w:gridCol w:w="1655"/>
      </w:tblGrid>
      <w:tr w14:paraId="7229ED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BDCBF4A">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54" w:name="_Toc295404981"/>
            <w:bookmarkStart w:id="55" w:name="_Toc297193185"/>
            <w:bookmarkStart w:id="56" w:name="_Toc254970729"/>
            <w:bookmarkStart w:id="57" w:name="_Toc254970588"/>
            <w:bookmarkStart w:id="58" w:name="_Toc383699906"/>
            <w:bookmarkStart w:id="59" w:name="_Toc173211900"/>
            <w:bookmarkStart w:id="60" w:name="_Toc173066401"/>
            <w:bookmarkStart w:id="61" w:name="_Toc373333689"/>
            <w:bookmarkStart w:id="62" w:name="_Toc301781611"/>
            <w:r>
              <w:rPr>
                <w:rFonts w:hint="eastAsia" w:ascii="宋体" w:hAnsi="宋体" w:eastAsia="宋体" w:cs="宋体"/>
                <w:color w:val="auto"/>
                <w:kern w:val="2"/>
                <w:sz w:val="24"/>
                <w:szCs w:val="24"/>
                <w:highlight w:val="none"/>
              </w:rPr>
              <w:t>序号</w:t>
            </w:r>
            <w:bookmarkEnd w:id="54"/>
            <w:bookmarkEnd w:id="55"/>
            <w:bookmarkEnd w:id="56"/>
            <w:bookmarkEnd w:id="57"/>
            <w:bookmarkEnd w:id="58"/>
            <w:bookmarkEnd w:id="59"/>
            <w:bookmarkEnd w:id="60"/>
            <w:bookmarkEnd w:id="61"/>
            <w:bookmarkEnd w:id="62"/>
          </w:p>
        </w:tc>
        <w:tc>
          <w:tcPr>
            <w:tcW w:w="503" w:type="pct"/>
            <w:tcBorders>
              <w:right w:val="single" w:color="auto" w:sz="4" w:space="0"/>
            </w:tcBorders>
            <w:vAlign w:val="center"/>
          </w:tcPr>
          <w:p w14:paraId="5D5D78E4">
            <w:pPr>
              <w:pStyle w:val="17"/>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1670" w:type="pct"/>
            <w:tcBorders>
              <w:left w:val="single" w:color="auto" w:sz="4" w:space="0"/>
            </w:tcBorders>
            <w:vAlign w:val="center"/>
          </w:tcPr>
          <w:p w14:paraId="27F03928">
            <w:pPr>
              <w:pStyle w:val="17"/>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磋商文件技术要求</w:t>
            </w:r>
          </w:p>
        </w:tc>
        <w:tc>
          <w:tcPr>
            <w:tcW w:w="1503" w:type="pct"/>
            <w:vAlign w:val="center"/>
          </w:tcPr>
          <w:p w14:paraId="13B4C22D">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63" w:name="_Toc173066403"/>
            <w:bookmarkStart w:id="64" w:name="_Toc373333691"/>
            <w:bookmarkStart w:id="65" w:name="_Toc173211902"/>
            <w:bookmarkStart w:id="66" w:name="_Toc254970731"/>
            <w:bookmarkStart w:id="67" w:name="_Toc383699908"/>
            <w:bookmarkStart w:id="68" w:name="_Toc295404983"/>
            <w:bookmarkStart w:id="69" w:name="_Toc297193187"/>
            <w:bookmarkStart w:id="70" w:name="_Toc301781613"/>
            <w:bookmarkStart w:id="71" w:name="_Toc254970590"/>
            <w:r>
              <w:rPr>
                <w:rFonts w:hint="eastAsia" w:ascii="宋体" w:hAnsi="宋体" w:eastAsia="宋体" w:cs="宋体"/>
                <w:color w:val="auto"/>
                <w:kern w:val="2"/>
                <w:sz w:val="24"/>
                <w:szCs w:val="24"/>
                <w:highlight w:val="none"/>
              </w:rPr>
              <w:t>竞标响应</w:t>
            </w:r>
            <w:bookmarkEnd w:id="63"/>
            <w:bookmarkEnd w:id="64"/>
            <w:bookmarkEnd w:id="65"/>
            <w:bookmarkEnd w:id="66"/>
            <w:bookmarkEnd w:id="67"/>
            <w:bookmarkEnd w:id="68"/>
            <w:bookmarkEnd w:id="69"/>
            <w:bookmarkEnd w:id="70"/>
            <w:bookmarkEnd w:id="71"/>
          </w:p>
        </w:tc>
        <w:tc>
          <w:tcPr>
            <w:tcW w:w="820" w:type="pct"/>
            <w:vAlign w:val="center"/>
          </w:tcPr>
          <w:p w14:paraId="3B249C7B">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72" w:name="_Toc173066404"/>
            <w:bookmarkStart w:id="73" w:name="_Toc373333692"/>
            <w:bookmarkStart w:id="74" w:name="_Toc295404984"/>
            <w:bookmarkStart w:id="75" w:name="_Toc254970732"/>
            <w:bookmarkStart w:id="76" w:name="_Toc301781614"/>
            <w:bookmarkStart w:id="77" w:name="_Toc173211903"/>
            <w:bookmarkStart w:id="78" w:name="_Toc383699909"/>
            <w:bookmarkStart w:id="79" w:name="_Toc297193188"/>
            <w:bookmarkStart w:id="80" w:name="_Toc254970591"/>
            <w:r>
              <w:rPr>
                <w:rFonts w:hint="eastAsia" w:ascii="宋体" w:hAnsi="宋体" w:eastAsia="宋体" w:cs="宋体"/>
                <w:color w:val="auto"/>
                <w:kern w:val="2"/>
                <w:sz w:val="24"/>
                <w:szCs w:val="24"/>
                <w:highlight w:val="none"/>
              </w:rPr>
              <w:t>偏离</w:t>
            </w:r>
            <w:bookmarkEnd w:id="72"/>
            <w:bookmarkEnd w:id="73"/>
            <w:bookmarkEnd w:id="74"/>
            <w:bookmarkEnd w:id="75"/>
            <w:bookmarkEnd w:id="76"/>
            <w:bookmarkEnd w:id="77"/>
            <w:bookmarkEnd w:id="78"/>
            <w:bookmarkEnd w:id="79"/>
            <w:bookmarkEnd w:id="80"/>
            <w:bookmarkStart w:id="81" w:name="_Toc373333693"/>
            <w:bookmarkStart w:id="82" w:name="_Toc301781615"/>
            <w:bookmarkStart w:id="83" w:name="_Toc297193189"/>
            <w:bookmarkStart w:id="84" w:name="_Toc173066405"/>
            <w:bookmarkStart w:id="85" w:name="_Toc295404985"/>
            <w:bookmarkStart w:id="86" w:name="_Toc383699910"/>
            <w:bookmarkStart w:id="87" w:name="_Toc173211904"/>
            <w:bookmarkStart w:id="88" w:name="_Toc254970733"/>
            <w:bookmarkStart w:id="89" w:name="_Toc254970592"/>
            <w:r>
              <w:rPr>
                <w:rFonts w:hint="eastAsia" w:ascii="宋体" w:hAnsi="宋体" w:eastAsia="宋体" w:cs="宋体"/>
                <w:color w:val="auto"/>
                <w:kern w:val="2"/>
                <w:sz w:val="24"/>
                <w:szCs w:val="24"/>
                <w:highlight w:val="none"/>
              </w:rPr>
              <w:t>说明</w:t>
            </w:r>
            <w:bookmarkEnd w:id="81"/>
            <w:bookmarkEnd w:id="82"/>
            <w:bookmarkEnd w:id="83"/>
            <w:bookmarkEnd w:id="84"/>
            <w:bookmarkEnd w:id="85"/>
            <w:bookmarkEnd w:id="86"/>
            <w:bookmarkEnd w:id="87"/>
            <w:bookmarkEnd w:id="88"/>
            <w:bookmarkEnd w:id="89"/>
          </w:p>
        </w:tc>
      </w:tr>
      <w:tr w14:paraId="6B7BA0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C205A55">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90" w:name="_Toc254970734"/>
            <w:bookmarkStart w:id="91" w:name="_Toc295404986"/>
            <w:bookmarkStart w:id="92" w:name="_Toc383699911"/>
            <w:bookmarkStart w:id="93" w:name="_Toc254970593"/>
            <w:bookmarkStart w:id="94" w:name="_Toc301781616"/>
            <w:bookmarkStart w:id="95" w:name="_Toc373333694"/>
            <w:bookmarkStart w:id="96" w:name="_Toc173211905"/>
            <w:bookmarkStart w:id="97" w:name="_Toc173066406"/>
            <w:bookmarkStart w:id="98" w:name="_Toc297193190"/>
            <w:r>
              <w:rPr>
                <w:rFonts w:hint="eastAsia" w:ascii="宋体" w:hAnsi="宋体" w:eastAsia="宋体" w:cs="宋体"/>
                <w:color w:val="auto"/>
                <w:kern w:val="2"/>
                <w:sz w:val="24"/>
                <w:szCs w:val="24"/>
                <w:highlight w:val="none"/>
              </w:rPr>
              <w:t>1</w:t>
            </w:r>
            <w:bookmarkEnd w:id="90"/>
            <w:bookmarkEnd w:id="91"/>
            <w:bookmarkEnd w:id="92"/>
            <w:bookmarkEnd w:id="93"/>
            <w:bookmarkEnd w:id="94"/>
            <w:bookmarkEnd w:id="95"/>
            <w:bookmarkEnd w:id="96"/>
            <w:bookmarkEnd w:id="97"/>
            <w:bookmarkEnd w:id="98"/>
          </w:p>
        </w:tc>
        <w:tc>
          <w:tcPr>
            <w:tcW w:w="503" w:type="pct"/>
            <w:tcBorders>
              <w:right w:val="single" w:color="auto" w:sz="4" w:space="0"/>
            </w:tcBorders>
            <w:vAlign w:val="center"/>
          </w:tcPr>
          <w:p w14:paraId="0B9C4D1E">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9C038A4">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2DE69240">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4CBCB2F3">
            <w:pPr>
              <w:pStyle w:val="17"/>
              <w:spacing w:line="360" w:lineRule="auto"/>
              <w:ind w:firstLine="0" w:firstLineChars="0"/>
              <w:contextualSpacing/>
              <w:jc w:val="center"/>
              <w:rPr>
                <w:rFonts w:ascii="宋体" w:hAnsi="宋体" w:eastAsia="宋体" w:cs="宋体"/>
                <w:color w:val="auto"/>
                <w:kern w:val="2"/>
                <w:sz w:val="24"/>
                <w:szCs w:val="24"/>
                <w:highlight w:val="none"/>
              </w:rPr>
            </w:pPr>
          </w:p>
        </w:tc>
      </w:tr>
      <w:tr w14:paraId="53BB4A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AA6459B">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99" w:name="_Toc295404987"/>
            <w:bookmarkStart w:id="100" w:name="_Toc301781617"/>
            <w:bookmarkStart w:id="101" w:name="_Toc373333695"/>
            <w:bookmarkStart w:id="102" w:name="_Toc173066407"/>
            <w:bookmarkStart w:id="103" w:name="_Toc297193191"/>
            <w:bookmarkStart w:id="104" w:name="_Toc254970594"/>
            <w:bookmarkStart w:id="105" w:name="_Toc254970735"/>
            <w:bookmarkStart w:id="106" w:name="_Toc173211906"/>
            <w:bookmarkStart w:id="107" w:name="_Toc383699912"/>
            <w:r>
              <w:rPr>
                <w:rFonts w:hint="eastAsia" w:ascii="宋体" w:hAnsi="宋体" w:eastAsia="宋体" w:cs="宋体"/>
                <w:color w:val="auto"/>
                <w:kern w:val="2"/>
                <w:sz w:val="24"/>
                <w:szCs w:val="24"/>
                <w:highlight w:val="none"/>
              </w:rPr>
              <w:t>2</w:t>
            </w:r>
            <w:bookmarkEnd w:id="99"/>
            <w:bookmarkEnd w:id="100"/>
            <w:bookmarkEnd w:id="101"/>
            <w:bookmarkEnd w:id="102"/>
            <w:bookmarkEnd w:id="103"/>
            <w:bookmarkEnd w:id="104"/>
            <w:bookmarkEnd w:id="105"/>
            <w:bookmarkEnd w:id="106"/>
            <w:bookmarkEnd w:id="107"/>
          </w:p>
        </w:tc>
        <w:tc>
          <w:tcPr>
            <w:tcW w:w="503" w:type="pct"/>
            <w:tcBorders>
              <w:right w:val="single" w:color="auto" w:sz="4" w:space="0"/>
            </w:tcBorders>
            <w:vAlign w:val="center"/>
          </w:tcPr>
          <w:p w14:paraId="7425E669">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2722EB8">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5FB65926">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1EB1CDE8">
            <w:pPr>
              <w:pStyle w:val="17"/>
              <w:spacing w:line="360" w:lineRule="auto"/>
              <w:ind w:firstLine="0" w:firstLineChars="0"/>
              <w:contextualSpacing/>
              <w:jc w:val="center"/>
              <w:rPr>
                <w:rFonts w:ascii="宋体" w:hAnsi="宋体" w:eastAsia="宋体" w:cs="宋体"/>
                <w:color w:val="auto"/>
                <w:kern w:val="2"/>
                <w:sz w:val="24"/>
                <w:szCs w:val="24"/>
                <w:highlight w:val="none"/>
              </w:rPr>
            </w:pPr>
          </w:p>
        </w:tc>
      </w:tr>
      <w:tr w14:paraId="5EBB8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F904CC0">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108" w:name="_Toc383699913"/>
            <w:bookmarkStart w:id="109" w:name="_Toc301781618"/>
            <w:bookmarkStart w:id="110" w:name="_Toc373333696"/>
            <w:bookmarkStart w:id="111" w:name="_Toc173211907"/>
            <w:bookmarkStart w:id="112" w:name="_Toc173066408"/>
            <w:bookmarkStart w:id="113" w:name="_Toc297193192"/>
            <w:bookmarkStart w:id="114" w:name="_Toc295404988"/>
            <w:bookmarkStart w:id="115" w:name="_Toc254970595"/>
            <w:bookmarkStart w:id="116" w:name="_Toc254970736"/>
            <w:r>
              <w:rPr>
                <w:rFonts w:hint="eastAsia" w:ascii="宋体" w:hAnsi="宋体" w:eastAsia="宋体" w:cs="宋体"/>
                <w:color w:val="auto"/>
                <w:kern w:val="2"/>
                <w:sz w:val="24"/>
                <w:szCs w:val="24"/>
                <w:highlight w:val="none"/>
              </w:rPr>
              <w:t>3</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vAlign w:val="center"/>
          </w:tcPr>
          <w:p w14:paraId="07690CB8">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DA08FAD">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15F0B8A5">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54C251AD">
            <w:pPr>
              <w:pStyle w:val="17"/>
              <w:spacing w:line="360" w:lineRule="auto"/>
              <w:ind w:firstLine="0" w:firstLineChars="0"/>
              <w:contextualSpacing/>
              <w:jc w:val="center"/>
              <w:rPr>
                <w:rFonts w:ascii="宋体" w:hAnsi="宋体" w:eastAsia="宋体" w:cs="宋体"/>
                <w:color w:val="auto"/>
                <w:kern w:val="2"/>
                <w:sz w:val="24"/>
                <w:szCs w:val="24"/>
                <w:highlight w:val="none"/>
              </w:rPr>
            </w:pPr>
          </w:p>
        </w:tc>
      </w:tr>
      <w:tr w14:paraId="2C86DE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79E37BD">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117" w:name="_Toc301781619"/>
            <w:bookmarkStart w:id="118" w:name="_Toc295404989"/>
            <w:bookmarkStart w:id="119" w:name="_Toc173211908"/>
            <w:bookmarkStart w:id="120" w:name="_Toc254970596"/>
            <w:bookmarkStart w:id="121" w:name="_Toc383699914"/>
            <w:bookmarkStart w:id="122" w:name="_Toc254970737"/>
            <w:bookmarkStart w:id="123" w:name="_Toc297193193"/>
            <w:bookmarkStart w:id="124" w:name="_Toc373333697"/>
            <w:bookmarkStart w:id="125" w:name="_Toc173066409"/>
            <w:r>
              <w:rPr>
                <w:rFonts w:hint="eastAsia" w:ascii="宋体" w:hAnsi="宋体" w:eastAsia="宋体" w:cs="宋体"/>
                <w:color w:val="auto"/>
                <w:kern w:val="2"/>
                <w:sz w:val="24"/>
                <w:szCs w:val="24"/>
                <w:highlight w:val="none"/>
              </w:rPr>
              <w:t>4</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vAlign w:val="center"/>
          </w:tcPr>
          <w:p w14:paraId="6E065442">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276C43C8">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71B34DB0">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5D74E6FD">
            <w:pPr>
              <w:pStyle w:val="17"/>
              <w:spacing w:line="360" w:lineRule="auto"/>
              <w:ind w:firstLine="0" w:firstLineChars="0"/>
              <w:contextualSpacing/>
              <w:jc w:val="center"/>
              <w:rPr>
                <w:rFonts w:ascii="宋体" w:hAnsi="宋体" w:eastAsia="宋体" w:cs="宋体"/>
                <w:color w:val="auto"/>
                <w:kern w:val="2"/>
                <w:sz w:val="24"/>
                <w:szCs w:val="24"/>
                <w:highlight w:val="none"/>
              </w:rPr>
            </w:pPr>
          </w:p>
        </w:tc>
      </w:tr>
      <w:tr w14:paraId="613B1F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A464D73">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126" w:name="_Toc373333698"/>
            <w:bookmarkStart w:id="127" w:name="_Toc254970738"/>
            <w:bookmarkStart w:id="128" w:name="_Toc295404990"/>
            <w:bookmarkStart w:id="129" w:name="_Toc173066410"/>
            <w:bookmarkStart w:id="130" w:name="_Toc297193194"/>
            <w:bookmarkStart w:id="131" w:name="_Toc383699915"/>
            <w:bookmarkStart w:id="132" w:name="_Toc173211909"/>
            <w:bookmarkStart w:id="133" w:name="_Toc301781620"/>
            <w:bookmarkStart w:id="134" w:name="_Toc254970597"/>
            <w:r>
              <w:rPr>
                <w:rFonts w:hint="eastAsia" w:ascii="宋体" w:hAnsi="宋体" w:eastAsia="宋体" w:cs="宋体"/>
                <w:color w:val="auto"/>
                <w:kern w:val="2"/>
                <w:sz w:val="24"/>
                <w:szCs w:val="24"/>
                <w:highlight w:val="none"/>
              </w:rPr>
              <w:t>5</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vAlign w:val="center"/>
          </w:tcPr>
          <w:p w14:paraId="448623D4">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8AB0DC4">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1B6063E6">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vAlign w:val="center"/>
          </w:tcPr>
          <w:p w14:paraId="5B31B8D1">
            <w:pPr>
              <w:pStyle w:val="17"/>
              <w:spacing w:line="360" w:lineRule="auto"/>
              <w:ind w:firstLine="0" w:firstLineChars="0"/>
              <w:contextualSpacing/>
              <w:jc w:val="center"/>
              <w:rPr>
                <w:rFonts w:ascii="宋体" w:hAnsi="宋体" w:eastAsia="宋体" w:cs="宋体"/>
                <w:color w:val="auto"/>
                <w:kern w:val="2"/>
                <w:sz w:val="24"/>
                <w:szCs w:val="24"/>
                <w:highlight w:val="none"/>
              </w:rPr>
            </w:pPr>
          </w:p>
        </w:tc>
      </w:tr>
      <w:tr w14:paraId="342590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437D9AF8">
            <w:pPr>
              <w:pStyle w:val="17"/>
              <w:spacing w:line="360" w:lineRule="auto"/>
              <w:ind w:firstLine="0" w:firstLineChars="0"/>
              <w:contextualSpacing/>
              <w:jc w:val="center"/>
              <w:rPr>
                <w:rFonts w:ascii="宋体" w:hAnsi="宋体" w:eastAsia="宋体" w:cs="宋体"/>
                <w:color w:val="auto"/>
                <w:kern w:val="2"/>
                <w:sz w:val="24"/>
                <w:szCs w:val="24"/>
                <w:highlight w:val="none"/>
              </w:rPr>
            </w:pPr>
            <w:bookmarkStart w:id="135" w:name="_Toc254970743"/>
            <w:bookmarkStart w:id="136" w:name="_Toc295404991"/>
            <w:bookmarkStart w:id="137" w:name="_Toc173211914"/>
            <w:bookmarkStart w:id="138" w:name="_Toc254970602"/>
            <w:bookmarkStart w:id="139" w:name="_Toc373333699"/>
            <w:bookmarkStart w:id="140" w:name="_Toc383699916"/>
            <w:bookmarkStart w:id="141" w:name="_Toc301781621"/>
            <w:bookmarkStart w:id="142" w:name="_Toc297193195"/>
            <w:bookmarkStart w:id="143" w:name="_Toc173066415"/>
            <w:r>
              <w:rPr>
                <w:rFonts w:hint="eastAsia" w:ascii="宋体" w:hAnsi="宋体" w:eastAsia="宋体" w:cs="宋体"/>
                <w:color w:val="auto"/>
                <w:kern w:val="2"/>
                <w:sz w:val="24"/>
                <w:szCs w:val="24"/>
                <w:highlight w:val="none"/>
              </w:rPr>
              <w:t>…</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vAlign w:val="center"/>
          </w:tcPr>
          <w:p w14:paraId="7BE7AD8C">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5537222A">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1503" w:type="pct"/>
            <w:vAlign w:val="center"/>
          </w:tcPr>
          <w:p w14:paraId="59CE7036">
            <w:pPr>
              <w:pStyle w:val="17"/>
              <w:spacing w:line="360" w:lineRule="auto"/>
              <w:ind w:firstLine="0" w:firstLineChars="0"/>
              <w:contextualSpacing/>
              <w:jc w:val="center"/>
              <w:rPr>
                <w:rFonts w:ascii="宋体" w:hAnsi="宋体" w:eastAsia="宋体" w:cs="宋体"/>
                <w:color w:val="auto"/>
                <w:kern w:val="2"/>
                <w:sz w:val="24"/>
                <w:szCs w:val="24"/>
                <w:highlight w:val="none"/>
              </w:rPr>
            </w:pPr>
          </w:p>
        </w:tc>
        <w:tc>
          <w:tcPr>
            <w:tcW w:w="820" w:type="pct"/>
            <w:tcBorders>
              <w:right w:val="single" w:color="auto" w:sz="4" w:space="0"/>
            </w:tcBorders>
            <w:vAlign w:val="center"/>
          </w:tcPr>
          <w:p w14:paraId="7354B030">
            <w:pPr>
              <w:pStyle w:val="17"/>
              <w:spacing w:line="360" w:lineRule="auto"/>
              <w:ind w:firstLine="0" w:firstLineChars="0"/>
              <w:contextualSpacing/>
              <w:jc w:val="center"/>
              <w:rPr>
                <w:rFonts w:ascii="宋体" w:hAnsi="宋体" w:eastAsia="宋体" w:cs="宋体"/>
                <w:color w:val="auto"/>
                <w:kern w:val="2"/>
                <w:sz w:val="24"/>
                <w:szCs w:val="24"/>
                <w:highlight w:val="none"/>
              </w:rPr>
            </w:pPr>
          </w:p>
        </w:tc>
      </w:tr>
    </w:tbl>
    <w:p w14:paraId="40E62967">
      <w:pPr>
        <w:adjustRightInd w:val="0"/>
        <w:spacing w:line="360" w:lineRule="auto"/>
        <w:contextualSpacing/>
        <w:rPr>
          <w:rFonts w:ascii="宋体" w:hAnsi="宋体" w:cs="宋体"/>
          <w:color w:val="auto"/>
          <w:sz w:val="24"/>
          <w:highlight w:val="none"/>
        </w:rPr>
      </w:pPr>
    </w:p>
    <w:p w14:paraId="6F279006">
      <w:pPr>
        <w:pStyle w:val="17"/>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D3F5707">
      <w:pPr>
        <w:pStyle w:val="17"/>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采购需求”中的技术要求逐条作出明确响应，并作出偏离说明。</w:t>
      </w:r>
    </w:p>
    <w:p w14:paraId="4B581A19">
      <w:pPr>
        <w:pStyle w:val="17"/>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42255E12">
      <w:pPr>
        <w:spacing w:line="360" w:lineRule="auto"/>
        <w:ind w:right="-817" w:rightChars="-389"/>
        <w:contextualSpacing/>
        <w:rPr>
          <w:rFonts w:ascii="宋体" w:hAnsi="宋体" w:cs="宋体"/>
          <w:color w:val="auto"/>
          <w:sz w:val="24"/>
          <w:highlight w:val="none"/>
        </w:rPr>
      </w:pPr>
    </w:p>
    <w:p w14:paraId="0A96C96C">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704C7D90">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供应商（盖公章）：      </w:t>
      </w:r>
    </w:p>
    <w:p w14:paraId="2420D816">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116DDBC">
      <w:pPr>
        <w:snapToGrid w:val="0"/>
        <w:spacing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327068C7">
      <w:pPr>
        <w:snapToGrid w:val="0"/>
        <w:spacing w:beforeLines="50" w:after="50"/>
        <w:ind w:left="142"/>
        <w:jc w:val="left"/>
        <w:rPr>
          <w:rFonts w:ascii="宋体" w:hAnsi="宋体" w:cs="宋体"/>
          <w:b/>
          <w:color w:val="auto"/>
          <w:sz w:val="24"/>
          <w:highlight w:val="none"/>
        </w:rPr>
      </w:pPr>
    </w:p>
    <w:p w14:paraId="15E2F9B4">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1220753D">
      <w:pPr>
        <w:pStyle w:val="19"/>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30"/>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905"/>
        <w:gridCol w:w="1309"/>
        <w:gridCol w:w="2196"/>
        <w:gridCol w:w="2468"/>
      </w:tblGrid>
      <w:tr w14:paraId="12B0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421F0E">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1BE647B">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2905" w:type="dxa"/>
            <w:vAlign w:val="center"/>
          </w:tcPr>
          <w:p w14:paraId="78B6D149">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309" w:type="dxa"/>
            <w:vAlign w:val="center"/>
          </w:tcPr>
          <w:p w14:paraId="50A749E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2196" w:type="dxa"/>
            <w:vAlign w:val="center"/>
          </w:tcPr>
          <w:p w14:paraId="4D59B5B0">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60ECC2CC">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468" w:type="dxa"/>
            <w:vAlign w:val="center"/>
          </w:tcPr>
          <w:p w14:paraId="03B09436">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5281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C71624">
            <w:pPr>
              <w:spacing w:line="360" w:lineRule="auto"/>
              <w:contextualSpacing/>
              <w:jc w:val="center"/>
              <w:rPr>
                <w:rFonts w:ascii="宋体" w:hAnsi="宋体" w:cs="宋体"/>
                <w:color w:val="auto"/>
                <w:sz w:val="24"/>
                <w:szCs w:val="20"/>
                <w:highlight w:val="none"/>
              </w:rPr>
            </w:pPr>
          </w:p>
        </w:tc>
        <w:tc>
          <w:tcPr>
            <w:tcW w:w="709" w:type="dxa"/>
            <w:vAlign w:val="center"/>
          </w:tcPr>
          <w:p w14:paraId="77EAB82A">
            <w:pPr>
              <w:spacing w:line="360" w:lineRule="auto"/>
              <w:contextualSpacing/>
              <w:jc w:val="center"/>
              <w:rPr>
                <w:rFonts w:ascii="宋体" w:hAnsi="宋体" w:cs="宋体"/>
                <w:color w:val="auto"/>
                <w:sz w:val="24"/>
                <w:szCs w:val="20"/>
                <w:highlight w:val="none"/>
              </w:rPr>
            </w:pPr>
          </w:p>
        </w:tc>
        <w:tc>
          <w:tcPr>
            <w:tcW w:w="2905" w:type="dxa"/>
            <w:vAlign w:val="center"/>
          </w:tcPr>
          <w:p w14:paraId="270CC779">
            <w:pPr>
              <w:spacing w:line="360" w:lineRule="auto"/>
              <w:contextualSpacing/>
              <w:jc w:val="center"/>
              <w:rPr>
                <w:rFonts w:ascii="宋体" w:hAnsi="宋体" w:cs="宋体"/>
                <w:color w:val="auto"/>
                <w:sz w:val="24"/>
                <w:szCs w:val="20"/>
                <w:highlight w:val="none"/>
              </w:rPr>
            </w:pPr>
          </w:p>
        </w:tc>
        <w:tc>
          <w:tcPr>
            <w:tcW w:w="1309" w:type="dxa"/>
            <w:vAlign w:val="center"/>
          </w:tcPr>
          <w:p w14:paraId="12D106D1">
            <w:pPr>
              <w:spacing w:line="360" w:lineRule="auto"/>
              <w:contextualSpacing/>
              <w:jc w:val="center"/>
              <w:rPr>
                <w:rFonts w:ascii="宋体" w:hAnsi="宋体" w:cs="宋体"/>
                <w:color w:val="auto"/>
                <w:sz w:val="24"/>
                <w:szCs w:val="20"/>
                <w:highlight w:val="none"/>
              </w:rPr>
            </w:pPr>
          </w:p>
        </w:tc>
        <w:tc>
          <w:tcPr>
            <w:tcW w:w="2196" w:type="dxa"/>
            <w:vAlign w:val="center"/>
          </w:tcPr>
          <w:p w14:paraId="68D1A91C">
            <w:pPr>
              <w:spacing w:line="360" w:lineRule="auto"/>
              <w:contextualSpacing/>
              <w:jc w:val="center"/>
              <w:rPr>
                <w:rFonts w:ascii="宋体" w:hAnsi="宋体" w:cs="宋体"/>
                <w:color w:val="auto"/>
                <w:sz w:val="24"/>
                <w:szCs w:val="20"/>
                <w:highlight w:val="none"/>
              </w:rPr>
            </w:pPr>
          </w:p>
        </w:tc>
        <w:tc>
          <w:tcPr>
            <w:tcW w:w="2468" w:type="dxa"/>
            <w:vAlign w:val="center"/>
          </w:tcPr>
          <w:p w14:paraId="5B62AB49">
            <w:pPr>
              <w:spacing w:line="360" w:lineRule="auto"/>
              <w:contextualSpacing/>
              <w:jc w:val="center"/>
              <w:rPr>
                <w:rFonts w:ascii="宋体" w:hAnsi="宋体" w:cs="宋体"/>
                <w:color w:val="auto"/>
                <w:sz w:val="24"/>
                <w:szCs w:val="20"/>
                <w:highlight w:val="none"/>
              </w:rPr>
            </w:pPr>
          </w:p>
        </w:tc>
      </w:tr>
      <w:tr w14:paraId="173E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4192FB">
            <w:pPr>
              <w:spacing w:line="360" w:lineRule="auto"/>
              <w:contextualSpacing/>
              <w:jc w:val="center"/>
              <w:rPr>
                <w:rFonts w:ascii="宋体" w:hAnsi="宋体" w:cs="宋体"/>
                <w:color w:val="auto"/>
                <w:sz w:val="24"/>
                <w:szCs w:val="20"/>
                <w:highlight w:val="none"/>
              </w:rPr>
            </w:pPr>
          </w:p>
        </w:tc>
        <w:tc>
          <w:tcPr>
            <w:tcW w:w="709" w:type="dxa"/>
            <w:vAlign w:val="center"/>
          </w:tcPr>
          <w:p w14:paraId="37DAD10D">
            <w:pPr>
              <w:spacing w:line="360" w:lineRule="auto"/>
              <w:contextualSpacing/>
              <w:jc w:val="center"/>
              <w:rPr>
                <w:rFonts w:ascii="宋体" w:hAnsi="宋体" w:cs="宋体"/>
                <w:color w:val="auto"/>
                <w:sz w:val="24"/>
                <w:szCs w:val="20"/>
                <w:highlight w:val="none"/>
              </w:rPr>
            </w:pPr>
          </w:p>
        </w:tc>
        <w:tc>
          <w:tcPr>
            <w:tcW w:w="2905" w:type="dxa"/>
            <w:vAlign w:val="center"/>
          </w:tcPr>
          <w:p w14:paraId="27C5229A">
            <w:pPr>
              <w:spacing w:line="360" w:lineRule="auto"/>
              <w:contextualSpacing/>
              <w:jc w:val="center"/>
              <w:rPr>
                <w:rFonts w:ascii="宋体" w:hAnsi="宋体" w:cs="宋体"/>
                <w:color w:val="auto"/>
                <w:sz w:val="24"/>
                <w:szCs w:val="20"/>
                <w:highlight w:val="none"/>
              </w:rPr>
            </w:pPr>
          </w:p>
        </w:tc>
        <w:tc>
          <w:tcPr>
            <w:tcW w:w="1309" w:type="dxa"/>
            <w:vAlign w:val="center"/>
          </w:tcPr>
          <w:p w14:paraId="27D5A48E">
            <w:pPr>
              <w:spacing w:line="360" w:lineRule="auto"/>
              <w:contextualSpacing/>
              <w:jc w:val="center"/>
              <w:rPr>
                <w:rFonts w:ascii="宋体" w:hAnsi="宋体" w:cs="宋体"/>
                <w:color w:val="auto"/>
                <w:sz w:val="24"/>
                <w:szCs w:val="20"/>
                <w:highlight w:val="none"/>
              </w:rPr>
            </w:pPr>
          </w:p>
        </w:tc>
        <w:tc>
          <w:tcPr>
            <w:tcW w:w="2196" w:type="dxa"/>
            <w:vAlign w:val="center"/>
          </w:tcPr>
          <w:p w14:paraId="4F385E8F">
            <w:pPr>
              <w:spacing w:line="360" w:lineRule="auto"/>
              <w:contextualSpacing/>
              <w:jc w:val="center"/>
              <w:rPr>
                <w:rFonts w:ascii="宋体" w:hAnsi="宋体" w:cs="宋体"/>
                <w:color w:val="auto"/>
                <w:sz w:val="24"/>
                <w:szCs w:val="20"/>
                <w:highlight w:val="none"/>
              </w:rPr>
            </w:pPr>
          </w:p>
        </w:tc>
        <w:tc>
          <w:tcPr>
            <w:tcW w:w="2468" w:type="dxa"/>
            <w:vAlign w:val="center"/>
          </w:tcPr>
          <w:p w14:paraId="4348B43A">
            <w:pPr>
              <w:spacing w:line="360" w:lineRule="auto"/>
              <w:contextualSpacing/>
              <w:jc w:val="center"/>
              <w:rPr>
                <w:rFonts w:ascii="宋体" w:hAnsi="宋体" w:cs="宋体"/>
                <w:color w:val="auto"/>
                <w:sz w:val="24"/>
                <w:szCs w:val="20"/>
                <w:highlight w:val="none"/>
              </w:rPr>
            </w:pPr>
          </w:p>
        </w:tc>
      </w:tr>
      <w:tr w14:paraId="092B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B51532">
            <w:pPr>
              <w:spacing w:line="360" w:lineRule="auto"/>
              <w:contextualSpacing/>
              <w:jc w:val="center"/>
              <w:rPr>
                <w:rFonts w:ascii="宋体" w:hAnsi="宋体" w:cs="宋体"/>
                <w:color w:val="auto"/>
                <w:sz w:val="24"/>
                <w:szCs w:val="20"/>
                <w:highlight w:val="none"/>
              </w:rPr>
            </w:pPr>
          </w:p>
        </w:tc>
        <w:tc>
          <w:tcPr>
            <w:tcW w:w="709" w:type="dxa"/>
            <w:vAlign w:val="center"/>
          </w:tcPr>
          <w:p w14:paraId="318AAB32">
            <w:pPr>
              <w:spacing w:line="360" w:lineRule="auto"/>
              <w:contextualSpacing/>
              <w:jc w:val="center"/>
              <w:rPr>
                <w:rFonts w:ascii="宋体" w:hAnsi="宋体" w:cs="宋体"/>
                <w:color w:val="auto"/>
                <w:sz w:val="24"/>
                <w:szCs w:val="20"/>
                <w:highlight w:val="none"/>
              </w:rPr>
            </w:pPr>
          </w:p>
        </w:tc>
        <w:tc>
          <w:tcPr>
            <w:tcW w:w="2905" w:type="dxa"/>
            <w:vAlign w:val="center"/>
          </w:tcPr>
          <w:p w14:paraId="13BDF02B">
            <w:pPr>
              <w:spacing w:line="360" w:lineRule="auto"/>
              <w:contextualSpacing/>
              <w:jc w:val="center"/>
              <w:rPr>
                <w:rFonts w:ascii="宋体" w:hAnsi="宋体" w:cs="宋体"/>
                <w:color w:val="auto"/>
                <w:sz w:val="24"/>
                <w:szCs w:val="20"/>
                <w:highlight w:val="none"/>
              </w:rPr>
            </w:pPr>
          </w:p>
        </w:tc>
        <w:tc>
          <w:tcPr>
            <w:tcW w:w="1309" w:type="dxa"/>
            <w:vAlign w:val="center"/>
          </w:tcPr>
          <w:p w14:paraId="0CB3EF0E">
            <w:pPr>
              <w:spacing w:line="360" w:lineRule="auto"/>
              <w:contextualSpacing/>
              <w:jc w:val="center"/>
              <w:rPr>
                <w:rFonts w:ascii="宋体" w:hAnsi="宋体" w:cs="宋体"/>
                <w:color w:val="auto"/>
                <w:sz w:val="24"/>
                <w:szCs w:val="20"/>
                <w:highlight w:val="none"/>
              </w:rPr>
            </w:pPr>
          </w:p>
        </w:tc>
        <w:tc>
          <w:tcPr>
            <w:tcW w:w="2196" w:type="dxa"/>
            <w:vAlign w:val="center"/>
          </w:tcPr>
          <w:p w14:paraId="310B3E63">
            <w:pPr>
              <w:spacing w:line="360" w:lineRule="auto"/>
              <w:contextualSpacing/>
              <w:jc w:val="center"/>
              <w:rPr>
                <w:rFonts w:ascii="宋体" w:hAnsi="宋体" w:cs="宋体"/>
                <w:color w:val="auto"/>
                <w:sz w:val="24"/>
                <w:szCs w:val="20"/>
                <w:highlight w:val="none"/>
              </w:rPr>
            </w:pPr>
          </w:p>
        </w:tc>
        <w:tc>
          <w:tcPr>
            <w:tcW w:w="2468" w:type="dxa"/>
            <w:vAlign w:val="center"/>
          </w:tcPr>
          <w:p w14:paraId="1D34DD72">
            <w:pPr>
              <w:spacing w:line="360" w:lineRule="auto"/>
              <w:contextualSpacing/>
              <w:jc w:val="center"/>
              <w:rPr>
                <w:rFonts w:ascii="宋体" w:hAnsi="宋体" w:cs="宋体"/>
                <w:color w:val="auto"/>
                <w:sz w:val="24"/>
                <w:szCs w:val="20"/>
                <w:highlight w:val="none"/>
              </w:rPr>
            </w:pPr>
          </w:p>
        </w:tc>
      </w:tr>
    </w:tbl>
    <w:p w14:paraId="11FBEE2F">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6912B23F">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6F07E780">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2.供应商应当附本表所列证书的复印件并加盖供应商公章。</w:t>
      </w:r>
    </w:p>
    <w:p w14:paraId="510A7399">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203EAA1A">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供应商（盖公章）：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3890F005">
      <w:pPr>
        <w:snapToGrid w:val="0"/>
        <w:spacing w:before="50" w:afterLines="50"/>
        <w:jc w:val="left"/>
        <w:rPr>
          <w:rFonts w:ascii="宋体" w:hAnsi="宋体" w:cs="宋体"/>
          <w:color w:val="auto"/>
          <w:sz w:val="24"/>
          <w:szCs w:val="20"/>
          <w:highlight w:val="none"/>
        </w:rPr>
      </w:pPr>
    </w:p>
    <w:p w14:paraId="0A037BE0">
      <w:pPr>
        <w:snapToGrid w:val="0"/>
        <w:spacing w:before="50" w:after="50" w:line="360" w:lineRule="auto"/>
        <w:ind w:right="-817" w:rightChars="-389" w:firstLine="5461" w:firstLineChars="1700"/>
        <w:rPr>
          <w:rFonts w:ascii="宋体" w:hAnsi="宋体" w:cs="宋体"/>
          <w:b/>
          <w:color w:val="auto"/>
          <w:sz w:val="32"/>
          <w:szCs w:val="32"/>
          <w:highlight w:val="none"/>
        </w:rPr>
      </w:pPr>
    </w:p>
    <w:p w14:paraId="61345AA0">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52C266B0">
      <w:pPr>
        <w:jc w:val="center"/>
        <w:rPr>
          <w:rFonts w:ascii="宋体" w:hAnsi="宋体" w:cs="宋体"/>
          <w:color w:val="auto"/>
          <w:sz w:val="44"/>
          <w:szCs w:val="44"/>
          <w:highlight w:val="none"/>
        </w:rPr>
      </w:pPr>
      <w:bookmarkStart w:id="144" w:name="_Toc71365926"/>
      <w:r>
        <w:rPr>
          <w:rFonts w:hint="eastAsia" w:ascii="宋体" w:hAnsi="宋体" w:cs="宋体"/>
          <w:color w:val="auto"/>
          <w:sz w:val="44"/>
          <w:szCs w:val="44"/>
          <w:highlight w:val="none"/>
        </w:rPr>
        <w:t>中小企业声明函（服务）</w:t>
      </w:r>
      <w:bookmarkEnd w:id="144"/>
    </w:p>
    <w:p w14:paraId="67397013">
      <w:pPr>
        <w:spacing w:before="2" w:line="500" w:lineRule="exact"/>
        <w:ind w:firstLine="708" w:firstLineChars="294"/>
        <w:rPr>
          <w:rFonts w:ascii="宋体" w:hAnsi="宋体" w:cs="宋体"/>
          <w:b/>
          <w:bCs/>
          <w:color w:val="auto"/>
          <w:sz w:val="24"/>
          <w:highlight w:val="none"/>
        </w:rPr>
      </w:pPr>
    </w:p>
    <w:p w14:paraId="3B40A2B5">
      <w:pPr>
        <w:pStyle w:val="3"/>
        <w:spacing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1D0A8F17">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9AF3AAD">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10BB39B">
      <w:pPr>
        <w:pStyle w:val="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75432138">
      <w:pPr>
        <w:pStyle w:val="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88DD022">
      <w:pPr>
        <w:pStyle w:val="3"/>
        <w:spacing w:before="25"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44AC40A">
      <w:pPr>
        <w:pStyle w:val="3"/>
        <w:spacing w:before="56" w:line="500" w:lineRule="exact"/>
        <w:ind w:right="1808" w:firstLine="705" w:firstLineChars="294"/>
        <w:rPr>
          <w:rFonts w:ascii="宋体" w:hAnsi="宋体" w:cs="宋体"/>
          <w:color w:val="auto"/>
          <w:sz w:val="24"/>
          <w:highlight w:val="none"/>
        </w:rPr>
      </w:pPr>
    </w:p>
    <w:p w14:paraId="2B5302EF">
      <w:pPr>
        <w:pStyle w:val="3"/>
        <w:spacing w:before="56" w:line="500" w:lineRule="exact"/>
        <w:ind w:right="650" w:firstLine="5625" w:firstLineChars="2344"/>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6A3DF9CC">
      <w:pPr>
        <w:pStyle w:val="3"/>
        <w:spacing w:before="56" w:line="50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47524D39">
      <w:pPr>
        <w:spacing w:line="520" w:lineRule="exact"/>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1772F67">
      <w:pPr>
        <w:spacing w:line="520" w:lineRule="exact"/>
        <w:jc w:val="center"/>
        <w:rPr>
          <w:rFonts w:ascii="宋体" w:hAnsi="宋体" w:cs="宋体"/>
          <w:color w:val="auto"/>
          <w:sz w:val="24"/>
          <w:highlight w:val="none"/>
        </w:rPr>
      </w:pPr>
    </w:p>
    <w:p w14:paraId="0D54D11A">
      <w:pPr>
        <w:pStyle w:val="19"/>
        <w:jc w:val="left"/>
        <w:rPr>
          <w:rFonts w:hAnsi="宋体" w:cs="宋体"/>
          <w:color w:val="auto"/>
          <w:sz w:val="32"/>
          <w:szCs w:val="32"/>
          <w:highlight w:val="none"/>
        </w:rPr>
      </w:pPr>
      <w:r>
        <w:rPr>
          <w:rFonts w:hint="eastAsia" w:hAnsi="宋体" w:cs="宋体"/>
          <w:color w:val="auto"/>
          <w:sz w:val="24"/>
          <w:highlight w:val="none"/>
        </w:rPr>
        <w:br w:type="page"/>
      </w:r>
      <w:r>
        <w:rPr>
          <w:rFonts w:hint="eastAsia" w:hAnsi="宋体" w:cs="宋体"/>
          <w:color w:val="auto"/>
          <w:sz w:val="32"/>
          <w:szCs w:val="32"/>
          <w:highlight w:val="none"/>
        </w:rPr>
        <w:t>附：</w:t>
      </w:r>
    </w:p>
    <w:p w14:paraId="5BB63B9F">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4AEFF8AD">
      <w:pPr>
        <w:ind w:left="1871"/>
        <w:rPr>
          <w:rFonts w:ascii="宋体" w:hAnsi="宋体" w:cs="宋体"/>
          <w:color w:val="auto"/>
          <w:szCs w:val="21"/>
          <w:highlight w:val="none"/>
        </w:rPr>
      </w:pPr>
    </w:p>
    <w:tbl>
      <w:tblPr>
        <w:tblStyle w:val="30"/>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6D2A4E0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FC70DA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587164D8">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11129838">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896177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1AC85E0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65B85DA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12F82BF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B91898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50F2EF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63F25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AEA80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E7314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06BDB7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B99557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E32B69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325202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7C4D4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4BC65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2D950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008026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E72E8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5E167F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3CD3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75F12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60170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3F7998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6BFC45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C4C9D5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1BAEB8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298DE4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BBB94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9F5F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3DA5E8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ED38B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7FD40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C588B9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6A6F0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0CFBF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D24D7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1A1044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7E8A58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D5BA4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45AA80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59E8A0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B6659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BF36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79ED2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681C02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089BC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0FBD8E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83F1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80B37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147A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6395E7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4A9D72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A6BB39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6B58F1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4B2D65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50B84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0C9CF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CB781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0CEF3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1529C1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9FE3F8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C5EFE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09F1A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90D19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1C4B1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3FE9EA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36218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BF7F79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68F0B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FC6E2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7185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9208E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6BB54B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586A0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9649C20">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0F1D1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6EB7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7128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61D55E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18528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39E1DB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02F7F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253154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4A4B0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A7BE7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9F282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2B1C5B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43CB49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0FBC35">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C1A32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C1C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AC35B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C3C08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B1512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75B39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C2BC2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04115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B9693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16927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B58A5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19C44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76D8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A683BD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14E0E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56731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ED7F8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2FAC3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7209D4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96254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8929F0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14CDF1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7E0D1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F133C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FCD8C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537E9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0456C8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FACD19">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A8CF2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A7EB1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FD0D6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8898F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35108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EE9C3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BB1B2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2FA773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F5FC6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AEA3E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DDBB0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5E56C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FB02F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F28258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B170E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0CB0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B7D42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DB1A2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C471E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D7B7B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5640C7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12BB4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FF57A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B06E1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44EC4A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9B2D9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34C4E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BC825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B47E3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89C66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6238B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145021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EB391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47FF0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9C1B08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3CD9C1E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7579A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AFA6D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DA156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1ACB8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F97AF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53EAB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1C83A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92AB7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F94F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5849AC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30885B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40BDBD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F40C3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328434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22EB4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8FA20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5E5CA7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74186C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0EFB70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23B124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F819D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BDC78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80525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496099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36CF15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895A2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A4DC8C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52F153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407FA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A04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8D384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725EA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CF0603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4F6049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FF5A2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AFD44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9D97B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665E34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411D3C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72134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BBDD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75F94B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B9622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471EF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DABB8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A8929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FA6A5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D345F78">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FDB2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8C09A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10B4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214C24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238CA6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310BC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1E17F4F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1CA0AC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B4763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8A2B3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ED31B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2CADA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3F6098F">
      <w:pPr>
        <w:spacing w:line="360" w:lineRule="auto"/>
        <w:ind w:firstLine="525" w:firstLineChars="250"/>
        <w:rPr>
          <w:rFonts w:ascii="宋体" w:hAnsi="宋体" w:cs="宋体"/>
          <w:color w:val="auto"/>
          <w:szCs w:val="21"/>
          <w:highlight w:val="none"/>
        </w:rPr>
      </w:pPr>
    </w:p>
    <w:p w14:paraId="255575A0">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BA9EE28">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65BBB173">
      <w:pPr>
        <w:spacing w:line="360" w:lineRule="auto"/>
        <w:contextualSpacing/>
        <w:rPr>
          <w:rFonts w:ascii="宋体" w:hAnsi="宋体" w:cs="宋体"/>
          <w:color w:val="auto"/>
          <w:sz w:val="32"/>
          <w:szCs w:val="32"/>
          <w:highlight w:val="none"/>
        </w:rPr>
      </w:pPr>
    </w:p>
    <w:p w14:paraId="06F27B3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2C3BBA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C919E2E">
      <w:pPr>
        <w:spacing w:line="360" w:lineRule="auto"/>
        <w:contextualSpacing/>
        <w:rPr>
          <w:rFonts w:ascii="宋体" w:hAnsi="宋体" w:cs="宋体"/>
          <w:color w:val="auto"/>
          <w:sz w:val="24"/>
          <w:highlight w:val="none"/>
        </w:rPr>
      </w:pPr>
    </w:p>
    <w:p w14:paraId="2CBAA2E6">
      <w:pPr>
        <w:spacing w:line="360" w:lineRule="auto"/>
        <w:contextualSpacing/>
        <w:rPr>
          <w:rFonts w:ascii="宋体" w:hAnsi="宋体" w:cs="宋体"/>
          <w:color w:val="auto"/>
          <w:sz w:val="24"/>
          <w:highlight w:val="none"/>
        </w:rPr>
      </w:pPr>
    </w:p>
    <w:p w14:paraId="1899BD02">
      <w:pPr>
        <w:spacing w:line="360" w:lineRule="auto"/>
        <w:contextualSpacing/>
        <w:rPr>
          <w:rFonts w:ascii="宋体" w:hAnsi="宋体" w:cs="宋体"/>
          <w:color w:val="auto"/>
          <w:sz w:val="24"/>
          <w:highlight w:val="none"/>
        </w:rPr>
      </w:pPr>
    </w:p>
    <w:p w14:paraId="4C8CB629">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3996A068">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4C01AF3C">
      <w:pPr>
        <w:spacing w:line="360" w:lineRule="auto"/>
        <w:contextualSpacing/>
        <w:rPr>
          <w:rFonts w:ascii="宋体" w:hAnsi="宋体" w:cs="宋体"/>
          <w:color w:val="auto"/>
          <w:sz w:val="24"/>
          <w:highlight w:val="none"/>
        </w:rPr>
      </w:pPr>
    </w:p>
    <w:p w14:paraId="25423D1C">
      <w:pPr>
        <w:spacing w:line="360" w:lineRule="auto"/>
        <w:contextualSpacing/>
        <w:rPr>
          <w:rFonts w:ascii="宋体" w:hAnsi="宋体" w:cs="宋体"/>
          <w:color w:val="auto"/>
          <w:sz w:val="24"/>
          <w:highlight w:val="none"/>
        </w:rPr>
      </w:pPr>
    </w:p>
    <w:p w14:paraId="1B81CB49">
      <w:pPr>
        <w:spacing w:line="360" w:lineRule="auto"/>
        <w:contextualSpacing/>
        <w:rPr>
          <w:rFonts w:ascii="宋体" w:hAnsi="宋体" w:cs="宋体"/>
          <w:color w:val="auto"/>
          <w:sz w:val="24"/>
          <w:highlight w:val="none"/>
        </w:rPr>
      </w:pPr>
    </w:p>
    <w:p w14:paraId="6C2643D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A8A06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14:paraId="0D6371D6">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w:t>
      </w:r>
      <w:r>
        <w:rPr>
          <w:rFonts w:hint="eastAsia" w:ascii="宋体" w:hAnsi="宋体" w:cs="宋体"/>
          <w:color w:val="auto"/>
          <w:sz w:val="28"/>
          <w:szCs w:val="28"/>
          <w:highlight w:val="none"/>
        </w:rPr>
        <w:t>（格式）</w:t>
      </w:r>
    </w:p>
    <w:p w14:paraId="3C32BEAB">
      <w:pPr>
        <w:pStyle w:val="19"/>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489A797B">
      <w:pPr>
        <w:pStyle w:val="19"/>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F9071AF">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405FC14">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3626C4E">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C972667">
      <w:pPr>
        <w:pStyle w:val="19"/>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B72B578">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496721">
      <w:pPr>
        <w:pStyle w:val="19"/>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F229B15">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5B49F1C2">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C5A790B">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1972ED9">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494C6501">
      <w:pPr>
        <w:pStyle w:val="19"/>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346778A">
      <w:pPr>
        <w:pStyle w:val="19"/>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12C72C82">
      <w:pPr>
        <w:pStyle w:val="19"/>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12D3A4D9">
      <w:pPr>
        <w:pStyle w:val="19"/>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5F85F62">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3EB318C3">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7C3070F3">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3D5E04BC">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7B7A4C7">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6BC77FC3">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AB3AC32">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4D3A2708">
      <w:pPr>
        <w:pStyle w:val="19"/>
        <w:spacing w:line="360" w:lineRule="auto"/>
        <w:ind w:left="25" w:leftChars="12" w:firstLine="352" w:firstLineChars="147"/>
        <w:contextualSpacing/>
        <w:rPr>
          <w:rFonts w:hAnsi="宋体" w:cs="宋体"/>
          <w:color w:val="auto"/>
          <w:sz w:val="24"/>
          <w:szCs w:val="24"/>
          <w:highlight w:val="none"/>
        </w:rPr>
      </w:pPr>
    </w:p>
    <w:p w14:paraId="588423CE">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7430527B">
      <w:pPr>
        <w:pStyle w:val="19"/>
        <w:spacing w:line="360" w:lineRule="auto"/>
        <w:ind w:firstLine="480" w:firstLineChars="200"/>
        <w:contextualSpacing/>
        <w:rPr>
          <w:rFonts w:hAnsi="宋体" w:cs="宋体"/>
          <w:b/>
          <w:color w:val="auto"/>
          <w:sz w:val="24"/>
          <w:szCs w:val="24"/>
          <w:highlight w:val="none"/>
        </w:rPr>
      </w:pPr>
      <w:r>
        <w:rPr>
          <w:rFonts w:hint="eastAsia" w:hAnsi="宋体" w:cs="宋体"/>
          <w:color w:val="auto"/>
          <w:sz w:val="24"/>
          <w:szCs w:val="24"/>
          <w:highlight w:val="none"/>
        </w:rPr>
        <w:t>日期：</w:t>
      </w:r>
    </w:p>
    <w:p w14:paraId="17791655">
      <w:pPr>
        <w:pStyle w:val="19"/>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53C2DE3A">
      <w:pPr>
        <w:pStyle w:val="19"/>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935160D">
      <w:pPr>
        <w:pStyle w:val="19"/>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F42D1D">
      <w:pPr>
        <w:pStyle w:val="19"/>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39201798">
      <w:pPr>
        <w:pStyle w:val="19"/>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7C294667">
      <w:pPr>
        <w:pStyle w:val="19"/>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8C5E000">
      <w:pPr>
        <w:pStyle w:val="19"/>
        <w:snapToGrid w:val="0"/>
        <w:rPr>
          <w:rFonts w:hAnsi="宋体" w:cs="宋体"/>
          <w:b/>
          <w:color w:val="auto"/>
          <w:sz w:val="24"/>
          <w:szCs w:val="24"/>
          <w:highlight w:val="none"/>
        </w:rPr>
      </w:pPr>
    </w:p>
    <w:p w14:paraId="08A6FE95">
      <w:pPr>
        <w:rPr>
          <w:rFonts w:ascii="宋体" w:hAnsi="宋体" w:cs="宋体"/>
          <w:color w:val="auto"/>
          <w:sz w:val="32"/>
          <w:szCs w:val="40"/>
          <w:highlight w:val="none"/>
        </w:rPr>
      </w:pPr>
    </w:p>
    <w:p w14:paraId="582860AD">
      <w:pPr>
        <w:rPr>
          <w:rFonts w:ascii="宋体" w:hAnsi="宋体" w:cs="宋体"/>
          <w:color w:val="auto"/>
          <w:sz w:val="32"/>
          <w:szCs w:val="40"/>
          <w:highlight w:val="none"/>
        </w:rPr>
      </w:pPr>
    </w:p>
    <w:p w14:paraId="10E7D60A">
      <w:pPr>
        <w:rPr>
          <w:rFonts w:ascii="宋体" w:hAnsi="宋体" w:cs="宋体"/>
          <w:color w:val="auto"/>
          <w:sz w:val="32"/>
          <w:szCs w:val="40"/>
          <w:highlight w:val="none"/>
        </w:rPr>
      </w:pPr>
    </w:p>
    <w:p w14:paraId="73674D55">
      <w:pPr>
        <w:rPr>
          <w:rFonts w:ascii="宋体" w:hAnsi="宋体" w:cs="宋体"/>
          <w:color w:val="auto"/>
          <w:sz w:val="32"/>
          <w:szCs w:val="40"/>
          <w:highlight w:val="none"/>
        </w:rPr>
      </w:pPr>
    </w:p>
    <w:p w14:paraId="6CF4C41F">
      <w:pPr>
        <w:rPr>
          <w:rFonts w:ascii="宋体" w:hAnsi="宋体" w:cs="宋体"/>
          <w:color w:val="auto"/>
          <w:sz w:val="32"/>
          <w:szCs w:val="40"/>
          <w:highlight w:val="none"/>
        </w:rPr>
      </w:pPr>
    </w:p>
    <w:p w14:paraId="6716E44E">
      <w:pPr>
        <w:rPr>
          <w:rFonts w:ascii="宋体" w:hAnsi="宋体" w:cs="宋体"/>
          <w:color w:val="auto"/>
          <w:sz w:val="32"/>
          <w:szCs w:val="40"/>
          <w:highlight w:val="none"/>
        </w:rPr>
      </w:pPr>
    </w:p>
    <w:p w14:paraId="068A8E49">
      <w:pPr>
        <w:rPr>
          <w:rFonts w:ascii="宋体" w:hAnsi="宋体" w:cs="宋体"/>
          <w:color w:val="auto"/>
          <w:sz w:val="32"/>
          <w:szCs w:val="40"/>
          <w:highlight w:val="none"/>
        </w:rPr>
      </w:pPr>
    </w:p>
    <w:p w14:paraId="58E3E11D">
      <w:pPr>
        <w:rPr>
          <w:rFonts w:ascii="宋体" w:hAnsi="宋体" w:cs="宋体"/>
          <w:color w:val="auto"/>
          <w:sz w:val="32"/>
          <w:szCs w:val="40"/>
          <w:highlight w:val="none"/>
        </w:rPr>
      </w:pPr>
    </w:p>
    <w:p w14:paraId="77879275">
      <w:pPr>
        <w:rPr>
          <w:rFonts w:ascii="宋体" w:hAnsi="宋体" w:cs="宋体"/>
          <w:color w:val="auto"/>
          <w:sz w:val="32"/>
          <w:szCs w:val="40"/>
          <w:highlight w:val="none"/>
        </w:rPr>
      </w:pPr>
    </w:p>
    <w:p w14:paraId="37AE8569">
      <w:pPr>
        <w:rPr>
          <w:rFonts w:ascii="宋体" w:hAnsi="宋体" w:cs="宋体"/>
          <w:color w:val="auto"/>
          <w:sz w:val="32"/>
          <w:szCs w:val="40"/>
          <w:highlight w:val="none"/>
        </w:rPr>
      </w:pPr>
    </w:p>
    <w:p w14:paraId="28C13CC3">
      <w:pPr>
        <w:rPr>
          <w:rFonts w:ascii="宋体" w:hAnsi="宋体" w:cs="宋体"/>
          <w:color w:val="auto"/>
          <w:sz w:val="32"/>
          <w:szCs w:val="40"/>
          <w:highlight w:val="none"/>
        </w:rPr>
      </w:pPr>
    </w:p>
    <w:p w14:paraId="6DF073E2">
      <w:pPr>
        <w:rPr>
          <w:rFonts w:ascii="宋体" w:hAnsi="宋体" w:cs="宋体"/>
          <w:color w:val="auto"/>
          <w:sz w:val="32"/>
          <w:szCs w:val="40"/>
          <w:highlight w:val="none"/>
        </w:rPr>
      </w:pPr>
    </w:p>
    <w:p w14:paraId="238337CD">
      <w:pPr>
        <w:rPr>
          <w:rFonts w:ascii="宋体" w:hAnsi="宋体" w:cs="宋体"/>
          <w:color w:val="auto"/>
          <w:sz w:val="32"/>
          <w:szCs w:val="40"/>
          <w:highlight w:val="none"/>
        </w:rPr>
      </w:pPr>
    </w:p>
    <w:p w14:paraId="1857056F">
      <w:pPr>
        <w:rPr>
          <w:rFonts w:ascii="宋体" w:hAnsi="宋体" w:cs="宋体"/>
          <w:color w:val="auto"/>
          <w:sz w:val="32"/>
          <w:szCs w:val="40"/>
          <w:highlight w:val="none"/>
        </w:rPr>
      </w:pPr>
    </w:p>
    <w:p w14:paraId="4009FFBE">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542F07D6">
      <w:pPr>
        <w:pStyle w:val="19"/>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EFF59BA">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2C6F6AC">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C5110FF">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2CEDBFD">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D12EF0B">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CA0E90D">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91116AF">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C1F89F">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1BED00B9">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1FA0501">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2C4582D">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A9509C5">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64B2826C">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2246AC0B">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1EE11517">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A8C9519">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8E55E89">
      <w:pPr>
        <w:pStyle w:val="19"/>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3A2E50B5">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415508C">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1936D09">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9252251">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0FF4F8EB">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1786F82">
      <w:pPr>
        <w:pStyle w:val="19"/>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CDDA8B4">
      <w:pPr>
        <w:pStyle w:val="19"/>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F99EED9">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41470F02">
      <w:pPr>
        <w:pStyle w:val="19"/>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52A43BF">
      <w:pPr>
        <w:pStyle w:val="19"/>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2EA1C19">
      <w:pPr>
        <w:pStyle w:val="19"/>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236E6EF3">
      <w:pPr>
        <w:pStyle w:val="19"/>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3DE67E96">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BA7ABCF">
      <w:pPr>
        <w:pStyle w:val="19"/>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1A83B7F">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39B82E55">
      <w:pPr>
        <w:pStyle w:val="19"/>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49409F4">
      <w:pPr>
        <w:pStyle w:val="19"/>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A1CB472">
      <w:pPr>
        <w:pStyle w:val="19"/>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BF32293">
      <w:pPr>
        <w:pStyle w:val="19"/>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669C6C2">
      <w:pPr>
        <w:pStyle w:val="19"/>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96EC492">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420C5F77">
      <w:pPr>
        <w:pStyle w:val="19"/>
        <w:spacing w:line="360" w:lineRule="auto"/>
        <w:ind w:left="25" w:leftChars="12" w:firstLine="352" w:firstLineChars="147"/>
        <w:rPr>
          <w:rFonts w:hAnsi="宋体" w:cs="宋体"/>
          <w:color w:val="auto"/>
          <w:sz w:val="24"/>
          <w:szCs w:val="24"/>
          <w:highlight w:val="none"/>
        </w:rPr>
      </w:pPr>
    </w:p>
    <w:p w14:paraId="7AB28475">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4CD7A66">
      <w:pPr>
        <w:pStyle w:val="19"/>
        <w:spacing w:line="360" w:lineRule="auto"/>
        <w:ind w:left="25" w:leftChars="12" w:firstLine="352" w:firstLineChars="147"/>
        <w:rPr>
          <w:rFonts w:hAnsi="宋体" w:cs="宋体"/>
          <w:color w:val="auto"/>
          <w:sz w:val="24"/>
          <w:szCs w:val="24"/>
          <w:highlight w:val="none"/>
        </w:rPr>
      </w:pPr>
    </w:p>
    <w:p w14:paraId="39393F4D">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47AC35B">
      <w:pPr>
        <w:pStyle w:val="19"/>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13FC81D1">
      <w:pPr>
        <w:pStyle w:val="19"/>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3302207">
      <w:pPr>
        <w:pStyle w:val="19"/>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11C8AB8">
      <w:pPr>
        <w:pStyle w:val="19"/>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C2A0D2">
      <w:pPr>
        <w:pStyle w:val="19"/>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09B3242F">
      <w:pPr>
        <w:pStyle w:val="19"/>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534EF3FB">
      <w:pPr>
        <w:pStyle w:val="19"/>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489B2B0">
      <w:pPr>
        <w:pStyle w:val="19"/>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13F72F0">
      <w:pPr>
        <w:pStyle w:val="6"/>
        <w:rPr>
          <w:rFonts w:ascii="宋体" w:hAnsi="宋体" w:cs="宋体"/>
          <w:color w:val="auto"/>
          <w:highlight w:val="none"/>
        </w:rPr>
      </w:pPr>
      <w:bookmarkStart w:id="145" w:name="_Toc74323461"/>
      <w:r>
        <w:rPr>
          <w:rFonts w:hint="eastAsia" w:ascii="宋体" w:hAnsi="宋体" w:cs="宋体"/>
          <w:color w:val="auto"/>
          <w:highlight w:val="none"/>
        </w:rPr>
        <w:t>第六章 合同文本</w:t>
      </w:r>
      <w:bookmarkEnd w:id="145"/>
      <w:r>
        <w:rPr>
          <w:rFonts w:hint="eastAsia" w:ascii="宋体" w:hAnsi="宋体" w:cs="宋体"/>
          <w:color w:val="auto"/>
          <w:highlight w:val="none"/>
        </w:rPr>
        <w:t>（参考）</w:t>
      </w:r>
    </w:p>
    <w:p w14:paraId="28892EBD">
      <w:pPr>
        <w:spacing w:line="520" w:lineRule="exact"/>
        <w:rPr>
          <w:rFonts w:ascii="宋体" w:hAnsi="宋体" w:cs="宋体"/>
          <w:b/>
          <w:color w:val="auto"/>
          <w:sz w:val="32"/>
          <w:szCs w:val="32"/>
          <w:highlight w:val="none"/>
        </w:rPr>
      </w:pPr>
    </w:p>
    <w:p w14:paraId="08146102">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0EEB4FE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02564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6BA6C35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57DB01DC">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51BAA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根据《中华人民共和国政府采购法》、《中华人民共和国民法典》等法律、法规规定，按照磋商文件规定条款和乙方响应文件及其承诺，甲乙双方签订本合同。</w:t>
      </w:r>
    </w:p>
    <w:p w14:paraId="00D61167">
      <w:pPr>
        <w:pStyle w:val="26"/>
        <w:numPr>
          <w:ilvl w:val="0"/>
          <w:numId w:val="1"/>
        </w:numPr>
        <w:spacing w:afterLines="50" w:line="360" w:lineRule="exact"/>
        <w:ind w:firstLine="422" w:firstLineChars="200"/>
        <w:rPr>
          <w:rFonts w:ascii="宋体" w:hAnsi="宋体" w:cs="仿宋"/>
          <w:b/>
          <w:bCs/>
          <w:color w:val="auto"/>
          <w:sz w:val="21"/>
          <w:szCs w:val="21"/>
          <w:highlight w:val="none"/>
        </w:rPr>
      </w:pPr>
      <w:r>
        <w:rPr>
          <w:rFonts w:hint="eastAsia" w:ascii="宋体" w:hAnsi="宋体" w:cs="仿宋"/>
          <w:b/>
          <w:bCs/>
          <w:color w:val="auto"/>
          <w:sz w:val="21"/>
          <w:szCs w:val="21"/>
          <w:highlight w:val="none"/>
        </w:rPr>
        <w:t>合同有效期</w:t>
      </w:r>
      <w:r>
        <w:rPr>
          <w:rFonts w:hint="eastAsia" w:ascii="宋体" w:hAnsi="宋体" w:cs="仿宋"/>
          <w:b/>
          <w:bCs/>
          <w:color w:val="auto"/>
          <w:sz w:val="21"/>
          <w:szCs w:val="21"/>
          <w:highlight w:val="none"/>
          <w:lang w:eastAsia="zh-CN"/>
        </w:rPr>
        <w:t>：签订合同之日起1年，自合同签订之日起生效。或服务期内，如预算用尽，</w:t>
      </w:r>
      <w:r>
        <w:rPr>
          <w:rFonts w:hint="eastAsia" w:ascii="宋体" w:hAnsi="宋体" w:cs="仿宋"/>
          <w:b/>
          <w:bCs/>
          <w:color w:val="auto"/>
          <w:sz w:val="21"/>
          <w:szCs w:val="21"/>
          <w:highlight w:val="none"/>
          <w:lang w:val="zh-CN" w:eastAsia="zh-CN"/>
        </w:rPr>
        <w:t>采购人无法支付车辆租赁费用时，合同自动终止。</w:t>
      </w:r>
    </w:p>
    <w:p w14:paraId="39545F4C">
      <w:pPr>
        <w:pStyle w:val="26"/>
        <w:spacing w:afterLines="50" w:line="360" w:lineRule="exact"/>
        <w:ind w:firstLine="422" w:firstLineChars="200"/>
        <w:rPr>
          <w:rFonts w:ascii="宋体" w:hAnsi="宋体" w:cs="仿宋"/>
          <w:b/>
          <w:bCs/>
          <w:color w:val="auto"/>
          <w:sz w:val="21"/>
          <w:szCs w:val="21"/>
          <w:highlight w:val="none"/>
        </w:rPr>
      </w:pPr>
      <w:r>
        <w:rPr>
          <w:rFonts w:hint="eastAsia" w:ascii="宋体" w:hAnsi="宋体" w:cs="仿宋"/>
          <w:b/>
          <w:bCs/>
          <w:color w:val="auto"/>
          <w:sz w:val="21"/>
          <w:szCs w:val="21"/>
          <w:highlight w:val="none"/>
        </w:rPr>
        <w:t>二、本合同应符合国家交通运输部《中华人民共和国道路运输条例》及《广西壮族自治区道路旅客运输安全管理办法》的有关规定。</w:t>
      </w:r>
    </w:p>
    <w:p w14:paraId="6655105F">
      <w:pPr>
        <w:pStyle w:val="26"/>
        <w:spacing w:afterLines="50" w:line="360" w:lineRule="exact"/>
        <w:ind w:firstLine="422" w:firstLineChars="200"/>
        <w:rPr>
          <w:rFonts w:ascii="宋体" w:hAnsi="宋体" w:cs="仿宋"/>
          <w:b/>
          <w:bCs/>
          <w:color w:val="auto"/>
          <w:sz w:val="21"/>
          <w:szCs w:val="21"/>
          <w:highlight w:val="none"/>
        </w:rPr>
      </w:pPr>
      <w:r>
        <w:rPr>
          <w:rFonts w:hint="eastAsia" w:ascii="宋体" w:hAnsi="宋体" w:cs="仿宋"/>
          <w:b/>
          <w:bCs/>
          <w:color w:val="auto"/>
          <w:sz w:val="21"/>
          <w:szCs w:val="21"/>
          <w:highlight w:val="none"/>
        </w:rPr>
        <w:t>三、用车及费用结算：</w:t>
      </w:r>
    </w:p>
    <w:p w14:paraId="6382C1FA">
      <w:pPr>
        <w:pStyle w:val="26"/>
        <w:spacing w:afterLines="50" w:line="360" w:lineRule="exact"/>
        <w:ind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车辆租赁费用按照实际完成的车辆租赁服务订单进行结算，结算金额 = 实际完成订单数量×对应车型的成交价，在单次租赁业务完成10个工作日内，甲方与乙方双方核对信息无误后，乙方向甲方开具单次租赁业务相应款项的增值税专用发票，甲方收到发票后20个工作日进行对公转账支付（乙方必须为甲方提供真实、有效、合法的正式增值税专用发票，如提供假发票，乙方除补开合法的增值税专用发票外，必须赔偿甲方发票面额5倍违约金，由此产生的一切损失均由乙方承担）。</w:t>
      </w:r>
      <w:r>
        <w:rPr>
          <w:rFonts w:hint="eastAsia" w:ascii="宋体" w:hAnsi="宋体" w:cs="仿宋"/>
          <w:b/>
          <w:bCs/>
          <w:color w:val="auto"/>
          <w:sz w:val="21"/>
          <w:szCs w:val="21"/>
          <w:highlight w:val="none"/>
        </w:rPr>
        <w:t>对应车型的成交价详见磋商</w:t>
      </w:r>
      <w:r>
        <w:rPr>
          <w:rFonts w:hint="eastAsia" w:ascii="宋体" w:hAnsi="宋体" w:cs="仿宋"/>
          <w:b/>
          <w:bCs/>
          <w:color w:val="auto"/>
          <w:sz w:val="21"/>
          <w:szCs w:val="21"/>
          <w:highlight w:val="none"/>
          <w:lang w:eastAsia="zh-CN"/>
        </w:rPr>
        <w:t>最终</w:t>
      </w:r>
      <w:r>
        <w:rPr>
          <w:rFonts w:hint="eastAsia" w:ascii="宋体" w:hAnsi="宋体" w:cs="仿宋"/>
          <w:b/>
          <w:bCs/>
          <w:color w:val="auto"/>
          <w:sz w:val="21"/>
          <w:szCs w:val="21"/>
          <w:highlight w:val="none"/>
        </w:rPr>
        <w:t>报价表。</w:t>
      </w:r>
    </w:p>
    <w:p w14:paraId="3056FA0C">
      <w:pPr>
        <w:pStyle w:val="26"/>
        <w:shd w:val="clear" w:color="auto" w:fill="FFFFFF"/>
        <w:spacing w:afterLines="50" w:line="360" w:lineRule="exact"/>
        <w:ind w:firstLine="422" w:firstLineChars="200"/>
        <w:rPr>
          <w:rFonts w:ascii="宋体" w:hAnsi="宋体" w:cs="仿宋"/>
          <w:b/>
          <w:bCs/>
          <w:color w:val="auto"/>
          <w:sz w:val="21"/>
          <w:szCs w:val="21"/>
          <w:highlight w:val="none"/>
        </w:rPr>
      </w:pPr>
      <w:r>
        <w:rPr>
          <w:rFonts w:hint="eastAsia" w:ascii="宋体" w:hAnsi="宋体" w:cs="仿宋"/>
          <w:b/>
          <w:bCs/>
          <w:color w:val="auto"/>
          <w:sz w:val="21"/>
          <w:szCs w:val="21"/>
          <w:highlight w:val="none"/>
          <w:shd w:val="clear" w:color="auto" w:fill="FFFFFF"/>
        </w:rPr>
        <w:t>四、甲方的权利和义务</w:t>
      </w:r>
    </w:p>
    <w:p w14:paraId="69318661">
      <w:pPr>
        <w:pStyle w:val="26"/>
        <w:shd w:val="clear" w:color="auto" w:fill="FFFFFF"/>
        <w:spacing w:afterLines="50" w:line="360" w:lineRule="exact"/>
        <w:ind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（一）</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用车必须提前告知乙方及预定用车计划，包括所需车型、座位数、行驶路线、用车期限、联系人、联系电话、服务要求等。</w:t>
      </w:r>
    </w:p>
    <w:p w14:paraId="50F6EC77">
      <w:pPr>
        <w:pStyle w:val="26"/>
        <w:shd w:val="clear" w:color="auto" w:fill="FFFFFF"/>
        <w:spacing w:afterLines="50" w:line="360" w:lineRule="exact"/>
        <w:ind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（二）合同履行期间，</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不得擅自变更行驶路线及目的地（特殊情况除外），</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行程应乘车人要求发生变化时，</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应及时通知乙方，经乙方同意所确定的变化路线及费用后，方可按</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的变更路线行驶。</w:t>
      </w:r>
    </w:p>
    <w:p w14:paraId="515D5A29">
      <w:pPr>
        <w:pStyle w:val="26"/>
        <w:shd w:val="clear" w:color="auto" w:fill="FFFFFF"/>
        <w:spacing w:afterLines="50" w:line="360" w:lineRule="exact"/>
        <w:ind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（三）在车辆使用过程中，</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有义务向乘车人宣传爱护车辆设施及保持车内卫生。如有人为因素损坏车辆及车内设施的应照价赔偿。</w:t>
      </w:r>
    </w:p>
    <w:p w14:paraId="76CF8714">
      <w:pPr>
        <w:pStyle w:val="26"/>
        <w:shd w:val="clear" w:color="auto" w:fill="FFFFFF"/>
        <w:spacing w:afterLines="50" w:line="360" w:lineRule="exact"/>
        <w:ind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（四）在车辆行驶过程中，应尊重乙方驾驶员的工作，不得要求驾驶员作不利安全的举动，不得影响驾驶员的安全行驶，不得强迫驾驶员改变行程等，否则由此造成的后果由</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负责。驾驶员在执行</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任务时，食宿随班安排，驾驶员工资由乙方承担，双方另有约定的除外。</w:t>
      </w:r>
    </w:p>
    <w:p w14:paraId="517B7006">
      <w:pPr>
        <w:pStyle w:val="26"/>
        <w:shd w:val="clear" w:color="auto" w:fill="FFFFFF"/>
        <w:spacing w:afterLines="50" w:line="360" w:lineRule="exact"/>
        <w:ind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（五）</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不得擅自与乙方的驾驶员及个人定车，若出现此情况，后果由</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承担。</w:t>
      </w:r>
      <w:r>
        <w:rPr>
          <w:rFonts w:hint="eastAsia" w:ascii="宋体" w:hAnsi="宋体" w:cs="仿宋"/>
          <w:color w:val="auto"/>
          <w:sz w:val="21"/>
          <w:szCs w:val="21"/>
          <w:highlight w:val="none"/>
        </w:rPr>
        <w:t>甲方</w:t>
      </w:r>
      <w:r>
        <w:rPr>
          <w:rFonts w:hint="eastAsia" w:ascii="宋体" w:hAnsi="宋体" w:cs="仿宋"/>
          <w:color w:val="auto"/>
          <w:sz w:val="21"/>
          <w:szCs w:val="21"/>
          <w:highlight w:val="none"/>
          <w:shd w:val="clear" w:color="auto" w:fill="FFFFFF"/>
        </w:rPr>
        <w:t>应按约定向乙方支付费用。</w:t>
      </w:r>
    </w:p>
    <w:p w14:paraId="584FC8AC">
      <w:pPr>
        <w:pStyle w:val="26"/>
        <w:shd w:val="clear" w:color="auto" w:fill="FFFFFF"/>
        <w:spacing w:afterLines="50" w:line="360" w:lineRule="exact"/>
        <w:ind w:firstLine="422" w:firstLineChars="200"/>
        <w:rPr>
          <w:rFonts w:ascii="宋体" w:hAnsi="宋体" w:cs="仿宋"/>
          <w:b/>
          <w:bCs/>
          <w:color w:val="auto"/>
          <w:sz w:val="21"/>
          <w:szCs w:val="21"/>
          <w:highlight w:val="none"/>
          <w:shd w:val="clear" w:color="auto" w:fill="FFFFFF"/>
        </w:rPr>
      </w:pPr>
      <w:r>
        <w:rPr>
          <w:rFonts w:hint="eastAsia" w:ascii="宋体" w:hAnsi="宋体" w:cs="仿宋"/>
          <w:b/>
          <w:bCs/>
          <w:color w:val="auto"/>
          <w:sz w:val="21"/>
          <w:szCs w:val="21"/>
          <w:highlight w:val="none"/>
          <w:shd w:val="clear" w:color="auto" w:fill="FFFFFF"/>
        </w:rPr>
        <w:t>五、乙方的权利和义务</w:t>
      </w:r>
    </w:p>
    <w:p w14:paraId="73A33B4B">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一）由于甲方使用车辆的灵活性、多变性及临时性，乙方应备足多种车辆供甲方使用。乙方所提供的车辆必须符合营运车辆的相关标准，持有有效的机动车行驶证；道路运输证(大巴车)；机动车交通事故责任强制险、道路客运承运人责任险(大巴车)；小车须购买</w:t>
      </w:r>
      <w:r>
        <w:rPr>
          <w:rFonts w:hint="eastAsia" w:ascii="宋体" w:hAnsi="宋体" w:cs="宋体"/>
          <w:color w:val="auto"/>
          <w:szCs w:val="21"/>
          <w:highlight w:val="none"/>
        </w:rPr>
        <w:t>第三者责任险150万元，大中型客车第三者责任险200万元，座位险各30万；</w:t>
      </w:r>
      <w:r>
        <w:rPr>
          <w:rFonts w:hint="eastAsia" w:ascii="宋体" w:hAnsi="宋体" w:cs="仿宋"/>
          <w:color w:val="auto"/>
          <w:sz w:val="21"/>
          <w:szCs w:val="21"/>
          <w:highlight w:val="none"/>
          <w:shd w:val="clear" w:color="auto" w:fill="FFFFFF"/>
        </w:rPr>
        <w:t>包车合同、安检合格通知单、包车牌。</w:t>
      </w:r>
    </w:p>
    <w:p w14:paraId="477E4A89">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二）乙方安排的驾驶员必须在50周岁以内，具有（与准驾车辆类型相对应的）驾驶证；从业资格证。车辆运行过程中，驾驶员、甲方领队工作上要相互合作，严格遵守交通法规，不违章开车，杜绝疲劳、酒后、超载、超速行驶。</w:t>
      </w:r>
    </w:p>
    <w:p w14:paraId="299899ED">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（三）行程在400公里（含高速公路600公里）以上的，如双方无特殊约</w:t>
      </w:r>
      <w:r>
        <w:rPr>
          <w:rFonts w:hint="eastAsia" w:ascii="宋体" w:hAnsi="宋体" w:cs="仿宋"/>
          <w:color w:val="auto"/>
          <w:sz w:val="21"/>
          <w:szCs w:val="21"/>
          <w:highlight w:val="none"/>
          <w:shd w:val="clear" w:color="auto" w:fill="FFFFFF"/>
        </w:rPr>
        <w:t>定，乙方应当提供双驾驶员，保证在连续驾驶日间四小时、夜间两小时休息一次或轮换驾驶。</w:t>
      </w:r>
    </w:p>
    <w:p w14:paraId="760ADFF0">
      <w:pPr>
        <w:pStyle w:val="26"/>
        <w:spacing w:afterLines="50" w:line="360" w:lineRule="exact"/>
        <w:ind w:left="76" w:right="76"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四）乙方所提供的车辆必须按甲、乙双方签定的用车确认书规定的行驶路线、出车时间、出车地点准时提供给甲方使用（特殊情况除外）。乙方不得搭载无关人员，不得索要“小费”或提出无理要求，不得有违反行业规范和职业道德的行为。</w:t>
      </w:r>
    </w:p>
    <w:p w14:paraId="7D59DB34">
      <w:pPr>
        <w:pStyle w:val="26"/>
        <w:spacing w:afterLines="50" w:line="360" w:lineRule="exact"/>
        <w:ind w:left="76" w:right="76"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（五）车辆运营期间，乙方提供的交通工具如出现故障，短时间内不能修复的，应立即联系同档次车辆转客，</w:t>
      </w:r>
      <w:r>
        <w:rPr>
          <w:rFonts w:hint="eastAsia" w:ascii="宋体" w:hAnsi="宋体" w:cs="仿宋"/>
          <w:color w:val="auto"/>
          <w:sz w:val="21"/>
          <w:szCs w:val="21"/>
          <w:highlight w:val="none"/>
        </w:rPr>
        <w:t>以确保公务出行正常运行。</w:t>
      </w:r>
      <w:r>
        <w:rPr>
          <w:rFonts w:hint="eastAsia" w:ascii="宋体" w:hAnsi="宋体" w:cs="仿宋"/>
          <w:color w:val="auto"/>
          <w:sz w:val="21"/>
          <w:szCs w:val="21"/>
          <w:highlight w:val="none"/>
          <w:shd w:val="clear" w:color="auto" w:fill="FFFFFF"/>
        </w:rPr>
        <w:t>费用由乙方协商负责。</w:t>
      </w:r>
    </w:p>
    <w:p w14:paraId="5EF255BA">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（六）乘车人的贵重物品要随身携带。在乘车人下车时，驾驶员应关好车窗、车门，避免乘车人的物品丢失，因驾驶员过错致使乘车人物品丢失的，由驾驶员承担赔偿责任。</w:t>
      </w:r>
    </w:p>
    <w:p w14:paraId="42EA1373">
      <w:pPr>
        <w:pStyle w:val="26"/>
        <w:spacing w:afterLines="50" w:line="360" w:lineRule="exact"/>
        <w:ind w:right="76" w:firstLine="420" w:firstLineChars="200"/>
        <w:rPr>
          <w:rFonts w:hint="eastAsia"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七）在车辆运营过程中若发生交通事故，致甲方人员和乘车人人身伤害或财产损失，按交通事故认定书、道路交通事故损害赔偿调解书或法院的判决书由责任方进行赔偿。但伤亡是乘车人自身健康原因造成的或者是乘车人故意、重大过失造成的除外。</w:t>
      </w:r>
    </w:p>
    <w:p w14:paraId="4A51E7CB">
      <w:pPr>
        <w:pStyle w:val="26"/>
        <w:spacing w:afterLines="50" w:line="360" w:lineRule="exact"/>
        <w:ind w:right="76" w:firstLine="420" w:firstLineChars="200"/>
        <w:rPr>
          <w:rFonts w:hint="eastAsia"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w:t>
      </w:r>
      <w:r>
        <w:rPr>
          <w:rFonts w:hint="eastAsia" w:ascii="宋体" w:hAnsi="宋体" w:cs="仿宋"/>
          <w:color w:val="auto"/>
          <w:sz w:val="21"/>
          <w:szCs w:val="21"/>
          <w:highlight w:val="none"/>
          <w:shd w:val="clear" w:color="auto" w:fill="FFFFFF"/>
          <w:lang w:eastAsia="zh-CN"/>
        </w:rPr>
        <w:t>八</w:t>
      </w:r>
      <w:r>
        <w:rPr>
          <w:rFonts w:hint="eastAsia" w:ascii="宋体" w:hAnsi="宋体" w:cs="仿宋"/>
          <w:color w:val="auto"/>
          <w:sz w:val="21"/>
          <w:szCs w:val="21"/>
          <w:highlight w:val="none"/>
          <w:shd w:val="clear" w:color="auto" w:fill="FFFFFF"/>
        </w:rPr>
        <w:t>）</w:t>
      </w:r>
      <w:r>
        <w:rPr>
          <w:rFonts w:hint="eastAsia" w:ascii="宋体" w:hAnsi="宋体" w:cs="仿宋"/>
          <w:color w:val="auto"/>
          <w:sz w:val="21"/>
          <w:szCs w:val="21"/>
          <w:highlight w:val="none"/>
          <w:shd w:val="clear" w:color="auto" w:fill="FFFFFF"/>
          <w:lang w:val="en-US" w:eastAsia="zh-CN"/>
        </w:rPr>
        <w:t>若</w:t>
      </w:r>
      <w:r>
        <w:rPr>
          <w:rFonts w:hint="eastAsia" w:ascii="宋体" w:hAnsi="宋体" w:cs="仿宋"/>
          <w:color w:val="auto"/>
          <w:sz w:val="21"/>
          <w:szCs w:val="21"/>
          <w:highlight w:val="none"/>
          <w:shd w:val="clear" w:color="auto" w:fill="FFFFFF"/>
        </w:rPr>
        <w:t>甲方</w:t>
      </w:r>
      <w:r>
        <w:rPr>
          <w:rFonts w:hint="eastAsia" w:ascii="宋体" w:hAnsi="宋体" w:cs="仿宋"/>
          <w:color w:val="auto"/>
          <w:sz w:val="21"/>
          <w:szCs w:val="21"/>
          <w:highlight w:val="none"/>
          <w:shd w:val="clear" w:color="auto" w:fill="FFFFFF"/>
          <w:lang w:val="en-US" w:eastAsia="zh-CN"/>
        </w:rPr>
        <w:t>司机驾驶租赁</w:t>
      </w:r>
      <w:r>
        <w:rPr>
          <w:rFonts w:hint="eastAsia" w:ascii="宋体" w:hAnsi="宋体" w:cs="仿宋"/>
          <w:color w:val="auto"/>
          <w:sz w:val="21"/>
          <w:szCs w:val="21"/>
          <w:highlight w:val="none"/>
          <w:shd w:val="clear" w:color="auto" w:fill="FFFFFF"/>
        </w:rPr>
        <w:t>车辆发生交通事故，应依法保护现场，并立即通知乙方，并且向交管或保险部门报案，车辆发生碰撞事故由乙方指定维修厂进行维修，在维修过程中产生的车辆停</w:t>
      </w:r>
      <w:r>
        <w:rPr>
          <w:rFonts w:hint="eastAsia" w:ascii="宋体" w:hAnsi="宋体" w:cs="仿宋"/>
          <w:color w:val="auto"/>
          <w:sz w:val="21"/>
          <w:szCs w:val="21"/>
          <w:highlight w:val="none"/>
          <w:shd w:val="clear" w:color="auto" w:fill="FFFFFF"/>
          <w:lang w:val="en-US" w:eastAsia="zh-CN"/>
        </w:rPr>
        <w:t>运损失</w:t>
      </w:r>
      <w:r>
        <w:rPr>
          <w:rFonts w:hint="eastAsia" w:ascii="宋体" w:hAnsi="宋体" w:cs="仿宋"/>
          <w:color w:val="auto"/>
          <w:sz w:val="21"/>
          <w:szCs w:val="21"/>
          <w:highlight w:val="none"/>
          <w:shd w:val="clear" w:color="auto" w:fill="FFFFFF"/>
        </w:rPr>
        <w:t>费用由交管部门划定责任</w:t>
      </w:r>
      <w:r>
        <w:rPr>
          <w:rFonts w:hint="eastAsia" w:ascii="宋体" w:hAnsi="宋体" w:cs="仿宋"/>
          <w:color w:val="auto"/>
          <w:sz w:val="21"/>
          <w:szCs w:val="21"/>
          <w:highlight w:val="none"/>
          <w:shd w:val="clear" w:color="auto" w:fill="FFFFFF"/>
          <w:lang w:val="en-US" w:eastAsia="zh-CN"/>
        </w:rPr>
        <w:t>百分比</w:t>
      </w:r>
      <w:r>
        <w:rPr>
          <w:rFonts w:hint="eastAsia" w:ascii="宋体" w:hAnsi="宋体" w:cs="仿宋"/>
          <w:color w:val="auto"/>
          <w:sz w:val="21"/>
          <w:szCs w:val="21"/>
          <w:highlight w:val="none"/>
          <w:shd w:val="clear" w:color="auto" w:fill="FFFFFF"/>
        </w:rPr>
        <w:t>计算，</w:t>
      </w:r>
      <w:r>
        <w:rPr>
          <w:rFonts w:hint="eastAsia" w:ascii="宋体" w:hAnsi="宋体" w:cs="仿宋"/>
          <w:color w:val="auto"/>
          <w:sz w:val="21"/>
          <w:szCs w:val="21"/>
          <w:highlight w:val="none"/>
          <w:shd w:val="clear" w:color="auto" w:fill="FFFFFF"/>
          <w:lang w:val="en-US" w:eastAsia="zh-CN"/>
        </w:rPr>
        <w:t>停运损失费时间计算按停运自然天数七折计算由甲方赔付，即停运损失费=车辆租赁单价交*警责任认定比例*停运自然天数*70%</w:t>
      </w:r>
      <w:r>
        <w:rPr>
          <w:rFonts w:hint="eastAsia" w:ascii="宋体" w:hAnsi="宋体" w:cs="仿宋"/>
          <w:color w:val="auto"/>
          <w:sz w:val="21"/>
          <w:szCs w:val="21"/>
          <w:highlight w:val="none"/>
          <w:shd w:val="clear" w:color="auto" w:fill="FFFFFF"/>
          <w:lang w:eastAsia="zh-CN"/>
        </w:rPr>
        <w:t>。</w:t>
      </w:r>
      <w:r>
        <w:rPr>
          <w:rFonts w:hint="eastAsia" w:ascii="宋体" w:hAnsi="宋体" w:cs="仿宋"/>
          <w:color w:val="auto"/>
          <w:sz w:val="21"/>
          <w:szCs w:val="21"/>
          <w:highlight w:val="none"/>
          <w:shd w:val="clear" w:color="auto" w:fill="FFFFFF"/>
          <w:lang w:val="en-US" w:eastAsia="zh-CN"/>
        </w:rPr>
        <w:t>若</w:t>
      </w:r>
      <w:r>
        <w:rPr>
          <w:rFonts w:hint="eastAsia" w:ascii="宋体" w:hAnsi="宋体" w:cs="仿宋"/>
          <w:color w:val="auto"/>
          <w:sz w:val="21"/>
          <w:szCs w:val="21"/>
          <w:highlight w:val="none"/>
          <w:shd w:val="clear" w:color="auto" w:fill="FFFFFF"/>
        </w:rPr>
        <w:t>乙方所派的司机发生交通碰撞事故乙方自行承担，甲方不承担任何责任，如车辆不能正常行驶，乙方在3小时内更换同档次车辆给甲方使用。</w:t>
      </w:r>
    </w:p>
    <w:p w14:paraId="1659060E">
      <w:pPr>
        <w:pStyle w:val="26"/>
        <w:spacing w:afterLines="50" w:line="360" w:lineRule="exact"/>
        <w:ind w:left="76" w:right="76" w:firstLine="422" w:firstLineChars="200"/>
        <w:rPr>
          <w:rFonts w:ascii="宋体" w:hAnsi="宋体" w:cs="仿宋"/>
          <w:b/>
          <w:bCs/>
          <w:color w:val="auto"/>
          <w:sz w:val="21"/>
          <w:szCs w:val="21"/>
          <w:highlight w:val="none"/>
          <w:shd w:val="clear" w:color="auto" w:fill="FFFFFF"/>
        </w:rPr>
      </w:pPr>
      <w:r>
        <w:rPr>
          <w:rFonts w:hint="eastAsia" w:ascii="宋体" w:hAnsi="宋体" w:cs="仿宋"/>
          <w:b/>
          <w:bCs/>
          <w:color w:val="auto"/>
          <w:sz w:val="21"/>
          <w:szCs w:val="21"/>
          <w:highlight w:val="none"/>
          <w:shd w:val="clear" w:color="auto" w:fill="FFFFFF"/>
        </w:rPr>
        <w:t>六、违约责任</w:t>
      </w:r>
    </w:p>
    <w:p w14:paraId="1593D903">
      <w:pPr>
        <w:spacing w:before="120" w:after="120" w:line="360" w:lineRule="exact"/>
        <w:ind w:firstLine="630" w:firstLineChars="300"/>
        <w:rPr>
          <w:rFonts w:ascii="宋体" w:hAnsi="宋体" w:cs="仿宋"/>
          <w:color w:val="auto"/>
          <w:szCs w:val="21"/>
          <w:highlight w:val="none"/>
        </w:rPr>
      </w:pPr>
      <w:r>
        <w:rPr>
          <w:rFonts w:hint="eastAsia" w:ascii="宋体" w:hAnsi="宋体" w:cs="仿宋"/>
          <w:color w:val="auto"/>
          <w:szCs w:val="21"/>
          <w:highlight w:val="none"/>
          <w:shd w:val="clear" w:color="auto" w:fill="FFFFFF"/>
        </w:rPr>
        <w:t>（一）</w:t>
      </w:r>
      <w:r>
        <w:rPr>
          <w:rFonts w:hint="eastAsia" w:ascii="宋体" w:hAnsi="宋体" w:cs="仿宋"/>
          <w:bCs/>
          <w:color w:val="auto"/>
          <w:szCs w:val="21"/>
          <w:highlight w:val="none"/>
        </w:rPr>
        <w:t>乙方未按投标文件或合同的要求和规定提供车辆服务的，甲方有权终止本合同，所造成的损失由乙方负责。</w:t>
      </w:r>
    </w:p>
    <w:p w14:paraId="0CE74637">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（二）乙方未按合同约定时间派车，或未按合同约定时间到达甲方指定地点接乘车人，须承担给甲方造成的经济损失，并向甲方支付当次包车费用的10%的违约金。</w:t>
      </w:r>
    </w:p>
    <w:p w14:paraId="08318E52">
      <w:pPr>
        <w:pStyle w:val="26"/>
        <w:spacing w:afterLines="50" w:line="360" w:lineRule="exact"/>
        <w:ind w:left="76" w:right="76"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（三）甲方不能按照约定时间使用车辆，应提前通知乙方，甲方如不能按照约定时间使用车辆，又不及时通知乙方的，按约定用车的总包车费用的10%支付违约金。</w:t>
      </w:r>
    </w:p>
    <w:p w14:paraId="0641CCBE">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（四）乙方提供的车辆标准低于约定标准的，乙方应当减少包车费用，具体包车费用由双方协商确定。因此给甲方造成经济损失的，乙方赔偿甲方损失的同时支付本次包车费用的10%的违约金；</w:t>
      </w:r>
    </w:p>
    <w:p w14:paraId="473BE552">
      <w:pPr>
        <w:pStyle w:val="26"/>
        <w:spacing w:afterLines="50" w:line="360" w:lineRule="exact"/>
        <w:ind w:left="76" w:right="76"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（五）由于乙方原因造成乘车人延误行程或误机(车、船)的，给甲方造成损失的由乙方赔偿，同时退回甲方的包车费用，并对甲方承担本次包车费用的20%的违约金（遇到不可抗力除外）。</w:t>
      </w:r>
    </w:p>
    <w:p w14:paraId="13E2AB72">
      <w:pPr>
        <w:pStyle w:val="26"/>
        <w:spacing w:afterLines="50" w:line="360" w:lineRule="exact"/>
        <w:ind w:left="76" w:right="76"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六）由于甲方原因造成延误行程，超出约定包车期限的，甲方应当支付超时部分的包车费用，费用标准由双方协商确定；给乙方造成经济损失的，甲方应承担赔偿责任，同时甲方承担本次包车费用20％的违约责任。</w:t>
      </w:r>
    </w:p>
    <w:p w14:paraId="08CD6853">
      <w:pPr>
        <w:pStyle w:val="26"/>
        <w:spacing w:afterLines="50" w:line="360" w:lineRule="exact"/>
        <w:ind w:right="76" w:firstLine="420" w:firstLineChars="200"/>
        <w:rPr>
          <w:rFonts w:ascii="宋体" w:hAnsi="宋体" w:cs="仿宋"/>
          <w:color w:val="auto"/>
          <w:sz w:val="21"/>
          <w:szCs w:val="21"/>
          <w:highlight w:val="none"/>
          <w:shd w:val="clear" w:color="auto" w:fill="FFFFFF"/>
        </w:rPr>
      </w:pPr>
      <w:r>
        <w:rPr>
          <w:rFonts w:hint="eastAsia" w:ascii="宋体" w:hAnsi="宋体" w:cs="仿宋"/>
          <w:color w:val="auto"/>
          <w:sz w:val="21"/>
          <w:szCs w:val="21"/>
          <w:highlight w:val="none"/>
          <w:shd w:val="clear" w:color="auto" w:fill="FFFFFF"/>
        </w:rPr>
        <w:t>（七）乙方车辆中途甩客或中途发生故障无法修复而又不积极转客，造成行程无法执行，乙方应依照合同给予甲方赔偿，并由乙方承担本次包车费用20％的违约金。</w:t>
      </w:r>
    </w:p>
    <w:p w14:paraId="248203FB">
      <w:pPr>
        <w:spacing w:before="120" w:after="120" w:line="360" w:lineRule="exact"/>
        <w:ind w:firstLine="570"/>
        <w:rPr>
          <w:rFonts w:ascii="宋体" w:hAnsi="宋体"/>
          <w:color w:val="auto"/>
          <w:szCs w:val="21"/>
          <w:highlight w:val="none"/>
        </w:rPr>
      </w:pPr>
      <w:r>
        <w:rPr>
          <w:rFonts w:hint="eastAsia" w:ascii="宋体" w:hAnsi="宋体" w:cs="仿宋"/>
          <w:color w:val="auto"/>
          <w:szCs w:val="21"/>
          <w:highlight w:val="none"/>
          <w:shd w:val="clear" w:color="auto" w:fill="FFFFFF"/>
        </w:rPr>
        <w:t>（八）</w:t>
      </w:r>
      <w:r>
        <w:rPr>
          <w:rFonts w:ascii="宋体" w:hAnsi="宋体"/>
          <w:color w:val="auto"/>
          <w:szCs w:val="21"/>
          <w:highlight w:val="none"/>
        </w:rPr>
        <w:t>乙方将租赁业务转租给别的公司或个人，车辆档次达不到原合同约定的，甲方有权不支付本次包车全部费用。</w:t>
      </w:r>
    </w:p>
    <w:p w14:paraId="3357DEF2">
      <w:pPr>
        <w:pStyle w:val="26"/>
        <w:spacing w:afterLines="50" w:line="360" w:lineRule="exact"/>
        <w:ind w:right="76" w:firstLine="630" w:firstLineChars="3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（九）合同一方违约的，双方应积极采取措施防止损失扩大，否则不得就扩大部分的损失要求赔偿；违约方应当承担对方为防止损失扩大而支付的合理费用。</w:t>
      </w:r>
    </w:p>
    <w:p w14:paraId="21374632">
      <w:pPr>
        <w:pStyle w:val="26"/>
        <w:spacing w:afterLines="50" w:line="360" w:lineRule="exact"/>
        <w:ind w:left="76" w:right="76" w:firstLine="422" w:firstLineChars="200"/>
        <w:rPr>
          <w:rFonts w:ascii="宋体" w:hAnsi="宋体" w:cs="仿宋"/>
          <w:b/>
          <w:bCs/>
          <w:color w:val="auto"/>
          <w:sz w:val="21"/>
          <w:szCs w:val="21"/>
          <w:highlight w:val="none"/>
          <w:shd w:val="clear" w:color="auto" w:fill="FFFFFF"/>
        </w:rPr>
      </w:pPr>
      <w:r>
        <w:rPr>
          <w:rFonts w:hint="eastAsia" w:ascii="宋体" w:hAnsi="宋体" w:cs="仿宋"/>
          <w:b/>
          <w:bCs/>
          <w:color w:val="auto"/>
          <w:sz w:val="21"/>
          <w:szCs w:val="21"/>
          <w:highlight w:val="none"/>
          <w:shd w:val="clear" w:color="auto" w:fill="FFFFFF"/>
        </w:rPr>
        <w:t>七、合同解除</w:t>
      </w:r>
    </w:p>
    <w:p w14:paraId="233AC8B4">
      <w:pPr>
        <w:pStyle w:val="26"/>
        <w:spacing w:afterLines="50" w:line="360" w:lineRule="exact"/>
        <w:ind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（一）出现以下情况，甲方可以单方解除合同，但应以书面形式通知乙方：</w:t>
      </w:r>
    </w:p>
    <w:p w14:paraId="431213CF">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1.乙方违反其应尽的义务。</w:t>
      </w:r>
    </w:p>
    <w:p w14:paraId="1AE72E46">
      <w:pPr>
        <w:pStyle w:val="26"/>
        <w:spacing w:afterLines="50" w:line="360" w:lineRule="exact"/>
        <w:ind w:left="76"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2.乙方提供用车数量不符合约定，在十五日内没有以书面形式通知甲方。</w:t>
      </w:r>
    </w:p>
    <w:p w14:paraId="4F331CE2">
      <w:pPr>
        <w:pStyle w:val="26"/>
        <w:spacing w:afterLines="50" w:line="360" w:lineRule="exact"/>
        <w:ind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（二）出现以下情况乙方可以单方解除合同，但应以书面形式通知甲方。</w:t>
      </w:r>
    </w:p>
    <w:p w14:paraId="40A5716C">
      <w:pPr>
        <w:pStyle w:val="26"/>
        <w:spacing w:afterLines="50" w:line="360" w:lineRule="exact"/>
        <w:ind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1.甲方没有按合同约定时间结清包车费用。</w:t>
      </w:r>
    </w:p>
    <w:p w14:paraId="41CE8E2A">
      <w:pPr>
        <w:pStyle w:val="26"/>
        <w:spacing w:afterLines="50" w:line="360" w:lineRule="exact"/>
        <w:ind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2.甲方擅自与乙方驾驶人员或个人签定包车合同。</w:t>
      </w:r>
    </w:p>
    <w:p w14:paraId="010CF968">
      <w:pPr>
        <w:pStyle w:val="26"/>
        <w:spacing w:afterLines="50" w:line="360" w:lineRule="exact"/>
        <w:ind w:right="76"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shd w:val="clear" w:color="auto" w:fill="FFFFFF"/>
        </w:rPr>
        <w:t>3.双方协商一致可以解除本合同。</w:t>
      </w:r>
    </w:p>
    <w:p w14:paraId="6A0F3054">
      <w:pPr>
        <w:pStyle w:val="26"/>
        <w:spacing w:afterLines="50" w:line="360" w:lineRule="exact"/>
        <w:ind w:right="76" w:firstLine="422" w:firstLineChars="200"/>
        <w:rPr>
          <w:rFonts w:ascii="宋体" w:hAnsi="宋体" w:cs="仿宋"/>
          <w:b/>
          <w:bCs/>
          <w:color w:val="auto"/>
          <w:sz w:val="21"/>
          <w:szCs w:val="21"/>
          <w:highlight w:val="none"/>
        </w:rPr>
      </w:pPr>
      <w:r>
        <w:rPr>
          <w:rFonts w:hint="eastAsia" w:ascii="宋体" w:hAnsi="宋体" w:cs="仿宋"/>
          <w:b/>
          <w:bCs/>
          <w:color w:val="auto"/>
          <w:sz w:val="21"/>
          <w:szCs w:val="21"/>
          <w:highlight w:val="none"/>
          <w:shd w:val="clear" w:color="auto" w:fill="FFFFFF"/>
        </w:rPr>
        <w:t>八、因本合同发生的纠纷，由双方协商解决；协商不成的，任何一方可向车辆注册地的人民法院提出诉讼。</w:t>
      </w:r>
    </w:p>
    <w:p w14:paraId="02E4B2A1">
      <w:pPr>
        <w:pStyle w:val="26"/>
        <w:spacing w:afterLines="50" w:line="360" w:lineRule="exact"/>
        <w:ind w:right="76" w:firstLine="422" w:firstLineChars="200"/>
        <w:rPr>
          <w:rFonts w:ascii="宋体" w:hAnsi="宋体" w:cs="仿宋"/>
          <w:b/>
          <w:bCs/>
          <w:color w:val="auto"/>
          <w:sz w:val="21"/>
          <w:szCs w:val="21"/>
          <w:highlight w:val="none"/>
        </w:rPr>
      </w:pPr>
      <w:r>
        <w:rPr>
          <w:rFonts w:hint="eastAsia" w:ascii="宋体" w:hAnsi="宋体" w:cs="仿宋"/>
          <w:b/>
          <w:bCs/>
          <w:color w:val="auto"/>
          <w:sz w:val="21"/>
          <w:szCs w:val="21"/>
          <w:highlight w:val="none"/>
          <w:shd w:val="clear" w:color="auto" w:fill="FFFFFF"/>
        </w:rPr>
        <w:t>九、本合同经甲、乙双方签字盖章后生效，一式五份，甲方二份，乙二份，采购代理机构一份，具有同等法律效力。</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1"/>
        <w:gridCol w:w="4944"/>
      </w:tblGrid>
      <w:tr w14:paraId="16F1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351" w:type="dxa"/>
            <w:vAlign w:val="center"/>
          </w:tcPr>
          <w:p w14:paraId="04719530">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甲方（章）</w:t>
            </w:r>
          </w:p>
          <w:p w14:paraId="45E09E1B">
            <w:pPr>
              <w:snapToGrid w:val="0"/>
              <w:spacing w:line="60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944" w:type="dxa"/>
            <w:vAlign w:val="center"/>
          </w:tcPr>
          <w:p w14:paraId="3F5146E4">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B6E7952">
            <w:pPr>
              <w:snapToGrid w:val="0"/>
              <w:spacing w:line="60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0E9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351" w:type="dxa"/>
            <w:vAlign w:val="center"/>
          </w:tcPr>
          <w:p w14:paraId="767B1697">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944" w:type="dxa"/>
            <w:vAlign w:val="center"/>
          </w:tcPr>
          <w:p w14:paraId="3777D38C">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7CC1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351" w:type="dxa"/>
            <w:vAlign w:val="center"/>
          </w:tcPr>
          <w:p w14:paraId="37255D0C">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944" w:type="dxa"/>
            <w:vAlign w:val="center"/>
          </w:tcPr>
          <w:p w14:paraId="39776D6A">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5912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351" w:type="dxa"/>
            <w:vAlign w:val="center"/>
          </w:tcPr>
          <w:p w14:paraId="4971F46E">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944" w:type="dxa"/>
            <w:vAlign w:val="center"/>
          </w:tcPr>
          <w:p w14:paraId="79157804">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4FFA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351" w:type="dxa"/>
            <w:vAlign w:val="center"/>
          </w:tcPr>
          <w:p w14:paraId="254A1345">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944" w:type="dxa"/>
            <w:vAlign w:val="center"/>
          </w:tcPr>
          <w:p w14:paraId="11CB8000">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534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351" w:type="dxa"/>
            <w:vAlign w:val="center"/>
          </w:tcPr>
          <w:p w14:paraId="6C244060">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944" w:type="dxa"/>
            <w:vAlign w:val="center"/>
          </w:tcPr>
          <w:p w14:paraId="0DF40950">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573A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351" w:type="dxa"/>
            <w:vAlign w:val="center"/>
          </w:tcPr>
          <w:p w14:paraId="7291EA41">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开户银行：</w:t>
            </w:r>
          </w:p>
        </w:tc>
        <w:tc>
          <w:tcPr>
            <w:tcW w:w="4944" w:type="dxa"/>
            <w:vAlign w:val="center"/>
          </w:tcPr>
          <w:p w14:paraId="6DA8F5CA">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130D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351" w:type="dxa"/>
            <w:vAlign w:val="center"/>
          </w:tcPr>
          <w:p w14:paraId="6112D6CF">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4944" w:type="dxa"/>
            <w:vAlign w:val="center"/>
          </w:tcPr>
          <w:p w14:paraId="244A4ADE">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08DB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351" w:type="dxa"/>
            <w:vAlign w:val="center"/>
          </w:tcPr>
          <w:p w14:paraId="753BBE2C">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4944" w:type="dxa"/>
            <w:vAlign w:val="center"/>
          </w:tcPr>
          <w:p w14:paraId="7B608CD3">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邮政编码：</w:t>
            </w:r>
          </w:p>
        </w:tc>
      </w:tr>
      <w:tr w14:paraId="54AE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9295" w:type="dxa"/>
            <w:gridSpan w:val="2"/>
          </w:tcPr>
          <w:p w14:paraId="30691A6C">
            <w:pPr>
              <w:snapToGrid w:val="0"/>
              <w:spacing w:line="600" w:lineRule="exact"/>
              <w:ind w:left="2430" w:leftChars="1007" w:hanging="315" w:hangingChars="150"/>
              <w:rPr>
                <w:rFonts w:ascii="宋体" w:hAnsi="宋体" w:cs="宋体"/>
                <w:color w:val="auto"/>
                <w:szCs w:val="21"/>
                <w:highlight w:val="none"/>
              </w:rPr>
            </w:pPr>
            <w:r>
              <w:rPr>
                <w:rFonts w:hint="eastAsia" w:ascii="宋体" w:hAnsi="宋体" w:cs="宋体"/>
                <w:color w:val="auto"/>
                <w:szCs w:val="21"/>
                <w:highlight w:val="none"/>
              </w:rPr>
              <w:t xml:space="preserve">                            </w:t>
            </w:r>
          </w:p>
          <w:p w14:paraId="1E1C804F">
            <w:pPr>
              <w:snapToGrid w:val="0"/>
              <w:spacing w:line="600" w:lineRule="exact"/>
              <w:rPr>
                <w:rFonts w:ascii="宋体" w:hAnsi="宋体" w:cs="宋体"/>
                <w:color w:val="auto"/>
                <w:szCs w:val="21"/>
                <w:highlight w:val="none"/>
              </w:rPr>
            </w:pPr>
            <w:r>
              <w:rPr>
                <w:rFonts w:hint="eastAsia" w:ascii="宋体" w:hAnsi="宋体" w:cs="宋体"/>
                <w:color w:val="auto"/>
                <w:szCs w:val="21"/>
                <w:highlight w:val="none"/>
              </w:rPr>
              <w:t>经办人：</w:t>
            </w:r>
          </w:p>
          <w:p w14:paraId="05F891F8">
            <w:pPr>
              <w:snapToGrid w:val="0"/>
              <w:spacing w:line="60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rPr>
              <w:t>年    月    日</w:t>
            </w:r>
          </w:p>
        </w:tc>
      </w:tr>
    </w:tbl>
    <w:p w14:paraId="2BE92246">
      <w:pPr>
        <w:snapToGrid w:val="0"/>
        <w:spacing w:line="440" w:lineRule="exact"/>
        <w:jc w:val="center"/>
        <w:rPr>
          <w:rFonts w:ascii="宋体" w:hAnsi="宋体" w:cs="宋体"/>
          <w:b/>
          <w:color w:val="auto"/>
          <w:szCs w:val="21"/>
          <w:highlight w:val="none"/>
        </w:rPr>
      </w:pPr>
    </w:p>
    <w:p w14:paraId="3658E359">
      <w:pPr>
        <w:snapToGrid w:val="0"/>
        <w:spacing w:line="440" w:lineRule="exact"/>
        <w:jc w:val="center"/>
        <w:rPr>
          <w:rFonts w:ascii="宋体" w:hAnsi="宋体" w:cs="宋体"/>
          <w:b/>
          <w:color w:val="auto"/>
          <w:szCs w:val="21"/>
          <w:highlight w:val="none"/>
        </w:rPr>
      </w:pPr>
    </w:p>
    <w:p w14:paraId="63970AF8">
      <w:pPr>
        <w:snapToGrid w:val="0"/>
        <w:spacing w:line="440" w:lineRule="exact"/>
        <w:jc w:val="center"/>
        <w:rPr>
          <w:rFonts w:ascii="宋体" w:hAnsi="宋体" w:cs="宋体"/>
          <w:b/>
          <w:color w:val="auto"/>
          <w:szCs w:val="21"/>
          <w:highlight w:val="none"/>
        </w:rPr>
      </w:pPr>
    </w:p>
    <w:p w14:paraId="587BA55E">
      <w:pPr>
        <w:snapToGrid w:val="0"/>
        <w:spacing w:line="440" w:lineRule="exact"/>
        <w:jc w:val="center"/>
        <w:rPr>
          <w:rFonts w:ascii="宋体" w:hAnsi="宋体" w:cs="宋体"/>
          <w:b/>
          <w:color w:val="auto"/>
          <w:szCs w:val="21"/>
          <w:highlight w:val="none"/>
        </w:rPr>
      </w:pPr>
    </w:p>
    <w:p w14:paraId="0141310D">
      <w:pPr>
        <w:snapToGrid w:val="0"/>
        <w:spacing w:line="440" w:lineRule="exact"/>
        <w:jc w:val="center"/>
        <w:rPr>
          <w:rFonts w:ascii="宋体" w:hAnsi="宋体" w:cs="宋体"/>
          <w:b/>
          <w:color w:val="auto"/>
          <w:szCs w:val="21"/>
          <w:highlight w:val="none"/>
        </w:rPr>
      </w:pPr>
    </w:p>
    <w:p w14:paraId="24BC6F07">
      <w:pPr>
        <w:snapToGrid w:val="0"/>
        <w:spacing w:line="440" w:lineRule="exact"/>
        <w:jc w:val="center"/>
        <w:rPr>
          <w:rFonts w:ascii="宋体" w:hAnsi="宋体" w:cs="宋体"/>
          <w:b/>
          <w:color w:val="auto"/>
          <w:szCs w:val="21"/>
          <w:highlight w:val="none"/>
        </w:rPr>
      </w:pPr>
    </w:p>
    <w:p w14:paraId="6F596622">
      <w:pPr>
        <w:snapToGrid w:val="0"/>
        <w:spacing w:line="440" w:lineRule="exact"/>
        <w:jc w:val="center"/>
        <w:rPr>
          <w:rFonts w:ascii="宋体" w:hAnsi="宋体" w:cs="宋体"/>
          <w:b/>
          <w:color w:val="auto"/>
          <w:szCs w:val="21"/>
          <w:highlight w:val="none"/>
        </w:rPr>
      </w:pPr>
    </w:p>
    <w:p w14:paraId="44F43EFA">
      <w:pPr>
        <w:snapToGrid w:val="0"/>
        <w:spacing w:line="440" w:lineRule="exact"/>
        <w:jc w:val="center"/>
        <w:rPr>
          <w:rFonts w:ascii="宋体" w:hAnsi="宋体" w:cs="宋体"/>
          <w:b/>
          <w:color w:val="auto"/>
          <w:szCs w:val="21"/>
          <w:highlight w:val="none"/>
        </w:rPr>
      </w:pPr>
    </w:p>
    <w:p w14:paraId="3925A8F1">
      <w:pPr>
        <w:snapToGrid w:val="0"/>
        <w:spacing w:line="440" w:lineRule="exact"/>
        <w:jc w:val="center"/>
        <w:rPr>
          <w:rFonts w:ascii="宋体" w:hAnsi="宋体" w:cs="宋体"/>
          <w:b/>
          <w:color w:val="auto"/>
          <w:szCs w:val="21"/>
          <w:highlight w:val="none"/>
        </w:rPr>
      </w:pPr>
    </w:p>
    <w:p w14:paraId="6C617A13">
      <w:pPr>
        <w:snapToGrid w:val="0"/>
        <w:spacing w:line="440" w:lineRule="exact"/>
        <w:jc w:val="center"/>
        <w:rPr>
          <w:rFonts w:ascii="宋体" w:hAnsi="宋体" w:cs="宋体"/>
          <w:b/>
          <w:color w:val="auto"/>
          <w:szCs w:val="21"/>
          <w:highlight w:val="none"/>
        </w:rPr>
      </w:pPr>
    </w:p>
    <w:p w14:paraId="5017D3B4">
      <w:pPr>
        <w:snapToGrid w:val="0"/>
        <w:spacing w:line="440" w:lineRule="exact"/>
        <w:jc w:val="center"/>
        <w:rPr>
          <w:rFonts w:ascii="宋体" w:hAnsi="宋体" w:cs="宋体"/>
          <w:b/>
          <w:color w:val="auto"/>
          <w:szCs w:val="21"/>
          <w:highlight w:val="none"/>
        </w:rPr>
      </w:pPr>
    </w:p>
    <w:p w14:paraId="6B8E61AA">
      <w:pPr>
        <w:snapToGrid w:val="0"/>
        <w:spacing w:line="440" w:lineRule="exact"/>
        <w:jc w:val="center"/>
        <w:rPr>
          <w:rFonts w:ascii="宋体" w:hAnsi="宋体" w:cs="宋体"/>
          <w:b/>
          <w:color w:val="auto"/>
          <w:szCs w:val="21"/>
          <w:highlight w:val="none"/>
        </w:rPr>
      </w:pPr>
    </w:p>
    <w:p w14:paraId="6E0349E5">
      <w:pPr>
        <w:snapToGrid w:val="0"/>
        <w:spacing w:line="440" w:lineRule="exact"/>
        <w:jc w:val="center"/>
        <w:rPr>
          <w:rFonts w:ascii="宋体" w:hAnsi="宋体" w:cs="宋体"/>
          <w:b/>
          <w:color w:val="auto"/>
          <w:szCs w:val="21"/>
          <w:highlight w:val="none"/>
        </w:rPr>
      </w:pPr>
    </w:p>
    <w:p w14:paraId="3E5EB1B9">
      <w:pPr>
        <w:snapToGrid w:val="0"/>
        <w:spacing w:line="440" w:lineRule="exact"/>
        <w:jc w:val="center"/>
        <w:rPr>
          <w:rFonts w:ascii="宋体" w:hAnsi="宋体" w:cs="宋体"/>
          <w:b/>
          <w:color w:val="auto"/>
          <w:szCs w:val="21"/>
          <w:highlight w:val="none"/>
        </w:rPr>
      </w:pPr>
    </w:p>
    <w:p w14:paraId="187446C3">
      <w:pPr>
        <w:snapToGrid w:val="0"/>
        <w:spacing w:line="440" w:lineRule="exact"/>
        <w:jc w:val="center"/>
        <w:rPr>
          <w:rFonts w:ascii="宋体" w:hAnsi="宋体" w:cs="宋体"/>
          <w:b/>
          <w:color w:val="auto"/>
          <w:szCs w:val="21"/>
          <w:highlight w:val="none"/>
        </w:rPr>
      </w:pPr>
    </w:p>
    <w:p w14:paraId="3F1E3128">
      <w:pPr>
        <w:snapToGrid w:val="0"/>
        <w:spacing w:line="440" w:lineRule="exact"/>
        <w:jc w:val="center"/>
        <w:rPr>
          <w:rFonts w:ascii="宋体" w:hAnsi="宋体" w:cs="宋体"/>
          <w:b/>
          <w:color w:val="auto"/>
          <w:szCs w:val="21"/>
          <w:highlight w:val="none"/>
        </w:rPr>
      </w:pPr>
    </w:p>
    <w:p w14:paraId="4913C814">
      <w:pPr>
        <w:snapToGrid w:val="0"/>
        <w:spacing w:line="440" w:lineRule="exact"/>
        <w:jc w:val="center"/>
        <w:rPr>
          <w:rFonts w:ascii="宋体" w:hAnsi="宋体" w:cs="宋体"/>
          <w:b/>
          <w:color w:val="auto"/>
          <w:szCs w:val="21"/>
          <w:highlight w:val="none"/>
        </w:rPr>
      </w:pPr>
    </w:p>
    <w:p w14:paraId="716E9D32">
      <w:pPr>
        <w:snapToGrid w:val="0"/>
        <w:spacing w:line="440" w:lineRule="exact"/>
        <w:jc w:val="center"/>
        <w:rPr>
          <w:rFonts w:ascii="宋体" w:hAnsi="宋体" w:cs="宋体"/>
          <w:b/>
          <w:color w:val="auto"/>
          <w:szCs w:val="21"/>
          <w:highlight w:val="none"/>
        </w:rPr>
      </w:pPr>
    </w:p>
    <w:p w14:paraId="717B1E31">
      <w:pPr>
        <w:snapToGrid w:val="0"/>
        <w:spacing w:line="440" w:lineRule="exact"/>
        <w:jc w:val="center"/>
        <w:rPr>
          <w:rFonts w:ascii="宋体" w:hAnsi="宋体" w:cs="宋体"/>
          <w:b/>
          <w:color w:val="auto"/>
          <w:szCs w:val="21"/>
          <w:highlight w:val="none"/>
        </w:rPr>
      </w:pPr>
    </w:p>
    <w:p w14:paraId="5691E451">
      <w:pPr>
        <w:snapToGrid w:val="0"/>
        <w:spacing w:line="440" w:lineRule="exact"/>
        <w:jc w:val="center"/>
        <w:rPr>
          <w:rFonts w:ascii="宋体" w:hAnsi="宋体" w:cs="宋体"/>
          <w:b/>
          <w:color w:val="auto"/>
          <w:szCs w:val="21"/>
          <w:highlight w:val="none"/>
        </w:rPr>
      </w:pPr>
    </w:p>
    <w:p w14:paraId="30CAD6D0">
      <w:pPr>
        <w:rPr>
          <w:rFonts w:ascii="宋体" w:hAnsi="宋体" w:cs="宋体"/>
          <w:b/>
          <w:color w:val="auto"/>
          <w:szCs w:val="21"/>
          <w:highlight w:val="none"/>
        </w:rPr>
      </w:pPr>
      <w:r>
        <w:rPr>
          <w:rFonts w:hint="eastAsia" w:ascii="宋体" w:hAnsi="宋体" w:cs="宋体"/>
          <w:b/>
          <w:color w:val="auto"/>
          <w:szCs w:val="21"/>
          <w:highlight w:val="none"/>
        </w:rPr>
        <w:br w:type="page"/>
      </w:r>
    </w:p>
    <w:p w14:paraId="36584E06">
      <w:pPr>
        <w:snapToGrid w:val="0"/>
        <w:spacing w:line="440" w:lineRule="exact"/>
        <w:jc w:val="center"/>
        <w:rPr>
          <w:rFonts w:ascii="宋体" w:hAnsi="宋体"/>
          <w:b/>
          <w:color w:val="auto"/>
          <w:szCs w:val="21"/>
          <w:highlight w:val="none"/>
        </w:rPr>
      </w:pPr>
      <w:r>
        <w:rPr>
          <w:rFonts w:hint="eastAsia" w:ascii="宋体" w:hAnsi="宋体" w:cs="宋体"/>
          <w:b/>
          <w:color w:val="auto"/>
          <w:szCs w:val="21"/>
          <w:highlight w:val="none"/>
        </w:rPr>
        <w:t>合 同 附 件</w:t>
      </w:r>
    </w:p>
    <w:p w14:paraId="64E20B9B">
      <w:pPr>
        <w:snapToGrid w:val="0"/>
        <w:rPr>
          <w:rFonts w:ascii="宋体" w:hAnsi="宋体"/>
          <w:color w:val="auto"/>
          <w:szCs w:val="21"/>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25"/>
      </w:tblGrid>
      <w:tr w14:paraId="6ADF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540" w:type="dxa"/>
            <w:gridSpan w:val="2"/>
          </w:tcPr>
          <w:p w14:paraId="302E0685">
            <w:pPr>
              <w:snapToGrid w:val="0"/>
              <w:rPr>
                <w:rFonts w:ascii="宋体" w:hAnsi="宋体" w:cs="宋体"/>
                <w:snapToGrid w:val="0"/>
                <w:color w:val="auto"/>
                <w:kern w:val="0"/>
                <w:szCs w:val="21"/>
                <w:highlight w:val="none"/>
              </w:rPr>
            </w:pPr>
          </w:p>
          <w:p w14:paraId="193BCCA3">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1、供应商承诺具体事项：</w:t>
            </w:r>
          </w:p>
        </w:tc>
      </w:tr>
      <w:tr w14:paraId="731F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540" w:type="dxa"/>
            <w:gridSpan w:val="2"/>
          </w:tcPr>
          <w:p w14:paraId="7AA82A12">
            <w:pPr>
              <w:snapToGrid w:val="0"/>
              <w:rPr>
                <w:rFonts w:ascii="宋体" w:hAnsi="宋体" w:cs="宋体"/>
                <w:snapToGrid w:val="0"/>
                <w:color w:val="auto"/>
                <w:kern w:val="0"/>
                <w:szCs w:val="21"/>
                <w:highlight w:val="none"/>
              </w:rPr>
            </w:pPr>
          </w:p>
          <w:p w14:paraId="20849F8D">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2、售后服务具体事项：</w:t>
            </w:r>
          </w:p>
        </w:tc>
      </w:tr>
      <w:tr w14:paraId="21EB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540" w:type="dxa"/>
            <w:gridSpan w:val="2"/>
          </w:tcPr>
          <w:p w14:paraId="6CBDBBA6">
            <w:pPr>
              <w:snapToGrid w:val="0"/>
              <w:rPr>
                <w:rFonts w:ascii="宋体" w:hAnsi="宋体" w:cs="宋体"/>
                <w:snapToGrid w:val="0"/>
                <w:color w:val="auto"/>
                <w:kern w:val="0"/>
                <w:szCs w:val="21"/>
                <w:highlight w:val="none"/>
              </w:rPr>
            </w:pPr>
          </w:p>
          <w:p w14:paraId="433AA67A">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3、质保期责任：</w:t>
            </w:r>
          </w:p>
        </w:tc>
      </w:tr>
      <w:tr w14:paraId="031C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9540" w:type="dxa"/>
            <w:gridSpan w:val="2"/>
          </w:tcPr>
          <w:p w14:paraId="33ECC829">
            <w:pPr>
              <w:snapToGrid w:val="0"/>
              <w:rPr>
                <w:rFonts w:ascii="宋体" w:hAnsi="宋体" w:cs="宋体"/>
                <w:snapToGrid w:val="0"/>
                <w:color w:val="auto"/>
                <w:kern w:val="0"/>
                <w:szCs w:val="21"/>
                <w:highlight w:val="none"/>
              </w:rPr>
            </w:pPr>
          </w:p>
          <w:p w14:paraId="2EA5DABF">
            <w:pPr>
              <w:snapToGrid w:val="0"/>
              <w:rPr>
                <w:rFonts w:ascii="宋体" w:hAnsi="宋体" w:cs="宋体"/>
                <w:color w:val="auto"/>
                <w:szCs w:val="21"/>
                <w:highlight w:val="none"/>
              </w:rPr>
            </w:pPr>
            <w:r>
              <w:rPr>
                <w:rFonts w:hint="eastAsia" w:ascii="宋体" w:hAnsi="宋体" w:cs="宋体"/>
                <w:snapToGrid w:val="0"/>
                <w:color w:val="auto"/>
                <w:kern w:val="0"/>
                <w:szCs w:val="21"/>
                <w:highlight w:val="none"/>
              </w:rPr>
              <w:t>4、其他具体事项：</w:t>
            </w:r>
          </w:p>
        </w:tc>
      </w:tr>
      <w:tr w14:paraId="3AB5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4815" w:type="dxa"/>
            <w:vAlign w:val="center"/>
          </w:tcPr>
          <w:p w14:paraId="4AA085BD">
            <w:pPr>
              <w:ind w:firstLine="482"/>
              <w:rPr>
                <w:rFonts w:ascii="宋体" w:hAnsi="宋体" w:cs="宋体"/>
                <w:color w:val="auto"/>
                <w:szCs w:val="21"/>
                <w:highlight w:val="none"/>
              </w:rPr>
            </w:pPr>
            <w:r>
              <w:rPr>
                <w:rFonts w:hint="eastAsia" w:ascii="宋体" w:hAnsi="宋体" w:cs="宋体"/>
                <w:color w:val="auto"/>
                <w:szCs w:val="21"/>
                <w:highlight w:val="none"/>
              </w:rPr>
              <w:t>甲方（章）</w:t>
            </w:r>
          </w:p>
          <w:p w14:paraId="29D264F3">
            <w:pPr>
              <w:ind w:firstLine="482"/>
              <w:rPr>
                <w:rFonts w:ascii="宋体" w:hAnsi="宋体" w:cs="宋体"/>
                <w:color w:val="auto"/>
                <w:szCs w:val="21"/>
                <w:highlight w:val="none"/>
              </w:rPr>
            </w:pPr>
          </w:p>
          <w:p w14:paraId="0CEB23D3">
            <w:pPr>
              <w:ind w:firstLine="482"/>
              <w:rPr>
                <w:rFonts w:ascii="宋体" w:hAnsi="宋体" w:cs="宋体"/>
                <w:color w:val="auto"/>
                <w:szCs w:val="21"/>
                <w:highlight w:val="none"/>
              </w:rPr>
            </w:pPr>
          </w:p>
          <w:p w14:paraId="2BD88C5A">
            <w:pPr>
              <w:ind w:firstLine="482"/>
              <w:rPr>
                <w:rFonts w:ascii="宋体" w:hAnsi="宋体" w:cs="宋体"/>
                <w:color w:val="auto"/>
                <w:szCs w:val="21"/>
                <w:highlight w:val="none"/>
              </w:rPr>
            </w:pPr>
          </w:p>
          <w:p w14:paraId="47E03558">
            <w:pPr>
              <w:ind w:firstLine="482"/>
              <w:rPr>
                <w:rFonts w:ascii="宋体" w:hAnsi="宋体" w:cs="宋体"/>
                <w:color w:val="auto"/>
                <w:szCs w:val="21"/>
                <w:highlight w:val="none"/>
              </w:rPr>
            </w:pPr>
          </w:p>
          <w:p w14:paraId="2517118C">
            <w:pPr>
              <w:ind w:firstLine="482"/>
              <w:rPr>
                <w:rFonts w:ascii="宋体" w:hAnsi="宋体" w:cs="宋体"/>
                <w:color w:val="auto"/>
                <w:szCs w:val="21"/>
                <w:highlight w:val="none"/>
              </w:rPr>
            </w:pPr>
          </w:p>
          <w:p w14:paraId="7E158742">
            <w:pPr>
              <w:ind w:firstLine="482"/>
              <w:rPr>
                <w:rFonts w:ascii="宋体" w:hAnsi="宋体" w:cs="宋体"/>
                <w:color w:val="auto"/>
                <w:szCs w:val="21"/>
                <w:highlight w:val="none"/>
              </w:rPr>
            </w:pPr>
          </w:p>
          <w:p w14:paraId="0B77CDFB">
            <w:pPr>
              <w:ind w:firstLine="482"/>
              <w:rPr>
                <w:rFonts w:ascii="宋体" w:hAnsi="宋体" w:cs="宋体"/>
                <w:color w:val="auto"/>
                <w:szCs w:val="21"/>
                <w:highlight w:val="none"/>
              </w:rPr>
            </w:pPr>
            <w:r>
              <w:rPr>
                <w:rFonts w:hint="eastAsia" w:ascii="宋体" w:hAnsi="宋体" w:cs="宋体"/>
                <w:color w:val="auto"/>
                <w:szCs w:val="21"/>
                <w:highlight w:val="none"/>
              </w:rPr>
              <w:t xml:space="preserve">                 年   月   日 </w:t>
            </w:r>
          </w:p>
        </w:tc>
        <w:tc>
          <w:tcPr>
            <w:tcW w:w="4725" w:type="dxa"/>
            <w:vAlign w:val="center"/>
          </w:tcPr>
          <w:p w14:paraId="5C0C4CC2">
            <w:pPr>
              <w:ind w:firstLine="482"/>
              <w:rPr>
                <w:rFonts w:ascii="宋体" w:hAnsi="宋体" w:cs="宋体"/>
                <w:color w:val="auto"/>
                <w:szCs w:val="21"/>
                <w:highlight w:val="none"/>
              </w:rPr>
            </w:pPr>
            <w:r>
              <w:rPr>
                <w:rFonts w:hint="eastAsia" w:ascii="宋体" w:hAnsi="宋体" w:cs="宋体"/>
                <w:color w:val="auto"/>
                <w:szCs w:val="21"/>
                <w:highlight w:val="none"/>
              </w:rPr>
              <w:t>乙方（章）</w:t>
            </w:r>
          </w:p>
          <w:p w14:paraId="3478DB09">
            <w:pPr>
              <w:ind w:firstLine="482"/>
              <w:rPr>
                <w:rFonts w:ascii="宋体" w:hAnsi="宋体" w:cs="宋体"/>
                <w:color w:val="auto"/>
                <w:szCs w:val="21"/>
                <w:highlight w:val="none"/>
              </w:rPr>
            </w:pPr>
          </w:p>
          <w:p w14:paraId="1B89ABB7">
            <w:pPr>
              <w:ind w:firstLine="482"/>
              <w:rPr>
                <w:rFonts w:ascii="宋体" w:hAnsi="宋体" w:cs="宋体"/>
                <w:color w:val="auto"/>
                <w:szCs w:val="21"/>
                <w:highlight w:val="none"/>
              </w:rPr>
            </w:pPr>
          </w:p>
          <w:p w14:paraId="1415169D">
            <w:pPr>
              <w:ind w:firstLine="482"/>
              <w:rPr>
                <w:rFonts w:ascii="宋体" w:hAnsi="宋体" w:cs="宋体"/>
                <w:color w:val="auto"/>
                <w:szCs w:val="21"/>
                <w:highlight w:val="none"/>
              </w:rPr>
            </w:pPr>
          </w:p>
          <w:p w14:paraId="2648AAB4">
            <w:pPr>
              <w:ind w:firstLine="482"/>
              <w:rPr>
                <w:rFonts w:ascii="宋体" w:hAnsi="宋体" w:cs="宋体"/>
                <w:color w:val="auto"/>
                <w:szCs w:val="21"/>
                <w:highlight w:val="none"/>
              </w:rPr>
            </w:pPr>
          </w:p>
          <w:p w14:paraId="296E2241">
            <w:pPr>
              <w:ind w:firstLine="482"/>
              <w:rPr>
                <w:rFonts w:ascii="宋体" w:hAnsi="宋体" w:cs="宋体"/>
                <w:color w:val="auto"/>
                <w:szCs w:val="21"/>
                <w:highlight w:val="none"/>
              </w:rPr>
            </w:pPr>
          </w:p>
          <w:p w14:paraId="29152D23">
            <w:pPr>
              <w:ind w:firstLine="482"/>
              <w:rPr>
                <w:rFonts w:ascii="宋体" w:hAnsi="宋体" w:cs="宋体"/>
                <w:color w:val="auto"/>
                <w:szCs w:val="21"/>
                <w:highlight w:val="none"/>
              </w:rPr>
            </w:pPr>
          </w:p>
          <w:p w14:paraId="6CE138B4">
            <w:pPr>
              <w:ind w:firstLine="482"/>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161821C0">
      <w:pPr>
        <w:spacing w:before="4"/>
        <w:rPr>
          <w:rFonts w:ascii="宋体" w:hAnsi="宋体" w:cs="宋体"/>
          <w:color w:val="auto"/>
          <w:sz w:val="6"/>
          <w:szCs w:val="6"/>
          <w:highlight w:val="none"/>
        </w:rPr>
      </w:pPr>
    </w:p>
    <w:sectPr>
      <w:footerReference r:id="rId8" w:type="first"/>
      <w:footerReference r:id="rId7" w:type="default"/>
      <w:pgSz w:w="11906" w:h="16838"/>
      <w:pgMar w:top="1134" w:right="1020" w:bottom="1134" w:left="1020" w:header="851" w:footer="56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D063">
    <w:pPr>
      <w:pStyle w:val="23"/>
      <w:tabs>
        <w:tab w:val="center" w:pos="4439"/>
        <w:tab w:val="clear" w:pos="4153"/>
      </w:tabs>
      <w:jc w:val="both"/>
    </w:pPr>
  </w:p>
  <w:p w14:paraId="5EF0DEC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86A8D">
    <w:pPr>
      <w:pStyle w:val="23"/>
      <w:tabs>
        <w:tab w:val="center" w:pos="4439"/>
        <w:tab w:val="clear" w:pos="4153"/>
      </w:tabs>
    </w:pPr>
    <w:r>
      <w:pict>
        <v:shape id="文本框 5126"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iq0c8BAACqAwAADgAAAGRycy9lMm9Eb2MueG1srVPNjtMwEL4j8Q6W&#10;7zRpJ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r+ijMnLD345fu3y49fl59f2cvl&#10;6iYp1AesqPA+UGkc3viB9maOIwUT8aEFm75EiVGe9D1f9VVDZDJdWq/W65JSknKzQ/jFw/UAGN8q&#10;b1kyag70gFlXcXqPcSydS1I35++0MfkRjfsrQJhjROUtmG4nJuPEyYrDfpjo7X1zJnY9bULNHS0+&#10;Z+adI6HT0swGzMZ+No4B9KHLW5W6Y3h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6+KrRzwEAAKoDAAAOAAAAAAAAAAEAIAAAAB4BAABkcnMv&#10;ZTJvRG9jLnhtbFBLBQYAAAAABgAGAFkBAABfBQAAAAA=&#10;">
          <v:path/>
          <v:fill on="f" focussize="0,0"/>
          <v:stroke on="f" joinstyle="miter"/>
          <v:imagedata o:title=""/>
          <o:lock v:ext="edit"/>
          <v:textbox inset="0mm,0mm,0mm,0mm" style="mso-fit-shape-to-text:t;">
            <w:txbxContent>
              <w:p w14:paraId="71E2E669"/>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538A2">
    <w:pPr>
      <w:pStyle w:val="23"/>
      <w:jc w:val="center"/>
    </w:pPr>
    <w:r>
      <w:pict>
        <v:shape id="文本框 5121"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sQRs8BAACqAwAADgAAAGRycy9lMm9Eb2MueG1srVPNjtMwEL4j8Q6W&#10;7zRpE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l4t&#10;V8ukUO+xosI7T6VxeAsD7c0cRwom4kMbbPoSJUZ50vd81VcNkcl0ab1ar0tKScrNDuEXD9d9wPhO&#10;gWXJqHmgB8y6itMHjGPpXJK6ObjVxuRHNO6vAGGOEZW3YLqdmIwTJysO+2Git4fmTOx62oSaO1p8&#10;zsx7R0KnpZmNMBv72Tj6oA9d3qrUHf2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uKxBGzwEAAKoDAAAOAAAAAAAAAAEAIAAAAB4BAABkcnMv&#10;ZTJvRG9jLnhtbFBLBQYAAAAABgAGAFkBAABfBQAAAAA=&#10;">
          <v:path/>
          <v:fill on="f" focussize="0,0"/>
          <v:stroke on="f" joinstyle="miter"/>
          <v:imagedata o:title=""/>
          <o:lock v:ext="edit"/>
          <v:textbox inset="0mm,0mm,0mm,0mm" style="mso-fit-shape-to-text:t;">
            <w:txbxContent>
              <w:p w14:paraId="341A8115">
                <w:pPr>
                  <w:pStyle w:val="23"/>
                  <w:jc w:val="center"/>
                </w:pPr>
                <w:r>
                  <w:fldChar w:fldCharType="begin"/>
                </w:r>
                <w:r>
                  <w:instrText xml:space="preserve"> PAGE  \* MERGEFORMAT </w:instrText>
                </w:r>
                <w:r>
                  <w:fldChar w:fldCharType="separate"/>
                </w:r>
                <w:r>
                  <w:t>66</w:t>
                </w:r>
                <w:r>
                  <w:fldChar w:fldCharType="end"/>
                </w:r>
              </w:p>
            </w:txbxContent>
          </v:textbox>
        </v:shape>
      </w:pict>
    </w:r>
  </w:p>
  <w:p w14:paraId="0BBCE182">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0979">
    <w:pPr>
      <w:pStyle w:val="23"/>
    </w:pPr>
    <w:r>
      <w:pict>
        <v:shape id="文本框 5122"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9zg9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8lal7uDfHiKOlCdNHUZYZJgcfMLMdVq3tCN/+rnq6Rfb/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p59zg9ABAACqAwAADgAAAAAAAAABACAAAAAeAQAAZHJz&#10;L2Uyb0RvYy54bWxQSwUGAAAAAAYABgBZAQAAYAUAAAAA&#10;">
          <v:path/>
          <v:fill on="f" focussize="0,0"/>
          <v:stroke on="f" joinstyle="miter"/>
          <v:imagedata o:title=""/>
          <o:lock v:ext="edit"/>
          <v:textbox inset="0mm,0mm,0mm,0mm" style="mso-fit-shape-to-text:t;">
            <w:txbxContent>
              <w:p w14:paraId="399FD4A9">
                <w:pPr>
                  <w:pStyle w:val="2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9A5A">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A5F5">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96F03"/>
    <w:multiLevelType w:val="singleLevel"/>
    <w:tmpl w:val="39896F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formatting="1"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ZiNzg2NzY5NzM5NWYzYjBlNTA3MTIyZDljZTlhZmEifQ=="/>
    <w:docVar w:name="KSO_WPS_MARK_KEY" w:val="b95ecb36-b825-4aab-a484-008294de2a68"/>
  </w:docVars>
  <w:rsids>
    <w:rsidRoot w:val="00F34B14"/>
    <w:rsid w:val="00000672"/>
    <w:rsid w:val="00001013"/>
    <w:rsid w:val="00001799"/>
    <w:rsid w:val="00001AF2"/>
    <w:rsid w:val="00001ECA"/>
    <w:rsid w:val="00002D29"/>
    <w:rsid w:val="00002EAF"/>
    <w:rsid w:val="00003B93"/>
    <w:rsid w:val="0000474D"/>
    <w:rsid w:val="00005164"/>
    <w:rsid w:val="00005FDF"/>
    <w:rsid w:val="00006851"/>
    <w:rsid w:val="00006AC0"/>
    <w:rsid w:val="000070B3"/>
    <w:rsid w:val="000076B8"/>
    <w:rsid w:val="000109DC"/>
    <w:rsid w:val="00010D39"/>
    <w:rsid w:val="0001172C"/>
    <w:rsid w:val="00011BC9"/>
    <w:rsid w:val="00011C9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279F1"/>
    <w:rsid w:val="000307BE"/>
    <w:rsid w:val="000313DC"/>
    <w:rsid w:val="000329E0"/>
    <w:rsid w:val="000352E9"/>
    <w:rsid w:val="00035494"/>
    <w:rsid w:val="00036125"/>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266"/>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694B"/>
    <w:rsid w:val="000871B8"/>
    <w:rsid w:val="00087B0A"/>
    <w:rsid w:val="000904D2"/>
    <w:rsid w:val="000916DA"/>
    <w:rsid w:val="00092442"/>
    <w:rsid w:val="000929EF"/>
    <w:rsid w:val="00092C26"/>
    <w:rsid w:val="000933BE"/>
    <w:rsid w:val="0009560F"/>
    <w:rsid w:val="0009588E"/>
    <w:rsid w:val="000959EE"/>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29A2"/>
    <w:rsid w:val="000D320C"/>
    <w:rsid w:val="000D341C"/>
    <w:rsid w:val="000D411D"/>
    <w:rsid w:val="000D4589"/>
    <w:rsid w:val="000D4809"/>
    <w:rsid w:val="000D73DD"/>
    <w:rsid w:val="000E1C51"/>
    <w:rsid w:val="000E28AB"/>
    <w:rsid w:val="000E2E3E"/>
    <w:rsid w:val="000E310E"/>
    <w:rsid w:val="000E3583"/>
    <w:rsid w:val="000E370E"/>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339"/>
    <w:rsid w:val="000F7AF4"/>
    <w:rsid w:val="000F7C33"/>
    <w:rsid w:val="000F7F0C"/>
    <w:rsid w:val="001004D6"/>
    <w:rsid w:val="00101D1B"/>
    <w:rsid w:val="00102676"/>
    <w:rsid w:val="001029C1"/>
    <w:rsid w:val="00103646"/>
    <w:rsid w:val="00103918"/>
    <w:rsid w:val="00104897"/>
    <w:rsid w:val="00104EDE"/>
    <w:rsid w:val="00105C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2A96"/>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3"/>
    <w:rsid w:val="001630EF"/>
    <w:rsid w:val="0016428A"/>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7F4"/>
    <w:rsid w:val="0017512C"/>
    <w:rsid w:val="00175541"/>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EAB"/>
    <w:rsid w:val="001C25A7"/>
    <w:rsid w:val="001C318C"/>
    <w:rsid w:val="001C35C4"/>
    <w:rsid w:val="001C4287"/>
    <w:rsid w:val="001C4479"/>
    <w:rsid w:val="001C5190"/>
    <w:rsid w:val="001C6081"/>
    <w:rsid w:val="001C73EB"/>
    <w:rsid w:val="001C7B48"/>
    <w:rsid w:val="001C7CFB"/>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2FDF"/>
    <w:rsid w:val="001F3356"/>
    <w:rsid w:val="001F3C63"/>
    <w:rsid w:val="001F4460"/>
    <w:rsid w:val="001F711A"/>
    <w:rsid w:val="001F75B0"/>
    <w:rsid w:val="0020057C"/>
    <w:rsid w:val="002008A0"/>
    <w:rsid w:val="00200CE5"/>
    <w:rsid w:val="00200F7C"/>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3DDB"/>
    <w:rsid w:val="00223FA4"/>
    <w:rsid w:val="00223FB0"/>
    <w:rsid w:val="00224067"/>
    <w:rsid w:val="0022421C"/>
    <w:rsid w:val="00224C4A"/>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F10"/>
    <w:rsid w:val="002952B1"/>
    <w:rsid w:val="00295D11"/>
    <w:rsid w:val="00296FB6"/>
    <w:rsid w:val="002A0001"/>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145"/>
    <w:rsid w:val="002C03AE"/>
    <w:rsid w:val="002C0C1C"/>
    <w:rsid w:val="002C17CB"/>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93E"/>
    <w:rsid w:val="002E1A94"/>
    <w:rsid w:val="002E1D55"/>
    <w:rsid w:val="002E26C4"/>
    <w:rsid w:val="002E2734"/>
    <w:rsid w:val="002E30A5"/>
    <w:rsid w:val="002E4443"/>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5579"/>
    <w:rsid w:val="003667B0"/>
    <w:rsid w:val="003667DD"/>
    <w:rsid w:val="00366B48"/>
    <w:rsid w:val="00367764"/>
    <w:rsid w:val="00370316"/>
    <w:rsid w:val="00370DC7"/>
    <w:rsid w:val="00371CBD"/>
    <w:rsid w:val="00371F20"/>
    <w:rsid w:val="003721E3"/>
    <w:rsid w:val="00372B98"/>
    <w:rsid w:val="003737B7"/>
    <w:rsid w:val="0037392D"/>
    <w:rsid w:val="003739D4"/>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3F7"/>
    <w:rsid w:val="00390429"/>
    <w:rsid w:val="00390666"/>
    <w:rsid w:val="003906A0"/>
    <w:rsid w:val="00391E03"/>
    <w:rsid w:val="003931AF"/>
    <w:rsid w:val="0039366C"/>
    <w:rsid w:val="00393EC8"/>
    <w:rsid w:val="00395E42"/>
    <w:rsid w:val="00396409"/>
    <w:rsid w:val="00396A2D"/>
    <w:rsid w:val="00396FC3"/>
    <w:rsid w:val="003A1A94"/>
    <w:rsid w:val="003A204E"/>
    <w:rsid w:val="003A2D25"/>
    <w:rsid w:val="003A5728"/>
    <w:rsid w:val="003A60AB"/>
    <w:rsid w:val="003A60E7"/>
    <w:rsid w:val="003A7092"/>
    <w:rsid w:val="003A72A1"/>
    <w:rsid w:val="003A7611"/>
    <w:rsid w:val="003A7D1F"/>
    <w:rsid w:val="003B0A61"/>
    <w:rsid w:val="003B0B6A"/>
    <w:rsid w:val="003B22F7"/>
    <w:rsid w:val="003B29CF"/>
    <w:rsid w:val="003B3A90"/>
    <w:rsid w:val="003B3D01"/>
    <w:rsid w:val="003B534F"/>
    <w:rsid w:val="003B751E"/>
    <w:rsid w:val="003B7A79"/>
    <w:rsid w:val="003C0659"/>
    <w:rsid w:val="003C0FE1"/>
    <w:rsid w:val="003C151A"/>
    <w:rsid w:val="003C350C"/>
    <w:rsid w:val="003C3903"/>
    <w:rsid w:val="003C3BA0"/>
    <w:rsid w:val="003C4580"/>
    <w:rsid w:val="003C5658"/>
    <w:rsid w:val="003C5C5E"/>
    <w:rsid w:val="003C6746"/>
    <w:rsid w:val="003C7555"/>
    <w:rsid w:val="003C7898"/>
    <w:rsid w:val="003C7B16"/>
    <w:rsid w:val="003D0FF5"/>
    <w:rsid w:val="003D104E"/>
    <w:rsid w:val="003D11A3"/>
    <w:rsid w:val="003D1537"/>
    <w:rsid w:val="003D183C"/>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43D3"/>
    <w:rsid w:val="003E458E"/>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10D17"/>
    <w:rsid w:val="00410EBA"/>
    <w:rsid w:val="00412039"/>
    <w:rsid w:val="004127AF"/>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779"/>
    <w:rsid w:val="004360C8"/>
    <w:rsid w:val="00436823"/>
    <w:rsid w:val="004371D5"/>
    <w:rsid w:val="0044006B"/>
    <w:rsid w:val="0044033F"/>
    <w:rsid w:val="00440630"/>
    <w:rsid w:val="00440B89"/>
    <w:rsid w:val="00441F0F"/>
    <w:rsid w:val="00442965"/>
    <w:rsid w:val="004432B1"/>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30C9"/>
    <w:rsid w:val="00483347"/>
    <w:rsid w:val="00483E2E"/>
    <w:rsid w:val="00484B69"/>
    <w:rsid w:val="00485406"/>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641"/>
    <w:rsid w:val="004E1686"/>
    <w:rsid w:val="004E1818"/>
    <w:rsid w:val="004E1990"/>
    <w:rsid w:val="004E25A8"/>
    <w:rsid w:val="004E3930"/>
    <w:rsid w:val="004E3ED9"/>
    <w:rsid w:val="004E5866"/>
    <w:rsid w:val="004E6097"/>
    <w:rsid w:val="004E61EF"/>
    <w:rsid w:val="004E63C6"/>
    <w:rsid w:val="004E67AC"/>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58CD"/>
    <w:rsid w:val="00546F90"/>
    <w:rsid w:val="00547EFB"/>
    <w:rsid w:val="005522F2"/>
    <w:rsid w:val="005531DF"/>
    <w:rsid w:val="00553874"/>
    <w:rsid w:val="00554577"/>
    <w:rsid w:val="00554AD8"/>
    <w:rsid w:val="00554F78"/>
    <w:rsid w:val="00555DA1"/>
    <w:rsid w:val="00556366"/>
    <w:rsid w:val="005565DF"/>
    <w:rsid w:val="00556BF7"/>
    <w:rsid w:val="00556E53"/>
    <w:rsid w:val="00557F60"/>
    <w:rsid w:val="00561730"/>
    <w:rsid w:val="00561B97"/>
    <w:rsid w:val="00562149"/>
    <w:rsid w:val="005640EB"/>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83D"/>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A11BC"/>
    <w:rsid w:val="005A11CC"/>
    <w:rsid w:val="005A1525"/>
    <w:rsid w:val="005A1E17"/>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72D"/>
    <w:rsid w:val="005F6181"/>
    <w:rsid w:val="005F6338"/>
    <w:rsid w:val="005F6D58"/>
    <w:rsid w:val="005F7383"/>
    <w:rsid w:val="0060058E"/>
    <w:rsid w:val="00602A3C"/>
    <w:rsid w:val="00603EFD"/>
    <w:rsid w:val="0060475B"/>
    <w:rsid w:val="00604BED"/>
    <w:rsid w:val="00604FB6"/>
    <w:rsid w:val="00605387"/>
    <w:rsid w:val="00606302"/>
    <w:rsid w:val="00606D8C"/>
    <w:rsid w:val="006076FD"/>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311E2"/>
    <w:rsid w:val="00633C69"/>
    <w:rsid w:val="00634367"/>
    <w:rsid w:val="006359B3"/>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022"/>
    <w:rsid w:val="00690437"/>
    <w:rsid w:val="00690679"/>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0132"/>
    <w:rsid w:val="006C16C3"/>
    <w:rsid w:val="006C2187"/>
    <w:rsid w:val="006C32F4"/>
    <w:rsid w:val="006C3C54"/>
    <w:rsid w:val="006C4B6B"/>
    <w:rsid w:val="006C4CE1"/>
    <w:rsid w:val="006C4F9F"/>
    <w:rsid w:val="006C653C"/>
    <w:rsid w:val="006C71A2"/>
    <w:rsid w:val="006C73EC"/>
    <w:rsid w:val="006C7E3D"/>
    <w:rsid w:val="006D0C1D"/>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D63"/>
    <w:rsid w:val="006E32B0"/>
    <w:rsid w:val="006E348E"/>
    <w:rsid w:val="006E396A"/>
    <w:rsid w:val="006E3D63"/>
    <w:rsid w:val="006E585E"/>
    <w:rsid w:val="006E58BF"/>
    <w:rsid w:val="006E5DD8"/>
    <w:rsid w:val="006E5EA1"/>
    <w:rsid w:val="006E6DEE"/>
    <w:rsid w:val="006E7D4B"/>
    <w:rsid w:val="006F0527"/>
    <w:rsid w:val="006F0760"/>
    <w:rsid w:val="006F11E2"/>
    <w:rsid w:val="006F2574"/>
    <w:rsid w:val="006F3231"/>
    <w:rsid w:val="006F3DE3"/>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2656"/>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7A43"/>
    <w:rsid w:val="00727FF2"/>
    <w:rsid w:val="00730550"/>
    <w:rsid w:val="00730C2A"/>
    <w:rsid w:val="00730FB4"/>
    <w:rsid w:val="00731434"/>
    <w:rsid w:val="00731E59"/>
    <w:rsid w:val="00731F63"/>
    <w:rsid w:val="007323E0"/>
    <w:rsid w:val="00732911"/>
    <w:rsid w:val="00732B4E"/>
    <w:rsid w:val="0073360F"/>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41E"/>
    <w:rsid w:val="00756521"/>
    <w:rsid w:val="00756AB7"/>
    <w:rsid w:val="00757053"/>
    <w:rsid w:val="00757673"/>
    <w:rsid w:val="0076106D"/>
    <w:rsid w:val="007623FB"/>
    <w:rsid w:val="00762517"/>
    <w:rsid w:val="00763240"/>
    <w:rsid w:val="0076354C"/>
    <w:rsid w:val="0076376A"/>
    <w:rsid w:val="007648AD"/>
    <w:rsid w:val="0076504E"/>
    <w:rsid w:val="00767BFD"/>
    <w:rsid w:val="00767EA0"/>
    <w:rsid w:val="0077068F"/>
    <w:rsid w:val="00771EDF"/>
    <w:rsid w:val="00771FEC"/>
    <w:rsid w:val="007720BD"/>
    <w:rsid w:val="007724B4"/>
    <w:rsid w:val="00772A90"/>
    <w:rsid w:val="00772F8D"/>
    <w:rsid w:val="0077408D"/>
    <w:rsid w:val="00774270"/>
    <w:rsid w:val="007743F6"/>
    <w:rsid w:val="00775679"/>
    <w:rsid w:val="0077574F"/>
    <w:rsid w:val="00775823"/>
    <w:rsid w:val="00777153"/>
    <w:rsid w:val="007774D0"/>
    <w:rsid w:val="007777CC"/>
    <w:rsid w:val="00777B32"/>
    <w:rsid w:val="0078051E"/>
    <w:rsid w:val="00781089"/>
    <w:rsid w:val="00782B6A"/>
    <w:rsid w:val="007834AD"/>
    <w:rsid w:val="007838F3"/>
    <w:rsid w:val="00785184"/>
    <w:rsid w:val="007856FE"/>
    <w:rsid w:val="00785F46"/>
    <w:rsid w:val="007865F4"/>
    <w:rsid w:val="00786D5C"/>
    <w:rsid w:val="00786E96"/>
    <w:rsid w:val="00787BB6"/>
    <w:rsid w:val="00787DFF"/>
    <w:rsid w:val="00787F93"/>
    <w:rsid w:val="00791E6D"/>
    <w:rsid w:val="00791EB5"/>
    <w:rsid w:val="00793307"/>
    <w:rsid w:val="0079343F"/>
    <w:rsid w:val="00793696"/>
    <w:rsid w:val="007955DA"/>
    <w:rsid w:val="00796F65"/>
    <w:rsid w:val="007A11C2"/>
    <w:rsid w:val="007A18BB"/>
    <w:rsid w:val="007A27DD"/>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7490"/>
    <w:rsid w:val="007C0525"/>
    <w:rsid w:val="007C13F7"/>
    <w:rsid w:val="007C152F"/>
    <w:rsid w:val="007C218D"/>
    <w:rsid w:val="007C2D28"/>
    <w:rsid w:val="007C3E22"/>
    <w:rsid w:val="007C4E19"/>
    <w:rsid w:val="007C58C1"/>
    <w:rsid w:val="007C6218"/>
    <w:rsid w:val="007C6484"/>
    <w:rsid w:val="007C67C6"/>
    <w:rsid w:val="007C78BE"/>
    <w:rsid w:val="007C7A5D"/>
    <w:rsid w:val="007C7E5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327"/>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B84"/>
    <w:rsid w:val="008166F6"/>
    <w:rsid w:val="00816BE9"/>
    <w:rsid w:val="00817D10"/>
    <w:rsid w:val="00822518"/>
    <w:rsid w:val="008226F5"/>
    <w:rsid w:val="00823109"/>
    <w:rsid w:val="00823FC6"/>
    <w:rsid w:val="00824306"/>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7CC"/>
    <w:rsid w:val="00863A8E"/>
    <w:rsid w:val="00863B59"/>
    <w:rsid w:val="00864025"/>
    <w:rsid w:val="0086407F"/>
    <w:rsid w:val="008645E3"/>
    <w:rsid w:val="00864E79"/>
    <w:rsid w:val="0086661F"/>
    <w:rsid w:val="00866A0D"/>
    <w:rsid w:val="00866DB5"/>
    <w:rsid w:val="0086701D"/>
    <w:rsid w:val="0086702B"/>
    <w:rsid w:val="008672E2"/>
    <w:rsid w:val="0086784E"/>
    <w:rsid w:val="0087063A"/>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3E75"/>
    <w:rsid w:val="008C43AD"/>
    <w:rsid w:val="008C6118"/>
    <w:rsid w:val="008C6341"/>
    <w:rsid w:val="008C653D"/>
    <w:rsid w:val="008C731F"/>
    <w:rsid w:val="008C74D9"/>
    <w:rsid w:val="008C7B1D"/>
    <w:rsid w:val="008D1804"/>
    <w:rsid w:val="008D2050"/>
    <w:rsid w:val="008D337B"/>
    <w:rsid w:val="008D3B2D"/>
    <w:rsid w:val="008D58D9"/>
    <w:rsid w:val="008D5AD4"/>
    <w:rsid w:val="008D695E"/>
    <w:rsid w:val="008D6DD5"/>
    <w:rsid w:val="008D6E59"/>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22B3"/>
    <w:rsid w:val="008F357B"/>
    <w:rsid w:val="008F44CA"/>
    <w:rsid w:val="008F49D3"/>
    <w:rsid w:val="008F6519"/>
    <w:rsid w:val="008F7012"/>
    <w:rsid w:val="008F7ADA"/>
    <w:rsid w:val="008F7B17"/>
    <w:rsid w:val="00900042"/>
    <w:rsid w:val="0090008E"/>
    <w:rsid w:val="0090034B"/>
    <w:rsid w:val="0090087C"/>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A73"/>
    <w:rsid w:val="00956BD5"/>
    <w:rsid w:val="00956D84"/>
    <w:rsid w:val="009577B5"/>
    <w:rsid w:val="00957B44"/>
    <w:rsid w:val="009608E6"/>
    <w:rsid w:val="00960F57"/>
    <w:rsid w:val="00961C90"/>
    <w:rsid w:val="00965443"/>
    <w:rsid w:val="00965954"/>
    <w:rsid w:val="00965A21"/>
    <w:rsid w:val="00965E55"/>
    <w:rsid w:val="0096608E"/>
    <w:rsid w:val="00966522"/>
    <w:rsid w:val="00966C33"/>
    <w:rsid w:val="00967F5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5150"/>
    <w:rsid w:val="00995475"/>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5BAA"/>
    <w:rsid w:val="009A6559"/>
    <w:rsid w:val="009A68FC"/>
    <w:rsid w:val="009A6CE4"/>
    <w:rsid w:val="009A6EC3"/>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B7DC0"/>
    <w:rsid w:val="009C079D"/>
    <w:rsid w:val="009C0D70"/>
    <w:rsid w:val="009C13D1"/>
    <w:rsid w:val="009C2913"/>
    <w:rsid w:val="009C2BD4"/>
    <w:rsid w:val="009C3E72"/>
    <w:rsid w:val="009C4AE8"/>
    <w:rsid w:val="009C5AFE"/>
    <w:rsid w:val="009C6606"/>
    <w:rsid w:val="009C6CE5"/>
    <w:rsid w:val="009C6D50"/>
    <w:rsid w:val="009C7547"/>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740C"/>
    <w:rsid w:val="00A17904"/>
    <w:rsid w:val="00A20069"/>
    <w:rsid w:val="00A2244D"/>
    <w:rsid w:val="00A2253D"/>
    <w:rsid w:val="00A2267F"/>
    <w:rsid w:val="00A22CDB"/>
    <w:rsid w:val="00A23AEC"/>
    <w:rsid w:val="00A23C18"/>
    <w:rsid w:val="00A23E0A"/>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2D36"/>
    <w:rsid w:val="00A531D4"/>
    <w:rsid w:val="00A54572"/>
    <w:rsid w:val="00A54DA4"/>
    <w:rsid w:val="00A575B8"/>
    <w:rsid w:val="00A61C60"/>
    <w:rsid w:val="00A61ECB"/>
    <w:rsid w:val="00A638A0"/>
    <w:rsid w:val="00A6410C"/>
    <w:rsid w:val="00A647B1"/>
    <w:rsid w:val="00A64DEF"/>
    <w:rsid w:val="00A654D2"/>
    <w:rsid w:val="00A665DF"/>
    <w:rsid w:val="00A6699F"/>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81592"/>
    <w:rsid w:val="00A82486"/>
    <w:rsid w:val="00A8311C"/>
    <w:rsid w:val="00A835D0"/>
    <w:rsid w:val="00A84C5F"/>
    <w:rsid w:val="00A85930"/>
    <w:rsid w:val="00A863F7"/>
    <w:rsid w:val="00A86604"/>
    <w:rsid w:val="00A87519"/>
    <w:rsid w:val="00A9246D"/>
    <w:rsid w:val="00A92CCA"/>
    <w:rsid w:val="00A92F9F"/>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99C"/>
    <w:rsid w:val="00AB4AEB"/>
    <w:rsid w:val="00AB4E5F"/>
    <w:rsid w:val="00AB5352"/>
    <w:rsid w:val="00AB56AE"/>
    <w:rsid w:val="00AB62D5"/>
    <w:rsid w:val="00AB65B5"/>
    <w:rsid w:val="00AB6DCD"/>
    <w:rsid w:val="00AB6EE0"/>
    <w:rsid w:val="00AB73DC"/>
    <w:rsid w:val="00AC17A2"/>
    <w:rsid w:val="00AC40B7"/>
    <w:rsid w:val="00AC4680"/>
    <w:rsid w:val="00AC516B"/>
    <w:rsid w:val="00AC531F"/>
    <w:rsid w:val="00AC5AAA"/>
    <w:rsid w:val="00AC5B36"/>
    <w:rsid w:val="00AC6377"/>
    <w:rsid w:val="00AC66A4"/>
    <w:rsid w:val="00AC6CB1"/>
    <w:rsid w:val="00AC75E9"/>
    <w:rsid w:val="00AC7D6D"/>
    <w:rsid w:val="00AD0091"/>
    <w:rsid w:val="00AD1A28"/>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5DB7"/>
    <w:rsid w:val="00AE7280"/>
    <w:rsid w:val="00AF01FA"/>
    <w:rsid w:val="00AF033A"/>
    <w:rsid w:val="00AF082B"/>
    <w:rsid w:val="00AF1699"/>
    <w:rsid w:val="00AF1FD3"/>
    <w:rsid w:val="00AF2910"/>
    <w:rsid w:val="00AF34B8"/>
    <w:rsid w:val="00AF3896"/>
    <w:rsid w:val="00AF3FC2"/>
    <w:rsid w:val="00AF4D55"/>
    <w:rsid w:val="00AF4DEC"/>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3F1F"/>
    <w:rsid w:val="00B247BB"/>
    <w:rsid w:val="00B2504A"/>
    <w:rsid w:val="00B25EE6"/>
    <w:rsid w:val="00B2685C"/>
    <w:rsid w:val="00B30CD6"/>
    <w:rsid w:val="00B3115A"/>
    <w:rsid w:val="00B31825"/>
    <w:rsid w:val="00B31A5C"/>
    <w:rsid w:val="00B32265"/>
    <w:rsid w:val="00B3276D"/>
    <w:rsid w:val="00B33B06"/>
    <w:rsid w:val="00B33C19"/>
    <w:rsid w:val="00B359E2"/>
    <w:rsid w:val="00B35A15"/>
    <w:rsid w:val="00B35B45"/>
    <w:rsid w:val="00B36A99"/>
    <w:rsid w:val="00B40143"/>
    <w:rsid w:val="00B42264"/>
    <w:rsid w:val="00B434B2"/>
    <w:rsid w:val="00B43D45"/>
    <w:rsid w:val="00B459AF"/>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1A92"/>
    <w:rsid w:val="00B71B0A"/>
    <w:rsid w:val="00B721D8"/>
    <w:rsid w:val="00B730CA"/>
    <w:rsid w:val="00B732EA"/>
    <w:rsid w:val="00B7390A"/>
    <w:rsid w:val="00B747C5"/>
    <w:rsid w:val="00B74F2F"/>
    <w:rsid w:val="00B753ED"/>
    <w:rsid w:val="00B7665F"/>
    <w:rsid w:val="00B769BC"/>
    <w:rsid w:val="00B77167"/>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87712"/>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B7D91"/>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180B"/>
    <w:rsid w:val="00BE2260"/>
    <w:rsid w:val="00BE32F3"/>
    <w:rsid w:val="00BE3917"/>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3094"/>
    <w:rsid w:val="00C136D6"/>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37D56"/>
    <w:rsid w:val="00C40D4B"/>
    <w:rsid w:val="00C413CB"/>
    <w:rsid w:val="00C42752"/>
    <w:rsid w:val="00C42973"/>
    <w:rsid w:val="00C44206"/>
    <w:rsid w:val="00C44A36"/>
    <w:rsid w:val="00C46B95"/>
    <w:rsid w:val="00C4712A"/>
    <w:rsid w:val="00C47F88"/>
    <w:rsid w:val="00C5034F"/>
    <w:rsid w:val="00C50830"/>
    <w:rsid w:val="00C52479"/>
    <w:rsid w:val="00C5266E"/>
    <w:rsid w:val="00C52C59"/>
    <w:rsid w:val="00C5349E"/>
    <w:rsid w:val="00C539FF"/>
    <w:rsid w:val="00C544BD"/>
    <w:rsid w:val="00C54D3D"/>
    <w:rsid w:val="00C55A30"/>
    <w:rsid w:val="00C56384"/>
    <w:rsid w:val="00C568B6"/>
    <w:rsid w:val="00C60F8C"/>
    <w:rsid w:val="00C61794"/>
    <w:rsid w:val="00C61CB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7818"/>
    <w:rsid w:val="00C8063F"/>
    <w:rsid w:val="00C80931"/>
    <w:rsid w:val="00C81282"/>
    <w:rsid w:val="00C827B4"/>
    <w:rsid w:val="00C82B40"/>
    <w:rsid w:val="00C83214"/>
    <w:rsid w:val="00C8329F"/>
    <w:rsid w:val="00C84F8A"/>
    <w:rsid w:val="00C85BA4"/>
    <w:rsid w:val="00C8618F"/>
    <w:rsid w:val="00C8625D"/>
    <w:rsid w:val="00C87F3F"/>
    <w:rsid w:val="00C90372"/>
    <w:rsid w:val="00C9041F"/>
    <w:rsid w:val="00C9112E"/>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1E61"/>
    <w:rsid w:val="00CA25C0"/>
    <w:rsid w:val="00CA3451"/>
    <w:rsid w:val="00CA35C6"/>
    <w:rsid w:val="00CA4948"/>
    <w:rsid w:val="00CA4FA3"/>
    <w:rsid w:val="00CA4FF9"/>
    <w:rsid w:val="00CA52F9"/>
    <w:rsid w:val="00CA5368"/>
    <w:rsid w:val="00CA568B"/>
    <w:rsid w:val="00CA573A"/>
    <w:rsid w:val="00CA584D"/>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DAD"/>
    <w:rsid w:val="00CD7037"/>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0E12"/>
    <w:rsid w:val="00D01CF9"/>
    <w:rsid w:val="00D02BF7"/>
    <w:rsid w:val="00D02FFD"/>
    <w:rsid w:val="00D0334D"/>
    <w:rsid w:val="00D0374D"/>
    <w:rsid w:val="00D06851"/>
    <w:rsid w:val="00D06D7B"/>
    <w:rsid w:val="00D06DA5"/>
    <w:rsid w:val="00D07191"/>
    <w:rsid w:val="00D07F1D"/>
    <w:rsid w:val="00D10558"/>
    <w:rsid w:val="00D11D4D"/>
    <w:rsid w:val="00D126DC"/>
    <w:rsid w:val="00D12B03"/>
    <w:rsid w:val="00D13E70"/>
    <w:rsid w:val="00D149A9"/>
    <w:rsid w:val="00D15FCD"/>
    <w:rsid w:val="00D16C58"/>
    <w:rsid w:val="00D17019"/>
    <w:rsid w:val="00D17FC8"/>
    <w:rsid w:val="00D20B44"/>
    <w:rsid w:val="00D21168"/>
    <w:rsid w:val="00D240C6"/>
    <w:rsid w:val="00D2438C"/>
    <w:rsid w:val="00D2585A"/>
    <w:rsid w:val="00D259B0"/>
    <w:rsid w:val="00D26C3F"/>
    <w:rsid w:val="00D27185"/>
    <w:rsid w:val="00D3028A"/>
    <w:rsid w:val="00D31CDD"/>
    <w:rsid w:val="00D33488"/>
    <w:rsid w:val="00D33AB3"/>
    <w:rsid w:val="00D33F24"/>
    <w:rsid w:val="00D34160"/>
    <w:rsid w:val="00D3466D"/>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581F"/>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9C6"/>
    <w:rsid w:val="00DA2D3D"/>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DCC"/>
    <w:rsid w:val="00E219CE"/>
    <w:rsid w:val="00E21D93"/>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A9"/>
    <w:rsid w:val="00E477C3"/>
    <w:rsid w:val="00E51E16"/>
    <w:rsid w:val="00E52DED"/>
    <w:rsid w:val="00E53730"/>
    <w:rsid w:val="00E5438D"/>
    <w:rsid w:val="00E54511"/>
    <w:rsid w:val="00E54E50"/>
    <w:rsid w:val="00E54EC9"/>
    <w:rsid w:val="00E55288"/>
    <w:rsid w:val="00E57577"/>
    <w:rsid w:val="00E60A2E"/>
    <w:rsid w:val="00E60BD7"/>
    <w:rsid w:val="00E62043"/>
    <w:rsid w:val="00E626B9"/>
    <w:rsid w:val="00E627C9"/>
    <w:rsid w:val="00E630F3"/>
    <w:rsid w:val="00E6332F"/>
    <w:rsid w:val="00E637C9"/>
    <w:rsid w:val="00E639E6"/>
    <w:rsid w:val="00E6402D"/>
    <w:rsid w:val="00E6680A"/>
    <w:rsid w:val="00E66F0D"/>
    <w:rsid w:val="00E67741"/>
    <w:rsid w:val="00E67CAE"/>
    <w:rsid w:val="00E70615"/>
    <w:rsid w:val="00E7161E"/>
    <w:rsid w:val="00E71B40"/>
    <w:rsid w:val="00E7207B"/>
    <w:rsid w:val="00E7347A"/>
    <w:rsid w:val="00E75A47"/>
    <w:rsid w:val="00E75BB6"/>
    <w:rsid w:val="00E75D8C"/>
    <w:rsid w:val="00E777BB"/>
    <w:rsid w:val="00E777F2"/>
    <w:rsid w:val="00E802C9"/>
    <w:rsid w:val="00E80342"/>
    <w:rsid w:val="00E80BFB"/>
    <w:rsid w:val="00E80F0A"/>
    <w:rsid w:val="00E815D4"/>
    <w:rsid w:val="00E8291B"/>
    <w:rsid w:val="00E82E70"/>
    <w:rsid w:val="00E82F92"/>
    <w:rsid w:val="00E8395F"/>
    <w:rsid w:val="00E8410F"/>
    <w:rsid w:val="00E849D7"/>
    <w:rsid w:val="00E85E41"/>
    <w:rsid w:val="00E85EA1"/>
    <w:rsid w:val="00E86030"/>
    <w:rsid w:val="00E86703"/>
    <w:rsid w:val="00E900DA"/>
    <w:rsid w:val="00E91044"/>
    <w:rsid w:val="00E910D3"/>
    <w:rsid w:val="00E92154"/>
    <w:rsid w:val="00E923CF"/>
    <w:rsid w:val="00E93685"/>
    <w:rsid w:val="00E93B65"/>
    <w:rsid w:val="00E93C8C"/>
    <w:rsid w:val="00E95111"/>
    <w:rsid w:val="00E95FDF"/>
    <w:rsid w:val="00EA1198"/>
    <w:rsid w:val="00EA14C8"/>
    <w:rsid w:val="00EA2110"/>
    <w:rsid w:val="00EA283A"/>
    <w:rsid w:val="00EA2C90"/>
    <w:rsid w:val="00EA2E07"/>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25"/>
    <w:rsid w:val="00ED2EB9"/>
    <w:rsid w:val="00ED3722"/>
    <w:rsid w:val="00ED3A31"/>
    <w:rsid w:val="00ED4469"/>
    <w:rsid w:val="00ED44F6"/>
    <w:rsid w:val="00ED5424"/>
    <w:rsid w:val="00ED5F23"/>
    <w:rsid w:val="00ED6A6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73D0"/>
    <w:rsid w:val="00EE7CB0"/>
    <w:rsid w:val="00EF08A8"/>
    <w:rsid w:val="00EF167B"/>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6E85"/>
    <w:rsid w:val="00F070E5"/>
    <w:rsid w:val="00F07DDE"/>
    <w:rsid w:val="00F11675"/>
    <w:rsid w:val="00F12557"/>
    <w:rsid w:val="00F13599"/>
    <w:rsid w:val="00F13B28"/>
    <w:rsid w:val="00F14542"/>
    <w:rsid w:val="00F1520A"/>
    <w:rsid w:val="00F156A0"/>
    <w:rsid w:val="00F15730"/>
    <w:rsid w:val="00F176A6"/>
    <w:rsid w:val="00F202C2"/>
    <w:rsid w:val="00F212A8"/>
    <w:rsid w:val="00F212F6"/>
    <w:rsid w:val="00F21905"/>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92F"/>
    <w:rsid w:val="00F45A72"/>
    <w:rsid w:val="00F46723"/>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A7F"/>
    <w:rsid w:val="00FA0889"/>
    <w:rsid w:val="00FA16E7"/>
    <w:rsid w:val="00FA31C7"/>
    <w:rsid w:val="00FA472D"/>
    <w:rsid w:val="00FA681F"/>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1A47"/>
    <w:rsid w:val="00FE24CB"/>
    <w:rsid w:val="00FE2FC2"/>
    <w:rsid w:val="00FE323F"/>
    <w:rsid w:val="00FE3473"/>
    <w:rsid w:val="00FE35CC"/>
    <w:rsid w:val="00FE4049"/>
    <w:rsid w:val="00FE4794"/>
    <w:rsid w:val="00FE480F"/>
    <w:rsid w:val="00FE4998"/>
    <w:rsid w:val="00FE56B7"/>
    <w:rsid w:val="00FE57DE"/>
    <w:rsid w:val="00FE7A68"/>
    <w:rsid w:val="00FF0231"/>
    <w:rsid w:val="00FF1C9B"/>
    <w:rsid w:val="00FF1D49"/>
    <w:rsid w:val="00FF203B"/>
    <w:rsid w:val="00FF2562"/>
    <w:rsid w:val="00FF2B6C"/>
    <w:rsid w:val="00FF3A41"/>
    <w:rsid w:val="00FF3E5B"/>
    <w:rsid w:val="00FF4C8E"/>
    <w:rsid w:val="00FF57E4"/>
    <w:rsid w:val="00FF62AA"/>
    <w:rsid w:val="00FF78E5"/>
    <w:rsid w:val="010827C0"/>
    <w:rsid w:val="0119677B"/>
    <w:rsid w:val="012C5FAF"/>
    <w:rsid w:val="01433FE9"/>
    <w:rsid w:val="017D25BA"/>
    <w:rsid w:val="01AF3D99"/>
    <w:rsid w:val="01B52C2D"/>
    <w:rsid w:val="01F91C73"/>
    <w:rsid w:val="01F96404"/>
    <w:rsid w:val="0201302D"/>
    <w:rsid w:val="02247ACE"/>
    <w:rsid w:val="02511F9D"/>
    <w:rsid w:val="02DB6B5E"/>
    <w:rsid w:val="036543A8"/>
    <w:rsid w:val="03654FA1"/>
    <w:rsid w:val="03A03330"/>
    <w:rsid w:val="03A314B8"/>
    <w:rsid w:val="03B7227C"/>
    <w:rsid w:val="03BB1D6C"/>
    <w:rsid w:val="03C5243A"/>
    <w:rsid w:val="03D82B98"/>
    <w:rsid w:val="03E47515"/>
    <w:rsid w:val="03F83E8B"/>
    <w:rsid w:val="03FF37B7"/>
    <w:rsid w:val="040A2CF3"/>
    <w:rsid w:val="04BF763A"/>
    <w:rsid w:val="04CD61FB"/>
    <w:rsid w:val="04EF7F2B"/>
    <w:rsid w:val="050140F6"/>
    <w:rsid w:val="05067536"/>
    <w:rsid w:val="05305068"/>
    <w:rsid w:val="05A131E3"/>
    <w:rsid w:val="05AC1B2E"/>
    <w:rsid w:val="05C56868"/>
    <w:rsid w:val="061C715B"/>
    <w:rsid w:val="06472F82"/>
    <w:rsid w:val="06705FB0"/>
    <w:rsid w:val="068F128E"/>
    <w:rsid w:val="0693415D"/>
    <w:rsid w:val="06EF31F8"/>
    <w:rsid w:val="06F2558C"/>
    <w:rsid w:val="07017BB4"/>
    <w:rsid w:val="07131CDD"/>
    <w:rsid w:val="07A33592"/>
    <w:rsid w:val="07B72767"/>
    <w:rsid w:val="07BB67DE"/>
    <w:rsid w:val="07D63618"/>
    <w:rsid w:val="07E43A81"/>
    <w:rsid w:val="07FB4E2D"/>
    <w:rsid w:val="08077E72"/>
    <w:rsid w:val="0832086E"/>
    <w:rsid w:val="083245C7"/>
    <w:rsid w:val="0843490A"/>
    <w:rsid w:val="08882DD0"/>
    <w:rsid w:val="08946FCA"/>
    <w:rsid w:val="08B80099"/>
    <w:rsid w:val="09364131"/>
    <w:rsid w:val="093F3D8B"/>
    <w:rsid w:val="09666C3E"/>
    <w:rsid w:val="0981726F"/>
    <w:rsid w:val="098F7F12"/>
    <w:rsid w:val="09C23374"/>
    <w:rsid w:val="09CA084E"/>
    <w:rsid w:val="09CC2AAC"/>
    <w:rsid w:val="0A092713"/>
    <w:rsid w:val="0A1C108A"/>
    <w:rsid w:val="0A256191"/>
    <w:rsid w:val="0A3D797F"/>
    <w:rsid w:val="0A423A07"/>
    <w:rsid w:val="0A4A5BF8"/>
    <w:rsid w:val="0A652D3E"/>
    <w:rsid w:val="0A6E5D8A"/>
    <w:rsid w:val="0AD876A7"/>
    <w:rsid w:val="0B305702"/>
    <w:rsid w:val="0B326F2A"/>
    <w:rsid w:val="0B372620"/>
    <w:rsid w:val="0B3E3044"/>
    <w:rsid w:val="0B5374D4"/>
    <w:rsid w:val="0BFE313E"/>
    <w:rsid w:val="0C1E2888"/>
    <w:rsid w:val="0C275FE0"/>
    <w:rsid w:val="0C4C20FB"/>
    <w:rsid w:val="0C6531BD"/>
    <w:rsid w:val="0C8E61AF"/>
    <w:rsid w:val="0C92213C"/>
    <w:rsid w:val="0CAF06D2"/>
    <w:rsid w:val="0CBE28CD"/>
    <w:rsid w:val="0CC2027E"/>
    <w:rsid w:val="0D7B16D9"/>
    <w:rsid w:val="0D7F02AE"/>
    <w:rsid w:val="0D84032B"/>
    <w:rsid w:val="0D860CD8"/>
    <w:rsid w:val="0DB13EEB"/>
    <w:rsid w:val="0DB735A4"/>
    <w:rsid w:val="0E6454B7"/>
    <w:rsid w:val="0E8A6F0A"/>
    <w:rsid w:val="0E9F560A"/>
    <w:rsid w:val="0ECE329B"/>
    <w:rsid w:val="0EE428AF"/>
    <w:rsid w:val="0EF645A0"/>
    <w:rsid w:val="0F094436"/>
    <w:rsid w:val="0F2A74C4"/>
    <w:rsid w:val="0F5A5D56"/>
    <w:rsid w:val="0F620A10"/>
    <w:rsid w:val="0F711E78"/>
    <w:rsid w:val="0F7729A5"/>
    <w:rsid w:val="0F8F7EEC"/>
    <w:rsid w:val="10014FAA"/>
    <w:rsid w:val="101E5B5C"/>
    <w:rsid w:val="104A1F3F"/>
    <w:rsid w:val="104A4BA3"/>
    <w:rsid w:val="107240FA"/>
    <w:rsid w:val="108D4996"/>
    <w:rsid w:val="10A27F31"/>
    <w:rsid w:val="10DC1574"/>
    <w:rsid w:val="11101D8E"/>
    <w:rsid w:val="115832F0"/>
    <w:rsid w:val="115B4B8E"/>
    <w:rsid w:val="118916FB"/>
    <w:rsid w:val="11927058"/>
    <w:rsid w:val="11BA7B07"/>
    <w:rsid w:val="11BD2243"/>
    <w:rsid w:val="11C14915"/>
    <w:rsid w:val="11F72B09"/>
    <w:rsid w:val="121045D6"/>
    <w:rsid w:val="122D02D9"/>
    <w:rsid w:val="12743D83"/>
    <w:rsid w:val="128D0D77"/>
    <w:rsid w:val="12957C2C"/>
    <w:rsid w:val="12AD3208"/>
    <w:rsid w:val="12B96010"/>
    <w:rsid w:val="130628D8"/>
    <w:rsid w:val="131928BF"/>
    <w:rsid w:val="131B727A"/>
    <w:rsid w:val="135B2B22"/>
    <w:rsid w:val="137D5290"/>
    <w:rsid w:val="13914897"/>
    <w:rsid w:val="13946135"/>
    <w:rsid w:val="13AF4F03"/>
    <w:rsid w:val="13E04CDB"/>
    <w:rsid w:val="144A092A"/>
    <w:rsid w:val="14704A54"/>
    <w:rsid w:val="14736E66"/>
    <w:rsid w:val="14792525"/>
    <w:rsid w:val="147F458F"/>
    <w:rsid w:val="14947BFE"/>
    <w:rsid w:val="149A00A4"/>
    <w:rsid w:val="14B10388"/>
    <w:rsid w:val="14D174E6"/>
    <w:rsid w:val="14E44281"/>
    <w:rsid w:val="15033573"/>
    <w:rsid w:val="1534169A"/>
    <w:rsid w:val="156068E6"/>
    <w:rsid w:val="156D538C"/>
    <w:rsid w:val="15813FDB"/>
    <w:rsid w:val="159B506F"/>
    <w:rsid w:val="15C03E03"/>
    <w:rsid w:val="16140CAA"/>
    <w:rsid w:val="16290DB7"/>
    <w:rsid w:val="162A25EB"/>
    <w:rsid w:val="16353C00"/>
    <w:rsid w:val="1665628F"/>
    <w:rsid w:val="16735895"/>
    <w:rsid w:val="16816E45"/>
    <w:rsid w:val="16B54D41"/>
    <w:rsid w:val="16D01B7A"/>
    <w:rsid w:val="16ED6288"/>
    <w:rsid w:val="16FD2A55"/>
    <w:rsid w:val="17001FDA"/>
    <w:rsid w:val="17067C1A"/>
    <w:rsid w:val="173619DD"/>
    <w:rsid w:val="17366761"/>
    <w:rsid w:val="174E2EC4"/>
    <w:rsid w:val="17514A69"/>
    <w:rsid w:val="17567E8F"/>
    <w:rsid w:val="176F6C9D"/>
    <w:rsid w:val="177C01F0"/>
    <w:rsid w:val="179E3EFA"/>
    <w:rsid w:val="17A252C5"/>
    <w:rsid w:val="17CE6630"/>
    <w:rsid w:val="17F4641B"/>
    <w:rsid w:val="181D494B"/>
    <w:rsid w:val="18291A50"/>
    <w:rsid w:val="1844637C"/>
    <w:rsid w:val="184B6E30"/>
    <w:rsid w:val="185F6D12"/>
    <w:rsid w:val="187F3D33"/>
    <w:rsid w:val="18820F70"/>
    <w:rsid w:val="18972950"/>
    <w:rsid w:val="18F558C8"/>
    <w:rsid w:val="195474DE"/>
    <w:rsid w:val="195B507D"/>
    <w:rsid w:val="19EE7E5D"/>
    <w:rsid w:val="1A1D50D7"/>
    <w:rsid w:val="1A5F0EA6"/>
    <w:rsid w:val="1A7B3BAB"/>
    <w:rsid w:val="1A8B76DB"/>
    <w:rsid w:val="1A98650B"/>
    <w:rsid w:val="1AA94BBC"/>
    <w:rsid w:val="1AAA4452"/>
    <w:rsid w:val="1AC252C2"/>
    <w:rsid w:val="1AC63078"/>
    <w:rsid w:val="1AD11A1D"/>
    <w:rsid w:val="1AFF0AFE"/>
    <w:rsid w:val="1B412001"/>
    <w:rsid w:val="1B4F19F8"/>
    <w:rsid w:val="1BA972F6"/>
    <w:rsid w:val="1BB439D6"/>
    <w:rsid w:val="1BE50DD1"/>
    <w:rsid w:val="1C1F23FA"/>
    <w:rsid w:val="1C4306F9"/>
    <w:rsid w:val="1C4526C3"/>
    <w:rsid w:val="1C5D5C5E"/>
    <w:rsid w:val="1C6B432E"/>
    <w:rsid w:val="1C8101E5"/>
    <w:rsid w:val="1C8409D2"/>
    <w:rsid w:val="1C970A1D"/>
    <w:rsid w:val="1CCE2EE5"/>
    <w:rsid w:val="1CDA72AF"/>
    <w:rsid w:val="1CEF7146"/>
    <w:rsid w:val="1D0A6375"/>
    <w:rsid w:val="1D322C47"/>
    <w:rsid w:val="1DB7314C"/>
    <w:rsid w:val="1DBE272D"/>
    <w:rsid w:val="1DE1641B"/>
    <w:rsid w:val="1DE5046B"/>
    <w:rsid w:val="1E1D0B5D"/>
    <w:rsid w:val="1E1F1D09"/>
    <w:rsid w:val="1E3E4FB4"/>
    <w:rsid w:val="1E4852D2"/>
    <w:rsid w:val="1E4F2A7A"/>
    <w:rsid w:val="1E694596"/>
    <w:rsid w:val="1E70765E"/>
    <w:rsid w:val="1E9621D4"/>
    <w:rsid w:val="1EB202A6"/>
    <w:rsid w:val="1EC76CCF"/>
    <w:rsid w:val="1ECC44FA"/>
    <w:rsid w:val="1EDB63FC"/>
    <w:rsid w:val="1F063325"/>
    <w:rsid w:val="1F1617FB"/>
    <w:rsid w:val="1F1C1B35"/>
    <w:rsid w:val="1F1F5219"/>
    <w:rsid w:val="1F300115"/>
    <w:rsid w:val="1F3A0E0F"/>
    <w:rsid w:val="1F5642FC"/>
    <w:rsid w:val="1F5F3A9B"/>
    <w:rsid w:val="1FAE057F"/>
    <w:rsid w:val="1FBC5DF5"/>
    <w:rsid w:val="1FF90588"/>
    <w:rsid w:val="2018762F"/>
    <w:rsid w:val="202A22FB"/>
    <w:rsid w:val="202B5346"/>
    <w:rsid w:val="202C2386"/>
    <w:rsid w:val="20514B81"/>
    <w:rsid w:val="2056255B"/>
    <w:rsid w:val="20574407"/>
    <w:rsid w:val="20BD452B"/>
    <w:rsid w:val="20C3623F"/>
    <w:rsid w:val="20DA182C"/>
    <w:rsid w:val="20F46465"/>
    <w:rsid w:val="210900A7"/>
    <w:rsid w:val="212156C5"/>
    <w:rsid w:val="2148258B"/>
    <w:rsid w:val="21611D4D"/>
    <w:rsid w:val="216B4602"/>
    <w:rsid w:val="21771E62"/>
    <w:rsid w:val="21781212"/>
    <w:rsid w:val="21B83F86"/>
    <w:rsid w:val="21EA380F"/>
    <w:rsid w:val="221178A8"/>
    <w:rsid w:val="221213CF"/>
    <w:rsid w:val="22327A92"/>
    <w:rsid w:val="223D23F1"/>
    <w:rsid w:val="2254540E"/>
    <w:rsid w:val="226C668D"/>
    <w:rsid w:val="22AD188F"/>
    <w:rsid w:val="22FF181D"/>
    <w:rsid w:val="230063DC"/>
    <w:rsid w:val="23151AAF"/>
    <w:rsid w:val="231D53A2"/>
    <w:rsid w:val="23447FE4"/>
    <w:rsid w:val="235B5EFE"/>
    <w:rsid w:val="236D5383"/>
    <w:rsid w:val="23863CED"/>
    <w:rsid w:val="239A7798"/>
    <w:rsid w:val="239F377F"/>
    <w:rsid w:val="23A35E53"/>
    <w:rsid w:val="23B24AE2"/>
    <w:rsid w:val="23B7504C"/>
    <w:rsid w:val="23C84DE9"/>
    <w:rsid w:val="2419690F"/>
    <w:rsid w:val="242B4F39"/>
    <w:rsid w:val="24571307"/>
    <w:rsid w:val="24715ECA"/>
    <w:rsid w:val="24754E93"/>
    <w:rsid w:val="247E43DB"/>
    <w:rsid w:val="24967F5F"/>
    <w:rsid w:val="249C557D"/>
    <w:rsid w:val="24F829C8"/>
    <w:rsid w:val="25110A2A"/>
    <w:rsid w:val="25145328"/>
    <w:rsid w:val="25240D0A"/>
    <w:rsid w:val="256C0944"/>
    <w:rsid w:val="25733194"/>
    <w:rsid w:val="25967363"/>
    <w:rsid w:val="259F2E44"/>
    <w:rsid w:val="25E65E18"/>
    <w:rsid w:val="26446DE3"/>
    <w:rsid w:val="2674607E"/>
    <w:rsid w:val="267A740D"/>
    <w:rsid w:val="267E514F"/>
    <w:rsid w:val="269669E7"/>
    <w:rsid w:val="269E134D"/>
    <w:rsid w:val="26A270C1"/>
    <w:rsid w:val="26CE2F65"/>
    <w:rsid w:val="26D7699F"/>
    <w:rsid w:val="26FB054E"/>
    <w:rsid w:val="27174C5C"/>
    <w:rsid w:val="272C0399"/>
    <w:rsid w:val="277A5AEB"/>
    <w:rsid w:val="27AF043B"/>
    <w:rsid w:val="27B87198"/>
    <w:rsid w:val="27BC5F2F"/>
    <w:rsid w:val="27DC037F"/>
    <w:rsid w:val="28177609"/>
    <w:rsid w:val="281E1EFD"/>
    <w:rsid w:val="28A3717E"/>
    <w:rsid w:val="28CB21A2"/>
    <w:rsid w:val="29283150"/>
    <w:rsid w:val="29316245"/>
    <w:rsid w:val="29852C24"/>
    <w:rsid w:val="299802D6"/>
    <w:rsid w:val="29B75078"/>
    <w:rsid w:val="29D75F7F"/>
    <w:rsid w:val="29E22D43"/>
    <w:rsid w:val="29FB2613"/>
    <w:rsid w:val="2A13795C"/>
    <w:rsid w:val="2A1E2D2D"/>
    <w:rsid w:val="2A353998"/>
    <w:rsid w:val="2A9D41C3"/>
    <w:rsid w:val="2AA212FD"/>
    <w:rsid w:val="2AA607D0"/>
    <w:rsid w:val="2AF61758"/>
    <w:rsid w:val="2B095AA2"/>
    <w:rsid w:val="2B6C7A10"/>
    <w:rsid w:val="2B724B56"/>
    <w:rsid w:val="2B774624"/>
    <w:rsid w:val="2B81687D"/>
    <w:rsid w:val="2B8608E2"/>
    <w:rsid w:val="2B876854"/>
    <w:rsid w:val="2BD126E4"/>
    <w:rsid w:val="2BDD6474"/>
    <w:rsid w:val="2BEC6A86"/>
    <w:rsid w:val="2BEE242F"/>
    <w:rsid w:val="2BF479AA"/>
    <w:rsid w:val="2BF52B8C"/>
    <w:rsid w:val="2C35005E"/>
    <w:rsid w:val="2C7A72BE"/>
    <w:rsid w:val="2C864D5D"/>
    <w:rsid w:val="2C9A7D75"/>
    <w:rsid w:val="2CC17412"/>
    <w:rsid w:val="2CD60BF4"/>
    <w:rsid w:val="2CD86C3B"/>
    <w:rsid w:val="2D183B14"/>
    <w:rsid w:val="2D283E6C"/>
    <w:rsid w:val="2D7C1E99"/>
    <w:rsid w:val="2DA505AE"/>
    <w:rsid w:val="2DC45B3D"/>
    <w:rsid w:val="2DE735DA"/>
    <w:rsid w:val="2DF57CF0"/>
    <w:rsid w:val="2DF87595"/>
    <w:rsid w:val="2E141A8C"/>
    <w:rsid w:val="2E426A62"/>
    <w:rsid w:val="2E4B4177"/>
    <w:rsid w:val="2E4C78E1"/>
    <w:rsid w:val="2E70537D"/>
    <w:rsid w:val="2E7B23A5"/>
    <w:rsid w:val="2E8452CD"/>
    <w:rsid w:val="2E9976CE"/>
    <w:rsid w:val="2E9A74E5"/>
    <w:rsid w:val="2EA60904"/>
    <w:rsid w:val="2EA76F39"/>
    <w:rsid w:val="2EF01DEE"/>
    <w:rsid w:val="2F1877C3"/>
    <w:rsid w:val="2F3B2F8F"/>
    <w:rsid w:val="2F401D3C"/>
    <w:rsid w:val="2F4800A8"/>
    <w:rsid w:val="2F5051AF"/>
    <w:rsid w:val="2F5B24E1"/>
    <w:rsid w:val="2F80100D"/>
    <w:rsid w:val="2F9C5CDB"/>
    <w:rsid w:val="2FA23C5C"/>
    <w:rsid w:val="2FA95C88"/>
    <w:rsid w:val="2FBC149F"/>
    <w:rsid w:val="2FD61B58"/>
    <w:rsid w:val="2FD86E9B"/>
    <w:rsid w:val="2FDE37A5"/>
    <w:rsid w:val="2FE14059"/>
    <w:rsid w:val="2FF80CC3"/>
    <w:rsid w:val="30221C48"/>
    <w:rsid w:val="3034687E"/>
    <w:rsid w:val="303B19BB"/>
    <w:rsid w:val="3041370F"/>
    <w:rsid w:val="30570A65"/>
    <w:rsid w:val="3060369A"/>
    <w:rsid w:val="30B87FED"/>
    <w:rsid w:val="30CF0057"/>
    <w:rsid w:val="30D0332C"/>
    <w:rsid w:val="30E5141E"/>
    <w:rsid w:val="30FE2A72"/>
    <w:rsid w:val="31002774"/>
    <w:rsid w:val="312B50A3"/>
    <w:rsid w:val="313F18A3"/>
    <w:rsid w:val="31683980"/>
    <w:rsid w:val="31894FD2"/>
    <w:rsid w:val="318F27BC"/>
    <w:rsid w:val="31A55C86"/>
    <w:rsid w:val="31FF0F84"/>
    <w:rsid w:val="32057A20"/>
    <w:rsid w:val="3216448E"/>
    <w:rsid w:val="322A0A17"/>
    <w:rsid w:val="32453A27"/>
    <w:rsid w:val="32543208"/>
    <w:rsid w:val="3263064A"/>
    <w:rsid w:val="32A43132"/>
    <w:rsid w:val="32AC0C06"/>
    <w:rsid w:val="32FF4F22"/>
    <w:rsid w:val="33344EF5"/>
    <w:rsid w:val="333472C1"/>
    <w:rsid w:val="334868C9"/>
    <w:rsid w:val="335135AD"/>
    <w:rsid w:val="335C05C6"/>
    <w:rsid w:val="338C209D"/>
    <w:rsid w:val="33C00B55"/>
    <w:rsid w:val="3438197C"/>
    <w:rsid w:val="346F4329"/>
    <w:rsid w:val="349A203C"/>
    <w:rsid w:val="34AB094C"/>
    <w:rsid w:val="34D20697"/>
    <w:rsid w:val="350607E9"/>
    <w:rsid w:val="35066A3B"/>
    <w:rsid w:val="353177BD"/>
    <w:rsid w:val="3537750C"/>
    <w:rsid w:val="3537798C"/>
    <w:rsid w:val="356C32E1"/>
    <w:rsid w:val="35725E7F"/>
    <w:rsid w:val="35737CAC"/>
    <w:rsid w:val="35784B06"/>
    <w:rsid w:val="358E67B3"/>
    <w:rsid w:val="35C13FC9"/>
    <w:rsid w:val="35EF127D"/>
    <w:rsid w:val="36032A68"/>
    <w:rsid w:val="36107446"/>
    <w:rsid w:val="361376DE"/>
    <w:rsid w:val="36154A5C"/>
    <w:rsid w:val="3628478F"/>
    <w:rsid w:val="364257B6"/>
    <w:rsid w:val="36CC7811"/>
    <w:rsid w:val="36CD03FF"/>
    <w:rsid w:val="36D64360"/>
    <w:rsid w:val="36EB413B"/>
    <w:rsid w:val="36ED7342"/>
    <w:rsid w:val="36F01751"/>
    <w:rsid w:val="37205E40"/>
    <w:rsid w:val="37226CD7"/>
    <w:rsid w:val="37246F13"/>
    <w:rsid w:val="373D24BC"/>
    <w:rsid w:val="373D42AF"/>
    <w:rsid w:val="37517D16"/>
    <w:rsid w:val="37537F32"/>
    <w:rsid w:val="376D14AF"/>
    <w:rsid w:val="37EA5922"/>
    <w:rsid w:val="381D69EA"/>
    <w:rsid w:val="38251228"/>
    <w:rsid w:val="38276B93"/>
    <w:rsid w:val="386F48F8"/>
    <w:rsid w:val="387A3C2D"/>
    <w:rsid w:val="388C36FB"/>
    <w:rsid w:val="38A8605B"/>
    <w:rsid w:val="38AC3431"/>
    <w:rsid w:val="38B87E82"/>
    <w:rsid w:val="38D66725"/>
    <w:rsid w:val="38E31989"/>
    <w:rsid w:val="390A63CE"/>
    <w:rsid w:val="392F2E16"/>
    <w:rsid w:val="39522A4F"/>
    <w:rsid w:val="39B43358"/>
    <w:rsid w:val="39C10F3E"/>
    <w:rsid w:val="39DE1D35"/>
    <w:rsid w:val="39E00529"/>
    <w:rsid w:val="3A0B64A7"/>
    <w:rsid w:val="3A2B2AA0"/>
    <w:rsid w:val="3A377697"/>
    <w:rsid w:val="3A40479E"/>
    <w:rsid w:val="3A574DDA"/>
    <w:rsid w:val="3A7E2CEE"/>
    <w:rsid w:val="3AC32CD9"/>
    <w:rsid w:val="3AD3075A"/>
    <w:rsid w:val="3AF74C02"/>
    <w:rsid w:val="3B08125F"/>
    <w:rsid w:val="3B117D69"/>
    <w:rsid w:val="3B143534"/>
    <w:rsid w:val="3B1B48C3"/>
    <w:rsid w:val="3B535B37"/>
    <w:rsid w:val="3B657F1A"/>
    <w:rsid w:val="3B6C15C2"/>
    <w:rsid w:val="3B890DC1"/>
    <w:rsid w:val="3BA65070"/>
    <w:rsid w:val="3C0059A5"/>
    <w:rsid w:val="3C134E78"/>
    <w:rsid w:val="3C2D1349"/>
    <w:rsid w:val="3C4A1903"/>
    <w:rsid w:val="3C4D31A2"/>
    <w:rsid w:val="3C526A0A"/>
    <w:rsid w:val="3C5E0698"/>
    <w:rsid w:val="3C6436E5"/>
    <w:rsid w:val="3C683F6D"/>
    <w:rsid w:val="3C686A41"/>
    <w:rsid w:val="3C88242C"/>
    <w:rsid w:val="3C8B21EB"/>
    <w:rsid w:val="3C926E07"/>
    <w:rsid w:val="3CA24F0A"/>
    <w:rsid w:val="3CBD0327"/>
    <w:rsid w:val="3CCB6EDB"/>
    <w:rsid w:val="3D07507C"/>
    <w:rsid w:val="3D1141CF"/>
    <w:rsid w:val="3D1E051B"/>
    <w:rsid w:val="3D566798"/>
    <w:rsid w:val="3D580050"/>
    <w:rsid w:val="3D7F5B5C"/>
    <w:rsid w:val="3D8E57A9"/>
    <w:rsid w:val="3D9B618F"/>
    <w:rsid w:val="3DA05553"/>
    <w:rsid w:val="3DCC6348"/>
    <w:rsid w:val="3DF6345D"/>
    <w:rsid w:val="3E0D0E3B"/>
    <w:rsid w:val="3E2B5515"/>
    <w:rsid w:val="3E3F4D6C"/>
    <w:rsid w:val="3E4D4F28"/>
    <w:rsid w:val="3E524A9F"/>
    <w:rsid w:val="3E817133"/>
    <w:rsid w:val="3E8E4943"/>
    <w:rsid w:val="3EBC63BD"/>
    <w:rsid w:val="3ECB7CDF"/>
    <w:rsid w:val="3ECC7453"/>
    <w:rsid w:val="3ED61746"/>
    <w:rsid w:val="3ED92EC4"/>
    <w:rsid w:val="3EE13701"/>
    <w:rsid w:val="3F1A4BB3"/>
    <w:rsid w:val="3F3874BF"/>
    <w:rsid w:val="3F3E3276"/>
    <w:rsid w:val="3F5A2E5F"/>
    <w:rsid w:val="3F713622"/>
    <w:rsid w:val="3FA00FC4"/>
    <w:rsid w:val="3FB362C2"/>
    <w:rsid w:val="3FB45515"/>
    <w:rsid w:val="3FB6105E"/>
    <w:rsid w:val="3FB90C6E"/>
    <w:rsid w:val="3FC731E3"/>
    <w:rsid w:val="3FEE07F8"/>
    <w:rsid w:val="400022D9"/>
    <w:rsid w:val="40153FD6"/>
    <w:rsid w:val="40192BA6"/>
    <w:rsid w:val="40D44BB8"/>
    <w:rsid w:val="40F63E08"/>
    <w:rsid w:val="40F8373D"/>
    <w:rsid w:val="41114D6F"/>
    <w:rsid w:val="416274F1"/>
    <w:rsid w:val="416B088F"/>
    <w:rsid w:val="41760AA5"/>
    <w:rsid w:val="41766EA9"/>
    <w:rsid w:val="41935450"/>
    <w:rsid w:val="41AD09C3"/>
    <w:rsid w:val="41DE664A"/>
    <w:rsid w:val="41E6725D"/>
    <w:rsid w:val="41F77652"/>
    <w:rsid w:val="42005CA5"/>
    <w:rsid w:val="4217445F"/>
    <w:rsid w:val="423D5A66"/>
    <w:rsid w:val="42550A18"/>
    <w:rsid w:val="426E308D"/>
    <w:rsid w:val="429D496A"/>
    <w:rsid w:val="42A038DB"/>
    <w:rsid w:val="42C4395D"/>
    <w:rsid w:val="42F473A1"/>
    <w:rsid w:val="431A7B56"/>
    <w:rsid w:val="43362BE2"/>
    <w:rsid w:val="437217EA"/>
    <w:rsid w:val="4392187A"/>
    <w:rsid w:val="43AB7156"/>
    <w:rsid w:val="43DE0B83"/>
    <w:rsid w:val="441E62C0"/>
    <w:rsid w:val="442102EF"/>
    <w:rsid w:val="442D4712"/>
    <w:rsid w:val="449D7506"/>
    <w:rsid w:val="44A71A4C"/>
    <w:rsid w:val="45062140"/>
    <w:rsid w:val="45325D14"/>
    <w:rsid w:val="45571063"/>
    <w:rsid w:val="456F23DB"/>
    <w:rsid w:val="45811C7C"/>
    <w:rsid w:val="45906116"/>
    <w:rsid w:val="45917908"/>
    <w:rsid w:val="45931B8C"/>
    <w:rsid w:val="459B015E"/>
    <w:rsid w:val="459B6D2C"/>
    <w:rsid w:val="45EF2552"/>
    <w:rsid w:val="460B6AC0"/>
    <w:rsid w:val="46374750"/>
    <w:rsid w:val="463B22BD"/>
    <w:rsid w:val="464C1EC6"/>
    <w:rsid w:val="466E61EE"/>
    <w:rsid w:val="46733CB9"/>
    <w:rsid w:val="468B3EFB"/>
    <w:rsid w:val="468E6891"/>
    <w:rsid w:val="46C95B1B"/>
    <w:rsid w:val="470A6193"/>
    <w:rsid w:val="471548BC"/>
    <w:rsid w:val="47385210"/>
    <w:rsid w:val="47555600"/>
    <w:rsid w:val="475F1FDB"/>
    <w:rsid w:val="476D1D47"/>
    <w:rsid w:val="47A0743D"/>
    <w:rsid w:val="47C56F66"/>
    <w:rsid w:val="47D31E1A"/>
    <w:rsid w:val="47DC4F5C"/>
    <w:rsid w:val="4840005F"/>
    <w:rsid w:val="48552BC8"/>
    <w:rsid w:val="485B19AF"/>
    <w:rsid w:val="48B40671"/>
    <w:rsid w:val="48BC6F7A"/>
    <w:rsid w:val="48F8074C"/>
    <w:rsid w:val="49042FF5"/>
    <w:rsid w:val="49076335"/>
    <w:rsid w:val="492B4C09"/>
    <w:rsid w:val="492B6619"/>
    <w:rsid w:val="49604478"/>
    <w:rsid w:val="499B5738"/>
    <w:rsid w:val="499F244D"/>
    <w:rsid w:val="49B900C8"/>
    <w:rsid w:val="49CF169A"/>
    <w:rsid w:val="4A1953E5"/>
    <w:rsid w:val="4A1E617D"/>
    <w:rsid w:val="4A396B13"/>
    <w:rsid w:val="4A7E670F"/>
    <w:rsid w:val="4A9106FD"/>
    <w:rsid w:val="4A970798"/>
    <w:rsid w:val="4A973F3F"/>
    <w:rsid w:val="4A9D48C2"/>
    <w:rsid w:val="4ABB577A"/>
    <w:rsid w:val="4ABC3301"/>
    <w:rsid w:val="4AC31D20"/>
    <w:rsid w:val="4AC83F74"/>
    <w:rsid w:val="4ACE1952"/>
    <w:rsid w:val="4AF96BC7"/>
    <w:rsid w:val="4B0C003F"/>
    <w:rsid w:val="4B643D98"/>
    <w:rsid w:val="4B702A09"/>
    <w:rsid w:val="4B862A85"/>
    <w:rsid w:val="4B8F39AF"/>
    <w:rsid w:val="4BA53E30"/>
    <w:rsid w:val="4BB94F2D"/>
    <w:rsid w:val="4BDD0672"/>
    <w:rsid w:val="4BE33F9B"/>
    <w:rsid w:val="4BF36441"/>
    <w:rsid w:val="4C2832E3"/>
    <w:rsid w:val="4C4D68A6"/>
    <w:rsid w:val="4C7E1155"/>
    <w:rsid w:val="4C9F7D59"/>
    <w:rsid w:val="4CA010CC"/>
    <w:rsid w:val="4CB049DE"/>
    <w:rsid w:val="4CB708CE"/>
    <w:rsid w:val="4CD7788D"/>
    <w:rsid w:val="4CDE5035"/>
    <w:rsid w:val="4CE54D31"/>
    <w:rsid w:val="4CEF36E2"/>
    <w:rsid w:val="4CEF4DC5"/>
    <w:rsid w:val="4D2E492A"/>
    <w:rsid w:val="4DAD1323"/>
    <w:rsid w:val="4DB43081"/>
    <w:rsid w:val="4DBA440F"/>
    <w:rsid w:val="4DCC61A3"/>
    <w:rsid w:val="4DDA7116"/>
    <w:rsid w:val="4E257655"/>
    <w:rsid w:val="4E263853"/>
    <w:rsid w:val="4E2D4BE1"/>
    <w:rsid w:val="4E375A60"/>
    <w:rsid w:val="4E4A29CE"/>
    <w:rsid w:val="4E612ADD"/>
    <w:rsid w:val="4ED01321"/>
    <w:rsid w:val="4EE01C53"/>
    <w:rsid w:val="4EF56E5A"/>
    <w:rsid w:val="4EFF09F2"/>
    <w:rsid w:val="4F017C92"/>
    <w:rsid w:val="4F372380"/>
    <w:rsid w:val="4F372FFB"/>
    <w:rsid w:val="4F552D33"/>
    <w:rsid w:val="4F604F02"/>
    <w:rsid w:val="4F6D6A9E"/>
    <w:rsid w:val="4FAC106B"/>
    <w:rsid w:val="4FAD6032"/>
    <w:rsid w:val="4FDC1C12"/>
    <w:rsid w:val="4FDD1914"/>
    <w:rsid w:val="4FED287A"/>
    <w:rsid w:val="50137E07"/>
    <w:rsid w:val="501F792A"/>
    <w:rsid w:val="502320A0"/>
    <w:rsid w:val="5025116D"/>
    <w:rsid w:val="505C3744"/>
    <w:rsid w:val="505E5526"/>
    <w:rsid w:val="50CE76FD"/>
    <w:rsid w:val="5119769F"/>
    <w:rsid w:val="511F7661"/>
    <w:rsid w:val="51262341"/>
    <w:rsid w:val="513E4D75"/>
    <w:rsid w:val="517F61AE"/>
    <w:rsid w:val="519C2EC4"/>
    <w:rsid w:val="51D07D5D"/>
    <w:rsid w:val="51DF6918"/>
    <w:rsid w:val="521B663F"/>
    <w:rsid w:val="52395ECD"/>
    <w:rsid w:val="52575E63"/>
    <w:rsid w:val="52650DED"/>
    <w:rsid w:val="52887E58"/>
    <w:rsid w:val="52BD6456"/>
    <w:rsid w:val="52C10D75"/>
    <w:rsid w:val="52E71BFE"/>
    <w:rsid w:val="533F163E"/>
    <w:rsid w:val="53586243"/>
    <w:rsid w:val="53C27FF8"/>
    <w:rsid w:val="53D76A77"/>
    <w:rsid w:val="544246B9"/>
    <w:rsid w:val="54794B5F"/>
    <w:rsid w:val="549E1A80"/>
    <w:rsid w:val="54A77640"/>
    <w:rsid w:val="54BA1986"/>
    <w:rsid w:val="54C658F4"/>
    <w:rsid w:val="54EB3100"/>
    <w:rsid w:val="5503044A"/>
    <w:rsid w:val="550C4BD7"/>
    <w:rsid w:val="55102A40"/>
    <w:rsid w:val="55275A0F"/>
    <w:rsid w:val="554B0C61"/>
    <w:rsid w:val="554C1D56"/>
    <w:rsid w:val="555109BF"/>
    <w:rsid w:val="555278AF"/>
    <w:rsid w:val="55572986"/>
    <w:rsid w:val="555C26E6"/>
    <w:rsid w:val="55757355"/>
    <w:rsid w:val="558E2819"/>
    <w:rsid w:val="55C37BD9"/>
    <w:rsid w:val="55CE6CAA"/>
    <w:rsid w:val="55D2686D"/>
    <w:rsid w:val="55E942E3"/>
    <w:rsid w:val="56233DAE"/>
    <w:rsid w:val="564E6D54"/>
    <w:rsid w:val="56507986"/>
    <w:rsid w:val="565340FA"/>
    <w:rsid w:val="565A22EB"/>
    <w:rsid w:val="565C6063"/>
    <w:rsid w:val="566841AB"/>
    <w:rsid w:val="568C38D5"/>
    <w:rsid w:val="568D27BB"/>
    <w:rsid w:val="56AD5F59"/>
    <w:rsid w:val="56AE5057"/>
    <w:rsid w:val="56B04601"/>
    <w:rsid w:val="570C524E"/>
    <w:rsid w:val="575136EE"/>
    <w:rsid w:val="57645F73"/>
    <w:rsid w:val="576E2576"/>
    <w:rsid w:val="579B0E0D"/>
    <w:rsid w:val="57A66625"/>
    <w:rsid w:val="57AB06F3"/>
    <w:rsid w:val="57B12A52"/>
    <w:rsid w:val="57BB4B36"/>
    <w:rsid w:val="57E01845"/>
    <w:rsid w:val="57EE5248"/>
    <w:rsid w:val="58777AE3"/>
    <w:rsid w:val="588F4785"/>
    <w:rsid w:val="58C70DCE"/>
    <w:rsid w:val="59080725"/>
    <w:rsid w:val="59114324"/>
    <w:rsid w:val="5952374E"/>
    <w:rsid w:val="59777658"/>
    <w:rsid w:val="597C6A1D"/>
    <w:rsid w:val="598F04FE"/>
    <w:rsid w:val="59A860E0"/>
    <w:rsid w:val="59B43CF0"/>
    <w:rsid w:val="59E30CB0"/>
    <w:rsid w:val="5A1E62F5"/>
    <w:rsid w:val="5A2F2CC8"/>
    <w:rsid w:val="5A5534F6"/>
    <w:rsid w:val="5A6516AD"/>
    <w:rsid w:val="5A7F64E2"/>
    <w:rsid w:val="5A8D7AED"/>
    <w:rsid w:val="5A8E77E6"/>
    <w:rsid w:val="5A981634"/>
    <w:rsid w:val="5A9E0BA0"/>
    <w:rsid w:val="5AB67D0C"/>
    <w:rsid w:val="5AF947C9"/>
    <w:rsid w:val="5B060C94"/>
    <w:rsid w:val="5B1F1D55"/>
    <w:rsid w:val="5B20432C"/>
    <w:rsid w:val="5B317B51"/>
    <w:rsid w:val="5B4D68C3"/>
    <w:rsid w:val="5B5E10B5"/>
    <w:rsid w:val="5B6657AD"/>
    <w:rsid w:val="5BD06439"/>
    <w:rsid w:val="5C10702D"/>
    <w:rsid w:val="5C1212B5"/>
    <w:rsid w:val="5C152601"/>
    <w:rsid w:val="5C2238AB"/>
    <w:rsid w:val="5C563555"/>
    <w:rsid w:val="5C581F57"/>
    <w:rsid w:val="5C591F03"/>
    <w:rsid w:val="5C6D437A"/>
    <w:rsid w:val="5C877BB2"/>
    <w:rsid w:val="5C8A1B2F"/>
    <w:rsid w:val="5C9F4EFC"/>
    <w:rsid w:val="5CA71FBA"/>
    <w:rsid w:val="5CBB785C"/>
    <w:rsid w:val="5CCB58BF"/>
    <w:rsid w:val="5D2C3FDA"/>
    <w:rsid w:val="5D3F048D"/>
    <w:rsid w:val="5D501790"/>
    <w:rsid w:val="5D7142FE"/>
    <w:rsid w:val="5D79648E"/>
    <w:rsid w:val="5D7E58D3"/>
    <w:rsid w:val="5D95186C"/>
    <w:rsid w:val="5DB744C7"/>
    <w:rsid w:val="5DE1109B"/>
    <w:rsid w:val="5DED477A"/>
    <w:rsid w:val="5DF66D9E"/>
    <w:rsid w:val="5DFB43B4"/>
    <w:rsid w:val="5DFC351B"/>
    <w:rsid w:val="5E251431"/>
    <w:rsid w:val="5E954808"/>
    <w:rsid w:val="5EA22C56"/>
    <w:rsid w:val="5EBA0DC9"/>
    <w:rsid w:val="5ECE7D1A"/>
    <w:rsid w:val="5F3B73F3"/>
    <w:rsid w:val="5F447FDD"/>
    <w:rsid w:val="5F463F63"/>
    <w:rsid w:val="5F561B72"/>
    <w:rsid w:val="5F5924E9"/>
    <w:rsid w:val="5FCF5AF8"/>
    <w:rsid w:val="5FF44DA7"/>
    <w:rsid w:val="5FF75D1E"/>
    <w:rsid w:val="600D6620"/>
    <w:rsid w:val="6037544B"/>
    <w:rsid w:val="603B318E"/>
    <w:rsid w:val="6052125F"/>
    <w:rsid w:val="606007BB"/>
    <w:rsid w:val="60771CEC"/>
    <w:rsid w:val="609E54CA"/>
    <w:rsid w:val="60AC7F66"/>
    <w:rsid w:val="60C50CA9"/>
    <w:rsid w:val="60C95281"/>
    <w:rsid w:val="60EE58F6"/>
    <w:rsid w:val="611F485D"/>
    <w:rsid w:val="61730EFA"/>
    <w:rsid w:val="6181445A"/>
    <w:rsid w:val="61AB60F1"/>
    <w:rsid w:val="61BF10D9"/>
    <w:rsid w:val="61FC6D54"/>
    <w:rsid w:val="623B56C7"/>
    <w:rsid w:val="62400F9F"/>
    <w:rsid w:val="625B6730"/>
    <w:rsid w:val="627209BD"/>
    <w:rsid w:val="628726BA"/>
    <w:rsid w:val="62AC22DC"/>
    <w:rsid w:val="62EF025F"/>
    <w:rsid w:val="632838CD"/>
    <w:rsid w:val="634E6264"/>
    <w:rsid w:val="638A3663"/>
    <w:rsid w:val="638E37D8"/>
    <w:rsid w:val="63972D7A"/>
    <w:rsid w:val="63A22BFD"/>
    <w:rsid w:val="63BA6ABF"/>
    <w:rsid w:val="63CB6517"/>
    <w:rsid w:val="63D30291"/>
    <w:rsid w:val="63D61FE2"/>
    <w:rsid w:val="63E35DF8"/>
    <w:rsid w:val="63F33C04"/>
    <w:rsid w:val="64055F8C"/>
    <w:rsid w:val="6472739A"/>
    <w:rsid w:val="64E45EF7"/>
    <w:rsid w:val="64F16511"/>
    <w:rsid w:val="64F56A29"/>
    <w:rsid w:val="64F91EF5"/>
    <w:rsid w:val="6507580D"/>
    <w:rsid w:val="6523128F"/>
    <w:rsid w:val="65353AE7"/>
    <w:rsid w:val="657607C4"/>
    <w:rsid w:val="65F659AF"/>
    <w:rsid w:val="660E46E0"/>
    <w:rsid w:val="664D3C1B"/>
    <w:rsid w:val="665C0356"/>
    <w:rsid w:val="6691014E"/>
    <w:rsid w:val="66BA15B6"/>
    <w:rsid w:val="66C64D00"/>
    <w:rsid w:val="66C87CCE"/>
    <w:rsid w:val="670C5884"/>
    <w:rsid w:val="6731217B"/>
    <w:rsid w:val="67424E02"/>
    <w:rsid w:val="674F5576"/>
    <w:rsid w:val="675D3EA4"/>
    <w:rsid w:val="677060D3"/>
    <w:rsid w:val="677243C5"/>
    <w:rsid w:val="677435B2"/>
    <w:rsid w:val="67902011"/>
    <w:rsid w:val="67C21F06"/>
    <w:rsid w:val="67EF75F1"/>
    <w:rsid w:val="68352BB8"/>
    <w:rsid w:val="68412CE1"/>
    <w:rsid w:val="684F4F11"/>
    <w:rsid w:val="6859473E"/>
    <w:rsid w:val="68644A48"/>
    <w:rsid w:val="68CF4DBB"/>
    <w:rsid w:val="68D128E1"/>
    <w:rsid w:val="68DD74D8"/>
    <w:rsid w:val="69034A64"/>
    <w:rsid w:val="69124F16"/>
    <w:rsid w:val="692C3C07"/>
    <w:rsid w:val="69540E1C"/>
    <w:rsid w:val="69BA15C7"/>
    <w:rsid w:val="69CD5C14"/>
    <w:rsid w:val="69CF0D33"/>
    <w:rsid w:val="69CF2482"/>
    <w:rsid w:val="69D72179"/>
    <w:rsid w:val="69FF347E"/>
    <w:rsid w:val="6A077EF9"/>
    <w:rsid w:val="6A2B7301"/>
    <w:rsid w:val="6A4378D2"/>
    <w:rsid w:val="6A503CD9"/>
    <w:rsid w:val="6AB57FE0"/>
    <w:rsid w:val="6ADB40DC"/>
    <w:rsid w:val="6B9946B3"/>
    <w:rsid w:val="6BAC13E3"/>
    <w:rsid w:val="6BDD0871"/>
    <w:rsid w:val="6C1E27F0"/>
    <w:rsid w:val="6C276F3A"/>
    <w:rsid w:val="6C5C5C0D"/>
    <w:rsid w:val="6C7007C7"/>
    <w:rsid w:val="6C763D3D"/>
    <w:rsid w:val="6C8549F4"/>
    <w:rsid w:val="6C8B2DA7"/>
    <w:rsid w:val="6C8E32FA"/>
    <w:rsid w:val="6CEA5182"/>
    <w:rsid w:val="6CED5B4D"/>
    <w:rsid w:val="6D0B5802"/>
    <w:rsid w:val="6D7361B0"/>
    <w:rsid w:val="6D7636BA"/>
    <w:rsid w:val="6D7952F5"/>
    <w:rsid w:val="6D945A51"/>
    <w:rsid w:val="6DA32372"/>
    <w:rsid w:val="6DBC51E2"/>
    <w:rsid w:val="6DD96DB6"/>
    <w:rsid w:val="6DE76850"/>
    <w:rsid w:val="6E296D1B"/>
    <w:rsid w:val="6E66310E"/>
    <w:rsid w:val="6E932DE0"/>
    <w:rsid w:val="6EA7112B"/>
    <w:rsid w:val="6ECE2FB7"/>
    <w:rsid w:val="6EE47802"/>
    <w:rsid w:val="6EE97C7B"/>
    <w:rsid w:val="6EF91340"/>
    <w:rsid w:val="6EFB3C2C"/>
    <w:rsid w:val="6EFC020C"/>
    <w:rsid w:val="6EFD3419"/>
    <w:rsid w:val="6F1B6617"/>
    <w:rsid w:val="6F234695"/>
    <w:rsid w:val="6F4F27B2"/>
    <w:rsid w:val="6F5E1A6F"/>
    <w:rsid w:val="6F80296B"/>
    <w:rsid w:val="6FB20BD4"/>
    <w:rsid w:val="6FB27657"/>
    <w:rsid w:val="6FBA59BE"/>
    <w:rsid w:val="6FE949B4"/>
    <w:rsid w:val="700C41FF"/>
    <w:rsid w:val="70296B3E"/>
    <w:rsid w:val="7049646A"/>
    <w:rsid w:val="70611204"/>
    <w:rsid w:val="70BC724E"/>
    <w:rsid w:val="70FA0B27"/>
    <w:rsid w:val="710C6DC7"/>
    <w:rsid w:val="71621977"/>
    <w:rsid w:val="7165620F"/>
    <w:rsid w:val="717039F8"/>
    <w:rsid w:val="718F6E95"/>
    <w:rsid w:val="71EC42E8"/>
    <w:rsid w:val="721B697B"/>
    <w:rsid w:val="721C028A"/>
    <w:rsid w:val="72233A82"/>
    <w:rsid w:val="72565C05"/>
    <w:rsid w:val="727367B7"/>
    <w:rsid w:val="72971B60"/>
    <w:rsid w:val="72C264DB"/>
    <w:rsid w:val="72C54B39"/>
    <w:rsid w:val="72C6616E"/>
    <w:rsid w:val="72D07765"/>
    <w:rsid w:val="72EB459F"/>
    <w:rsid w:val="72F35B4A"/>
    <w:rsid w:val="72FA0C86"/>
    <w:rsid w:val="73027B3B"/>
    <w:rsid w:val="730648A1"/>
    <w:rsid w:val="734B6169"/>
    <w:rsid w:val="735E7467"/>
    <w:rsid w:val="737E5413"/>
    <w:rsid w:val="73A52523"/>
    <w:rsid w:val="73B45FD6"/>
    <w:rsid w:val="73C951CB"/>
    <w:rsid w:val="74281823"/>
    <w:rsid w:val="74327C85"/>
    <w:rsid w:val="744C0855"/>
    <w:rsid w:val="74673DB7"/>
    <w:rsid w:val="747A3D00"/>
    <w:rsid w:val="747B1BB4"/>
    <w:rsid w:val="747F6E6E"/>
    <w:rsid w:val="74A0585D"/>
    <w:rsid w:val="74BA1345"/>
    <w:rsid w:val="74D13AD5"/>
    <w:rsid w:val="74E50DAE"/>
    <w:rsid w:val="74FA2C30"/>
    <w:rsid w:val="7521699E"/>
    <w:rsid w:val="752C4326"/>
    <w:rsid w:val="752D668A"/>
    <w:rsid w:val="754D5C4B"/>
    <w:rsid w:val="755723C0"/>
    <w:rsid w:val="75D27C98"/>
    <w:rsid w:val="75FD6934"/>
    <w:rsid w:val="761024BB"/>
    <w:rsid w:val="76183420"/>
    <w:rsid w:val="7630676D"/>
    <w:rsid w:val="766F3739"/>
    <w:rsid w:val="76BA0E58"/>
    <w:rsid w:val="76C240A7"/>
    <w:rsid w:val="76CE33B8"/>
    <w:rsid w:val="76D637B8"/>
    <w:rsid w:val="76DA416A"/>
    <w:rsid w:val="76F229C2"/>
    <w:rsid w:val="770E33B0"/>
    <w:rsid w:val="771D13E7"/>
    <w:rsid w:val="77336515"/>
    <w:rsid w:val="775246B7"/>
    <w:rsid w:val="776D5ECB"/>
    <w:rsid w:val="77705C44"/>
    <w:rsid w:val="7772528F"/>
    <w:rsid w:val="77BA09E4"/>
    <w:rsid w:val="77DC4DFE"/>
    <w:rsid w:val="781E69D1"/>
    <w:rsid w:val="78395DAD"/>
    <w:rsid w:val="78914753"/>
    <w:rsid w:val="78B90C9C"/>
    <w:rsid w:val="78B95140"/>
    <w:rsid w:val="78BD30E4"/>
    <w:rsid w:val="78E81581"/>
    <w:rsid w:val="7901747F"/>
    <w:rsid w:val="7908420F"/>
    <w:rsid w:val="792003BE"/>
    <w:rsid w:val="798E4CA2"/>
    <w:rsid w:val="79AD7444"/>
    <w:rsid w:val="79C36276"/>
    <w:rsid w:val="79E32474"/>
    <w:rsid w:val="7A0B6B44"/>
    <w:rsid w:val="7A263B6B"/>
    <w:rsid w:val="7A2B5BC9"/>
    <w:rsid w:val="7A3C7DD6"/>
    <w:rsid w:val="7A454EDD"/>
    <w:rsid w:val="7A650681"/>
    <w:rsid w:val="7A7A34B3"/>
    <w:rsid w:val="7AA1584C"/>
    <w:rsid w:val="7AD87333"/>
    <w:rsid w:val="7AEF309B"/>
    <w:rsid w:val="7AF46346"/>
    <w:rsid w:val="7AF53DCD"/>
    <w:rsid w:val="7B0F5EBF"/>
    <w:rsid w:val="7B130FB9"/>
    <w:rsid w:val="7B324450"/>
    <w:rsid w:val="7B4F1915"/>
    <w:rsid w:val="7B51340D"/>
    <w:rsid w:val="7B5A4FB8"/>
    <w:rsid w:val="7B5B0730"/>
    <w:rsid w:val="7B656EB9"/>
    <w:rsid w:val="7B705F89"/>
    <w:rsid w:val="7BD32BE2"/>
    <w:rsid w:val="7BD71E38"/>
    <w:rsid w:val="7BDF6C6B"/>
    <w:rsid w:val="7BE84708"/>
    <w:rsid w:val="7BEE62DE"/>
    <w:rsid w:val="7BF64EDE"/>
    <w:rsid w:val="7C09018C"/>
    <w:rsid w:val="7C400C1E"/>
    <w:rsid w:val="7C4128C5"/>
    <w:rsid w:val="7C75137E"/>
    <w:rsid w:val="7CBE0F77"/>
    <w:rsid w:val="7D181A6A"/>
    <w:rsid w:val="7D3D633F"/>
    <w:rsid w:val="7D513B99"/>
    <w:rsid w:val="7D537911"/>
    <w:rsid w:val="7D80675E"/>
    <w:rsid w:val="7D8F476B"/>
    <w:rsid w:val="7D951CD7"/>
    <w:rsid w:val="7DA03048"/>
    <w:rsid w:val="7DA37C8F"/>
    <w:rsid w:val="7DD11708"/>
    <w:rsid w:val="7DEE4A4F"/>
    <w:rsid w:val="7E036801"/>
    <w:rsid w:val="7E171E3C"/>
    <w:rsid w:val="7E2412AD"/>
    <w:rsid w:val="7E402F77"/>
    <w:rsid w:val="7EAE6230"/>
    <w:rsid w:val="7EBD579E"/>
    <w:rsid w:val="7EC167BD"/>
    <w:rsid w:val="7ECA3C03"/>
    <w:rsid w:val="7ED14F91"/>
    <w:rsid w:val="7EFE4FFA"/>
    <w:rsid w:val="7F0E3631"/>
    <w:rsid w:val="7F272D9E"/>
    <w:rsid w:val="7F823E73"/>
    <w:rsid w:val="7F961332"/>
    <w:rsid w:val="7FA206DC"/>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6"/>
    <w:autoRedefine/>
    <w:qFormat/>
    <w:uiPriority w:val="9"/>
    <w:pPr>
      <w:keepNext/>
      <w:keepLines/>
      <w:spacing w:before="340" w:after="330" w:line="578" w:lineRule="auto"/>
      <w:jc w:val="center"/>
      <w:outlineLvl w:val="0"/>
    </w:pPr>
    <w:rPr>
      <w:b/>
      <w:bCs/>
      <w:kern w:val="44"/>
      <w:sz w:val="36"/>
      <w:szCs w:val="44"/>
    </w:rPr>
  </w:style>
  <w:style w:type="paragraph" w:styleId="7">
    <w:name w:val="heading 2"/>
    <w:basedOn w:val="1"/>
    <w:next w:val="1"/>
    <w:link w:val="37"/>
    <w:autoRedefine/>
    <w:qFormat/>
    <w:uiPriority w:val="9"/>
    <w:pPr>
      <w:keepNext/>
      <w:keepLines/>
      <w:spacing w:before="260" w:after="260" w:line="416" w:lineRule="auto"/>
      <w:outlineLvl w:val="1"/>
    </w:pPr>
    <w:rPr>
      <w:rFonts w:ascii="Cambria" w:hAnsi="Cambria"/>
      <w:b/>
      <w:bCs/>
      <w:sz w:val="32"/>
      <w:szCs w:val="32"/>
    </w:rPr>
  </w:style>
  <w:style w:type="paragraph" w:styleId="8">
    <w:name w:val="heading 4"/>
    <w:basedOn w:val="1"/>
    <w:next w:val="1"/>
    <w:autoRedefine/>
    <w:qFormat/>
    <w:uiPriority w:val="9"/>
    <w:pPr>
      <w:keepNext/>
      <w:keepLines/>
      <w:spacing w:before="280" w:after="290" w:line="376" w:lineRule="auto"/>
      <w:outlineLvl w:val="3"/>
    </w:pPr>
    <w:rPr>
      <w:rFonts w:ascii="Cambria" w:hAnsi="Cambria"/>
      <w:b/>
      <w:bCs/>
      <w:sz w:val="28"/>
      <w:szCs w:val="28"/>
    </w:rPr>
  </w:style>
  <w:style w:type="paragraph" w:styleId="9">
    <w:name w:val="heading 5"/>
    <w:basedOn w:val="1"/>
    <w:next w:val="10"/>
    <w:link w:val="38"/>
    <w:autoRedefine/>
    <w:qFormat/>
    <w:uiPriority w:val="9"/>
    <w:pPr>
      <w:keepNext/>
      <w:keepLines/>
      <w:spacing w:before="280" w:after="290" w:line="376" w:lineRule="auto"/>
      <w:outlineLvl w:val="4"/>
    </w:pPr>
    <w:rPr>
      <w:b/>
      <w:bCs/>
      <w:sz w:val="28"/>
      <w:szCs w:val="28"/>
    </w:rPr>
  </w:style>
  <w:style w:type="paragraph" w:styleId="11">
    <w:name w:val="heading 7"/>
    <w:basedOn w:val="1"/>
    <w:next w:val="1"/>
    <w:link w:val="39"/>
    <w:autoRedefine/>
    <w:qFormat/>
    <w:uiPriority w:val="0"/>
    <w:pPr>
      <w:keepNext/>
      <w:keepLines/>
      <w:spacing w:before="240" w:after="64" w:line="320" w:lineRule="auto"/>
      <w:outlineLvl w:val="6"/>
    </w:pPr>
    <w:rPr>
      <w:b/>
      <w:bCs/>
      <w:sz w:val="24"/>
    </w:rPr>
  </w:style>
  <w:style w:type="paragraph" w:styleId="12">
    <w:name w:val="heading 8"/>
    <w:basedOn w:val="1"/>
    <w:next w:val="1"/>
    <w:link w:val="4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unhideWhenUsed/>
    <w:qFormat/>
    <w:uiPriority w:val="99"/>
    <w:pPr>
      <w:ind w:firstLine="420" w:firstLineChars="100"/>
    </w:pPr>
  </w:style>
  <w:style w:type="paragraph" w:styleId="3">
    <w:name w:val="Body Text"/>
    <w:basedOn w:val="1"/>
    <w:next w:val="4"/>
    <w:link w:val="43"/>
    <w:autoRedefine/>
    <w:unhideWhenUsed/>
    <w:qFormat/>
    <w:uiPriority w:val="0"/>
    <w:pPr>
      <w:spacing w:after="120"/>
    </w:pPr>
  </w:style>
  <w:style w:type="paragraph" w:styleId="4">
    <w:name w:val="Body Text 2"/>
    <w:basedOn w:val="1"/>
    <w:next w:val="3"/>
    <w:autoRedefine/>
    <w:qFormat/>
    <w:uiPriority w:val="0"/>
    <w:pPr>
      <w:spacing w:line="480" w:lineRule="auto"/>
    </w:pPr>
    <w:rPr>
      <w:kern w:val="0"/>
      <w:sz w:val="20"/>
    </w:rPr>
  </w:style>
  <w:style w:type="paragraph" w:styleId="5">
    <w:name w:val="toc 6"/>
    <w:basedOn w:val="1"/>
    <w:next w:val="1"/>
    <w:autoRedefine/>
    <w:semiHidden/>
    <w:qFormat/>
    <w:uiPriority w:val="99"/>
    <w:pPr>
      <w:ind w:left="2100" w:leftChars="1000"/>
    </w:pPr>
  </w:style>
  <w:style w:type="paragraph" w:styleId="10">
    <w:name w:val="Normal Indent"/>
    <w:basedOn w:val="1"/>
    <w:autoRedefine/>
    <w:qFormat/>
    <w:uiPriority w:val="0"/>
    <w:pPr>
      <w:ind w:firstLine="420"/>
    </w:pPr>
    <w:rPr>
      <w:szCs w:val="20"/>
    </w:rPr>
  </w:style>
  <w:style w:type="paragraph" w:styleId="13">
    <w:name w:val="index 8"/>
    <w:basedOn w:val="1"/>
    <w:next w:val="1"/>
    <w:autoRedefine/>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annotation text"/>
    <w:basedOn w:val="1"/>
    <w:link w:val="41"/>
    <w:autoRedefine/>
    <w:qFormat/>
    <w:uiPriority w:val="0"/>
    <w:pPr>
      <w:jc w:val="left"/>
    </w:pPr>
  </w:style>
  <w:style w:type="paragraph" w:styleId="16">
    <w:name w:val="Body Text 3"/>
    <w:basedOn w:val="1"/>
    <w:link w:val="42"/>
    <w:autoRedefine/>
    <w:unhideWhenUsed/>
    <w:qFormat/>
    <w:uiPriority w:val="99"/>
    <w:pPr>
      <w:spacing w:after="120"/>
    </w:pPr>
    <w:rPr>
      <w:sz w:val="16"/>
      <w:szCs w:val="16"/>
    </w:rPr>
  </w:style>
  <w:style w:type="paragraph" w:styleId="17">
    <w:name w:val="Body Text Indent"/>
    <w:basedOn w:val="1"/>
    <w:link w:val="44"/>
    <w:autoRedefine/>
    <w:qFormat/>
    <w:uiPriority w:val="0"/>
    <w:pPr>
      <w:ind w:firstLine="830" w:firstLineChars="352"/>
    </w:pPr>
    <w:rPr>
      <w:rFonts w:ascii="仿宋_GB2312" w:eastAsia="仿宋_GB2312"/>
      <w:kern w:val="0"/>
      <w:sz w:val="32"/>
      <w:szCs w:val="20"/>
    </w:rPr>
  </w:style>
  <w:style w:type="paragraph" w:styleId="18">
    <w:name w:val="List 2"/>
    <w:basedOn w:val="1"/>
    <w:autoRedefine/>
    <w:unhideWhenUsed/>
    <w:qFormat/>
    <w:uiPriority w:val="99"/>
    <w:pPr>
      <w:ind w:left="100" w:leftChars="200" w:hanging="200" w:hangingChars="200"/>
      <w:contextualSpacing/>
    </w:pPr>
  </w:style>
  <w:style w:type="paragraph" w:styleId="19">
    <w:name w:val="Plain Text"/>
    <w:basedOn w:val="1"/>
    <w:next w:val="20"/>
    <w:link w:val="45"/>
    <w:autoRedefine/>
    <w:qFormat/>
    <w:uiPriority w:val="0"/>
    <w:rPr>
      <w:rFonts w:ascii="宋体" w:hAnsi="Courier New"/>
      <w:kern w:val="0"/>
      <w:sz w:val="20"/>
      <w:szCs w:val="21"/>
    </w:rPr>
  </w:style>
  <w:style w:type="paragraph" w:styleId="20">
    <w:name w:val="toc 1"/>
    <w:basedOn w:val="1"/>
    <w:next w:val="1"/>
    <w:autoRedefine/>
    <w:unhideWhenUsed/>
    <w:qFormat/>
    <w:uiPriority w:val="39"/>
  </w:style>
  <w:style w:type="paragraph" w:styleId="21">
    <w:name w:val="Date"/>
    <w:basedOn w:val="1"/>
    <w:next w:val="1"/>
    <w:link w:val="46"/>
    <w:autoRedefine/>
    <w:unhideWhenUsed/>
    <w:qFormat/>
    <w:uiPriority w:val="99"/>
    <w:pPr>
      <w:ind w:left="100" w:leftChars="2500"/>
    </w:pPr>
  </w:style>
  <w:style w:type="paragraph" w:styleId="22">
    <w:name w:val="Balloon Text"/>
    <w:basedOn w:val="1"/>
    <w:autoRedefine/>
    <w:semiHidden/>
    <w:qFormat/>
    <w:uiPriority w:val="0"/>
    <w:rPr>
      <w:sz w:val="18"/>
      <w:szCs w:val="18"/>
    </w:rPr>
  </w:style>
  <w:style w:type="paragraph" w:styleId="23">
    <w:name w:val="footer"/>
    <w:basedOn w:val="1"/>
    <w:link w:val="47"/>
    <w:autoRedefine/>
    <w:unhideWhenUsed/>
    <w:qFormat/>
    <w:uiPriority w:val="99"/>
    <w:pPr>
      <w:tabs>
        <w:tab w:val="center" w:pos="4153"/>
        <w:tab w:val="right" w:pos="8306"/>
      </w:tabs>
      <w:snapToGrid w:val="0"/>
      <w:jc w:val="left"/>
    </w:pPr>
    <w:rPr>
      <w:kern w:val="0"/>
      <w:sz w:val="18"/>
      <w:szCs w:val="18"/>
    </w:rPr>
  </w:style>
  <w:style w:type="paragraph" w:styleId="24">
    <w:name w:val="header"/>
    <w:basedOn w:val="1"/>
    <w:link w:val="4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2"/>
    <w:basedOn w:val="1"/>
    <w:next w:val="1"/>
    <w:autoRedefine/>
    <w:unhideWhenUsed/>
    <w:qFormat/>
    <w:uiPriority w:val="39"/>
    <w:pPr>
      <w:tabs>
        <w:tab w:val="right" w:leader="dot" w:pos="8296"/>
      </w:tabs>
      <w:ind w:left="420" w:leftChars="200"/>
    </w:pPr>
  </w:style>
  <w:style w:type="paragraph" w:styleId="26">
    <w:name w:val="Normal (Web)"/>
    <w:basedOn w:val="1"/>
    <w:autoRedefine/>
    <w:unhideWhenUsed/>
    <w:qFormat/>
    <w:uiPriority w:val="99"/>
    <w:rPr>
      <w:rFonts w:ascii="Calibri" w:hAnsi="Calibri"/>
      <w:kern w:val="0"/>
      <w:sz w:val="24"/>
    </w:rPr>
  </w:style>
  <w:style w:type="paragraph" w:styleId="27">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28">
    <w:name w:val="annotation subject"/>
    <w:basedOn w:val="15"/>
    <w:next w:val="15"/>
    <w:link w:val="49"/>
    <w:autoRedefine/>
    <w:qFormat/>
    <w:uiPriority w:val="99"/>
    <w:rPr>
      <w:b/>
      <w:bCs/>
    </w:rPr>
  </w:style>
  <w:style w:type="paragraph" w:styleId="29">
    <w:name w:val="Body Text First Indent 2"/>
    <w:basedOn w:val="17"/>
    <w:next w:val="1"/>
    <w:autoRedefine/>
    <w:qFormat/>
    <w:uiPriority w:val="0"/>
    <w:pPr>
      <w:spacing w:line="360" w:lineRule="auto"/>
      <w:ind w:firstLine="0"/>
    </w:pPr>
    <w:rPr>
      <w:sz w:val="24"/>
    </w:rPr>
  </w:style>
  <w:style w:type="table" w:styleId="31">
    <w:name w:val="Table Grid"/>
    <w:basedOn w:val="3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autoRedefine/>
    <w:unhideWhenUsed/>
    <w:qFormat/>
    <w:uiPriority w:val="99"/>
    <w:rPr>
      <w:vertAlign w:val="superscript"/>
    </w:rPr>
  </w:style>
  <w:style w:type="character" w:styleId="34">
    <w:name w:val="Hyperlink"/>
    <w:autoRedefine/>
    <w:unhideWhenUsed/>
    <w:qFormat/>
    <w:uiPriority w:val="99"/>
    <w:rPr>
      <w:color w:val="0000FF"/>
      <w:u w:val="single"/>
    </w:rPr>
  </w:style>
  <w:style w:type="character" w:styleId="35">
    <w:name w:val="annotation reference"/>
    <w:autoRedefine/>
    <w:qFormat/>
    <w:uiPriority w:val="0"/>
    <w:rPr>
      <w:sz w:val="21"/>
      <w:szCs w:val="21"/>
    </w:rPr>
  </w:style>
  <w:style w:type="character" w:customStyle="1" w:styleId="36">
    <w:name w:val="标题 1 Char"/>
    <w:link w:val="6"/>
    <w:autoRedefine/>
    <w:qFormat/>
    <w:uiPriority w:val="9"/>
    <w:rPr>
      <w:rFonts w:ascii="Times New Roman" w:hAnsi="Times New Roman" w:eastAsia="宋体"/>
      <w:b/>
      <w:bCs/>
      <w:kern w:val="44"/>
      <w:sz w:val="36"/>
      <w:szCs w:val="44"/>
    </w:rPr>
  </w:style>
  <w:style w:type="character" w:customStyle="1" w:styleId="37">
    <w:name w:val="标题 2 Char1"/>
    <w:link w:val="7"/>
    <w:autoRedefine/>
    <w:qFormat/>
    <w:uiPriority w:val="9"/>
    <w:rPr>
      <w:rFonts w:ascii="Cambria" w:hAnsi="Cambria" w:eastAsia="宋体" w:cs="Times New Roman"/>
      <w:b/>
      <w:bCs/>
      <w:kern w:val="2"/>
      <w:sz w:val="32"/>
      <w:szCs w:val="32"/>
    </w:rPr>
  </w:style>
  <w:style w:type="character" w:customStyle="1" w:styleId="38">
    <w:name w:val="标题 5 Char"/>
    <w:link w:val="9"/>
    <w:autoRedefine/>
    <w:semiHidden/>
    <w:qFormat/>
    <w:uiPriority w:val="9"/>
    <w:rPr>
      <w:rFonts w:ascii="Times New Roman" w:hAnsi="Times New Roman"/>
      <w:b/>
      <w:bCs/>
      <w:kern w:val="2"/>
      <w:sz w:val="28"/>
      <w:szCs w:val="28"/>
    </w:rPr>
  </w:style>
  <w:style w:type="character" w:customStyle="1" w:styleId="39">
    <w:name w:val="标题 7 Char"/>
    <w:link w:val="11"/>
    <w:autoRedefine/>
    <w:qFormat/>
    <w:uiPriority w:val="0"/>
    <w:rPr>
      <w:b/>
      <w:bCs/>
      <w:kern w:val="2"/>
      <w:sz w:val="24"/>
      <w:szCs w:val="24"/>
    </w:rPr>
  </w:style>
  <w:style w:type="character" w:customStyle="1" w:styleId="40">
    <w:name w:val="标题 8 Char1"/>
    <w:link w:val="12"/>
    <w:autoRedefine/>
    <w:semiHidden/>
    <w:qFormat/>
    <w:uiPriority w:val="9"/>
    <w:rPr>
      <w:rFonts w:ascii="等线 Light" w:hAnsi="等线 Light" w:eastAsia="等线 Light" w:cs="Times New Roman"/>
      <w:kern w:val="2"/>
      <w:sz w:val="24"/>
      <w:szCs w:val="24"/>
    </w:rPr>
  </w:style>
  <w:style w:type="character" w:customStyle="1" w:styleId="41">
    <w:name w:val="批注文字 Char1"/>
    <w:link w:val="15"/>
    <w:autoRedefine/>
    <w:qFormat/>
    <w:uiPriority w:val="0"/>
    <w:rPr>
      <w:rFonts w:ascii="Times New Roman" w:hAnsi="Times New Roman"/>
      <w:kern w:val="2"/>
      <w:sz w:val="21"/>
      <w:szCs w:val="24"/>
    </w:rPr>
  </w:style>
  <w:style w:type="character" w:customStyle="1" w:styleId="42">
    <w:name w:val="正文文本 3 Char"/>
    <w:link w:val="16"/>
    <w:autoRedefine/>
    <w:semiHidden/>
    <w:qFormat/>
    <w:uiPriority w:val="99"/>
    <w:rPr>
      <w:kern w:val="2"/>
      <w:sz w:val="16"/>
      <w:szCs w:val="16"/>
    </w:rPr>
  </w:style>
  <w:style w:type="character" w:customStyle="1" w:styleId="43">
    <w:name w:val="正文文本 Char1"/>
    <w:link w:val="3"/>
    <w:autoRedefine/>
    <w:qFormat/>
    <w:uiPriority w:val="0"/>
    <w:rPr>
      <w:rFonts w:ascii="Times New Roman" w:hAnsi="Times New Roman"/>
      <w:kern w:val="2"/>
      <w:sz w:val="21"/>
      <w:szCs w:val="24"/>
    </w:rPr>
  </w:style>
  <w:style w:type="character" w:customStyle="1" w:styleId="44">
    <w:name w:val="正文文本缩进 Char"/>
    <w:link w:val="17"/>
    <w:autoRedefine/>
    <w:qFormat/>
    <w:uiPriority w:val="0"/>
    <w:rPr>
      <w:rFonts w:ascii="仿宋_GB2312" w:hAnsi="Times New Roman" w:eastAsia="仿宋_GB2312" w:cs="Times New Roman"/>
      <w:sz w:val="32"/>
      <w:szCs w:val="20"/>
    </w:rPr>
  </w:style>
  <w:style w:type="character" w:customStyle="1" w:styleId="45">
    <w:name w:val="纯文本 Char1"/>
    <w:link w:val="19"/>
    <w:autoRedefine/>
    <w:qFormat/>
    <w:uiPriority w:val="0"/>
    <w:rPr>
      <w:rFonts w:ascii="宋体" w:hAnsi="Courier New" w:eastAsia="宋体" w:cs="Courier New"/>
      <w:szCs w:val="21"/>
    </w:rPr>
  </w:style>
  <w:style w:type="character" w:customStyle="1" w:styleId="46">
    <w:name w:val="日期 Char"/>
    <w:link w:val="21"/>
    <w:autoRedefine/>
    <w:semiHidden/>
    <w:qFormat/>
    <w:uiPriority w:val="99"/>
    <w:rPr>
      <w:rFonts w:ascii="Times New Roman" w:hAnsi="Times New Roman"/>
      <w:kern w:val="2"/>
      <w:sz w:val="21"/>
      <w:szCs w:val="24"/>
    </w:rPr>
  </w:style>
  <w:style w:type="character" w:customStyle="1" w:styleId="47">
    <w:name w:val="页脚 Char"/>
    <w:link w:val="23"/>
    <w:autoRedefine/>
    <w:qFormat/>
    <w:uiPriority w:val="99"/>
    <w:rPr>
      <w:sz w:val="18"/>
      <w:szCs w:val="18"/>
    </w:rPr>
  </w:style>
  <w:style w:type="character" w:customStyle="1" w:styleId="48">
    <w:name w:val="页眉 Char"/>
    <w:link w:val="24"/>
    <w:autoRedefine/>
    <w:qFormat/>
    <w:uiPriority w:val="99"/>
    <w:rPr>
      <w:sz w:val="18"/>
      <w:szCs w:val="18"/>
    </w:rPr>
  </w:style>
  <w:style w:type="character" w:customStyle="1" w:styleId="49">
    <w:name w:val="批注主题 Char"/>
    <w:link w:val="28"/>
    <w:autoRedefine/>
    <w:qFormat/>
    <w:uiPriority w:val="99"/>
    <w:rPr>
      <w:rFonts w:ascii="Times New Roman" w:hAnsi="Times New Roman"/>
      <w:b/>
      <w:bCs/>
      <w:kern w:val="2"/>
      <w:sz w:val="21"/>
      <w:szCs w:val="24"/>
    </w:rPr>
  </w:style>
  <w:style w:type="paragraph" w:customStyle="1" w:styleId="50">
    <w:name w:val="表格文字"/>
    <w:basedOn w:val="1"/>
    <w:autoRedefine/>
    <w:qFormat/>
    <w:uiPriority w:val="99"/>
    <w:pPr>
      <w:spacing w:before="25" w:after="25"/>
      <w:jc w:val="left"/>
    </w:pPr>
    <w:rPr>
      <w:bCs/>
      <w:spacing w:val="10"/>
      <w:kern w:val="0"/>
      <w:sz w:val="24"/>
    </w:rPr>
  </w:style>
  <w:style w:type="character" w:customStyle="1" w:styleId="51">
    <w:name w:val="标题 1 字符1"/>
    <w:autoRedefine/>
    <w:qFormat/>
    <w:uiPriority w:val="0"/>
    <w:rPr>
      <w:b/>
      <w:bCs/>
      <w:kern w:val="44"/>
      <w:sz w:val="44"/>
      <w:szCs w:val="44"/>
    </w:rPr>
  </w:style>
  <w:style w:type="character" w:customStyle="1" w:styleId="52">
    <w:name w:val="textcontents"/>
    <w:autoRedefine/>
    <w:qFormat/>
    <w:uiPriority w:val="0"/>
  </w:style>
  <w:style w:type="character" w:customStyle="1" w:styleId="53">
    <w:name w:val="批注文字 Char"/>
    <w:autoRedefine/>
    <w:qFormat/>
    <w:uiPriority w:val="0"/>
    <w:rPr>
      <w:rFonts w:ascii="Times New Roman" w:hAnsi="Times New Roman"/>
      <w:kern w:val="2"/>
      <w:sz w:val="21"/>
      <w:szCs w:val="24"/>
    </w:rPr>
  </w:style>
  <w:style w:type="character" w:customStyle="1" w:styleId="54">
    <w:name w:val="纯文本 字符"/>
    <w:autoRedefine/>
    <w:qFormat/>
    <w:uiPriority w:val="0"/>
    <w:rPr>
      <w:rFonts w:ascii="宋体" w:hAnsi="Courier New" w:eastAsia="宋体" w:cs="Courier New"/>
      <w:szCs w:val="21"/>
    </w:rPr>
  </w:style>
  <w:style w:type="character" w:customStyle="1" w:styleId="55">
    <w:name w:val="纯文本 Char"/>
    <w:autoRedefine/>
    <w:qFormat/>
    <w:uiPriority w:val="0"/>
    <w:rPr>
      <w:rFonts w:ascii="宋体" w:hAnsi="Courier New" w:eastAsia="宋体" w:cs="Courier New"/>
      <w:szCs w:val="21"/>
    </w:rPr>
  </w:style>
  <w:style w:type="character" w:customStyle="1" w:styleId="56">
    <w:name w:val="纯文本 字符2"/>
    <w:autoRedefine/>
    <w:qFormat/>
    <w:uiPriority w:val="0"/>
    <w:rPr>
      <w:rFonts w:ascii="宋体" w:hAnsi="Courier New" w:eastAsia="宋体" w:cs="Courier New"/>
      <w:szCs w:val="21"/>
    </w:rPr>
  </w:style>
  <w:style w:type="character" w:customStyle="1" w:styleId="57">
    <w:name w:val="批注文字 字符1"/>
    <w:autoRedefine/>
    <w:qFormat/>
    <w:uiPriority w:val="0"/>
    <w:rPr>
      <w:rFonts w:ascii="Times New Roman" w:hAnsi="Times New Roman"/>
      <w:kern w:val="2"/>
      <w:sz w:val="21"/>
      <w:szCs w:val="24"/>
    </w:rPr>
  </w:style>
  <w:style w:type="character" w:customStyle="1" w:styleId="5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9">
    <w:name w:val="纯文本 字符1"/>
    <w:autoRedefine/>
    <w:qFormat/>
    <w:uiPriority w:val="0"/>
    <w:rPr>
      <w:rFonts w:ascii="宋体" w:hAnsi="Courier New"/>
    </w:rPr>
  </w:style>
  <w:style w:type="character" w:customStyle="1" w:styleId="60">
    <w:name w:val="正文文本 Char"/>
    <w:autoRedefine/>
    <w:qFormat/>
    <w:uiPriority w:val="0"/>
    <w:rPr>
      <w:rFonts w:ascii="Times New Roman" w:hAnsi="Times New Roman"/>
      <w:kern w:val="2"/>
      <w:sz w:val="21"/>
      <w:szCs w:val="24"/>
    </w:rPr>
  </w:style>
  <w:style w:type="character" w:customStyle="1" w:styleId="61">
    <w:name w:val="批注文字 字符"/>
    <w:autoRedefine/>
    <w:qFormat/>
    <w:uiPriority w:val="0"/>
    <w:rPr>
      <w:rFonts w:ascii="Times New Roman" w:hAnsi="Times New Roman"/>
      <w:kern w:val="2"/>
      <w:sz w:val="21"/>
      <w:szCs w:val="24"/>
    </w:rPr>
  </w:style>
  <w:style w:type="character" w:customStyle="1" w:styleId="62">
    <w:name w:val="标题 2 Char"/>
    <w:autoRedefine/>
    <w:qFormat/>
    <w:uiPriority w:val="9"/>
    <w:rPr>
      <w:rFonts w:ascii="Cambria" w:hAnsi="Cambria" w:eastAsia="宋体" w:cs="Times New Roman"/>
      <w:b/>
      <w:bCs/>
      <w:kern w:val="2"/>
      <w:sz w:val="32"/>
      <w:szCs w:val="32"/>
    </w:rPr>
  </w:style>
  <w:style w:type="character" w:customStyle="1" w:styleId="63">
    <w:name w:val="标题 8 Char"/>
    <w:autoRedefine/>
    <w:qFormat/>
    <w:uiPriority w:val="0"/>
    <w:rPr>
      <w:rFonts w:ascii="Arial" w:hAnsi="Arial" w:eastAsia="黑体"/>
      <w:kern w:val="2"/>
      <w:sz w:val="24"/>
      <w:szCs w:val="24"/>
    </w:rPr>
  </w:style>
  <w:style w:type="character" w:customStyle="1" w:styleId="64">
    <w:name w:val="apple-style-span"/>
    <w:autoRedefine/>
    <w:qFormat/>
    <w:uiPriority w:val="0"/>
  </w:style>
  <w:style w:type="paragraph" w:customStyle="1" w:styleId="65">
    <w:name w:val="默认段落字体 Para Char Char Char Char Char Char Char Char Char1 Char Char Char Char"/>
    <w:basedOn w:val="1"/>
    <w:autoRedefine/>
    <w:qFormat/>
    <w:uiPriority w:val="0"/>
    <w:rPr>
      <w:rFonts w:ascii="Tahoma" w:hAnsi="Tahoma"/>
      <w:sz w:val="24"/>
      <w:szCs w:val="20"/>
    </w:rPr>
  </w:style>
  <w:style w:type="paragraph" w:customStyle="1" w:styleId="6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67">
    <w:name w:val="List Paragraph"/>
    <w:basedOn w:val="1"/>
    <w:autoRedefine/>
    <w:qFormat/>
    <w:uiPriority w:val="34"/>
    <w:pPr>
      <w:ind w:firstLine="420" w:firstLineChars="200"/>
    </w:pPr>
  </w:style>
  <w:style w:type="paragraph" w:customStyle="1" w:styleId="68">
    <w:name w:val="Table Paragraph"/>
    <w:basedOn w:val="1"/>
    <w:autoRedefine/>
    <w:qFormat/>
    <w:uiPriority w:val="1"/>
    <w:pPr>
      <w:jc w:val="left"/>
    </w:pPr>
    <w:rPr>
      <w:rFonts w:ascii="Calibri" w:hAnsi="Calibri"/>
      <w:kern w:val="0"/>
      <w:sz w:val="22"/>
      <w:szCs w:val="22"/>
      <w:lang w:eastAsia="en-US"/>
    </w:rPr>
  </w:style>
  <w:style w:type="character" w:customStyle="1" w:styleId="69">
    <w:name w:val="正文文本 字符"/>
    <w:autoRedefine/>
    <w:qFormat/>
    <w:uiPriority w:val="0"/>
    <w:rPr>
      <w:rFonts w:ascii="Times New Roman" w:hAnsi="Times New Roman"/>
      <w:kern w:val="2"/>
      <w:sz w:val="21"/>
      <w:szCs w:val="24"/>
    </w:rPr>
  </w:style>
  <w:style w:type="character" w:customStyle="1" w:styleId="70">
    <w:name w:val="批注文字 Char2"/>
    <w:autoRedefine/>
    <w:qFormat/>
    <w:uiPriority w:val="0"/>
    <w:rPr>
      <w:rFonts w:ascii="Times New Roman" w:hAnsi="Times New Roman"/>
      <w:kern w:val="2"/>
      <w:sz w:val="21"/>
      <w:szCs w:val="24"/>
    </w:rPr>
  </w:style>
  <w:style w:type="paragraph" w:customStyle="1" w:styleId="71">
    <w:name w:val="样式 正文缩进正文（首行缩进两字）首行缩进两字 + 首行缩进:  2 字符1"/>
    <w:basedOn w:val="10"/>
    <w:autoRedefine/>
    <w:qFormat/>
    <w:uiPriority w:val="0"/>
    <w:pPr>
      <w:autoSpaceDE w:val="0"/>
      <w:autoSpaceDN w:val="0"/>
      <w:spacing w:beforeLines="50" w:afterLines="50" w:line="500" w:lineRule="exact"/>
      <w:ind w:firstLine="200"/>
      <w:jc w:val="left"/>
    </w:pPr>
    <w:rPr>
      <w:rFonts w:ascii="楷体_GB2312" w:eastAsia="楷体_GB2312"/>
      <w:color w:val="000000"/>
      <w:kern w:val="0"/>
      <w:sz w:val="28"/>
    </w:rPr>
  </w:style>
  <w:style w:type="paragraph" w:customStyle="1" w:styleId="72">
    <w:name w:val="列出段落3"/>
    <w:basedOn w:val="1"/>
    <w:autoRedefine/>
    <w:qFormat/>
    <w:uiPriority w:val="0"/>
    <w:pPr>
      <w:widowControl/>
      <w:spacing w:line="400" w:lineRule="exact"/>
      <w:ind w:firstLine="420" w:firstLineChars="200"/>
      <w:jc w:val="left"/>
    </w:pPr>
  </w:style>
  <w:style w:type="paragraph" w:customStyle="1" w:styleId="73">
    <w:name w:val="正文文本2"/>
    <w:basedOn w:val="1"/>
    <w:autoRedefine/>
    <w:qFormat/>
    <w:uiPriority w:val="0"/>
    <w:pPr>
      <w:shd w:val="clear" w:color="auto" w:fill="FFFFFF"/>
      <w:spacing w:after="300" w:line="0" w:lineRule="atLeast"/>
    </w:pPr>
    <w:rPr>
      <w:rFonts w:ascii="MingLiU" w:hAnsi="MingLiU" w:eastAsia="MingLiU"/>
      <w:color w:val="000000"/>
      <w:kern w:val="0"/>
      <w:sz w:val="22"/>
      <w:szCs w:val="22"/>
      <w:shd w:val="clear" w:color="auto" w:fill="FFFFFF"/>
      <w:lang w:val="zh-TW"/>
    </w:rPr>
  </w:style>
  <w:style w:type="paragraph" w:customStyle="1" w:styleId="74">
    <w:name w:val="列出段落1"/>
    <w:autoRedefine/>
    <w:qFormat/>
    <w:uiPriority w:val="0"/>
    <w:pPr>
      <w:ind w:firstLine="200" w:firstLineChars="200"/>
    </w:pPr>
    <w:rPr>
      <w:rFonts w:ascii="Calibri" w:hAnsi="Calibri" w:eastAsia="宋体" w:cs="Times New Roman"/>
      <w:kern w:val="2"/>
      <w:sz w:val="21"/>
      <w:szCs w:val="22"/>
      <w:lang w:val="en-US" w:eastAsia="zh-CN" w:bidi="ar-SA"/>
    </w:rPr>
  </w:style>
  <w:style w:type="table" w:customStyle="1" w:styleId="75">
    <w:name w:val="Table Normal"/>
    <w:autoRedefine/>
    <w:unhideWhenUsed/>
    <w:qFormat/>
    <w:uiPriority w:val="0"/>
    <w:tblPr>
      <w:tblCellMar>
        <w:top w:w="0" w:type="dxa"/>
        <w:left w:w="0" w:type="dxa"/>
        <w:bottom w:w="0" w:type="dxa"/>
        <w:right w:w="0" w:type="dxa"/>
      </w:tblCellMar>
    </w:tblPr>
  </w:style>
  <w:style w:type="paragraph" w:customStyle="1" w:styleId="76">
    <w:name w:val="正文文本首行缩进1"/>
    <w:basedOn w:val="3"/>
    <w:autoRedefine/>
    <w:qFormat/>
    <w:uiPriority w:val="0"/>
    <w:pPr>
      <w:ind w:firstLine="100" w:firstLineChars="100"/>
    </w:pPr>
  </w:style>
  <w:style w:type="paragraph" w:customStyle="1" w:styleId="77">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广西国泰招标</Company>
  <Pages>68</Pages>
  <Words>14274</Words>
  <Characters>15300</Characters>
  <Lines>344</Lines>
  <Paragraphs>97</Paragraphs>
  <TotalTime>1</TotalTime>
  <ScaleCrop>false</ScaleCrop>
  <LinksUpToDate>false</LinksUpToDate>
  <CharactersWithSpaces>15513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2023-08-02T08:56:00Z</dcterms:created>
  <dc:creator>广西国泰招标</dc:creator>
  <cp:lastModifiedBy>Administrator</cp:lastModifiedBy>
  <cp:lastPrinted>2024-02-28T02:59:00Z</cp:lastPrinted>
  <dcterms:modified xsi:type="dcterms:W3CDTF">2025-03-17T08:51:21Z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BAB092D20DAE4BEA8056027286054855_13</vt:lpwstr>
  </property>
  <property fmtid="{D5CDD505-2E9C-101B-9397-08002B2CF9AE}" pid="4" name="KSOTemplateDocerSaveRecord">
    <vt:lpwstr>eyJoZGlkIjoiYmZiNzg2NzY5NzM5NWYzYjBlNTA3MTIyZDljZTlhZmEifQ==</vt:lpwstr>
  </property>
</Properties>
</file>