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Ansi="宋体" w:cs="宋体"/>
          <w:color w:val="auto"/>
          <w:spacing w:val="30"/>
          <w:kern w:val="52"/>
          <w:sz w:val="64"/>
          <w:szCs w:val="64"/>
          <w:highlight w:val="none"/>
        </w:rPr>
      </w:pPr>
      <w:r>
        <w:rPr>
          <w:rFonts w:hint="eastAsia" w:hAnsi="宋体" w:cs="宋体"/>
          <w:color w:val="auto"/>
          <w:highlight w:val="none"/>
        </w:rPr>
        <w:drawing>
          <wp:inline distT="0" distB="0" distL="114300" distR="114300">
            <wp:extent cx="1031875" cy="965835"/>
            <wp:effectExtent l="0" t="0" r="15875" b="5715"/>
            <wp:docPr id="2"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泰标志"/>
                    <pic:cNvPicPr>
                      <a:picLocks noChangeAspect="1"/>
                    </pic:cNvPicPr>
                  </pic:nvPicPr>
                  <pic:blipFill>
                    <a:blip r:embed="rId14" cstate="print"/>
                    <a:stretch>
                      <a:fillRect/>
                    </a:stretch>
                  </pic:blipFill>
                  <pic:spPr>
                    <a:xfrm>
                      <a:off x="0" y="0"/>
                      <a:ext cx="1031875" cy="965835"/>
                    </a:xfrm>
                    <a:prstGeom prst="rect">
                      <a:avLst/>
                    </a:prstGeom>
                    <a:noFill/>
                    <a:ln>
                      <a:noFill/>
                    </a:ln>
                  </pic:spPr>
                </pic:pic>
              </a:graphicData>
            </a:graphic>
          </wp:inline>
        </w:drawing>
      </w:r>
    </w:p>
    <w:p>
      <w:pPr>
        <w:pStyle w:val="18"/>
        <w:jc w:val="center"/>
        <w:rPr>
          <w:rFonts w:hAnsi="宋体" w:cs="宋体"/>
          <w:color w:val="auto"/>
          <w:spacing w:val="30"/>
          <w:kern w:val="52"/>
          <w:sz w:val="64"/>
          <w:szCs w:val="64"/>
          <w:highlight w:val="none"/>
        </w:rPr>
      </w:pPr>
      <w:r>
        <w:rPr>
          <w:rFonts w:hint="eastAsia" w:hAnsi="宋体" w:cs="宋体"/>
          <w:color w:val="auto"/>
          <w:spacing w:val="30"/>
          <w:kern w:val="52"/>
          <w:sz w:val="64"/>
          <w:szCs w:val="64"/>
          <w:highlight w:val="none"/>
        </w:rPr>
        <w:t>广西国泰招标咨询有限公司</w:t>
      </w:r>
    </w:p>
    <w:p>
      <w:pPr>
        <w:pStyle w:val="18"/>
        <w:jc w:val="center"/>
        <w:rPr>
          <w:rFonts w:hAnsi="宋体" w:cs="宋体"/>
          <w:b/>
          <w:color w:val="auto"/>
          <w:sz w:val="44"/>
          <w:szCs w:val="44"/>
          <w:highlight w:val="none"/>
        </w:rPr>
      </w:pPr>
      <w:r>
        <w:rPr>
          <w:rFonts w:hAnsi="宋体" w:cs="宋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awUM&#10;1AAAAAgBAAAPAAAAAAAAAAEAIAAAACIAAABkcnMvZG93bnJldi54bWxQSwECFAAUAAAACACHTuJA&#10;a+11dOwBAADqAwAADgAAAAAAAAABACAAAAAjAQAAZHJzL2Uyb0RvYy54bWxQSwUGAAAAAAYABgBZ&#10;AQAAgQUAAAAA&#10;">
                <v:fill on="f" focussize="0,0"/>
                <v:stroke weight="1pt" color="#000000" joinstyle="round"/>
                <v:imagedata o:title=""/>
                <o:lock v:ext="edit" aspectratio="f"/>
              </v:line>
            </w:pict>
          </mc:Fallback>
        </mc:AlternateContent>
      </w:r>
    </w:p>
    <w:p>
      <w:pPr>
        <w:snapToGrid w:val="0"/>
        <w:spacing w:before="156" w:beforeLines="50" w:line="360" w:lineRule="auto"/>
        <w:jc w:val="center"/>
        <w:rPr>
          <w:rFonts w:ascii="宋体" w:hAnsi="宋体" w:cs="宋体"/>
          <w:color w:val="auto"/>
          <w:sz w:val="120"/>
          <w:szCs w:val="120"/>
          <w:highlight w:val="none"/>
        </w:rPr>
      </w:pPr>
      <w:r>
        <w:rPr>
          <w:rFonts w:hint="eastAsia" w:ascii="宋体" w:hAnsi="宋体" w:cs="宋体"/>
          <w:color w:val="auto"/>
          <w:sz w:val="120"/>
          <w:szCs w:val="120"/>
          <w:highlight w:val="none"/>
        </w:rPr>
        <w:t>竞争性磋商文件</w:t>
      </w:r>
    </w:p>
    <w:p>
      <w:pPr>
        <w:snapToGrid w:val="0"/>
        <w:spacing w:line="360" w:lineRule="auto"/>
        <w:rPr>
          <w:rFonts w:ascii="宋体" w:hAnsi="宋体" w:cs="宋体"/>
          <w:b/>
          <w:color w:val="auto"/>
          <w:sz w:val="48"/>
          <w:szCs w:val="48"/>
          <w:highlight w:val="none"/>
        </w:rPr>
      </w:pPr>
    </w:p>
    <w:p>
      <w:pPr>
        <w:pStyle w:val="18"/>
        <w:snapToGrid w:val="0"/>
        <w:spacing w:line="360" w:lineRule="auto"/>
        <w:ind w:firstLine="1205" w:firstLineChars="400"/>
        <w:rPr>
          <w:rFonts w:hAnsi="宋体" w:cs="宋体"/>
          <w:b/>
          <w:bCs/>
          <w:color w:val="auto"/>
          <w:sz w:val="30"/>
          <w:szCs w:val="30"/>
          <w:highlight w:val="none"/>
        </w:rPr>
      </w:pPr>
    </w:p>
    <w:p>
      <w:pPr>
        <w:pStyle w:val="18"/>
        <w:snapToGrid w:val="0"/>
        <w:spacing w:line="360" w:lineRule="auto"/>
        <w:ind w:left="2703" w:leftChars="570"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color w:val="auto"/>
          <w:sz w:val="32"/>
          <w:szCs w:val="32"/>
          <w:highlight w:val="none"/>
          <w:lang w:eastAsia="zh-CN"/>
        </w:rPr>
        <w:t>2024年广西农业信息化系统设计，信息技术咨询、信息系统和其他运行维护项目（重）</w:t>
      </w:r>
    </w:p>
    <w:p>
      <w:pPr>
        <w:pStyle w:val="18"/>
        <w:snapToGrid w:val="0"/>
        <w:spacing w:line="360" w:lineRule="auto"/>
        <w:ind w:firstLine="1205" w:firstLineChars="4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color w:val="auto"/>
          <w:sz w:val="32"/>
          <w:szCs w:val="32"/>
          <w:highlight w:val="none"/>
          <w:lang w:eastAsia="zh-CN"/>
        </w:rPr>
        <w:t>GXZC2024-C3-005487-GTZB</w:t>
      </w:r>
    </w:p>
    <w:p>
      <w:pPr>
        <w:snapToGrid w:val="0"/>
        <w:spacing w:line="360" w:lineRule="auto"/>
        <w:rPr>
          <w:rFonts w:ascii="宋体" w:hAnsi="宋体" w:cs="宋体"/>
          <w:color w:val="auto"/>
          <w:sz w:val="30"/>
          <w:szCs w:val="72"/>
          <w:highlight w:val="none"/>
        </w:rPr>
      </w:pPr>
      <w:r>
        <w:rPr>
          <w:rFonts w:hint="eastAsia" w:ascii="宋体" w:hAnsi="宋体" w:cs="宋体"/>
          <w:b/>
          <w:color w:val="auto"/>
          <w:sz w:val="30"/>
          <w:szCs w:val="48"/>
          <w:highlight w:val="none"/>
        </w:rPr>
        <w:t xml:space="preserve"> </w:t>
      </w:r>
    </w:p>
    <w:p>
      <w:pPr>
        <w:pStyle w:val="18"/>
        <w:snapToGrid w:val="0"/>
        <w:spacing w:line="360" w:lineRule="auto"/>
        <w:ind w:firstLine="1431" w:firstLineChars="500"/>
        <w:rPr>
          <w:rFonts w:hint="eastAsia" w:hAnsi="宋体" w:cs="宋体"/>
          <w:b/>
          <w:bCs/>
          <w:color w:val="auto"/>
          <w:w w:val="95"/>
          <w:sz w:val="30"/>
          <w:szCs w:val="30"/>
          <w:highlight w:val="none"/>
        </w:rPr>
      </w:pPr>
    </w:p>
    <w:p>
      <w:pPr>
        <w:pStyle w:val="18"/>
        <w:snapToGrid w:val="0"/>
        <w:spacing w:line="360" w:lineRule="auto"/>
        <w:ind w:firstLine="1431" w:firstLineChars="5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 购 人：</w:t>
      </w:r>
      <w:r>
        <w:rPr>
          <w:rFonts w:hint="eastAsia" w:hAnsi="宋体" w:cs="宋体"/>
          <w:b/>
          <w:color w:val="auto"/>
          <w:sz w:val="32"/>
          <w:szCs w:val="32"/>
          <w:highlight w:val="none"/>
          <w:lang w:eastAsia="zh-CN"/>
        </w:rPr>
        <w:t>广西壮族自治区农业信息中心</w:t>
      </w:r>
    </w:p>
    <w:p>
      <w:pPr>
        <w:pStyle w:val="18"/>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广西国泰招标咨询有限公司</w:t>
      </w:r>
    </w:p>
    <w:p>
      <w:pPr>
        <w:pStyle w:val="18"/>
        <w:snapToGrid w:val="0"/>
        <w:spacing w:line="360" w:lineRule="auto"/>
        <w:ind w:left="420" w:firstLine="841" w:firstLineChars="294"/>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                2024年</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月</w:t>
      </w:r>
    </w:p>
    <w:p>
      <w:pPr>
        <w:tabs>
          <w:tab w:val="left" w:pos="1080"/>
        </w:tabs>
        <w:spacing w:line="360" w:lineRule="auto"/>
        <w:ind w:firstLine="883" w:firstLineChars="200"/>
        <w:rPr>
          <w:rFonts w:ascii="宋体" w:hAns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pPr>
        <w:pStyle w:val="52"/>
        <w:rPr>
          <w:color w:val="auto"/>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line="400" w:lineRule="exact"/>
        <w:jc w:val="center"/>
        <w:rPr>
          <w:rFonts w:ascii="宋体" w:hAnsi="宋体" w:cs="宋体"/>
          <w:b/>
          <w:color w:val="auto"/>
          <w:sz w:val="44"/>
          <w:szCs w:val="44"/>
          <w:highlight w:val="none"/>
        </w:rPr>
      </w:pPr>
    </w:p>
    <w:p>
      <w:pPr>
        <w:pStyle w:val="23"/>
        <w:tabs>
          <w:tab w:val="right" w:leader="dot" w:pos="8869"/>
        </w:tabs>
        <w:snapToGrid w:val="0"/>
        <w:spacing w:line="500" w:lineRule="atLeast"/>
        <w:rPr>
          <w:rFonts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"1-3"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34"/>
          <w:rFonts w:hint="eastAsia" w:ascii="宋体" w:hAnsi="宋体" w:cs="宋体"/>
          <w:b/>
          <w:color w:val="auto"/>
          <w:sz w:val="24"/>
          <w:highlight w:val="none"/>
        </w:rPr>
        <w:t>第一章 竞争性磋商公告</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_Toc74323456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1</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3"/>
        <w:tabs>
          <w:tab w:val="right" w:leader="dot" w:pos="8869"/>
        </w:tabs>
        <w:snapToGrid w:val="0"/>
        <w:spacing w:line="500" w:lineRule="atLeast"/>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34"/>
          <w:rFonts w:hint="eastAsia" w:ascii="宋体" w:hAnsi="宋体" w:cs="宋体"/>
          <w:b/>
          <w:color w:val="auto"/>
          <w:sz w:val="24"/>
          <w:highlight w:val="none"/>
        </w:rPr>
        <w:t>第二章 供应</w:t>
      </w:r>
      <w:bookmarkStart w:id="0" w:name="_Hlt82161237"/>
      <w:r>
        <w:rPr>
          <w:rStyle w:val="34"/>
          <w:rFonts w:hint="eastAsia" w:ascii="宋体" w:hAnsi="宋体" w:cs="宋体"/>
          <w:b/>
          <w:color w:val="auto"/>
          <w:sz w:val="24"/>
          <w:highlight w:val="none"/>
        </w:rPr>
        <w:t>商</w:t>
      </w:r>
      <w:bookmarkEnd w:id="0"/>
      <w:r>
        <w:rPr>
          <w:rStyle w:val="34"/>
          <w:rFonts w:hint="eastAsia" w:ascii="宋体" w:hAnsi="宋体" w:cs="宋体"/>
          <w:b/>
          <w:color w:val="auto"/>
          <w:sz w:val="24"/>
          <w:highlight w:val="none"/>
        </w:rPr>
        <w:t>须知</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_Toc74323457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5</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3"/>
        <w:tabs>
          <w:tab w:val="right" w:leader="dot" w:pos="8869"/>
        </w:tabs>
        <w:snapToGrid w:val="0"/>
        <w:spacing w:line="500" w:lineRule="atLeast"/>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34"/>
          <w:rFonts w:hint="eastAsia" w:ascii="宋体" w:hAnsi="宋体" w:cs="宋体"/>
          <w:b/>
          <w:color w:val="auto"/>
          <w:sz w:val="24"/>
          <w:highlight w:val="none"/>
        </w:rPr>
        <w:t>第三章 采购需</w:t>
      </w:r>
      <w:bookmarkStart w:id="1" w:name="_Hlt82166940"/>
      <w:r>
        <w:rPr>
          <w:rStyle w:val="34"/>
          <w:rFonts w:hint="eastAsia" w:ascii="宋体" w:hAnsi="宋体" w:cs="宋体"/>
          <w:b/>
          <w:color w:val="auto"/>
          <w:sz w:val="24"/>
          <w:highlight w:val="none"/>
        </w:rPr>
        <w:t>求</w:t>
      </w:r>
      <w:bookmarkEnd w:id="1"/>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_Toc74323458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21</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3"/>
        <w:tabs>
          <w:tab w:val="right" w:leader="dot" w:pos="8869"/>
        </w:tabs>
        <w:snapToGrid w:val="0"/>
        <w:spacing w:line="500" w:lineRule="atLeast"/>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34"/>
          <w:rFonts w:hint="eastAsia" w:ascii="宋体" w:hAnsi="宋体" w:cs="宋体"/>
          <w:b/>
          <w:color w:val="auto"/>
          <w:sz w:val="24"/>
          <w:highlight w:val="none"/>
        </w:rPr>
        <w:t>第四章 评审程序、</w:t>
      </w:r>
      <w:bookmarkStart w:id="2" w:name="_Hlt82166000"/>
      <w:r>
        <w:rPr>
          <w:rStyle w:val="34"/>
          <w:rFonts w:hint="eastAsia" w:ascii="宋体" w:hAnsi="宋体" w:cs="宋体"/>
          <w:b/>
          <w:color w:val="auto"/>
          <w:sz w:val="24"/>
          <w:highlight w:val="none"/>
        </w:rPr>
        <w:t>评</w:t>
      </w:r>
      <w:bookmarkEnd w:id="2"/>
      <w:r>
        <w:rPr>
          <w:rStyle w:val="34"/>
          <w:rFonts w:hint="eastAsia" w:ascii="宋体" w:hAnsi="宋体" w:cs="宋体"/>
          <w:b/>
          <w:color w:val="auto"/>
          <w:sz w:val="24"/>
          <w:highlight w:val="none"/>
        </w:rPr>
        <w:t>审方法和评审标准</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_Toc74323459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21</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3"/>
        <w:tabs>
          <w:tab w:val="right" w:leader="dot" w:pos="8869"/>
        </w:tabs>
        <w:snapToGrid w:val="0"/>
        <w:spacing w:line="500" w:lineRule="atLeast"/>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34"/>
          <w:rFonts w:hint="eastAsia" w:ascii="宋体" w:hAnsi="宋体" w:cs="宋体"/>
          <w:b/>
          <w:color w:val="auto"/>
          <w:sz w:val="24"/>
          <w:highlight w:val="none"/>
        </w:rPr>
        <w:t>第五章 响应文件格式</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_Toc74323460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34</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3"/>
        <w:tabs>
          <w:tab w:val="right" w:leader="dot" w:pos="8869"/>
        </w:tabs>
        <w:snapToGrid w:val="0"/>
        <w:spacing w:line="500" w:lineRule="atLeast"/>
        <w:rPr>
          <w:rFonts w:ascii="宋体" w:hAnsi="宋体" w:cs="宋体"/>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34"/>
          <w:rFonts w:hint="eastAsia" w:ascii="宋体" w:hAnsi="宋体" w:cs="宋体"/>
          <w:b/>
          <w:color w:val="auto"/>
          <w:sz w:val="24"/>
          <w:highlight w:val="none"/>
        </w:rPr>
        <w:t>第六章 合同文本</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_Toc74323461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59</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4"/>
        <w:tabs>
          <w:tab w:val="right" w:leader="dot" w:pos="8931"/>
          <w:tab w:val="clear" w:pos="8296"/>
        </w:tabs>
        <w:snapToGrid w:val="0"/>
        <w:spacing w:line="500" w:lineRule="atLeast"/>
        <w:ind w:left="0" w:leftChars="0"/>
        <w:rPr>
          <w:rFonts w:ascii="宋体" w:hAnsi="宋体" w:cs="宋体"/>
          <w:b/>
          <w:color w:val="auto"/>
          <w:sz w:val="24"/>
          <w:highlight w:val="none"/>
        </w:rPr>
      </w:pPr>
      <w:r>
        <w:rPr>
          <w:rFonts w:hint="eastAsia" w:ascii="宋体" w:hAnsi="宋体" w:cs="宋体"/>
          <w:b/>
          <w:color w:val="auto"/>
          <w:sz w:val="24"/>
          <w:highlight w:val="none"/>
        </w:rPr>
        <w:fldChar w:fldCharType="end"/>
      </w:r>
    </w:p>
    <w:p>
      <w:pPr>
        <w:spacing w:line="400" w:lineRule="exact"/>
        <w:jc w:val="left"/>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bookmarkStart w:id="150" w:name="_GoBack"/>
      <w:bookmarkEnd w:id="150"/>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rPr>
          <w:rFonts w:ascii="宋体" w:hAnsi="宋体" w:cs="宋体"/>
          <w:b/>
          <w:color w:val="auto"/>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center" w:pos="4439"/>
        </w:tabs>
        <w:jc w:val="left"/>
        <w:rPr>
          <w:color w:val="auto"/>
          <w:highlight w:val="none"/>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r>
        <w:rPr>
          <w:rFonts w:hint="eastAsia"/>
          <w:color w:val="auto"/>
          <w:highlight w:val="none"/>
        </w:rPr>
        <w:tab/>
      </w:r>
    </w:p>
    <w:p>
      <w:pPr>
        <w:pStyle w:val="5"/>
        <w:rPr>
          <w:rFonts w:ascii="宋体" w:hAnsi="宋体" w:cs="宋体"/>
          <w:b/>
          <w:bCs/>
          <w:color w:val="auto"/>
          <w:sz w:val="32"/>
          <w:szCs w:val="32"/>
          <w:highlight w:val="none"/>
        </w:rPr>
      </w:pPr>
      <w:bookmarkStart w:id="3" w:name="_Toc74323456"/>
      <w:r>
        <w:rPr>
          <w:rFonts w:hint="eastAsia"/>
          <w:color w:val="auto"/>
          <w:highlight w:val="none"/>
        </w:rPr>
        <w:t>第一章 竞争性磋商公告</w:t>
      </w:r>
      <w:bookmarkEnd w:id="3"/>
    </w:p>
    <w:p>
      <w:pPr>
        <w:pStyle w:val="18"/>
        <w:jc w:val="center"/>
        <w:rPr>
          <w:rFonts w:hint="eastAsia" w:hAnsi="宋体" w:cs="宋体"/>
          <w:b/>
          <w:color w:val="auto"/>
          <w:sz w:val="32"/>
          <w:szCs w:val="32"/>
          <w:highlight w:val="none"/>
          <w:lang w:eastAsia="zh-CN"/>
        </w:rPr>
      </w:pPr>
      <w:r>
        <w:rPr>
          <w:rFonts w:hint="eastAsia" w:hAnsi="宋体" w:cs="宋体"/>
          <w:b/>
          <w:color w:val="auto"/>
          <w:sz w:val="32"/>
          <w:szCs w:val="32"/>
          <w:highlight w:val="none"/>
        </w:rPr>
        <w:t>广西国泰招标咨询有限公司</w:t>
      </w:r>
      <w:r>
        <w:rPr>
          <w:rFonts w:hint="eastAsia" w:hAnsi="宋体" w:cs="宋体"/>
          <w:b/>
          <w:color w:val="auto"/>
          <w:sz w:val="32"/>
          <w:szCs w:val="32"/>
          <w:highlight w:val="none"/>
          <w:lang w:eastAsia="zh-CN"/>
        </w:rPr>
        <w:t>关于</w:t>
      </w:r>
    </w:p>
    <w:p>
      <w:pPr>
        <w:pStyle w:val="18"/>
        <w:jc w:val="center"/>
        <w:rPr>
          <w:rFonts w:hAnsi="宋体" w:cs="宋体"/>
          <w:b/>
          <w:color w:val="auto"/>
          <w:sz w:val="36"/>
          <w:szCs w:val="36"/>
          <w:highlight w:val="none"/>
        </w:rPr>
      </w:pPr>
      <w:r>
        <w:rPr>
          <w:rFonts w:hint="eastAsia" w:hAnsi="宋体" w:cs="宋体"/>
          <w:b/>
          <w:color w:val="auto"/>
          <w:sz w:val="32"/>
          <w:szCs w:val="32"/>
          <w:highlight w:val="none"/>
          <w:lang w:eastAsia="zh-CN"/>
        </w:rPr>
        <w:t>2024年广西农业信息化系统设计，信息技术咨询、信息系统和其他运行维护项目（重）</w:t>
      </w:r>
      <w:r>
        <w:rPr>
          <w:rFonts w:hint="eastAsia" w:hAnsi="宋体" w:cs="宋体"/>
          <w:b/>
          <w:color w:val="auto"/>
          <w:sz w:val="32"/>
          <w:szCs w:val="32"/>
          <w:highlight w:val="none"/>
        </w:rPr>
        <w:t>（</w:t>
      </w:r>
      <w:r>
        <w:rPr>
          <w:rFonts w:hint="eastAsia" w:hAnsi="宋体" w:cs="宋体"/>
          <w:b/>
          <w:color w:val="auto"/>
          <w:sz w:val="32"/>
          <w:szCs w:val="32"/>
          <w:highlight w:val="none"/>
          <w:lang w:eastAsia="zh-CN"/>
        </w:rPr>
        <w:t>GXZC2024-C3-005487-GTZB</w:t>
      </w:r>
      <w:r>
        <w:rPr>
          <w:rFonts w:hint="eastAsia" w:hAnsi="宋体" w:cs="宋体"/>
          <w:b/>
          <w:color w:val="auto"/>
          <w:sz w:val="32"/>
          <w:szCs w:val="32"/>
          <w:highlight w:val="none"/>
        </w:rPr>
        <w:t>）竞争性磋商公告</w:t>
      </w:r>
    </w:p>
    <w:p>
      <w:pPr>
        <w:spacing w:line="360" w:lineRule="auto"/>
        <w:jc w:val="center"/>
        <w:rPr>
          <w:rFonts w:ascii="宋体" w:hAnsi="宋体" w:cs="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bookmarkStart w:id="4" w:name="_Hlk37430271"/>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2024年广西农业信息化系统设计，信息技术咨询、信息系统和其他运行维护项目（重）</w:t>
      </w:r>
      <w:r>
        <w:rPr>
          <w:rFonts w:hint="eastAsia" w:ascii="宋体" w:hAnsi="宋体" w:cs="宋体"/>
          <w:color w:val="auto"/>
          <w:szCs w:val="21"/>
          <w:highlight w:val="none"/>
        </w:rPr>
        <w:t>采购项目的潜在供应商应在广西政府采购云平台（https://www.gcy.zfcg.gxzf.gov.cn/）获取采购文件，并于</w:t>
      </w:r>
      <w:r>
        <w:rPr>
          <w:rFonts w:hint="eastAsia" w:ascii="宋体" w:hAnsi="宋体" w:cs="宋体"/>
          <w:color w:val="auto"/>
          <w:szCs w:val="21"/>
          <w:highlight w:val="none"/>
          <w:lang w:eastAsia="zh-CN"/>
        </w:rPr>
        <w:t>2024年10月10日</w:t>
      </w:r>
      <w:r>
        <w:rPr>
          <w:rFonts w:hint="eastAsia" w:ascii="宋体" w:hAnsi="宋体" w:cs="宋体"/>
          <w:color w:val="auto"/>
          <w:szCs w:val="21"/>
          <w:highlight w:val="none"/>
        </w:rPr>
        <w:t>09时00分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spacing w:line="360" w:lineRule="auto"/>
        <w:ind w:firstLine="354" w:firstLineChars="147"/>
        <w:rPr>
          <w:rFonts w:ascii="宋体" w:hAnsi="宋体" w:cs="宋体"/>
          <w:b/>
          <w:color w:val="auto"/>
          <w:sz w:val="24"/>
          <w:highlight w:val="none"/>
        </w:rPr>
      </w:pPr>
      <w:bookmarkStart w:id="5" w:name="_Toc44229878"/>
      <w:bookmarkStart w:id="6" w:name="_Toc35393798"/>
      <w:bookmarkStart w:id="7" w:name="_Toc71365905"/>
      <w:bookmarkStart w:id="8" w:name="_Toc28359012"/>
      <w:bookmarkStart w:id="9" w:name="_Toc35393629"/>
      <w:bookmarkStart w:id="10" w:name="_Toc28359089"/>
    </w:p>
    <w:bookmarkEnd w:id="5"/>
    <w:bookmarkEnd w:id="6"/>
    <w:bookmarkEnd w:id="7"/>
    <w:bookmarkEnd w:id="8"/>
    <w:bookmarkEnd w:id="9"/>
    <w:bookmarkEnd w:id="10"/>
    <w:p>
      <w:pPr>
        <w:spacing w:line="360" w:lineRule="auto"/>
        <w:ind w:firstLine="354" w:firstLineChars="147"/>
        <w:rPr>
          <w:rFonts w:ascii="宋体" w:hAnsi="宋体" w:cs="宋体"/>
          <w:b/>
          <w:color w:val="auto"/>
          <w:sz w:val="24"/>
          <w:highlight w:val="none"/>
        </w:rPr>
      </w:pPr>
      <w:bookmarkStart w:id="11" w:name="_Hlk37429674"/>
      <w:bookmarkStart w:id="12" w:name="_Toc44229885"/>
      <w:bookmarkStart w:id="13" w:name="_Toc28359018"/>
      <w:bookmarkStart w:id="14" w:name="_Toc35393805"/>
      <w:bookmarkStart w:id="15" w:name="_Toc28359095"/>
      <w:bookmarkStart w:id="16" w:name="_Toc35393636"/>
      <w:r>
        <w:rPr>
          <w:rFonts w:hint="eastAsia" w:ascii="宋体" w:hAnsi="宋体" w:cs="宋体"/>
          <w:b/>
          <w:color w:val="auto"/>
          <w:sz w:val="24"/>
          <w:highlight w:val="none"/>
        </w:rPr>
        <w:t>一、项目基本情况</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GXZC2024-C3-005487-GTZB</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项目名称：</w:t>
      </w:r>
      <w:r>
        <w:rPr>
          <w:rFonts w:hint="eastAsia" w:ascii="宋体" w:hAnsi="宋体" w:cs="宋体"/>
          <w:color w:val="auto"/>
          <w:szCs w:val="21"/>
          <w:highlight w:val="none"/>
          <w:lang w:val="en-US" w:eastAsia="zh-CN"/>
        </w:rPr>
        <w:t>2024年广西农业信息化系统设计，信息技术咨询、信息系统和其他运行维护项目（重）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olor w:val="auto"/>
          <w:szCs w:val="21"/>
          <w:highlight w:val="none"/>
          <w:lang w:val="en-US" w:eastAsia="zh-CN"/>
        </w:rPr>
        <w:t>20.00</w:t>
      </w:r>
      <w:r>
        <w:rPr>
          <w:rFonts w:hint="eastAsia" w:ascii="宋体" w:hAnsi="宋体" w:cs="宋体"/>
          <w:color w:val="auto"/>
          <w:szCs w:val="21"/>
          <w:highlight w:val="none"/>
        </w:rPr>
        <w:t>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olor w:val="auto"/>
          <w:szCs w:val="21"/>
          <w:highlight w:val="none"/>
          <w:lang w:val="en-US" w:eastAsia="zh-CN"/>
        </w:rPr>
        <w:t>20.00</w:t>
      </w:r>
      <w:r>
        <w:rPr>
          <w:rFonts w:hint="eastAsia" w:ascii="宋体" w:hAnsi="宋体" w:cs="宋体"/>
          <w:color w:val="auto"/>
          <w:szCs w:val="21"/>
          <w:highlight w:val="none"/>
        </w:rPr>
        <w:t>万元</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采购需求：</w:t>
      </w:r>
    </w:p>
    <w:tbl>
      <w:tblPr>
        <w:tblStyle w:val="30"/>
        <w:tblW w:w="470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9"/>
        <w:gridCol w:w="3143"/>
        <w:gridCol w:w="55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color w:val="auto"/>
                <w:highlight w:val="none"/>
              </w:rPr>
              <w:t>序号</w:t>
            </w:r>
          </w:p>
        </w:tc>
        <w:tc>
          <w:tcPr>
            <w:tcW w:w="1655"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highlight w:val="none"/>
                <w:lang w:eastAsia="zh-CN"/>
              </w:rPr>
            </w:pPr>
            <w:r>
              <w:rPr>
                <w:rFonts w:hint="eastAsia"/>
                <w:color w:val="auto"/>
                <w:highlight w:val="none"/>
              </w:rPr>
              <w:t>标</w:t>
            </w:r>
            <w:r>
              <w:rPr>
                <w:rFonts w:hint="eastAsia"/>
                <w:color w:val="auto"/>
                <w:highlight w:val="none"/>
                <w:lang w:eastAsia="zh-CN"/>
              </w:rPr>
              <w:t>项</w:t>
            </w:r>
            <w:r>
              <w:rPr>
                <w:rFonts w:hint="eastAsia"/>
                <w:color w:val="auto"/>
                <w:highlight w:val="none"/>
              </w:rPr>
              <w:t>名称</w:t>
            </w:r>
          </w:p>
        </w:tc>
        <w:tc>
          <w:tcPr>
            <w:tcW w:w="29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color w:val="auto"/>
                <w:highlight w:val="none"/>
              </w:rPr>
              <w:t>简要技术需求或者</w:t>
            </w:r>
            <w:r>
              <w:rPr>
                <w:rFonts w:hint="eastAsia"/>
                <w:color w:val="auto"/>
                <w:highlight w:val="none"/>
                <w:lang w:eastAsia="zh-CN"/>
              </w:rPr>
              <w:t>技术</w:t>
            </w:r>
            <w:r>
              <w:rPr>
                <w:rFonts w:hint="eastAsia"/>
                <w:color w:val="auto"/>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65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eastAsia="宋体"/>
                <w:color w:val="auto"/>
                <w:highlight w:val="none"/>
                <w:lang w:eastAsia="zh-CN"/>
              </w:rPr>
            </w:pPr>
            <w:r>
              <w:rPr>
                <w:rFonts w:hint="default" w:cs="宋体" w:asciiTheme="minorAscii" w:hAnsiTheme="minorAscii"/>
                <w:color w:val="auto"/>
                <w:szCs w:val="21"/>
                <w:highlight w:val="none"/>
              </w:rPr>
              <w:t>农情调度创新发展课题研究</w:t>
            </w:r>
          </w:p>
        </w:tc>
        <w:tc>
          <w:tcPr>
            <w:tcW w:w="2918" w:type="pct"/>
            <w:tcBorders>
              <w:top w:val="single" w:color="auto" w:sz="4" w:space="0"/>
              <w:left w:val="single" w:color="auto" w:sz="4" w:space="0"/>
              <w:bottom w:val="single" w:color="auto" w:sz="4" w:space="0"/>
              <w:right w:val="single" w:color="auto" w:sz="4" w:space="0"/>
            </w:tcBorders>
            <w:vAlign w:val="center"/>
          </w:tcPr>
          <w:p>
            <w:pPr>
              <w:pStyle w:val="76"/>
              <w:widowControl w:val="0"/>
              <w:spacing w:line="300" w:lineRule="exact"/>
              <w:ind w:firstLine="0" w:firstLineChars="0"/>
              <w:rPr>
                <w:rFonts w:hint="eastAsia" w:ascii="宋体" w:hAnsi="宋体" w:cs="宋体"/>
                <w:color w:val="auto"/>
                <w:szCs w:val="21"/>
                <w:highlight w:val="none"/>
                <w:lang w:val="en-US" w:eastAsia="zh-CN"/>
              </w:rPr>
            </w:pPr>
            <w:r>
              <w:rPr>
                <w:rFonts w:hint="default" w:cs="宋体" w:asciiTheme="minorAscii" w:hAnsiTheme="minorAscii"/>
                <w:color w:val="auto"/>
                <w:szCs w:val="21"/>
                <w:highlight w:val="none"/>
              </w:rPr>
              <w:t>农情调度创新发展课题研究</w:t>
            </w:r>
            <w:r>
              <w:rPr>
                <w:rFonts w:hint="eastAsia" w:cs="宋体" w:asciiTheme="minorAscii" w:hAnsiTheme="minorAscii"/>
                <w:color w:val="auto"/>
                <w:szCs w:val="21"/>
                <w:highlight w:val="none"/>
                <w:lang w:val="en-US" w:eastAsia="zh-CN"/>
              </w:rPr>
              <w:t>1项</w:t>
            </w:r>
            <w:r>
              <w:rPr>
                <w:rFonts w:hint="eastAsia" w:ascii="宋体" w:hAnsi="宋体" w:eastAsia="宋体" w:cs="宋体"/>
                <w:color w:val="auto"/>
                <w:kern w:val="2"/>
                <w:sz w:val="21"/>
                <w:szCs w:val="21"/>
                <w:highlight w:val="none"/>
                <w:lang w:val="en-US" w:eastAsia="zh-CN" w:bidi="ar-SA"/>
              </w:rPr>
              <w:t>，</w:t>
            </w:r>
            <w:r>
              <w:rPr>
                <w:rFonts w:hint="eastAsia" w:ascii="宋体" w:hAnsi="宋体"/>
                <w:color w:val="auto"/>
                <w:szCs w:val="21"/>
                <w:highlight w:val="none"/>
              </w:rPr>
              <w:t>具体详见竞争性磋商文件第三章采购需求。</w:t>
            </w:r>
          </w:p>
        </w:tc>
      </w:tr>
    </w:tbl>
    <w:p>
      <w:pPr>
        <w:spacing w:line="360" w:lineRule="auto"/>
        <w:ind w:firstLine="420" w:firstLineChars="200"/>
        <w:rPr>
          <w:color w:val="auto"/>
          <w:highlight w:val="none"/>
        </w:rPr>
      </w:pPr>
      <w:r>
        <w:rPr>
          <w:rFonts w:hint="eastAsia" w:ascii="宋体" w:hAnsi="宋体"/>
          <w:color w:val="auto"/>
          <w:szCs w:val="21"/>
          <w:highlight w:val="none"/>
        </w:rPr>
        <w:t>合同履行期限：</w:t>
      </w:r>
      <w:r>
        <w:rPr>
          <w:rFonts w:hint="eastAsia"/>
          <w:bCs/>
          <w:color w:val="auto"/>
          <w:highlight w:val="none"/>
          <w:lang w:val="en-US" w:eastAsia="zh-CN"/>
        </w:rPr>
        <w:t>详见竞争性磋商文件</w:t>
      </w:r>
      <w:r>
        <w:rPr>
          <w:rFonts w:hint="eastAsia"/>
          <w:bCs/>
          <w:color w:val="auto"/>
          <w:highlight w:val="none"/>
        </w:rPr>
        <w:t>。</w:t>
      </w:r>
    </w:p>
    <w:p>
      <w:pPr>
        <w:spacing w:line="360" w:lineRule="auto"/>
        <w:ind w:firstLine="422" w:firstLineChars="200"/>
        <w:rPr>
          <w:rFonts w:ascii="宋体" w:hAnsi="宋体" w:cs="宋体"/>
          <w:b/>
          <w:bCs/>
          <w:color w:val="auto"/>
          <w:szCs w:val="21"/>
          <w:highlight w:val="none"/>
        </w:rPr>
      </w:pPr>
      <w:r>
        <w:rPr>
          <w:rFonts w:hint="eastAsia" w:ascii="宋体" w:hAnsi="宋体"/>
          <w:b/>
          <w:bCs/>
          <w:color w:val="auto"/>
          <w:szCs w:val="21"/>
          <w:highlight w:val="none"/>
        </w:rPr>
        <w:t>本项目</w:t>
      </w:r>
      <w:r>
        <w:rPr>
          <w:rFonts w:hint="eastAsia" w:ascii="宋体" w:hAnsi="宋体"/>
          <w:b/>
          <w:bCs/>
          <w:color w:val="auto"/>
          <w:szCs w:val="21"/>
          <w:highlight w:val="none"/>
          <w:lang w:eastAsia="zh-CN"/>
        </w:rPr>
        <w:t>不</w:t>
      </w:r>
      <w:r>
        <w:rPr>
          <w:rFonts w:hint="eastAsia" w:ascii="宋体" w:hAnsi="宋体"/>
          <w:b/>
          <w:bCs/>
          <w:color w:val="auto"/>
          <w:szCs w:val="21"/>
          <w:highlight w:val="none"/>
        </w:rPr>
        <w:t>接受联合体。</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二、申请人的资格条件：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专门面向中小企业采购，供应商应为中小微企业或监狱企业或残疾人福利性单位。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无</w:t>
      </w:r>
      <w:r>
        <w:rPr>
          <w:rFonts w:hint="eastAsia" w:ascii="宋体" w:hAnsi="宋体" w:cs="宋体"/>
          <w:color w:val="auto"/>
          <w:szCs w:val="21"/>
          <w:highlight w:val="none"/>
          <w:lang w:val="en-US" w:eastAsia="zh-CN"/>
        </w:rPr>
        <w:t>。</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三、获取竞争性磋商文件</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color w:val="auto"/>
          <w:highlight w:val="none"/>
        </w:rPr>
        <w:t>2024年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24</w:t>
      </w:r>
      <w:r>
        <w:rPr>
          <w:rFonts w:hint="eastAsia" w:ascii="宋体" w:hAnsi="宋体" w:cs="宋体"/>
          <w:color w:val="auto"/>
          <w:highlight w:val="none"/>
        </w:rPr>
        <w:t>日</w:t>
      </w:r>
      <w:r>
        <w:rPr>
          <w:rFonts w:hint="eastAsia" w:ascii="宋体" w:hAnsi="宋体" w:cs="宋体"/>
          <w:color w:val="auto"/>
          <w:szCs w:val="21"/>
          <w:highlight w:val="none"/>
        </w:rPr>
        <w:t>至</w:t>
      </w:r>
      <w:r>
        <w:rPr>
          <w:rFonts w:hint="eastAsia" w:ascii="宋体" w:hAnsi="宋体" w:cs="宋体"/>
          <w:color w:val="auto"/>
          <w:highlight w:val="none"/>
        </w:rPr>
        <w:t>2024年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30</w:t>
      </w:r>
      <w:r>
        <w:rPr>
          <w:rFonts w:hint="eastAsia" w:ascii="宋体" w:hAnsi="宋体" w:cs="宋体"/>
          <w:color w:val="auto"/>
          <w:highlight w:val="none"/>
        </w:rPr>
        <w:t>日</w:t>
      </w:r>
      <w:r>
        <w:rPr>
          <w:rFonts w:hint="eastAsia" w:ascii="宋体" w:hAnsi="宋体" w:cs="宋体"/>
          <w:color w:val="auto"/>
          <w:szCs w:val="21"/>
          <w:highlight w:val="none"/>
        </w:rPr>
        <w:t>，每天上午00:00-12:00；下午1</w:t>
      </w:r>
      <w:r>
        <w:rPr>
          <w:rFonts w:hint="eastAsia" w:ascii="宋体" w:hAnsi="宋体" w:cs="宋体"/>
          <w:color w:val="auto"/>
          <w:highlight w:val="none"/>
        </w:rPr>
        <w:t>2</w:t>
      </w:r>
      <w:r>
        <w:rPr>
          <w:rFonts w:hint="eastAsia" w:ascii="宋体" w:hAnsi="宋体" w:cs="宋体"/>
          <w:color w:val="auto"/>
          <w:szCs w:val="21"/>
          <w:highlight w:val="none"/>
        </w:rPr>
        <w:t>:</w:t>
      </w:r>
      <w:r>
        <w:rPr>
          <w:rFonts w:hint="eastAsia" w:ascii="宋体" w:hAnsi="宋体" w:cs="宋体"/>
          <w:color w:val="auto"/>
          <w:highlight w:val="none"/>
        </w:rPr>
        <w:t>00</w:t>
      </w:r>
      <w:r>
        <w:rPr>
          <w:rFonts w:hint="eastAsia" w:ascii="宋体" w:hAnsi="宋体" w:cs="宋体"/>
          <w:color w:val="auto"/>
          <w:szCs w:val="21"/>
          <w:highlight w:val="none"/>
        </w:rPr>
        <w:t>-23:</w:t>
      </w:r>
      <w:r>
        <w:rPr>
          <w:rFonts w:hint="eastAsia" w:ascii="宋体" w:hAnsi="宋体" w:cs="宋体"/>
          <w:color w:val="auto"/>
          <w:highlight w:val="none"/>
        </w:rPr>
        <w:t>59</w:t>
      </w:r>
      <w:r>
        <w:rPr>
          <w:rFonts w:hint="eastAsia" w:ascii="宋体" w:hAnsi="宋体" w:cs="宋体"/>
          <w:color w:val="auto"/>
          <w:szCs w:val="21"/>
          <w:highlight w:val="none"/>
        </w:rPr>
        <w:t>（北京时间，法定节假日除外）</w:t>
      </w:r>
      <w:r>
        <w:rPr>
          <w:rFonts w:hint="eastAsia" w:ascii="宋体" w:hAnsi="宋体" w:cs="宋体"/>
          <w:bCs/>
          <w:color w:val="auto"/>
          <w:kern w:val="0"/>
          <w:szCs w:val="21"/>
          <w:highlight w:val="none"/>
        </w:rPr>
        <w:t>。</w:t>
      </w:r>
    </w:p>
    <w:p>
      <w:pPr>
        <w:spacing w:line="360" w:lineRule="auto"/>
        <w:ind w:firstLine="420" w:firstLineChars="200"/>
        <w:rPr>
          <w:rFonts w:ascii="宋体" w:hAnsi="宋体" w:cs="宋体"/>
          <w:color w:val="auto"/>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广西政府采购云平台（https://www.gcy.zfcg.gxzf.gov.cn/）。</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方式：网上下载。供应商登录广西政府采购云平台https://www.gcy.zfcg.gxzf.gov.cn/在线申请获取采购文件（进入“项目采购”应用，在获取采购文件菜单中选择项目，申请获取采购文件）。</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四、响应文件提交</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kern w:val="0"/>
          <w:szCs w:val="21"/>
          <w:highlight w:val="none"/>
          <w:lang w:eastAsia="zh-CN"/>
        </w:rPr>
        <w:t>2024年10月10日</w:t>
      </w:r>
      <w:r>
        <w:rPr>
          <w:rFonts w:hint="eastAsia" w:ascii="宋体" w:hAnsi="宋体" w:cs="宋体"/>
          <w:bCs/>
          <w:color w:val="auto"/>
          <w:kern w:val="0"/>
          <w:szCs w:val="21"/>
          <w:highlight w:val="none"/>
        </w:rPr>
        <w:t>09时00分（北京时间）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2、地点：通过广西政府采购云平台（https://www.gcy.zfcg.gxzf.gov.cn/）在线提交。</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五、开启</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1、首次响应文件开启时间：</w:t>
      </w:r>
      <w:r>
        <w:rPr>
          <w:rFonts w:hint="eastAsia" w:ascii="宋体" w:hAnsi="宋体" w:cs="宋体"/>
          <w:bCs/>
          <w:color w:val="auto"/>
          <w:kern w:val="0"/>
          <w:szCs w:val="21"/>
          <w:highlight w:val="none"/>
          <w:lang w:eastAsia="zh-CN"/>
        </w:rPr>
        <w:t>2024年10月10日</w:t>
      </w:r>
      <w:r>
        <w:rPr>
          <w:rFonts w:hint="eastAsia" w:ascii="宋体" w:hAnsi="宋体" w:cs="宋体"/>
          <w:bCs/>
          <w:color w:val="auto"/>
          <w:kern w:val="0"/>
          <w:szCs w:val="21"/>
          <w:highlight w:val="none"/>
        </w:rPr>
        <w:t>09时00分（北京时间）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2、地点：本项目将在广西政府采购云平台电子开标大厅解密、开启。</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六、公告期限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七、其他补充事宜</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1、磋商保证金（人民币）：</w:t>
      </w:r>
      <w:r>
        <w:rPr>
          <w:rFonts w:hint="eastAsia" w:ascii="宋体" w:hAnsi="宋体" w:cs="宋体"/>
          <w:color w:val="auto"/>
          <w:szCs w:val="21"/>
          <w:highlight w:val="none"/>
          <w:lang w:val="en-US" w:eastAsia="zh-CN" w:bidi="ar"/>
        </w:rPr>
        <w:t>2000.00</w:t>
      </w:r>
      <w:r>
        <w:rPr>
          <w:rFonts w:hint="eastAsia" w:ascii="宋体" w:hAnsi="宋体" w:cs="宋体"/>
          <w:color w:val="auto"/>
          <w:szCs w:val="21"/>
          <w:highlight w:val="none"/>
          <w:lang w:bidi="ar"/>
        </w:rPr>
        <w:t>元</w:t>
      </w:r>
      <w:r>
        <w:rPr>
          <w:rFonts w:hint="eastAsia" w:ascii="宋体" w:hAnsi="宋体" w:cs="宋体"/>
          <w:color w:val="auto"/>
          <w:szCs w:val="21"/>
          <w:highlight w:val="none"/>
        </w:rPr>
        <w:t>。</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4、网上查询地址：中国政府采购网（www.ccgp.gov.cn）、广西政府采购网（zfcg.gxzf.gov.cn）。</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5、本项目需要落实的政府采购政策：</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（1）政府采购促进中小企业发展。</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（2）政府采购支持采用本国产品的政策。</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（4）政府采购促进残疾人就业政策。</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（5）政府采购支持监狱企业发展。</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（6）扶持不发达地区和少数民族地区政策</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6、磋商注意事项：</w:t>
      </w:r>
    </w:p>
    <w:bookmarkEnd w:id="11"/>
    <w:p>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本项目为全流程电子化采购项目，通过“广西政府采购云平台”（https://www.gcy.zfcg.gxzf.gov.cn/）实行在线电子竞标，供应商应先安装“广西政府采购云平台新版客户端”（新版客户端下载路径：请自行前往广西政府采购网（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w:t>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客服热线：95763）。</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为确保网上操作合法、有效和安全，请供应商确保在电子投标过程中能够对相关数据电文进行加密和使用电子签章，妥善保管CA数字证书并使用有效的CA数字证书参与整个采购活动。2）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（4）供应商需要在具备有摄像头及语音功能且互联网网络状况良好的电脑登录“广西政府采购云平台”远程开标大厅参与本次磋商，否则后果自负。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12"/>
      <w:bookmarkEnd w:id="13"/>
      <w:bookmarkEnd w:id="14"/>
      <w:bookmarkEnd w:id="15"/>
      <w:bookmarkEnd w:id="16"/>
    </w:p>
    <w:p>
      <w:pPr>
        <w:spacing w:line="360" w:lineRule="auto"/>
        <w:ind w:firstLine="567" w:firstLineChars="270"/>
        <w:jc w:val="left"/>
        <w:rPr>
          <w:rFonts w:hint="eastAsia" w:ascii="宋体" w:hAnsi="宋体" w:cs="宋体"/>
          <w:color w:val="auto"/>
          <w:szCs w:val="21"/>
          <w:highlight w:val="none"/>
        </w:rPr>
      </w:pPr>
      <w:bookmarkStart w:id="17" w:name="_Toc35393806"/>
      <w:bookmarkStart w:id="18" w:name="_Toc28359019"/>
      <w:bookmarkStart w:id="19" w:name="_Toc28359096"/>
      <w:bookmarkStart w:id="20" w:name="_Toc35393637"/>
      <w:r>
        <w:rPr>
          <w:rFonts w:hint="eastAsia" w:ascii="宋体" w:hAnsi="宋体" w:cs="宋体"/>
          <w:color w:val="auto"/>
          <w:szCs w:val="21"/>
          <w:highlight w:val="none"/>
        </w:rPr>
        <w:t>1.采购人信息</w:t>
      </w:r>
    </w:p>
    <w:p>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highlight w:val="none"/>
        </w:rPr>
        <w:t>广西壮族自治区农业信息中心</w:t>
      </w:r>
    </w:p>
    <w:p>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highlight w:val="none"/>
        </w:rPr>
        <w:t>广西南宁市七星路135号</w:t>
      </w:r>
    </w:p>
    <w:p>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联系方式：联系人：</w:t>
      </w:r>
      <w:bookmarkStart w:id="21" w:name="_Toc28359009"/>
      <w:bookmarkStart w:id="22" w:name="_Toc28359086"/>
      <w:r>
        <w:rPr>
          <w:rFonts w:hint="eastAsia" w:ascii="宋体" w:hAnsi="宋体" w:cs="宋体"/>
          <w:color w:val="auto"/>
          <w:szCs w:val="21"/>
          <w:highlight w:val="none"/>
          <w:lang w:eastAsia="zh-CN"/>
        </w:rPr>
        <w:t>陈劲欢</w:t>
      </w:r>
      <w:r>
        <w:rPr>
          <w:rFonts w:hint="eastAsia" w:ascii="宋体" w:hAnsi="宋体" w:cs="宋体"/>
          <w:color w:val="auto"/>
          <w:szCs w:val="21"/>
          <w:highlight w:val="none"/>
        </w:rPr>
        <w:t>，联系电话： 0771-2182853</w:t>
      </w:r>
    </w:p>
    <w:p>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21"/>
      <w:bookmarkEnd w:id="22"/>
    </w:p>
    <w:p>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名 称：广西国泰招标咨询有限公司</w:t>
      </w:r>
    </w:p>
    <w:p>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地　址：广西南宁市民族大道141号中鼎万象东方大厦D区</w:t>
      </w:r>
      <w:r>
        <w:rPr>
          <w:rFonts w:hint="eastAsia" w:ascii="宋体" w:hAnsi="宋体" w:cs="宋体"/>
          <w:color w:val="auto"/>
          <w:highlight w:val="none"/>
        </w:rPr>
        <w:t>六</w:t>
      </w:r>
      <w:r>
        <w:rPr>
          <w:rFonts w:hint="eastAsia" w:ascii="宋体" w:hAnsi="宋体" w:cs="宋体"/>
          <w:color w:val="auto"/>
          <w:szCs w:val="21"/>
          <w:highlight w:val="none"/>
        </w:rPr>
        <w:t>层D</w:t>
      </w:r>
      <w:r>
        <w:rPr>
          <w:rFonts w:hint="eastAsia" w:ascii="宋体" w:hAnsi="宋体" w:cs="宋体"/>
          <w:color w:val="auto"/>
          <w:highlight w:val="none"/>
        </w:rPr>
        <w:t>607</w:t>
      </w:r>
    </w:p>
    <w:p>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联系方式：</w:t>
      </w:r>
      <w:bookmarkStart w:id="23" w:name="_Toc28359087"/>
      <w:bookmarkStart w:id="24" w:name="_Toc28359010"/>
      <w:r>
        <w:rPr>
          <w:rFonts w:hint="eastAsia" w:ascii="宋体" w:hAnsi="宋体" w:cs="宋体"/>
          <w:color w:val="auto"/>
          <w:szCs w:val="21"/>
          <w:highlight w:val="none"/>
        </w:rPr>
        <w:t>　联系人：黄</w:t>
      </w:r>
      <w:r>
        <w:rPr>
          <w:rFonts w:hint="eastAsia" w:ascii="宋体" w:hAnsi="宋体" w:cs="宋体"/>
          <w:color w:val="auto"/>
          <w:szCs w:val="21"/>
          <w:highlight w:val="none"/>
          <w:lang w:eastAsia="zh-CN"/>
        </w:rPr>
        <w:t>柳娜</w:t>
      </w:r>
      <w:r>
        <w:rPr>
          <w:rFonts w:hint="eastAsia" w:ascii="宋体" w:hAnsi="宋体" w:cs="宋体"/>
          <w:color w:val="auto"/>
          <w:szCs w:val="21"/>
          <w:highlight w:val="none"/>
        </w:rPr>
        <w:t>；联系电话：0771-2023496</w:t>
      </w:r>
    </w:p>
    <w:p>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3.项目联系方式</w:t>
      </w:r>
      <w:bookmarkEnd w:id="23"/>
      <w:bookmarkEnd w:id="24"/>
    </w:p>
    <w:p>
      <w:pPr>
        <w:pStyle w:val="18"/>
        <w:spacing w:line="360" w:lineRule="auto"/>
        <w:ind w:firstLine="567" w:firstLineChars="270"/>
        <w:rPr>
          <w:rFonts w:hint="eastAsia" w:hAnsi="宋体" w:cs="宋体"/>
          <w:color w:val="auto"/>
          <w:sz w:val="21"/>
          <w:highlight w:val="none"/>
        </w:rPr>
      </w:pPr>
      <w:r>
        <w:rPr>
          <w:rFonts w:hint="eastAsia" w:hAnsi="宋体" w:cs="宋体"/>
          <w:color w:val="auto"/>
          <w:sz w:val="21"/>
          <w:highlight w:val="none"/>
        </w:rPr>
        <w:t>项目联系人：</w:t>
      </w:r>
      <w:r>
        <w:rPr>
          <w:rFonts w:hint="eastAsia" w:ascii="宋体" w:hAnsi="宋体" w:cs="宋体"/>
          <w:color w:val="auto"/>
          <w:szCs w:val="21"/>
          <w:highlight w:val="none"/>
        </w:rPr>
        <w:t>黄</w:t>
      </w:r>
      <w:r>
        <w:rPr>
          <w:rFonts w:hint="eastAsia" w:ascii="宋体" w:hAnsi="宋体" w:cs="宋体"/>
          <w:color w:val="auto"/>
          <w:szCs w:val="21"/>
          <w:highlight w:val="none"/>
          <w:lang w:eastAsia="zh-CN"/>
        </w:rPr>
        <w:t>柳娜</w:t>
      </w:r>
      <w:r>
        <w:rPr>
          <w:rFonts w:hint="eastAsia" w:hAnsi="宋体" w:cs="宋体"/>
          <w:color w:val="auto"/>
          <w:sz w:val="21"/>
          <w:highlight w:val="none"/>
        </w:rPr>
        <w:t xml:space="preserve">     </w:t>
      </w:r>
    </w:p>
    <w:p>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电　话：0771-2023496　　　　　　　　　　</w:t>
      </w:r>
    </w:p>
    <w:p>
      <w:pPr>
        <w:spacing w:line="380" w:lineRule="exact"/>
        <w:ind w:firstLine="6195" w:firstLineChars="2950"/>
        <w:rPr>
          <w:rFonts w:ascii="宋体" w:hAnsi="宋体" w:cs="宋体"/>
          <w:color w:val="auto"/>
          <w:szCs w:val="21"/>
          <w:highlight w:val="none"/>
        </w:rPr>
      </w:pPr>
    </w:p>
    <w:p>
      <w:pPr>
        <w:spacing w:line="380" w:lineRule="exact"/>
        <w:ind w:firstLine="6195" w:firstLineChars="2950"/>
        <w:rPr>
          <w:rFonts w:ascii="宋体" w:hAnsi="宋体" w:cs="宋体"/>
          <w:color w:val="auto"/>
          <w:szCs w:val="21"/>
          <w:highlight w:val="none"/>
        </w:rPr>
      </w:pPr>
    </w:p>
    <w:p>
      <w:pPr>
        <w:spacing w:line="360" w:lineRule="auto"/>
        <w:ind w:firstLine="6232" w:firstLineChars="2968"/>
        <w:rPr>
          <w:rFonts w:ascii="宋体" w:hAnsi="宋体" w:cs="宋体"/>
          <w:color w:val="auto"/>
          <w:szCs w:val="21"/>
          <w:highlight w:val="none"/>
        </w:rPr>
      </w:pPr>
      <w:r>
        <w:rPr>
          <w:rFonts w:hint="eastAsia" w:ascii="宋体" w:hAnsi="宋体" w:cs="宋体"/>
          <w:color w:val="auto"/>
          <w:szCs w:val="21"/>
          <w:highlight w:val="none"/>
        </w:rPr>
        <w:t>广西国泰招标咨询有限公司</w:t>
      </w:r>
    </w:p>
    <w:p>
      <w:pPr>
        <w:spacing w:line="360" w:lineRule="auto"/>
        <w:ind w:firstLine="567" w:firstLineChars="270"/>
        <w:jc w:val="center"/>
        <w:rPr>
          <w:rFonts w:ascii="宋体" w:hAnsi="宋体" w:cs="宋体"/>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bookmarkEnd w:id="4"/>
      <w:bookmarkEnd w:id="17"/>
      <w:bookmarkEnd w:id="18"/>
      <w:bookmarkEnd w:id="19"/>
      <w:bookmarkEnd w:id="20"/>
      <w:r>
        <w:rPr>
          <w:rFonts w:hint="eastAsia" w:ascii="宋体" w:hAnsi="宋体" w:cs="宋体"/>
          <w:b/>
          <w:bCs/>
          <w:color w:val="auto"/>
          <w:sz w:val="32"/>
          <w:szCs w:val="32"/>
          <w:highlight w:val="none"/>
        </w:rPr>
        <w:br w:type="page"/>
      </w:r>
      <w:bookmarkStart w:id="25" w:name="_Toc74323457"/>
      <w:r>
        <w:rPr>
          <w:rStyle w:val="38"/>
          <w:rFonts w:hint="eastAsia"/>
          <w:color w:val="auto"/>
          <w:highlight w:val="none"/>
        </w:rPr>
        <w:t>第二章 供应商须知</w:t>
      </w:r>
      <w:bookmarkEnd w:id="25"/>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p>
      <w:pPr>
        <w:spacing w:line="400" w:lineRule="exact"/>
        <w:jc w:val="center"/>
        <w:rPr>
          <w:rFonts w:ascii="宋体" w:hAnsi="宋体" w:cs="宋体"/>
          <w:b/>
          <w:color w:val="auto"/>
          <w:sz w:val="32"/>
          <w:szCs w:val="32"/>
          <w:highlight w:val="none"/>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627"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627" w:type="dxa"/>
            <w:vAlign w:val="center"/>
          </w:tcPr>
          <w:p>
            <w:pPr>
              <w:spacing w:line="360" w:lineRule="auto"/>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8627"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8627"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如接受联合体竞标，联合体竞标要求如下：</w:t>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1、两个以上供应商可以组成一个竞标联合体，以一个供应商的身份共同参加竞标，联合体供应商的名称应统一按“XXX 公司与 XXX 公司的联合体”的规则填写。</w:t>
            </w:r>
            <w:r>
              <w:rPr>
                <w:rFonts w:hint="eastAsia" w:ascii="宋体" w:hAnsi="宋体" w:cs="宋体"/>
                <w:color w:val="auto"/>
                <w:szCs w:val="21"/>
                <w:highlight w:val="none"/>
              </w:rPr>
              <w:tab/>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宋体" w:hAnsi="宋体" w:cs="宋体"/>
                <w:color w:val="auto"/>
                <w:szCs w:val="21"/>
                <w:highlight w:val="none"/>
              </w:rPr>
              <w:tab/>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color w:val="auto"/>
                <w:szCs w:val="21"/>
                <w:highlight w:val="none"/>
              </w:rPr>
              <w:tab/>
            </w:r>
            <w:r>
              <w:rPr>
                <w:rFonts w:hint="eastAsia" w:ascii="宋体" w:hAnsi="宋体" w:cs="宋体"/>
                <w:color w:val="auto"/>
                <w:szCs w:val="21"/>
                <w:highlight w:val="none"/>
              </w:rPr>
              <w:tab/>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5、联合体中有同类资质的供应商按照联合体分工承担相同工作的，应当按照资质等级较低的供应商确定资质等级。</w:t>
            </w:r>
            <w:r>
              <w:rPr>
                <w:rFonts w:hint="eastAsia" w:ascii="宋体" w:hAnsi="宋体" w:cs="宋体"/>
                <w:color w:val="auto"/>
                <w:szCs w:val="21"/>
                <w:highlight w:val="none"/>
              </w:rPr>
              <w:tab/>
            </w:r>
            <w:r>
              <w:rPr>
                <w:rFonts w:hint="eastAsia" w:ascii="宋体" w:hAnsi="宋体" w:cs="宋体"/>
                <w:color w:val="auto"/>
                <w:szCs w:val="21"/>
                <w:highlight w:val="none"/>
              </w:rPr>
              <w:tab/>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6、联合体各方均应按照竞争性磋商文件的规定提交资格证明文件。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8627" w:type="dxa"/>
            <w:vAlign w:val="center"/>
          </w:tcPr>
          <w:p>
            <w:pPr>
              <w:pStyle w:val="14"/>
              <w:spacing w:line="400" w:lineRule="exact"/>
              <w:rPr>
                <w:rFonts w:ascii="宋体" w:hAnsi="宋体" w:cs="宋体"/>
                <w:color w:val="auto"/>
                <w:szCs w:val="21"/>
                <w:highlight w:val="none"/>
              </w:rPr>
            </w:pPr>
            <w:r>
              <w:rPr>
                <w:rFonts w:hint="eastAsia" w:ascii="宋体" w:hAnsi="宋体" w:cs="宋体"/>
                <w:color w:val="auto"/>
                <w:szCs w:val="21"/>
                <w:highlight w:val="none"/>
              </w:rPr>
              <w:t>本项目不允许分包。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8627" w:type="dxa"/>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color w:val="auto"/>
                <w:szCs w:val="21"/>
                <w:highlight w:val="none"/>
                <w:lang w:val="en-US" w:eastAsia="zh-CN"/>
              </w:rPr>
              <w:t>2023年度</w:t>
            </w:r>
            <w:r>
              <w:rPr>
                <w:rFonts w:hint="eastAsia" w:ascii="宋体" w:hAnsi="宋体" w:cs="宋体"/>
                <w:color w:val="auto"/>
                <w:szCs w:val="21"/>
                <w:highlight w:val="none"/>
              </w:rPr>
              <w:t>财务报表复印件或者银行出具的资信证明；供应商属于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，需提供成立之日起至响应文件提交截止时间前的月报表</w:t>
            </w:r>
            <w:r>
              <w:rPr>
                <w:rFonts w:hint="eastAsia" w:ascii="宋体" w:hAnsi="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8、中小企业声明函或由省级以上监狱管理局、戒毒管理局（含新疆生产建设兵团）出具的属于监狱企业的证明文件或残疾人福利性单位声明函（格式后附）；（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、除磋商文件规定必须提供以外，供应商认为需要提供的其他证明材料；</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2、竞标声明必须由法定代表人在规定签章处签字并加盖供应商公章，否则响应文件按无效响应处理。</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p>
            <w:pPr>
              <w:pStyle w:val="14"/>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4、联合体竞标时，第1-5项资格证明文件联合体各方均必须分别提供，联合体各方分别盖章和签字，否则响应文件按无效响应处理。</w:t>
            </w:r>
          </w:p>
          <w:p>
            <w:pPr>
              <w:pStyle w:val="14"/>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5、分公司参加竞标的，应当取得总公司授权，否则响应文件按无效响应处理。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627" w:type="dxa"/>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报价商务技术文件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4、授权委托书及委托代理人有效身份证正反面复印件（格式后附）；（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5、磋商保证金提交凭证；（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7、服务方案（格式自拟）；（</w:t>
            </w:r>
            <w:r>
              <w:rPr>
                <w:rFonts w:hint="eastAsia" w:ascii="宋体" w:hAnsi="宋体" w:cs="宋体"/>
                <w:b/>
                <w:color w:val="auto"/>
                <w:szCs w:val="21"/>
                <w:highlight w:val="none"/>
              </w:rPr>
              <w:t>根据竞争性磋商文件的要求提供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9、项目实施人员一览表（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10、对应采购需求的技术要求、商务要求提供的其他文件资料（格式自拟）；</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11、供应商认为需要提供的其他有关资料。</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627" w:type="dxa"/>
            <w:vAlign w:val="center"/>
          </w:tcPr>
          <w:p>
            <w:p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8627"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竞标有效期：首次响应文件提交截止之日起60天内。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627"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本项目收取磋商保证金，具体规定如下：</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lang w:val="en-US" w:eastAsia="zh-CN"/>
              </w:rPr>
              <w:t>2000.00</w:t>
            </w:r>
            <w:r>
              <w:rPr>
                <w:rFonts w:hint="eastAsia" w:ascii="宋体" w:hAnsi="宋体" w:cs="宋体"/>
                <w:color w:val="auto"/>
                <w:kern w:val="0"/>
                <w:szCs w:val="21"/>
                <w:highlight w:val="none"/>
              </w:rPr>
              <w:t>元。</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磋商保证金的交纳方式：银行转账、支票、汇票、本票或者金融、担保金融、担保机构出具的保函，禁止采用现钞方式。采用银行转账方式的，在响应文件提交截止时间前交至指定账户并且到账（开户银行：</w:t>
            </w:r>
            <w:r>
              <w:rPr>
                <w:rFonts w:hint="eastAsia" w:ascii="宋体" w:hAnsi="宋体" w:cs="宋体"/>
                <w:color w:val="auto"/>
                <w:kern w:val="0"/>
                <w:szCs w:val="21"/>
                <w:highlight w:val="none"/>
                <w:u w:val="single"/>
              </w:rPr>
              <w:t xml:space="preserve"> 广西北部湾银行股份有限公司南宁分行</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 xml:space="preserve"> 广西国泰招标咨询有限公司</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 xml:space="preserve"> 0101012090615711</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）；采用支票、汇票、本票或者保函等方式的，在响应文件提交截止时间前，供应商必须提交支票、汇票、本票或者保函原件。否则视为无效磋商保证金。</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b/>
                <w:color w:val="auto"/>
                <w:szCs w:val="21"/>
                <w:highlight w:val="none"/>
              </w:rPr>
              <w:t>供应商必须在首次响应文件提交截止时间前将支票、汇票、本票或者金融、担保机构出具的保函原件提交给采购代理机构，由采购代理机构向供应商出具回执，并妥善保管。</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p>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6、保证金凭证应注明正确的项目编号、分标号（如有）等信息，否则，信息不明确或有误的将可能被视为无效磋商保证金，并有可能影响保证金的及时退付。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18.2</w:t>
            </w:r>
          </w:p>
        </w:tc>
        <w:tc>
          <w:tcPr>
            <w:tcW w:w="8627"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响应文件应按资格证明文件、报价商务技术文件分别编制，并按广西政府采购云平台的要求编制、加密、上传。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627" w:type="dxa"/>
            <w:vAlign w:val="center"/>
          </w:tcPr>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627" w:type="dxa"/>
            <w:vAlign w:val="center"/>
          </w:tcPr>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磋商小组的人数：3人。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25.2</w:t>
            </w:r>
          </w:p>
        </w:tc>
        <w:tc>
          <w:tcPr>
            <w:tcW w:w="862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862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92" w:type="dxa"/>
            <w:vMerge w:val="continue"/>
            <w:vAlign w:val="center"/>
          </w:tcPr>
          <w:p>
            <w:pPr>
              <w:spacing w:line="360" w:lineRule="auto"/>
              <w:jc w:val="center"/>
              <w:rPr>
                <w:rFonts w:ascii="宋体" w:hAnsi="宋体" w:cs="宋体"/>
                <w:color w:val="auto"/>
                <w:szCs w:val="21"/>
                <w:highlight w:val="none"/>
              </w:rPr>
            </w:pPr>
          </w:p>
        </w:tc>
        <w:tc>
          <w:tcPr>
            <w:tcW w:w="8627" w:type="dxa"/>
            <w:vAlign w:val="center"/>
          </w:tcPr>
          <w:p>
            <w:pPr>
              <w:pStyle w:val="14"/>
              <w:spacing w:line="320" w:lineRule="exact"/>
              <w:jc w:val="both"/>
              <w:rPr>
                <w:rFonts w:ascii="宋体" w:hAnsi="宋体" w:cs="宋体"/>
                <w:color w:val="auto"/>
                <w:szCs w:val="21"/>
                <w:highlight w:val="none"/>
              </w:rPr>
            </w:pPr>
            <w:r>
              <w:rPr>
                <w:rFonts w:hint="eastAsia" w:ascii="宋体" w:hAnsi="宋体" w:cs="宋体"/>
                <w:color w:val="auto"/>
                <w:szCs w:val="21"/>
                <w:highlight w:val="none"/>
              </w:rPr>
              <w:t>磋商的顺序：按“广西政府采购云平台”系统的编号顺序。</w:t>
            </w:r>
          </w:p>
          <w:p>
            <w:pPr>
              <w:pStyle w:val="14"/>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符合磋商资格的供应商必须在接到磋商通知后规定时间内参加磋商，未在规定时间内参加磋商的视同放弃参加磋商权利，其响应文件按无效响应处理。</w:t>
            </w:r>
          </w:p>
          <w:p>
            <w:pPr>
              <w:pStyle w:val="14"/>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注：参与磋商前，供应商法定代表人或者委托代理人向磋商小组出示本人有效证件原件[有效证件可以是身份证（含临时身份证明）或者护照的其中一项]。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8627" w:type="dxa"/>
            <w:vAlign w:val="center"/>
          </w:tcPr>
          <w:p>
            <w:pPr>
              <w:autoSpaceDE w:val="0"/>
              <w:autoSpaceDN w:val="0"/>
              <w:snapToGrid w:val="0"/>
              <w:spacing w:line="360" w:lineRule="auto"/>
              <w:textAlignment w:val="bottom"/>
              <w:rPr>
                <w:rFonts w:hint="eastAsia" w:ascii="宋体" w:hAnsi="宋体" w:eastAsia="宋体" w:cs="宋体"/>
                <w:color w:val="auto"/>
                <w:szCs w:val="21"/>
                <w:highlight w:val="none"/>
                <w:lang w:eastAsia="zh-CN"/>
              </w:rPr>
            </w:pPr>
            <w:r>
              <w:rPr>
                <w:rFonts w:hint="eastAsia" w:ascii="宋体" w:hAnsi="宋体"/>
                <w:color w:val="auto"/>
                <w:szCs w:val="21"/>
                <w:highlight w:val="none"/>
              </w:rPr>
              <w:t>本项目</w:t>
            </w:r>
            <w:r>
              <w:rPr>
                <w:rFonts w:hint="eastAsia" w:ascii="宋体" w:hAnsi="宋体"/>
                <w:color w:val="auto"/>
                <w:szCs w:val="21"/>
                <w:highlight w:val="none"/>
                <w:lang w:eastAsia="zh-CN"/>
              </w:rPr>
              <w:t>不</w:t>
            </w:r>
            <w:r>
              <w:rPr>
                <w:rFonts w:hint="eastAsia" w:ascii="宋体" w:hAnsi="宋体"/>
                <w:color w:val="auto"/>
                <w:szCs w:val="21"/>
                <w:highlight w:val="none"/>
              </w:rPr>
              <w:t>收取履约保证金</w:t>
            </w:r>
            <w:r>
              <w:rPr>
                <w:rFonts w:hint="eastAsia" w:ascii="宋体" w:hAnsi="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8627" w:type="dxa"/>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1、委托代理人负责签订合同的，须携带授权委托书及委托代理人身份证原件等其他资格证件。</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8627" w:type="dxa"/>
            <w:vAlign w:val="center"/>
          </w:tcPr>
          <w:p>
            <w:pPr>
              <w:pStyle w:val="18"/>
              <w:snapToGrid w:val="0"/>
              <w:spacing w:line="360" w:lineRule="auto"/>
              <w:rPr>
                <w:rFonts w:hAnsi="宋体" w:cs="宋体"/>
                <w:color w:val="auto"/>
                <w:sz w:val="21"/>
                <w:highlight w:val="none"/>
              </w:rPr>
            </w:pPr>
            <w:r>
              <w:rPr>
                <w:rFonts w:hint="eastAsia" w:hAnsi="宋体" w:cs="宋体"/>
                <w:color w:val="auto"/>
                <w:sz w:val="21"/>
                <w:highlight w:val="none"/>
              </w:rPr>
              <w:t>接收质疑函方式：以纸质书面形式。</w:t>
            </w:r>
          </w:p>
          <w:p>
            <w:pPr>
              <w:pStyle w:val="18"/>
              <w:snapToGrid w:val="0"/>
              <w:spacing w:line="360" w:lineRule="auto"/>
              <w:rPr>
                <w:rFonts w:hAnsi="宋体" w:cs="宋体"/>
                <w:color w:val="auto"/>
                <w:sz w:val="21"/>
                <w:highlight w:val="none"/>
              </w:rPr>
            </w:pPr>
            <w:r>
              <w:rPr>
                <w:rFonts w:hint="eastAsia" w:hAnsi="宋体" w:cs="宋体"/>
                <w:color w:val="auto"/>
                <w:sz w:val="21"/>
                <w:highlight w:val="none"/>
              </w:rPr>
              <w:t>质疑联系部门及联系方式：广西国泰招标咨询有限公司，质疑联系人：黄柳娜  联系电话：0771-2023496，通讯地址：广西南宁市民族大道141号中鼎万象东方大厦C区六层</w:t>
            </w:r>
          </w:p>
          <w:p>
            <w:pPr>
              <w:pStyle w:val="18"/>
              <w:snapToGrid w:val="0"/>
              <w:spacing w:line="360" w:lineRule="auto"/>
              <w:rPr>
                <w:rFonts w:hAnsi="宋体" w:cs="宋体"/>
                <w:color w:val="auto"/>
                <w:highlight w:val="none"/>
              </w:rPr>
            </w:pPr>
            <w:r>
              <w:rPr>
                <w:rFonts w:hint="eastAsia" w:hAnsi="宋体" w:cs="宋体"/>
                <w:color w:val="auto"/>
                <w:sz w:val="21"/>
                <w:highlight w:val="none"/>
              </w:rPr>
              <w:t>现场提交质疑办理业务时间：工作日，上午8:00-12:00；下午15:00-18:00（北京时间）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8627" w:type="dxa"/>
            <w:vAlign w:val="center"/>
          </w:tcPr>
          <w:p>
            <w:pPr>
              <w:pStyle w:val="18"/>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1、采购代理服务费支付方式：</w:t>
            </w:r>
            <w:r>
              <w:rPr>
                <w:rFonts w:hint="eastAsia" w:hAnsi="宋体"/>
                <w:color w:val="auto"/>
                <w:sz w:val="21"/>
                <w:highlight w:val="none"/>
                <w:lang w:val="en-US" w:eastAsia="zh-CN"/>
              </w:rPr>
              <w:t>本项目的招标代理服务费按以下收费标准向</w:t>
            </w:r>
            <w:r>
              <w:rPr>
                <w:rFonts w:hint="eastAsia" w:hAnsi="宋体" w:cs="宋体"/>
                <w:color w:val="auto"/>
                <w:sz w:val="21"/>
                <w:highlight w:val="none"/>
                <w:lang w:val="en-US" w:eastAsia="zh-CN"/>
              </w:rPr>
              <w:t>成交供应商</w:t>
            </w:r>
            <w:r>
              <w:rPr>
                <w:rFonts w:hint="eastAsia" w:hAnsi="宋体"/>
                <w:color w:val="auto"/>
                <w:sz w:val="21"/>
                <w:highlight w:val="none"/>
                <w:lang w:val="en-US" w:eastAsia="zh-CN"/>
              </w:rPr>
              <w:t>收取，领取成交通知书前，</w:t>
            </w:r>
            <w:r>
              <w:rPr>
                <w:rFonts w:hint="eastAsia" w:hAnsi="宋体" w:cs="宋体"/>
                <w:color w:val="auto"/>
                <w:sz w:val="21"/>
                <w:highlight w:val="none"/>
                <w:lang w:val="en-US" w:eastAsia="zh-CN"/>
              </w:rPr>
              <w:t>成交供应商</w:t>
            </w:r>
            <w:r>
              <w:rPr>
                <w:rFonts w:hint="eastAsia" w:hAnsi="宋体"/>
                <w:color w:val="auto"/>
                <w:sz w:val="21"/>
                <w:highlight w:val="none"/>
                <w:lang w:val="en-US" w:eastAsia="zh-CN"/>
              </w:rPr>
              <w:t>应向采购代理机构一次付清招标代理服务费，否则采购代理机构有权不予以办理。</w:t>
            </w:r>
          </w:p>
          <w:p>
            <w:pPr>
              <w:pStyle w:val="18"/>
              <w:snapToGrid w:val="0"/>
              <w:spacing w:line="400" w:lineRule="exact"/>
              <w:rPr>
                <w:rFonts w:hAnsi="宋体" w:cs="宋体"/>
                <w:color w:val="auto"/>
                <w:sz w:val="21"/>
                <w:highlight w:val="none"/>
                <w:lang w:val="en-US" w:eastAsia="zh-CN"/>
              </w:rPr>
            </w:pPr>
            <w:r>
              <w:rPr>
                <w:rFonts w:hint="eastAsia" w:hAnsi="宋体" w:cs="宋体"/>
                <w:color w:val="auto"/>
                <w:sz w:val="21"/>
                <w:highlight w:val="none"/>
                <w:lang w:val="en-US" w:eastAsia="zh-CN"/>
              </w:rPr>
              <w:t>2、采购代理服务费收取标准：以成交金额为计费额，按本须知正文第</w:t>
            </w:r>
            <w:r>
              <w:rPr>
                <w:rFonts w:hAnsi="宋体" w:cs="宋体"/>
                <w:color w:val="auto"/>
                <w:sz w:val="21"/>
                <w:highlight w:val="none"/>
                <w:lang w:val="en-US" w:eastAsia="zh-CN"/>
              </w:rPr>
              <w:t>32</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w:t>
            </w:r>
            <w:r>
              <w:rPr>
                <w:rFonts w:hint="eastAsia" w:hAnsi="宋体" w:cs="宋体"/>
                <w:b/>
                <w:color w:val="auto"/>
                <w:sz w:val="21"/>
                <w:highlight w:val="none"/>
                <w:lang w:val="en-US" w:eastAsia="zh-CN"/>
              </w:rPr>
              <w:t>服务类</w:t>
            </w:r>
            <w:r>
              <w:rPr>
                <w:rFonts w:hint="eastAsia" w:hAnsi="宋体" w:cs="宋体"/>
                <w:color w:val="auto"/>
                <w:sz w:val="21"/>
                <w:highlight w:val="none"/>
                <w:lang w:val="en-US" w:eastAsia="zh-CN"/>
              </w:rPr>
              <w:t>）采用差额定率累进法计算出收费基准价格，采购代理服务费收费按收费基准价格收取。</w:t>
            </w:r>
          </w:p>
          <w:p>
            <w:pPr>
              <w:pStyle w:val="18"/>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3、代理服务费缴费账户信息：</w:t>
            </w:r>
          </w:p>
          <w:p>
            <w:pPr>
              <w:pStyle w:val="18"/>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开户名称：广西国泰招标咨询有限公司南宁第五分公司</w:t>
            </w:r>
          </w:p>
          <w:p>
            <w:pPr>
              <w:pStyle w:val="18"/>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开户银行：广西北部湾银行股份有限公司南宁市云景支行</w:t>
            </w:r>
          </w:p>
          <w:p>
            <w:pPr>
              <w:pStyle w:val="18"/>
              <w:snapToGrid w:val="0"/>
              <w:spacing w:line="400" w:lineRule="exact"/>
              <w:rPr>
                <w:rFonts w:hAnsi="宋体" w:cs="宋体"/>
                <w:color w:val="auto"/>
                <w:sz w:val="21"/>
                <w:highlight w:val="none"/>
              </w:rPr>
            </w:pPr>
            <w:r>
              <w:rPr>
                <w:rFonts w:hint="eastAsia" w:hAnsi="宋体" w:cs="宋体"/>
                <w:color w:val="auto"/>
                <w:sz w:val="21"/>
                <w:highlight w:val="none"/>
                <w:lang w:val="en-US" w:eastAsia="zh-CN"/>
              </w:rPr>
              <w:t>银行账号：805022302700001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8627" w:type="dxa"/>
            <w:vAlign w:val="center"/>
          </w:tcPr>
          <w:p>
            <w:pPr>
              <w:pStyle w:val="18"/>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8627" w:type="dxa"/>
            <w:vAlign w:val="center"/>
          </w:tcPr>
          <w:p>
            <w:pPr>
              <w:pStyle w:val="18"/>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pPr>
              <w:pStyle w:val="18"/>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pPr>
              <w:pStyle w:val="18"/>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3、本磋商文件中描述供应商的“签字”是指供应商的法定代表人或者委托代理人在文件规定签署处签名（含电子签名）的行为，私章、印鉴等其他形式均不能代替签字。</w:t>
            </w:r>
          </w:p>
          <w:p>
            <w:pPr>
              <w:pStyle w:val="18"/>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pPr>
              <w:pStyle w:val="18"/>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pPr>
        <w:spacing w:line="400" w:lineRule="exact"/>
        <w:jc w:val="center"/>
        <w:rPr>
          <w:rFonts w:ascii="宋体" w:hAnsi="宋体" w:cs="宋体"/>
          <w:b/>
          <w:color w:val="auto"/>
          <w:sz w:val="32"/>
          <w:szCs w:val="32"/>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一、总则</w:t>
      </w:r>
    </w:p>
    <w:p>
      <w:pPr>
        <w:spacing w:line="400" w:lineRule="exact"/>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26" w:name="_Hlk66782192"/>
      <w:r>
        <w:rPr>
          <w:rFonts w:hint="eastAsia" w:ascii="宋体" w:hAnsi="宋体" w:cs="宋体"/>
          <w:color w:val="auto"/>
          <w:szCs w:val="21"/>
          <w:highlight w:val="none"/>
        </w:rPr>
        <w:t>根据</w:t>
      </w:r>
      <w:r>
        <w:rPr>
          <w:rFonts w:hint="eastAsia" w:ascii="宋体" w:hAnsi="宋体" w:eastAsia="宋体" w:cs="宋体"/>
          <w:color w:val="auto"/>
          <w:kern w:val="2"/>
          <w:sz w:val="21"/>
          <w:szCs w:val="21"/>
          <w:highlight w:val="none"/>
          <w:lang w:val="en-US" w:eastAsia="zh-CN" w:bidi="ar-SA"/>
        </w:rPr>
        <w:t>《政府采购促进中小企业发展管理办法》（财库〔2020〕46号）第九条第二款以及《广西壮族自治区财政厅关于持续优化政府采购营商环境推动高质量发展的通知》（桂财采〔2024〕55号）</w:t>
      </w:r>
      <w:r>
        <w:rPr>
          <w:rFonts w:hint="eastAsia" w:ascii="宋体" w:hAnsi="宋体" w:cs="宋体"/>
          <w:bCs/>
          <w:color w:val="auto"/>
          <w:szCs w:val="21"/>
          <w:highlight w:val="none"/>
        </w:rPr>
        <w:t>的</w:t>
      </w:r>
      <w:r>
        <w:rPr>
          <w:rFonts w:hint="eastAsia" w:ascii="宋体" w:hAnsi="宋体" w:cs="宋体"/>
          <w:color w:val="auto"/>
          <w:szCs w:val="21"/>
          <w:highlight w:val="none"/>
        </w:rPr>
        <w:t>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26"/>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pPr>
        <w:pStyle w:val="8"/>
        <w:keepNext w:val="0"/>
        <w:keepLines w:val="0"/>
        <w:spacing w:before="0" w:after="0" w:line="360" w:lineRule="auto"/>
        <w:ind w:left="420" w:leftChars="200"/>
        <w:rPr>
          <w:rFonts w:ascii="宋体" w:hAnsi="宋体" w:cs="宋体"/>
          <w:b w:val="0"/>
          <w:color w:val="auto"/>
          <w:sz w:val="21"/>
          <w:szCs w:val="21"/>
          <w:highlight w:val="none"/>
        </w:rPr>
      </w:pPr>
      <w:bookmarkStart w:id="27" w:name="_Toc254970532"/>
      <w:bookmarkStart w:id="28" w:name="_Toc254970673"/>
      <w:r>
        <w:rPr>
          <w:rFonts w:hint="eastAsia" w:ascii="宋体" w:hAnsi="宋体" w:cs="宋体"/>
          <w:b w:val="0"/>
          <w:color w:val="auto"/>
          <w:sz w:val="21"/>
          <w:szCs w:val="21"/>
          <w:highlight w:val="none"/>
        </w:rPr>
        <w:t>6.1本项目不允许转包。</w:t>
      </w:r>
    </w:p>
    <w:p>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27"/>
      <w:bookmarkEnd w:id="28"/>
    </w:p>
    <w:p>
      <w:pPr>
        <w:spacing w:line="360" w:lineRule="auto"/>
        <w:ind w:firstLine="420" w:firstLineChars="200"/>
        <w:rPr>
          <w:rFonts w:ascii="宋体" w:hAnsi="宋体" w:cs="宋体"/>
          <w:color w:val="auto"/>
          <w:szCs w:val="21"/>
          <w:highlight w:val="none"/>
        </w:rPr>
      </w:pPr>
      <w:bookmarkStart w:id="29" w:name="_8.1提供相同品牌产品且通过资格审查、符合性审查的不同投标人参加同一合"/>
      <w:bookmarkEnd w:id="29"/>
      <w:r>
        <w:rPr>
          <w:rFonts w:hint="eastAsia" w:ascii="宋体" w:hAnsi="宋体" w:cs="宋体"/>
          <w:color w:val="auto"/>
          <w:szCs w:val="21"/>
          <w:highlight w:val="none"/>
        </w:rPr>
        <w:t>7.1</w:t>
      </w:r>
      <w:bookmarkStart w:id="30"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30"/>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7.3供应商在竞标活动中提供任何疑似虚假材料，将报监管部门查处；签订合同后发现的，成交供应商须依法赔偿采购人，且民事赔偿并不免除违法供应商的行政与刑事责任。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highlight w:val="none"/>
        </w:rPr>
      </w:pPr>
    </w:p>
    <w:p>
      <w:pPr>
        <w:spacing w:line="360" w:lineRule="auto"/>
        <w:ind w:left="1" w:firstLine="417" w:firstLineChars="199"/>
        <w:jc w:val="center"/>
        <w:rPr>
          <w:rFonts w:ascii="宋体" w:hAnsi="宋体" w:cs="宋体"/>
          <w:color w:val="auto"/>
          <w:highlight w:val="none"/>
        </w:rPr>
      </w:pPr>
      <w:bookmarkStart w:id="31" w:name="_Toc254970675"/>
      <w:bookmarkStart w:id="32" w:name="_Toc254970534"/>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二、磋商文件</w:t>
      </w:r>
      <w:bookmarkEnd w:id="31"/>
      <w:bookmarkEnd w:id="32"/>
    </w:p>
    <w:p>
      <w:pPr>
        <w:spacing w:line="360" w:lineRule="auto"/>
        <w:ind w:firstLine="482" w:firstLineChars="200"/>
        <w:rPr>
          <w:rFonts w:ascii="宋体" w:hAnsi="宋体" w:cs="宋体"/>
          <w:b/>
          <w:bCs/>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10.2采购人和采购代理机构可以视采购具体情况，变更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10.3</w:t>
      </w:r>
      <w:r>
        <w:rPr>
          <w:rFonts w:hint="eastAsia" w:ascii="宋体" w:hAnsi="宋体" w:cs="宋体"/>
          <w:color w:val="auto"/>
          <w:szCs w:val="21"/>
          <w:highlight w:val="none"/>
        </w:rPr>
        <w:t>磋商文件澄清、答复、修改、补充的内容为磋商文件的组成部分。</w:t>
      </w:r>
      <w:r>
        <w:rPr>
          <w:rFonts w:hint="eastAsia" w:ascii="宋体" w:hAnsi="宋体" w:cs="宋体"/>
          <w:b/>
          <w:color w:val="auto"/>
          <w:szCs w:val="21"/>
          <w:highlight w:val="none"/>
        </w:rPr>
        <w:t>当磋商文件与磋商文件的澄清、答复、修改、补充通知就同一内容的表述不一致时，以最后发出的文件为准。</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highlight w:val="none"/>
        </w:rPr>
        <w:t>10.4</w:t>
      </w:r>
      <w:r>
        <w:rPr>
          <w:rFonts w:hint="eastAsia" w:ascii="宋体" w:hAnsi="宋体" w:cs="宋体"/>
          <w:b/>
          <w:color w:val="auto"/>
          <w:szCs w:val="21"/>
          <w:highlight w:val="none"/>
        </w:rPr>
        <w:t>响应文件未按磋商文件的澄清、修改后的内容编制的，其响应文件作无效响应处理。</w:t>
      </w:r>
    </w:p>
    <w:p>
      <w:pPr>
        <w:spacing w:line="400" w:lineRule="exact"/>
        <w:ind w:firstLine="422" w:firstLineChars="200"/>
        <w:rPr>
          <w:rFonts w:ascii="宋体" w:hAnsi="宋体" w:cs="宋体"/>
          <w:b/>
          <w:color w:val="auto"/>
          <w:szCs w:val="21"/>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三、响应文件的编制</w:t>
      </w:r>
    </w:p>
    <w:p>
      <w:pPr>
        <w:spacing w:line="360" w:lineRule="auto"/>
        <w:ind w:firstLine="482" w:firstLineChars="200"/>
        <w:rPr>
          <w:rFonts w:ascii="宋体" w:hAnsi="宋体" w:cs="宋体"/>
          <w:b/>
          <w:bCs/>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15.3.1供应商的竞标报价应符合以下要求，否则响应文件按无效响应处理：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（1）供应商必须就“采购需求”中所竞标的全部内容作完整唯一总价报价，不得存在漏项报价；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15.3.2最后报价超过所竞标分标规定的采购预算金额或者最高限价的，其响应文件将按无效响应处理。</w:t>
      </w:r>
      <w:bookmarkStart w:id="33" w:name="_Hlk42592874"/>
    </w:p>
    <w:bookmarkEnd w:id="33"/>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ascii="宋体" w:hAnsi="宋体" w:cs="宋体"/>
          <w:color w:val="auto"/>
          <w:szCs w:val="21"/>
          <w:highlight w:val="none"/>
        </w:rPr>
      </w:pPr>
      <w:bookmarkStart w:id="34"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个工作日内退还。</w:t>
      </w:r>
      <w:bookmarkEnd w:id="34"/>
      <w:r>
        <w:rPr>
          <w:rFonts w:hint="eastAsia" w:ascii="宋体" w:hAnsi="宋体" w:cs="宋体"/>
          <w:color w:val="auto"/>
          <w:szCs w:val="21"/>
          <w:highlight w:val="none"/>
        </w:rPr>
        <w:t xml:space="preserve">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18.1供应商应按本磋商文件规定的格式和顺序编制响应文件并标注页码，响应文件内容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18.2响应文件应按资格证明文件、报价商务技术文件分别编制电子文件，并按“广西政府采购云平台”的要求编制、加密、上传。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35" w:name="_Hlk65832699"/>
      <w:r>
        <w:rPr>
          <w:rFonts w:hint="eastAsia" w:ascii="宋体" w:hAnsi="宋体" w:cs="宋体"/>
          <w:color w:val="auto"/>
          <w:szCs w:val="21"/>
          <w:highlight w:val="none"/>
        </w:rPr>
        <w:t>3响应文件须由供应商在规定位置盖公章并签字</w:t>
      </w:r>
      <w:bookmarkStart w:id="36" w:name="_Hlk65832569"/>
      <w:r>
        <w:rPr>
          <w:rFonts w:hint="eastAsia" w:ascii="宋体" w:hAnsi="宋体" w:cs="宋体"/>
          <w:color w:val="auto"/>
          <w:szCs w:val="21"/>
          <w:highlight w:val="none"/>
        </w:rPr>
        <w:t>（具体以供应商须知前附表或响应文件格式规定为准）</w:t>
      </w:r>
      <w:bookmarkEnd w:id="35"/>
      <w:bookmarkEnd w:id="36"/>
      <w:r>
        <w:rPr>
          <w:rFonts w:hint="eastAsia" w:ascii="宋体" w:hAnsi="宋体" w:cs="宋体"/>
          <w:color w:val="auto"/>
          <w:szCs w:val="21"/>
          <w:highlight w:val="none"/>
        </w:rPr>
        <w:t>，否则其响应文件按无效响应处理。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18.4响应文件中标注的供应商名称应与营业执照（事业单位法人证书、执业许可证、自然人身份证）及公章一致，否则其响应文件按无效响应处理。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19.响应文件的加密、解密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19.1电子响应文件编制完成后，供应商应按“广西政府采购云平台”的要求进行加密，并在规定时间内解密，否则，由此产生的后果由供应商自行负责。</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widowControl/>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20.2本项目为全流程电子化采购项目，通过“广西政府采购云平台”（https://www.gcy.zfcg.gxzf.gov.cn/）实行在线电子竞标，供应商应先安装“广西政府采购云平台新版客户端”（新版客户端下载路径：请自行前往“广西政府采购云平台”（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pPr>
        <w:pStyle w:val="8"/>
        <w:keepNext w:val="0"/>
        <w:keepLines w:val="0"/>
        <w:spacing w:before="0" w:after="0" w:line="360" w:lineRule="auto"/>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20.3未在规定时间内上传或者未按“广西政府采购云平台”的要求编制、加密的电子响应文件，“广西政府采购云平台”将拒收。</w:t>
      </w:r>
    </w:p>
    <w:p>
      <w:pPr>
        <w:pStyle w:val="9"/>
        <w:rPr>
          <w:rFonts w:ascii="宋体" w:hAnsi="宋体" w:cs="宋体"/>
          <w:color w:val="auto"/>
          <w:szCs w:val="21"/>
          <w:highlight w:val="none"/>
        </w:rPr>
      </w:pPr>
      <w:r>
        <w:rPr>
          <w:rFonts w:hint="eastAsia" w:ascii="宋体" w:hAnsi="宋体" w:cs="宋体"/>
          <w:color w:val="auto"/>
          <w:szCs w:val="21"/>
          <w:highlight w:val="none"/>
        </w:rPr>
        <w:t>20.4电子响应文件提交方</w:t>
      </w:r>
      <w:r>
        <w:rPr>
          <w:rFonts w:hint="eastAsia" w:ascii="宋体" w:hAnsi="宋体" w:cs="宋体"/>
          <w:bCs/>
          <w:color w:val="auto"/>
          <w:szCs w:val="21"/>
          <w:highlight w:val="none"/>
        </w:rPr>
        <w:t>式见“竞争性磋商公告”</w:t>
      </w:r>
      <w:r>
        <w:rPr>
          <w:rFonts w:hint="eastAsia" w:ascii="宋体" w:hAnsi="宋体" w:cs="宋体"/>
          <w:color w:val="auto"/>
          <w:szCs w:val="21"/>
          <w:highlight w:val="none"/>
        </w:rPr>
        <w:t>中“四、响应文件提交”。</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pPr>
        <w:spacing w:line="360" w:lineRule="auto"/>
        <w:ind w:firstLine="482" w:firstLineChars="200"/>
        <w:rPr>
          <w:rFonts w:ascii="宋体" w:hAnsi="宋体" w:cs="宋体"/>
          <w:b/>
          <w:bCs/>
          <w:color w:val="auto"/>
          <w:sz w:val="24"/>
          <w:highlight w:val="none"/>
        </w:rPr>
      </w:pPr>
      <w:bookmarkStart w:id="37" w:name="_Hlk45702405"/>
      <w:r>
        <w:rPr>
          <w:rFonts w:hint="eastAsia" w:ascii="宋体" w:hAnsi="宋体" w:cs="宋体"/>
          <w:b/>
          <w:bCs/>
          <w:color w:val="auto"/>
          <w:sz w:val="24"/>
          <w:highlight w:val="none"/>
        </w:rPr>
        <w:t>22. 首次响应文件的退回</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23.1供应商在首次响应文件提交截止时间后书面通知采购人、采购代理机构书面撤回响应文件的，将根据本须知正文17.4的规定不予退还其磋商保证金。</w:t>
      </w:r>
    </w:p>
    <w:bookmarkEnd w:id="37"/>
    <w:p>
      <w:pPr>
        <w:spacing w:line="360" w:lineRule="auto"/>
        <w:rPr>
          <w:rFonts w:ascii="宋体" w:hAnsi="宋体" w:cs="宋体"/>
          <w:color w:val="auto"/>
          <w:szCs w:val="21"/>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pPr>
        <w:spacing w:line="360" w:lineRule="auto"/>
        <w:ind w:firstLine="482" w:firstLineChars="200"/>
        <w:rPr>
          <w:rFonts w:ascii="宋体" w:hAnsi="宋体" w:cs="宋体"/>
          <w:b/>
          <w:bCs/>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（解密异常情况处理：详见本章26.2电子交易活动的中止。）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25.3成功解密响应文件的供应商不足3家的，不得磋商。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26.2电子交易活动的中止。采购过程中出现以下情形，导致电子交易平台无法正常运行，或者无法保证电子交易的公平、公正和安全时，采购机构可中止电子交易活动：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26.3出现以上情形，不影响采购公平、公正性的，采购代理机构可以待上述情形消除后继续组织电子交易活动；影响或可能影响采购公平、公正性的，经采购代理机构确认后，应当重新采购。</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8" w:name="_Hlk66782294"/>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3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签订合同时间：按成交通知书规定的时间与采购人签订政府采购合同（最长不能超过25日）。</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29.3成交供应商拒绝与采购人签订合同的，按照本须知正文第27.3条的规定执行。</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pPr>
        <w:pStyle w:val="9"/>
        <w:spacing w:line="360" w:lineRule="auto"/>
        <w:rPr>
          <w:rFonts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.1代理服务费：代理服务收取标准及缴费账户详见“供应商须知前附表”，供应商为联合体的，可以由联合体中的一方或者多方共同交纳代理服务费。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服务类型</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w:t>
      </w:r>
      <w:r>
        <w:rPr>
          <w:rFonts w:hint="eastAsia" w:ascii="宋体" w:hAnsi="宋体" w:cs="宋体"/>
          <w:color w:val="auto"/>
          <w:szCs w:val="21"/>
          <w:highlight w:val="none"/>
        </w:rPr>
        <w:t>金额</w:t>
      </w:r>
      <w:r>
        <w:rPr>
          <w:rFonts w:ascii="宋体" w:hAnsi="宋体" w:cs="宋体"/>
          <w:color w:val="auto"/>
          <w:highlight w:val="none"/>
        </w:rPr>
        <w:t>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pPr>
        <w:spacing w:line="360" w:lineRule="auto"/>
        <w:ind w:firstLine="420" w:firstLineChars="200"/>
        <w:rPr>
          <w:rFonts w:ascii="宋体" w:hAnsi="宋体" w:cs="宋体"/>
          <w:color w:val="auto"/>
          <w:kern w:val="0"/>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.3</w:t>
      </w:r>
      <w:r>
        <w:rPr>
          <w:rFonts w:hint="eastAsia" w:ascii="宋体" w:hAnsi="宋体" w:cs="宋体"/>
          <w:color w:val="auto"/>
          <w:kern w:val="0"/>
          <w:szCs w:val="21"/>
          <w:highlight w:val="none"/>
        </w:rPr>
        <w:t>代理服务费交纳</w:t>
      </w:r>
      <w:r>
        <w:rPr>
          <w:rFonts w:ascii="宋体" w:hAnsi="宋体" w:cs="宋体"/>
          <w:color w:val="auto"/>
          <w:kern w:val="0"/>
          <w:szCs w:val="21"/>
          <w:highlight w:val="none"/>
        </w:rPr>
        <w:t>银行帐号信息</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开户名称：广西国泰招标咨询有限公司南宁第五分公司</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开户银行：广西北部湾银行股份有限公司南宁市云景支行</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银行账号：805022302700001</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 其他事项详见“供应商须知前附表”。</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pPr>
        <w:pStyle w:val="5"/>
        <w:spacing w:line="360" w:lineRule="auto"/>
        <w:rPr>
          <w:rFonts w:ascii="宋体" w:hAnsi="宋体" w:cs="宋体"/>
          <w:color w:val="auto"/>
          <w:highlight w:val="none"/>
        </w:rPr>
      </w:pPr>
      <w:bookmarkStart w:id="39" w:name="_Toc74323458"/>
      <w:r>
        <w:rPr>
          <w:rFonts w:hint="eastAsia" w:ascii="宋体" w:hAnsi="宋体" w:cs="宋体"/>
          <w:color w:val="auto"/>
          <w:highlight w:val="none"/>
        </w:rPr>
        <w:br w:type="page"/>
      </w:r>
      <w:r>
        <w:rPr>
          <w:rFonts w:hint="eastAsia" w:ascii="宋体" w:hAnsi="宋体" w:cs="宋体"/>
          <w:color w:val="auto"/>
          <w:highlight w:val="none"/>
        </w:rPr>
        <w:t>第三章 采购需求</w:t>
      </w:r>
      <w:bookmarkEnd w:id="39"/>
    </w:p>
    <w:p>
      <w:pPr>
        <w:spacing w:line="440" w:lineRule="exact"/>
        <w:jc w:val="center"/>
        <w:rPr>
          <w:rFonts w:ascii="宋体" w:hAnsi="宋体" w:cs="宋体"/>
          <w:b/>
          <w:color w:val="auto"/>
          <w:sz w:val="32"/>
          <w:szCs w:val="32"/>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说明：</w:t>
      </w:r>
    </w:p>
    <w:p>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2、根据《财政部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号）的规定，采购需求中如有货物产品，且货物产品属于节能产品政府采购品目清单内标注“★”的，供应商的竞标货物必须使用政府强制采购的节能产品，否则响应文件作无效响应处理。</w:t>
      </w:r>
    </w:p>
    <w:p>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3、如供应商竞标产品存在侵犯他人的知识产权或者专利成果行为的，由供应商自行承担相应法律责任。</w:t>
      </w:r>
    </w:p>
    <w:p>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4、“实质性要求”是指竞争性磋商文件中已经指明不满足则响应无效的条款，或者不能负偏离的条款，或者采购需求中带“▲”的条款。</w:t>
      </w:r>
    </w:p>
    <w:p>
      <w:pPr>
        <w:rPr>
          <w:rFonts w:hint="eastAsia" w:ascii="宋体" w:hAnsi="宋体" w:cs="宋体"/>
          <w:b/>
          <w:color w:val="auto"/>
          <w:szCs w:val="21"/>
          <w:highlight w:val="none"/>
          <w:lang w:eastAsia="zh-CN"/>
        </w:rPr>
      </w:pPr>
      <w:bookmarkStart w:id="40" w:name="_Toc74323459"/>
    </w:p>
    <w:p>
      <w:pPr>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采购预算：</w:t>
      </w:r>
      <w:r>
        <w:rPr>
          <w:rFonts w:hint="eastAsia" w:ascii="宋体" w:hAnsi="宋体" w:cs="宋体"/>
          <w:b/>
          <w:color w:val="auto"/>
          <w:szCs w:val="21"/>
          <w:highlight w:val="none"/>
          <w:u w:val="single"/>
          <w:lang w:val="en-US" w:eastAsia="zh-CN"/>
        </w:rPr>
        <w:t>20</w:t>
      </w:r>
      <w:r>
        <w:rPr>
          <w:rFonts w:hint="eastAsia" w:ascii="宋体" w:hAnsi="宋体" w:cs="宋体"/>
          <w:b/>
          <w:color w:val="auto"/>
          <w:szCs w:val="21"/>
          <w:highlight w:val="none"/>
          <w:u w:val="single"/>
        </w:rPr>
        <w:t>万元</w:t>
      </w:r>
      <w:r>
        <w:rPr>
          <w:rFonts w:hint="eastAsia" w:ascii="宋体" w:hAnsi="宋体" w:cs="宋体"/>
          <w:b/>
          <w:color w:val="auto"/>
          <w:szCs w:val="21"/>
          <w:highlight w:val="none"/>
        </w:rPr>
        <w:t xml:space="preserve">        </w:t>
      </w:r>
    </w:p>
    <w:tbl>
      <w:tblPr>
        <w:tblStyle w:val="30"/>
        <w:tblW w:w="8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3"/>
        <w:gridCol w:w="974"/>
        <w:gridCol w:w="421"/>
        <w:gridCol w:w="861"/>
        <w:gridCol w:w="614"/>
        <w:gridCol w:w="5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3"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95" w:type="dxa"/>
            <w:gridSpan w:val="2"/>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名称</w:t>
            </w:r>
          </w:p>
        </w:tc>
        <w:tc>
          <w:tcPr>
            <w:tcW w:w="861"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14"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485"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3"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95" w:type="dxa"/>
            <w:gridSpan w:val="2"/>
            <w:vAlign w:val="center"/>
          </w:tcPr>
          <w:p>
            <w:pPr>
              <w:tabs>
                <w:tab w:val="left" w:pos="180"/>
                <w:tab w:val="left" w:pos="1620"/>
              </w:tabs>
              <w:spacing w:line="360" w:lineRule="auto"/>
              <w:jc w:val="center"/>
              <w:rPr>
                <w:rFonts w:hint="default" w:cs="宋体" w:asciiTheme="minorAscii" w:hAnsiTheme="minorAscii"/>
                <w:color w:val="auto"/>
                <w:szCs w:val="21"/>
                <w:highlight w:val="none"/>
              </w:rPr>
            </w:pPr>
            <w:r>
              <w:rPr>
                <w:rFonts w:hint="default" w:cs="宋体" w:asciiTheme="minorAscii" w:hAnsiTheme="minorAscii"/>
                <w:color w:val="auto"/>
                <w:szCs w:val="21"/>
                <w:highlight w:val="none"/>
              </w:rPr>
              <w:t>农情调度创新发展课题研究</w:t>
            </w:r>
          </w:p>
        </w:tc>
        <w:tc>
          <w:tcPr>
            <w:tcW w:w="861" w:type="dxa"/>
            <w:vAlign w:val="center"/>
          </w:tcPr>
          <w:p>
            <w:pPr>
              <w:tabs>
                <w:tab w:val="left" w:pos="180"/>
                <w:tab w:val="left" w:pos="1620"/>
              </w:tabs>
              <w:spacing w:line="360" w:lineRule="auto"/>
              <w:jc w:val="center"/>
              <w:rPr>
                <w:rFonts w:hint="default" w:cs="宋体" w:asciiTheme="minorAscii" w:hAnsiTheme="minorAscii"/>
                <w:color w:val="auto"/>
                <w:szCs w:val="21"/>
                <w:highlight w:val="none"/>
              </w:rPr>
            </w:pPr>
            <w:r>
              <w:rPr>
                <w:rFonts w:hint="default" w:cs="宋体" w:asciiTheme="minorAscii" w:hAnsiTheme="minorAscii"/>
                <w:color w:val="auto"/>
                <w:szCs w:val="21"/>
                <w:highlight w:val="none"/>
              </w:rPr>
              <w:t>1项</w:t>
            </w:r>
          </w:p>
        </w:tc>
        <w:tc>
          <w:tcPr>
            <w:tcW w:w="614" w:type="dxa"/>
            <w:vAlign w:val="center"/>
          </w:tcPr>
          <w:p>
            <w:pPr>
              <w:tabs>
                <w:tab w:val="left" w:pos="180"/>
                <w:tab w:val="left" w:pos="1620"/>
              </w:tabs>
              <w:spacing w:line="360" w:lineRule="auto"/>
              <w:jc w:val="center"/>
              <w:rPr>
                <w:rFonts w:hint="default" w:cs="宋体" w:asciiTheme="minorAscii" w:hAnsiTheme="minorAscii"/>
                <w:color w:val="auto"/>
                <w:szCs w:val="21"/>
                <w:highlight w:val="none"/>
              </w:rPr>
            </w:pPr>
            <w:r>
              <w:rPr>
                <w:rFonts w:hint="default" w:cs="宋体" w:asciiTheme="minorAscii" w:hAnsiTheme="minorAscii"/>
                <w:color w:val="auto"/>
                <w:szCs w:val="21"/>
                <w:highlight w:val="none"/>
              </w:rPr>
              <w:t>其他未列明行业</w:t>
            </w:r>
          </w:p>
        </w:tc>
        <w:tc>
          <w:tcPr>
            <w:tcW w:w="5485" w:type="dxa"/>
          </w:tcPr>
          <w:p>
            <w:pPr>
              <w:numPr>
                <w:ilvl w:val="0"/>
                <w:numId w:val="1"/>
              </w:numPr>
              <w:spacing w:line="360" w:lineRule="auto"/>
              <w:rPr>
                <w:rFonts w:hint="default" w:cs="宋体" w:asciiTheme="minorAscii" w:hAnsiTheme="minorAscii"/>
                <w:b/>
                <w:bCs/>
                <w:color w:val="auto"/>
                <w:szCs w:val="21"/>
                <w:highlight w:val="none"/>
              </w:rPr>
            </w:pPr>
            <w:r>
              <w:rPr>
                <w:rFonts w:hint="default" w:cs="宋体" w:asciiTheme="minorAscii" w:hAnsiTheme="minorAscii"/>
                <w:b/>
                <w:bCs/>
                <w:color w:val="auto"/>
                <w:szCs w:val="21"/>
                <w:highlight w:val="none"/>
              </w:rPr>
              <w:t>课题内容</w:t>
            </w:r>
          </w:p>
          <w:p>
            <w:pPr>
              <w:pStyle w:val="9"/>
              <w:spacing w:line="360" w:lineRule="auto"/>
              <w:ind w:firstLine="420" w:firstLineChars="200"/>
              <w:rPr>
                <w:rFonts w:hint="default" w:asciiTheme="minorAscii" w:hAnsiTheme="minorAscii"/>
                <w:color w:val="auto"/>
                <w:highlight w:val="none"/>
              </w:rPr>
            </w:pPr>
            <w:r>
              <w:rPr>
                <w:rFonts w:hint="default" w:asciiTheme="minorAscii" w:hAnsiTheme="minorAscii"/>
                <w:color w:val="auto"/>
                <w:highlight w:val="none"/>
                <w:lang w:val="en-US" w:eastAsia="zh-CN"/>
              </w:rPr>
              <w:t>基于广西农情调度体系现状调查分析，</w:t>
            </w:r>
            <w:r>
              <w:rPr>
                <w:rFonts w:hint="default" w:asciiTheme="minorAscii" w:hAnsiTheme="minorAscii"/>
                <w:color w:val="auto"/>
                <w:highlight w:val="none"/>
              </w:rPr>
              <w:t>开展农情调度新技术、新模式应用课题研究，提出系统工程、信息管理系统、决策支持系统、新型农业经营主体参与等新技术、新模式应用在农情调度的实现路径和对策措施，并且对建设高质量农情采集队伍提出新思路，形成研究报告，为农情调度创新发展提供科学依据。</w:t>
            </w:r>
          </w:p>
          <w:p>
            <w:pPr>
              <w:pStyle w:val="9"/>
              <w:numPr>
                <w:ilvl w:val="0"/>
                <w:numId w:val="1"/>
              </w:numPr>
              <w:spacing w:line="360" w:lineRule="auto"/>
              <w:ind w:firstLine="0"/>
              <w:rPr>
                <w:rFonts w:hint="default" w:asciiTheme="minorAscii" w:hAnsiTheme="minorAscii"/>
                <w:b/>
                <w:bCs/>
                <w:color w:val="auto"/>
                <w:highlight w:val="none"/>
              </w:rPr>
            </w:pPr>
            <w:r>
              <w:rPr>
                <w:rFonts w:hint="default" w:asciiTheme="minorAscii" w:hAnsiTheme="minorAscii"/>
                <w:b/>
                <w:bCs/>
                <w:color w:val="auto"/>
                <w:highlight w:val="none"/>
              </w:rPr>
              <w:t>服务范围</w:t>
            </w:r>
          </w:p>
          <w:p>
            <w:pPr>
              <w:pStyle w:val="9"/>
              <w:spacing w:line="360" w:lineRule="auto"/>
              <w:ind w:firstLine="420" w:firstLineChars="200"/>
              <w:rPr>
                <w:rFonts w:hint="default" w:asciiTheme="minorAscii" w:hAnsiTheme="minorAscii"/>
                <w:color w:val="auto"/>
                <w:highlight w:val="none"/>
              </w:rPr>
            </w:pPr>
            <w:r>
              <w:rPr>
                <w:rFonts w:hint="default" w:asciiTheme="minorAscii" w:hAnsiTheme="minorAscii"/>
                <w:color w:val="auto"/>
                <w:highlight w:val="none"/>
                <w:lang w:eastAsia="zh-CN"/>
              </w:rPr>
              <w:t>采购人</w:t>
            </w:r>
            <w:r>
              <w:rPr>
                <w:rFonts w:hint="default" w:asciiTheme="minorAscii" w:hAnsiTheme="minorAscii"/>
                <w:color w:val="auto"/>
                <w:highlight w:val="none"/>
              </w:rPr>
              <w:t>聘请</w:t>
            </w:r>
            <w:r>
              <w:rPr>
                <w:rFonts w:hint="default" w:asciiTheme="minorAscii" w:hAnsiTheme="minorAscii"/>
                <w:color w:val="auto"/>
                <w:highlight w:val="none"/>
                <w:lang w:eastAsia="zh-CN"/>
              </w:rPr>
              <w:t>供应商</w:t>
            </w:r>
            <w:r>
              <w:rPr>
                <w:rFonts w:hint="default" w:asciiTheme="minorAscii" w:hAnsiTheme="minorAscii"/>
                <w:color w:val="auto"/>
                <w:highlight w:val="none"/>
              </w:rPr>
              <w:t>提供以下服务：</w:t>
            </w:r>
          </w:p>
          <w:p>
            <w:pPr>
              <w:pStyle w:val="9"/>
              <w:spacing w:line="360" w:lineRule="auto"/>
              <w:ind w:firstLine="420" w:firstLineChars="200"/>
              <w:rPr>
                <w:rFonts w:hint="default" w:asciiTheme="minorAscii" w:hAnsiTheme="minorAscii"/>
                <w:color w:val="auto"/>
                <w:highlight w:val="none"/>
              </w:rPr>
            </w:pPr>
            <w:r>
              <w:rPr>
                <w:rFonts w:hint="default" w:asciiTheme="minorAscii" w:hAnsiTheme="minorAscii"/>
                <w:color w:val="auto"/>
                <w:highlight w:val="none"/>
              </w:rPr>
              <w:t>（一）完成《新常态下广西农情调度信息化现状及实现新突破的思考》编写，内容包括但不限于：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s="宋体" w:asciiTheme="minorAscii" w:hAnsiTheme="minorAscii"/>
                <w:bCs/>
                <w:color w:val="auto"/>
                <w:szCs w:val="21"/>
                <w:highlight w:val="none"/>
                <w:lang w:val="en-US" w:eastAsia="zh-CN"/>
              </w:rPr>
            </w:pPr>
            <w:r>
              <w:rPr>
                <w:rFonts w:hint="default" w:cs="宋体" w:asciiTheme="minorAscii" w:hAnsiTheme="minorAscii"/>
                <w:bCs/>
                <w:color w:val="auto"/>
                <w:szCs w:val="21"/>
                <w:highlight w:val="none"/>
                <w:lang w:val="en-US" w:eastAsia="zh-CN"/>
              </w:rPr>
              <w:t>1、深入基层，对</w:t>
            </w:r>
            <w:r>
              <w:rPr>
                <w:rFonts w:hint="default" w:asciiTheme="minorAscii" w:hAnsiTheme="minorAscii"/>
                <w:color w:val="auto"/>
                <w:highlight w:val="none"/>
              </w:rPr>
              <w:t>广西农情调度信息化现状</w:t>
            </w:r>
            <w:r>
              <w:rPr>
                <w:rFonts w:hint="default" w:asciiTheme="minorAscii" w:hAnsiTheme="minorAscii"/>
                <w:color w:val="auto"/>
                <w:highlight w:val="none"/>
                <w:lang w:eastAsia="zh-CN"/>
              </w:rPr>
              <w:t>进行调研。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宋体" w:asciiTheme="minorAscii" w:hAnsiTheme="minorAscii"/>
                <w:bCs/>
                <w:color w:val="auto"/>
                <w:szCs w:val="21"/>
                <w:highlight w:val="none"/>
              </w:rPr>
            </w:pPr>
            <w:r>
              <w:rPr>
                <w:rFonts w:hint="default" w:cs="宋体" w:asciiTheme="minorAscii" w:hAnsiTheme="minorAscii"/>
                <w:bCs/>
                <w:color w:val="auto"/>
                <w:szCs w:val="21"/>
                <w:highlight w:val="none"/>
                <w:lang w:val="en-US" w:eastAsia="zh-CN"/>
              </w:rPr>
              <w:t>2、在调研基础上，</w:t>
            </w:r>
            <w:r>
              <w:rPr>
                <w:rFonts w:hint="default" w:cs="宋体" w:asciiTheme="minorAscii" w:hAnsiTheme="minorAscii"/>
                <w:bCs/>
                <w:color w:val="auto"/>
                <w:szCs w:val="21"/>
                <w:highlight w:val="none"/>
              </w:rPr>
              <w:t>梳理全国、广西农情调度信息化建设（数字农情）发展现状。主要描述数字农情对参谋决策的促进作用，数字农情建设发展的典型经验、亮点工作及成效，包括但不限于思路目标、主要举措和具体做法、模式等。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宋体" w:asciiTheme="minorAscii" w:hAnsiTheme="minorAscii"/>
                <w:bCs/>
                <w:color w:val="auto"/>
                <w:szCs w:val="21"/>
                <w:highlight w:val="none"/>
              </w:rPr>
            </w:pPr>
            <w:r>
              <w:rPr>
                <w:rFonts w:hint="default" w:cs="宋体" w:asciiTheme="minorAscii" w:hAnsiTheme="minorAscii"/>
                <w:bCs/>
                <w:color w:val="auto"/>
                <w:szCs w:val="21"/>
                <w:highlight w:val="none"/>
                <w:lang w:val="en-US" w:eastAsia="zh-CN"/>
              </w:rPr>
              <w:t>3、</w:t>
            </w:r>
            <w:r>
              <w:rPr>
                <w:rFonts w:hint="default" w:cs="宋体" w:asciiTheme="minorAscii" w:hAnsiTheme="minorAscii"/>
                <w:bCs/>
                <w:color w:val="auto"/>
                <w:szCs w:val="21"/>
                <w:highlight w:val="none"/>
              </w:rPr>
              <w:t>分析广西数字农情的发展趋势。从数字化转型、数据要素价值释放、新质生产力发展等方向分析数字农情最新发展趋势及问题瓶颈。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宋体" w:asciiTheme="minorAscii" w:hAnsiTheme="minorAscii"/>
                <w:bCs/>
                <w:color w:val="auto"/>
                <w:szCs w:val="21"/>
                <w:highlight w:val="none"/>
              </w:rPr>
            </w:pPr>
            <w:r>
              <w:rPr>
                <w:rFonts w:hint="default" w:cs="宋体" w:asciiTheme="minorAscii" w:hAnsiTheme="minorAscii"/>
                <w:bCs/>
                <w:color w:val="auto"/>
                <w:szCs w:val="21"/>
                <w:highlight w:val="none"/>
                <w:lang w:val="en-US" w:eastAsia="zh-CN"/>
              </w:rPr>
              <w:t>4、</w:t>
            </w:r>
            <w:r>
              <w:rPr>
                <w:rFonts w:hint="default" w:cs="宋体" w:asciiTheme="minorAscii" w:hAnsiTheme="minorAscii"/>
                <w:bCs/>
                <w:color w:val="auto"/>
                <w:szCs w:val="21"/>
                <w:highlight w:val="none"/>
              </w:rPr>
              <w:t>分析广西数字农情未来发展重点和方向。从农情数字资源整合、农情数据分析助力参谋决策、大数据模型等方面，研究广西数字农情未来发展重点和方向。</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宋体" w:asciiTheme="minorAscii" w:hAnsiTheme="minorAscii"/>
                <w:bCs/>
                <w:color w:val="auto"/>
                <w:szCs w:val="21"/>
                <w:highlight w:val="none"/>
              </w:rPr>
            </w:pPr>
            <w:r>
              <w:rPr>
                <w:rFonts w:hint="default" w:cs="宋体" w:asciiTheme="minorAscii" w:hAnsiTheme="minorAscii"/>
                <w:bCs/>
                <w:color w:val="auto"/>
                <w:szCs w:val="21"/>
                <w:highlight w:val="none"/>
                <w:lang w:val="en-US" w:eastAsia="zh-CN"/>
              </w:rPr>
              <w:t>5、</w:t>
            </w:r>
            <w:r>
              <w:rPr>
                <w:rFonts w:hint="default" w:cs="宋体" w:asciiTheme="minorAscii" w:hAnsiTheme="minorAscii"/>
                <w:bCs/>
                <w:color w:val="auto"/>
                <w:szCs w:val="21"/>
                <w:highlight w:val="none"/>
              </w:rPr>
              <w:t>阐述数字农情提高农情信息质量的对策建议。结合当前数字农情建设的工作实际、农情信息工作中存在的问题、数字农情发展趋势及未来发展重点和方向，提出可行的对策建议。</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rPr>
              <w:t>（二）完成《新时代广西农情信息工作瓶颈及突破方式研究》编写，内容包括但不限于：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s="宋体" w:asciiTheme="minorAscii" w:hAnsiTheme="minorAscii"/>
                <w:bCs/>
                <w:color w:val="auto"/>
                <w:szCs w:val="21"/>
                <w:highlight w:val="none"/>
                <w:lang w:val="en-US" w:eastAsia="zh-CN"/>
              </w:rPr>
            </w:pPr>
            <w:r>
              <w:rPr>
                <w:rFonts w:hint="default" w:cs="宋体" w:asciiTheme="minorAscii" w:hAnsiTheme="minorAscii"/>
                <w:bCs/>
                <w:color w:val="auto"/>
                <w:szCs w:val="21"/>
                <w:highlight w:val="none"/>
                <w:lang w:val="en-US" w:eastAsia="zh-CN"/>
              </w:rPr>
              <w:t>1、对全区14个市、112个县（市、区）的农情信息工作</w:t>
            </w:r>
            <w:r>
              <w:rPr>
                <w:rFonts w:hint="default" w:asciiTheme="minorAscii" w:hAnsiTheme="minorAscii"/>
                <w:color w:val="auto"/>
                <w:highlight w:val="none"/>
                <w:lang w:eastAsia="zh-CN"/>
              </w:rPr>
              <w:t>进行调研。</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lang w:val="en-US" w:eastAsia="zh-CN"/>
              </w:rPr>
              <w:t>2</w:t>
            </w:r>
            <w:r>
              <w:rPr>
                <w:rFonts w:hint="default" w:asciiTheme="minorAscii" w:hAnsiTheme="minorAscii"/>
                <w:color w:val="auto"/>
                <w:highlight w:val="none"/>
              </w:rPr>
              <w:t>、</w:t>
            </w:r>
            <w:r>
              <w:rPr>
                <w:rFonts w:hint="default" w:asciiTheme="minorAscii" w:hAnsiTheme="minorAscii"/>
                <w:color w:val="auto"/>
                <w:highlight w:val="none"/>
                <w:lang w:eastAsia="zh-CN"/>
              </w:rPr>
              <w:t>在调研基础上，</w:t>
            </w:r>
            <w:r>
              <w:rPr>
                <w:rFonts w:hint="default" w:asciiTheme="minorAscii" w:hAnsiTheme="minorAscii"/>
                <w:color w:val="auto"/>
                <w:highlight w:val="none"/>
              </w:rPr>
              <w:t>梳理广西农情信息工作现状。围绕农情调度体系、农情调度任务、农情工作成效等维度分析广西农情信息工作的现状。</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lang w:val="en-US" w:eastAsia="zh-CN"/>
              </w:rPr>
              <w:t>3</w:t>
            </w:r>
            <w:r>
              <w:rPr>
                <w:rFonts w:hint="default" w:asciiTheme="minorAscii" w:hAnsiTheme="minorAscii"/>
                <w:color w:val="auto"/>
                <w:highlight w:val="none"/>
              </w:rPr>
              <w:t>、分析广西农情信息工作发展趋势及问题瓶颈。综合分析队伍建设、工作方式和农情信息内容质量等方面存在的瓶颈。</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lang w:val="en-US" w:eastAsia="zh-CN"/>
              </w:rPr>
              <w:t>4</w:t>
            </w:r>
            <w:r>
              <w:rPr>
                <w:rFonts w:hint="default" w:asciiTheme="minorAscii" w:hAnsiTheme="minorAscii"/>
                <w:color w:val="auto"/>
                <w:highlight w:val="none"/>
              </w:rPr>
              <w:t>、提出促进广西农情信息工作的意见建议。提出通过加强组织领导、强化队伍建设、建立专家队伍会商制度、加强业务培训、创新调度方式和完善实绩考评机制等方式实现突破性发展的思考与建议。</w:t>
            </w:r>
          </w:p>
          <w:p>
            <w:pPr>
              <w:pStyle w:val="9"/>
              <w:spacing w:line="360" w:lineRule="auto"/>
              <w:ind w:firstLine="0"/>
              <w:rPr>
                <w:rFonts w:hint="default" w:asciiTheme="minorAscii" w:hAnsiTheme="minorAscii"/>
                <w:b/>
                <w:bCs/>
                <w:color w:val="auto"/>
                <w:highlight w:val="none"/>
              </w:rPr>
            </w:pPr>
            <w:r>
              <w:rPr>
                <w:rFonts w:hint="default" w:asciiTheme="minorAscii" w:hAnsiTheme="minorAscii"/>
                <w:b/>
                <w:bCs/>
                <w:color w:val="auto"/>
                <w:highlight w:val="none"/>
              </w:rPr>
              <w:t>三、成果要求</w:t>
            </w:r>
          </w:p>
          <w:p>
            <w:pPr>
              <w:pStyle w:val="9"/>
              <w:spacing w:line="360" w:lineRule="auto"/>
              <w:ind w:firstLine="420" w:firstLineChars="200"/>
              <w:rPr>
                <w:rFonts w:hint="default" w:asciiTheme="minorAscii" w:hAnsiTheme="minorAscii"/>
                <w:color w:val="auto"/>
                <w:highlight w:val="none"/>
              </w:rPr>
            </w:pPr>
            <w:r>
              <w:rPr>
                <w:rFonts w:hint="default" w:asciiTheme="minorAscii" w:hAnsiTheme="minorAscii"/>
                <w:color w:val="auto"/>
                <w:highlight w:val="none"/>
              </w:rPr>
              <w:t>研究报告采用PDF和WORD格式文件，纸质版文本1份，电子文档1份；课题研究报告（不少于10000字），报告简版（约5000字）。</w:t>
            </w:r>
          </w:p>
          <w:p>
            <w:pPr>
              <w:pStyle w:val="9"/>
              <w:spacing w:line="360" w:lineRule="auto"/>
              <w:ind w:firstLine="0"/>
              <w:rPr>
                <w:rFonts w:hint="default" w:asciiTheme="minorAscii" w:hAnsiTheme="minorAscii"/>
                <w:b/>
                <w:bCs/>
                <w:color w:val="auto"/>
                <w:highlight w:val="none"/>
              </w:rPr>
            </w:pPr>
            <w:r>
              <w:rPr>
                <w:rFonts w:hint="default" w:asciiTheme="minorAscii" w:hAnsiTheme="minorAscii"/>
                <w:b/>
                <w:bCs/>
                <w:color w:val="auto"/>
                <w:highlight w:val="none"/>
              </w:rPr>
              <w:t>四、人员要求</w:t>
            </w:r>
          </w:p>
          <w:p>
            <w:pPr>
              <w:pStyle w:val="37"/>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b w:val="0"/>
                <w:bCs/>
                <w:color w:val="auto"/>
                <w:sz w:val="21"/>
                <w:szCs w:val="21"/>
                <w:highlight w:val="none"/>
                <w:lang w:eastAsia="zh-CN"/>
              </w:rPr>
            </w:pPr>
            <w:r>
              <w:rPr>
                <w:rFonts w:hint="eastAsia"/>
                <w:color w:val="auto"/>
                <w:highlight w:val="none"/>
              </w:rPr>
              <w:t>▲</w:t>
            </w:r>
            <w:r>
              <w:rPr>
                <w:rFonts w:hint="eastAsia" w:ascii="宋体" w:hAnsi="宋体" w:eastAsia="宋体" w:cs="宋体"/>
                <w:b w:val="0"/>
                <w:bCs/>
                <w:color w:val="auto"/>
                <w:sz w:val="21"/>
                <w:szCs w:val="21"/>
                <w:highlight w:val="none"/>
                <w:lang w:val="en-US" w:eastAsia="zh-CN"/>
              </w:rPr>
              <w:t>课题组成员数量</w:t>
            </w:r>
            <w:r>
              <w:rPr>
                <w:rFonts w:hint="eastAsia" w:ascii="宋体" w:hAnsi="宋体" w:eastAsia="宋体" w:cs="宋体"/>
                <w:b w:val="0"/>
                <w:bCs/>
                <w:color w:val="auto"/>
                <w:sz w:val="21"/>
                <w:szCs w:val="21"/>
                <w:highlight w:val="none"/>
                <w:lang w:eastAsia="zh-CN"/>
              </w:rPr>
              <w:t>不少于</w:t>
            </w:r>
            <w:r>
              <w:rPr>
                <w:rFonts w:hint="eastAsia"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人，其中</w:t>
            </w:r>
            <w:r>
              <w:rPr>
                <w:rFonts w:hint="eastAsia" w:ascii="宋体" w:hAnsi="宋体" w:eastAsia="宋体" w:cs="宋体"/>
                <w:b w:val="0"/>
                <w:bCs/>
                <w:color w:val="auto"/>
                <w:sz w:val="21"/>
                <w:szCs w:val="21"/>
                <w:highlight w:val="none"/>
                <w:lang w:val="en-US" w:eastAsia="zh-CN"/>
              </w:rPr>
              <w:t>至少有1人有高级及以上职称。（</w:t>
            </w:r>
            <w:r>
              <w:rPr>
                <w:rFonts w:hint="eastAsia" w:ascii="宋体" w:hAnsi="宋体" w:eastAsia="宋体" w:cs="宋体"/>
                <w:b w:val="0"/>
                <w:bCs/>
                <w:color w:val="auto"/>
                <w:sz w:val="21"/>
                <w:szCs w:val="21"/>
                <w:highlight w:val="none"/>
                <w:lang w:eastAsia="zh-CN"/>
              </w:rPr>
              <w:t>供应商必须在响应文件中提供相关证书材料复印件并加盖供应商公章，否则磋商响应无效。）</w:t>
            </w:r>
          </w:p>
          <w:p>
            <w:pPr>
              <w:pStyle w:val="9"/>
              <w:spacing w:line="360" w:lineRule="auto"/>
              <w:ind w:firstLine="0"/>
              <w:rPr>
                <w:rFonts w:hint="default" w:asciiTheme="minorAscii" w:hAnsiTheme="minorAscii"/>
                <w:b/>
                <w:bCs/>
                <w:color w:val="auto"/>
                <w:highlight w:val="none"/>
              </w:rPr>
            </w:pPr>
            <w:r>
              <w:rPr>
                <w:rFonts w:hint="default" w:asciiTheme="minorAscii" w:hAnsiTheme="minorAscii"/>
                <w:b/>
                <w:bCs/>
                <w:color w:val="auto"/>
                <w:highlight w:val="none"/>
              </w:rPr>
              <w:t>五、成果交付时间</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rPr>
              <w:t>1、2024年10月30日前，供应商应编制形成《新常态下广西农情调度信息化现状及实现新突破的思考》《新时代广西农情信息工作瓶颈及突破方式研究》成果初稿，提交采购人研究并反馈意见。</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rPr>
              <w:t>2、2024年11月15日前，供应商应根据采购人反馈意见持续修改课题成果，提交采购人研究并反馈意见。</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rPr>
              <w:t>3、2024年11月30日前，供应商应编制完成课题成果终稿，按照采购人反馈意见修改完善。</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asciiTheme="minorAscii" w:hAnsiTheme="minorAscii"/>
                <w:color w:val="auto"/>
                <w:highlight w:val="none"/>
                <w:lang w:val="en-US" w:eastAsia="zh-CN"/>
              </w:rPr>
            </w:pPr>
            <w:r>
              <w:rPr>
                <w:rFonts w:hint="default" w:asciiTheme="minorAscii" w:hAnsiTheme="minorAscii"/>
                <w:color w:val="auto"/>
                <w:highlight w:val="none"/>
              </w:rPr>
              <w:t>4、2024年12月15日前，供应商应根据验收后意见和采购人反馈修改完善的课题成果，形成符合采购人认可的终稿并按照合同成果格式要求提交至采购人，课题成果要达到在国内核心期刊发表水平，并通过项目验收。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958" w:type="dxa"/>
            <w:gridSpan w:val="6"/>
            <w:vAlign w:val="center"/>
          </w:tcPr>
          <w:p>
            <w:pPr>
              <w:pStyle w:val="9"/>
              <w:spacing w:line="360" w:lineRule="auto"/>
              <w:ind w:firstLine="0"/>
              <w:rPr>
                <w:rFonts w:hint="default" w:eastAsia="宋体" w:asciiTheme="minorAscii" w:hAnsiTheme="minorAscii"/>
                <w:color w:val="auto"/>
                <w:highlight w:val="none"/>
                <w:lang w:val="en-US" w:eastAsia="zh-CN"/>
              </w:rPr>
            </w:pPr>
            <w:r>
              <w:rPr>
                <w:rFonts w:hint="eastAsia" w:eastAsia="宋体" w:asciiTheme="minorAscii" w:hAnsiTheme="minorAscii"/>
                <w:b/>
                <w:bCs/>
                <w:color w:val="auto"/>
                <w:highlight w:val="none"/>
                <w:lang w:val="en-US" w:eastAsia="zh-CN"/>
              </w:rPr>
              <w:t>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77" w:type="dxa"/>
            <w:gridSpan w:val="2"/>
            <w:vAlign w:val="center"/>
          </w:tcPr>
          <w:p>
            <w:pPr>
              <w:pStyle w:val="9"/>
              <w:ind w:firstLine="0"/>
              <w:rPr>
                <w:rFonts w:hint="default" w:eastAsia="宋体"/>
                <w:color w:val="auto"/>
                <w:highlight w:val="none"/>
                <w:lang w:val="en-US" w:eastAsia="zh-CN"/>
              </w:rPr>
            </w:pPr>
            <w:r>
              <w:rPr>
                <w:rFonts w:hint="eastAsia" w:ascii="宋体" w:hAnsi="宋体"/>
                <w:color w:val="auto"/>
                <w:szCs w:val="21"/>
                <w:highlight w:val="none"/>
              </w:rPr>
              <w:t>▲</w:t>
            </w:r>
            <w:r>
              <w:rPr>
                <w:rFonts w:hint="eastAsia"/>
                <w:color w:val="auto"/>
                <w:highlight w:val="none"/>
                <w:lang w:val="en-US" w:eastAsia="zh-CN"/>
              </w:rPr>
              <w:t>磋商报价</w:t>
            </w:r>
          </w:p>
        </w:tc>
        <w:tc>
          <w:tcPr>
            <w:tcW w:w="7381" w:type="dxa"/>
            <w:gridSpan w:val="4"/>
            <w:vAlign w:val="center"/>
          </w:tcPr>
          <w:p>
            <w:pPr>
              <w:pStyle w:val="9"/>
              <w:spacing w:line="360" w:lineRule="auto"/>
              <w:ind w:firstLine="0"/>
              <w:rPr>
                <w:rFonts w:hint="default" w:eastAsia="宋体" w:asciiTheme="minorAscii" w:hAnsiTheme="minorAscii"/>
                <w:color w:val="auto"/>
                <w:highlight w:val="none"/>
                <w:lang w:val="en-US" w:eastAsia="zh-CN"/>
              </w:rPr>
            </w:pPr>
            <w:r>
              <w:rPr>
                <w:rFonts w:hint="default" w:cs="宋体" w:asciiTheme="minorAscii" w:hAnsiTheme="minorAscii"/>
                <w:bCs/>
                <w:color w:val="auto"/>
                <w:szCs w:val="21"/>
                <w:highlight w:val="none"/>
              </w:rPr>
              <w:t>磋商报价</w:t>
            </w:r>
            <w:r>
              <w:rPr>
                <w:rFonts w:hint="default" w:asciiTheme="minorAscii" w:hAnsiTheme="minorAscii"/>
                <w:color w:val="auto"/>
                <w:highlight w:val="none"/>
              </w:rPr>
              <w:t>是履行合同的最终价格, 即满足全部采购需求所应提供的服务，包含但不限于</w:t>
            </w:r>
            <w:r>
              <w:rPr>
                <w:rFonts w:hint="default" w:eastAsia="宋体" w:asciiTheme="minorAscii" w:hAnsiTheme="minorAscii"/>
                <w:color w:val="auto"/>
                <w:highlight w:val="none"/>
                <w:lang w:val="en-US" w:eastAsia="zh-CN"/>
              </w:rPr>
              <w:t>资料收集、调研考察、策划、劳务、管理、协调、校对、印刷、验收</w:t>
            </w:r>
            <w:r>
              <w:rPr>
                <w:rFonts w:hint="default" w:asciiTheme="minorAscii" w:hAnsiTheme="minorAscii"/>
                <w:color w:val="auto"/>
                <w:highlight w:val="none"/>
                <w:lang w:val="en-US" w:eastAsia="zh-CN"/>
              </w:rPr>
              <w:t>、</w:t>
            </w:r>
            <w:r>
              <w:rPr>
                <w:rFonts w:hint="default" w:eastAsia="宋体" w:asciiTheme="minorAscii" w:hAnsiTheme="minorAscii"/>
                <w:color w:val="auto"/>
                <w:highlight w:val="none"/>
                <w:lang w:val="en-US" w:eastAsia="zh-CN"/>
              </w:rPr>
              <w:t>技术支持、</w:t>
            </w:r>
            <w:r>
              <w:rPr>
                <w:rFonts w:hint="default" w:asciiTheme="minorAscii" w:hAnsiTheme="minorAscii"/>
                <w:color w:val="auto"/>
                <w:highlight w:val="none"/>
              </w:rPr>
              <w:t>后续服务人员、差旅费、保险、税金和其他所有成本等一切费用，采购人</w:t>
            </w:r>
            <w:r>
              <w:rPr>
                <w:rFonts w:hint="default" w:asciiTheme="minorAscii" w:hAnsiTheme="minorAscii"/>
                <w:color w:val="auto"/>
                <w:highlight w:val="none"/>
                <w:lang w:eastAsia="zh-CN"/>
              </w:rPr>
              <w:t>不再另行支付额外费用</w:t>
            </w:r>
            <w:r>
              <w:rPr>
                <w:rFonts w:hint="default" w:asciiTheme="minorAscii" w:hAnsiTheme="minorAscii"/>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77" w:type="dxa"/>
            <w:gridSpan w:val="2"/>
            <w:vAlign w:val="center"/>
          </w:tcPr>
          <w:p>
            <w:pPr>
              <w:pStyle w:val="9"/>
              <w:ind w:firstLine="0"/>
              <w:jc w:val="center"/>
              <w:rPr>
                <w:rFonts w:hint="eastAsia"/>
                <w:color w:val="auto"/>
                <w:highlight w:val="none"/>
                <w:lang w:val="en-US" w:eastAsia="zh-CN"/>
              </w:rPr>
            </w:pPr>
            <w:r>
              <w:rPr>
                <w:rFonts w:hint="eastAsia" w:ascii="宋体" w:hAnsi="宋体"/>
                <w:color w:val="auto"/>
                <w:szCs w:val="21"/>
                <w:highlight w:val="none"/>
              </w:rPr>
              <w:t>▲</w:t>
            </w:r>
            <w:r>
              <w:rPr>
                <w:rFonts w:hint="eastAsia"/>
                <w:color w:val="auto"/>
                <w:highlight w:val="none"/>
                <w:lang w:val="en-US" w:eastAsia="zh-CN"/>
              </w:rPr>
              <w:t>合同履约期限（成果交付时间）</w:t>
            </w:r>
          </w:p>
        </w:tc>
        <w:tc>
          <w:tcPr>
            <w:tcW w:w="7381" w:type="dxa"/>
            <w:gridSpan w:val="4"/>
            <w:vAlign w:val="center"/>
          </w:tcPr>
          <w:p>
            <w:pPr>
              <w:pStyle w:val="9"/>
              <w:numPr>
                <w:ilvl w:val="0"/>
                <w:numId w:val="0"/>
              </w:numPr>
              <w:spacing w:line="360" w:lineRule="auto"/>
              <w:ind w:firstLine="0" w:firstLineChars="0"/>
              <w:rPr>
                <w:rFonts w:hint="default" w:asciiTheme="minorAscii" w:hAnsiTheme="minorAscii"/>
                <w:color w:val="auto"/>
                <w:highlight w:val="none"/>
              </w:rPr>
            </w:pPr>
            <w:r>
              <w:rPr>
                <w:rFonts w:hint="default" w:eastAsia="宋体" w:cs="Times New Roman" w:asciiTheme="minorAscii" w:hAnsiTheme="minorAscii"/>
                <w:color w:val="auto"/>
                <w:kern w:val="2"/>
                <w:sz w:val="21"/>
                <w:szCs w:val="20"/>
                <w:highlight w:val="none"/>
                <w:lang w:val="en-US" w:eastAsia="zh-CN" w:bidi="ar-SA"/>
              </w:rPr>
              <w:t>1、</w:t>
            </w:r>
            <w:r>
              <w:rPr>
                <w:rFonts w:hint="default" w:asciiTheme="minorAscii" w:hAnsiTheme="minorAscii"/>
                <w:color w:val="auto"/>
                <w:highlight w:val="none"/>
                <w:lang w:val="en-US" w:eastAsia="zh-CN"/>
              </w:rPr>
              <w:t>合同履约期限（成果交付时间）：</w:t>
            </w:r>
            <w:r>
              <w:rPr>
                <w:rFonts w:hint="default" w:asciiTheme="minorAscii" w:hAnsiTheme="minorAscii"/>
                <w:color w:val="auto"/>
                <w:highlight w:val="none"/>
              </w:rPr>
              <w:t>2024年10月30日前，供应商应编制形成《新常态下广西农情调度信息化现状及实现新突破的思考》《新时代广西农情信息工作瓶颈及突破方式研究》成果初稿，提交采购人研究并反馈意见</w:t>
            </w:r>
            <w:r>
              <w:rPr>
                <w:rFonts w:hint="eastAsia" w:asciiTheme="minorAscii" w:hAnsiTheme="minorAscii"/>
                <w:color w:val="auto"/>
                <w:highlight w:val="none"/>
                <w:lang w:eastAsia="zh-CN"/>
              </w:rPr>
              <w:t>；</w:t>
            </w:r>
            <w:r>
              <w:rPr>
                <w:rFonts w:hint="default" w:asciiTheme="minorAscii" w:hAnsiTheme="minorAscii"/>
                <w:color w:val="auto"/>
                <w:highlight w:val="none"/>
              </w:rPr>
              <w:t>2024年11月15日前，供应商应根据采购人反馈意见持续修改课题成果，提交采购人研究并反馈意见</w:t>
            </w:r>
            <w:r>
              <w:rPr>
                <w:rFonts w:hint="eastAsia" w:asciiTheme="minorAscii" w:hAnsiTheme="minorAscii"/>
                <w:color w:val="auto"/>
                <w:highlight w:val="none"/>
                <w:lang w:eastAsia="zh-CN"/>
              </w:rPr>
              <w:t>；</w:t>
            </w:r>
            <w:r>
              <w:rPr>
                <w:rFonts w:hint="default" w:asciiTheme="minorAscii" w:hAnsiTheme="minorAscii"/>
                <w:color w:val="auto"/>
                <w:highlight w:val="none"/>
              </w:rPr>
              <w:t>2024年11月30日前，供应商应编制完成课题成果终稿，按照采购人反馈意见修改完善</w:t>
            </w:r>
            <w:r>
              <w:rPr>
                <w:rFonts w:hint="eastAsia" w:asciiTheme="minorAscii" w:hAnsiTheme="minorAscii"/>
                <w:color w:val="auto"/>
                <w:highlight w:val="none"/>
                <w:lang w:eastAsia="zh-CN"/>
              </w:rPr>
              <w:t>；</w:t>
            </w:r>
            <w:r>
              <w:rPr>
                <w:rFonts w:hint="default" w:asciiTheme="minorAscii" w:hAnsiTheme="minorAscii"/>
                <w:color w:val="auto"/>
                <w:highlight w:val="none"/>
              </w:rPr>
              <w:t>2024年12月15日前，供应商应根据验收后意见和采购人反馈修改完善的课题成果，形成符合采购人认可的终稿并按照合同成果格式要求提交至采购人，课题成果要达到在国内核心期刊发表水平，并通过项目验收。</w:t>
            </w:r>
          </w:p>
          <w:p>
            <w:pPr>
              <w:pStyle w:val="9"/>
              <w:numPr>
                <w:ilvl w:val="0"/>
                <w:numId w:val="0"/>
              </w:numPr>
              <w:spacing w:line="360" w:lineRule="auto"/>
              <w:rPr>
                <w:rFonts w:hint="eastAsia" w:eastAsia="宋体" w:asciiTheme="minorAscii" w:hAnsiTheme="minorAscii"/>
                <w:color w:val="auto"/>
                <w:highlight w:val="none"/>
                <w:lang w:val="en-US" w:eastAsia="zh-CN"/>
              </w:rPr>
            </w:pPr>
            <w:r>
              <w:rPr>
                <w:rFonts w:hint="eastAsia" w:asciiTheme="minorAscii" w:hAnsiTheme="minorAscii"/>
                <w:color w:val="auto"/>
                <w:highlight w:val="none"/>
                <w:lang w:val="en-US" w:eastAsia="zh-CN"/>
              </w:rPr>
              <w:t>2、成果交付地点：采购人指定地点。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77" w:type="dxa"/>
            <w:gridSpan w:val="2"/>
            <w:vAlign w:val="center"/>
          </w:tcPr>
          <w:p>
            <w:pPr>
              <w:pStyle w:val="9"/>
              <w:ind w:firstLine="0"/>
              <w:jc w:val="center"/>
              <w:rPr>
                <w:rFonts w:hint="eastAsia"/>
                <w:color w:val="auto"/>
                <w:highlight w:val="none"/>
                <w:lang w:val="en-US" w:eastAsia="zh-CN"/>
              </w:rPr>
            </w:pPr>
            <w:r>
              <w:rPr>
                <w:rFonts w:hint="eastAsia" w:ascii="宋体" w:hAnsi="宋体"/>
                <w:color w:val="auto"/>
                <w:szCs w:val="21"/>
                <w:highlight w:val="none"/>
              </w:rPr>
              <w:t>▲付款方式</w:t>
            </w:r>
          </w:p>
        </w:tc>
        <w:tc>
          <w:tcPr>
            <w:tcW w:w="7381" w:type="dxa"/>
            <w:gridSpan w:val="4"/>
            <w:vAlign w:val="center"/>
          </w:tcPr>
          <w:p>
            <w:pPr>
              <w:pStyle w:val="9"/>
              <w:spacing w:line="360" w:lineRule="auto"/>
              <w:ind w:firstLine="0"/>
              <w:rPr>
                <w:rFonts w:hint="default" w:eastAsia="宋体" w:asciiTheme="minorAscii" w:hAnsiTheme="minorAscii"/>
                <w:color w:val="auto"/>
                <w:highlight w:val="none"/>
                <w:lang w:val="en-US" w:eastAsia="zh-CN"/>
              </w:rPr>
            </w:pPr>
            <w:r>
              <w:rPr>
                <w:rFonts w:hint="eastAsia"/>
                <w:color w:val="auto"/>
                <w:highlight w:val="none"/>
                <w:lang w:eastAsia="zh-CN"/>
              </w:rPr>
              <w:t>自签订合同后10个工作日内，采购人支付40%的合同款给成交供应商；成交供应商形成《新常态下广西农情调度信息化现状及实现新突破的思考》《新时代广西农情信息工作瓶颈及突破方式研究》成果初稿后，采购人支付剩余合同款的40%给成交供应商；成交供应商形成成果终稿后（达到在国内核心期刊发表水平，并通过项目验收），采购人支付剩余20%合同款给成交供应商。成交供应商自每次收到合同款之日起3个工作日内开具合法的发票给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77" w:type="dxa"/>
            <w:gridSpan w:val="2"/>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售后服务要求</w:t>
            </w:r>
          </w:p>
        </w:tc>
        <w:tc>
          <w:tcPr>
            <w:tcW w:w="7381" w:type="dxa"/>
            <w:gridSpan w:val="4"/>
            <w:vAlign w:val="center"/>
          </w:tcPr>
          <w:p>
            <w:pPr>
              <w:pStyle w:val="9"/>
              <w:spacing w:line="360" w:lineRule="auto"/>
              <w:ind w:firstLine="0"/>
              <w:rPr>
                <w:rFonts w:hint="default" w:asciiTheme="minorAscii" w:hAnsiTheme="minorAscii"/>
                <w:color w:val="auto"/>
                <w:highlight w:val="none"/>
                <w:lang w:val="en-US" w:eastAsia="zh-CN"/>
              </w:rPr>
            </w:pPr>
            <w:r>
              <w:rPr>
                <w:rFonts w:hint="default" w:asciiTheme="minorAscii" w:hAnsiTheme="minorAscii"/>
                <w:color w:val="auto"/>
                <w:highlight w:val="none"/>
                <w:lang w:val="en-US" w:eastAsia="zh-CN"/>
              </w:rPr>
              <w:t>1、后续服务期：自提交服务成果并验收合格之日起计一年，服务期内成交供应商须按采购人要求提供相应的咨询服务。</w:t>
            </w:r>
          </w:p>
          <w:p>
            <w:pPr>
              <w:pStyle w:val="9"/>
              <w:spacing w:line="360" w:lineRule="auto"/>
              <w:ind w:firstLine="0"/>
              <w:rPr>
                <w:rFonts w:hint="default" w:asciiTheme="minorAscii" w:hAnsiTheme="minorAscii"/>
                <w:color w:val="auto"/>
                <w:highlight w:val="none"/>
                <w:lang w:val="en-US" w:eastAsia="zh-CN"/>
              </w:rPr>
            </w:pPr>
            <w:r>
              <w:rPr>
                <w:rFonts w:hint="default" w:asciiTheme="minorAscii" w:hAnsiTheme="minorAscii"/>
                <w:color w:val="auto"/>
                <w:highlight w:val="none"/>
                <w:lang w:val="en-US" w:eastAsia="zh-CN"/>
              </w:rPr>
              <w:t>2、处理问题响应时间：接到采购人处理问题通知后,1小时内给予电话或文件答复。</w:t>
            </w:r>
          </w:p>
          <w:p>
            <w:pPr>
              <w:pStyle w:val="9"/>
              <w:spacing w:line="360" w:lineRule="auto"/>
              <w:ind w:firstLine="0"/>
              <w:rPr>
                <w:rFonts w:hint="default" w:asciiTheme="minorAscii" w:hAnsiTheme="minorAscii"/>
                <w:color w:val="auto"/>
                <w:highlight w:val="none"/>
                <w:lang w:val="en-US" w:eastAsia="zh-CN"/>
              </w:rPr>
            </w:pPr>
            <w:r>
              <w:rPr>
                <w:rFonts w:hint="default" w:asciiTheme="minorAscii" w:hAnsiTheme="minorAscii"/>
                <w:color w:val="auto"/>
                <w:highlight w:val="none"/>
                <w:lang w:val="en-US" w:eastAsia="zh-CN"/>
              </w:rPr>
              <w:t>3、其他：根据评审会、工作对接会、协调会等意见相应修改完善项目内容。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77" w:type="dxa"/>
            <w:gridSpan w:val="2"/>
            <w:vAlign w:val="center"/>
          </w:tcPr>
          <w:p>
            <w:pPr>
              <w:pStyle w:val="9"/>
              <w:ind w:firstLine="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其他</w:t>
            </w:r>
          </w:p>
        </w:tc>
        <w:tc>
          <w:tcPr>
            <w:tcW w:w="7381" w:type="dxa"/>
            <w:gridSpan w:val="4"/>
            <w:vAlign w:val="center"/>
          </w:tcPr>
          <w:p>
            <w:pPr>
              <w:keepNext w:val="0"/>
              <w:keepLines w:val="0"/>
              <w:widowControl/>
              <w:suppressLineNumbers w:val="0"/>
              <w:spacing w:line="360" w:lineRule="auto"/>
              <w:jc w:val="left"/>
              <w:rPr>
                <w:rFonts w:hint="default" w:eastAsia="宋体" w:cs="Times New Roman" w:asciiTheme="minorAscii" w:hAnsiTheme="minorAscii"/>
                <w:color w:val="auto"/>
                <w:kern w:val="2"/>
                <w:sz w:val="21"/>
                <w:szCs w:val="20"/>
                <w:highlight w:val="none"/>
                <w:lang w:val="en-US" w:eastAsia="zh-CN" w:bidi="ar-SA"/>
              </w:rPr>
            </w:pPr>
            <w:r>
              <w:rPr>
                <w:rFonts w:hint="eastAsia" w:eastAsia="宋体" w:cs="Times New Roman" w:asciiTheme="minorAscii" w:hAnsiTheme="minorAscii"/>
                <w:color w:val="auto"/>
                <w:kern w:val="2"/>
                <w:sz w:val="21"/>
                <w:szCs w:val="20"/>
                <w:highlight w:val="none"/>
                <w:lang w:val="en-US" w:eastAsia="zh-CN" w:bidi="ar-SA"/>
              </w:rPr>
              <w:t xml:space="preserve">1、课题研究服务成果版权归采购人所有。 </w:t>
            </w:r>
          </w:p>
          <w:p>
            <w:pPr>
              <w:keepNext w:val="0"/>
              <w:keepLines w:val="0"/>
              <w:widowControl/>
              <w:suppressLineNumbers w:val="0"/>
              <w:spacing w:line="360" w:lineRule="auto"/>
              <w:jc w:val="left"/>
              <w:rPr>
                <w:rFonts w:hint="default" w:eastAsia="宋体" w:cs="Times New Roman" w:asciiTheme="minorAscii" w:hAnsiTheme="minorAscii"/>
                <w:color w:val="auto"/>
                <w:kern w:val="2"/>
                <w:sz w:val="21"/>
                <w:szCs w:val="20"/>
                <w:highlight w:val="none"/>
                <w:lang w:val="en-US" w:eastAsia="zh-CN" w:bidi="ar-SA"/>
              </w:rPr>
            </w:pPr>
            <w:r>
              <w:rPr>
                <w:rFonts w:hint="eastAsia" w:eastAsia="宋体" w:cs="Times New Roman" w:asciiTheme="minorAscii" w:hAnsiTheme="minorAscii"/>
                <w:color w:val="auto"/>
                <w:kern w:val="2"/>
                <w:sz w:val="21"/>
                <w:szCs w:val="20"/>
                <w:highlight w:val="none"/>
                <w:lang w:val="en-US" w:eastAsia="zh-CN" w:bidi="ar-SA"/>
              </w:rPr>
              <w:t xml:space="preserve">2、涉及保密事项的，成交供应商应严格保密，未经采购人同意，不得扩散，因泄露造成采购人利益受损的，除按损价赔偿外还追究其法律责任。 </w:t>
            </w:r>
          </w:p>
          <w:p>
            <w:pPr>
              <w:keepNext w:val="0"/>
              <w:keepLines w:val="0"/>
              <w:widowControl/>
              <w:suppressLineNumbers w:val="0"/>
              <w:spacing w:line="360" w:lineRule="auto"/>
              <w:jc w:val="left"/>
              <w:rPr>
                <w:rFonts w:hint="default" w:asciiTheme="minorAscii" w:hAnsiTheme="minorAscii"/>
                <w:color w:val="auto"/>
                <w:highlight w:val="none"/>
                <w:lang w:val="en-US" w:eastAsia="zh-CN"/>
              </w:rPr>
            </w:pPr>
            <w:r>
              <w:rPr>
                <w:rFonts w:hint="eastAsia" w:eastAsia="宋体" w:cs="Times New Roman" w:asciiTheme="minorAscii" w:hAnsiTheme="minorAscii"/>
                <w:color w:val="auto"/>
                <w:kern w:val="2"/>
                <w:sz w:val="21"/>
                <w:szCs w:val="20"/>
                <w:highlight w:val="none"/>
                <w:lang w:val="en-US" w:eastAsia="zh-CN" w:bidi="ar-SA"/>
              </w:rPr>
              <w:t>3、成交供应商应保证针对本项目的服务所涉及到的知识产权和所提供的相关技术资料是合法取得，或享有完整的知识产权，不会因为采购人的使用而被责令停止使用、追偿或要求赔偿损失，如出现此情况，一切经济和法律责任均由成交</w:t>
            </w:r>
            <w:r>
              <w:rPr>
                <w:rFonts w:hint="eastAsia" w:cs="Times New Roman" w:asciiTheme="minorAscii" w:hAnsiTheme="minorAscii"/>
                <w:color w:val="auto"/>
                <w:kern w:val="2"/>
                <w:sz w:val="21"/>
                <w:szCs w:val="20"/>
                <w:highlight w:val="none"/>
                <w:lang w:val="en-US" w:eastAsia="zh-CN" w:bidi="ar-SA"/>
              </w:rPr>
              <w:t>供应商</w:t>
            </w:r>
            <w:r>
              <w:rPr>
                <w:rFonts w:hint="eastAsia" w:eastAsia="宋体" w:cs="Times New Roman" w:asciiTheme="minorAscii" w:hAnsiTheme="minorAscii"/>
                <w:color w:val="auto"/>
                <w:kern w:val="2"/>
                <w:sz w:val="21"/>
                <w:szCs w:val="20"/>
                <w:highlight w:val="none"/>
                <w:lang w:val="en-US" w:eastAsia="zh-CN" w:bidi="ar-SA"/>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77" w:type="dxa"/>
            <w:gridSpan w:val="2"/>
            <w:vAlign w:val="center"/>
          </w:tcPr>
          <w:p>
            <w:pPr>
              <w:pStyle w:val="9"/>
              <w:ind w:firstLine="0"/>
              <w:jc w:val="center"/>
              <w:rPr>
                <w:rFonts w:hint="eastAsia" w:ascii="宋体" w:hAnsi="宋体"/>
                <w:color w:val="auto"/>
                <w:szCs w:val="21"/>
                <w:highlight w:val="none"/>
                <w:lang w:eastAsia="zh-CN"/>
              </w:rPr>
            </w:pPr>
            <w:r>
              <w:rPr>
                <w:rFonts w:hint="eastAsia" w:ascii="宋体" w:hAnsi="宋体"/>
                <w:color w:val="auto"/>
                <w:szCs w:val="21"/>
                <w:highlight w:val="none"/>
                <w:lang w:val="en-US" w:eastAsia="zh-CN"/>
              </w:rPr>
              <w:t>验收相关注意事项</w:t>
            </w:r>
          </w:p>
          <w:p>
            <w:pPr>
              <w:pStyle w:val="9"/>
              <w:ind w:firstLine="0"/>
              <w:rPr>
                <w:rFonts w:hint="eastAsia" w:ascii="宋体" w:hAnsi="宋体"/>
                <w:color w:val="auto"/>
                <w:szCs w:val="21"/>
                <w:highlight w:val="none"/>
                <w:lang w:eastAsia="zh-CN"/>
              </w:rPr>
            </w:pPr>
          </w:p>
        </w:tc>
        <w:tc>
          <w:tcPr>
            <w:tcW w:w="7381" w:type="dxa"/>
            <w:gridSpan w:val="4"/>
            <w:vAlign w:val="center"/>
          </w:tcPr>
          <w:p>
            <w:pPr>
              <w:keepNext w:val="0"/>
              <w:keepLines w:val="0"/>
              <w:widowControl/>
              <w:suppressLineNumbers w:val="0"/>
              <w:spacing w:line="360" w:lineRule="auto"/>
              <w:jc w:val="left"/>
              <w:rPr>
                <w:rFonts w:hint="eastAsia" w:eastAsia="宋体" w:cs="Times New Roman" w:asciiTheme="minorAscii" w:hAnsiTheme="minorAscii"/>
                <w:color w:val="auto"/>
                <w:kern w:val="2"/>
                <w:sz w:val="21"/>
                <w:szCs w:val="20"/>
                <w:highlight w:val="none"/>
                <w:lang w:val="en-US" w:eastAsia="zh-CN" w:bidi="ar-SA"/>
              </w:rPr>
            </w:pPr>
            <w:r>
              <w:rPr>
                <w:rFonts w:hint="eastAsia" w:ascii="Times New Roman" w:hAnsi="Times New Roman" w:cs="Times New Roman"/>
                <w:color w:val="auto"/>
                <w:kern w:val="0"/>
                <w:sz w:val="20"/>
                <w:szCs w:val="20"/>
                <w:highlight w:val="none"/>
                <w:lang w:val="en-US" w:eastAsia="zh-CN" w:bidi="ar"/>
              </w:rPr>
              <w:t>1</w:t>
            </w:r>
            <w:r>
              <w:rPr>
                <w:rFonts w:hint="eastAsia" w:eastAsia="宋体" w:cs="Times New Roman" w:asciiTheme="minorAscii" w:hAnsiTheme="minorAscii"/>
                <w:color w:val="auto"/>
                <w:kern w:val="2"/>
                <w:sz w:val="21"/>
                <w:szCs w:val="20"/>
                <w:highlight w:val="none"/>
                <w:lang w:val="en-US" w:eastAsia="zh-CN" w:bidi="ar-SA"/>
              </w:rPr>
              <w:t>、成交供应商应按磋商文件规定的服务内容、技术要求、质量标准向采购人提供无瑕疵的服务成果；成交</w:t>
            </w:r>
            <w:r>
              <w:rPr>
                <w:rFonts w:hint="eastAsia" w:cs="Times New Roman" w:asciiTheme="minorAscii" w:hAnsiTheme="minorAscii"/>
                <w:color w:val="auto"/>
                <w:kern w:val="2"/>
                <w:sz w:val="21"/>
                <w:szCs w:val="20"/>
                <w:highlight w:val="none"/>
                <w:lang w:val="en-US" w:eastAsia="zh-CN" w:bidi="ar-SA"/>
              </w:rPr>
              <w:t>供应商</w:t>
            </w:r>
            <w:r>
              <w:rPr>
                <w:rFonts w:hint="eastAsia" w:eastAsia="宋体" w:cs="Times New Roman" w:asciiTheme="minorAscii" w:hAnsiTheme="minorAscii"/>
                <w:color w:val="auto"/>
                <w:kern w:val="2"/>
                <w:sz w:val="21"/>
                <w:szCs w:val="20"/>
                <w:highlight w:val="none"/>
                <w:lang w:val="en-US" w:eastAsia="zh-CN" w:bidi="ar-SA"/>
              </w:rPr>
              <w:t xml:space="preserve">对提交的最终服务成果质量负责。 </w:t>
            </w:r>
          </w:p>
          <w:p>
            <w:pPr>
              <w:keepNext w:val="0"/>
              <w:keepLines w:val="0"/>
              <w:widowControl/>
              <w:suppressLineNumbers w:val="0"/>
              <w:spacing w:line="360" w:lineRule="auto"/>
              <w:jc w:val="left"/>
              <w:rPr>
                <w:rFonts w:hint="eastAsia" w:eastAsia="宋体" w:cs="Times New Roman" w:asciiTheme="minorAscii" w:hAnsiTheme="minorAscii"/>
                <w:color w:val="auto"/>
                <w:kern w:val="2"/>
                <w:sz w:val="21"/>
                <w:szCs w:val="20"/>
                <w:highlight w:val="none"/>
                <w:lang w:val="en-US" w:eastAsia="zh-CN" w:bidi="ar-SA"/>
              </w:rPr>
            </w:pPr>
            <w:r>
              <w:rPr>
                <w:rFonts w:hint="eastAsia" w:eastAsia="宋体" w:cs="Times New Roman" w:asciiTheme="minorAscii" w:hAnsiTheme="minorAscii"/>
                <w:color w:val="auto"/>
                <w:kern w:val="2"/>
                <w:sz w:val="21"/>
                <w:szCs w:val="20"/>
                <w:highlight w:val="none"/>
                <w:lang w:val="en-US" w:eastAsia="zh-CN" w:bidi="ar-SA"/>
              </w:rPr>
              <w:t xml:space="preserve">2、项目验收时由采购人对照磋商文件、成交供应商的响应文件等相应内容及要求全面核对检验，如不符合磋商文件的服务内容及要求，或者提供虚假承诺的，按相关规定综止合同及进行违约处理，成交供应商承担所有责任和费用，造成采购人利益损失的还须赔偿，且采购人保留进一步追究责任的权利。 </w:t>
            </w:r>
          </w:p>
          <w:p>
            <w:pPr>
              <w:keepNext w:val="0"/>
              <w:keepLines w:val="0"/>
              <w:widowControl/>
              <w:suppressLineNumbers w:val="0"/>
              <w:spacing w:line="360" w:lineRule="auto"/>
              <w:jc w:val="left"/>
              <w:rPr>
                <w:rFonts w:hint="eastAsia" w:eastAsia="宋体" w:cs="Times New Roman" w:asciiTheme="minorAscii" w:hAnsiTheme="minorAscii"/>
                <w:color w:val="auto"/>
                <w:kern w:val="2"/>
                <w:sz w:val="21"/>
                <w:szCs w:val="20"/>
                <w:highlight w:val="none"/>
                <w:lang w:val="en-US" w:eastAsia="zh-CN" w:bidi="ar-SA"/>
              </w:rPr>
            </w:pPr>
            <w:r>
              <w:rPr>
                <w:rFonts w:hint="eastAsia" w:eastAsia="宋体" w:cs="Times New Roman" w:asciiTheme="minorAscii" w:hAnsiTheme="minorAscii"/>
                <w:color w:val="auto"/>
                <w:kern w:val="2"/>
                <w:sz w:val="21"/>
                <w:szCs w:val="20"/>
                <w:highlight w:val="none"/>
                <w:lang w:val="en-US" w:eastAsia="zh-CN" w:bidi="ar-SA"/>
              </w:rPr>
              <w:t xml:space="preserve">3、由采购人组成验收小组对本项目服务成果进行验收。未通过验收的，成交供应商必须根据验收小组的意见和建议，在规定的时间内进行修改、补充和完善。成交供应商无正当理由拒不改正的，视为违约，并按相关约定处理。 </w:t>
            </w:r>
          </w:p>
          <w:p>
            <w:pPr>
              <w:keepNext w:val="0"/>
              <w:keepLines w:val="0"/>
              <w:widowControl/>
              <w:suppressLineNumbers w:val="0"/>
              <w:spacing w:line="360" w:lineRule="auto"/>
              <w:jc w:val="left"/>
              <w:rPr>
                <w:rFonts w:hint="eastAsia" w:ascii="宋体" w:hAnsi="宋体" w:eastAsia="宋体" w:cs="宋体"/>
                <w:color w:val="auto"/>
                <w:kern w:val="0"/>
                <w:sz w:val="20"/>
                <w:szCs w:val="20"/>
                <w:highlight w:val="none"/>
                <w:lang w:val="en-US" w:eastAsia="zh-CN" w:bidi="ar"/>
              </w:rPr>
            </w:pPr>
            <w:r>
              <w:rPr>
                <w:rFonts w:hint="eastAsia" w:eastAsia="宋体" w:cs="Times New Roman" w:asciiTheme="minorAscii" w:hAnsiTheme="minorAscii"/>
                <w:color w:val="auto"/>
                <w:kern w:val="2"/>
                <w:sz w:val="21"/>
                <w:szCs w:val="20"/>
                <w:highlight w:val="none"/>
                <w:lang w:val="en-US" w:eastAsia="zh-CN" w:bidi="ar-SA"/>
              </w:rPr>
              <w:t>4、验收过程中，如产生费用由成交供应商承担。</w:t>
            </w:r>
          </w:p>
        </w:tc>
      </w:tr>
    </w:tbl>
    <w:p>
      <w:pPr>
        <w:pStyle w:val="5"/>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第四章  评审程序、评审方法和评审标准</w:t>
      </w:r>
      <w:bookmarkEnd w:id="40"/>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pPr>
        <w:spacing w:line="360" w:lineRule="auto"/>
        <w:ind w:firstLine="482" w:firstLineChars="200"/>
        <w:rPr>
          <w:rFonts w:ascii="宋体" w:hAnsi="宋体" w:cs="宋体"/>
          <w:b/>
          <w:bCs/>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highlight w:val="none"/>
        </w:rPr>
        <w:t>www.ccgp.gov.cn</w:t>
      </w:r>
      <w:r>
        <w:rPr>
          <w:rFonts w:hint="eastAsia" w:ascii="宋体" w:hAnsi="宋体" w:cs="宋体"/>
          <w:color w:val="auto"/>
          <w:highlight w:val="none"/>
        </w:rPr>
        <w:fldChar w:fldCharType="end"/>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（3）查询记录和证据留存方式：通过广西政府采购云平台链接到相关查询网站进行查询及记录。</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pPr>
        <w:spacing w:line="360" w:lineRule="auto"/>
        <w:ind w:firstLine="420" w:firstLineChars="200"/>
        <w:rPr>
          <w:rFonts w:ascii="宋体" w:hAnsi="宋体" w:cs="宋体"/>
          <w:color w:val="auto"/>
          <w:szCs w:val="21"/>
          <w:highlight w:val="none"/>
        </w:rPr>
      </w:pPr>
      <w:bookmarkStart w:id="41" w:name="_Hlk42528882"/>
      <w:r>
        <w:rPr>
          <w:rFonts w:hint="eastAsia" w:ascii="宋体" w:hAnsi="宋体" w:cs="宋体"/>
          <w:color w:val="auto"/>
          <w:szCs w:val="21"/>
          <w:highlight w:val="none"/>
        </w:rPr>
        <w:t>2.1由磋商小组对资格审查的合格供应商的响应文件的竞标报价、商务、技术等实质性要求进行符合性审查，以确定其是否满足磋商文件的实质性要求。</w:t>
      </w:r>
    </w:p>
    <w:bookmarkEnd w:id="41"/>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11）技术要求中标“▲”的条款发生负偏离或允许负偏离的条款数超过“供应商须知前附表”规定项数的；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bookmarkStart w:id="42"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4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14）响应文件标注的项目名称或者项目编号与磋商文件标注的项目名称或者项目编号不一致的；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15）竞争性磋商文件明确不允许分包，响应文件拟分包的；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16）未响应磋商文件实质性要求；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报价商务技术文件中规定的“竞标报价表”；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43" w:name="_Hlk42596405"/>
      <w:r>
        <w:rPr>
          <w:rFonts w:hint="eastAsia" w:ascii="宋体" w:hAnsi="宋体" w:cs="宋体"/>
          <w:color w:val="auto"/>
          <w:szCs w:val="21"/>
          <w:highlight w:val="none"/>
        </w:rPr>
        <w:t xml:space="preserve"> </w:t>
      </w:r>
      <w:bookmarkEnd w:id="4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3.3对磋商文件作出的实质性变动是磋商文件的有效组成部分，由磋商小组及时以电子磋商记录形式同时通知所有参加磋商的供应商。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3.6对磋商过程提交的响应文件进行有效性、完整性和响应程度审查，通过审查的合格供应商不足3家的，采购人或者采购代理机构应当重新开展采购活动。</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由磋商小组要求所有继续参加磋商的供应商在规定时间内以电子文件形式提交最后报价，除本章第2.7、3.7、4.3条外，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color w:val="auto"/>
          <w:highlight w:val="none"/>
        </w:rPr>
        <w:t>本章第3.8条情形的，</w:t>
      </w:r>
      <w:r>
        <w:rPr>
          <w:rFonts w:hint="eastAsia" w:ascii="宋体" w:hAnsi="宋体" w:cs="宋体"/>
          <w:color w:val="auto"/>
          <w:szCs w:val="21"/>
          <w:highlight w:val="none"/>
        </w:rPr>
        <w:t>提交最后报价的供应商可以为2家。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4.6磋商小组收齐某一分标最后报价后或达到规定时间后统一开启，磋商小组对最后报价进行有效性、完整性和响应程度的审查。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4.9供应商出现最后报价按无效响应处理或者响应文件按无效响应处理时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4.10最后报价结束后，磋商小组不得再与供应商进行任何形式的商谈。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5.4评标价为供应商的最后报价进行政策性扣除后的价格，评标价只是作为评审时使用。最终成交供应商的成交金额等于最后报价（如有修正，以确认修正后的最后报价为准）。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w:t>
      </w:r>
      <w:r>
        <w:rPr>
          <w:rFonts w:hint="eastAsia" w:ascii="宋体" w:hAnsi="宋体" w:cs="宋体"/>
          <w:color w:val="auto"/>
          <w:szCs w:val="21"/>
          <w:highlight w:val="none"/>
        </w:rPr>
        <w:t>2.7、3.7、4.3</w:t>
      </w:r>
      <w:r>
        <w:rPr>
          <w:rFonts w:hint="eastAsia" w:ascii="宋体" w:hAnsi="宋体" w:cs="宋体"/>
          <w:color w:val="auto"/>
          <w:kern w:val="0"/>
          <w:szCs w:val="21"/>
          <w:highlight w:val="none"/>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二、评审标准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6.评审依据：磋商小组将以磋商响应文件为评审依据，对供应商的报价、技术、商务等方面内容按百分制打分。（计分方法按四舍五入取至百分位）</w:t>
      </w:r>
    </w:p>
    <w:p>
      <w:pPr>
        <w:rPr>
          <w:rFonts w:hint="eastAsia" w:ascii="宋体" w:hAnsi="宋体" w:cs="宋体"/>
          <w:bCs/>
          <w:color w:val="auto"/>
          <w:szCs w:val="21"/>
          <w:highlight w:val="none"/>
        </w:rPr>
      </w:pPr>
    </w:p>
    <w:tbl>
      <w:tblPr>
        <w:tblStyle w:val="30"/>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07"/>
        <w:gridCol w:w="737"/>
        <w:gridCol w:w="1548"/>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107" w:type="dxa"/>
            <w:vAlign w:val="center"/>
          </w:tcPr>
          <w:p>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37"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718" w:type="dxa"/>
            <w:gridSpan w:val="2"/>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10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3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0分</w:t>
            </w:r>
          </w:p>
        </w:tc>
        <w:tc>
          <w:tcPr>
            <w:tcW w:w="6718" w:type="dxa"/>
            <w:gridSpan w:val="2"/>
            <w:vAlign w:val="center"/>
          </w:tcPr>
          <w:p>
            <w:pPr>
              <w:pStyle w:val="18"/>
              <w:spacing w:line="360" w:lineRule="auto"/>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pPr>
              <w:pStyle w:val="18"/>
              <w:spacing w:line="360" w:lineRule="auto"/>
              <w:ind w:firstLine="420" w:firstLineChars="200"/>
              <w:rPr>
                <w:rFonts w:hAnsi="宋体" w:cs="Courier New"/>
                <w:b/>
                <w:bCs/>
                <w:color w:val="auto"/>
                <w:kern w:val="2"/>
                <w:sz w:val="21"/>
                <w:highlight w:val="none"/>
              </w:rPr>
            </w:pPr>
            <w:r>
              <w:rPr>
                <w:rFonts w:hint="eastAsia" w:hAnsi="宋体"/>
                <w:bCs/>
                <w:color w:val="auto"/>
                <w:sz w:val="21"/>
                <w:highlight w:val="none"/>
              </w:rPr>
              <w:t>本项目属于专门面向中小企业采购的项目，不再享受价格扣除优惠政策。</w:t>
            </w:r>
          </w:p>
          <w:p>
            <w:pPr>
              <w:pStyle w:val="18"/>
              <w:spacing w:line="360" w:lineRule="auto"/>
              <w:rPr>
                <w:rFonts w:hAnsi="宋体"/>
                <w:b/>
                <w:color w:val="auto"/>
                <w:sz w:val="21"/>
                <w:highlight w:val="none"/>
              </w:rPr>
            </w:pPr>
            <w:r>
              <w:rPr>
                <w:rFonts w:hint="eastAsia" w:hAnsi="宋体" w:cs="Courier New"/>
                <w:b/>
                <w:bCs/>
                <w:color w:val="auto"/>
                <w:kern w:val="2"/>
                <w:sz w:val="21"/>
                <w:highlight w:val="none"/>
              </w:rPr>
              <w:t>二、</w:t>
            </w:r>
            <w:r>
              <w:rPr>
                <w:rFonts w:hint="eastAsia" w:hAnsi="宋体"/>
                <w:b/>
                <w:color w:val="auto"/>
                <w:sz w:val="21"/>
                <w:highlight w:val="none"/>
              </w:rPr>
              <w:t>报价分（满分10分）</w:t>
            </w:r>
          </w:p>
          <w:p>
            <w:pPr>
              <w:pStyle w:val="18"/>
              <w:spacing w:line="360" w:lineRule="auto"/>
              <w:ind w:firstLine="420" w:firstLineChars="200"/>
              <w:rPr>
                <w:rFonts w:hAnsi="宋体"/>
                <w:bCs/>
                <w:color w:val="auto"/>
                <w:sz w:val="21"/>
                <w:highlight w:val="none"/>
              </w:rPr>
            </w:pPr>
            <w:r>
              <w:rPr>
                <w:rFonts w:hint="eastAsia" w:hAnsi="宋体"/>
                <w:bCs/>
                <w:color w:val="auto"/>
                <w:sz w:val="21"/>
                <w:highlight w:val="none"/>
              </w:rPr>
              <w:t>1、报价分采用低价优先法计算，满足竞争性磋商文件要求的有效供应商最低的最后报价为评标基准价，其报价分为满分。</w:t>
            </w:r>
          </w:p>
          <w:p>
            <w:pPr>
              <w:pStyle w:val="18"/>
              <w:spacing w:line="360" w:lineRule="auto"/>
              <w:ind w:firstLine="420" w:firstLineChars="200"/>
              <w:rPr>
                <w:rFonts w:hAnsi="宋体"/>
                <w:bCs/>
                <w:color w:val="auto"/>
                <w:sz w:val="21"/>
                <w:highlight w:val="none"/>
              </w:rPr>
            </w:pPr>
            <w:r>
              <w:rPr>
                <w:rFonts w:hint="eastAsia" w:hAnsi="宋体"/>
                <w:bCs/>
                <w:color w:val="auto"/>
                <w:sz w:val="21"/>
                <w:highlight w:val="none"/>
              </w:rPr>
              <w:t>2、其他供应商的价格分统一按照下列公式计算：</w:t>
            </w:r>
          </w:p>
          <w:p>
            <w:pPr>
              <w:pStyle w:val="18"/>
              <w:spacing w:line="420" w:lineRule="exact"/>
              <w:rPr>
                <w:rFonts w:hAnsi="宋体" w:cs="宋体"/>
                <w:bCs/>
                <w:color w:val="auto"/>
                <w:kern w:val="2"/>
                <w:sz w:val="21"/>
                <w:highlight w:val="none"/>
              </w:rPr>
            </w:pPr>
            <w:r>
              <w:rPr>
                <w:rFonts w:hint="eastAsia" w:hAnsi="宋体"/>
                <w:bCs/>
                <w:color w:val="auto"/>
                <w:sz w:val="21"/>
                <w:highlight w:val="none"/>
              </w:rPr>
              <w:t>某有效供应商的报价分=（评标基准价／某有效供应商最后报价）×10分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107"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服务水平</w:t>
            </w:r>
          </w:p>
        </w:tc>
        <w:tc>
          <w:tcPr>
            <w:tcW w:w="737"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84</w:t>
            </w:r>
            <w:r>
              <w:rPr>
                <w:rFonts w:hint="eastAsia" w:ascii="宋体" w:hAnsi="宋体" w:cs="宋体"/>
                <w:b/>
                <w:color w:val="auto"/>
                <w:szCs w:val="21"/>
                <w:highlight w:val="none"/>
              </w:rPr>
              <w:t>分</w:t>
            </w:r>
          </w:p>
        </w:tc>
        <w:tc>
          <w:tcPr>
            <w:tcW w:w="1548" w:type="dxa"/>
            <w:vAlign w:val="center"/>
          </w:tcPr>
          <w:p>
            <w:pPr>
              <w:keepNext w:val="0"/>
              <w:keepLines w:val="0"/>
              <w:widowControl/>
              <w:suppressLineNumbers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kern w:val="0"/>
                <w:sz w:val="21"/>
                <w:szCs w:val="21"/>
                <w:highlight w:val="none"/>
                <w:lang w:val="en-US" w:eastAsia="zh-CN" w:bidi="ar"/>
              </w:rPr>
              <w:t>项目的理解程度（满分20分）</w:t>
            </w:r>
          </w:p>
          <w:p>
            <w:pPr>
              <w:spacing w:line="360" w:lineRule="auto"/>
              <w:jc w:val="center"/>
              <w:rPr>
                <w:rFonts w:ascii="宋体" w:hAnsi="宋体" w:cs="宋体"/>
                <w:bCs/>
                <w:color w:val="auto"/>
                <w:szCs w:val="21"/>
                <w:highlight w:val="none"/>
              </w:rPr>
            </w:pP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由磋商小组根据供应商提供的项目的理解程度确定各供应商所属档次及分值。达不到一档要求或不提供的得0分。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一档（5 分）：对项目背景了解不够，对项目实施的重点、难点和项目的各阶段推进计划存在偏差；项目的实施机构人员和资源配备不符合项目要求，对本项目的采购需求不理解。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二档（10 分）：对项目背景有一定了解，但对项目实施的重点、难点和项目的各阶段推进计划不全面，存在缺漏；项目的实施机构人员和资源配备基本满足项目要求，对本项目的采购需求基本理解。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三档（15</w:t>
            </w:r>
            <w:r>
              <w:rPr>
                <w:rFonts w:hint="default"/>
                <w:color w:val="auto"/>
                <w:highlight w:val="none"/>
                <w:lang w:val="en-US" w:eastAsia="zh-CN"/>
              </w:rPr>
              <w:t xml:space="preserve"> </w:t>
            </w:r>
            <w:r>
              <w:rPr>
                <w:rFonts w:hint="eastAsia"/>
                <w:color w:val="auto"/>
                <w:highlight w:val="none"/>
                <w:lang w:val="en-US" w:eastAsia="zh-CN"/>
              </w:rPr>
              <w:t xml:space="preserve">分）：了解项目背景，对项目实施的重点、难点和项目的各阶段推进计划有划分，但描述不够详尽；项目的实施机构人员和资源配备满足项目要求，理解本项目的采购需求。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四档（20分）：能充分了解项目背景，对项目实施的重点、难点划分清晰、明确，项目的各阶段推进计划科学、合理，项目实施机构人员配备齐全、充足，对本项目的采购需求理解透彻。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项目实施方案（满分20分）</w:t>
            </w:r>
          </w:p>
          <w:p>
            <w:pPr>
              <w:spacing w:line="360" w:lineRule="auto"/>
              <w:jc w:val="center"/>
              <w:rPr>
                <w:rFonts w:hAnsi="宋体" w:cs="宋体"/>
                <w:bCs/>
                <w:color w:val="auto"/>
                <w:kern w:val="2"/>
                <w:sz w:val="21"/>
                <w:highlight w:val="none"/>
              </w:rPr>
            </w:pP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由磋商小组根据供应商提供的项目实施方案确定各供应商所属档次及分值。达不到一档要求或不提供的得0分。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一档（</w:t>
            </w:r>
            <w:r>
              <w:rPr>
                <w:rFonts w:hint="default"/>
                <w:color w:val="auto"/>
                <w:highlight w:val="none"/>
                <w:lang w:val="en-US" w:eastAsia="zh-CN"/>
              </w:rPr>
              <w:t xml:space="preserve">5 </w:t>
            </w:r>
            <w:r>
              <w:rPr>
                <w:rFonts w:hint="eastAsia"/>
                <w:color w:val="auto"/>
                <w:highlight w:val="none"/>
                <w:lang w:val="en-US" w:eastAsia="zh-CN"/>
              </w:rPr>
              <w:t xml:space="preserve">分）工作思路不明确，工作主次、重点无区分，工作进度划分不合理，人员配备不全，不能满足项目要求。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二档（</w:t>
            </w:r>
            <w:r>
              <w:rPr>
                <w:rFonts w:hint="default"/>
                <w:color w:val="auto"/>
                <w:highlight w:val="none"/>
                <w:lang w:val="en-US" w:eastAsia="zh-CN"/>
              </w:rPr>
              <w:t xml:space="preserve">10 </w:t>
            </w:r>
            <w:r>
              <w:rPr>
                <w:rFonts w:hint="eastAsia"/>
                <w:color w:val="auto"/>
                <w:highlight w:val="none"/>
                <w:lang w:val="en-US" w:eastAsia="zh-CN"/>
              </w:rPr>
              <w:t xml:space="preserve">分）有一定的工作思路，但对工作主次、重点划分不明确，工作进度划分、人员配备基本满足项目要求；项目保障措施简单。项目实施方案内容相对简单，基本满足项目要求。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三档（</w:t>
            </w:r>
            <w:r>
              <w:rPr>
                <w:rFonts w:hint="default"/>
                <w:color w:val="auto"/>
                <w:highlight w:val="none"/>
                <w:lang w:val="en-US" w:eastAsia="zh-CN"/>
              </w:rPr>
              <w:t xml:space="preserve">15 </w:t>
            </w:r>
            <w:r>
              <w:rPr>
                <w:rFonts w:hint="eastAsia"/>
                <w:color w:val="auto"/>
                <w:highlight w:val="none"/>
                <w:lang w:val="en-US" w:eastAsia="zh-CN"/>
              </w:rPr>
              <w:t xml:space="preserve">分）工作思路正确，对工作主次、重点和工作进度有划分；人员配备合理，满足项目要求；有较详细项目保障措施。项目实施方案内容完整，能满足项目要求。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四档（</w:t>
            </w:r>
            <w:r>
              <w:rPr>
                <w:rFonts w:hint="default"/>
                <w:color w:val="auto"/>
                <w:highlight w:val="none"/>
                <w:lang w:val="en-US" w:eastAsia="zh-CN"/>
              </w:rPr>
              <w:t xml:space="preserve">20 </w:t>
            </w:r>
            <w:r>
              <w:rPr>
                <w:rFonts w:hint="eastAsia"/>
                <w:color w:val="auto"/>
                <w:highlight w:val="none"/>
                <w:lang w:val="en-US" w:eastAsia="zh-CN"/>
              </w:rPr>
              <w:t>分）工作思路清晰，工作主次分明、重点突出；工作进度划分科学、合理；人员配备全面、充足；项目保障措施周全、有效。项目实施方案内容全面、充分，内容契合实际，针对性强，完全能满足项目要求。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adjustRightInd w:val="0"/>
              <w:spacing w:line="360" w:lineRule="auto"/>
              <w:textAlignment w:val="baseline"/>
              <w:rPr>
                <w:rFonts w:ascii="宋体" w:hAnsi="宋体" w:cs="宋体"/>
                <w:bCs/>
                <w:color w:val="auto"/>
                <w:szCs w:val="21"/>
                <w:highlight w:val="none"/>
              </w:rPr>
            </w:pPr>
            <w:r>
              <w:rPr>
                <w:rFonts w:hint="eastAsia" w:ascii="宋体" w:hAnsi="宋体" w:eastAsia="宋体" w:cs="宋体"/>
                <w:b/>
                <w:bCs w:val="0"/>
                <w:color w:val="auto"/>
                <w:szCs w:val="21"/>
                <w:highlight w:val="none"/>
                <w:lang w:eastAsia="zh-CN"/>
              </w:rPr>
              <w:t>课题研究进度安排</w:t>
            </w:r>
            <w:r>
              <w:rPr>
                <w:rFonts w:hint="eastAsia" w:ascii="宋体" w:hAnsi="宋体" w:eastAsia="宋体" w:cs="宋体"/>
                <w:b/>
                <w:bCs w:val="0"/>
                <w:color w:val="auto"/>
                <w:szCs w:val="21"/>
                <w:highlight w:val="none"/>
                <w:lang w:val="en-US" w:eastAsia="zh-CN"/>
              </w:rPr>
              <w:t>(满分</w:t>
            </w:r>
            <w:r>
              <w:rPr>
                <w:rFonts w:hint="eastAsia" w:ascii="宋体" w:hAnsi="宋体" w:cs="宋体"/>
                <w:b/>
                <w:bCs w:val="0"/>
                <w:color w:val="auto"/>
                <w:szCs w:val="21"/>
                <w:highlight w:val="none"/>
                <w:lang w:val="en-US" w:eastAsia="zh-CN"/>
              </w:rPr>
              <w:t>10</w:t>
            </w:r>
            <w:r>
              <w:rPr>
                <w:rFonts w:hint="eastAsia" w:ascii="宋体" w:hAnsi="宋体" w:eastAsia="宋体" w:cs="宋体"/>
                <w:b/>
                <w:bCs w:val="0"/>
                <w:color w:val="auto"/>
                <w:szCs w:val="21"/>
                <w:highlight w:val="none"/>
                <w:lang w:val="en-US" w:eastAsia="zh-CN"/>
              </w:rPr>
              <w:t>分）</w:t>
            </w: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eastAsia="宋体"/>
                <w:color w:val="auto"/>
                <w:sz w:val="21"/>
                <w:szCs w:val="21"/>
                <w:highlight w:val="none"/>
                <w:lang w:eastAsia="zh-CN"/>
              </w:rPr>
              <w:t>磋商小组根据供应商提供的课题研究进度安排方案（评审因素：结合课题研究框架结构，以及时间进度要求，制定更为详尽可行的时间进度安排）</w:t>
            </w:r>
            <w:r>
              <w:rPr>
                <w:rFonts w:hint="eastAsia" w:ascii="宋体" w:hAnsi="宋体" w:cs="宋体"/>
                <w:color w:val="auto"/>
                <w:szCs w:val="21"/>
                <w:highlight w:val="none"/>
              </w:rPr>
              <w:t>确定各供应商所属档次及分值</w:t>
            </w:r>
            <w:r>
              <w:rPr>
                <w:rFonts w:hint="eastAsia" w:ascii="宋体" w:hAnsi="宋体" w:cs="宋体"/>
                <w:color w:val="auto"/>
                <w:szCs w:val="21"/>
                <w:highlight w:val="none"/>
                <w:lang w:eastAsia="zh-CN"/>
              </w:rPr>
              <w:t>。</w:t>
            </w:r>
            <w:r>
              <w:rPr>
                <w:rFonts w:hint="eastAsia"/>
                <w:color w:val="auto"/>
                <w:highlight w:val="none"/>
                <w:lang w:val="en-US" w:eastAsia="zh-CN"/>
              </w:rPr>
              <w:t>达不到一档要求或不提供的得0分。</w:t>
            </w:r>
          </w:p>
          <w:p>
            <w:pPr>
              <w:keepNext w:val="0"/>
              <w:keepLines w:val="0"/>
              <w:widowControl/>
              <w:suppressLineNumbers w:val="0"/>
              <w:spacing w:line="360" w:lineRule="auto"/>
              <w:ind w:firstLine="420" w:firstLineChars="200"/>
              <w:jc w:val="left"/>
              <w:rPr>
                <w:rFonts w:hint="eastAsia" w:eastAsia="宋体"/>
                <w:color w:val="auto"/>
                <w:sz w:val="21"/>
                <w:szCs w:val="21"/>
                <w:highlight w:val="none"/>
                <w:lang w:eastAsia="zh-CN"/>
              </w:rPr>
            </w:pPr>
            <w:r>
              <w:rPr>
                <w:rFonts w:hint="eastAsia" w:eastAsia="宋体"/>
                <w:color w:val="auto"/>
                <w:sz w:val="21"/>
                <w:szCs w:val="21"/>
                <w:highlight w:val="none"/>
                <w:lang w:eastAsia="zh-CN"/>
              </w:rPr>
              <w:t>一档（</w:t>
            </w:r>
            <w:r>
              <w:rPr>
                <w:rFonts w:hint="eastAsia" w:eastAsia="宋体"/>
                <w:color w:val="auto"/>
                <w:sz w:val="21"/>
                <w:szCs w:val="21"/>
                <w:highlight w:val="none"/>
                <w:lang w:val="en-US" w:eastAsia="zh-CN"/>
              </w:rPr>
              <w:t>3</w:t>
            </w:r>
            <w:r>
              <w:rPr>
                <w:rFonts w:hint="eastAsia" w:eastAsia="宋体"/>
                <w:color w:val="auto"/>
                <w:sz w:val="21"/>
                <w:szCs w:val="21"/>
                <w:highlight w:val="none"/>
                <w:lang w:eastAsia="zh-CN"/>
              </w:rPr>
              <w:t>分）：时间进度安排不能满足需求要求，不能支撑课题研究框架结构所需研究时间；</w:t>
            </w:r>
          </w:p>
          <w:p>
            <w:pPr>
              <w:keepNext w:val="0"/>
              <w:keepLines w:val="0"/>
              <w:widowControl/>
              <w:suppressLineNumbers w:val="0"/>
              <w:spacing w:line="360" w:lineRule="auto"/>
              <w:ind w:firstLine="420" w:firstLineChars="200"/>
              <w:jc w:val="left"/>
              <w:rPr>
                <w:rFonts w:hint="eastAsia" w:eastAsia="宋体"/>
                <w:color w:val="auto"/>
                <w:sz w:val="21"/>
                <w:szCs w:val="21"/>
                <w:highlight w:val="none"/>
                <w:lang w:eastAsia="zh-CN"/>
              </w:rPr>
            </w:pPr>
            <w:r>
              <w:rPr>
                <w:rFonts w:hint="eastAsia" w:eastAsia="宋体"/>
                <w:color w:val="auto"/>
                <w:sz w:val="21"/>
                <w:szCs w:val="21"/>
                <w:highlight w:val="none"/>
                <w:lang w:eastAsia="zh-CN"/>
              </w:rPr>
              <w:t>二档（</w:t>
            </w:r>
            <w:r>
              <w:rPr>
                <w:rFonts w:hint="eastAsia" w:eastAsia="宋体"/>
                <w:color w:val="auto"/>
                <w:sz w:val="21"/>
                <w:szCs w:val="21"/>
                <w:highlight w:val="none"/>
                <w:lang w:val="en-US" w:eastAsia="zh-CN"/>
              </w:rPr>
              <w:t>6</w:t>
            </w:r>
            <w:r>
              <w:rPr>
                <w:rFonts w:hint="eastAsia" w:eastAsia="宋体"/>
                <w:color w:val="auto"/>
                <w:sz w:val="21"/>
                <w:szCs w:val="21"/>
                <w:highlight w:val="none"/>
                <w:lang w:eastAsia="zh-CN"/>
              </w:rPr>
              <w:t>分）：时间进度安排基本满足需求要求，基本能支撑课题研究框架结构所需研究时间；</w:t>
            </w:r>
          </w:p>
          <w:p>
            <w:pPr>
              <w:keepNext w:val="0"/>
              <w:keepLines w:val="0"/>
              <w:widowControl/>
              <w:suppressLineNumbers w:val="0"/>
              <w:spacing w:line="360" w:lineRule="auto"/>
              <w:ind w:firstLine="420" w:firstLineChars="200"/>
              <w:jc w:val="left"/>
              <w:rPr>
                <w:rFonts w:hint="eastAsia" w:eastAsia="宋体"/>
                <w:color w:val="auto"/>
                <w:sz w:val="21"/>
                <w:szCs w:val="21"/>
                <w:highlight w:val="none"/>
                <w:lang w:eastAsia="zh-CN"/>
              </w:rPr>
            </w:pPr>
            <w:r>
              <w:rPr>
                <w:rFonts w:hint="eastAsia" w:eastAsia="宋体"/>
                <w:color w:val="auto"/>
                <w:sz w:val="21"/>
                <w:szCs w:val="21"/>
                <w:highlight w:val="none"/>
                <w:lang w:eastAsia="zh-CN"/>
              </w:rPr>
              <w:t>三档（</w:t>
            </w:r>
            <w:r>
              <w:rPr>
                <w:rFonts w:hint="eastAsia" w:eastAsia="宋体"/>
                <w:color w:val="auto"/>
                <w:sz w:val="21"/>
                <w:szCs w:val="21"/>
                <w:highlight w:val="none"/>
                <w:lang w:val="en-US" w:eastAsia="zh-CN"/>
              </w:rPr>
              <w:t>10</w:t>
            </w:r>
            <w:r>
              <w:rPr>
                <w:rFonts w:hint="eastAsia" w:eastAsia="宋体"/>
                <w:color w:val="auto"/>
                <w:sz w:val="21"/>
                <w:szCs w:val="21"/>
                <w:highlight w:val="none"/>
                <w:lang w:eastAsia="zh-CN"/>
              </w:rPr>
              <w:t>分）；时间进度安排完全满足需求要求，完全能支撑课题研究框架结构所需研究时间。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rPr>
                <w:rFonts w:hint="eastAsia" w:ascii="宋体" w:hAnsi="宋体" w:eastAsia="宋体" w:cs="宋体"/>
                <w:b/>
                <w:bCs w:val="0"/>
                <w:color w:val="auto"/>
                <w:sz w:val="21"/>
                <w:szCs w:val="21"/>
                <w:highlight w:val="none"/>
                <w:lang w:eastAsia="zh-CN"/>
              </w:rPr>
            </w:pPr>
            <w:r>
              <w:rPr>
                <w:rFonts w:hint="eastAsia" w:ascii="宋体" w:hAnsi="宋体" w:eastAsia="宋体" w:cs="宋体"/>
                <w:b/>
                <w:bCs/>
                <w:color w:val="auto"/>
                <w:sz w:val="21"/>
                <w:szCs w:val="21"/>
                <w:highlight w:val="none"/>
                <w:lang w:val="en-US" w:eastAsia="zh-CN"/>
              </w:rPr>
              <w:t>项目服务承诺（满分10分）</w:t>
            </w:r>
          </w:p>
        </w:tc>
        <w:tc>
          <w:tcPr>
            <w:tcW w:w="5170" w:type="dxa"/>
            <w:vAlign w:val="top"/>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仿宋_GB2312"/>
                <w:color w:val="auto"/>
                <w:kern w:val="0"/>
                <w:szCs w:val="21"/>
                <w:highlight w:val="none"/>
              </w:rPr>
              <w:t>磋商小组</w:t>
            </w:r>
            <w:r>
              <w:rPr>
                <w:rFonts w:hint="eastAsia" w:ascii="宋体" w:hAnsi="宋体" w:eastAsia="宋体" w:cs="仿宋_GB2312"/>
                <w:color w:val="auto"/>
                <w:kern w:val="0"/>
                <w:szCs w:val="21"/>
                <w:highlight w:val="none"/>
                <w:lang w:eastAsia="zh-CN"/>
              </w:rPr>
              <w:t>根据</w:t>
            </w:r>
            <w:r>
              <w:rPr>
                <w:rFonts w:hint="eastAsia" w:ascii="宋体" w:hAnsi="宋体" w:eastAsia="宋体" w:cs="仿宋_GB2312"/>
                <w:color w:val="auto"/>
                <w:kern w:val="0"/>
                <w:szCs w:val="21"/>
                <w:highlight w:val="none"/>
              </w:rPr>
              <w:t>供应商</w:t>
            </w:r>
            <w:r>
              <w:rPr>
                <w:rFonts w:hint="eastAsia" w:ascii="宋体" w:hAnsi="宋体" w:eastAsia="宋体" w:cs="仿宋_GB2312"/>
                <w:color w:val="auto"/>
                <w:kern w:val="0"/>
                <w:szCs w:val="21"/>
                <w:highlight w:val="none"/>
                <w:lang w:eastAsia="zh-CN"/>
              </w:rPr>
              <w:t>提供</w:t>
            </w:r>
            <w:r>
              <w:rPr>
                <w:rFonts w:hint="eastAsia" w:ascii="宋体" w:hAnsi="宋体" w:eastAsia="宋体" w:cs="仿宋_GB2312"/>
                <w:color w:val="auto"/>
                <w:kern w:val="0"/>
                <w:szCs w:val="21"/>
                <w:highlight w:val="none"/>
              </w:rPr>
              <w:t>的</w:t>
            </w:r>
            <w:r>
              <w:rPr>
                <w:rFonts w:hint="eastAsia" w:ascii="宋体" w:hAnsi="宋体" w:eastAsia="宋体" w:cs="宋体"/>
                <w:color w:val="auto"/>
                <w:kern w:val="0"/>
                <w:sz w:val="21"/>
                <w:szCs w:val="21"/>
                <w:highlight w:val="none"/>
                <w:lang w:val="en-US" w:eastAsia="zh-CN" w:bidi="ar"/>
              </w:rPr>
              <w:t>服务承诺书</w:t>
            </w:r>
            <w:r>
              <w:rPr>
                <w:rFonts w:hint="eastAsia" w:ascii="宋体" w:hAnsi="宋体" w:eastAsia="宋体" w:cs="仿宋_GB2312"/>
                <w:color w:val="auto"/>
                <w:kern w:val="0"/>
                <w:szCs w:val="21"/>
                <w:highlight w:val="none"/>
                <w:lang w:eastAsia="zh-CN"/>
              </w:rPr>
              <w:t>（</w:t>
            </w:r>
            <w:r>
              <w:rPr>
                <w:rFonts w:hint="eastAsia" w:ascii="宋体" w:hAnsi="宋体" w:eastAsia="宋体" w:cs="仿宋_GB2312"/>
                <w:color w:val="auto"/>
                <w:kern w:val="0"/>
                <w:szCs w:val="21"/>
                <w:highlight w:val="none"/>
              </w:rPr>
              <w:t>评审因素：</w:t>
            </w:r>
            <w:r>
              <w:rPr>
                <w:rFonts w:hint="eastAsia" w:ascii="宋体" w:hAnsi="宋体" w:eastAsia="宋体" w:cs="仿宋_GB2312"/>
                <w:color w:val="auto"/>
                <w:kern w:val="0"/>
                <w:szCs w:val="21"/>
                <w:highlight w:val="none"/>
                <w:lang w:val="en-US" w:eastAsia="zh-CN"/>
              </w:rPr>
              <w:t>对采购人的采购需求响应，最终提交服务成果的质量以及完成时间的承诺及售后服务的承诺，为完成本项目的保障措施、保密承诺及廉洁承诺等方法以及实现方式</w:t>
            </w:r>
            <w:r>
              <w:rPr>
                <w:rFonts w:hint="eastAsia" w:ascii="宋体" w:hAnsi="宋体" w:eastAsia="宋体" w:cs="仿宋_GB2312"/>
                <w:color w:val="auto"/>
                <w:kern w:val="0"/>
                <w:szCs w:val="21"/>
                <w:highlight w:val="none"/>
                <w:lang w:eastAsia="zh-CN"/>
              </w:rPr>
              <w:t>）</w:t>
            </w:r>
            <w:r>
              <w:rPr>
                <w:rFonts w:hint="eastAsia" w:ascii="宋体" w:hAnsi="宋体" w:eastAsia="宋体" w:cs="仿宋_GB2312"/>
                <w:color w:val="auto"/>
                <w:kern w:val="0"/>
                <w:szCs w:val="21"/>
                <w:highlight w:val="none"/>
                <w:lang w:val="en-US" w:eastAsia="zh-CN"/>
              </w:rPr>
              <w:t>确定各供应商所属档次及分值。达不到一档要求或不提供的得0分</w:t>
            </w:r>
            <w:r>
              <w:rPr>
                <w:rFonts w:hint="eastAsia" w:ascii="宋体" w:hAnsi="宋体" w:eastAsia="宋体" w:cs="仿宋_GB2312"/>
                <w:color w:val="auto"/>
                <w:kern w:val="0"/>
                <w:szCs w:val="21"/>
                <w:highlight w:val="none"/>
              </w:rPr>
              <w:t>。</w:t>
            </w:r>
          </w:p>
          <w:p>
            <w:pPr>
              <w:keepNext w:val="0"/>
              <w:keepLines w:val="0"/>
              <w:widowControl/>
              <w:suppressLineNumbers w:val="0"/>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一</w:t>
            </w:r>
            <w:r>
              <w:rPr>
                <w:rFonts w:hint="eastAsia" w:ascii="宋体" w:hAnsi="宋体" w:eastAsia="宋体" w:cs="宋体"/>
                <w:color w:val="auto"/>
                <w:kern w:val="0"/>
                <w:sz w:val="21"/>
                <w:szCs w:val="21"/>
                <w:highlight w:val="none"/>
                <w:lang w:val="en-US" w:eastAsia="zh-CN" w:bidi="ar"/>
              </w:rPr>
              <w:t>档（</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分）供应商为完成本项目所提供服务承诺内容较简单，基本满足采购人服务需求。 </w:t>
            </w:r>
          </w:p>
          <w:p>
            <w:pPr>
              <w:keepNext w:val="0"/>
              <w:keepLines w:val="0"/>
              <w:widowControl/>
              <w:suppressLineNumbers w:val="0"/>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二</w:t>
            </w:r>
            <w:r>
              <w:rPr>
                <w:rFonts w:hint="eastAsia" w:ascii="宋体" w:hAnsi="宋体" w:eastAsia="宋体" w:cs="宋体"/>
                <w:color w:val="auto"/>
                <w:kern w:val="0"/>
                <w:sz w:val="21"/>
                <w:szCs w:val="21"/>
                <w:highlight w:val="none"/>
                <w:lang w:val="en-US" w:eastAsia="zh-CN" w:bidi="ar"/>
              </w:rPr>
              <w:t>档（</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 xml:space="preserve"> 分）供应商为完成本项目所提供的服务承诺内容能满足采购人服务需求。 </w:t>
            </w:r>
          </w:p>
          <w:p>
            <w:pPr>
              <w:keepNext w:val="0"/>
              <w:keepLines w:val="0"/>
              <w:widowControl/>
              <w:suppressLineNumbers w:val="0"/>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三</w:t>
            </w:r>
            <w:r>
              <w:rPr>
                <w:rFonts w:hint="eastAsia" w:ascii="宋体" w:hAnsi="宋体" w:eastAsia="宋体" w:cs="宋体"/>
                <w:color w:val="auto"/>
                <w:kern w:val="0"/>
                <w:sz w:val="21"/>
                <w:szCs w:val="21"/>
                <w:highlight w:val="none"/>
                <w:lang w:val="en-US" w:eastAsia="zh-CN" w:bidi="ar"/>
              </w:rPr>
              <w:t>档（10 分）供应商为完成本项目所提供的服务承诺内容详尽，针对性强，完全满足采购人需求。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adjustRightInd w:val="0"/>
              <w:spacing w:line="360" w:lineRule="auto"/>
              <w:textAlignment w:val="baseline"/>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val="en-US" w:eastAsia="zh-CN"/>
              </w:rPr>
              <w:t>拟投入人员分(满分24分）</w:t>
            </w:r>
          </w:p>
        </w:tc>
        <w:tc>
          <w:tcPr>
            <w:tcW w:w="5170" w:type="dxa"/>
            <w:vAlign w:val="center"/>
          </w:tcPr>
          <w:p>
            <w:pPr>
              <w:spacing w:line="360" w:lineRule="auto"/>
              <w:ind w:firstLine="422" w:firstLineChars="2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rPr>
              <w:t>（1）课题负责人（10分）</w:t>
            </w:r>
          </w:p>
          <w:p>
            <w:pPr>
              <w:spacing w:line="360" w:lineRule="auto"/>
              <w:ind w:firstLine="420" w:firstLineChars="200"/>
              <w:rPr>
                <w:rFonts w:hint="eastAsia"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磋商小组</w:t>
            </w:r>
            <w:r>
              <w:rPr>
                <w:rFonts w:hint="eastAsia" w:ascii="宋体" w:hAnsi="宋体" w:eastAsia="宋体" w:cs="仿宋_GB2312"/>
                <w:color w:val="auto"/>
                <w:kern w:val="0"/>
                <w:szCs w:val="21"/>
                <w:highlight w:val="none"/>
                <w:lang w:eastAsia="zh-CN"/>
              </w:rPr>
              <w:t>根据</w:t>
            </w:r>
            <w:r>
              <w:rPr>
                <w:rFonts w:hint="eastAsia" w:ascii="宋体" w:hAnsi="宋体" w:eastAsia="宋体" w:cs="仿宋_GB2312"/>
                <w:color w:val="auto"/>
                <w:kern w:val="0"/>
                <w:szCs w:val="21"/>
                <w:highlight w:val="none"/>
              </w:rPr>
              <w:t>供应商</w:t>
            </w:r>
            <w:r>
              <w:rPr>
                <w:rFonts w:hint="eastAsia" w:ascii="宋体" w:hAnsi="宋体" w:eastAsia="宋体" w:cs="仿宋_GB2312"/>
                <w:color w:val="auto"/>
                <w:kern w:val="0"/>
                <w:szCs w:val="21"/>
                <w:highlight w:val="none"/>
                <w:lang w:eastAsia="zh-CN"/>
              </w:rPr>
              <w:t>提供</w:t>
            </w:r>
            <w:r>
              <w:rPr>
                <w:rFonts w:hint="eastAsia" w:ascii="宋体" w:hAnsi="宋体" w:eastAsia="宋体" w:cs="仿宋_GB2312"/>
                <w:color w:val="auto"/>
                <w:kern w:val="0"/>
                <w:szCs w:val="21"/>
                <w:highlight w:val="none"/>
              </w:rPr>
              <w:t>的课题负责人</w:t>
            </w:r>
            <w:r>
              <w:rPr>
                <w:rFonts w:hint="eastAsia" w:ascii="宋体" w:hAnsi="宋体" w:eastAsia="宋体" w:cs="仿宋_GB2312"/>
                <w:color w:val="auto"/>
                <w:kern w:val="0"/>
                <w:szCs w:val="21"/>
                <w:highlight w:val="none"/>
                <w:lang w:eastAsia="zh-CN"/>
              </w:rPr>
              <w:t>（</w:t>
            </w:r>
            <w:r>
              <w:rPr>
                <w:rFonts w:hint="eastAsia" w:ascii="宋体" w:hAnsi="宋体" w:eastAsia="宋体" w:cs="仿宋_GB2312"/>
                <w:color w:val="auto"/>
                <w:kern w:val="0"/>
                <w:szCs w:val="21"/>
                <w:highlight w:val="none"/>
              </w:rPr>
              <w:t>评审因素：</w:t>
            </w:r>
            <w:r>
              <w:rPr>
                <w:rFonts w:hint="eastAsia" w:ascii="宋体" w:hAnsi="宋体" w:eastAsia="宋体" w:cs="仿宋_GB2312"/>
                <w:color w:val="auto"/>
                <w:kern w:val="0"/>
                <w:szCs w:val="21"/>
                <w:highlight w:val="none"/>
                <w:lang w:eastAsia="zh-CN"/>
              </w:rPr>
              <w:t>研究成果与</w:t>
            </w:r>
            <w:r>
              <w:rPr>
                <w:rFonts w:hint="eastAsia" w:ascii="宋体" w:hAnsi="宋体" w:cs="仿宋_GB2312"/>
                <w:color w:val="auto"/>
                <w:kern w:val="0"/>
                <w:szCs w:val="21"/>
                <w:highlight w:val="none"/>
                <w:lang w:eastAsia="zh-CN"/>
              </w:rPr>
              <w:t>农业农村研究</w:t>
            </w:r>
            <w:r>
              <w:rPr>
                <w:rFonts w:hint="eastAsia" w:ascii="宋体" w:hAnsi="宋体" w:eastAsia="宋体" w:cs="仿宋_GB2312"/>
                <w:color w:val="auto"/>
                <w:kern w:val="0"/>
                <w:szCs w:val="21"/>
                <w:highlight w:val="none"/>
                <w:lang w:eastAsia="zh-CN"/>
              </w:rPr>
              <w:t>领域是否有关联，专业水平和科研能力，是否能够牵头开展课题研究）</w:t>
            </w:r>
            <w:r>
              <w:rPr>
                <w:rFonts w:hint="eastAsia" w:ascii="宋体" w:hAnsi="宋体" w:eastAsia="宋体" w:cs="仿宋_GB2312"/>
                <w:color w:val="auto"/>
                <w:kern w:val="0"/>
                <w:szCs w:val="21"/>
                <w:highlight w:val="none"/>
                <w:lang w:val="en-US" w:eastAsia="zh-CN"/>
              </w:rPr>
              <w:t>确定各供应商所属档次及分值。达不到一档要求或不提供的得0分</w:t>
            </w:r>
            <w:r>
              <w:rPr>
                <w:rFonts w:hint="eastAsia" w:ascii="宋体" w:hAnsi="宋体" w:eastAsia="宋体" w:cs="仿宋_GB2312"/>
                <w:color w:val="auto"/>
                <w:kern w:val="0"/>
                <w:szCs w:val="21"/>
                <w:highlight w:val="none"/>
              </w:rPr>
              <w:t>。</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一档（</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分）：研究成果与</w:t>
            </w:r>
            <w:r>
              <w:rPr>
                <w:rFonts w:hint="eastAsia" w:ascii="宋体" w:hAnsi="宋体" w:cs="仿宋_GB2312"/>
                <w:color w:val="auto"/>
                <w:kern w:val="0"/>
                <w:szCs w:val="21"/>
                <w:highlight w:val="none"/>
                <w:lang w:eastAsia="zh-CN"/>
              </w:rPr>
              <w:t>农业农村研究</w:t>
            </w:r>
            <w:r>
              <w:rPr>
                <w:rFonts w:hint="eastAsia" w:ascii="宋体" w:hAnsi="宋体" w:cs="仿宋_GB2312"/>
                <w:color w:val="auto"/>
                <w:kern w:val="0"/>
                <w:szCs w:val="21"/>
                <w:highlight w:val="none"/>
              </w:rPr>
              <w:t>领域无关联，从未牵头或参与过相关课题研究，完全不具备相关专业水平和科研能力；</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二档（</w:t>
            </w:r>
            <w:r>
              <w:rPr>
                <w:rFonts w:hint="eastAsia" w:ascii="宋体" w:hAnsi="宋体" w:cs="仿宋_GB2312"/>
                <w:color w:val="auto"/>
                <w:kern w:val="0"/>
                <w:szCs w:val="21"/>
                <w:highlight w:val="none"/>
                <w:lang w:val="en-US" w:eastAsia="zh-CN"/>
              </w:rPr>
              <w:t>6</w:t>
            </w:r>
            <w:r>
              <w:rPr>
                <w:rFonts w:hint="eastAsia" w:ascii="宋体" w:hAnsi="宋体" w:cs="仿宋_GB2312"/>
                <w:color w:val="auto"/>
                <w:kern w:val="0"/>
                <w:szCs w:val="21"/>
                <w:highlight w:val="none"/>
              </w:rPr>
              <w:t>分）：研究成果与</w:t>
            </w:r>
            <w:r>
              <w:rPr>
                <w:rFonts w:hint="eastAsia" w:ascii="宋体" w:hAnsi="宋体" w:cs="仿宋_GB2312"/>
                <w:color w:val="auto"/>
                <w:kern w:val="0"/>
                <w:szCs w:val="21"/>
                <w:highlight w:val="none"/>
                <w:lang w:eastAsia="zh-CN"/>
              </w:rPr>
              <w:t>农业农村研究</w:t>
            </w:r>
            <w:r>
              <w:rPr>
                <w:rFonts w:hint="eastAsia" w:ascii="宋体" w:hAnsi="宋体" w:cs="仿宋_GB2312"/>
                <w:color w:val="auto"/>
                <w:kern w:val="0"/>
                <w:szCs w:val="21"/>
                <w:highlight w:val="none"/>
              </w:rPr>
              <w:t>领域有关联少，牵头和参与过相关课题研究少，专业水平和科研能力低；</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lang w:eastAsia="zh-CN"/>
              </w:rPr>
              <w:t>三</w:t>
            </w:r>
            <w:r>
              <w:rPr>
                <w:rFonts w:hint="eastAsia" w:ascii="宋体" w:hAnsi="宋体" w:cs="仿宋_GB2312"/>
                <w:color w:val="auto"/>
                <w:kern w:val="0"/>
                <w:szCs w:val="21"/>
                <w:highlight w:val="none"/>
              </w:rPr>
              <w:t>档（10分）：研究成果与</w:t>
            </w:r>
            <w:r>
              <w:rPr>
                <w:rFonts w:hint="eastAsia" w:ascii="宋体" w:hAnsi="宋体" w:cs="仿宋_GB2312"/>
                <w:color w:val="auto"/>
                <w:kern w:val="0"/>
                <w:szCs w:val="21"/>
                <w:highlight w:val="none"/>
                <w:lang w:eastAsia="zh-CN"/>
              </w:rPr>
              <w:t>农业农村研究</w:t>
            </w:r>
            <w:r>
              <w:rPr>
                <w:rFonts w:hint="eastAsia" w:ascii="宋体" w:hAnsi="宋体" w:cs="仿宋_GB2312"/>
                <w:color w:val="auto"/>
                <w:kern w:val="0"/>
                <w:szCs w:val="21"/>
                <w:highlight w:val="none"/>
              </w:rPr>
              <w:t>领域关联密切，牵头开展了大量的相关课题研究，具备很强的专业水平和科研能力。</w:t>
            </w:r>
          </w:p>
          <w:p>
            <w:pPr>
              <w:spacing w:line="360" w:lineRule="auto"/>
              <w:ind w:firstLine="422" w:firstLineChars="200"/>
              <w:rPr>
                <w:rFonts w:ascii="宋体" w:hAnsi="宋体" w:cs="仿宋_GB2312"/>
                <w:b/>
                <w:color w:val="auto"/>
                <w:kern w:val="0"/>
                <w:szCs w:val="21"/>
                <w:highlight w:val="none"/>
              </w:rPr>
            </w:pPr>
            <w:r>
              <w:rPr>
                <w:rFonts w:hint="eastAsia" w:ascii="宋体" w:hAnsi="宋体" w:cs="仿宋_GB2312"/>
                <w:b/>
                <w:color w:val="auto"/>
                <w:kern w:val="0"/>
                <w:szCs w:val="21"/>
                <w:highlight w:val="none"/>
                <w:lang w:eastAsia="zh-CN"/>
              </w:rPr>
              <w:t>（</w:t>
            </w:r>
            <w:r>
              <w:rPr>
                <w:rFonts w:hint="eastAsia" w:ascii="宋体" w:hAnsi="宋体" w:cs="仿宋_GB2312"/>
                <w:b/>
                <w:color w:val="auto"/>
                <w:kern w:val="0"/>
                <w:szCs w:val="21"/>
                <w:highlight w:val="none"/>
              </w:rPr>
              <w:t>2）课题研究团队（1</w:t>
            </w:r>
            <w:r>
              <w:rPr>
                <w:rFonts w:hint="eastAsia" w:ascii="宋体" w:hAnsi="宋体" w:cs="仿宋_GB2312"/>
                <w:b/>
                <w:color w:val="auto"/>
                <w:kern w:val="0"/>
                <w:szCs w:val="21"/>
                <w:highlight w:val="none"/>
                <w:lang w:val="en-US" w:eastAsia="zh-CN"/>
              </w:rPr>
              <w:t>4</w:t>
            </w:r>
            <w:r>
              <w:rPr>
                <w:rFonts w:hint="eastAsia" w:ascii="宋体" w:hAnsi="宋体" w:cs="仿宋_GB2312"/>
                <w:b/>
                <w:color w:val="auto"/>
                <w:kern w:val="0"/>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磋商小组</w:t>
            </w:r>
            <w:r>
              <w:rPr>
                <w:rFonts w:hint="eastAsia" w:ascii="宋体" w:hAnsi="宋体" w:cs="宋体"/>
                <w:color w:val="auto"/>
                <w:szCs w:val="21"/>
                <w:highlight w:val="none"/>
                <w:lang w:eastAsia="zh-CN"/>
              </w:rPr>
              <w:t>根据</w:t>
            </w: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提供的</w:t>
            </w:r>
            <w:r>
              <w:rPr>
                <w:rFonts w:hint="eastAsia" w:ascii="宋体" w:hAnsi="宋体" w:cs="宋体"/>
                <w:color w:val="auto"/>
                <w:szCs w:val="21"/>
                <w:highlight w:val="none"/>
              </w:rPr>
              <w:t>课题研究团队</w:t>
            </w:r>
            <w:r>
              <w:rPr>
                <w:rFonts w:hint="eastAsia" w:ascii="宋体" w:hAnsi="宋体" w:cs="宋体"/>
                <w:color w:val="auto"/>
                <w:szCs w:val="21"/>
                <w:highlight w:val="none"/>
                <w:lang w:eastAsia="zh-CN"/>
              </w:rPr>
              <w:t>（</w:t>
            </w:r>
            <w:r>
              <w:rPr>
                <w:rFonts w:hint="eastAsia" w:ascii="宋体" w:hAnsi="宋体" w:cs="仿宋_GB2312"/>
                <w:color w:val="auto"/>
                <w:kern w:val="0"/>
                <w:szCs w:val="21"/>
                <w:highlight w:val="none"/>
              </w:rPr>
              <w:t>评审因素：主要参加研究人员（前三名，含课题负责人）是否有一定的专业水平和科研能力；研究队伍专业结构是否合理，是否有相关职能部门的研究人员参与研究课题</w:t>
            </w:r>
            <w:r>
              <w:rPr>
                <w:rFonts w:hint="eastAsia" w:ascii="宋体" w:hAnsi="宋体" w:cs="仿宋_GB2312"/>
                <w:bCs/>
                <w:color w:val="auto"/>
                <w:kern w:val="0"/>
                <w:szCs w:val="21"/>
                <w:highlight w:val="none"/>
                <w:lang w:eastAsia="zh-CN"/>
              </w:rPr>
              <w:t>）</w:t>
            </w:r>
            <w:r>
              <w:rPr>
                <w:rFonts w:hint="eastAsia" w:ascii="宋体" w:hAnsi="宋体" w:cs="宋体"/>
                <w:color w:val="auto"/>
                <w:szCs w:val="21"/>
                <w:highlight w:val="none"/>
              </w:rPr>
              <w:t>确定各供应商所属档次及分值</w:t>
            </w:r>
            <w:r>
              <w:rPr>
                <w:rFonts w:hint="eastAsia" w:ascii="宋体" w:hAnsi="宋体" w:cs="宋体"/>
                <w:color w:val="auto"/>
                <w:szCs w:val="21"/>
                <w:highlight w:val="none"/>
                <w:lang w:eastAsia="zh-CN"/>
              </w:rPr>
              <w:t>。</w:t>
            </w:r>
            <w:r>
              <w:rPr>
                <w:rFonts w:hint="eastAsia"/>
                <w:color w:val="auto"/>
                <w:highlight w:val="none"/>
                <w:lang w:val="en-US" w:eastAsia="zh-CN"/>
              </w:rPr>
              <w:t>达不到一档要求或不提供的得0分。</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一档（</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分）：主要研究人员不具备专业水平和科研能力，研究队伍结构单一，没有相关职能部门的研究人员参与课题；</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lang w:eastAsia="zh-CN"/>
              </w:rPr>
              <w:t>二</w:t>
            </w:r>
            <w:r>
              <w:rPr>
                <w:rFonts w:hint="eastAsia" w:ascii="宋体" w:hAnsi="宋体" w:cs="仿宋_GB2312"/>
                <w:color w:val="auto"/>
                <w:kern w:val="0"/>
                <w:szCs w:val="21"/>
                <w:highlight w:val="none"/>
              </w:rPr>
              <w:t>档（6分）：主要研究人员专业水平和科研能力一般，</w:t>
            </w:r>
            <w:r>
              <w:rPr>
                <w:rFonts w:hint="eastAsia" w:ascii="宋体" w:hAnsi="宋体" w:cs="仿宋_GB2312"/>
                <w:color w:val="auto"/>
                <w:kern w:val="0"/>
                <w:szCs w:val="21"/>
                <w:highlight w:val="none"/>
                <w:lang w:eastAsia="zh-CN"/>
              </w:rPr>
              <w:t>有高级职称以上人员</w:t>
            </w:r>
            <w:r>
              <w:rPr>
                <w:rFonts w:hint="eastAsia" w:ascii="宋体" w:hAnsi="宋体" w:cs="仿宋_GB2312"/>
                <w:color w:val="auto"/>
                <w:kern w:val="0"/>
                <w:szCs w:val="21"/>
                <w:highlight w:val="none"/>
                <w:lang w:val="en-US" w:eastAsia="zh-CN"/>
              </w:rPr>
              <w:t>1人，</w:t>
            </w:r>
            <w:r>
              <w:rPr>
                <w:rFonts w:hint="eastAsia" w:ascii="宋体" w:hAnsi="宋体" w:cs="仿宋_GB2312"/>
                <w:color w:val="auto"/>
                <w:kern w:val="0"/>
                <w:szCs w:val="21"/>
                <w:highlight w:val="none"/>
              </w:rPr>
              <w:t>研究队伍专业结构较合理，相关职能部门参与研究的人员较少；</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lang w:eastAsia="zh-CN"/>
              </w:rPr>
              <w:t>三</w:t>
            </w:r>
            <w:r>
              <w:rPr>
                <w:rFonts w:hint="eastAsia" w:ascii="宋体" w:hAnsi="宋体" w:cs="仿宋_GB2312"/>
                <w:color w:val="auto"/>
                <w:kern w:val="0"/>
                <w:szCs w:val="21"/>
                <w:highlight w:val="none"/>
              </w:rPr>
              <w:t>档（</w:t>
            </w:r>
            <w:r>
              <w:rPr>
                <w:rFonts w:hint="eastAsia" w:ascii="宋体" w:hAnsi="宋体" w:cs="仿宋_GB2312"/>
                <w:color w:val="auto"/>
                <w:kern w:val="0"/>
                <w:szCs w:val="21"/>
                <w:highlight w:val="none"/>
                <w:lang w:val="en-US" w:eastAsia="zh-CN"/>
              </w:rPr>
              <w:t>9</w:t>
            </w:r>
            <w:r>
              <w:rPr>
                <w:rFonts w:hint="eastAsia" w:ascii="宋体" w:hAnsi="宋体" w:cs="仿宋_GB2312"/>
                <w:color w:val="auto"/>
                <w:kern w:val="0"/>
                <w:szCs w:val="21"/>
                <w:highlight w:val="none"/>
              </w:rPr>
              <w:t>分）：主要研究人员专业水平和科研能力较强，</w:t>
            </w:r>
            <w:r>
              <w:rPr>
                <w:rFonts w:hint="eastAsia" w:ascii="宋体" w:hAnsi="宋体" w:cs="仿宋_GB2312"/>
                <w:color w:val="auto"/>
                <w:kern w:val="0"/>
                <w:szCs w:val="21"/>
                <w:highlight w:val="none"/>
                <w:lang w:eastAsia="zh-CN"/>
              </w:rPr>
              <w:t>有高级职称以上人员</w:t>
            </w:r>
            <w:r>
              <w:rPr>
                <w:rFonts w:hint="eastAsia" w:ascii="宋体" w:hAnsi="宋体" w:cs="仿宋_GB2312"/>
                <w:color w:val="auto"/>
                <w:kern w:val="0"/>
                <w:szCs w:val="21"/>
                <w:highlight w:val="none"/>
                <w:lang w:val="en-US" w:eastAsia="zh-CN"/>
              </w:rPr>
              <w:t>2人，中级职称人员1人，</w:t>
            </w:r>
            <w:r>
              <w:rPr>
                <w:rFonts w:hint="eastAsia" w:ascii="宋体" w:hAnsi="宋体" w:cs="仿宋_GB2312"/>
                <w:color w:val="auto"/>
                <w:kern w:val="0"/>
                <w:szCs w:val="21"/>
                <w:highlight w:val="none"/>
              </w:rPr>
              <w:t>研究队伍专业结构合理，有一定的职能部门人员参与研究；</w:t>
            </w:r>
          </w:p>
          <w:p>
            <w:pPr>
              <w:spacing w:line="360" w:lineRule="auto"/>
              <w:ind w:firstLine="420" w:firstLineChars="200"/>
              <w:rPr>
                <w:rFonts w:hint="eastAsia" w:ascii="Calibri" w:hAnsi="Calibri" w:eastAsia="宋体" w:cs="Times New Roman"/>
                <w:color w:val="auto"/>
                <w:kern w:val="2"/>
                <w:sz w:val="21"/>
                <w:szCs w:val="21"/>
                <w:highlight w:val="none"/>
                <w:lang w:val="en-US" w:eastAsia="zh-CN" w:bidi="ar-SA"/>
              </w:rPr>
            </w:pPr>
            <w:r>
              <w:rPr>
                <w:rFonts w:hint="eastAsia" w:ascii="宋体" w:hAnsi="宋体" w:cs="仿宋_GB2312"/>
                <w:color w:val="auto"/>
                <w:kern w:val="0"/>
                <w:szCs w:val="21"/>
                <w:highlight w:val="none"/>
                <w:lang w:eastAsia="zh-CN"/>
              </w:rPr>
              <w:t>四</w:t>
            </w:r>
            <w:r>
              <w:rPr>
                <w:rFonts w:hint="eastAsia" w:ascii="宋体" w:hAnsi="宋体" w:cs="仿宋_GB2312"/>
                <w:color w:val="auto"/>
                <w:kern w:val="0"/>
                <w:szCs w:val="21"/>
                <w:highlight w:val="none"/>
              </w:rPr>
              <w:t>档（</w:t>
            </w:r>
            <w:r>
              <w:rPr>
                <w:rFonts w:hint="eastAsia" w:ascii="宋体" w:hAnsi="宋体" w:cs="仿宋_GB2312"/>
                <w:color w:val="auto"/>
                <w:kern w:val="0"/>
                <w:szCs w:val="21"/>
                <w:highlight w:val="none"/>
                <w:lang w:val="en-US" w:eastAsia="zh-CN"/>
              </w:rPr>
              <w:t>14</w:t>
            </w:r>
            <w:r>
              <w:rPr>
                <w:rFonts w:hint="eastAsia" w:ascii="宋体" w:hAnsi="宋体" w:cs="仿宋_GB2312"/>
                <w:color w:val="auto"/>
                <w:kern w:val="0"/>
                <w:szCs w:val="21"/>
                <w:highlight w:val="none"/>
              </w:rPr>
              <w:t>分）：主要研究人员具有很强的专业水平和科研能力，</w:t>
            </w:r>
            <w:r>
              <w:rPr>
                <w:rFonts w:hint="eastAsia" w:ascii="宋体" w:hAnsi="宋体" w:cs="仿宋_GB2312"/>
                <w:color w:val="auto"/>
                <w:kern w:val="0"/>
                <w:szCs w:val="21"/>
                <w:highlight w:val="none"/>
                <w:lang w:eastAsia="zh-CN"/>
              </w:rPr>
              <w:t>有高级职称以上人员</w:t>
            </w:r>
            <w:r>
              <w:rPr>
                <w:rFonts w:hint="eastAsia" w:ascii="宋体" w:hAnsi="宋体" w:cs="仿宋_GB2312"/>
                <w:color w:val="auto"/>
                <w:kern w:val="0"/>
                <w:szCs w:val="21"/>
                <w:highlight w:val="none"/>
                <w:lang w:val="en-US" w:eastAsia="zh-CN"/>
              </w:rPr>
              <w:t>3人，中级职称人员2人，</w:t>
            </w:r>
            <w:r>
              <w:rPr>
                <w:rFonts w:hint="eastAsia" w:ascii="宋体" w:hAnsi="宋体" w:cs="仿宋_GB2312"/>
                <w:color w:val="auto"/>
                <w:kern w:val="0"/>
                <w:szCs w:val="21"/>
                <w:highlight w:val="none"/>
              </w:rPr>
              <w:t>研究队伍专业结构合理，有较多高水平研究人才，有较多</w:t>
            </w:r>
            <w:r>
              <w:rPr>
                <w:rFonts w:hint="eastAsia" w:ascii="宋体" w:hAnsi="宋体" w:cs="仿宋_GB2312"/>
                <w:color w:val="auto"/>
                <w:kern w:val="0"/>
                <w:szCs w:val="21"/>
                <w:highlight w:val="none"/>
                <w:lang w:eastAsia="zh-CN"/>
              </w:rPr>
              <w:t>农业农村研究</w:t>
            </w:r>
            <w:r>
              <w:rPr>
                <w:rFonts w:hint="eastAsia" w:ascii="宋体" w:hAnsi="宋体" w:cs="仿宋_GB2312"/>
                <w:color w:val="auto"/>
                <w:kern w:val="0"/>
                <w:szCs w:val="21"/>
                <w:highlight w:val="none"/>
              </w:rPr>
              <w:t>领域和职能部门的研究人员参与研究。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10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3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分</w:t>
            </w:r>
          </w:p>
        </w:tc>
        <w:tc>
          <w:tcPr>
            <w:tcW w:w="6718" w:type="dxa"/>
            <w:gridSpan w:val="2"/>
            <w:vAlign w:val="center"/>
          </w:tcPr>
          <w:p>
            <w:pPr>
              <w:spacing w:line="360" w:lineRule="auto"/>
              <w:ind w:firstLine="420" w:firstLineChars="200"/>
              <w:rPr>
                <w:color w:val="auto"/>
                <w:highlight w:val="none"/>
              </w:rPr>
            </w:pPr>
            <w:r>
              <w:rPr>
                <w:rFonts w:hint="eastAsia" w:ascii="宋体" w:hAnsi="宋体" w:eastAsia="宋体" w:cs="Times New Roman"/>
                <w:bCs/>
                <w:color w:val="auto"/>
                <w:szCs w:val="21"/>
                <w:highlight w:val="none"/>
                <w:vertAlign w:val="baseline"/>
                <w:lang w:eastAsia="zh-CN"/>
              </w:rPr>
              <w:t>供应商从20</w:t>
            </w:r>
            <w:r>
              <w:rPr>
                <w:rFonts w:hint="eastAsia" w:ascii="宋体" w:hAnsi="宋体" w:eastAsia="宋体" w:cs="Times New Roman"/>
                <w:bCs/>
                <w:color w:val="auto"/>
                <w:szCs w:val="21"/>
                <w:highlight w:val="none"/>
                <w:vertAlign w:val="baseline"/>
                <w:lang w:val="en-US" w:eastAsia="zh-CN"/>
              </w:rPr>
              <w:t>21</w:t>
            </w:r>
            <w:r>
              <w:rPr>
                <w:rFonts w:hint="eastAsia" w:ascii="宋体" w:hAnsi="宋体" w:eastAsia="宋体" w:cs="Times New Roman"/>
                <w:bCs/>
                <w:color w:val="auto"/>
                <w:szCs w:val="21"/>
                <w:highlight w:val="none"/>
                <w:vertAlign w:val="baseline"/>
                <w:lang w:eastAsia="zh-CN"/>
              </w:rPr>
              <w:t>年以来承接过同类服务业绩，每个得</w:t>
            </w:r>
            <w:r>
              <w:rPr>
                <w:rFonts w:hint="eastAsia" w:ascii="宋体" w:hAnsi="宋体" w:cs="Times New Roman"/>
                <w:bCs/>
                <w:color w:val="auto"/>
                <w:szCs w:val="21"/>
                <w:highlight w:val="none"/>
                <w:vertAlign w:val="baseline"/>
                <w:lang w:val="en-US" w:eastAsia="zh-CN"/>
              </w:rPr>
              <w:t>3</w:t>
            </w:r>
            <w:r>
              <w:rPr>
                <w:rFonts w:hint="eastAsia" w:ascii="宋体" w:hAnsi="宋体" w:eastAsia="宋体" w:cs="Times New Roman"/>
                <w:bCs/>
                <w:color w:val="auto"/>
                <w:szCs w:val="21"/>
                <w:highlight w:val="none"/>
                <w:vertAlign w:val="baseline"/>
                <w:lang w:eastAsia="zh-CN"/>
              </w:rPr>
              <w:t>分（必须在竞争性磋商响应文件中提供合同或中标/成交通知书复印件）,</w:t>
            </w:r>
            <w:r>
              <w:rPr>
                <w:rFonts w:hint="eastAsia" w:ascii="宋体" w:hAnsi="宋体" w:eastAsia="宋体" w:cs="Times New Roman"/>
                <w:b/>
                <w:bCs w:val="0"/>
                <w:color w:val="auto"/>
                <w:szCs w:val="21"/>
                <w:highlight w:val="none"/>
                <w:vertAlign w:val="baseline"/>
                <w:lang w:eastAsia="zh-CN"/>
              </w:rPr>
              <w:t>满分</w:t>
            </w:r>
            <w:r>
              <w:rPr>
                <w:rFonts w:hint="eastAsia" w:ascii="宋体" w:hAnsi="宋体" w:eastAsia="宋体" w:cs="Times New Roman"/>
                <w:b/>
                <w:bCs w:val="0"/>
                <w:color w:val="auto"/>
                <w:szCs w:val="21"/>
                <w:highlight w:val="none"/>
                <w:vertAlign w:val="baseline"/>
                <w:lang w:val="en-US" w:eastAsia="zh-CN"/>
              </w:rPr>
              <w:t>6</w:t>
            </w:r>
            <w:r>
              <w:rPr>
                <w:rFonts w:hint="eastAsia" w:ascii="宋体" w:hAnsi="宋体" w:eastAsia="宋体" w:cs="Times New Roman"/>
                <w:b/>
                <w:bCs w:val="0"/>
                <w:color w:val="auto"/>
                <w:szCs w:val="21"/>
                <w:highlight w:val="none"/>
                <w:vertAlign w:val="baseli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9" w:type="dxa"/>
            <w:gridSpan w:val="5"/>
            <w:vAlign w:val="center"/>
          </w:tcPr>
          <w:p>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pPr>
        <w:rPr>
          <w:rFonts w:hint="eastAsia" w:ascii="宋体" w:hAnsi="宋体" w:cs="宋体"/>
          <w:bCs/>
          <w:color w:val="auto"/>
          <w:szCs w:val="21"/>
          <w:highlight w:val="none"/>
        </w:rPr>
      </w:pPr>
    </w:p>
    <w:p>
      <w:pPr>
        <w:spacing w:line="360" w:lineRule="auto"/>
        <w:rPr>
          <w:rFonts w:ascii="宋体" w:hAnsi="宋体" w:cs="宋体"/>
          <w:color w:val="auto"/>
          <w:highlight w:val="none"/>
        </w:rPr>
      </w:pPr>
      <w:r>
        <w:rPr>
          <w:rFonts w:hint="eastAsia" w:ascii="宋体" w:hAnsi="宋体" w:cs="宋体"/>
          <w:bCs/>
          <w:color w:val="auto"/>
          <w:szCs w:val="21"/>
          <w:highlight w:val="none"/>
        </w:rPr>
        <w:t>7.由磋商小组根据综合评分情况，按照评审得分由高到低顺序推荐3名以上成交候选供应商，并编写评审报告。符合本章第</w:t>
      </w:r>
      <w:r>
        <w:rPr>
          <w:rFonts w:hint="eastAsia" w:ascii="宋体" w:hAnsi="宋体" w:cs="宋体"/>
          <w:color w:val="auto"/>
          <w:szCs w:val="21"/>
          <w:highlight w:val="none"/>
        </w:rPr>
        <w:t>2.7、3.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、4.3</w:t>
      </w:r>
      <w:r>
        <w:rPr>
          <w:rFonts w:hint="eastAsia" w:ascii="宋体" w:hAnsi="宋体" w:cs="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hAnsi="宋体" w:cs="宋体"/>
          <w:color w:val="auto"/>
          <w:szCs w:val="21"/>
          <w:highlight w:val="none"/>
        </w:rPr>
        <w:t>按综合评分中服务水平、履约能力得分高低依次确定</w:t>
      </w:r>
      <w:r>
        <w:rPr>
          <w:rFonts w:hint="eastAsia" w:ascii="宋体" w:hAnsi="宋体" w:cs="宋体"/>
          <w:bCs/>
          <w:color w:val="auto"/>
          <w:szCs w:val="21"/>
          <w:highlight w:val="none"/>
        </w:rPr>
        <w:t>）。</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5"/>
        <w:jc w:val="center"/>
        <w:rPr>
          <w:rFonts w:ascii="宋体" w:hAnsi="宋体" w:cs="宋体"/>
          <w:color w:val="auto"/>
          <w:highlight w:val="none"/>
        </w:rPr>
      </w:pPr>
      <w:bookmarkStart w:id="44" w:name="_Toc74323460"/>
      <w:r>
        <w:rPr>
          <w:rFonts w:hint="eastAsia" w:ascii="宋体" w:hAnsi="宋体" w:cs="宋体"/>
          <w:color w:val="auto"/>
          <w:highlight w:val="none"/>
        </w:rPr>
        <w:br w:type="page"/>
      </w:r>
      <w:r>
        <w:rPr>
          <w:rFonts w:hint="eastAsia" w:ascii="宋体" w:hAnsi="宋体" w:cs="宋体"/>
          <w:color w:val="auto"/>
          <w:highlight w:val="none"/>
        </w:rPr>
        <w:t>第五章 响应文件格式</w:t>
      </w:r>
      <w:bookmarkEnd w:id="44"/>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Cs/>
          <w:color w:val="auto"/>
          <w:sz w:val="32"/>
          <w:szCs w:val="32"/>
          <w:highlight w:val="none"/>
        </w:rPr>
      </w:pPr>
    </w:p>
    <w:p>
      <w:pPr>
        <w:rPr>
          <w:rFonts w:ascii="宋体" w:hAnsi="宋体" w:cs="宋体"/>
          <w:b/>
          <w:color w:val="auto"/>
          <w:sz w:val="32"/>
          <w:szCs w:val="32"/>
          <w:highlight w:val="none"/>
        </w:rPr>
      </w:pPr>
      <w:bookmarkStart w:id="45" w:name="_Toc35611438"/>
      <w:bookmarkStart w:id="46" w:name="_Toc44229899"/>
      <w:bookmarkStart w:id="47" w:name="_Toc31728084"/>
      <w:bookmarkStart w:id="48" w:name="_Toc35611516"/>
      <w:bookmarkStart w:id="49" w:name="_Toc31723070"/>
      <w:bookmarkStart w:id="50" w:name="_Toc71365925"/>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45"/>
      <w:bookmarkEnd w:id="46"/>
      <w:bookmarkEnd w:id="47"/>
      <w:bookmarkEnd w:id="48"/>
      <w:bookmarkEnd w:id="49"/>
      <w:bookmarkEnd w:id="50"/>
    </w:p>
    <w:p>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156" w:beforeLines="50" w:after="50"/>
        <w:rPr>
          <w:rFonts w:ascii="宋体" w:hAnsi="宋体" w:cs="宋体"/>
          <w:color w:val="auto"/>
          <w:sz w:val="24"/>
          <w:szCs w:val="20"/>
          <w:highlight w:val="none"/>
        </w:rPr>
      </w:pPr>
    </w:p>
    <w:p>
      <w:pPr>
        <w:snapToGrid w:val="0"/>
        <w:spacing w:before="156" w:beforeLines="50" w:after="50"/>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pPr>
        <w:snapToGrid w:val="0"/>
        <w:spacing w:before="156" w:beforeLines="50" w:after="50"/>
        <w:jc w:val="center"/>
        <w:rPr>
          <w:rFonts w:ascii="宋体" w:hAnsi="宋体" w:cs="宋体"/>
          <w:bCs/>
          <w:color w:val="auto"/>
          <w:sz w:val="44"/>
          <w:szCs w:val="44"/>
          <w:highlight w:val="none"/>
        </w:rPr>
      </w:pPr>
    </w:p>
    <w:p>
      <w:pPr>
        <w:snapToGrid w:val="0"/>
        <w:spacing w:before="156"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  格  证  明  文  件</w:t>
      </w: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156" w:beforeLines="50" w:after="50"/>
        <w:ind w:firstLine="720" w:firstLineChars="225"/>
        <w:rPr>
          <w:rFonts w:ascii="宋体" w:hAnsi="宋体" w:cs="宋体"/>
          <w:bCs/>
          <w:color w:val="auto"/>
          <w:sz w:val="32"/>
          <w:szCs w:val="32"/>
          <w:highlight w:val="none"/>
        </w:rPr>
      </w:pPr>
    </w:p>
    <w:p>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w:t>
      </w:r>
    </w:p>
    <w:p>
      <w:pPr>
        <w:snapToGrid w:val="0"/>
        <w:spacing w:before="156" w:beforeLines="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pPr>
        <w:snapToGrid w:val="0"/>
        <w:spacing w:before="156"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pPr>
        <w:snapToGrid w:val="0"/>
        <w:spacing w:before="156"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p>
    <w:p>
      <w:pPr>
        <w:wordWrap w:val="0"/>
        <w:spacing w:before="156" w:beforeLines="50" w:after="50" w:line="320" w:lineRule="exact"/>
        <w:ind w:right="482" w:firstLine="210" w:firstLineChars="100"/>
        <w:contextualSpacing/>
        <w:jc w:val="center"/>
        <w:rPr>
          <w:rFonts w:ascii="宋体" w:hAnsi="宋体" w:cs="宋体"/>
          <w:color w:val="auto"/>
          <w:szCs w:val="21"/>
          <w:highlight w:val="none"/>
        </w:rPr>
      </w:pPr>
    </w:p>
    <w:p>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pPr>
        <w:snapToGrid w:val="0"/>
        <w:spacing w:before="156" w:beforeLines="50" w:after="50" w:line="360" w:lineRule="auto"/>
        <w:jc w:val="center"/>
        <w:rPr>
          <w:rFonts w:ascii="宋体" w:hAnsi="宋体" w:cs="宋体"/>
          <w:b/>
          <w:color w:val="auto"/>
          <w:sz w:val="24"/>
          <w:highlight w:val="none"/>
        </w:rPr>
      </w:pPr>
    </w:p>
    <w:p>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pPr>
        <w:spacing w:line="360" w:lineRule="auto"/>
        <w:contextualSpacing/>
        <w:jc w:val="center"/>
        <w:rPr>
          <w:rFonts w:ascii="宋体" w:hAnsi="宋体" w:cs="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before="156" w:beforeLines="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pPr>
        <w:snapToGrid w:val="0"/>
        <w:spacing w:before="156" w:beforeLines="50" w:after="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供应商（盖公章 ）：</w:t>
      </w:r>
      <w:r>
        <w:rPr>
          <w:rFonts w:hint="eastAsia" w:ascii="宋体" w:hAnsi="宋体" w:cs="宋体"/>
          <w:color w:val="auto"/>
          <w:sz w:val="24"/>
          <w:highlight w:val="none"/>
          <w:u w:val="single"/>
        </w:rPr>
        <w:t xml:space="preserve">                           </w:t>
      </w:r>
    </w:p>
    <w:p>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pPr>
        <w:snapToGrid w:val="0"/>
        <w:spacing w:line="360" w:lineRule="auto"/>
        <w:jc w:val="center"/>
        <w:rPr>
          <w:rFonts w:ascii="宋体" w:hAnsi="宋体" w:cs="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ind w:right="480" w:firstLine="3360" w:firstLineChars="1400"/>
        <w:contextualSpacing/>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pPr>
        <w:spacing w:line="360" w:lineRule="auto"/>
        <w:ind w:right="480" w:firstLine="3360" w:firstLineChars="1400"/>
        <w:contextualSpacing/>
        <w:rPr>
          <w:rFonts w:ascii="宋体" w:hAnsi="宋体" w:cs="宋体"/>
          <w:color w:val="auto"/>
          <w:sz w:val="24"/>
          <w:highlight w:val="non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p>
    <w:p>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pPr>
        <w:spacing w:line="320" w:lineRule="exact"/>
        <w:jc w:val="center"/>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竞标声明</w:t>
      </w:r>
    </w:p>
    <w:p>
      <w:pPr>
        <w:spacing w:line="320" w:lineRule="exact"/>
        <w:jc w:val="center"/>
        <w:rPr>
          <w:rFonts w:ascii="宋体" w:hAnsi="宋体" w:cs="宋体"/>
          <w:color w:val="auto"/>
          <w:sz w:val="24"/>
          <w:szCs w:val="20"/>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pPr>
        <w:pStyle w:val="17"/>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pStyle w:val="17"/>
        <w:tabs>
          <w:tab w:val="left" w:pos="939"/>
        </w:tabs>
        <w:spacing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注：如为联合体竞标，盖章处须加盖联合体各方公章并由联合体各方法定代表人签署，否则其响应文件按无效响应处理。</w:t>
      </w:r>
    </w:p>
    <w:p>
      <w:pPr>
        <w:pStyle w:val="17"/>
        <w:tabs>
          <w:tab w:val="left" w:pos="939"/>
        </w:tabs>
        <w:spacing w:line="360" w:lineRule="auto"/>
        <w:ind w:left="0" w:leftChars="0" w:firstLine="480" w:firstLineChars="200"/>
        <w:rPr>
          <w:rFonts w:ascii="宋体" w:hAnsi="宋体" w:cs="宋体"/>
          <w:color w:val="auto"/>
          <w:sz w:val="24"/>
          <w:highlight w:val="none"/>
        </w:rPr>
      </w:pPr>
    </w:p>
    <w:p>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320" w:firstLineChars="1800"/>
        <w:contextualSpacing/>
        <w:rPr>
          <w:rFonts w:ascii="宋体" w:hAnsi="宋体" w:cs="宋体"/>
          <w:color w:val="auto"/>
          <w:sz w:val="24"/>
          <w:highlight w:val="none"/>
          <w:u w:val="singl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right="480" w:firstLine="240" w:firstLineChars="10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9"/>
        <w:overflowPunct w:val="0"/>
        <w:spacing w:line="520" w:lineRule="exact"/>
        <w:ind w:firstLine="0"/>
        <w:jc w:val="center"/>
        <w:rPr>
          <w:rFonts w:ascii="宋体" w:hAnsi="宋体" w:cs="宋体"/>
          <w:color w:val="auto"/>
          <w:sz w:val="44"/>
          <w:szCs w:val="4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联合体竞标协议书</w:t>
      </w:r>
    </w:p>
    <w:p>
      <w:pPr>
        <w:pStyle w:val="9"/>
        <w:overflowPunct w:val="0"/>
        <w:spacing w:line="360" w:lineRule="auto"/>
        <w:ind w:firstLine="0"/>
        <w:rPr>
          <w:rFonts w:ascii="宋体" w:hAnsi="宋体" w:cs="宋体"/>
          <w:color w:val="auto"/>
          <w:sz w:val="24"/>
          <w:szCs w:val="24"/>
          <w:highlight w:val="none"/>
        </w:rPr>
      </w:pP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（所有成员单位名称）自愿组成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（联合体名称）联合体，共同参加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（项目名称）采购项目竞标。现就联合体竞标事宜订立如下协议。</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（某成员单位名称）为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（联合体名称）牵头人。</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4.联合体各成员单位内部的职责分工如下：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5.本</w:t>
      </w:r>
      <w:r>
        <w:rPr>
          <w:rFonts w:hint="eastAsia" w:ascii="宋体" w:hAnsi="宋体" w:cs="宋体"/>
          <w:color w:val="auto"/>
          <w:spacing w:val="-6"/>
          <w:sz w:val="24"/>
          <w:szCs w:val="24"/>
          <w:highlight w:val="none"/>
        </w:rPr>
        <w:t>协议书自所有成员单位法定代表人（单位负责人）或者其委托代理人签字或者盖单位章之日起生效，合同履行完毕后自动失效。</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6.本协议书一式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份，联合体成员和采购人各执一份。</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注：本协议书由法定代表人（单位负责人）签字的，应附法定代表人（单位负责人）身份证明书；由委托代理人签字的，应附联合体协议签订授权委托书（格式自拟）。</w:t>
      </w:r>
    </w:p>
    <w:p>
      <w:pPr>
        <w:pStyle w:val="9"/>
        <w:overflowPunct w:val="0"/>
        <w:spacing w:line="360" w:lineRule="auto"/>
        <w:ind w:firstLineChars="175"/>
        <w:contextualSpacing/>
        <w:rPr>
          <w:rFonts w:ascii="宋体" w:hAnsi="宋体" w:cs="宋体"/>
          <w:color w:val="auto"/>
          <w:sz w:val="24"/>
          <w:szCs w:val="24"/>
          <w:highlight w:val="none"/>
        </w:rPr>
      </w:pP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联合体牵头人名称（盖公章）：</w:t>
      </w: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法定代表人（单位负责人）或者其委托代理人（签字）：</w:t>
      </w:r>
    </w:p>
    <w:p>
      <w:pPr>
        <w:pStyle w:val="9"/>
        <w:overflowPunct w:val="0"/>
        <w:spacing w:line="360" w:lineRule="auto"/>
        <w:ind w:firstLine="0"/>
        <w:contextualSpacing/>
        <w:rPr>
          <w:rFonts w:ascii="宋体" w:hAnsi="宋体" w:cs="宋体"/>
          <w:color w:val="auto"/>
          <w:sz w:val="24"/>
          <w:szCs w:val="24"/>
          <w:highlight w:val="none"/>
        </w:rPr>
      </w:pP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联合体成员名称（盖公章）：</w:t>
      </w: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法定代表人（单位负责人）或者其委托代理人（签字）：</w:t>
      </w:r>
    </w:p>
    <w:p>
      <w:pPr>
        <w:pStyle w:val="9"/>
        <w:overflowPunct w:val="0"/>
        <w:spacing w:line="360" w:lineRule="auto"/>
        <w:ind w:firstLine="0"/>
        <w:contextualSpacing/>
        <w:rPr>
          <w:rFonts w:ascii="宋体" w:hAnsi="宋体" w:cs="宋体"/>
          <w:color w:val="auto"/>
          <w:sz w:val="24"/>
          <w:szCs w:val="24"/>
          <w:highlight w:val="none"/>
        </w:rPr>
      </w:pP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联合体成员名称（盖公章）：</w:t>
      </w: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法定代表人（单位负责人）或者其委托代理人（签字）：</w:t>
      </w: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360" w:lineRule="auto"/>
        <w:ind w:right="480" w:firstLine="240" w:firstLineChars="100"/>
        <w:contextualSpacing/>
        <w:jc w:val="center"/>
        <w:rPr>
          <w:rFonts w:ascii="宋体" w:hAnsi="宋体" w:cs="宋体"/>
          <w:b/>
          <w:bCs/>
          <w:color w:val="auto"/>
          <w:sz w:val="32"/>
          <w:szCs w:val="32"/>
          <w:highlight w:val="none"/>
        </w:rPr>
      </w:pPr>
      <w:r>
        <w:rPr>
          <w:rFonts w:hint="eastAsia" w:ascii="宋体" w:hAnsi="宋体" w:cs="宋体"/>
          <w:color w:val="auto"/>
          <w:sz w:val="24"/>
          <w:highlight w:val="none"/>
        </w:rPr>
        <w:t xml:space="preserve">                                                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日</w:t>
      </w:r>
    </w:p>
    <w:p>
      <w:pPr>
        <w:snapToGrid w:val="0"/>
        <w:spacing w:before="156" w:beforeLines="50" w:after="50" w:line="360" w:lineRule="auto"/>
        <w:ind w:right="480"/>
        <w:rPr>
          <w:rFonts w:ascii="宋体" w:hAnsi="宋体" w:cs="宋体"/>
          <w:b/>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156" w:beforeLines="50" w:after="50"/>
        <w:rPr>
          <w:rFonts w:ascii="宋体" w:hAnsi="宋体" w:cs="宋体"/>
          <w:color w:val="auto"/>
          <w:sz w:val="24"/>
          <w:szCs w:val="20"/>
          <w:highlight w:val="none"/>
        </w:rPr>
      </w:pPr>
    </w:p>
    <w:p>
      <w:pPr>
        <w:snapToGrid w:val="0"/>
        <w:spacing w:before="156" w:beforeLines="50" w:after="50"/>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pPr>
        <w:snapToGrid w:val="0"/>
        <w:spacing w:before="156"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  价  商  务  技  术  文  件</w:t>
      </w: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156" w:beforeLines="50" w:after="50"/>
        <w:ind w:firstLine="720" w:firstLineChars="225"/>
        <w:rPr>
          <w:rFonts w:ascii="宋体" w:hAnsi="宋体" w:cs="宋体"/>
          <w:bCs/>
          <w:color w:val="auto"/>
          <w:sz w:val="32"/>
          <w:szCs w:val="32"/>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w:t>
      </w:r>
    </w:p>
    <w:p>
      <w:pPr>
        <w:snapToGrid w:val="0"/>
        <w:spacing w:before="156" w:beforeLines="50" w:after="50"/>
        <w:ind w:firstLine="720" w:firstLineChars="225"/>
        <w:rPr>
          <w:rFonts w:ascii="宋体" w:hAnsi="宋体" w:cs="宋体"/>
          <w:bCs/>
          <w:color w:val="auto"/>
          <w:sz w:val="32"/>
          <w:szCs w:val="32"/>
          <w:highlight w:val="none"/>
        </w:rPr>
      </w:pPr>
    </w:p>
    <w:p>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pPr>
        <w:snapToGrid w:val="0"/>
        <w:spacing w:before="156" w:beforeLines="50" w:after="50"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pPr>
        <w:spacing w:line="400" w:lineRule="exact"/>
        <w:rPr>
          <w:rFonts w:ascii="宋体" w:hAnsi="宋体" w:cs="宋体"/>
          <w:color w:val="auto"/>
          <w:sz w:val="32"/>
          <w:szCs w:val="32"/>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pPr>
        <w:spacing w:line="360" w:lineRule="auto"/>
        <w:ind w:firstLine="640" w:firstLineChars="200"/>
        <w:contextualSpacing/>
        <w:rPr>
          <w:rFonts w:ascii="宋体" w:hAnsi="宋体" w:cs="宋体"/>
          <w:color w:val="auto"/>
          <w:sz w:val="32"/>
          <w:szCs w:val="32"/>
          <w:highlight w:val="none"/>
        </w:rPr>
      </w:pP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ascii="宋体" w:hAnsi="宋体" w:cs="宋体"/>
          <w:color w:val="auto"/>
          <w:sz w:val="24"/>
          <w:highlight w:val="none"/>
        </w:rPr>
      </w:pP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pPr>
        <w:spacing w:line="360" w:lineRule="auto"/>
        <w:contextualSpacing/>
        <w:rPr>
          <w:rFonts w:ascii="宋体" w:hAnsi="宋体" w:cs="宋体"/>
          <w:color w:val="auto"/>
          <w:sz w:val="24"/>
          <w:highlight w:val="none"/>
        </w:rPr>
      </w:pPr>
    </w:p>
    <w:p>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供应商（盖公章）：</w:t>
      </w:r>
    </w:p>
    <w:p>
      <w:pPr>
        <w:spacing w:line="360" w:lineRule="auto"/>
        <w:ind w:firstLine="480" w:firstLineChars="200"/>
        <w:contextualSpacing/>
        <w:jc w:val="center"/>
        <w:rPr>
          <w:rFonts w:ascii="宋体" w:hAnsi="宋体" w:cs="宋体"/>
          <w:color w:val="auto"/>
          <w:sz w:val="32"/>
          <w:szCs w:val="32"/>
          <w:highlight w:val="none"/>
        </w:rPr>
      </w:pPr>
      <w:r>
        <w:rPr>
          <w:rFonts w:hint="eastAsia" w:ascii="宋体" w:hAnsi="宋体" w:cs="宋体"/>
          <w:color w:val="auto"/>
          <w:sz w:val="24"/>
          <w:highlight w:val="none"/>
        </w:rPr>
        <w:t xml:space="preserve">                               年   月   日</w:t>
      </w:r>
    </w:p>
    <w:p>
      <w:pPr>
        <w:pStyle w:val="23"/>
        <w:tabs>
          <w:tab w:val="right" w:leader="dot" w:pos="8398"/>
        </w:tabs>
        <w:rPr>
          <w:color w:val="auto"/>
          <w:highlight w:val="none"/>
        </w:rPr>
      </w:pPr>
      <w:r>
        <w:rPr>
          <w:rFonts w:hint="eastAsia" w:ascii="宋体" w:hAnsi="宋体" w:cs="宋体"/>
          <w:bCs/>
          <w:color w:val="auto"/>
          <w:sz w:val="44"/>
          <w:szCs w:val="44"/>
          <w:highlight w:val="none"/>
        </w:rPr>
        <w:br w:type="page"/>
      </w:r>
    </w:p>
    <w:p>
      <w:pPr>
        <w:spacing w:line="520" w:lineRule="exact"/>
        <w:jc w:val="center"/>
        <w:rPr>
          <w:rFonts w:hint="eastAsia" w:ascii="宋体" w:hAnsi="宋体" w:cs="宋体"/>
          <w:bCs/>
          <w:color w:val="auto"/>
          <w:sz w:val="32"/>
          <w:szCs w:val="32"/>
          <w:highlight w:val="none"/>
        </w:rPr>
      </w:pPr>
      <w:r>
        <w:rPr>
          <w:rFonts w:hint="eastAsia" w:ascii="宋体" w:hAnsi="宋体" w:cs="宋体"/>
          <w:bCs/>
          <w:color w:val="auto"/>
          <w:sz w:val="44"/>
          <w:szCs w:val="44"/>
          <w:highlight w:val="none"/>
        </w:rPr>
        <w:t>竞  标  报  价  表</w:t>
      </w:r>
    </w:p>
    <w:p>
      <w:pPr>
        <w:spacing w:line="440" w:lineRule="exact"/>
        <w:jc w:val="center"/>
        <w:rPr>
          <w:rFonts w:hint="eastAsia" w:ascii="宋体" w:hAnsi="宋体" w:cs="宋体"/>
          <w:bCs/>
          <w:color w:val="auto"/>
          <w:sz w:val="32"/>
          <w:szCs w:val="32"/>
          <w:highlight w:val="none"/>
        </w:rPr>
      </w:pP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分标号：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989"/>
        <w:gridCol w:w="1009"/>
        <w:gridCol w:w="767"/>
        <w:gridCol w:w="2044"/>
        <w:gridCol w:w="1303"/>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lang w:eastAsia="zh-CN"/>
              </w:rPr>
              <w:t>标的的</w:t>
            </w:r>
            <w:r>
              <w:rPr>
                <w:rFonts w:hint="eastAsia" w:ascii="宋体" w:hAnsi="宋体" w:cs="宋体"/>
                <w:color w:val="auto"/>
                <w:sz w:val="24"/>
                <w:highlight w:val="none"/>
              </w:rPr>
              <w:t>名称</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20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总价</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hint="eastAsia" w:ascii="宋体" w:hAnsi="宋体" w:cs="宋体"/>
                <w:color w:val="auto"/>
                <w:sz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hint="eastAsia" w:ascii="宋体" w:hAnsi="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hint="eastAsia" w:ascii="宋体" w:hAnsi="宋体" w:cs="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21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21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合同履约期限</w:t>
            </w:r>
            <w:r>
              <w:rPr>
                <w:rFonts w:hint="eastAsia" w:ascii="宋体" w:hAnsi="宋体" w:cs="宋体"/>
                <w:color w:val="auto"/>
                <w:sz w:val="24"/>
                <w:highlight w:val="none"/>
                <w:lang w:eastAsia="zh-CN"/>
              </w:rPr>
              <w:t>：</w:t>
            </w:r>
          </w:p>
        </w:tc>
      </w:tr>
    </w:tbl>
    <w:p>
      <w:pPr>
        <w:spacing w:line="360" w:lineRule="auto"/>
        <w:contextualSpacing/>
        <w:jc w:val="left"/>
        <w:rPr>
          <w:rFonts w:hint="eastAsia" w:ascii="宋体" w:hAnsi="宋体" w:cs="宋体"/>
          <w:color w:val="auto"/>
          <w:sz w:val="24"/>
          <w:highlight w:val="none"/>
        </w:rPr>
      </w:pPr>
    </w:p>
    <w:p>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 xml:space="preserve">注: </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pPr>
        <w:spacing w:line="360" w:lineRule="auto"/>
        <w:ind w:firstLine="480" w:firstLineChars="200"/>
        <w:contextualSpacing/>
        <w:jc w:val="left"/>
        <w:rPr>
          <w:rFonts w:hint="eastAsia"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pPr>
        <w:spacing w:line="360" w:lineRule="auto"/>
        <w:ind w:firstLine="480" w:firstLineChars="200"/>
        <w:contextualSpacing/>
        <w:jc w:val="left"/>
        <w:rPr>
          <w:rFonts w:hint="eastAsia" w:ascii="宋体" w:hAnsi="宋体" w:cs="宋体"/>
          <w:b/>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w:t>
      </w:r>
      <w:r>
        <w:rPr>
          <w:rFonts w:hint="eastAsia" w:ascii="宋体" w:hAnsi="宋体" w:cs="宋体"/>
          <w:b/>
          <w:color w:val="auto"/>
          <w:sz w:val="24"/>
          <w:highlight w:val="none"/>
        </w:rPr>
        <w:t>否则其响应文件按无效响应处理。</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4.如为联合体竞标，盖章处须加盖联合体各方公章，</w:t>
      </w:r>
      <w:bookmarkStart w:id="51" w:name="_Hlk65851776"/>
      <w:r>
        <w:rPr>
          <w:rFonts w:hint="eastAsia" w:ascii="宋体" w:hAnsi="宋体" w:cs="宋体"/>
          <w:b/>
          <w:color w:val="auto"/>
          <w:sz w:val="24"/>
          <w:highlight w:val="none"/>
        </w:rPr>
        <w:t>否则其响应文件按无效响应处理。</w:t>
      </w:r>
      <w:bookmarkEnd w:id="51"/>
    </w:p>
    <w:p>
      <w:pPr>
        <w:spacing w:line="360" w:lineRule="auto"/>
        <w:ind w:right="-817" w:rightChars="-389"/>
        <w:contextualSpacing/>
        <w:rPr>
          <w:rFonts w:hint="eastAsia" w:ascii="宋体" w:hAnsi="宋体" w:cs="宋体"/>
          <w:color w:val="auto"/>
          <w:sz w:val="24"/>
          <w:highlight w:val="none"/>
        </w:rPr>
      </w:pPr>
    </w:p>
    <w:p>
      <w:pPr>
        <w:spacing w:line="360" w:lineRule="auto"/>
        <w:ind w:right="-817" w:rightChars="-389" w:firstLine="2640" w:firstLineChars="1100"/>
        <w:contextualSpacing/>
        <w:rPr>
          <w:rFonts w:hint="eastAsia"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pPr>
        <w:spacing w:line="360" w:lineRule="auto"/>
        <w:ind w:right="-817" w:rightChars="-389" w:firstLine="2640" w:firstLineChars="1100"/>
        <w:contextualSpacing/>
        <w:rPr>
          <w:rFonts w:hint="eastAsia" w:ascii="宋体" w:hAnsi="宋体" w:cs="宋体"/>
          <w:color w:val="auto"/>
          <w:sz w:val="24"/>
          <w:highlight w:val="none"/>
        </w:rPr>
      </w:pPr>
      <w:r>
        <w:rPr>
          <w:rFonts w:hint="eastAsia" w:ascii="宋体" w:hAnsi="宋体" w:cs="宋体"/>
          <w:color w:val="auto"/>
          <w:sz w:val="24"/>
          <w:highlight w:val="none"/>
        </w:rPr>
        <w:t xml:space="preserve">供应商（盖公章）：      </w:t>
      </w:r>
    </w:p>
    <w:p>
      <w:pPr>
        <w:spacing w:line="360" w:lineRule="auto"/>
        <w:ind w:right="-817" w:rightChars="-389" w:firstLine="4080" w:firstLineChars="1700"/>
        <w:contextualSpacing/>
        <w:rPr>
          <w:rFonts w:hint="eastAsia" w:ascii="宋体" w:hAnsi="宋体" w:cs="宋体"/>
          <w:b/>
          <w:color w:val="auto"/>
          <w:sz w:val="24"/>
          <w:highlight w:val="none"/>
        </w:rPr>
      </w:pPr>
      <w:r>
        <w:rPr>
          <w:rFonts w:hint="eastAsia" w:ascii="宋体" w:hAnsi="宋体" w:cs="宋体"/>
          <w:color w:val="auto"/>
          <w:sz w:val="24"/>
          <w:highlight w:val="none"/>
        </w:rPr>
        <w:t>日期：   年   月   日</w:t>
      </w:r>
    </w:p>
    <w:p>
      <w:pPr>
        <w:spacing w:before="312" w:beforeLines="100" w:after="156" w:afterLines="50" w:line="520" w:lineRule="exact"/>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Cs/>
          <w:color w:val="auto"/>
          <w:sz w:val="44"/>
          <w:szCs w:val="44"/>
          <w:highlight w:val="none"/>
        </w:rPr>
        <w:t>法定代表人身份证明</w:t>
      </w:r>
    </w:p>
    <w:p>
      <w:pPr>
        <w:spacing w:line="360" w:lineRule="auto"/>
        <w:ind w:left="540"/>
        <w:contextualSpacing/>
        <w:rPr>
          <w:rFonts w:ascii="宋体" w:hAnsi="宋体" w:cs="宋体"/>
          <w:color w:val="auto"/>
          <w:sz w:val="32"/>
          <w:szCs w:val="32"/>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360" w:lineRule="auto"/>
        <w:ind w:left="540"/>
        <w:contextualSpacing/>
        <w:rPr>
          <w:rFonts w:ascii="宋体" w:hAnsi="宋体" w:cs="宋体"/>
          <w:color w:val="auto"/>
          <w:sz w:val="24"/>
          <w:highlight w:val="none"/>
        </w:rPr>
      </w:pPr>
    </w:p>
    <w:p>
      <w:pPr>
        <w:spacing w:line="360" w:lineRule="auto"/>
        <w:ind w:left="540"/>
        <w:contextualSpacing/>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p>
    <w:p>
      <w:pPr>
        <w:spacing w:line="360" w:lineRule="auto"/>
        <w:ind w:firstLine="6960" w:firstLineChars="2900"/>
        <w:contextualSpacing/>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contextualSpacing/>
        <w:jc w:val="center"/>
        <w:rPr>
          <w:rFonts w:ascii="宋体" w:hAnsi="宋体" w:cs="宋体"/>
          <w:b/>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注：自然人竞标的无需提供，联合体竞标的只需牵头人出具。</w:t>
      </w:r>
    </w:p>
    <w:p>
      <w:pPr>
        <w:adjustRightInd w:val="0"/>
        <w:snapToGrid w:val="0"/>
        <w:spacing w:line="300" w:lineRule="auto"/>
        <w:jc w:val="left"/>
        <w:rPr>
          <w:rFonts w:ascii="宋体" w:hAnsi="宋体" w:cs="宋体"/>
          <w:b/>
          <w:color w:val="auto"/>
          <w:szCs w:val="21"/>
          <w:highlight w:val="none"/>
        </w:rPr>
      </w:pPr>
    </w:p>
    <w:p>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 xml:space="preserve"> </w:t>
      </w:r>
    </w:p>
    <w:p>
      <w:pPr>
        <w:spacing w:line="520" w:lineRule="exact"/>
        <w:jc w:val="center"/>
        <w:rPr>
          <w:rFonts w:ascii="宋体" w:hAnsi="宋体" w:cs="宋体"/>
          <w:color w:val="auto"/>
          <w:sz w:val="44"/>
          <w:szCs w:val="44"/>
          <w:highlight w:val="none"/>
        </w:rPr>
      </w:pPr>
      <w:bookmarkStart w:id="52" w:name="_Hlk65853643"/>
      <w:r>
        <w:rPr>
          <w:rFonts w:hint="eastAsia" w:ascii="宋体" w:hAnsi="宋体" w:cs="宋体"/>
          <w:color w:val="auto"/>
          <w:sz w:val="44"/>
          <w:szCs w:val="44"/>
          <w:highlight w:val="none"/>
        </w:rPr>
        <w:t>授权委托书</w:t>
      </w: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（非联合体竞标格式）</w:t>
      </w:r>
    </w:p>
    <w:p>
      <w:pPr>
        <w:spacing w:line="52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pPr>
        <w:spacing w:line="520" w:lineRule="exact"/>
        <w:rPr>
          <w:rFonts w:ascii="宋体" w:hAnsi="宋体" w:cs="宋体"/>
          <w:color w:val="auto"/>
          <w:sz w:val="32"/>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法定代表人（签字或者盖章）：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供应商（盖公章）：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bookmarkStart w:id="53" w:name="_Hlk65853109"/>
      <w:bookmarkStart w:id="54" w:name="_Hlk65853542"/>
      <w:r>
        <w:rPr>
          <w:rFonts w:hint="eastAsia" w:ascii="宋体" w:hAnsi="宋体" w:cs="宋体"/>
          <w:color w:val="auto"/>
          <w:sz w:val="24"/>
          <w:highlight w:val="none"/>
        </w:rPr>
        <w:t>法人、其他组织竞标时“我方”是指“我单位”，自然人竞标时“我方”是指“本人”。</w:t>
      </w:r>
      <w:bookmarkEnd w:id="53"/>
    </w:p>
    <w:bookmarkEnd w:id="54"/>
    <w:p>
      <w:pPr>
        <w:spacing w:line="360" w:lineRule="auto"/>
        <w:ind w:firstLine="420" w:firstLineChars="200"/>
        <w:jc w:val="left"/>
        <w:rPr>
          <w:rFonts w:ascii="宋体" w:hAnsi="宋体" w:cs="宋体"/>
          <w:color w:val="auto"/>
          <w:szCs w:val="21"/>
          <w:highlight w:val="none"/>
        </w:rPr>
      </w:pPr>
    </w:p>
    <w:p>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w:t>
      </w:r>
    </w:p>
    <w:p>
      <w:pPr>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（联合体竞标格式）</w:t>
      </w:r>
    </w:p>
    <w:p>
      <w:pPr>
        <w:spacing w:line="50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pPr>
        <w:spacing w:line="500" w:lineRule="exact"/>
        <w:jc w:val="center"/>
        <w:rPr>
          <w:rFonts w:ascii="宋体" w:hAnsi="宋体" w:cs="宋体"/>
          <w:color w:val="auto"/>
          <w:sz w:val="44"/>
          <w:szCs w:val="44"/>
          <w:highlight w:val="none"/>
        </w:rPr>
      </w:pPr>
    </w:p>
    <w:p>
      <w:pPr>
        <w:spacing w:line="500" w:lineRule="exact"/>
        <w:jc w:val="center"/>
        <w:rPr>
          <w:rFonts w:ascii="宋体" w:hAnsi="宋体" w:cs="宋体"/>
          <w:color w:val="auto"/>
          <w:sz w:val="32"/>
          <w:szCs w:val="32"/>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附：法定代表人身份证明及委托代理人有效身份证正反面复印件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牵头人法定代表人（签字或者盖章）：</w:t>
      </w: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牵头人（盖公章）：</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pPr>
        <w:spacing w:line="360" w:lineRule="auto"/>
        <w:ind w:firstLine="480" w:firstLineChars="200"/>
        <w:jc w:val="left"/>
        <w:rPr>
          <w:rFonts w:ascii="宋体" w:hAnsi="宋体" w:cs="宋体"/>
          <w:color w:val="auto"/>
          <w:spacing w:val="-11"/>
          <w:sz w:val="24"/>
          <w:highlight w:val="none"/>
        </w:rPr>
      </w:pPr>
      <w:r>
        <w:rPr>
          <w:rFonts w:hint="eastAsia" w:ascii="宋体" w:hAnsi="宋体" w:cs="宋体"/>
          <w:color w:val="auto"/>
          <w:sz w:val="24"/>
          <w:highlight w:val="none"/>
        </w:rPr>
        <w:t>3.</w:t>
      </w:r>
      <w:r>
        <w:rPr>
          <w:rFonts w:hint="eastAsia" w:ascii="宋体" w:hAnsi="宋体" w:cs="宋体"/>
          <w:color w:val="auto"/>
          <w:spacing w:val="-11"/>
          <w:sz w:val="24"/>
          <w:highlight w:val="none"/>
        </w:rPr>
        <w:t>法人、其他组织竞标时“我方”是指“我单位”，自然人竞标时“我方”是指“本人”。</w:t>
      </w:r>
    </w:p>
    <w:bookmarkEnd w:id="52"/>
    <w:p>
      <w:pPr>
        <w:spacing w:line="500" w:lineRule="exact"/>
        <w:jc w:val="center"/>
        <w:rPr>
          <w:rFonts w:ascii="宋体" w:hAnsi="宋体" w:cs="宋体"/>
          <w:bCs/>
          <w:color w:val="auto"/>
          <w:sz w:val="44"/>
          <w:szCs w:val="44"/>
          <w:highlight w:val="none"/>
        </w:rPr>
      </w:pPr>
      <w:r>
        <w:rPr>
          <w:rFonts w:hint="eastAsia" w:ascii="宋体" w:hAnsi="宋体" w:cs="宋体"/>
          <w:color w:val="auto"/>
          <w:sz w:val="32"/>
          <w:szCs w:val="32"/>
          <w:highlight w:val="none"/>
        </w:rPr>
        <w:br w:type="page"/>
      </w:r>
      <w:r>
        <w:rPr>
          <w:rFonts w:hint="eastAsia" w:ascii="宋体" w:hAnsi="宋体" w:cs="宋体"/>
          <w:bCs/>
          <w:color w:val="auto"/>
          <w:sz w:val="44"/>
          <w:szCs w:val="44"/>
          <w:highlight w:val="none"/>
        </w:rPr>
        <w:t>商务要求偏离表</w:t>
      </w:r>
    </w:p>
    <w:p>
      <w:pPr>
        <w:spacing w:line="360" w:lineRule="auto"/>
        <w:contextualSpacing/>
        <w:jc w:val="left"/>
        <w:rPr>
          <w:rFonts w:ascii="宋体" w:hAnsi="宋体" w:cs="宋体"/>
          <w:color w:val="auto"/>
          <w:sz w:val="24"/>
          <w:highlight w:val="none"/>
        </w:rPr>
      </w:pPr>
    </w:p>
    <w:p>
      <w:pPr>
        <w:pStyle w:val="18"/>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p>
      <w:pPr>
        <w:spacing w:line="360" w:lineRule="auto"/>
        <w:contextualSpacing/>
        <w:jc w:val="left"/>
        <w:rPr>
          <w:rFonts w:ascii="宋体" w:hAnsi="宋体" w:cs="宋体"/>
          <w:color w:val="auto"/>
          <w:sz w:val="24"/>
          <w:highlight w:val="none"/>
          <w:u w:val="single"/>
        </w:rPr>
      </w:pPr>
    </w:p>
    <w:tbl>
      <w:tblPr>
        <w:tblStyle w:val="30"/>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bCs/>
                <w:color w:val="auto"/>
                <w:szCs w:val="21"/>
                <w:highlight w:val="none"/>
              </w:rPr>
              <w:t>磋商报价要求</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Cs w:val="21"/>
                <w:highlight w:val="none"/>
              </w:rPr>
              <w:t>合同履约期限（服务期限）和服务地点</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r>
    </w:tbl>
    <w:p>
      <w:pPr>
        <w:pStyle w:val="15"/>
        <w:spacing w:after="0" w:line="360" w:lineRule="auto"/>
        <w:ind w:firstLine="240" w:firstLineChars="1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pPr>
        <w:pStyle w:val="15"/>
        <w:spacing w:after="0" w:line="360" w:lineRule="auto"/>
        <w:ind w:firstLine="240" w:firstLineChars="100"/>
        <w:contextualSpacing/>
        <w:rPr>
          <w:rFonts w:ascii="宋体" w:hAnsi="宋体" w:cs="宋体"/>
          <w:color w:val="auto"/>
          <w:kern w:val="0"/>
          <w:sz w:val="24"/>
          <w:szCs w:val="24"/>
          <w:highlight w:val="none"/>
        </w:rPr>
      </w:pPr>
    </w:p>
    <w:p>
      <w:pPr>
        <w:pStyle w:val="15"/>
        <w:spacing w:after="0" w:line="360" w:lineRule="auto"/>
        <w:ind w:firstLine="240" w:firstLineChars="100"/>
        <w:contextualSpacing/>
        <w:rPr>
          <w:rFonts w:ascii="宋体" w:hAnsi="宋体" w:cs="宋体"/>
          <w:color w:val="auto"/>
          <w:kern w:val="0"/>
          <w:sz w:val="24"/>
          <w:szCs w:val="24"/>
          <w:highlight w:val="none"/>
        </w:rPr>
      </w:pPr>
    </w:p>
    <w:p>
      <w:pPr>
        <w:pStyle w:val="15"/>
        <w:spacing w:after="0" w:line="360" w:lineRule="auto"/>
        <w:ind w:firstLine="240" w:firstLineChars="100"/>
        <w:contextualSpacing/>
        <w:rPr>
          <w:rFonts w:ascii="宋体" w:hAnsi="宋体" w:cs="宋体"/>
          <w:color w:val="auto"/>
          <w:kern w:val="0"/>
          <w:sz w:val="24"/>
          <w:szCs w:val="24"/>
          <w:highlight w:val="none"/>
        </w:rPr>
      </w:pPr>
    </w:p>
    <w:p>
      <w:pPr>
        <w:pStyle w:val="15"/>
        <w:spacing w:after="0" w:line="360" w:lineRule="auto"/>
        <w:ind w:firstLine="240" w:firstLineChars="100"/>
        <w:contextualSpacing/>
        <w:rPr>
          <w:rFonts w:ascii="宋体" w:hAnsi="宋体" w:cs="宋体"/>
          <w:color w:val="auto"/>
          <w:kern w:val="0"/>
          <w:sz w:val="24"/>
          <w:szCs w:val="24"/>
          <w:highlight w:val="none"/>
        </w:rPr>
      </w:pPr>
    </w:p>
    <w:p>
      <w:pPr>
        <w:pStyle w:val="15"/>
        <w:spacing w:after="0" w:line="360" w:lineRule="auto"/>
        <w:ind w:firstLine="240" w:firstLineChars="100"/>
        <w:contextualSpacing/>
        <w:rPr>
          <w:rFonts w:ascii="宋体" w:hAnsi="宋体" w:cs="宋体"/>
          <w:color w:val="auto"/>
          <w:kern w:val="0"/>
          <w:sz w:val="24"/>
          <w:szCs w:val="24"/>
          <w:highlight w:val="none"/>
        </w:rPr>
      </w:pPr>
    </w:p>
    <w:p>
      <w:pPr>
        <w:pStyle w:val="15"/>
        <w:spacing w:after="0" w:line="360" w:lineRule="auto"/>
        <w:ind w:firstLine="240" w:firstLineChars="1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pStyle w:val="15"/>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说明：应对照磋商文件“第三章 采购需求”中的商务要求逐条作出明确响应，并作出偏离说明。</w:t>
      </w:r>
    </w:p>
    <w:p>
      <w:pPr>
        <w:spacing w:line="360" w:lineRule="auto"/>
        <w:contextualSpacing/>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cs="宋体"/>
          <w:color w:val="auto"/>
          <w:sz w:val="24"/>
          <w:highlight w:val="none"/>
        </w:rPr>
      </w:pPr>
    </w:p>
    <w:p>
      <w:pPr>
        <w:spacing w:line="360" w:lineRule="auto"/>
        <w:ind w:right="-817" w:rightChars="-389" w:firstLine="4800" w:firstLineChars="20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pPr>
        <w:spacing w:line="360" w:lineRule="auto"/>
        <w:ind w:right="-817" w:rightChars="-389" w:firstLine="4800" w:firstLineChars="20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pPr>
        <w:spacing w:line="360" w:lineRule="auto"/>
        <w:ind w:right="-817" w:rightChars="-389" w:firstLine="4800" w:firstLineChars="2000"/>
        <w:contextualSpacing/>
        <w:rPr>
          <w:rFonts w:ascii="宋体" w:hAnsi="宋体" w:cs="宋体"/>
          <w:b/>
          <w:color w:val="auto"/>
          <w:sz w:val="32"/>
          <w:szCs w:val="32"/>
          <w:highlight w:val="none"/>
        </w:rPr>
      </w:pPr>
      <w:r>
        <w:rPr>
          <w:rFonts w:hint="eastAsia" w:ascii="宋体" w:hAnsi="宋体" w:cs="宋体"/>
          <w:color w:val="auto"/>
          <w:sz w:val="24"/>
          <w:highlight w:val="none"/>
        </w:rPr>
        <w:t>日期：   年   月   日</w:t>
      </w: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rPr>
          <w:rFonts w:ascii="宋体" w:hAnsi="宋体" w:cs="宋体"/>
          <w:color w:val="auto"/>
          <w:szCs w:val="21"/>
          <w:highlight w:val="none"/>
          <w:u w:val="single"/>
        </w:rPr>
      </w:pPr>
    </w:p>
    <w:p>
      <w:pPr>
        <w:adjustRightInd w:val="0"/>
        <w:snapToGrid w:val="0"/>
        <w:spacing w:line="30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rPr>
        <w:t>技术要求偏离表</w:t>
      </w:r>
    </w:p>
    <w:p>
      <w:pPr>
        <w:spacing w:line="520" w:lineRule="exact"/>
        <w:rPr>
          <w:rFonts w:ascii="宋体" w:hAnsi="宋体" w:cs="宋体"/>
          <w:color w:val="auto"/>
          <w:sz w:val="32"/>
          <w:szCs w:val="32"/>
          <w:highlight w:val="none"/>
        </w:rPr>
      </w:pP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 w:val="24"/>
          <w:highlight w:val="none"/>
          <w:u w:val="singl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4"/>
        <w:gridCol w:w="1014"/>
        <w:gridCol w:w="3368"/>
        <w:gridCol w:w="3031"/>
        <w:gridCol w:w="16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55" w:name="_Toc173066401"/>
            <w:bookmarkStart w:id="56" w:name="_Toc373333689"/>
            <w:bookmarkStart w:id="57" w:name="_Toc173211900"/>
            <w:bookmarkStart w:id="58" w:name="_Toc301781611"/>
            <w:bookmarkStart w:id="59" w:name="_Toc254970588"/>
            <w:bookmarkStart w:id="60" w:name="_Toc295404981"/>
            <w:bookmarkStart w:id="61" w:name="_Toc297193185"/>
            <w:bookmarkStart w:id="62" w:name="_Toc383699906"/>
            <w:bookmarkStart w:id="63" w:name="_Toc254970729"/>
            <w:r>
              <w:rPr>
                <w:rFonts w:hint="eastAsia" w:ascii="宋体" w:hAnsi="宋体" w:eastAsia="宋体" w:cs="宋体"/>
                <w:color w:val="auto"/>
                <w:kern w:val="2"/>
                <w:sz w:val="24"/>
                <w:szCs w:val="24"/>
                <w:highlight w:val="none"/>
              </w:rPr>
              <w:t>序号</w:t>
            </w:r>
            <w:bookmarkEnd w:id="55"/>
            <w:bookmarkEnd w:id="56"/>
            <w:bookmarkEnd w:id="57"/>
            <w:bookmarkEnd w:id="58"/>
            <w:bookmarkEnd w:id="59"/>
            <w:bookmarkEnd w:id="60"/>
            <w:bookmarkEnd w:id="61"/>
            <w:bookmarkEnd w:id="62"/>
            <w:bookmarkEnd w:id="63"/>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64" w:name="_Toc301781613"/>
            <w:bookmarkStart w:id="65" w:name="_Toc173066403"/>
            <w:bookmarkStart w:id="66" w:name="_Toc373333691"/>
            <w:bookmarkStart w:id="67" w:name="_Toc254970731"/>
            <w:bookmarkStart w:id="68" w:name="_Toc297193187"/>
            <w:bookmarkStart w:id="69" w:name="_Toc383699908"/>
            <w:bookmarkStart w:id="70" w:name="_Toc295404983"/>
            <w:bookmarkStart w:id="71" w:name="_Toc254970590"/>
            <w:bookmarkStart w:id="72" w:name="_Toc173211902"/>
            <w:r>
              <w:rPr>
                <w:rFonts w:hint="eastAsia" w:ascii="宋体" w:hAnsi="宋体" w:eastAsia="宋体" w:cs="宋体"/>
                <w:color w:val="auto"/>
                <w:kern w:val="2"/>
                <w:sz w:val="24"/>
                <w:szCs w:val="24"/>
                <w:highlight w:val="none"/>
              </w:rPr>
              <w:t>竞标响应</w:t>
            </w:r>
            <w:bookmarkEnd w:id="64"/>
            <w:bookmarkEnd w:id="65"/>
            <w:bookmarkEnd w:id="66"/>
            <w:bookmarkEnd w:id="67"/>
            <w:bookmarkEnd w:id="68"/>
            <w:bookmarkEnd w:id="69"/>
            <w:bookmarkEnd w:id="70"/>
            <w:bookmarkEnd w:id="71"/>
            <w:bookmarkEnd w:id="72"/>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73" w:name="_Toc254970591"/>
            <w:bookmarkStart w:id="74" w:name="_Toc301781614"/>
            <w:bookmarkStart w:id="75" w:name="_Toc254970732"/>
            <w:bookmarkStart w:id="76" w:name="_Toc373333692"/>
            <w:bookmarkStart w:id="77" w:name="_Toc173066404"/>
            <w:bookmarkStart w:id="78" w:name="_Toc173211903"/>
            <w:bookmarkStart w:id="79" w:name="_Toc383699909"/>
            <w:bookmarkStart w:id="80" w:name="_Toc297193188"/>
            <w:bookmarkStart w:id="81" w:name="_Toc295404984"/>
            <w:r>
              <w:rPr>
                <w:rFonts w:hint="eastAsia" w:ascii="宋体" w:hAnsi="宋体" w:eastAsia="宋体" w:cs="宋体"/>
                <w:color w:val="auto"/>
                <w:kern w:val="2"/>
                <w:sz w:val="24"/>
                <w:szCs w:val="24"/>
                <w:highlight w:val="none"/>
              </w:rPr>
              <w:t>偏离</w:t>
            </w:r>
            <w:bookmarkEnd w:id="73"/>
            <w:bookmarkEnd w:id="74"/>
            <w:bookmarkEnd w:id="75"/>
            <w:bookmarkEnd w:id="76"/>
            <w:bookmarkEnd w:id="77"/>
            <w:bookmarkEnd w:id="78"/>
            <w:bookmarkEnd w:id="79"/>
            <w:bookmarkEnd w:id="80"/>
            <w:bookmarkEnd w:id="81"/>
            <w:bookmarkStart w:id="82" w:name="_Toc301781615"/>
            <w:bookmarkStart w:id="83" w:name="_Toc295404985"/>
            <w:bookmarkStart w:id="84" w:name="_Toc173211904"/>
            <w:bookmarkStart w:id="85" w:name="_Toc373333693"/>
            <w:bookmarkStart w:id="86" w:name="_Toc173066405"/>
            <w:bookmarkStart w:id="87" w:name="_Toc254970592"/>
            <w:bookmarkStart w:id="88" w:name="_Toc297193189"/>
            <w:bookmarkStart w:id="89" w:name="_Toc254970733"/>
            <w:bookmarkStart w:id="90" w:name="_Toc383699910"/>
            <w:r>
              <w:rPr>
                <w:rFonts w:hint="eastAsia" w:ascii="宋体" w:hAnsi="宋体" w:eastAsia="宋体" w:cs="宋体"/>
                <w:color w:val="auto"/>
                <w:kern w:val="2"/>
                <w:sz w:val="24"/>
                <w:szCs w:val="24"/>
                <w:highlight w:val="none"/>
              </w:rPr>
              <w:t>说明</w:t>
            </w:r>
            <w:bookmarkEnd w:id="82"/>
            <w:bookmarkEnd w:id="83"/>
            <w:bookmarkEnd w:id="84"/>
            <w:bookmarkEnd w:id="85"/>
            <w:bookmarkEnd w:id="86"/>
            <w:bookmarkEnd w:id="87"/>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91" w:name="_Toc173066406"/>
            <w:bookmarkStart w:id="92" w:name="_Toc254970734"/>
            <w:bookmarkStart w:id="93" w:name="_Toc373333694"/>
            <w:bookmarkStart w:id="94" w:name="_Toc295404986"/>
            <w:bookmarkStart w:id="95" w:name="_Toc301781616"/>
            <w:bookmarkStart w:id="96" w:name="_Toc297193190"/>
            <w:bookmarkStart w:id="97" w:name="_Toc173211905"/>
            <w:bookmarkStart w:id="98" w:name="_Toc383699911"/>
            <w:bookmarkStart w:id="99" w:name="_Toc254970593"/>
            <w:r>
              <w:rPr>
                <w:rFonts w:hint="eastAsia" w:ascii="宋体" w:hAnsi="宋体" w:eastAsia="宋体" w:cs="宋体"/>
                <w:color w:val="auto"/>
                <w:kern w:val="2"/>
                <w:sz w:val="24"/>
                <w:szCs w:val="24"/>
                <w:highlight w:val="none"/>
              </w:rPr>
              <w:t>1</w:t>
            </w:r>
            <w:bookmarkEnd w:id="91"/>
            <w:bookmarkEnd w:id="92"/>
            <w:bookmarkEnd w:id="93"/>
            <w:bookmarkEnd w:id="94"/>
            <w:bookmarkEnd w:id="95"/>
            <w:bookmarkEnd w:id="96"/>
            <w:bookmarkEnd w:id="97"/>
            <w:bookmarkEnd w:id="98"/>
            <w:bookmarkEnd w:id="99"/>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00" w:name="_Toc254970735"/>
            <w:bookmarkStart w:id="101" w:name="_Toc173066407"/>
            <w:bookmarkStart w:id="102" w:name="_Toc297193191"/>
            <w:bookmarkStart w:id="103" w:name="_Toc173211906"/>
            <w:bookmarkStart w:id="104" w:name="_Toc301781617"/>
            <w:bookmarkStart w:id="105" w:name="_Toc383699912"/>
            <w:bookmarkStart w:id="106" w:name="_Toc254970594"/>
            <w:bookmarkStart w:id="107" w:name="_Toc295404987"/>
            <w:bookmarkStart w:id="108" w:name="_Toc373333695"/>
            <w:r>
              <w:rPr>
                <w:rFonts w:hint="eastAsia" w:ascii="宋体" w:hAnsi="宋体" w:eastAsia="宋体" w:cs="宋体"/>
                <w:color w:val="auto"/>
                <w:kern w:val="2"/>
                <w:sz w:val="24"/>
                <w:szCs w:val="24"/>
                <w:highlight w:val="none"/>
              </w:rPr>
              <w:t>2</w:t>
            </w:r>
            <w:bookmarkEnd w:id="100"/>
            <w:bookmarkEnd w:id="101"/>
            <w:bookmarkEnd w:id="102"/>
            <w:bookmarkEnd w:id="103"/>
            <w:bookmarkEnd w:id="104"/>
            <w:bookmarkEnd w:id="105"/>
            <w:bookmarkEnd w:id="106"/>
            <w:bookmarkEnd w:id="107"/>
            <w:bookmarkEnd w:id="108"/>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09" w:name="_Toc254970736"/>
            <w:bookmarkStart w:id="110" w:name="_Toc254970595"/>
            <w:bookmarkStart w:id="111" w:name="_Toc373333696"/>
            <w:bookmarkStart w:id="112" w:name="_Toc301781618"/>
            <w:bookmarkStart w:id="113" w:name="_Toc173211907"/>
            <w:bookmarkStart w:id="114" w:name="_Toc297193192"/>
            <w:bookmarkStart w:id="115" w:name="_Toc173066408"/>
            <w:bookmarkStart w:id="116" w:name="_Toc383699913"/>
            <w:bookmarkStart w:id="117" w:name="_Toc295404988"/>
            <w:r>
              <w:rPr>
                <w:rFonts w:hint="eastAsia" w:ascii="宋体" w:hAnsi="宋体" w:eastAsia="宋体" w:cs="宋体"/>
                <w:color w:val="auto"/>
                <w:kern w:val="2"/>
                <w:sz w:val="24"/>
                <w:szCs w:val="24"/>
                <w:highlight w:val="none"/>
              </w:rPr>
              <w:t>3</w:t>
            </w:r>
            <w:bookmarkEnd w:id="109"/>
            <w:bookmarkEnd w:id="110"/>
            <w:bookmarkEnd w:id="111"/>
            <w:bookmarkEnd w:id="112"/>
            <w:bookmarkEnd w:id="113"/>
            <w:bookmarkEnd w:id="114"/>
            <w:bookmarkEnd w:id="115"/>
            <w:bookmarkEnd w:id="116"/>
            <w:bookmarkEnd w:id="117"/>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18" w:name="_Toc301781619"/>
            <w:bookmarkStart w:id="119" w:name="_Toc373333697"/>
            <w:bookmarkStart w:id="120" w:name="_Toc173211908"/>
            <w:bookmarkStart w:id="121" w:name="_Toc383699914"/>
            <w:bookmarkStart w:id="122" w:name="_Toc173066409"/>
            <w:bookmarkStart w:id="123" w:name="_Toc295404989"/>
            <w:bookmarkStart w:id="124" w:name="_Toc254970596"/>
            <w:bookmarkStart w:id="125" w:name="_Toc297193193"/>
            <w:bookmarkStart w:id="126" w:name="_Toc254970737"/>
            <w:r>
              <w:rPr>
                <w:rFonts w:hint="eastAsia" w:ascii="宋体" w:hAnsi="宋体" w:eastAsia="宋体" w:cs="宋体"/>
                <w:color w:val="auto"/>
                <w:kern w:val="2"/>
                <w:sz w:val="24"/>
                <w:szCs w:val="24"/>
                <w:highlight w:val="none"/>
              </w:rPr>
              <w:t>4</w:t>
            </w:r>
            <w:bookmarkEnd w:id="118"/>
            <w:bookmarkEnd w:id="119"/>
            <w:bookmarkEnd w:id="120"/>
            <w:bookmarkEnd w:id="121"/>
            <w:bookmarkEnd w:id="122"/>
            <w:bookmarkEnd w:id="123"/>
            <w:bookmarkEnd w:id="124"/>
            <w:bookmarkEnd w:id="125"/>
            <w:bookmarkEnd w:id="126"/>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27" w:name="_Toc373333698"/>
            <w:bookmarkStart w:id="128" w:name="_Toc173066410"/>
            <w:bookmarkStart w:id="129" w:name="_Toc254970738"/>
            <w:bookmarkStart w:id="130" w:name="_Toc301781620"/>
            <w:bookmarkStart w:id="131" w:name="_Toc383699915"/>
            <w:bookmarkStart w:id="132" w:name="_Toc295404990"/>
            <w:bookmarkStart w:id="133" w:name="_Toc173211909"/>
            <w:bookmarkStart w:id="134" w:name="_Toc254970597"/>
            <w:bookmarkStart w:id="135" w:name="_Toc297193194"/>
            <w:r>
              <w:rPr>
                <w:rFonts w:hint="eastAsia" w:ascii="宋体" w:hAnsi="宋体" w:eastAsia="宋体" w:cs="宋体"/>
                <w:color w:val="auto"/>
                <w:kern w:val="2"/>
                <w:sz w:val="24"/>
                <w:szCs w:val="24"/>
                <w:highlight w:val="none"/>
              </w:rPr>
              <w:t>5</w:t>
            </w:r>
            <w:bookmarkEnd w:id="127"/>
            <w:bookmarkEnd w:id="128"/>
            <w:bookmarkEnd w:id="129"/>
            <w:bookmarkEnd w:id="130"/>
            <w:bookmarkEnd w:id="131"/>
            <w:bookmarkEnd w:id="132"/>
            <w:bookmarkEnd w:id="133"/>
            <w:bookmarkEnd w:id="134"/>
            <w:bookmarkEnd w:id="135"/>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36" w:name="_Toc383699916"/>
            <w:bookmarkStart w:id="137" w:name="_Toc373333699"/>
            <w:bookmarkStart w:id="138" w:name="_Toc173066415"/>
            <w:bookmarkStart w:id="139" w:name="_Toc297193195"/>
            <w:bookmarkStart w:id="140" w:name="_Toc173211914"/>
            <w:bookmarkStart w:id="141" w:name="_Toc295404991"/>
            <w:bookmarkStart w:id="142" w:name="_Toc254970743"/>
            <w:bookmarkStart w:id="143" w:name="_Toc254970602"/>
            <w:bookmarkStart w:id="144" w:name="_Toc301781621"/>
            <w:r>
              <w:rPr>
                <w:rFonts w:hint="eastAsia" w:ascii="宋体" w:hAnsi="宋体" w:eastAsia="宋体" w:cs="宋体"/>
                <w:color w:val="auto"/>
                <w:kern w:val="2"/>
                <w:sz w:val="24"/>
                <w:szCs w:val="24"/>
                <w:highlight w:val="none"/>
              </w:rPr>
              <w:t>…</w:t>
            </w:r>
            <w:bookmarkEnd w:id="136"/>
            <w:bookmarkEnd w:id="137"/>
            <w:bookmarkEnd w:id="138"/>
            <w:bookmarkEnd w:id="139"/>
            <w:bookmarkEnd w:id="140"/>
            <w:bookmarkEnd w:id="141"/>
            <w:bookmarkEnd w:id="142"/>
            <w:bookmarkEnd w:id="143"/>
            <w:bookmarkEnd w:id="144"/>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bl>
    <w:p>
      <w:pPr>
        <w:adjustRightInd w:val="0"/>
        <w:spacing w:line="360" w:lineRule="auto"/>
        <w:contextualSpacing/>
        <w:rPr>
          <w:rFonts w:ascii="宋体" w:hAnsi="宋体" w:cs="宋体"/>
          <w:color w:val="auto"/>
          <w:sz w:val="24"/>
          <w:highlight w:val="none"/>
        </w:rPr>
      </w:pPr>
    </w:p>
    <w:p>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w:t>
      </w:r>
      <w:r>
        <w:rPr>
          <w:rFonts w:hint="eastAsia" w:ascii="宋体" w:hAnsi="宋体" w:eastAsia="宋体" w:cs="宋体"/>
          <w:color w:val="auto"/>
          <w:sz w:val="24"/>
          <w:szCs w:val="24"/>
          <w:highlight w:val="none"/>
          <w:lang w:eastAsia="zh-CN"/>
        </w:rPr>
        <w:t>的技术要求</w:t>
      </w:r>
      <w:r>
        <w:rPr>
          <w:rFonts w:hint="eastAsia" w:ascii="宋体" w:hAnsi="宋体" w:eastAsia="宋体" w:cs="宋体"/>
          <w:color w:val="auto"/>
          <w:sz w:val="24"/>
          <w:szCs w:val="24"/>
          <w:highlight w:val="none"/>
        </w:rPr>
        <w:t>逐条作出明确响应，并作出偏离说明。</w:t>
      </w:r>
    </w:p>
    <w:p>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cs="宋体"/>
          <w:color w:val="auto"/>
          <w:sz w:val="24"/>
          <w:highlight w:val="none"/>
        </w:rPr>
      </w:pPr>
    </w:p>
    <w:p>
      <w:pPr>
        <w:spacing w:line="360" w:lineRule="auto"/>
        <w:ind w:right="-817" w:rightChars="-389" w:firstLine="960" w:firstLineChars="4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pPr>
        <w:spacing w:line="360" w:lineRule="auto"/>
        <w:ind w:right="-817" w:rightChars="-389" w:firstLine="4080" w:firstLineChars="1700"/>
        <w:contextualSpacing/>
        <w:rPr>
          <w:rFonts w:ascii="宋体" w:hAnsi="宋体" w:cs="宋体"/>
          <w:color w:val="auto"/>
          <w:sz w:val="24"/>
          <w:highlight w:val="none"/>
        </w:rPr>
      </w:pPr>
      <w:r>
        <w:rPr>
          <w:rFonts w:hint="eastAsia" w:ascii="宋体" w:hAnsi="宋体" w:cs="宋体"/>
          <w:color w:val="auto"/>
          <w:sz w:val="24"/>
          <w:highlight w:val="none"/>
        </w:rPr>
        <w:t>日期：   年   月   日</w:t>
      </w:r>
    </w:p>
    <w:p>
      <w:pPr>
        <w:snapToGrid w:val="0"/>
        <w:spacing w:before="156" w:beforeLines="50" w:after="50"/>
        <w:ind w:left="142"/>
        <w:jc w:val="left"/>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项目实施人员一览表格式</w:t>
      </w:r>
    </w:p>
    <w:p>
      <w:pPr>
        <w:snapToGrid w:val="0"/>
        <w:spacing w:before="156" w:beforeLines="50" w:after="50"/>
        <w:ind w:left="142"/>
        <w:jc w:val="left"/>
        <w:rPr>
          <w:rFonts w:ascii="宋体" w:hAnsi="宋体" w:cs="宋体"/>
          <w:b/>
          <w:color w:val="auto"/>
          <w:sz w:val="24"/>
          <w:highlight w:val="none"/>
        </w:rPr>
      </w:pPr>
    </w:p>
    <w:p>
      <w:pPr>
        <w:spacing w:line="360" w:lineRule="auto"/>
        <w:ind w:left="142"/>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pPr>
        <w:pStyle w:val="18"/>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30"/>
        <w:tblW w:w="10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05"/>
        <w:gridCol w:w="1309"/>
        <w:gridCol w:w="219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2905"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09"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2196"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2468"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p>
        </w:tc>
        <w:tc>
          <w:tcPr>
            <w:tcW w:w="709" w:type="dxa"/>
            <w:vAlign w:val="center"/>
          </w:tcPr>
          <w:p>
            <w:pPr>
              <w:spacing w:line="360" w:lineRule="auto"/>
              <w:contextualSpacing/>
              <w:jc w:val="center"/>
              <w:rPr>
                <w:rFonts w:ascii="宋体" w:hAnsi="宋体" w:cs="宋体"/>
                <w:color w:val="auto"/>
                <w:sz w:val="24"/>
                <w:szCs w:val="20"/>
                <w:highlight w:val="none"/>
              </w:rPr>
            </w:pPr>
          </w:p>
        </w:tc>
        <w:tc>
          <w:tcPr>
            <w:tcW w:w="2905" w:type="dxa"/>
            <w:vAlign w:val="center"/>
          </w:tcPr>
          <w:p>
            <w:pPr>
              <w:spacing w:line="360" w:lineRule="auto"/>
              <w:contextualSpacing/>
              <w:jc w:val="center"/>
              <w:rPr>
                <w:rFonts w:ascii="宋体" w:hAnsi="宋体" w:cs="宋体"/>
                <w:color w:val="auto"/>
                <w:sz w:val="24"/>
                <w:szCs w:val="20"/>
                <w:highlight w:val="none"/>
              </w:rPr>
            </w:pPr>
          </w:p>
        </w:tc>
        <w:tc>
          <w:tcPr>
            <w:tcW w:w="1309" w:type="dxa"/>
            <w:vAlign w:val="center"/>
          </w:tcPr>
          <w:p>
            <w:pPr>
              <w:spacing w:line="360" w:lineRule="auto"/>
              <w:contextualSpacing/>
              <w:jc w:val="center"/>
              <w:rPr>
                <w:rFonts w:ascii="宋体" w:hAnsi="宋体" w:cs="宋体"/>
                <w:color w:val="auto"/>
                <w:sz w:val="24"/>
                <w:szCs w:val="20"/>
                <w:highlight w:val="none"/>
              </w:rPr>
            </w:pPr>
          </w:p>
        </w:tc>
        <w:tc>
          <w:tcPr>
            <w:tcW w:w="2196" w:type="dxa"/>
            <w:vAlign w:val="center"/>
          </w:tcPr>
          <w:p>
            <w:pPr>
              <w:spacing w:line="360" w:lineRule="auto"/>
              <w:contextualSpacing/>
              <w:jc w:val="center"/>
              <w:rPr>
                <w:rFonts w:ascii="宋体" w:hAnsi="宋体" w:cs="宋体"/>
                <w:color w:val="auto"/>
                <w:sz w:val="24"/>
                <w:szCs w:val="20"/>
                <w:highlight w:val="none"/>
              </w:rPr>
            </w:pPr>
          </w:p>
        </w:tc>
        <w:tc>
          <w:tcPr>
            <w:tcW w:w="2468" w:type="dxa"/>
            <w:vAlign w:val="center"/>
          </w:tcPr>
          <w:p>
            <w:pPr>
              <w:spacing w:line="360" w:lineRule="auto"/>
              <w:contextualSpacing/>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p>
        </w:tc>
        <w:tc>
          <w:tcPr>
            <w:tcW w:w="709" w:type="dxa"/>
            <w:vAlign w:val="center"/>
          </w:tcPr>
          <w:p>
            <w:pPr>
              <w:spacing w:line="360" w:lineRule="auto"/>
              <w:contextualSpacing/>
              <w:jc w:val="center"/>
              <w:rPr>
                <w:rFonts w:ascii="宋体" w:hAnsi="宋体" w:cs="宋体"/>
                <w:color w:val="auto"/>
                <w:sz w:val="24"/>
                <w:szCs w:val="20"/>
                <w:highlight w:val="none"/>
              </w:rPr>
            </w:pPr>
          </w:p>
        </w:tc>
        <w:tc>
          <w:tcPr>
            <w:tcW w:w="2905" w:type="dxa"/>
            <w:vAlign w:val="center"/>
          </w:tcPr>
          <w:p>
            <w:pPr>
              <w:spacing w:line="360" w:lineRule="auto"/>
              <w:contextualSpacing/>
              <w:jc w:val="center"/>
              <w:rPr>
                <w:rFonts w:ascii="宋体" w:hAnsi="宋体" w:cs="宋体"/>
                <w:color w:val="auto"/>
                <w:sz w:val="24"/>
                <w:szCs w:val="20"/>
                <w:highlight w:val="none"/>
              </w:rPr>
            </w:pPr>
          </w:p>
        </w:tc>
        <w:tc>
          <w:tcPr>
            <w:tcW w:w="1309" w:type="dxa"/>
            <w:vAlign w:val="center"/>
          </w:tcPr>
          <w:p>
            <w:pPr>
              <w:spacing w:line="360" w:lineRule="auto"/>
              <w:contextualSpacing/>
              <w:jc w:val="center"/>
              <w:rPr>
                <w:rFonts w:ascii="宋体" w:hAnsi="宋体" w:cs="宋体"/>
                <w:color w:val="auto"/>
                <w:sz w:val="24"/>
                <w:szCs w:val="20"/>
                <w:highlight w:val="none"/>
              </w:rPr>
            </w:pPr>
          </w:p>
        </w:tc>
        <w:tc>
          <w:tcPr>
            <w:tcW w:w="2196" w:type="dxa"/>
            <w:vAlign w:val="center"/>
          </w:tcPr>
          <w:p>
            <w:pPr>
              <w:spacing w:line="360" w:lineRule="auto"/>
              <w:contextualSpacing/>
              <w:jc w:val="center"/>
              <w:rPr>
                <w:rFonts w:ascii="宋体" w:hAnsi="宋体" w:cs="宋体"/>
                <w:color w:val="auto"/>
                <w:sz w:val="24"/>
                <w:szCs w:val="20"/>
                <w:highlight w:val="none"/>
              </w:rPr>
            </w:pPr>
          </w:p>
        </w:tc>
        <w:tc>
          <w:tcPr>
            <w:tcW w:w="2468" w:type="dxa"/>
            <w:vAlign w:val="center"/>
          </w:tcPr>
          <w:p>
            <w:pPr>
              <w:spacing w:line="360" w:lineRule="auto"/>
              <w:contextualSpacing/>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p>
        </w:tc>
        <w:tc>
          <w:tcPr>
            <w:tcW w:w="709" w:type="dxa"/>
            <w:vAlign w:val="center"/>
          </w:tcPr>
          <w:p>
            <w:pPr>
              <w:spacing w:line="360" w:lineRule="auto"/>
              <w:contextualSpacing/>
              <w:jc w:val="center"/>
              <w:rPr>
                <w:rFonts w:ascii="宋体" w:hAnsi="宋体" w:cs="宋体"/>
                <w:color w:val="auto"/>
                <w:sz w:val="24"/>
                <w:szCs w:val="20"/>
                <w:highlight w:val="none"/>
              </w:rPr>
            </w:pPr>
          </w:p>
        </w:tc>
        <w:tc>
          <w:tcPr>
            <w:tcW w:w="2905" w:type="dxa"/>
            <w:vAlign w:val="center"/>
          </w:tcPr>
          <w:p>
            <w:pPr>
              <w:spacing w:line="360" w:lineRule="auto"/>
              <w:contextualSpacing/>
              <w:jc w:val="center"/>
              <w:rPr>
                <w:rFonts w:ascii="宋体" w:hAnsi="宋体" w:cs="宋体"/>
                <w:color w:val="auto"/>
                <w:sz w:val="24"/>
                <w:szCs w:val="20"/>
                <w:highlight w:val="none"/>
              </w:rPr>
            </w:pPr>
          </w:p>
        </w:tc>
        <w:tc>
          <w:tcPr>
            <w:tcW w:w="1309" w:type="dxa"/>
            <w:vAlign w:val="center"/>
          </w:tcPr>
          <w:p>
            <w:pPr>
              <w:spacing w:line="360" w:lineRule="auto"/>
              <w:contextualSpacing/>
              <w:jc w:val="center"/>
              <w:rPr>
                <w:rFonts w:ascii="宋体" w:hAnsi="宋体" w:cs="宋体"/>
                <w:color w:val="auto"/>
                <w:sz w:val="24"/>
                <w:szCs w:val="20"/>
                <w:highlight w:val="none"/>
              </w:rPr>
            </w:pPr>
          </w:p>
        </w:tc>
        <w:tc>
          <w:tcPr>
            <w:tcW w:w="2196" w:type="dxa"/>
            <w:vAlign w:val="center"/>
          </w:tcPr>
          <w:p>
            <w:pPr>
              <w:spacing w:line="360" w:lineRule="auto"/>
              <w:contextualSpacing/>
              <w:jc w:val="center"/>
              <w:rPr>
                <w:rFonts w:ascii="宋体" w:hAnsi="宋体" w:cs="宋体"/>
                <w:color w:val="auto"/>
                <w:sz w:val="24"/>
                <w:szCs w:val="20"/>
                <w:highlight w:val="none"/>
              </w:rPr>
            </w:pPr>
          </w:p>
        </w:tc>
        <w:tc>
          <w:tcPr>
            <w:tcW w:w="2468" w:type="dxa"/>
            <w:vAlign w:val="center"/>
          </w:tcPr>
          <w:p>
            <w:pPr>
              <w:spacing w:line="360" w:lineRule="auto"/>
              <w:contextualSpacing/>
              <w:jc w:val="center"/>
              <w:rPr>
                <w:rFonts w:ascii="宋体" w:hAnsi="宋体" w:cs="宋体"/>
                <w:color w:val="auto"/>
                <w:sz w:val="24"/>
                <w:szCs w:val="20"/>
                <w:highlight w:val="none"/>
              </w:rPr>
            </w:pPr>
          </w:p>
        </w:tc>
      </w:tr>
    </w:tbl>
    <w:p>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1.在填写时，如本表格不适合供应商的实际情况，可根据本表格式自行制表填写。</w:t>
      </w:r>
    </w:p>
    <w:p>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2.供应商应当附本表所列证书的复印件并加盖供应商公章。</w:t>
      </w:r>
    </w:p>
    <w:p>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供应商（盖公章）：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pPr>
        <w:snapToGrid w:val="0"/>
        <w:spacing w:before="50" w:after="156" w:afterLines="50"/>
        <w:jc w:val="left"/>
        <w:rPr>
          <w:rFonts w:ascii="宋体" w:hAnsi="宋体" w:cs="宋体"/>
          <w:color w:val="auto"/>
          <w:sz w:val="24"/>
          <w:szCs w:val="20"/>
          <w:highlight w:val="none"/>
        </w:rPr>
      </w:pPr>
    </w:p>
    <w:p>
      <w:pPr>
        <w:snapToGrid w:val="0"/>
        <w:spacing w:before="50" w:after="50" w:line="360" w:lineRule="auto"/>
        <w:ind w:right="-817" w:rightChars="-389" w:firstLine="5461" w:firstLineChars="1700"/>
        <w:rPr>
          <w:rFonts w:ascii="宋体" w:hAnsi="宋体" w:cs="宋体"/>
          <w:b/>
          <w:color w:val="auto"/>
          <w:sz w:val="32"/>
          <w:szCs w:val="32"/>
          <w:highlight w:val="none"/>
        </w:rPr>
      </w:pPr>
    </w:p>
    <w:p>
      <w:pPr>
        <w:spacing w:line="300" w:lineRule="auto"/>
        <w:rPr>
          <w:rFonts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其他文书、文件格式</w:t>
      </w:r>
    </w:p>
    <w:p>
      <w:pPr>
        <w:jc w:val="center"/>
        <w:rPr>
          <w:rFonts w:ascii="宋体" w:hAnsi="宋体" w:cs="宋体"/>
          <w:color w:val="auto"/>
          <w:sz w:val="44"/>
          <w:szCs w:val="44"/>
          <w:highlight w:val="none"/>
        </w:rPr>
      </w:pPr>
      <w:bookmarkStart w:id="145" w:name="_Toc71365926"/>
      <w:r>
        <w:rPr>
          <w:rFonts w:hint="eastAsia" w:ascii="宋体" w:hAnsi="宋体" w:cs="宋体"/>
          <w:color w:val="auto"/>
          <w:sz w:val="44"/>
          <w:szCs w:val="44"/>
          <w:highlight w:val="none"/>
        </w:rPr>
        <w:t>中小企业声明函（服务）</w:t>
      </w:r>
      <w:bookmarkEnd w:id="145"/>
    </w:p>
    <w:p>
      <w:pPr>
        <w:spacing w:before="2" w:line="500" w:lineRule="exact"/>
        <w:ind w:firstLine="708" w:firstLineChars="294"/>
        <w:rPr>
          <w:rFonts w:ascii="宋体" w:hAnsi="宋体" w:cs="宋体"/>
          <w:b/>
          <w:bCs/>
          <w:color w:val="auto"/>
          <w:sz w:val="24"/>
          <w:highlight w:val="none"/>
        </w:rPr>
      </w:pPr>
    </w:p>
    <w:p>
      <w:pPr>
        <w:pStyle w:val="3"/>
        <w:spacing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tabs>
          <w:tab w:val="left" w:pos="1065"/>
          <w:tab w:val="left" w:pos="4262"/>
          <w:tab w:val="left" w:pos="6477"/>
        </w:tabs>
        <w:spacing w:before="20" w:line="500" w:lineRule="exact"/>
        <w:ind w:right="84" w:firstLine="772" w:firstLineChars="322"/>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pStyle w:val="3"/>
        <w:spacing w:before="34"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 xml:space="preserve">…… </w:t>
      </w:r>
    </w:p>
    <w:p>
      <w:pPr>
        <w:pStyle w:val="3"/>
        <w:spacing w:before="34"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pStyle w:val="3"/>
        <w:spacing w:before="25"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pStyle w:val="3"/>
        <w:spacing w:before="56" w:line="500" w:lineRule="exact"/>
        <w:ind w:right="1808" w:firstLine="705" w:firstLineChars="294"/>
        <w:rPr>
          <w:rFonts w:ascii="宋体" w:hAnsi="宋体" w:cs="宋体"/>
          <w:color w:val="auto"/>
          <w:sz w:val="24"/>
          <w:highlight w:val="none"/>
        </w:rPr>
      </w:pPr>
    </w:p>
    <w:p>
      <w:pPr>
        <w:pStyle w:val="3"/>
        <w:spacing w:before="56" w:line="500" w:lineRule="exact"/>
        <w:ind w:right="650" w:firstLine="5625" w:firstLineChars="2344"/>
        <w:rPr>
          <w:rFonts w:ascii="宋体" w:hAnsi="宋体" w:cs="宋体"/>
          <w:color w:val="auto"/>
          <w:sz w:val="24"/>
          <w:highlight w:val="none"/>
        </w:rPr>
      </w:pPr>
      <w:r>
        <w:rPr>
          <w:rFonts w:hint="eastAsia" w:ascii="宋体" w:hAnsi="宋体" w:cs="宋体"/>
          <w:color w:val="auto"/>
          <w:sz w:val="24"/>
          <w:highlight w:val="none"/>
        </w:rPr>
        <w:t xml:space="preserve">企业名称（章）： </w:t>
      </w:r>
    </w:p>
    <w:p>
      <w:pPr>
        <w:pStyle w:val="3"/>
        <w:spacing w:before="56" w:line="500" w:lineRule="exact"/>
        <w:ind w:right="1808" w:firstLine="5625" w:firstLineChars="2344"/>
        <w:rPr>
          <w:rFonts w:ascii="宋体" w:hAnsi="宋体" w:cs="宋体"/>
          <w:color w:val="auto"/>
          <w:sz w:val="24"/>
          <w:highlight w:val="none"/>
        </w:rPr>
      </w:pPr>
      <w:r>
        <w:rPr>
          <w:rFonts w:hint="eastAsia" w:ascii="宋体" w:hAnsi="宋体" w:cs="宋体"/>
          <w:color w:val="auto"/>
          <w:sz w:val="24"/>
          <w:highlight w:val="none"/>
        </w:rPr>
        <w:t>日 期：</w:t>
      </w:r>
    </w:p>
    <w:p>
      <w:pPr>
        <w:spacing w:line="520" w:lineRule="exact"/>
        <w:jc w:val="left"/>
        <w:rPr>
          <w:rFonts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宋体" w:hAnsi="宋体" w:cs="宋体"/>
          <w:color w:val="auto"/>
          <w:sz w:val="24"/>
          <w:highlight w:val="none"/>
        </w:rPr>
      </w:pPr>
    </w:p>
    <w:p>
      <w:pPr>
        <w:pStyle w:val="18"/>
        <w:jc w:val="left"/>
        <w:rPr>
          <w:rFonts w:hAnsi="宋体" w:cs="宋体"/>
          <w:color w:val="auto"/>
          <w:sz w:val="32"/>
          <w:szCs w:val="32"/>
          <w:highlight w:val="none"/>
        </w:rPr>
      </w:pPr>
      <w:r>
        <w:rPr>
          <w:rFonts w:hint="eastAsia" w:hAnsi="宋体" w:cs="宋体"/>
          <w:color w:val="auto"/>
          <w:sz w:val="24"/>
          <w:highlight w:val="none"/>
        </w:rPr>
        <w:br w:type="page"/>
      </w:r>
      <w:r>
        <w:rPr>
          <w:rFonts w:hint="eastAsia" w:hAnsi="宋体" w:cs="宋体"/>
          <w:color w:val="auto"/>
          <w:sz w:val="32"/>
          <w:szCs w:val="32"/>
          <w:highlight w:val="none"/>
        </w:rPr>
        <w:t>附：</w:t>
      </w: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中小微企业划型标准</w:t>
      </w:r>
    </w:p>
    <w:p>
      <w:pPr>
        <w:ind w:left="1871"/>
        <w:rPr>
          <w:rFonts w:ascii="宋体" w:hAnsi="宋体" w:cs="宋体"/>
          <w:color w:val="auto"/>
          <w:szCs w:val="21"/>
          <w:highlight w:val="none"/>
        </w:rPr>
      </w:pPr>
    </w:p>
    <w:tbl>
      <w:tblPr>
        <w:tblStyle w:val="30"/>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spacing w:line="360" w:lineRule="auto"/>
        <w:ind w:firstLine="525" w:firstLineChars="250"/>
        <w:rPr>
          <w:rFonts w:ascii="宋体" w:hAnsi="宋体" w:cs="宋体"/>
          <w:color w:val="auto"/>
          <w:szCs w:val="21"/>
          <w:highlight w:val="none"/>
        </w:rPr>
      </w:pP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520" w:lineRule="exact"/>
        <w:jc w:val="center"/>
        <w:rPr>
          <w:rFonts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残疾人福利性单位声明函</w:t>
      </w:r>
    </w:p>
    <w:p>
      <w:pPr>
        <w:spacing w:line="360" w:lineRule="auto"/>
        <w:contextualSpacing/>
        <w:rPr>
          <w:rFonts w:ascii="宋体" w:hAnsi="宋体" w:cs="宋体"/>
          <w:color w:val="auto"/>
          <w:sz w:val="32"/>
          <w:szCs w:val="32"/>
          <w:highlight w:val="none"/>
        </w:rPr>
      </w:pP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单位名称（盖章）：</w:t>
      </w:r>
    </w:p>
    <w:p>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p>
    <w:p>
      <w:pPr>
        <w:spacing w:line="360" w:lineRule="auto"/>
        <w:jc w:val="center"/>
        <w:rPr>
          <w:rFonts w:ascii="宋体" w:hAns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pPr>
        <w:pStyle w:val="18"/>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pPr>
        <w:pStyle w:val="18"/>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pPr>
        <w:pStyle w:val="18"/>
        <w:spacing w:line="360" w:lineRule="auto"/>
        <w:ind w:left="25" w:leftChars="12" w:firstLine="352" w:firstLineChars="147"/>
        <w:contextualSpacing/>
        <w:rPr>
          <w:rFonts w:hAnsi="宋体" w:cs="宋体"/>
          <w:color w:val="auto"/>
          <w:sz w:val="24"/>
          <w:szCs w:val="24"/>
          <w:highlight w:val="none"/>
        </w:rPr>
      </w:pP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pPr>
        <w:pStyle w:val="18"/>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pPr>
        <w:pStyle w:val="18"/>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pPr>
        <w:pStyle w:val="18"/>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pPr>
        <w:pStyle w:val="18"/>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pPr>
        <w:pStyle w:val="18"/>
        <w:snapToGrid w:val="0"/>
        <w:rPr>
          <w:rFonts w:hAnsi="宋体" w:cs="宋体"/>
          <w:b/>
          <w:color w:val="auto"/>
          <w:sz w:val="24"/>
          <w:szCs w:val="24"/>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pPr>
        <w:pStyle w:val="18"/>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8"/>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pPr>
        <w:pStyle w:val="18"/>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8"/>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pPr>
        <w:pStyle w:val="18"/>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pPr>
        <w:pStyle w:val="18"/>
        <w:spacing w:line="360" w:lineRule="auto"/>
        <w:ind w:left="25" w:leftChars="12" w:firstLine="352" w:firstLineChars="147"/>
        <w:rPr>
          <w:rFonts w:hAnsi="宋体" w:cs="宋体"/>
          <w:color w:val="auto"/>
          <w:sz w:val="24"/>
          <w:szCs w:val="24"/>
          <w:highlight w:val="none"/>
        </w:rPr>
      </w:pPr>
    </w:p>
    <w:p>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pPr>
        <w:pStyle w:val="18"/>
        <w:spacing w:line="360" w:lineRule="auto"/>
        <w:ind w:left="25" w:leftChars="12" w:firstLine="352" w:firstLineChars="147"/>
        <w:rPr>
          <w:rFonts w:hAnsi="宋体" w:cs="宋体"/>
          <w:color w:val="auto"/>
          <w:sz w:val="24"/>
          <w:szCs w:val="24"/>
          <w:highlight w:val="none"/>
        </w:rPr>
      </w:pPr>
    </w:p>
    <w:p>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pPr>
        <w:pStyle w:val="18"/>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 xml:space="preserve">                                                                                 </w:t>
      </w:r>
    </w:p>
    <w:p>
      <w:pPr>
        <w:pStyle w:val="18"/>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pPr>
        <w:pStyle w:val="18"/>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pPr>
        <w:pStyle w:val="18"/>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pPr>
        <w:rPr>
          <w:rFonts w:hint="eastAsia"/>
          <w:color w:val="auto"/>
          <w:highlight w:val="none"/>
        </w:rPr>
      </w:pPr>
      <w:bookmarkStart w:id="146" w:name="_Toc20110"/>
      <w:bookmarkStart w:id="147" w:name="_Toc10662"/>
      <w:bookmarkStart w:id="148" w:name="_Toc1723"/>
      <w:bookmarkStart w:id="149" w:name="_Toc74323461"/>
      <w:r>
        <w:rPr>
          <w:rFonts w:hint="eastAsia"/>
          <w:color w:val="auto"/>
          <w:highlight w:val="none"/>
        </w:rPr>
        <w:br w:type="page"/>
      </w:r>
    </w:p>
    <w:p>
      <w:pPr>
        <w:pStyle w:val="5"/>
        <w:rPr>
          <w:rFonts w:hint="eastAsia"/>
          <w:color w:val="auto"/>
          <w:highlight w:val="none"/>
        </w:rPr>
      </w:pPr>
      <w:r>
        <w:rPr>
          <w:rFonts w:hint="eastAsia"/>
          <w:color w:val="auto"/>
          <w:highlight w:val="none"/>
        </w:rPr>
        <w:t>第六章 合同文本</w:t>
      </w:r>
      <w:bookmarkEnd w:id="146"/>
      <w:bookmarkEnd w:id="147"/>
      <w:bookmarkEnd w:id="148"/>
      <w:bookmarkEnd w:id="149"/>
    </w:p>
    <w:p>
      <w:pPr>
        <w:spacing w:line="360" w:lineRule="auto"/>
        <w:ind w:right="8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p>
    <w:p>
      <w:pPr>
        <w:spacing w:line="360" w:lineRule="auto"/>
        <w:ind w:right="800"/>
        <w:rPr>
          <w:rFonts w:ascii="宋体" w:hAnsi="宋体" w:cs="宋体"/>
          <w:color w:val="auto"/>
          <w:szCs w:val="21"/>
          <w:highlight w:val="non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 xml:space="preserve"> </w:t>
      </w:r>
    </w:p>
    <w:p>
      <w:pPr>
        <w:spacing w:line="360" w:lineRule="auto"/>
        <w:ind w:right="800"/>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合同编号：</w:t>
      </w:r>
      <w:r>
        <w:rPr>
          <w:rFonts w:hint="eastAsia" w:ascii="宋体" w:hAnsi="宋体" w:cs="宋体"/>
          <w:color w:val="auto"/>
          <w:szCs w:val="21"/>
          <w:highlight w:val="none"/>
          <w:u w:val="single"/>
          <w:lang w:val="en-US" w:eastAsia="zh-CN"/>
        </w:rPr>
        <w:t xml:space="preserve">                         </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eastAsia="zh-CN"/>
        </w:rPr>
        <w:t>标项名称：</w:t>
      </w:r>
      <w:r>
        <w:rPr>
          <w:rFonts w:hint="eastAsia" w:ascii="宋体" w:hAnsi="宋体" w:cs="宋体"/>
          <w:color w:val="auto"/>
          <w:szCs w:val="21"/>
          <w:highlight w:val="none"/>
          <w:u w:val="single"/>
          <w:lang w:val="en-US" w:eastAsia="zh-CN"/>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广西壮族自治区农业信息中心</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w:t>
      </w:r>
    </w:p>
    <w:p>
      <w:pPr>
        <w:spacing w:line="360" w:lineRule="auto"/>
        <w:ind w:left="1050" w:hanging="1050" w:hangingChars="500"/>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val="en-US" w:eastAsia="zh-CN"/>
        </w:rPr>
        <w:t xml:space="preserve">                                      </w:t>
      </w:r>
    </w:p>
    <w:p>
      <w:pPr>
        <w:spacing w:line="360" w:lineRule="auto"/>
        <w:rPr>
          <w:rFonts w:hint="default" w:ascii="宋体" w:hAnsi="宋体" w:cs="宋体"/>
          <w:color w:val="auto"/>
          <w:szCs w:val="21"/>
          <w:highlight w:val="none"/>
          <w:u w:val="single"/>
          <w:lang w:val="en-US"/>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3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481"/>
        <w:gridCol w:w="1902"/>
        <w:gridCol w:w="681"/>
        <w:gridCol w:w="642"/>
        <w:gridCol w:w="177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服务名称</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25"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lang w:val="en-US" w:eastAsia="zh-CN"/>
              </w:rPr>
            </w:pPr>
          </w:p>
        </w:tc>
        <w:tc>
          <w:tcPr>
            <w:tcW w:w="2481" w:type="dxa"/>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Times New Roman"/>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eastAsia="zh-CN"/>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965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合计金额（大写）：</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lang w:eastAsia="zh-CN"/>
              </w:rPr>
              <w:t>（</w:t>
            </w:r>
            <w:r>
              <w:rPr>
                <w:rFonts w:hint="default"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rPr>
              <w:t xml:space="preserve">              </w:t>
            </w: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2、合同合计金额包含但不限于</w:t>
      </w:r>
      <w:r>
        <w:rPr>
          <w:rFonts w:hint="eastAsia" w:ascii="宋体" w:hAnsi="宋体" w:cs="宋体"/>
          <w:color w:val="auto"/>
          <w:szCs w:val="21"/>
          <w:highlight w:val="none"/>
          <w:lang w:val="en-US" w:eastAsia="zh-CN"/>
        </w:rPr>
        <w:t>资料收集、调研考察、策划、劳务、管理、协调、校对、印刷、验收、技术支持、</w:t>
      </w:r>
      <w:r>
        <w:rPr>
          <w:rFonts w:hint="eastAsia" w:ascii="宋体" w:hAnsi="宋体" w:cs="宋体"/>
          <w:color w:val="auto"/>
          <w:szCs w:val="21"/>
          <w:highlight w:val="none"/>
        </w:rPr>
        <w:t>后续服务人员、差旅费、保险、税金和其他所有成本等一切费用，采购人</w:t>
      </w:r>
      <w:r>
        <w:rPr>
          <w:rFonts w:hint="eastAsia" w:ascii="宋体" w:hAnsi="宋体" w:cs="宋体"/>
          <w:color w:val="auto"/>
          <w:szCs w:val="21"/>
          <w:highlight w:val="none"/>
          <w:lang w:eastAsia="zh-CN"/>
        </w:rPr>
        <w:t>不再另行支付额外费用</w:t>
      </w:r>
      <w:r>
        <w:rPr>
          <w:rFonts w:hint="eastAsia" w:ascii="宋体" w:hAnsi="宋体" w:cs="宋体"/>
          <w:color w:val="auto"/>
          <w:szCs w:val="21"/>
          <w:highlight w:val="none"/>
        </w:rPr>
        <w:t>。</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1、乙方应保证所提供服务在使用时不会侵犯任何第三方的专利权、商标权、著作权等知识产权及其他合法权利，且所有权、处分权等没有受到任何限制。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1、合同履行期限：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5、甲乙双方应按照《广西壮族自治区政府采购项目履约验收管理办法》、双方合同、响应文件验收。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第五条  </w:t>
      </w:r>
      <w:r>
        <w:rPr>
          <w:rFonts w:hint="eastAsia" w:ascii="宋体" w:hAnsi="宋体" w:cs="宋体"/>
          <w:b/>
          <w:color w:val="auto"/>
          <w:szCs w:val="21"/>
          <w:highlight w:val="none"/>
          <w:lang w:eastAsia="zh-CN"/>
        </w:rPr>
        <w:t>后续服务</w:t>
      </w:r>
      <w:r>
        <w:rPr>
          <w:rFonts w:hint="eastAsia" w:ascii="宋体" w:hAnsi="宋体" w:cs="宋体"/>
          <w:b/>
          <w:color w:val="auto"/>
          <w:szCs w:val="21"/>
          <w:highlight w:val="none"/>
        </w:rPr>
        <w:t>及培训</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承诺》要求为甲方提供相应的</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pPr>
        <w:snapToGrid w:val="0"/>
        <w:spacing w:line="360" w:lineRule="auto"/>
        <w:ind w:firstLine="420" w:firstLineChars="200"/>
        <w:rPr>
          <w:rFonts w:hint="default" w:ascii="宋体" w:hAnsi="宋体" w:cs="宋体"/>
          <w:bCs/>
          <w:color w:val="auto"/>
          <w:szCs w:val="21"/>
          <w:highlight w:val="none"/>
          <w:u w:val="single"/>
        </w:rPr>
      </w:pPr>
      <w:r>
        <w:rPr>
          <w:rFonts w:hint="eastAsia" w:ascii="宋体" w:hAnsi="宋体" w:cs="宋体"/>
          <w:bCs/>
          <w:color w:val="auto"/>
          <w:szCs w:val="21"/>
          <w:highlight w:val="none"/>
        </w:rPr>
        <w:t>付款方式：</w:t>
      </w:r>
      <w:r>
        <w:rPr>
          <w:rFonts w:hint="eastAsia" w:ascii="宋体" w:hAnsi="宋体" w:cs="宋体"/>
          <w:bCs/>
          <w:color w:val="auto"/>
          <w:szCs w:val="21"/>
          <w:highlight w:val="none"/>
          <w:u w:val="single"/>
          <w:lang w:val="en-US" w:eastAsia="zh-CN"/>
        </w:rPr>
        <w:t xml:space="preserve">                                                 </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pPr>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eastAsia="zh-CN"/>
        </w:rPr>
        <w:t>本项目不收取履约保证金。</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本合同执行中依法产生的应由甲方或者乙方承担的一切税费均由乙方负担，合同另有约定的除外。</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1、除不可抗力原因外，乙方没有按照合同规定的时间提供服务的，甲方可要求乙方支付违约金。每推迟一天按合同金额的3‰支付违约金，该违约金累计不超过合同金额的10%。                                  </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2、乙方提供的服务如侵犯了第三方合法权益而引发的任何纠纷或者诉讼，均由乙方负责交涉并承担全部责任。同时，甲方有权单方解除合同，合同金额没有支付的，不再支付；已经支付的，甲方有权追回，</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且乙方应按合同金额20%承担违约金，违约金无法弥补甲方损失的，乙方应当继续赔偿。</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3、甲方延期付款的，每天向乙方偿付延期款额3‰违约金，但违约金累计不得超过延期款额5%。</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所提供的服务成果、数量、技术参数要求(技术参数需求)等不符合甲方要求的，应及时整改；乙方在甲方规定期限内不能完成整改的或无正当理由拒绝整改或经整改后仍不能达到甲方要求的，甲方有权终止合同，追回已付款项，并按本合同总价的10%计算违约金。</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有权依据磋商文件、响应文件及乙方的磋商承诺对乙方的服务人员进行管理或要求更换，对于甲方要求更换服务人员的，乙方应无条件及时更换;乙方拒绝更换的，甲方有权终止合同，并按本合同总价的10%计算违约金。</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6、乙方未按本合同和响应文件中规定的服务承诺提供</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的，乙方应按本合同总金额的5%/次向甲方支付违约金。</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7、乙方提供的服务及其成果在服务期及售后期内，因设计缺陷或其它质量原因造成的问题，由乙方负责处理并承担费用。</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由于乙方提供的产品和服务达不到磋商文件规定的服务质量、技术要求，致使验收不合格的，甲方不予验收，直至乙方按合同要求进行整改使该项目完全达到规定的技术及服务要求，整改期间产生的一切费用由乙方负责并承担逾期交付的违约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9、乙方不能就所成交的项目进行分包、转包，如发现乙方有分包、转包现象，甲方有权单方解除合同，同时乙方应向甲方支付合同总金额20%的违约金，由此造成的损失由乙方负责。</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10、本合同有效期内，乙方因自身原因要求终止或解除合同，应返还甲方已付款项，并按合同总价款的20%承担违约责任。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11、如乙方违反合同约定的信息安全及保密要求，每违反一次收取合同总金额0.2%的违约金，累计不超过合同总金额的30%，违约金不足以弥补甲方实际损失的，乙方还应支付赔偿金。</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12、其它违约行为按合同总金额的5%收取违约金。</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13、本条所称损失是指一方因另一方违约而遭受的全部经济损失(包括但不限于直接损失、间接损失及实现债权的费用，如诉讼费、律师费、差旅费、调查费、财产保全责任险保险费等)。</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3、商务要求偏离表和技术要求偏离表；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4、服务方案；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5、响应文件中的其他相关文件。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本合同一式伍份，具有同等法律效力，采购代理机构一份，甲、乙方各两份（可根据需要另增加）。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本合同甲乙双方签字盖章后生效，本合同自签订之日起2个工作日内，甲方应当将采购合同在广西壮族自治区财政厅指定的媒体上公告。</w:t>
      </w:r>
    </w:p>
    <w:tbl>
      <w:tblPr>
        <w:tblStyle w:val="30"/>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pPr>
              <w:snapToGrid w:val="0"/>
              <w:spacing w:line="360" w:lineRule="auto"/>
              <w:jc w:val="both"/>
              <w:rPr>
                <w:rFonts w:hint="eastAsia" w:ascii="宋体" w:hAnsi="宋体" w:cs="宋体"/>
                <w:color w:val="auto"/>
                <w:szCs w:val="21"/>
                <w:highlight w:val="none"/>
              </w:rPr>
            </w:pPr>
          </w:p>
          <w:p>
            <w:pPr>
              <w:snapToGrid w:val="0"/>
              <w:spacing w:line="360" w:lineRule="auto"/>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360" w:lineRule="auto"/>
              <w:jc w:val="right"/>
              <w:rPr>
                <w:rFonts w:hint="eastAsia" w:ascii="宋体" w:hAnsi="宋体" w:cs="宋体"/>
                <w:color w:val="auto"/>
                <w:szCs w:val="21"/>
                <w:highlight w:val="none"/>
              </w:rPr>
            </w:pPr>
          </w:p>
          <w:p>
            <w:pPr>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pPr>
        <w:widowControl/>
        <w:jc w:val="left"/>
        <w:rPr>
          <w:rFonts w:hint="eastAsia" w:ascii="宋体" w:hAnsi="宋体" w:cs="宋体"/>
          <w:color w:val="auto"/>
          <w:sz w:val="20"/>
          <w:szCs w:val="20"/>
          <w:highlight w:val="none"/>
        </w:rPr>
      </w:pPr>
    </w:p>
    <w:p>
      <w:pPr>
        <w:snapToGrid w:val="0"/>
        <w:spacing w:line="440" w:lineRule="exact"/>
        <w:jc w:val="center"/>
        <w:rPr>
          <w:rFonts w:ascii="宋体" w:hAnsi="宋体" w:cs="宋体"/>
          <w:b/>
          <w:color w:val="auto"/>
          <w:szCs w:val="21"/>
          <w:highlight w:val="none"/>
        </w:rPr>
      </w:pPr>
    </w:p>
    <w:p>
      <w:pPr>
        <w:snapToGrid w:val="0"/>
        <w:spacing w:line="440" w:lineRule="exact"/>
        <w:jc w:val="center"/>
        <w:rPr>
          <w:rFonts w:ascii="宋体" w:hAnsi="宋体" w:cs="宋体"/>
          <w:b/>
          <w:color w:val="auto"/>
          <w:szCs w:val="21"/>
          <w:highlight w:val="none"/>
        </w:rPr>
      </w:pPr>
    </w:p>
    <w:p>
      <w:pPr>
        <w:snapToGrid w:val="0"/>
        <w:spacing w:line="440" w:lineRule="exact"/>
        <w:jc w:val="center"/>
        <w:rPr>
          <w:rFonts w:ascii="宋体" w:hAnsi="宋体" w:cs="宋体"/>
          <w:b/>
          <w:color w:val="auto"/>
          <w:szCs w:val="21"/>
          <w:highlight w:val="none"/>
        </w:rPr>
      </w:pPr>
    </w:p>
    <w:p>
      <w:pPr>
        <w:jc w:val="center"/>
        <w:rPr>
          <w:rFonts w:ascii="宋体" w:hAnsi="宋体"/>
          <w:b/>
          <w:color w:val="auto"/>
          <w:szCs w:val="21"/>
          <w:highlight w:val="none"/>
        </w:rPr>
      </w:pPr>
      <w:r>
        <w:rPr>
          <w:rFonts w:hint="eastAsia" w:ascii="宋体" w:hAnsi="宋体" w:cs="宋体"/>
          <w:b/>
          <w:color w:val="auto"/>
          <w:szCs w:val="21"/>
          <w:highlight w:val="none"/>
        </w:rPr>
        <w:t>合 同 附 件</w:t>
      </w:r>
    </w:p>
    <w:p>
      <w:pPr>
        <w:snapToGrid w:val="0"/>
        <w:rPr>
          <w:rFonts w:ascii="宋体" w:hAnsi="宋体"/>
          <w:color w:val="auto"/>
          <w:szCs w:val="21"/>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540" w:type="dxa"/>
            <w:gridSpan w:val="2"/>
          </w:tcPr>
          <w:p>
            <w:pPr>
              <w:snapToGrid w:val="0"/>
              <w:rPr>
                <w:rFonts w:ascii="宋体" w:hAnsi="宋体" w:cs="宋体"/>
                <w:snapToGrid w:val="0"/>
                <w:color w:val="auto"/>
                <w:kern w:val="0"/>
                <w:szCs w:val="21"/>
                <w:highlight w:val="none"/>
              </w:rPr>
            </w:pPr>
          </w:p>
          <w:p>
            <w:pPr>
              <w:snapToGrid w:val="0"/>
              <w:rPr>
                <w:rFonts w:ascii="宋体" w:hAnsi="宋体" w:cs="宋体"/>
                <w:color w:val="auto"/>
                <w:szCs w:val="21"/>
                <w:highlight w:val="none"/>
              </w:rPr>
            </w:pPr>
            <w:r>
              <w:rPr>
                <w:rFonts w:hint="eastAsia" w:ascii="宋体" w:hAnsi="宋体" w:cs="宋体"/>
                <w:snapToGrid w:val="0"/>
                <w:color w:val="auto"/>
                <w:kern w:val="0"/>
                <w:szCs w:val="21"/>
                <w:highlight w:val="none"/>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540" w:type="dxa"/>
            <w:gridSpan w:val="2"/>
          </w:tcPr>
          <w:p>
            <w:pPr>
              <w:snapToGrid w:val="0"/>
              <w:rPr>
                <w:rFonts w:ascii="宋体" w:hAnsi="宋体" w:cs="宋体"/>
                <w:snapToGrid w:val="0"/>
                <w:color w:val="auto"/>
                <w:kern w:val="0"/>
                <w:szCs w:val="21"/>
                <w:highlight w:val="none"/>
              </w:rPr>
            </w:pPr>
          </w:p>
          <w:p>
            <w:pPr>
              <w:snapToGrid w:val="0"/>
              <w:rPr>
                <w:rFonts w:ascii="宋体" w:hAnsi="宋体" w:cs="宋体"/>
                <w:color w:val="auto"/>
                <w:szCs w:val="21"/>
                <w:highlight w:val="none"/>
              </w:rPr>
            </w:pPr>
            <w:r>
              <w:rPr>
                <w:rFonts w:hint="eastAsia" w:ascii="宋体" w:hAnsi="宋体" w:cs="宋体"/>
                <w:snapToGrid w:val="0"/>
                <w:color w:val="auto"/>
                <w:kern w:val="0"/>
                <w:szCs w:val="21"/>
                <w:highlight w:val="none"/>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540" w:type="dxa"/>
            <w:gridSpan w:val="2"/>
          </w:tcPr>
          <w:p>
            <w:pPr>
              <w:snapToGrid w:val="0"/>
              <w:rPr>
                <w:rFonts w:ascii="宋体" w:hAnsi="宋体" w:cs="宋体"/>
                <w:snapToGrid w:val="0"/>
                <w:color w:val="auto"/>
                <w:kern w:val="0"/>
                <w:szCs w:val="21"/>
                <w:highlight w:val="none"/>
              </w:rPr>
            </w:pPr>
          </w:p>
          <w:p>
            <w:pPr>
              <w:snapToGrid w:val="0"/>
              <w:rPr>
                <w:rFonts w:ascii="宋体" w:hAnsi="宋体" w:cs="宋体"/>
                <w:color w:val="auto"/>
                <w:szCs w:val="21"/>
                <w:highlight w:val="none"/>
              </w:rPr>
            </w:pPr>
            <w:r>
              <w:rPr>
                <w:rFonts w:hint="eastAsia" w:ascii="宋体" w:hAnsi="宋体" w:cs="宋体"/>
                <w:snapToGrid w:val="0"/>
                <w:color w:val="auto"/>
                <w:kern w:val="0"/>
                <w:szCs w:val="21"/>
                <w:highlight w:val="none"/>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9540" w:type="dxa"/>
            <w:gridSpan w:val="2"/>
          </w:tcPr>
          <w:p>
            <w:pPr>
              <w:snapToGrid w:val="0"/>
              <w:rPr>
                <w:rFonts w:ascii="宋体" w:hAnsi="宋体" w:cs="宋体"/>
                <w:snapToGrid w:val="0"/>
                <w:color w:val="auto"/>
                <w:kern w:val="0"/>
                <w:szCs w:val="21"/>
                <w:highlight w:val="none"/>
              </w:rPr>
            </w:pPr>
          </w:p>
          <w:p>
            <w:pPr>
              <w:snapToGrid w:val="0"/>
              <w:rPr>
                <w:rFonts w:ascii="宋体" w:hAnsi="宋体" w:cs="宋体"/>
                <w:color w:val="auto"/>
                <w:szCs w:val="21"/>
                <w:highlight w:val="none"/>
              </w:rPr>
            </w:pPr>
            <w:r>
              <w:rPr>
                <w:rFonts w:hint="eastAsia" w:ascii="宋体" w:hAnsi="宋体" w:cs="宋体"/>
                <w:snapToGrid w:val="0"/>
                <w:color w:val="auto"/>
                <w:kern w:val="0"/>
                <w:szCs w:val="21"/>
                <w:highlight w:val="none"/>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vAlign w:val="center"/>
          </w:tcPr>
          <w:p>
            <w:pPr>
              <w:ind w:firstLine="482"/>
              <w:rPr>
                <w:rFonts w:ascii="宋体" w:hAnsi="宋体" w:cs="宋体"/>
                <w:color w:val="auto"/>
                <w:szCs w:val="21"/>
                <w:highlight w:val="none"/>
              </w:rPr>
            </w:pPr>
            <w:r>
              <w:rPr>
                <w:rFonts w:hint="eastAsia" w:ascii="宋体" w:hAnsi="宋体" w:cs="宋体"/>
                <w:color w:val="auto"/>
                <w:szCs w:val="21"/>
                <w:highlight w:val="none"/>
              </w:rPr>
              <w:t>甲方（章）</w:t>
            </w: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r>
              <w:rPr>
                <w:rFonts w:hint="eastAsia" w:ascii="宋体" w:hAnsi="宋体" w:cs="宋体"/>
                <w:color w:val="auto"/>
                <w:szCs w:val="21"/>
                <w:highlight w:val="none"/>
              </w:rPr>
              <w:t xml:space="preserve">                 年   月   日 </w:t>
            </w:r>
          </w:p>
        </w:tc>
        <w:tc>
          <w:tcPr>
            <w:tcW w:w="4725" w:type="dxa"/>
            <w:vAlign w:val="center"/>
          </w:tcPr>
          <w:p>
            <w:pPr>
              <w:ind w:firstLine="482"/>
              <w:rPr>
                <w:rFonts w:ascii="宋体" w:hAnsi="宋体" w:cs="宋体"/>
                <w:color w:val="auto"/>
                <w:szCs w:val="21"/>
                <w:highlight w:val="none"/>
              </w:rPr>
            </w:pPr>
            <w:r>
              <w:rPr>
                <w:rFonts w:hint="eastAsia" w:ascii="宋体" w:hAnsi="宋体" w:cs="宋体"/>
                <w:color w:val="auto"/>
                <w:szCs w:val="21"/>
                <w:highlight w:val="none"/>
              </w:rPr>
              <w:t>乙方（章）</w:t>
            </w: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r>
              <w:rPr>
                <w:rFonts w:hint="eastAsia" w:ascii="宋体" w:hAnsi="宋体" w:cs="宋体"/>
                <w:color w:val="auto"/>
                <w:szCs w:val="21"/>
                <w:highlight w:val="none"/>
              </w:rPr>
              <w:t xml:space="preserve">                年   月   日</w:t>
            </w:r>
          </w:p>
        </w:tc>
      </w:tr>
    </w:tbl>
    <w:p>
      <w:pPr>
        <w:spacing w:before="4"/>
        <w:rPr>
          <w:rFonts w:ascii="宋体" w:hAnsi="宋体" w:cs="宋体"/>
          <w:color w:val="auto"/>
          <w:sz w:val="6"/>
          <w:szCs w:val="6"/>
          <w:highlight w:val="none"/>
        </w:rPr>
      </w:pPr>
    </w:p>
    <w:sectPr>
      <w:footerReference r:id="rId12" w:type="first"/>
      <w:footerReference r:id="rId11" w:type="default"/>
      <w:pgSz w:w="11906" w:h="16838"/>
      <w:pgMar w:top="1134" w:right="1020" w:bottom="1134" w:left="1020" w:header="851" w:footer="567"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Dr9F+zwEAAKoDAAAOAAAAAAAAAAEAIAAAAB4BAABkcnMv&#10;ZTJvRG9jLnhtbFBLBQYAAAAABgAGAFkBAABf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Y19j7zwEAAKoDAAAOAAAAAAAAAAEAIAAAAB4BAABkcnMv&#10;ZTJvRG9jLnhtbFBLBQYAAAAABgAGAFkBAABfBQ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6+KrRzwEAAKoDAAAOAAAAAAAAAAEAIAAAAB4BAABkcnMv&#10;ZTJvRG9jLnhtbFBLBQYAAAAABgAGAFkBAABfBQAAAAA=&#10;">
              <v:fill on="f" focussize="0,0"/>
              <v:stroke on="f"/>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jc w:val="center"/>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sQRs8BAACq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l4t&#10;V8ukUO+xosI7T6VxeAsD7c0cRwom4kMbbPoSJUZ50vd81VcNkcl0ab1ar0tKScrNDuEXD9d9wPhO&#10;gWXJqHmgB8y6itMHjGPpXJK6ObjVxuRHNO6vAGGOEZW3YLqdmIwTJysO+2Git4fmTOx62oSaO1p8&#10;zsx7R0KnpZmNMBv72Tj6oA9d3qrUHf2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uKxBGzwEAAKoDAAAOAAAAAAAAAAEAIAAAAB4BAABkcnMv&#10;ZTJvRG9jLnhtbFBLBQYAAAAABgAGAFkBAABfBQ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t>29</w:t>
                    </w:r>
                    <w:r>
                      <w:fldChar w:fldCharType="end"/>
                    </w:r>
                  </w:p>
                </w:txbxContent>
              </v:textbox>
            </v:shape>
          </w:pict>
        </mc:Fallback>
      </mc:AlternateContent>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59zg9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8lal7uDfHiKOlCdNHUZYZJgcfMLMdVq3tCN/+rnq6Rfb/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p59zg9ABAACqAwAADgAAAAAAAAABACAAAAAeAQAAZHJz&#10;L2Uyb0RvYy54bWxQSwUGAAAAAAYABgBZAQAAYAU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377A7B"/>
    <w:multiLevelType w:val="singleLevel"/>
    <w:tmpl w:val="6D377A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Nzg2NzY5NzM5NWYzYjBlNTA3MTIyZDljZTlhZmEifQ=="/>
    <w:docVar w:name="KSO_WPS_MARK_KEY" w:val="b95ecb36-b825-4aab-a484-008294de2a68"/>
  </w:docVars>
  <w:rsids>
    <w:rsidRoot w:val="00F34B14"/>
    <w:rsid w:val="00000672"/>
    <w:rsid w:val="00001013"/>
    <w:rsid w:val="00001799"/>
    <w:rsid w:val="00001AF2"/>
    <w:rsid w:val="00001ECA"/>
    <w:rsid w:val="00002D29"/>
    <w:rsid w:val="00002EAF"/>
    <w:rsid w:val="00003B93"/>
    <w:rsid w:val="0000474D"/>
    <w:rsid w:val="00005164"/>
    <w:rsid w:val="00005FDF"/>
    <w:rsid w:val="00006851"/>
    <w:rsid w:val="00006AC0"/>
    <w:rsid w:val="000070B3"/>
    <w:rsid w:val="000076B8"/>
    <w:rsid w:val="000109DC"/>
    <w:rsid w:val="00010D39"/>
    <w:rsid w:val="0001172C"/>
    <w:rsid w:val="00011BC9"/>
    <w:rsid w:val="00011C9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813"/>
    <w:rsid w:val="000220B2"/>
    <w:rsid w:val="0002264C"/>
    <w:rsid w:val="00022731"/>
    <w:rsid w:val="00022792"/>
    <w:rsid w:val="00024463"/>
    <w:rsid w:val="00025461"/>
    <w:rsid w:val="00025636"/>
    <w:rsid w:val="00025E36"/>
    <w:rsid w:val="00026855"/>
    <w:rsid w:val="00026886"/>
    <w:rsid w:val="0002785D"/>
    <w:rsid w:val="000279F1"/>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3F47"/>
    <w:rsid w:val="0007492F"/>
    <w:rsid w:val="00074ED8"/>
    <w:rsid w:val="00075B7E"/>
    <w:rsid w:val="00077266"/>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BD"/>
    <w:rsid w:val="0008694B"/>
    <w:rsid w:val="000871B8"/>
    <w:rsid w:val="00087B0A"/>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29A2"/>
    <w:rsid w:val="000D320C"/>
    <w:rsid w:val="000D341C"/>
    <w:rsid w:val="000D411D"/>
    <w:rsid w:val="000D4589"/>
    <w:rsid w:val="000D4809"/>
    <w:rsid w:val="000D73DD"/>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339"/>
    <w:rsid w:val="000F7AF4"/>
    <w:rsid w:val="000F7C33"/>
    <w:rsid w:val="000F7F0C"/>
    <w:rsid w:val="001004D6"/>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2A96"/>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541"/>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B27"/>
    <w:rsid w:val="001A6D8B"/>
    <w:rsid w:val="001A6DAA"/>
    <w:rsid w:val="001A7717"/>
    <w:rsid w:val="001A793A"/>
    <w:rsid w:val="001B125A"/>
    <w:rsid w:val="001B1EBA"/>
    <w:rsid w:val="001B2142"/>
    <w:rsid w:val="001B2C23"/>
    <w:rsid w:val="001B2F2B"/>
    <w:rsid w:val="001B327A"/>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4287"/>
    <w:rsid w:val="001C4479"/>
    <w:rsid w:val="001C5190"/>
    <w:rsid w:val="001C6081"/>
    <w:rsid w:val="001C73EB"/>
    <w:rsid w:val="001C7B48"/>
    <w:rsid w:val="001C7CFB"/>
    <w:rsid w:val="001D0CFB"/>
    <w:rsid w:val="001D1A0D"/>
    <w:rsid w:val="001D343C"/>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145"/>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5579"/>
    <w:rsid w:val="003667B0"/>
    <w:rsid w:val="003667DD"/>
    <w:rsid w:val="00366B48"/>
    <w:rsid w:val="00367764"/>
    <w:rsid w:val="00370316"/>
    <w:rsid w:val="00370DC7"/>
    <w:rsid w:val="00371CBD"/>
    <w:rsid w:val="00371F20"/>
    <w:rsid w:val="003721E3"/>
    <w:rsid w:val="00372B98"/>
    <w:rsid w:val="003737B7"/>
    <w:rsid w:val="0037392D"/>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3F7"/>
    <w:rsid w:val="00390429"/>
    <w:rsid w:val="00390666"/>
    <w:rsid w:val="003906A0"/>
    <w:rsid w:val="00391E03"/>
    <w:rsid w:val="003931AF"/>
    <w:rsid w:val="0039366C"/>
    <w:rsid w:val="00393EC8"/>
    <w:rsid w:val="00395E42"/>
    <w:rsid w:val="00396409"/>
    <w:rsid w:val="00396A2D"/>
    <w:rsid w:val="00396FC3"/>
    <w:rsid w:val="003A1A94"/>
    <w:rsid w:val="003A204E"/>
    <w:rsid w:val="003A2D25"/>
    <w:rsid w:val="003A5728"/>
    <w:rsid w:val="003A60AB"/>
    <w:rsid w:val="003A60E7"/>
    <w:rsid w:val="003A7092"/>
    <w:rsid w:val="003A72A1"/>
    <w:rsid w:val="003A7611"/>
    <w:rsid w:val="003A7D1F"/>
    <w:rsid w:val="003B0A61"/>
    <w:rsid w:val="003B0B6A"/>
    <w:rsid w:val="003B22F7"/>
    <w:rsid w:val="003B29CF"/>
    <w:rsid w:val="003B3A90"/>
    <w:rsid w:val="003B3D01"/>
    <w:rsid w:val="003B534F"/>
    <w:rsid w:val="003B751E"/>
    <w:rsid w:val="003B7A79"/>
    <w:rsid w:val="003C065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7AF"/>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1"/>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5DF"/>
    <w:rsid w:val="004B3627"/>
    <w:rsid w:val="004B4922"/>
    <w:rsid w:val="004B57DF"/>
    <w:rsid w:val="004B5976"/>
    <w:rsid w:val="004B60F7"/>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AF4"/>
    <w:rsid w:val="00543F53"/>
    <w:rsid w:val="00544191"/>
    <w:rsid w:val="0054440C"/>
    <w:rsid w:val="005448EC"/>
    <w:rsid w:val="00544C0A"/>
    <w:rsid w:val="00544F39"/>
    <w:rsid w:val="005457FB"/>
    <w:rsid w:val="005458CD"/>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3D"/>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359B3"/>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022"/>
    <w:rsid w:val="00690437"/>
    <w:rsid w:val="00690679"/>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0132"/>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D63"/>
    <w:rsid w:val="006E32B0"/>
    <w:rsid w:val="006E348E"/>
    <w:rsid w:val="006E396A"/>
    <w:rsid w:val="006E3D63"/>
    <w:rsid w:val="006E585E"/>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2656"/>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7A43"/>
    <w:rsid w:val="00727FF2"/>
    <w:rsid w:val="00730550"/>
    <w:rsid w:val="00730C2A"/>
    <w:rsid w:val="00730FB4"/>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053"/>
    <w:rsid w:val="00757673"/>
    <w:rsid w:val="0076106D"/>
    <w:rsid w:val="007623FB"/>
    <w:rsid w:val="00762517"/>
    <w:rsid w:val="00763240"/>
    <w:rsid w:val="0076354C"/>
    <w:rsid w:val="0076376A"/>
    <w:rsid w:val="007648AD"/>
    <w:rsid w:val="0076504E"/>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7CC"/>
    <w:rsid w:val="00777B32"/>
    <w:rsid w:val="0078051E"/>
    <w:rsid w:val="00781089"/>
    <w:rsid w:val="00782B6A"/>
    <w:rsid w:val="007834AD"/>
    <w:rsid w:val="007838F3"/>
    <w:rsid w:val="00784A98"/>
    <w:rsid w:val="00785184"/>
    <w:rsid w:val="007856FE"/>
    <w:rsid w:val="00785F46"/>
    <w:rsid w:val="007865F4"/>
    <w:rsid w:val="00786D5C"/>
    <w:rsid w:val="00786E96"/>
    <w:rsid w:val="00787BB6"/>
    <w:rsid w:val="00787DFF"/>
    <w:rsid w:val="00787F93"/>
    <w:rsid w:val="00791E6D"/>
    <w:rsid w:val="00791EB5"/>
    <w:rsid w:val="00793307"/>
    <w:rsid w:val="0079343F"/>
    <w:rsid w:val="00793696"/>
    <w:rsid w:val="007955DA"/>
    <w:rsid w:val="00796F65"/>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6914"/>
    <w:rsid w:val="007E7F78"/>
    <w:rsid w:val="007F0179"/>
    <w:rsid w:val="007F2C13"/>
    <w:rsid w:val="007F2CEC"/>
    <w:rsid w:val="007F3327"/>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6F6"/>
    <w:rsid w:val="00816BE9"/>
    <w:rsid w:val="00817D10"/>
    <w:rsid w:val="00822518"/>
    <w:rsid w:val="008226F5"/>
    <w:rsid w:val="00823109"/>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063A"/>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3E75"/>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2B3"/>
    <w:rsid w:val="008F357B"/>
    <w:rsid w:val="008F44CA"/>
    <w:rsid w:val="008F49D3"/>
    <w:rsid w:val="008F6519"/>
    <w:rsid w:val="008F7012"/>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A73"/>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67F5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90225"/>
    <w:rsid w:val="00991307"/>
    <w:rsid w:val="00992A13"/>
    <w:rsid w:val="00994AAD"/>
    <w:rsid w:val="00995150"/>
    <w:rsid w:val="00995475"/>
    <w:rsid w:val="00995D67"/>
    <w:rsid w:val="00997613"/>
    <w:rsid w:val="009A013B"/>
    <w:rsid w:val="009A02F4"/>
    <w:rsid w:val="009A06BF"/>
    <w:rsid w:val="009A0D17"/>
    <w:rsid w:val="009A2494"/>
    <w:rsid w:val="009A32B1"/>
    <w:rsid w:val="009A33A3"/>
    <w:rsid w:val="009A36F2"/>
    <w:rsid w:val="009A40C3"/>
    <w:rsid w:val="009A40D5"/>
    <w:rsid w:val="009A5268"/>
    <w:rsid w:val="009A57D0"/>
    <w:rsid w:val="009A5BAA"/>
    <w:rsid w:val="009A6559"/>
    <w:rsid w:val="009A68FC"/>
    <w:rsid w:val="009A6CE4"/>
    <w:rsid w:val="009A6EC3"/>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B7DC0"/>
    <w:rsid w:val="009C079D"/>
    <w:rsid w:val="009C0D70"/>
    <w:rsid w:val="009C13D1"/>
    <w:rsid w:val="009C2913"/>
    <w:rsid w:val="009C2BD4"/>
    <w:rsid w:val="009C3E72"/>
    <w:rsid w:val="009C4AE8"/>
    <w:rsid w:val="009C5AFE"/>
    <w:rsid w:val="009C6606"/>
    <w:rsid w:val="009C6CE5"/>
    <w:rsid w:val="009C6D50"/>
    <w:rsid w:val="009C7547"/>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AEC"/>
    <w:rsid w:val="00A23C18"/>
    <w:rsid w:val="00A23E0A"/>
    <w:rsid w:val="00A247B8"/>
    <w:rsid w:val="00A2495A"/>
    <w:rsid w:val="00A24C7A"/>
    <w:rsid w:val="00A24D8F"/>
    <w:rsid w:val="00A25B8B"/>
    <w:rsid w:val="00A266D3"/>
    <w:rsid w:val="00A2689F"/>
    <w:rsid w:val="00A26ECA"/>
    <w:rsid w:val="00A27461"/>
    <w:rsid w:val="00A27B4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FA"/>
    <w:rsid w:val="00A5102E"/>
    <w:rsid w:val="00A5132E"/>
    <w:rsid w:val="00A51375"/>
    <w:rsid w:val="00A51533"/>
    <w:rsid w:val="00A52D36"/>
    <w:rsid w:val="00A531D4"/>
    <w:rsid w:val="00A54572"/>
    <w:rsid w:val="00A54DA4"/>
    <w:rsid w:val="00A575B8"/>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38CB"/>
    <w:rsid w:val="00AB3BEC"/>
    <w:rsid w:val="00AB44E4"/>
    <w:rsid w:val="00AB499C"/>
    <w:rsid w:val="00AB4AEB"/>
    <w:rsid w:val="00AB4E5F"/>
    <w:rsid w:val="00AB5352"/>
    <w:rsid w:val="00AB56AE"/>
    <w:rsid w:val="00AB62D5"/>
    <w:rsid w:val="00AB65B5"/>
    <w:rsid w:val="00AB6DCD"/>
    <w:rsid w:val="00AB6EE0"/>
    <w:rsid w:val="00AB73DC"/>
    <w:rsid w:val="00AC17A2"/>
    <w:rsid w:val="00AC40B7"/>
    <w:rsid w:val="00AC4680"/>
    <w:rsid w:val="00AC516B"/>
    <w:rsid w:val="00AC531F"/>
    <w:rsid w:val="00AC5AAA"/>
    <w:rsid w:val="00AC5B36"/>
    <w:rsid w:val="00AC6377"/>
    <w:rsid w:val="00AC66A4"/>
    <w:rsid w:val="00AC6CB1"/>
    <w:rsid w:val="00AC75E9"/>
    <w:rsid w:val="00AC7D6D"/>
    <w:rsid w:val="00AD0091"/>
    <w:rsid w:val="00AD1A28"/>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5DB7"/>
    <w:rsid w:val="00AE7280"/>
    <w:rsid w:val="00AF01FA"/>
    <w:rsid w:val="00AF033A"/>
    <w:rsid w:val="00AF082B"/>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3F1F"/>
    <w:rsid w:val="00B247BB"/>
    <w:rsid w:val="00B2504A"/>
    <w:rsid w:val="00B25EE6"/>
    <w:rsid w:val="00B2685C"/>
    <w:rsid w:val="00B30CD6"/>
    <w:rsid w:val="00B3115A"/>
    <w:rsid w:val="00B31825"/>
    <w:rsid w:val="00B31A5C"/>
    <w:rsid w:val="00B32265"/>
    <w:rsid w:val="00B3276D"/>
    <w:rsid w:val="00B33B06"/>
    <w:rsid w:val="00B33C19"/>
    <w:rsid w:val="00B359E2"/>
    <w:rsid w:val="00B35A15"/>
    <w:rsid w:val="00B35B45"/>
    <w:rsid w:val="00B36A99"/>
    <w:rsid w:val="00B40143"/>
    <w:rsid w:val="00B4226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167"/>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7712"/>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588C"/>
    <w:rsid w:val="00BC67FF"/>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180B"/>
    <w:rsid w:val="00BE2260"/>
    <w:rsid w:val="00BE32F3"/>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EB9"/>
    <w:rsid w:val="00C1711B"/>
    <w:rsid w:val="00C17AE2"/>
    <w:rsid w:val="00C20140"/>
    <w:rsid w:val="00C20F27"/>
    <w:rsid w:val="00C210A1"/>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4A36"/>
    <w:rsid w:val="00C46B95"/>
    <w:rsid w:val="00C4712A"/>
    <w:rsid w:val="00C47F88"/>
    <w:rsid w:val="00C5034F"/>
    <w:rsid w:val="00C50830"/>
    <w:rsid w:val="00C52479"/>
    <w:rsid w:val="00C5266E"/>
    <w:rsid w:val="00C52C59"/>
    <w:rsid w:val="00C5349E"/>
    <w:rsid w:val="00C539FF"/>
    <w:rsid w:val="00C544BD"/>
    <w:rsid w:val="00C549BB"/>
    <w:rsid w:val="00C54D3D"/>
    <w:rsid w:val="00C55A30"/>
    <w:rsid w:val="00C56384"/>
    <w:rsid w:val="00C568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7818"/>
    <w:rsid w:val="00C8063F"/>
    <w:rsid w:val="00C80931"/>
    <w:rsid w:val="00C81282"/>
    <w:rsid w:val="00C827B4"/>
    <w:rsid w:val="00C82B40"/>
    <w:rsid w:val="00C83214"/>
    <w:rsid w:val="00C8329F"/>
    <w:rsid w:val="00C84F8A"/>
    <w:rsid w:val="00C85BA4"/>
    <w:rsid w:val="00C8618F"/>
    <w:rsid w:val="00C8625D"/>
    <w:rsid w:val="00C87F3F"/>
    <w:rsid w:val="00C90372"/>
    <w:rsid w:val="00C9041F"/>
    <w:rsid w:val="00C9112E"/>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1E61"/>
    <w:rsid w:val="00CA25C0"/>
    <w:rsid w:val="00CA3451"/>
    <w:rsid w:val="00CA35C6"/>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0E12"/>
    <w:rsid w:val="00D01CF9"/>
    <w:rsid w:val="00D02BF7"/>
    <w:rsid w:val="00D02FFD"/>
    <w:rsid w:val="00D0334D"/>
    <w:rsid w:val="00D0374D"/>
    <w:rsid w:val="00D06851"/>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6D"/>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A9"/>
    <w:rsid w:val="00E477C3"/>
    <w:rsid w:val="00E51E16"/>
    <w:rsid w:val="00E52DED"/>
    <w:rsid w:val="00E53730"/>
    <w:rsid w:val="00E5438D"/>
    <w:rsid w:val="00E54511"/>
    <w:rsid w:val="00E54E50"/>
    <w:rsid w:val="00E54EC9"/>
    <w:rsid w:val="00E55288"/>
    <w:rsid w:val="00E57577"/>
    <w:rsid w:val="00E60A2E"/>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342"/>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1905"/>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7A68"/>
    <w:rsid w:val="00FF0231"/>
    <w:rsid w:val="00FF1C9B"/>
    <w:rsid w:val="00FF1D49"/>
    <w:rsid w:val="00FF203B"/>
    <w:rsid w:val="00FF2562"/>
    <w:rsid w:val="00FF2B6C"/>
    <w:rsid w:val="00FF3A41"/>
    <w:rsid w:val="00FF3E5B"/>
    <w:rsid w:val="00FF4C8E"/>
    <w:rsid w:val="00FF57E4"/>
    <w:rsid w:val="00FF62AA"/>
    <w:rsid w:val="00FF78E5"/>
    <w:rsid w:val="010827C0"/>
    <w:rsid w:val="0119677B"/>
    <w:rsid w:val="012C5FAF"/>
    <w:rsid w:val="01AF3D99"/>
    <w:rsid w:val="01B52C2D"/>
    <w:rsid w:val="01F91C73"/>
    <w:rsid w:val="01F96404"/>
    <w:rsid w:val="0201302D"/>
    <w:rsid w:val="02200AAA"/>
    <w:rsid w:val="02247ACE"/>
    <w:rsid w:val="02337361"/>
    <w:rsid w:val="02511F9D"/>
    <w:rsid w:val="02DB6B5E"/>
    <w:rsid w:val="035100F2"/>
    <w:rsid w:val="036543A8"/>
    <w:rsid w:val="03654FA1"/>
    <w:rsid w:val="03A03330"/>
    <w:rsid w:val="03A314B8"/>
    <w:rsid w:val="03B7227C"/>
    <w:rsid w:val="03BB1D6C"/>
    <w:rsid w:val="03C5243A"/>
    <w:rsid w:val="03D82B98"/>
    <w:rsid w:val="03E47515"/>
    <w:rsid w:val="03F83E8B"/>
    <w:rsid w:val="03FF37B7"/>
    <w:rsid w:val="04140663"/>
    <w:rsid w:val="0451328B"/>
    <w:rsid w:val="046269DF"/>
    <w:rsid w:val="04BF763A"/>
    <w:rsid w:val="04CD61FB"/>
    <w:rsid w:val="04EF7F2B"/>
    <w:rsid w:val="050140F6"/>
    <w:rsid w:val="05067536"/>
    <w:rsid w:val="051929AB"/>
    <w:rsid w:val="05305068"/>
    <w:rsid w:val="05A131E3"/>
    <w:rsid w:val="05AC1B2E"/>
    <w:rsid w:val="05C56868"/>
    <w:rsid w:val="05CB2E5F"/>
    <w:rsid w:val="061C715B"/>
    <w:rsid w:val="06472F82"/>
    <w:rsid w:val="06705FB0"/>
    <w:rsid w:val="068F128E"/>
    <w:rsid w:val="0693415D"/>
    <w:rsid w:val="06EF31F8"/>
    <w:rsid w:val="06F2558C"/>
    <w:rsid w:val="07017BB4"/>
    <w:rsid w:val="07131CDD"/>
    <w:rsid w:val="07A33592"/>
    <w:rsid w:val="07B72767"/>
    <w:rsid w:val="07BB67DE"/>
    <w:rsid w:val="07D63618"/>
    <w:rsid w:val="07E43A81"/>
    <w:rsid w:val="07FB4E2D"/>
    <w:rsid w:val="08077E72"/>
    <w:rsid w:val="0832086E"/>
    <w:rsid w:val="083245C7"/>
    <w:rsid w:val="0843490A"/>
    <w:rsid w:val="08882DD0"/>
    <w:rsid w:val="08946FCA"/>
    <w:rsid w:val="08B80099"/>
    <w:rsid w:val="09364131"/>
    <w:rsid w:val="093F3D8B"/>
    <w:rsid w:val="09666C3E"/>
    <w:rsid w:val="097474D2"/>
    <w:rsid w:val="0981726F"/>
    <w:rsid w:val="098F7F12"/>
    <w:rsid w:val="09C23374"/>
    <w:rsid w:val="09CA084E"/>
    <w:rsid w:val="09CC2AAC"/>
    <w:rsid w:val="09EF16FD"/>
    <w:rsid w:val="0A092713"/>
    <w:rsid w:val="0A09478D"/>
    <w:rsid w:val="0A256191"/>
    <w:rsid w:val="0A397E8E"/>
    <w:rsid w:val="0A3D797F"/>
    <w:rsid w:val="0A423A07"/>
    <w:rsid w:val="0A4A5BF8"/>
    <w:rsid w:val="0A652D3E"/>
    <w:rsid w:val="0A6E5D8A"/>
    <w:rsid w:val="0A7F7F97"/>
    <w:rsid w:val="0AAF0151"/>
    <w:rsid w:val="0AD876A7"/>
    <w:rsid w:val="0B0E1130"/>
    <w:rsid w:val="0B305702"/>
    <w:rsid w:val="0B326F2A"/>
    <w:rsid w:val="0B372620"/>
    <w:rsid w:val="0B3E3044"/>
    <w:rsid w:val="0B5374D4"/>
    <w:rsid w:val="0BFE313E"/>
    <w:rsid w:val="0C1E2888"/>
    <w:rsid w:val="0C4C20FB"/>
    <w:rsid w:val="0C6531BD"/>
    <w:rsid w:val="0C8E61AF"/>
    <w:rsid w:val="0C8F1FE8"/>
    <w:rsid w:val="0C92213C"/>
    <w:rsid w:val="0CAF06D2"/>
    <w:rsid w:val="0CBE28CD"/>
    <w:rsid w:val="0CC2027E"/>
    <w:rsid w:val="0D7B16D9"/>
    <w:rsid w:val="0D84032B"/>
    <w:rsid w:val="0D860CD8"/>
    <w:rsid w:val="0DB13EEB"/>
    <w:rsid w:val="0DB735A4"/>
    <w:rsid w:val="0E6454B7"/>
    <w:rsid w:val="0E8A6F0A"/>
    <w:rsid w:val="0E9F560A"/>
    <w:rsid w:val="0ECE329B"/>
    <w:rsid w:val="0EE428AF"/>
    <w:rsid w:val="0EF645A0"/>
    <w:rsid w:val="0F094436"/>
    <w:rsid w:val="0F2A74C4"/>
    <w:rsid w:val="0F5A5D56"/>
    <w:rsid w:val="0F620A10"/>
    <w:rsid w:val="0F711E78"/>
    <w:rsid w:val="0F7729A5"/>
    <w:rsid w:val="0FA61B22"/>
    <w:rsid w:val="10014FAA"/>
    <w:rsid w:val="101E5B5C"/>
    <w:rsid w:val="104A1F3F"/>
    <w:rsid w:val="104A4BA3"/>
    <w:rsid w:val="107240FA"/>
    <w:rsid w:val="108D4996"/>
    <w:rsid w:val="10A27F31"/>
    <w:rsid w:val="10DC1574"/>
    <w:rsid w:val="10E03CC6"/>
    <w:rsid w:val="11101D8E"/>
    <w:rsid w:val="115B4B8E"/>
    <w:rsid w:val="118916FB"/>
    <w:rsid w:val="11927058"/>
    <w:rsid w:val="11BA7B07"/>
    <w:rsid w:val="11BD2243"/>
    <w:rsid w:val="11C14915"/>
    <w:rsid w:val="11F72B09"/>
    <w:rsid w:val="121045D6"/>
    <w:rsid w:val="122D02D9"/>
    <w:rsid w:val="122D2087"/>
    <w:rsid w:val="12743D83"/>
    <w:rsid w:val="128D0D77"/>
    <w:rsid w:val="12957C2C"/>
    <w:rsid w:val="12AD3208"/>
    <w:rsid w:val="12B96010"/>
    <w:rsid w:val="12FE2018"/>
    <w:rsid w:val="130628D8"/>
    <w:rsid w:val="131928BF"/>
    <w:rsid w:val="131B727A"/>
    <w:rsid w:val="135B2B22"/>
    <w:rsid w:val="137D5290"/>
    <w:rsid w:val="13914897"/>
    <w:rsid w:val="13946135"/>
    <w:rsid w:val="13AF4F03"/>
    <w:rsid w:val="13E04CDB"/>
    <w:rsid w:val="144A092A"/>
    <w:rsid w:val="14704A54"/>
    <w:rsid w:val="14736E66"/>
    <w:rsid w:val="147F458F"/>
    <w:rsid w:val="14947BFE"/>
    <w:rsid w:val="149A00A4"/>
    <w:rsid w:val="14B10388"/>
    <w:rsid w:val="14D174E6"/>
    <w:rsid w:val="14E44281"/>
    <w:rsid w:val="15033573"/>
    <w:rsid w:val="1534169A"/>
    <w:rsid w:val="156068E6"/>
    <w:rsid w:val="156D538C"/>
    <w:rsid w:val="159B506F"/>
    <w:rsid w:val="15C03E03"/>
    <w:rsid w:val="16140CAA"/>
    <w:rsid w:val="16290DB7"/>
    <w:rsid w:val="162A25EB"/>
    <w:rsid w:val="16353C00"/>
    <w:rsid w:val="16735895"/>
    <w:rsid w:val="16816E45"/>
    <w:rsid w:val="16B54D41"/>
    <w:rsid w:val="16C653F4"/>
    <w:rsid w:val="16D01B7A"/>
    <w:rsid w:val="16ED6288"/>
    <w:rsid w:val="16FA4BD2"/>
    <w:rsid w:val="16FD2A55"/>
    <w:rsid w:val="17001FDA"/>
    <w:rsid w:val="17067C1A"/>
    <w:rsid w:val="17233A58"/>
    <w:rsid w:val="173619DD"/>
    <w:rsid w:val="17366761"/>
    <w:rsid w:val="174E2EC4"/>
    <w:rsid w:val="17514A69"/>
    <w:rsid w:val="17567E8F"/>
    <w:rsid w:val="176F6C9D"/>
    <w:rsid w:val="177C01F0"/>
    <w:rsid w:val="179E3EFA"/>
    <w:rsid w:val="17A252C5"/>
    <w:rsid w:val="17CE6630"/>
    <w:rsid w:val="17F4641B"/>
    <w:rsid w:val="181D494B"/>
    <w:rsid w:val="18291A50"/>
    <w:rsid w:val="1844637C"/>
    <w:rsid w:val="184B6E30"/>
    <w:rsid w:val="18573BB3"/>
    <w:rsid w:val="185F6D12"/>
    <w:rsid w:val="18772542"/>
    <w:rsid w:val="187F3D33"/>
    <w:rsid w:val="18820F70"/>
    <w:rsid w:val="18972950"/>
    <w:rsid w:val="18F558C8"/>
    <w:rsid w:val="192F0F26"/>
    <w:rsid w:val="195474DE"/>
    <w:rsid w:val="195B507D"/>
    <w:rsid w:val="19BE25EF"/>
    <w:rsid w:val="19EE7E5D"/>
    <w:rsid w:val="1A1D50D7"/>
    <w:rsid w:val="1A5F0EA6"/>
    <w:rsid w:val="1A7B3BAB"/>
    <w:rsid w:val="1A8B76DB"/>
    <w:rsid w:val="1A98650B"/>
    <w:rsid w:val="1AA94BBC"/>
    <w:rsid w:val="1AAA4452"/>
    <w:rsid w:val="1AC252C2"/>
    <w:rsid w:val="1AC63078"/>
    <w:rsid w:val="1AD11A1D"/>
    <w:rsid w:val="1AFF0AFE"/>
    <w:rsid w:val="1B412001"/>
    <w:rsid w:val="1B4F19F8"/>
    <w:rsid w:val="1BA972F6"/>
    <w:rsid w:val="1BE50DD1"/>
    <w:rsid w:val="1C1F23FA"/>
    <w:rsid w:val="1C4306F9"/>
    <w:rsid w:val="1C4526C3"/>
    <w:rsid w:val="1C5D5C5E"/>
    <w:rsid w:val="1C6B432E"/>
    <w:rsid w:val="1C8101E5"/>
    <w:rsid w:val="1C8409D2"/>
    <w:rsid w:val="1C970A1D"/>
    <w:rsid w:val="1CCE2EE5"/>
    <w:rsid w:val="1CDA72AF"/>
    <w:rsid w:val="1CEF7146"/>
    <w:rsid w:val="1D0A6375"/>
    <w:rsid w:val="1D322C47"/>
    <w:rsid w:val="1DB7314C"/>
    <w:rsid w:val="1DBE272D"/>
    <w:rsid w:val="1DC31AF1"/>
    <w:rsid w:val="1DE1641B"/>
    <w:rsid w:val="1DE5046B"/>
    <w:rsid w:val="1E1F1D09"/>
    <w:rsid w:val="1E3E4FB4"/>
    <w:rsid w:val="1E4852D2"/>
    <w:rsid w:val="1E4F2A7A"/>
    <w:rsid w:val="1E694596"/>
    <w:rsid w:val="1E70765E"/>
    <w:rsid w:val="1E9621D4"/>
    <w:rsid w:val="1EB202A6"/>
    <w:rsid w:val="1EC76CCF"/>
    <w:rsid w:val="1ECC44FA"/>
    <w:rsid w:val="1ED6486B"/>
    <w:rsid w:val="1EDB63FC"/>
    <w:rsid w:val="1F063325"/>
    <w:rsid w:val="1F1617FB"/>
    <w:rsid w:val="1F1C1B35"/>
    <w:rsid w:val="1F1F5219"/>
    <w:rsid w:val="1F300115"/>
    <w:rsid w:val="1F3A0E0F"/>
    <w:rsid w:val="1F5642FC"/>
    <w:rsid w:val="1F5F3A9B"/>
    <w:rsid w:val="1FAE057F"/>
    <w:rsid w:val="1FBC5DF5"/>
    <w:rsid w:val="1FF90588"/>
    <w:rsid w:val="2018762F"/>
    <w:rsid w:val="202A22FB"/>
    <w:rsid w:val="202B5346"/>
    <w:rsid w:val="202C2386"/>
    <w:rsid w:val="20400F91"/>
    <w:rsid w:val="20514B81"/>
    <w:rsid w:val="2056255B"/>
    <w:rsid w:val="20574407"/>
    <w:rsid w:val="206A570B"/>
    <w:rsid w:val="20BD452B"/>
    <w:rsid w:val="20C3623F"/>
    <w:rsid w:val="20DA182C"/>
    <w:rsid w:val="20F46465"/>
    <w:rsid w:val="210900A7"/>
    <w:rsid w:val="212156C5"/>
    <w:rsid w:val="2148258B"/>
    <w:rsid w:val="21611D4D"/>
    <w:rsid w:val="216B4602"/>
    <w:rsid w:val="21771E62"/>
    <w:rsid w:val="21781212"/>
    <w:rsid w:val="21B83F86"/>
    <w:rsid w:val="21EA380F"/>
    <w:rsid w:val="221178A8"/>
    <w:rsid w:val="221213CF"/>
    <w:rsid w:val="22327A92"/>
    <w:rsid w:val="223D23F1"/>
    <w:rsid w:val="2254540E"/>
    <w:rsid w:val="226C668D"/>
    <w:rsid w:val="22AD188F"/>
    <w:rsid w:val="22FF181D"/>
    <w:rsid w:val="230063DC"/>
    <w:rsid w:val="23151AAF"/>
    <w:rsid w:val="231D53A2"/>
    <w:rsid w:val="23447FE4"/>
    <w:rsid w:val="235B5EFE"/>
    <w:rsid w:val="236D5383"/>
    <w:rsid w:val="23863CED"/>
    <w:rsid w:val="239A7798"/>
    <w:rsid w:val="239F377F"/>
    <w:rsid w:val="23A35E53"/>
    <w:rsid w:val="23B24AE2"/>
    <w:rsid w:val="23B7504C"/>
    <w:rsid w:val="23C84DE9"/>
    <w:rsid w:val="2419690F"/>
    <w:rsid w:val="24571307"/>
    <w:rsid w:val="24715ECA"/>
    <w:rsid w:val="24754E93"/>
    <w:rsid w:val="247E43DB"/>
    <w:rsid w:val="24967F5F"/>
    <w:rsid w:val="249C557D"/>
    <w:rsid w:val="24F829C8"/>
    <w:rsid w:val="25110A2A"/>
    <w:rsid w:val="25145328"/>
    <w:rsid w:val="25240D0A"/>
    <w:rsid w:val="256C0944"/>
    <w:rsid w:val="25733194"/>
    <w:rsid w:val="25967363"/>
    <w:rsid w:val="259F2E44"/>
    <w:rsid w:val="25E65E18"/>
    <w:rsid w:val="26446DE3"/>
    <w:rsid w:val="2674607E"/>
    <w:rsid w:val="267A740D"/>
    <w:rsid w:val="267E514F"/>
    <w:rsid w:val="269669E7"/>
    <w:rsid w:val="269E134D"/>
    <w:rsid w:val="26A270C1"/>
    <w:rsid w:val="26CE2F65"/>
    <w:rsid w:val="26D7699F"/>
    <w:rsid w:val="26FB054E"/>
    <w:rsid w:val="27174C5C"/>
    <w:rsid w:val="272C0399"/>
    <w:rsid w:val="277A5AEB"/>
    <w:rsid w:val="2789543C"/>
    <w:rsid w:val="27AF043B"/>
    <w:rsid w:val="27B0578B"/>
    <w:rsid w:val="27B87198"/>
    <w:rsid w:val="27BC5F2F"/>
    <w:rsid w:val="27DC037F"/>
    <w:rsid w:val="28177609"/>
    <w:rsid w:val="281E1EFD"/>
    <w:rsid w:val="287B5CFE"/>
    <w:rsid w:val="28A3717E"/>
    <w:rsid w:val="28CB21A2"/>
    <w:rsid w:val="29260276"/>
    <w:rsid w:val="29283150"/>
    <w:rsid w:val="29316245"/>
    <w:rsid w:val="299802D6"/>
    <w:rsid w:val="29AE5D4B"/>
    <w:rsid w:val="29B75078"/>
    <w:rsid w:val="29D75F7F"/>
    <w:rsid w:val="29E22D43"/>
    <w:rsid w:val="29FB2613"/>
    <w:rsid w:val="2A13795C"/>
    <w:rsid w:val="2A1E2D2D"/>
    <w:rsid w:val="2A353998"/>
    <w:rsid w:val="2A9D41C3"/>
    <w:rsid w:val="2AA212FD"/>
    <w:rsid w:val="2AA607D0"/>
    <w:rsid w:val="2AF61758"/>
    <w:rsid w:val="2B095AA2"/>
    <w:rsid w:val="2B195E43"/>
    <w:rsid w:val="2B6C7A10"/>
    <w:rsid w:val="2B724B56"/>
    <w:rsid w:val="2B774624"/>
    <w:rsid w:val="2B81687D"/>
    <w:rsid w:val="2B8608E2"/>
    <w:rsid w:val="2B876854"/>
    <w:rsid w:val="2BA14AB8"/>
    <w:rsid w:val="2BD126E4"/>
    <w:rsid w:val="2BDD6474"/>
    <w:rsid w:val="2BEC6A86"/>
    <w:rsid w:val="2BEE242F"/>
    <w:rsid w:val="2BF52B8C"/>
    <w:rsid w:val="2C35005E"/>
    <w:rsid w:val="2C7A72BE"/>
    <w:rsid w:val="2C864D5D"/>
    <w:rsid w:val="2C9A7D75"/>
    <w:rsid w:val="2CC17412"/>
    <w:rsid w:val="2CD60BF4"/>
    <w:rsid w:val="2CD86C3B"/>
    <w:rsid w:val="2D183B14"/>
    <w:rsid w:val="2D283E6C"/>
    <w:rsid w:val="2D7C1E99"/>
    <w:rsid w:val="2D9350C5"/>
    <w:rsid w:val="2DA505AE"/>
    <w:rsid w:val="2DC45B3D"/>
    <w:rsid w:val="2DE735DA"/>
    <w:rsid w:val="2DF57CF0"/>
    <w:rsid w:val="2DF87595"/>
    <w:rsid w:val="2E426A62"/>
    <w:rsid w:val="2E4507CD"/>
    <w:rsid w:val="2E4B4177"/>
    <w:rsid w:val="2E4C78E1"/>
    <w:rsid w:val="2E587F47"/>
    <w:rsid w:val="2E65368C"/>
    <w:rsid w:val="2E70537D"/>
    <w:rsid w:val="2E7B23A5"/>
    <w:rsid w:val="2E8452CD"/>
    <w:rsid w:val="2E9976CE"/>
    <w:rsid w:val="2E9A74E5"/>
    <w:rsid w:val="2EA60904"/>
    <w:rsid w:val="2EE00DC3"/>
    <w:rsid w:val="2EF01DEE"/>
    <w:rsid w:val="2F1877C3"/>
    <w:rsid w:val="2F3B2F8F"/>
    <w:rsid w:val="2F401D3C"/>
    <w:rsid w:val="2F4800A8"/>
    <w:rsid w:val="2F5051AF"/>
    <w:rsid w:val="2F5B24E1"/>
    <w:rsid w:val="2F80100D"/>
    <w:rsid w:val="2F9C5CDB"/>
    <w:rsid w:val="2FA23C5C"/>
    <w:rsid w:val="2FA95C88"/>
    <w:rsid w:val="2FBC149F"/>
    <w:rsid w:val="2FD61B58"/>
    <w:rsid w:val="2FD86E9B"/>
    <w:rsid w:val="2FDE37A5"/>
    <w:rsid w:val="2FE14059"/>
    <w:rsid w:val="2FF80CC3"/>
    <w:rsid w:val="30221C48"/>
    <w:rsid w:val="3034687E"/>
    <w:rsid w:val="303B19BB"/>
    <w:rsid w:val="3041370F"/>
    <w:rsid w:val="30570A65"/>
    <w:rsid w:val="3060369A"/>
    <w:rsid w:val="30B87FED"/>
    <w:rsid w:val="30CF0057"/>
    <w:rsid w:val="30D0332C"/>
    <w:rsid w:val="30DA363F"/>
    <w:rsid w:val="30E5141E"/>
    <w:rsid w:val="30FE2A72"/>
    <w:rsid w:val="31002774"/>
    <w:rsid w:val="310148F0"/>
    <w:rsid w:val="312B50A3"/>
    <w:rsid w:val="313F18A3"/>
    <w:rsid w:val="31683980"/>
    <w:rsid w:val="31894FD2"/>
    <w:rsid w:val="318F27BC"/>
    <w:rsid w:val="31A55C86"/>
    <w:rsid w:val="31FF0F84"/>
    <w:rsid w:val="32057A20"/>
    <w:rsid w:val="3216448E"/>
    <w:rsid w:val="322A0A17"/>
    <w:rsid w:val="32453A27"/>
    <w:rsid w:val="32543208"/>
    <w:rsid w:val="3263064A"/>
    <w:rsid w:val="32A43132"/>
    <w:rsid w:val="32AC0C06"/>
    <w:rsid w:val="33272EB3"/>
    <w:rsid w:val="33344EF5"/>
    <w:rsid w:val="333472C1"/>
    <w:rsid w:val="334868C9"/>
    <w:rsid w:val="335135AD"/>
    <w:rsid w:val="335C05C6"/>
    <w:rsid w:val="338C209D"/>
    <w:rsid w:val="33C00B55"/>
    <w:rsid w:val="33E47F39"/>
    <w:rsid w:val="3438197C"/>
    <w:rsid w:val="3463556B"/>
    <w:rsid w:val="346F4329"/>
    <w:rsid w:val="349572C8"/>
    <w:rsid w:val="349A203C"/>
    <w:rsid w:val="34AB094C"/>
    <w:rsid w:val="34D20697"/>
    <w:rsid w:val="350607E9"/>
    <w:rsid w:val="35066A3B"/>
    <w:rsid w:val="353177BD"/>
    <w:rsid w:val="3537750C"/>
    <w:rsid w:val="3537798C"/>
    <w:rsid w:val="35464696"/>
    <w:rsid w:val="356C32E1"/>
    <w:rsid w:val="35725E7F"/>
    <w:rsid w:val="35737CAC"/>
    <w:rsid w:val="35784B06"/>
    <w:rsid w:val="358E67B3"/>
    <w:rsid w:val="359671E2"/>
    <w:rsid w:val="35C13FC9"/>
    <w:rsid w:val="35EF127D"/>
    <w:rsid w:val="36032A68"/>
    <w:rsid w:val="36107446"/>
    <w:rsid w:val="361376DE"/>
    <w:rsid w:val="36154A5C"/>
    <w:rsid w:val="364257B6"/>
    <w:rsid w:val="365810C1"/>
    <w:rsid w:val="36CC7811"/>
    <w:rsid w:val="36CD03FF"/>
    <w:rsid w:val="36D64360"/>
    <w:rsid w:val="36EB413B"/>
    <w:rsid w:val="36ED7342"/>
    <w:rsid w:val="36F01751"/>
    <w:rsid w:val="36FC068F"/>
    <w:rsid w:val="37205E40"/>
    <w:rsid w:val="37226CD7"/>
    <w:rsid w:val="37246F13"/>
    <w:rsid w:val="373D24BC"/>
    <w:rsid w:val="373D42AF"/>
    <w:rsid w:val="37517D16"/>
    <w:rsid w:val="37537F32"/>
    <w:rsid w:val="376D14AF"/>
    <w:rsid w:val="37EA5922"/>
    <w:rsid w:val="381D69EA"/>
    <w:rsid w:val="38251228"/>
    <w:rsid w:val="38276B93"/>
    <w:rsid w:val="382C2678"/>
    <w:rsid w:val="386F48F8"/>
    <w:rsid w:val="387A3C2D"/>
    <w:rsid w:val="388C36FB"/>
    <w:rsid w:val="38A8605B"/>
    <w:rsid w:val="38AC3431"/>
    <w:rsid w:val="38D66725"/>
    <w:rsid w:val="38E31989"/>
    <w:rsid w:val="38FC35F8"/>
    <w:rsid w:val="390A63CE"/>
    <w:rsid w:val="392F2E16"/>
    <w:rsid w:val="39522A4F"/>
    <w:rsid w:val="39B43358"/>
    <w:rsid w:val="39DE1D35"/>
    <w:rsid w:val="39E00529"/>
    <w:rsid w:val="3A0B64A7"/>
    <w:rsid w:val="3A2B2AA0"/>
    <w:rsid w:val="3A377697"/>
    <w:rsid w:val="3A3D0823"/>
    <w:rsid w:val="3A40479E"/>
    <w:rsid w:val="3A574DDA"/>
    <w:rsid w:val="3A7E2CEE"/>
    <w:rsid w:val="3AC32CD9"/>
    <w:rsid w:val="3AD3075A"/>
    <w:rsid w:val="3AF74C02"/>
    <w:rsid w:val="3B08125F"/>
    <w:rsid w:val="3B117D69"/>
    <w:rsid w:val="3B143534"/>
    <w:rsid w:val="3B1B48C3"/>
    <w:rsid w:val="3B535B37"/>
    <w:rsid w:val="3B6031D3"/>
    <w:rsid w:val="3B657F1A"/>
    <w:rsid w:val="3B6C15C2"/>
    <w:rsid w:val="3B890DC1"/>
    <w:rsid w:val="3BA65070"/>
    <w:rsid w:val="3C0059A5"/>
    <w:rsid w:val="3C134E78"/>
    <w:rsid w:val="3C2D1349"/>
    <w:rsid w:val="3C406CD7"/>
    <w:rsid w:val="3C4A1903"/>
    <w:rsid w:val="3C4D31A2"/>
    <w:rsid w:val="3C526A0A"/>
    <w:rsid w:val="3C5E0698"/>
    <w:rsid w:val="3C6436E5"/>
    <w:rsid w:val="3C683F6D"/>
    <w:rsid w:val="3C686A41"/>
    <w:rsid w:val="3C88242C"/>
    <w:rsid w:val="3C885F88"/>
    <w:rsid w:val="3C8B21EB"/>
    <w:rsid w:val="3C926E07"/>
    <w:rsid w:val="3CA24F0A"/>
    <w:rsid w:val="3CB4104C"/>
    <w:rsid w:val="3CBD0327"/>
    <w:rsid w:val="3CCB6EDB"/>
    <w:rsid w:val="3D07507C"/>
    <w:rsid w:val="3D1141CF"/>
    <w:rsid w:val="3D1E051B"/>
    <w:rsid w:val="3D566798"/>
    <w:rsid w:val="3D580050"/>
    <w:rsid w:val="3D7F5B5C"/>
    <w:rsid w:val="3D812C57"/>
    <w:rsid w:val="3D8E57A9"/>
    <w:rsid w:val="3D9B618F"/>
    <w:rsid w:val="3DA05553"/>
    <w:rsid w:val="3DCC6348"/>
    <w:rsid w:val="3DEC579F"/>
    <w:rsid w:val="3DF6345D"/>
    <w:rsid w:val="3E0D0E3B"/>
    <w:rsid w:val="3E1B68A6"/>
    <w:rsid w:val="3E233DBE"/>
    <w:rsid w:val="3E2B5515"/>
    <w:rsid w:val="3E3F4D6C"/>
    <w:rsid w:val="3E4D4F28"/>
    <w:rsid w:val="3E524A9F"/>
    <w:rsid w:val="3E817133"/>
    <w:rsid w:val="3E8E4943"/>
    <w:rsid w:val="3EBC63BD"/>
    <w:rsid w:val="3ECB7CDF"/>
    <w:rsid w:val="3ECC7453"/>
    <w:rsid w:val="3ED61746"/>
    <w:rsid w:val="3ED92EC4"/>
    <w:rsid w:val="3EE13701"/>
    <w:rsid w:val="3F1A4BB3"/>
    <w:rsid w:val="3F3874BF"/>
    <w:rsid w:val="3F3E3276"/>
    <w:rsid w:val="3F5A2E5F"/>
    <w:rsid w:val="3F713622"/>
    <w:rsid w:val="3FB362C2"/>
    <w:rsid w:val="3FB45515"/>
    <w:rsid w:val="3FB6105E"/>
    <w:rsid w:val="3FB90C6E"/>
    <w:rsid w:val="3FC731E3"/>
    <w:rsid w:val="3FEC0F24"/>
    <w:rsid w:val="3FEE07F8"/>
    <w:rsid w:val="400022D9"/>
    <w:rsid w:val="40153FD6"/>
    <w:rsid w:val="40192BA6"/>
    <w:rsid w:val="40D44BB8"/>
    <w:rsid w:val="40F63E08"/>
    <w:rsid w:val="40F8373D"/>
    <w:rsid w:val="41114D6F"/>
    <w:rsid w:val="416274F1"/>
    <w:rsid w:val="416B088F"/>
    <w:rsid w:val="41760AA5"/>
    <w:rsid w:val="41766EA9"/>
    <w:rsid w:val="41935450"/>
    <w:rsid w:val="41AD09C3"/>
    <w:rsid w:val="41B65373"/>
    <w:rsid w:val="41DE664A"/>
    <w:rsid w:val="41E6725D"/>
    <w:rsid w:val="41F77652"/>
    <w:rsid w:val="4217445F"/>
    <w:rsid w:val="423D5A66"/>
    <w:rsid w:val="42550A18"/>
    <w:rsid w:val="426E308D"/>
    <w:rsid w:val="429D496A"/>
    <w:rsid w:val="42A038DB"/>
    <w:rsid w:val="42C4395D"/>
    <w:rsid w:val="42F473A1"/>
    <w:rsid w:val="431A7B56"/>
    <w:rsid w:val="43362BE2"/>
    <w:rsid w:val="437217EA"/>
    <w:rsid w:val="4392187A"/>
    <w:rsid w:val="43AB7156"/>
    <w:rsid w:val="43DE0B83"/>
    <w:rsid w:val="441E62C0"/>
    <w:rsid w:val="442102EF"/>
    <w:rsid w:val="442D4712"/>
    <w:rsid w:val="4434212B"/>
    <w:rsid w:val="44916AD9"/>
    <w:rsid w:val="449D7506"/>
    <w:rsid w:val="44A71A4C"/>
    <w:rsid w:val="45062140"/>
    <w:rsid w:val="45325D14"/>
    <w:rsid w:val="45571063"/>
    <w:rsid w:val="456F23DB"/>
    <w:rsid w:val="45811C7C"/>
    <w:rsid w:val="45906116"/>
    <w:rsid w:val="45917908"/>
    <w:rsid w:val="45931B8C"/>
    <w:rsid w:val="459B015E"/>
    <w:rsid w:val="459B6D2C"/>
    <w:rsid w:val="45EF2552"/>
    <w:rsid w:val="460B6AC0"/>
    <w:rsid w:val="463B22BD"/>
    <w:rsid w:val="464C1EC6"/>
    <w:rsid w:val="466E61EE"/>
    <w:rsid w:val="46733CB9"/>
    <w:rsid w:val="467550A7"/>
    <w:rsid w:val="468B3EFB"/>
    <w:rsid w:val="468E6891"/>
    <w:rsid w:val="46C95B1B"/>
    <w:rsid w:val="46FA2EE3"/>
    <w:rsid w:val="470A6193"/>
    <w:rsid w:val="471548BC"/>
    <w:rsid w:val="47385210"/>
    <w:rsid w:val="47555600"/>
    <w:rsid w:val="475F1FDB"/>
    <w:rsid w:val="476D1D47"/>
    <w:rsid w:val="47A0743D"/>
    <w:rsid w:val="47A617A5"/>
    <w:rsid w:val="47C56F66"/>
    <w:rsid w:val="47D31E1A"/>
    <w:rsid w:val="47DC4F5C"/>
    <w:rsid w:val="4840005F"/>
    <w:rsid w:val="484F7DD9"/>
    <w:rsid w:val="48552BC8"/>
    <w:rsid w:val="48B40671"/>
    <w:rsid w:val="48BC6F7A"/>
    <w:rsid w:val="48F8074C"/>
    <w:rsid w:val="49042FF5"/>
    <w:rsid w:val="49076335"/>
    <w:rsid w:val="4922291D"/>
    <w:rsid w:val="492B4C09"/>
    <w:rsid w:val="492B6619"/>
    <w:rsid w:val="49604478"/>
    <w:rsid w:val="499B5738"/>
    <w:rsid w:val="499F244D"/>
    <w:rsid w:val="49B900C8"/>
    <w:rsid w:val="49CF169A"/>
    <w:rsid w:val="4A1953E5"/>
    <w:rsid w:val="4A1E617D"/>
    <w:rsid w:val="4A7E670F"/>
    <w:rsid w:val="4A970798"/>
    <w:rsid w:val="4A973F3F"/>
    <w:rsid w:val="4A9D48C2"/>
    <w:rsid w:val="4ABB577A"/>
    <w:rsid w:val="4ABC3301"/>
    <w:rsid w:val="4AC31D20"/>
    <w:rsid w:val="4AC83F74"/>
    <w:rsid w:val="4ACE1952"/>
    <w:rsid w:val="4AF96BC7"/>
    <w:rsid w:val="4B0C003F"/>
    <w:rsid w:val="4B136655"/>
    <w:rsid w:val="4B643D98"/>
    <w:rsid w:val="4B702A09"/>
    <w:rsid w:val="4B862A85"/>
    <w:rsid w:val="4B8F39AF"/>
    <w:rsid w:val="4BA53E30"/>
    <w:rsid w:val="4BB94F2D"/>
    <w:rsid w:val="4BD35949"/>
    <w:rsid w:val="4BDD0672"/>
    <w:rsid w:val="4BE33F9B"/>
    <w:rsid w:val="4BF36441"/>
    <w:rsid w:val="4C2832E3"/>
    <w:rsid w:val="4C4D68A6"/>
    <w:rsid w:val="4C7E1155"/>
    <w:rsid w:val="4C9F7D59"/>
    <w:rsid w:val="4CA010CC"/>
    <w:rsid w:val="4CB708CE"/>
    <w:rsid w:val="4CD7788D"/>
    <w:rsid w:val="4CDE5035"/>
    <w:rsid w:val="4CE54D31"/>
    <w:rsid w:val="4CEF36E2"/>
    <w:rsid w:val="4CEF4DC5"/>
    <w:rsid w:val="4D1D595E"/>
    <w:rsid w:val="4D2E492A"/>
    <w:rsid w:val="4DAD1323"/>
    <w:rsid w:val="4DB43081"/>
    <w:rsid w:val="4DBA440F"/>
    <w:rsid w:val="4DCC61A3"/>
    <w:rsid w:val="4DDA7116"/>
    <w:rsid w:val="4E257655"/>
    <w:rsid w:val="4E263853"/>
    <w:rsid w:val="4E2D4BE1"/>
    <w:rsid w:val="4E375A60"/>
    <w:rsid w:val="4E4A29CE"/>
    <w:rsid w:val="4E5A1BC6"/>
    <w:rsid w:val="4E612ADD"/>
    <w:rsid w:val="4E7B70F2"/>
    <w:rsid w:val="4EA54611"/>
    <w:rsid w:val="4ED01321"/>
    <w:rsid w:val="4EE01C53"/>
    <w:rsid w:val="4EF56E5A"/>
    <w:rsid w:val="4EFF09F2"/>
    <w:rsid w:val="4F017C92"/>
    <w:rsid w:val="4F372380"/>
    <w:rsid w:val="4F372FFB"/>
    <w:rsid w:val="4F50685F"/>
    <w:rsid w:val="4F552D33"/>
    <w:rsid w:val="4F604F02"/>
    <w:rsid w:val="4F6D6A9E"/>
    <w:rsid w:val="4FAA6456"/>
    <w:rsid w:val="4FAC106B"/>
    <w:rsid w:val="4FAD6032"/>
    <w:rsid w:val="4FDC1C12"/>
    <w:rsid w:val="4FDD1914"/>
    <w:rsid w:val="4FED287A"/>
    <w:rsid w:val="500C32C9"/>
    <w:rsid w:val="50137E07"/>
    <w:rsid w:val="501F792A"/>
    <w:rsid w:val="502320A0"/>
    <w:rsid w:val="5025116D"/>
    <w:rsid w:val="505C3744"/>
    <w:rsid w:val="505E5526"/>
    <w:rsid w:val="50CE76FD"/>
    <w:rsid w:val="50DE66D4"/>
    <w:rsid w:val="5119769F"/>
    <w:rsid w:val="511F7661"/>
    <w:rsid w:val="51262341"/>
    <w:rsid w:val="512978E2"/>
    <w:rsid w:val="513E4D75"/>
    <w:rsid w:val="517F61AE"/>
    <w:rsid w:val="519C2EC4"/>
    <w:rsid w:val="51B94AD4"/>
    <w:rsid w:val="51D07D5D"/>
    <w:rsid w:val="51DF6918"/>
    <w:rsid w:val="521B663F"/>
    <w:rsid w:val="52395ECD"/>
    <w:rsid w:val="52575E63"/>
    <w:rsid w:val="52650DED"/>
    <w:rsid w:val="52860CDE"/>
    <w:rsid w:val="52887E58"/>
    <w:rsid w:val="52BD6456"/>
    <w:rsid w:val="52C10D75"/>
    <w:rsid w:val="52E71BFE"/>
    <w:rsid w:val="533F163E"/>
    <w:rsid w:val="53586243"/>
    <w:rsid w:val="53626BF3"/>
    <w:rsid w:val="53C27FF8"/>
    <w:rsid w:val="53D76A77"/>
    <w:rsid w:val="544246B9"/>
    <w:rsid w:val="54794B5F"/>
    <w:rsid w:val="549E1A80"/>
    <w:rsid w:val="54A77640"/>
    <w:rsid w:val="54BA1986"/>
    <w:rsid w:val="54C658F4"/>
    <w:rsid w:val="54EB3100"/>
    <w:rsid w:val="5503044A"/>
    <w:rsid w:val="550C4BD7"/>
    <w:rsid w:val="55102A40"/>
    <w:rsid w:val="55275A0F"/>
    <w:rsid w:val="554B0C61"/>
    <w:rsid w:val="554C1D56"/>
    <w:rsid w:val="555109BF"/>
    <w:rsid w:val="555278AF"/>
    <w:rsid w:val="55572986"/>
    <w:rsid w:val="55757355"/>
    <w:rsid w:val="558E2819"/>
    <w:rsid w:val="55C37BD9"/>
    <w:rsid w:val="55CE6CAA"/>
    <w:rsid w:val="55D2686D"/>
    <w:rsid w:val="55E942E3"/>
    <w:rsid w:val="56233DAE"/>
    <w:rsid w:val="56496F49"/>
    <w:rsid w:val="564E6D54"/>
    <w:rsid w:val="56507986"/>
    <w:rsid w:val="565340FA"/>
    <w:rsid w:val="565A22EB"/>
    <w:rsid w:val="565C6063"/>
    <w:rsid w:val="566841AB"/>
    <w:rsid w:val="568C38D5"/>
    <w:rsid w:val="568D27BB"/>
    <w:rsid w:val="56AD5F59"/>
    <w:rsid w:val="56AE5057"/>
    <w:rsid w:val="56B04601"/>
    <w:rsid w:val="56B22127"/>
    <w:rsid w:val="56E764C8"/>
    <w:rsid w:val="570C524E"/>
    <w:rsid w:val="573E260D"/>
    <w:rsid w:val="575136EE"/>
    <w:rsid w:val="57645F73"/>
    <w:rsid w:val="576E2576"/>
    <w:rsid w:val="579049BE"/>
    <w:rsid w:val="579B0E0D"/>
    <w:rsid w:val="57A66625"/>
    <w:rsid w:val="57AB06F3"/>
    <w:rsid w:val="57B12A52"/>
    <w:rsid w:val="57BB4B36"/>
    <w:rsid w:val="57E01845"/>
    <w:rsid w:val="57EE5248"/>
    <w:rsid w:val="584658BF"/>
    <w:rsid w:val="58777AE3"/>
    <w:rsid w:val="588F4785"/>
    <w:rsid w:val="58C5233B"/>
    <w:rsid w:val="58C70DCE"/>
    <w:rsid w:val="59080725"/>
    <w:rsid w:val="59114324"/>
    <w:rsid w:val="5952374E"/>
    <w:rsid w:val="59777658"/>
    <w:rsid w:val="597C6A1D"/>
    <w:rsid w:val="598F0487"/>
    <w:rsid w:val="598F04FE"/>
    <w:rsid w:val="59A860E0"/>
    <w:rsid w:val="59B43CF0"/>
    <w:rsid w:val="59E30CB0"/>
    <w:rsid w:val="5A161AA5"/>
    <w:rsid w:val="5A1E62F5"/>
    <w:rsid w:val="5A2F2CC8"/>
    <w:rsid w:val="5A5534F6"/>
    <w:rsid w:val="5A6516AD"/>
    <w:rsid w:val="5A7F64E2"/>
    <w:rsid w:val="5A8D7AED"/>
    <w:rsid w:val="5A8E77E6"/>
    <w:rsid w:val="5A981634"/>
    <w:rsid w:val="5A9E0BA0"/>
    <w:rsid w:val="5AB67D0C"/>
    <w:rsid w:val="5ADB6D24"/>
    <w:rsid w:val="5AE05C9A"/>
    <w:rsid w:val="5AF947C9"/>
    <w:rsid w:val="5B060C94"/>
    <w:rsid w:val="5B1F1D55"/>
    <w:rsid w:val="5B20432C"/>
    <w:rsid w:val="5B317B51"/>
    <w:rsid w:val="5B4D68C3"/>
    <w:rsid w:val="5B5E10B5"/>
    <w:rsid w:val="5B6657AD"/>
    <w:rsid w:val="5BD06439"/>
    <w:rsid w:val="5C10702D"/>
    <w:rsid w:val="5C1212B5"/>
    <w:rsid w:val="5C152601"/>
    <w:rsid w:val="5C2238AB"/>
    <w:rsid w:val="5C563555"/>
    <w:rsid w:val="5C581F57"/>
    <w:rsid w:val="5C591F03"/>
    <w:rsid w:val="5C877BB2"/>
    <w:rsid w:val="5C8A1B2F"/>
    <w:rsid w:val="5C93207E"/>
    <w:rsid w:val="5C9F4EFC"/>
    <w:rsid w:val="5CBB785C"/>
    <w:rsid w:val="5CCB58BF"/>
    <w:rsid w:val="5D2C3FDA"/>
    <w:rsid w:val="5D3F048D"/>
    <w:rsid w:val="5D46181B"/>
    <w:rsid w:val="5D501790"/>
    <w:rsid w:val="5D693414"/>
    <w:rsid w:val="5D7142FE"/>
    <w:rsid w:val="5D79648E"/>
    <w:rsid w:val="5D7E58D3"/>
    <w:rsid w:val="5D95186C"/>
    <w:rsid w:val="5DB744C7"/>
    <w:rsid w:val="5DE1109B"/>
    <w:rsid w:val="5DED477A"/>
    <w:rsid w:val="5DF66D9E"/>
    <w:rsid w:val="5DFB43B4"/>
    <w:rsid w:val="5DFC351B"/>
    <w:rsid w:val="5E1426A9"/>
    <w:rsid w:val="5E251431"/>
    <w:rsid w:val="5E954808"/>
    <w:rsid w:val="5EA22C56"/>
    <w:rsid w:val="5EBA0DC9"/>
    <w:rsid w:val="5F3B73F3"/>
    <w:rsid w:val="5F447FDD"/>
    <w:rsid w:val="5F463F63"/>
    <w:rsid w:val="5F561B72"/>
    <w:rsid w:val="5F5924E9"/>
    <w:rsid w:val="5FCF5AF8"/>
    <w:rsid w:val="5FF44DA7"/>
    <w:rsid w:val="5FF732CD"/>
    <w:rsid w:val="5FF75D1E"/>
    <w:rsid w:val="600D6620"/>
    <w:rsid w:val="6037544B"/>
    <w:rsid w:val="603B318E"/>
    <w:rsid w:val="6052125F"/>
    <w:rsid w:val="606007BB"/>
    <w:rsid w:val="60771CEC"/>
    <w:rsid w:val="609E54CA"/>
    <w:rsid w:val="60AC7F66"/>
    <w:rsid w:val="60C50CA9"/>
    <w:rsid w:val="60C95281"/>
    <w:rsid w:val="60EE58F6"/>
    <w:rsid w:val="611F485D"/>
    <w:rsid w:val="6149254E"/>
    <w:rsid w:val="61730EFA"/>
    <w:rsid w:val="6180680C"/>
    <w:rsid w:val="6181445A"/>
    <w:rsid w:val="61AB60F1"/>
    <w:rsid w:val="61BF10D9"/>
    <w:rsid w:val="61ED09E7"/>
    <w:rsid w:val="61FC6D54"/>
    <w:rsid w:val="620470D5"/>
    <w:rsid w:val="623B56C7"/>
    <w:rsid w:val="62400F9F"/>
    <w:rsid w:val="625B6730"/>
    <w:rsid w:val="627209BD"/>
    <w:rsid w:val="628726BA"/>
    <w:rsid w:val="62AC22DC"/>
    <w:rsid w:val="62EF025F"/>
    <w:rsid w:val="632838CD"/>
    <w:rsid w:val="638A3663"/>
    <w:rsid w:val="638E37D8"/>
    <w:rsid w:val="63972D7A"/>
    <w:rsid w:val="63A22BFD"/>
    <w:rsid w:val="63BA6ABF"/>
    <w:rsid w:val="63CB6517"/>
    <w:rsid w:val="63D30291"/>
    <w:rsid w:val="63D61FE2"/>
    <w:rsid w:val="63E35DF8"/>
    <w:rsid w:val="63F33C04"/>
    <w:rsid w:val="64055F8C"/>
    <w:rsid w:val="645542BC"/>
    <w:rsid w:val="6472739A"/>
    <w:rsid w:val="64E45EF7"/>
    <w:rsid w:val="64F16511"/>
    <w:rsid w:val="64F56A29"/>
    <w:rsid w:val="64F91EF5"/>
    <w:rsid w:val="64FD3107"/>
    <w:rsid w:val="6507580D"/>
    <w:rsid w:val="6523128F"/>
    <w:rsid w:val="65353AE7"/>
    <w:rsid w:val="657607C4"/>
    <w:rsid w:val="65F659AF"/>
    <w:rsid w:val="660E46E0"/>
    <w:rsid w:val="665C0356"/>
    <w:rsid w:val="66640969"/>
    <w:rsid w:val="6691014E"/>
    <w:rsid w:val="66BA15B6"/>
    <w:rsid w:val="66C64D00"/>
    <w:rsid w:val="66C87CCE"/>
    <w:rsid w:val="66C969E6"/>
    <w:rsid w:val="670B22B2"/>
    <w:rsid w:val="670C5884"/>
    <w:rsid w:val="6731217B"/>
    <w:rsid w:val="67424E02"/>
    <w:rsid w:val="674F5576"/>
    <w:rsid w:val="675D3EA4"/>
    <w:rsid w:val="677060D3"/>
    <w:rsid w:val="677243C5"/>
    <w:rsid w:val="677435B2"/>
    <w:rsid w:val="67902011"/>
    <w:rsid w:val="67C21F06"/>
    <w:rsid w:val="67EF75F1"/>
    <w:rsid w:val="680372D4"/>
    <w:rsid w:val="68352BB8"/>
    <w:rsid w:val="68412CE1"/>
    <w:rsid w:val="684F4F11"/>
    <w:rsid w:val="6859473E"/>
    <w:rsid w:val="68644A48"/>
    <w:rsid w:val="68AA5354"/>
    <w:rsid w:val="68BE60F6"/>
    <w:rsid w:val="68CF4DBB"/>
    <w:rsid w:val="68D128E1"/>
    <w:rsid w:val="68DD74D8"/>
    <w:rsid w:val="68E151AE"/>
    <w:rsid w:val="69034A64"/>
    <w:rsid w:val="69124F16"/>
    <w:rsid w:val="692C3C07"/>
    <w:rsid w:val="69540E1C"/>
    <w:rsid w:val="6973675D"/>
    <w:rsid w:val="69BA15C7"/>
    <w:rsid w:val="69CD5C14"/>
    <w:rsid w:val="69CF0D33"/>
    <w:rsid w:val="69CF2482"/>
    <w:rsid w:val="69D72179"/>
    <w:rsid w:val="69FF347E"/>
    <w:rsid w:val="6A077EF9"/>
    <w:rsid w:val="6A2B7301"/>
    <w:rsid w:val="6A4378D2"/>
    <w:rsid w:val="6A503CD9"/>
    <w:rsid w:val="6AB57FE0"/>
    <w:rsid w:val="6ADB40DC"/>
    <w:rsid w:val="6B9946B3"/>
    <w:rsid w:val="6BAC13E3"/>
    <w:rsid w:val="6BDD0871"/>
    <w:rsid w:val="6BF402A7"/>
    <w:rsid w:val="6C1E27F0"/>
    <w:rsid w:val="6C276F3A"/>
    <w:rsid w:val="6C5C5C0D"/>
    <w:rsid w:val="6C7007C7"/>
    <w:rsid w:val="6C763D3D"/>
    <w:rsid w:val="6C7C7008"/>
    <w:rsid w:val="6C8549F4"/>
    <w:rsid w:val="6C8B2DA7"/>
    <w:rsid w:val="6C8E32FA"/>
    <w:rsid w:val="6CEA5182"/>
    <w:rsid w:val="6CED5B4D"/>
    <w:rsid w:val="6D0B5802"/>
    <w:rsid w:val="6D7361B0"/>
    <w:rsid w:val="6D7636BA"/>
    <w:rsid w:val="6D7952F5"/>
    <w:rsid w:val="6D945A51"/>
    <w:rsid w:val="6DA32372"/>
    <w:rsid w:val="6DBC51E2"/>
    <w:rsid w:val="6DD96DB6"/>
    <w:rsid w:val="6DE76850"/>
    <w:rsid w:val="6E296D1B"/>
    <w:rsid w:val="6E66310E"/>
    <w:rsid w:val="6E932DE0"/>
    <w:rsid w:val="6EA7112B"/>
    <w:rsid w:val="6ECE2FB7"/>
    <w:rsid w:val="6EE47802"/>
    <w:rsid w:val="6EE97C7B"/>
    <w:rsid w:val="6EF91340"/>
    <w:rsid w:val="6EFB3C2C"/>
    <w:rsid w:val="6EFC020C"/>
    <w:rsid w:val="6EFD3419"/>
    <w:rsid w:val="6F1B6617"/>
    <w:rsid w:val="6F234695"/>
    <w:rsid w:val="6F4F27B2"/>
    <w:rsid w:val="6F5E1A6F"/>
    <w:rsid w:val="6F80296B"/>
    <w:rsid w:val="6FB20BD4"/>
    <w:rsid w:val="6FB27657"/>
    <w:rsid w:val="6FBA59BE"/>
    <w:rsid w:val="6FE949B4"/>
    <w:rsid w:val="70296B3E"/>
    <w:rsid w:val="7049646A"/>
    <w:rsid w:val="7057153F"/>
    <w:rsid w:val="70611204"/>
    <w:rsid w:val="709A6332"/>
    <w:rsid w:val="70BC724E"/>
    <w:rsid w:val="710C6DC7"/>
    <w:rsid w:val="7119271A"/>
    <w:rsid w:val="71621977"/>
    <w:rsid w:val="7165620F"/>
    <w:rsid w:val="717039F8"/>
    <w:rsid w:val="718F6E95"/>
    <w:rsid w:val="7197202C"/>
    <w:rsid w:val="71EC42E8"/>
    <w:rsid w:val="71FD3831"/>
    <w:rsid w:val="721B697B"/>
    <w:rsid w:val="721C028A"/>
    <w:rsid w:val="72233A82"/>
    <w:rsid w:val="72565C05"/>
    <w:rsid w:val="72605B9A"/>
    <w:rsid w:val="727367B7"/>
    <w:rsid w:val="72971B60"/>
    <w:rsid w:val="72C264DB"/>
    <w:rsid w:val="72C54B39"/>
    <w:rsid w:val="72C6616E"/>
    <w:rsid w:val="72D07765"/>
    <w:rsid w:val="72EB459F"/>
    <w:rsid w:val="72F35B4A"/>
    <w:rsid w:val="72FA0C86"/>
    <w:rsid w:val="73027B3B"/>
    <w:rsid w:val="730648A1"/>
    <w:rsid w:val="734B6169"/>
    <w:rsid w:val="735E7467"/>
    <w:rsid w:val="73707765"/>
    <w:rsid w:val="737E5413"/>
    <w:rsid w:val="73942F67"/>
    <w:rsid w:val="73C951CB"/>
    <w:rsid w:val="74281823"/>
    <w:rsid w:val="74327C85"/>
    <w:rsid w:val="744C0855"/>
    <w:rsid w:val="74673DB7"/>
    <w:rsid w:val="747A3D00"/>
    <w:rsid w:val="747B1BB4"/>
    <w:rsid w:val="74A0585D"/>
    <w:rsid w:val="74BA1345"/>
    <w:rsid w:val="74D13AD5"/>
    <w:rsid w:val="74E50DAE"/>
    <w:rsid w:val="74FA2C30"/>
    <w:rsid w:val="7521699E"/>
    <w:rsid w:val="752C4326"/>
    <w:rsid w:val="752D668A"/>
    <w:rsid w:val="754D5C4B"/>
    <w:rsid w:val="755723C0"/>
    <w:rsid w:val="75D27C98"/>
    <w:rsid w:val="75E82186"/>
    <w:rsid w:val="75FD6934"/>
    <w:rsid w:val="761024BB"/>
    <w:rsid w:val="76183420"/>
    <w:rsid w:val="7630676D"/>
    <w:rsid w:val="764F0490"/>
    <w:rsid w:val="766F3739"/>
    <w:rsid w:val="76BA0E58"/>
    <w:rsid w:val="76C240A7"/>
    <w:rsid w:val="76CE33B8"/>
    <w:rsid w:val="76D637B8"/>
    <w:rsid w:val="76DA416A"/>
    <w:rsid w:val="76F229C2"/>
    <w:rsid w:val="770E33B0"/>
    <w:rsid w:val="771D13E7"/>
    <w:rsid w:val="77336515"/>
    <w:rsid w:val="775246B7"/>
    <w:rsid w:val="776D5ECB"/>
    <w:rsid w:val="77705C44"/>
    <w:rsid w:val="7772528F"/>
    <w:rsid w:val="77BA09E4"/>
    <w:rsid w:val="77DC4DFE"/>
    <w:rsid w:val="780A719E"/>
    <w:rsid w:val="781E69D1"/>
    <w:rsid w:val="78395DAD"/>
    <w:rsid w:val="78914753"/>
    <w:rsid w:val="78957D19"/>
    <w:rsid w:val="78B90C9C"/>
    <w:rsid w:val="78B95140"/>
    <w:rsid w:val="78BD30E4"/>
    <w:rsid w:val="78E81581"/>
    <w:rsid w:val="78EB486F"/>
    <w:rsid w:val="7901747F"/>
    <w:rsid w:val="7908420F"/>
    <w:rsid w:val="798E4CA2"/>
    <w:rsid w:val="79AD7444"/>
    <w:rsid w:val="79C36276"/>
    <w:rsid w:val="79E32474"/>
    <w:rsid w:val="7A0B6B44"/>
    <w:rsid w:val="7A263B6B"/>
    <w:rsid w:val="7A2B5BC9"/>
    <w:rsid w:val="7A3C7DD6"/>
    <w:rsid w:val="7A454EDD"/>
    <w:rsid w:val="7A650681"/>
    <w:rsid w:val="7A7A34B3"/>
    <w:rsid w:val="7AA1584C"/>
    <w:rsid w:val="7AD87333"/>
    <w:rsid w:val="7AEF309B"/>
    <w:rsid w:val="7AF46346"/>
    <w:rsid w:val="7AF53DCD"/>
    <w:rsid w:val="7B0F5EBF"/>
    <w:rsid w:val="7B130FB9"/>
    <w:rsid w:val="7B324450"/>
    <w:rsid w:val="7B4F1915"/>
    <w:rsid w:val="7B5A4FB8"/>
    <w:rsid w:val="7B5B0730"/>
    <w:rsid w:val="7B656EB9"/>
    <w:rsid w:val="7B705F89"/>
    <w:rsid w:val="7BD32BE2"/>
    <w:rsid w:val="7BD71E38"/>
    <w:rsid w:val="7BDF6C6B"/>
    <w:rsid w:val="7BE84708"/>
    <w:rsid w:val="7BEE62DE"/>
    <w:rsid w:val="7BF64EDE"/>
    <w:rsid w:val="7C09018C"/>
    <w:rsid w:val="7C400C1E"/>
    <w:rsid w:val="7C4128C5"/>
    <w:rsid w:val="7C75137E"/>
    <w:rsid w:val="7CBE0F77"/>
    <w:rsid w:val="7D0C419B"/>
    <w:rsid w:val="7D181A6A"/>
    <w:rsid w:val="7D3D633F"/>
    <w:rsid w:val="7D513B99"/>
    <w:rsid w:val="7D537911"/>
    <w:rsid w:val="7D80675E"/>
    <w:rsid w:val="7D8F476B"/>
    <w:rsid w:val="7D951CD7"/>
    <w:rsid w:val="7DA03048"/>
    <w:rsid w:val="7DA37C8F"/>
    <w:rsid w:val="7DD11708"/>
    <w:rsid w:val="7DEE4A4F"/>
    <w:rsid w:val="7E036801"/>
    <w:rsid w:val="7E171E3C"/>
    <w:rsid w:val="7E2412AD"/>
    <w:rsid w:val="7E402F77"/>
    <w:rsid w:val="7EAE6230"/>
    <w:rsid w:val="7EBD579E"/>
    <w:rsid w:val="7EC167BD"/>
    <w:rsid w:val="7ECA3C03"/>
    <w:rsid w:val="7ED14F91"/>
    <w:rsid w:val="7EFE4FFA"/>
    <w:rsid w:val="7F0E3631"/>
    <w:rsid w:val="7F272D9E"/>
    <w:rsid w:val="7F823E73"/>
    <w:rsid w:val="7F961332"/>
    <w:rsid w:val="7FA206DC"/>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9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8"/>
    <w:autoRedefine/>
    <w:qFormat/>
    <w:uiPriority w:val="9"/>
    <w:pPr>
      <w:keepNext/>
      <w:keepLines/>
      <w:spacing w:before="340" w:after="330" w:line="578" w:lineRule="auto"/>
      <w:jc w:val="center"/>
      <w:outlineLvl w:val="0"/>
    </w:pPr>
    <w:rPr>
      <w:b/>
      <w:bCs/>
      <w:kern w:val="44"/>
      <w:sz w:val="36"/>
      <w:szCs w:val="44"/>
    </w:rPr>
  </w:style>
  <w:style w:type="paragraph" w:styleId="6">
    <w:name w:val="heading 2"/>
    <w:basedOn w:val="1"/>
    <w:next w:val="1"/>
    <w:link w:val="39"/>
    <w:autoRedefine/>
    <w:qFormat/>
    <w:uiPriority w:val="9"/>
    <w:pPr>
      <w:keepNext/>
      <w:keepLines/>
      <w:spacing w:before="260" w:after="260" w:line="416" w:lineRule="auto"/>
      <w:outlineLvl w:val="1"/>
    </w:pPr>
    <w:rPr>
      <w:rFonts w:ascii="Cambria" w:hAnsi="Cambria"/>
      <w:b/>
      <w:bCs/>
      <w:sz w:val="32"/>
      <w:szCs w:val="32"/>
    </w:rPr>
  </w:style>
  <w:style w:type="paragraph" w:styleId="7">
    <w:name w:val="heading 4"/>
    <w:basedOn w:val="1"/>
    <w:next w:val="1"/>
    <w:autoRedefine/>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9"/>
    <w:link w:val="40"/>
    <w:autoRedefine/>
    <w:qFormat/>
    <w:uiPriority w:val="9"/>
    <w:pPr>
      <w:keepNext/>
      <w:keepLines/>
      <w:spacing w:before="280" w:after="290" w:line="376" w:lineRule="auto"/>
      <w:outlineLvl w:val="4"/>
    </w:pPr>
    <w:rPr>
      <w:b/>
      <w:bCs/>
      <w:sz w:val="28"/>
      <w:szCs w:val="28"/>
    </w:rPr>
  </w:style>
  <w:style w:type="paragraph" w:styleId="10">
    <w:name w:val="heading 7"/>
    <w:basedOn w:val="1"/>
    <w:next w:val="1"/>
    <w:link w:val="41"/>
    <w:autoRedefine/>
    <w:qFormat/>
    <w:uiPriority w:val="0"/>
    <w:pPr>
      <w:keepNext/>
      <w:keepLines/>
      <w:spacing w:before="240" w:after="64" w:line="320" w:lineRule="auto"/>
      <w:outlineLvl w:val="6"/>
    </w:pPr>
    <w:rPr>
      <w:b/>
      <w:bCs/>
      <w:sz w:val="24"/>
    </w:rPr>
  </w:style>
  <w:style w:type="paragraph" w:styleId="11">
    <w:name w:val="heading 8"/>
    <w:basedOn w:val="1"/>
    <w:next w:val="1"/>
    <w:link w:val="42"/>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unhideWhenUsed/>
    <w:qFormat/>
    <w:uiPriority w:val="99"/>
    <w:pPr>
      <w:ind w:firstLine="420" w:firstLineChars="100"/>
    </w:pPr>
  </w:style>
  <w:style w:type="paragraph" w:styleId="3">
    <w:name w:val="Body Text"/>
    <w:basedOn w:val="1"/>
    <w:next w:val="2"/>
    <w:link w:val="45"/>
    <w:autoRedefine/>
    <w:unhideWhenUsed/>
    <w:qFormat/>
    <w:uiPriority w:val="0"/>
    <w:pPr>
      <w:spacing w:after="120"/>
    </w:pPr>
  </w:style>
  <w:style w:type="paragraph" w:styleId="4">
    <w:name w:val="toc 6"/>
    <w:basedOn w:val="1"/>
    <w:next w:val="1"/>
    <w:autoRedefine/>
    <w:semiHidden/>
    <w:qFormat/>
    <w:uiPriority w:val="99"/>
    <w:pPr>
      <w:ind w:left="2100" w:leftChars="1000"/>
    </w:pPr>
  </w:style>
  <w:style w:type="paragraph" w:styleId="9">
    <w:name w:val="Normal Indent"/>
    <w:basedOn w:val="1"/>
    <w:autoRedefine/>
    <w:qFormat/>
    <w:uiPriority w:val="0"/>
    <w:pPr>
      <w:ind w:firstLine="420"/>
    </w:pPr>
    <w:rPr>
      <w:szCs w:val="20"/>
    </w:rPr>
  </w:style>
  <w:style w:type="paragraph" w:styleId="12">
    <w:name w:val="index 8"/>
    <w:basedOn w:val="1"/>
    <w:next w:val="1"/>
    <w:autoRedefine/>
    <w:qFormat/>
    <w:uiPriority w:val="0"/>
    <w:pPr>
      <w:ind w:left="2940"/>
    </w:p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annotation text"/>
    <w:basedOn w:val="1"/>
    <w:link w:val="43"/>
    <w:autoRedefine/>
    <w:qFormat/>
    <w:uiPriority w:val="0"/>
    <w:pPr>
      <w:jc w:val="left"/>
    </w:pPr>
  </w:style>
  <w:style w:type="paragraph" w:styleId="15">
    <w:name w:val="Body Text 3"/>
    <w:basedOn w:val="1"/>
    <w:link w:val="44"/>
    <w:autoRedefine/>
    <w:unhideWhenUsed/>
    <w:qFormat/>
    <w:uiPriority w:val="99"/>
    <w:pPr>
      <w:spacing w:after="120"/>
    </w:pPr>
    <w:rPr>
      <w:sz w:val="16"/>
      <w:szCs w:val="16"/>
    </w:rPr>
  </w:style>
  <w:style w:type="paragraph" w:styleId="16">
    <w:name w:val="Body Text Indent"/>
    <w:basedOn w:val="1"/>
    <w:link w:val="46"/>
    <w:autoRedefine/>
    <w:qFormat/>
    <w:uiPriority w:val="0"/>
    <w:pPr>
      <w:ind w:firstLine="830" w:firstLineChars="352"/>
    </w:pPr>
    <w:rPr>
      <w:rFonts w:ascii="仿宋_GB2312" w:eastAsia="仿宋_GB2312"/>
      <w:kern w:val="0"/>
      <w:sz w:val="32"/>
      <w:szCs w:val="20"/>
    </w:rPr>
  </w:style>
  <w:style w:type="paragraph" w:styleId="17">
    <w:name w:val="List 2"/>
    <w:basedOn w:val="1"/>
    <w:autoRedefine/>
    <w:unhideWhenUsed/>
    <w:qFormat/>
    <w:uiPriority w:val="99"/>
    <w:pPr>
      <w:ind w:left="100" w:leftChars="200" w:hanging="200" w:hangingChars="200"/>
      <w:contextualSpacing/>
    </w:pPr>
  </w:style>
  <w:style w:type="paragraph" w:styleId="18">
    <w:name w:val="Plain Text"/>
    <w:basedOn w:val="1"/>
    <w:next w:val="7"/>
    <w:link w:val="47"/>
    <w:autoRedefine/>
    <w:qFormat/>
    <w:uiPriority w:val="0"/>
    <w:rPr>
      <w:rFonts w:ascii="宋体" w:hAnsi="Courier New"/>
      <w:kern w:val="0"/>
      <w:sz w:val="20"/>
      <w:szCs w:val="21"/>
    </w:rPr>
  </w:style>
  <w:style w:type="paragraph" w:styleId="19">
    <w:name w:val="Date"/>
    <w:basedOn w:val="1"/>
    <w:next w:val="1"/>
    <w:link w:val="48"/>
    <w:autoRedefine/>
    <w:unhideWhenUsed/>
    <w:qFormat/>
    <w:uiPriority w:val="99"/>
    <w:pPr>
      <w:ind w:left="100" w:leftChars="2500"/>
    </w:pPr>
  </w:style>
  <w:style w:type="paragraph" w:styleId="20">
    <w:name w:val="Balloon Text"/>
    <w:basedOn w:val="1"/>
    <w:autoRedefine/>
    <w:semiHidden/>
    <w:qFormat/>
    <w:uiPriority w:val="0"/>
    <w:rPr>
      <w:sz w:val="18"/>
      <w:szCs w:val="18"/>
    </w:rPr>
  </w:style>
  <w:style w:type="paragraph" w:styleId="21">
    <w:name w:val="footer"/>
    <w:basedOn w:val="1"/>
    <w:next w:val="1"/>
    <w:link w:val="49"/>
    <w:autoRedefine/>
    <w:unhideWhenUsed/>
    <w:qFormat/>
    <w:uiPriority w:val="99"/>
    <w:pPr>
      <w:tabs>
        <w:tab w:val="center" w:pos="4153"/>
        <w:tab w:val="right" w:pos="8306"/>
      </w:tabs>
      <w:snapToGrid w:val="0"/>
      <w:jc w:val="left"/>
    </w:pPr>
    <w:rPr>
      <w:kern w:val="0"/>
      <w:sz w:val="18"/>
      <w:szCs w:val="18"/>
    </w:rPr>
  </w:style>
  <w:style w:type="paragraph" w:styleId="22">
    <w:name w:val="header"/>
    <w:basedOn w:val="1"/>
    <w:link w:val="5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unhideWhenUsed/>
    <w:qFormat/>
    <w:uiPriority w:val="39"/>
  </w:style>
  <w:style w:type="paragraph" w:styleId="24">
    <w:name w:val="toc 2"/>
    <w:basedOn w:val="1"/>
    <w:next w:val="1"/>
    <w:autoRedefine/>
    <w:unhideWhenUsed/>
    <w:qFormat/>
    <w:uiPriority w:val="39"/>
    <w:pPr>
      <w:tabs>
        <w:tab w:val="right" w:leader="dot" w:pos="8296"/>
      </w:tabs>
      <w:ind w:left="420" w:leftChars="200"/>
    </w:pPr>
  </w:style>
  <w:style w:type="paragraph" w:styleId="25">
    <w:name w:val="Body Text 2"/>
    <w:basedOn w:val="1"/>
    <w:next w:val="3"/>
    <w:autoRedefine/>
    <w:qFormat/>
    <w:uiPriority w:val="0"/>
    <w:pPr>
      <w:spacing w:line="480" w:lineRule="auto"/>
    </w:pPr>
    <w:rPr>
      <w:kern w:val="0"/>
      <w:sz w:val="20"/>
    </w:rPr>
  </w:style>
  <w:style w:type="paragraph" w:styleId="26">
    <w:name w:val="Normal (Web)"/>
    <w:basedOn w:val="1"/>
    <w:autoRedefine/>
    <w:unhideWhenUsed/>
    <w:qFormat/>
    <w:uiPriority w:val="99"/>
    <w:rPr>
      <w:rFonts w:ascii="Calibri" w:hAnsi="Calibri"/>
      <w:kern w:val="0"/>
      <w:sz w:val="24"/>
    </w:rPr>
  </w:style>
  <w:style w:type="paragraph" w:styleId="27">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28">
    <w:name w:val="annotation subject"/>
    <w:basedOn w:val="14"/>
    <w:next w:val="14"/>
    <w:link w:val="51"/>
    <w:autoRedefine/>
    <w:qFormat/>
    <w:uiPriority w:val="99"/>
    <w:rPr>
      <w:b/>
      <w:bCs/>
    </w:rPr>
  </w:style>
  <w:style w:type="paragraph" w:styleId="29">
    <w:name w:val="Body Text First Indent 2"/>
    <w:basedOn w:val="16"/>
    <w:next w:val="3"/>
    <w:autoRedefine/>
    <w:qFormat/>
    <w:uiPriority w:val="0"/>
    <w:pPr>
      <w:spacing w:line="360" w:lineRule="auto"/>
      <w:ind w:firstLine="0"/>
    </w:pPr>
    <w:rPr>
      <w:sz w:val="24"/>
    </w:rPr>
  </w:style>
  <w:style w:type="table" w:styleId="31">
    <w:name w:val="Table Grid"/>
    <w:basedOn w:val="3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autoRedefine/>
    <w:unhideWhenUsed/>
    <w:qFormat/>
    <w:uiPriority w:val="99"/>
    <w:rPr>
      <w:vertAlign w:val="superscript"/>
    </w:rPr>
  </w:style>
  <w:style w:type="character" w:styleId="34">
    <w:name w:val="Hyperlink"/>
    <w:autoRedefine/>
    <w:unhideWhenUsed/>
    <w:qFormat/>
    <w:uiPriority w:val="99"/>
    <w:rPr>
      <w:color w:val="0000FF"/>
      <w:u w:val="single"/>
    </w:rPr>
  </w:style>
  <w:style w:type="character" w:styleId="35">
    <w:name w:val="annotation reference"/>
    <w:autoRedefine/>
    <w:qFormat/>
    <w:uiPriority w:val="0"/>
    <w:rPr>
      <w:sz w:val="21"/>
      <w:szCs w:val="21"/>
    </w:rPr>
  </w:style>
  <w:style w:type="paragraph" w:customStyle="1" w:styleId="36">
    <w:name w:val="目录 81"/>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37">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38">
    <w:name w:val="标题 1 Char"/>
    <w:link w:val="5"/>
    <w:autoRedefine/>
    <w:qFormat/>
    <w:uiPriority w:val="9"/>
    <w:rPr>
      <w:rFonts w:ascii="Times New Roman" w:hAnsi="Times New Roman" w:eastAsia="宋体"/>
      <w:b/>
      <w:bCs/>
      <w:kern w:val="44"/>
      <w:sz w:val="36"/>
      <w:szCs w:val="44"/>
    </w:rPr>
  </w:style>
  <w:style w:type="character" w:customStyle="1" w:styleId="39">
    <w:name w:val="标题 2 Char1"/>
    <w:link w:val="6"/>
    <w:autoRedefine/>
    <w:qFormat/>
    <w:uiPriority w:val="9"/>
    <w:rPr>
      <w:rFonts w:ascii="Cambria" w:hAnsi="Cambria" w:eastAsia="宋体" w:cs="Times New Roman"/>
      <w:b/>
      <w:bCs/>
      <w:kern w:val="2"/>
      <w:sz w:val="32"/>
      <w:szCs w:val="32"/>
    </w:rPr>
  </w:style>
  <w:style w:type="character" w:customStyle="1" w:styleId="40">
    <w:name w:val="标题 5 Char"/>
    <w:link w:val="8"/>
    <w:autoRedefine/>
    <w:semiHidden/>
    <w:qFormat/>
    <w:uiPriority w:val="9"/>
    <w:rPr>
      <w:rFonts w:ascii="Times New Roman" w:hAnsi="Times New Roman"/>
      <w:b/>
      <w:bCs/>
      <w:kern w:val="2"/>
      <w:sz w:val="28"/>
      <w:szCs w:val="28"/>
    </w:rPr>
  </w:style>
  <w:style w:type="character" w:customStyle="1" w:styleId="41">
    <w:name w:val="标题 7 Char"/>
    <w:link w:val="10"/>
    <w:autoRedefine/>
    <w:qFormat/>
    <w:uiPriority w:val="0"/>
    <w:rPr>
      <w:b/>
      <w:bCs/>
      <w:kern w:val="2"/>
      <w:sz w:val="24"/>
      <w:szCs w:val="24"/>
    </w:rPr>
  </w:style>
  <w:style w:type="character" w:customStyle="1" w:styleId="42">
    <w:name w:val="标题 8 Char1"/>
    <w:link w:val="11"/>
    <w:autoRedefine/>
    <w:semiHidden/>
    <w:qFormat/>
    <w:uiPriority w:val="9"/>
    <w:rPr>
      <w:rFonts w:ascii="等线 Light" w:hAnsi="等线 Light" w:eastAsia="等线 Light" w:cs="Times New Roman"/>
      <w:kern w:val="2"/>
      <w:sz w:val="24"/>
      <w:szCs w:val="24"/>
    </w:rPr>
  </w:style>
  <w:style w:type="character" w:customStyle="1" w:styleId="43">
    <w:name w:val="批注文字 Char1"/>
    <w:link w:val="14"/>
    <w:autoRedefine/>
    <w:qFormat/>
    <w:uiPriority w:val="0"/>
    <w:rPr>
      <w:rFonts w:ascii="Times New Roman" w:hAnsi="Times New Roman"/>
      <w:kern w:val="2"/>
      <w:sz w:val="21"/>
      <w:szCs w:val="24"/>
    </w:rPr>
  </w:style>
  <w:style w:type="character" w:customStyle="1" w:styleId="44">
    <w:name w:val="正文文本 3 Char"/>
    <w:link w:val="15"/>
    <w:autoRedefine/>
    <w:semiHidden/>
    <w:qFormat/>
    <w:uiPriority w:val="99"/>
    <w:rPr>
      <w:kern w:val="2"/>
      <w:sz w:val="16"/>
      <w:szCs w:val="16"/>
    </w:rPr>
  </w:style>
  <w:style w:type="character" w:customStyle="1" w:styleId="45">
    <w:name w:val="正文文本 Char1"/>
    <w:link w:val="3"/>
    <w:autoRedefine/>
    <w:qFormat/>
    <w:uiPriority w:val="0"/>
    <w:rPr>
      <w:rFonts w:ascii="Times New Roman" w:hAnsi="Times New Roman"/>
      <w:kern w:val="2"/>
      <w:sz w:val="21"/>
      <w:szCs w:val="24"/>
    </w:rPr>
  </w:style>
  <w:style w:type="character" w:customStyle="1" w:styleId="46">
    <w:name w:val="正文文本缩进 Char"/>
    <w:link w:val="16"/>
    <w:autoRedefine/>
    <w:qFormat/>
    <w:uiPriority w:val="0"/>
    <w:rPr>
      <w:rFonts w:ascii="仿宋_GB2312" w:hAnsi="Times New Roman" w:eastAsia="仿宋_GB2312" w:cs="Times New Roman"/>
      <w:sz w:val="32"/>
      <w:szCs w:val="20"/>
    </w:rPr>
  </w:style>
  <w:style w:type="character" w:customStyle="1" w:styleId="47">
    <w:name w:val="纯文本 Char1"/>
    <w:link w:val="18"/>
    <w:autoRedefine/>
    <w:qFormat/>
    <w:uiPriority w:val="0"/>
    <w:rPr>
      <w:rFonts w:ascii="宋体" w:hAnsi="Courier New" w:eastAsia="宋体" w:cs="Courier New"/>
      <w:szCs w:val="21"/>
    </w:rPr>
  </w:style>
  <w:style w:type="character" w:customStyle="1" w:styleId="48">
    <w:name w:val="日期 Char"/>
    <w:link w:val="19"/>
    <w:autoRedefine/>
    <w:semiHidden/>
    <w:qFormat/>
    <w:uiPriority w:val="99"/>
    <w:rPr>
      <w:rFonts w:ascii="Times New Roman" w:hAnsi="Times New Roman"/>
      <w:kern w:val="2"/>
      <w:sz w:val="21"/>
      <w:szCs w:val="24"/>
    </w:rPr>
  </w:style>
  <w:style w:type="character" w:customStyle="1" w:styleId="49">
    <w:name w:val="页脚 Char"/>
    <w:link w:val="21"/>
    <w:autoRedefine/>
    <w:qFormat/>
    <w:uiPriority w:val="99"/>
    <w:rPr>
      <w:sz w:val="18"/>
      <w:szCs w:val="18"/>
    </w:rPr>
  </w:style>
  <w:style w:type="character" w:customStyle="1" w:styleId="50">
    <w:name w:val="页眉 Char"/>
    <w:link w:val="22"/>
    <w:autoRedefine/>
    <w:qFormat/>
    <w:uiPriority w:val="99"/>
    <w:rPr>
      <w:sz w:val="18"/>
      <w:szCs w:val="18"/>
    </w:rPr>
  </w:style>
  <w:style w:type="character" w:customStyle="1" w:styleId="51">
    <w:name w:val="批注主题 Char"/>
    <w:link w:val="28"/>
    <w:autoRedefine/>
    <w:qFormat/>
    <w:uiPriority w:val="99"/>
    <w:rPr>
      <w:rFonts w:ascii="Times New Roman" w:hAnsi="Times New Roman"/>
      <w:b/>
      <w:bCs/>
      <w:kern w:val="2"/>
      <w:sz w:val="21"/>
      <w:szCs w:val="24"/>
    </w:rPr>
  </w:style>
  <w:style w:type="paragraph" w:customStyle="1" w:styleId="52">
    <w:name w:val="表格文字"/>
    <w:basedOn w:val="1"/>
    <w:autoRedefine/>
    <w:qFormat/>
    <w:uiPriority w:val="99"/>
    <w:pPr>
      <w:spacing w:before="25" w:after="25"/>
      <w:jc w:val="left"/>
    </w:pPr>
    <w:rPr>
      <w:bCs/>
      <w:spacing w:val="10"/>
      <w:kern w:val="0"/>
      <w:sz w:val="24"/>
    </w:rPr>
  </w:style>
  <w:style w:type="character" w:customStyle="1" w:styleId="53">
    <w:name w:val="标题 1 字符1"/>
    <w:autoRedefine/>
    <w:qFormat/>
    <w:uiPriority w:val="0"/>
    <w:rPr>
      <w:b/>
      <w:bCs/>
      <w:kern w:val="44"/>
      <w:sz w:val="44"/>
      <w:szCs w:val="44"/>
    </w:rPr>
  </w:style>
  <w:style w:type="character" w:customStyle="1" w:styleId="54">
    <w:name w:val="textcontents"/>
    <w:autoRedefine/>
    <w:qFormat/>
    <w:uiPriority w:val="0"/>
  </w:style>
  <w:style w:type="character" w:customStyle="1" w:styleId="55">
    <w:name w:val="批注文字 Char"/>
    <w:autoRedefine/>
    <w:qFormat/>
    <w:uiPriority w:val="0"/>
    <w:rPr>
      <w:rFonts w:ascii="Times New Roman" w:hAnsi="Times New Roman"/>
      <w:kern w:val="2"/>
      <w:sz w:val="21"/>
      <w:szCs w:val="24"/>
    </w:rPr>
  </w:style>
  <w:style w:type="character" w:customStyle="1" w:styleId="56">
    <w:name w:val="纯文本 字符"/>
    <w:autoRedefine/>
    <w:qFormat/>
    <w:uiPriority w:val="0"/>
    <w:rPr>
      <w:rFonts w:ascii="宋体" w:hAnsi="Courier New" w:eastAsia="宋体" w:cs="Courier New"/>
      <w:szCs w:val="21"/>
    </w:rPr>
  </w:style>
  <w:style w:type="character" w:customStyle="1" w:styleId="57">
    <w:name w:val="纯文本 Char"/>
    <w:autoRedefine/>
    <w:qFormat/>
    <w:uiPriority w:val="0"/>
    <w:rPr>
      <w:rFonts w:ascii="宋体" w:hAnsi="Courier New" w:eastAsia="宋体" w:cs="Courier New"/>
      <w:szCs w:val="21"/>
    </w:rPr>
  </w:style>
  <w:style w:type="character" w:customStyle="1" w:styleId="58">
    <w:name w:val="纯文本 字符2"/>
    <w:autoRedefine/>
    <w:qFormat/>
    <w:uiPriority w:val="0"/>
    <w:rPr>
      <w:rFonts w:ascii="宋体" w:hAnsi="Courier New" w:eastAsia="宋体" w:cs="Courier New"/>
      <w:szCs w:val="21"/>
    </w:rPr>
  </w:style>
  <w:style w:type="character" w:customStyle="1" w:styleId="59">
    <w:name w:val="批注文字 字符1"/>
    <w:autoRedefine/>
    <w:qFormat/>
    <w:uiPriority w:val="0"/>
    <w:rPr>
      <w:rFonts w:ascii="Times New Roman" w:hAnsi="Times New Roman"/>
      <w:kern w:val="2"/>
      <w:sz w:val="21"/>
      <w:szCs w:val="24"/>
    </w:rPr>
  </w:style>
  <w:style w:type="character" w:customStyle="1" w:styleId="6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纯文本 字符1"/>
    <w:autoRedefine/>
    <w:qFormat/>
    <w:uiPriority w:val="0"/>
    <w:rPr>
      <w:rFonts w:ascii="宋体" w:hAnsi="Courier New"/>
    </w:rPr>
  </w:style>
  <w:style w:type="character" w:customStyle="1" w:styleId="62">
    <w:name w:val="正文文本 Char"/>
    <w:autoRedefine/>
    <w:qFormat/>
    <w:uiPriority w:val="0"/>
    <w:rPr>
      <w:rFonts w:ascii="Times New Roman" w:hAnsi="Times New Roman"/>
      <w:kern w:val="2"/>
      <w:sz w:val="21"/>
      <w:szCs w:val="24"/>
    </w:rPr>
  </w:style>
  <w:style w:type="character" w:customStyle="1" w:styleId="63">
    <w:name w:val="批注文字 字符"/>
    <w:autoRedefine/>
    <w:qFormat/>
    <w:uiPriority w:val="0"/>
    <w:rPr>
      <w:rFonts w:ascii="Times New Roman" w:hAnsi="Times New Roman"/>
      <w:kern w:val="2"/>
      <w:sz w:val="21"/>
      <w:szCs w:val="24"/>
    </w:rPr>
  </w:style>
  <w:style w:type="character" w:customStyle="1" w:styleId="64">
    <w:name w:val="标题 2 Char"/>
    <w:autoRedefine/>
    <w:qFormat/>
    <w:uiPriority w:val="9"/>
    <w:rPr>
      <w:rFonts w:ascii="Cambria" w:hAnsi="Cambria" w:eastAsia="宋体" w:cs="Times New Roman"/>
      <w:b/>
      <w:bCs/>
      <w:kern w:val="2"/>
      <w:sz w:val="32"/>
      <w:szCs w:val="32"/>
    </w:rPr>
  </w:style>
  <w:style w:type="character" w:customStyle="1" w:styleId="65">
    <w:name w:val="标题 8 Char"/>
    <w:autoRedefine/>
    <w:qFormat/>
    <w:uiPriority w:val="0"/>
    <w:rPr>
      <w:rFonts w:ascii="Arial" w:hAnsi="Arial" w:eastAsia="黑体"/>
      <w:kern w:val="2"/>
      <w:sz w:val="24"/>
      <w:szCs w:val="24"/>
    </w:rPr>
  </w:style>
  <w:style w:type="character" w:customStyle="1" w:styleId="66">
    <w:name w:val="apple-style-span"/>
    <w:autoRedefine/>
    <w:qFormat/>
    <w:uiPriority w:val="0"/>
  </w:style>
  <w:style w:type="paragraph" w:customStyle="1" w:styleId="67">
    <w:name w:val="默认段落字体 Para Char Char Char Char Char Char Char Char Char1 Char Char Char Char"/>
    <w:basedOn w:val="1"/>
    <w:autoRedefine/>
    <w:qFormat/>
    <w:uiPriority w:val="0"/>
    <w:rPr>
      <w:rFonts w:ascii="Tahoma" w:hAnsi="Tahoma"/>
      <w:sz w:val="24"/>
      <w:szCs w:val="20"/>
    </w:rPr>
  </w:style>
  <w:style w:type="paragraph" w:customStyle="1" w:styleId="68">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69">
    <w:name w:val="List Paragraph"/>
    <w:basedOn w:val="1"/>
    <w:autoRedefine/>
    <w:qFormat/>
    <w:uiPriority w:val="34"/>
    <w:pPr>
      <w:ind w:firstLine="420" w:firstLineChars="200"/>
    </w:pPr>
  </w:style>
  <w:style w:type="paragraph" w:customStyle="1" w:styleId="70">
    <w:name w:val="Table Paragraph"/>
    <w:basedOn w:val="1"/>
    <w:autoRedefine/>
    <w:qFormat/>
    <w:uiPriority w:val="1"/>
    <w:pPr>
      <w:jc w:val="left"/>
    </w:pPr>
    <w:rPr>
      <w:rFonts w:ascii="Calibri" w:hAnsi="Calibri"/>
      <w:kern w:val="0"/>
      <w:sz w:val="22"/>
      <w:szCs w:val="22"/>
      <w:lang w:eastAsia="en-US"/>
    </w:rPr>
  </w:style>
  <w:style w:type="character" w:customStyle="1" w:styleId="71">
    <w:name w:val="正文文本 字符"/>
    <w:autoRedefine/>
    <w:qFormat/>
    <w:uiPriority w:val="0"/>
    <w:rPr>
      <w:rFonts w:ascii="Times New Roman" w:hAnsi="Times New Roman"/>
      <w:kern w:val="2"/>
      <w:sz w:val="21"/>
      <w:szCs w:val="24"/>
    </w:rPr>
  </w:style>
  <w:style w:type="character" w:customStyle="1" w:styleId="72">
    <w:name w:val="批注文字 Char2"/>
    <w:autoRedefine/>
    <w:qFormat/>
    <w:uiPriority w:val="0"/>
    <w:rPr>
      <w:rFonts w:ascii="Times New Roman" w:hAnsi="Times New Roman"/>
      <w:kern w:val="2"/>
      <w:sz w:val="21"/>
      <w:szCs w:val="24"/>
    </w:rPr>
  </w:style>
  <w:style w:type="paragraph" w:customStyle="1" w:styleId="73">
    <w:name w:val="样式 正文缩进正文（首行缩进两字）首行缩进两字 + 首行缩进:  2 字符1"/>
    <w:basedOn w:val="9"/>
    <w:autoRedefine/>
    <w:qFormat/>
    <w:uiPriority w:val="0"/>
    <w:pPr>
      <w:autoSpaceDE w:val="0"/>
      <w:autoSpaceDN w:val="0"/>
      <w:spacing w:beforeLines="50" w:afterLines="50" w:line="500" w:lineRule="exact"/>
      <w:ind w:firstLine="200"/>
      <w:jc w:val="left"/>
    </w:pPr>
    <w:rPr>
      <w:rFonts w:ascii="楷体_GB2312" w:eastAsia="楷体_GB2312"/>
      <w:color w:val="000000"/>
      <w:kern w:val="0"/>
      <w:sz w:val="28"/>
    </w:rPr>
  </w:style>
  <w:style w:type="paragraph" w:customStyle="1" w:styleId="74">
    <w:name w:val="列出段落3"/>
    <w:basedOn w:val="1"/>
    <w:autoRedefine/>
    <w:qFormat/>
    <w:uiPriority w:val="0"/>
    <w:pPr>
      <w:widowControl/>
      <w:spacing w:line="400" w:lineRule="exact"/>
      <w:ind w:firstLine="420" w:firstLineChars="200"/>
      <w:jc w:val="left"/>
    </w:pPr>
  </w:style>
  <w:style w:type="paragraph" w:customStyle="1" w:styleId="75">
    <w:name w:val="正文文本2"/>
    <w:basedOn w:val="1"/>
    <w:autoRedefine/>
    <w:qFormat/>
    <w:uiPriority w:val="0"/>
    <w:pPr>
      <w:shd w:val="clear" w:color="auto" w:fill="FFFFFF"/>
      <w:spacing w:after="300" w:line="0" w:lineRule="atLeast"/>
    </w:pPr>
    <w:rPr>
      <w:rFonts w:ascii="MingLiU" w:hAnsi="MingLiU" w:eastAsia="MingLiU"/>
      <w:color w:val="000000"/>
      <w:kern w:val="0"/>
      <w:sz w:val="22"/>
      <w:szCs w:val="22"/>
      <w:shd w:val="clear" w:color="auto" w:fill="FFFFFF"/>
      <w:lang w:val="zh-TW"/>
    </w:rPr>
  </w:style>
  <w:style w:type="paragraph" w:customStyle="1" w:styleId="76">
    <w:name w:val="列出段落1"/>
    <w:autoRedefine/>
    <w:qFormat/>
    <w:uiPriority w:val="0"/>
    <w:pPr>
      <w:ind w:firstLine="200" w:firstLineChars="200"/>
    </w:pPr>
    <w:rPr>
      <w:rFonts w:ascii="Calibri" w:hAnsi="Calibri" w:eastAsia="宋体" w:cs="Times New Roman"/>
      <w:kern w:val="2"/>
      <w:sz w:val="21"/>
      <w:szCs w:val="22"/>
      <w:lang w:val="en-US" w:eastAsia="zh-CN" w:bidi="ar-SA"/>
    </w:rPr>
  </w:style>
  <w:style w:type="table" w:customStyle="1" w:styleId="77">
    <w:name w:val="Table Normal"/>
    <w:autoRedefine/>
    <w:unhideWhenUsed/>
    <w:qFormat/>
    <w:uiPriority w:val="0"/>
    <w:tblPr>
      <w:tblCellMar>
        <w:top w:w="0" w:type="dxa"/>
        <w:left w:w="0" w:type="dxa"/>
        <w:bottom w:w="0" w:type="dxa"/>
        <w:right w:w="0" w:type="dxa"/>
      </w:tblCellMar>
    </w:tblPr>
  </w:style>
  <w:style w:type="paragraph" w:customStyle="1" w:styleId="78">
    <w:name w:val="正文文本首行缩进1"/>
    <w:basedOn w:val="3"/>
    <w:autoRedefine/>
    <w:qFormat/>
    <w:uiPriority w:val="0"/>
    <w:pPr>
      <w:ind w:firstLine="100" w:firstLineChars="100"/>
    </w:pPr>
  </w:style>
  <w:style w:type="paragraph" w:customStyle="1" w:styleId="79">
    <w:name w:val="Table Text"/>
    <w:basedOn w:val="1"/>
    <w:autoRedefine/>
    <w:semiHidden/>
    <w:qFormat/>
    <w:uiPriority w:val="0"/>
    <w:rPr>
      <w:rFonts w:ascii="宋体" w:hAnsi="宋体" w:cs="宋体"/>
      <w:sz w:val="24"/>
      <w:lang w:eastAsia="en-US"/>
    </w:rPr>
  </w:style>
  <w:style w:type="table" w:customStyle="1" w:styleId="80">
    <w:name w:val="网格型1"/>
    <w:basedOn w:val="3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1">
    <w:name w:val="正文缩进2"/>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广西国泰招标</Company>
  <Pages>125</Pages>
  <Words>75581</Words>
  <Characters>78687</Characters>
  <Lines>348</Lines>
  <Paragraphs>98</Paragraphs>
  <TotalTime>15</TotalTime>
  <ScaleCrop>false</ScaleCrop>
  <LinksUpToDate>false</LinksUpToDate>
  <CharactersWithSpaces>84604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2023-08-02T08:56:00Z</dcterms:created>
  <dc:creator>广西国泰招标</dc:creator>
  <cp:lastModifiedBy>Administrator</cp:lastModifiedBy>
  <cp:lastPrinted>2024-09-24T03:05:00Z</cp:lastPrinted>
  <dcterms:modified xsi:type="dcterms:W3CDTF">2024-09-24T07:58:09Z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971832214F6942248E913F0642F37FC9_13</vt:lpwstr>
  </property>
</Properties>
</file>