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8"/>
        <w:jc w:val="center"/>
        <w:rPr>
          <w:rFonts w:hAnsi="宋体" w:cs="宋体"/>
          <w:color w:val="auto"/>
          <w:spacing w:val="30"/>
          <w:kern w:val="52"/>
          <w:sz w:val="64"/>
          <w:szCs w:val="64"/>
          <w:highlight w:val="none"/>
        </w:rPr>
      </w:pPr>
      <w:r>
        <w:rPr>
          <w:rFonts w:hint="eastAsia" w:hAnsi="宋体" w:cs="宋体"/>
          <w:color w:val="auto"/>
          <w:highlight w:val="none"/>
        </w:rPr>
        <w:drawing>
          <wp:inline distT="0" distB="0" distL="114300" distR="114300">
            <wp:extent cx="1031875" cy="965835"/>
            <wp:effectExtent l="0" t="0" r="15875" b="5715"/>
            <wp:docPr id="2" name="图片 1" descr="国泰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国泰标志"/>
                    <pic:cNvPicPr>
                      <a:picLocks noChangeAspect="1"/>
                    </pic:cNvPicPr>
                  </pic:nvPicPr>
                  <pic:blipFill>
                    <a:blip r:embed="rId14" cstate="print"/>
                    <a:stretch>
                      <a:fillRect/>
                    </a:stretch>
                  </pic:blipFill>
                  <pic:spPr>
                    <a:xfrm>
                      <a:off x="0" y="0"/>
                      <a:ext cx="1031875" cy="965835"/>
                    </a:xfrm>
                    <a:prstGeom prst="rect">
                      <a:avLst/>
                    </a:prstGeom>
                    <a:noFill/>
                    <a:ln>
                      <a:noFill/>
                    </a:ln>
                  </pic:spPr>
                </pic:pic>
              </a:graphicData>
            </a:graphic>
          </wp:inline>
        </w:drawing>
      </w:r>
    </w:p>
    <w:p>
      <w:pPr>
        <w:pStyle w:val="18"/>
        <w:jc w:val="center"/>
        <w:rPr>
          <w:rFonts w:hAnsi="宋体" w:cs="宋体"/>
          <w:color w:val="auto"/>
          <w:spacing w:val="30"/>
          <w:kern w:val="52"/>
          <w:sz w:val="64"/>
          <w:szCs w:val="64"/>
          <w:highlight w:val="none"/>
        </w:rPr>
      </w:pPr>
      <w:r>
        <w:rPr>
          <w:rFonts w:hint="eastAsia" w:hAnsi="宋体" w:cs="宋体"/>
          <w:color w:val="auto"/>
          <w:spacing w:val="30"/>
          <w:kern w:val="52"/>
          <w:sz w:val="64"/>
          <w:szCs w:val="64"/>
          <w:highlight w:val="none"/>
        </w:rPr>
        <w:t>广西国泰招标咨询有限公司</w:t>
      </w:r>
    </w:p>
    <w:p>
      <w:pPr>
        <w:pStyle w:val="18"/>
        <w:jc w:val="center"/>
        <w:rPr>
          <w:rFonts w:hAnsi="宋体" w:cs="宋体"/>
          <w:b/>
          <w:color w:val="auto"/>
          <w:sz w:val="44"/>
          <w:szCs w:val="44"/>
          <w:highlight w:val="none"/>
        </w:rPr>
      </w:pPr>
      <w:r>
        <w:rPr>
          <w:rFonts w:hAnsi="宋体" w:cs="宋体"/>
          <w:b/>
          <w:color w:val="auto"/>
          <w:spacing w:val="-18"/>
          <w:sz w:val="64"/>
          <w:szCs w:val="64"/>
          <w:highlight w:val="none"/>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99060</wp:posOffset>
                </wp:positionV>
                <wp:extent cx="5486400" cy="0"/>
                <wp:effectExtent l="0" t="0" r="0" b="0"/>
                <wp:wrapNone/>
                <wp:docPr id="1" name="直线 2"/>
                <wp:cNvGraphicFramePr/>
                <a:graphic xmlns:a="http://schemas.openxmlformats.org/drawingml/2006/main">
                  <a:graphicData uri="http://schemas.microsoft.com/office/word/2010/wordprocessingShape">
                    <wps:wsp>
                      <wps:cNvCnPr/>
                      <wps:spPr>
                        <a:xfrm>
                          <a:off x="0" y="0"/>
                          <a:ext cx="5486400" cy="0"/>
                        </a:xfrm>
                        <a:prstGeom prst="line">
                          <a:avLst/>
                        </a:prstGeom>
                        <a:ln w="12700" cap="flat" cmpd="sng">
                          <a:solidFill>
                            <a:srgbClr val="000000"/>
                          </a:solidFill>
                          <a:prstDash val="solid"/>
                          <a:headEnd type="none" w="med" len="med"/>
                          <a:tailEnd type="none" w="med" len="med"/>
                        </a:ln>
                        <a:effectLst/>
                      </wps:spPr>
                      <wps:bodyPr upright="1"/>
                    </wps:wsp>
                  </a:graphicData>
                </a:graphic>
              </wp:anchor>
            </w:drawing>
          </mc:Choice>
          <mc:Fallback>
            <w:pict>
              <v:line id="直线 2" o:spid="_x0000_s1026" o:spt="20" style="position:absolute;left:0pt;margin-left:9pt;margin-top:7.8pt;height:0pt;width:432pt;z-index:251659264;mso-width-relative:page;mso-height-relative:page;" filled="f" stroked="t" coordsize="21600,21600" o:gfxdata="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vawUM&#10;1AAAAAgBAAAPAAAAAAAAAAEAIAAAACIAAABkcnMvZG93bnJldi54bWxQSwECFAAUAAAACACHTuJA&#10;a+11dOwBAADqAwAADgAAAAAAAAABACAAAAAjAQAAZHJzL2Uyb0RvYy54bWxQSwUGAAAAAAYABgBZ&#10;AQAAgQUAAAAA&#10;">
                <v:fill on="f" focussize="0,0"/>
                <v:stroke weight="1pt" color="#000000" joinstyle="round"/>
                <v:imagedata o:title=""/>
                <o:lock v:ext="edit" aspectratio="f"/>
              </v:line>
            </w:pict>
          </mc:Fallback>
        </mc:AlternateContent>
      </w:r>
    </w:p>
    <w:p>
      <w:pPr>
        <w:snapToGrid w:val="0"/>
        <w:spacing w:before="156" w:beforeLines="50" w:line="360" w:lineRule="auto"/>
        <w:jc w:val="center"/>
        <w:rPr>
          <w:rFonts w:ascii="宋体" w:hAnsi="宋体" w:cs="宋体"/>
          <w:color w:val="auto"/>
          <w:sz w:val="120"/>
          <w:szCs w:val="120"/>
          <w:highlight w:val="none"/>
        </w:rPr>
      </w:pPr>
      <w:r>
        <w:rPr>
          <w:rFonts w:hint="eastAsia" w:ascii="宋体" w:hAnsi="宋体" w:cs="宋体"/>
          <w:color w:val="auto"/>
          <w:sz w:val="120"/>
          <w:szCs w:val="120"/>
          <w:highlight w:val="none"/>
        </w:rPr>
        <w:t>竞争性磋商文件</w:t>
      </w:r>
    </w:p>
    <w:p>
      <w:pPr>
        <w:snapToGrid w:val="0"/>
        <w:spacing w:line="360" w:lineRule="auto"/>
        <w:rPr>
          <w:rFonts w:ascii="宋体" w:hAnsi="宋体" w:cs="宋体"/>
          <w:b/>
          <w:color w:val="auto"/>
          <w:sz w:val="48"/>
          <w:szCs w:val="48"/>
          <w:highlight w:val="none"/>
        </w:rPr>
      </w:pPr>
    </w:p>
    <w:p>
      <w:pPr>
        <w:pStyle w:val="18"/>
        <w:snapToGrid w:val="0"/>
        <w:spacing w:line="360" w:lineRule="auto"/>
        <w:ind w:firstLine="1205" w:firstLineChars="400"/>
        <w:rPr>
          <w:rFonts w:hAnsi="宋体" w:cs="宋体"/>
          <w:b/>
          <w:bCs/>
          <w:color w:val="auto"/>
          <w:sz w:val="30"/>
          <w:szCs w:val="30"/>
          <w:highlight w:val="none"/>
        </w:rPr>
      </w:pPr>
    </w:p>
    <w:p>
      <w:pPr>
        <w:pStyle w:val="18"/>
        <w:snapToGrid w:val="0"/>
        <w:spacing w:line="360" w:lineRule="auto"/>
        <w:ind w:left="2703" w:leftChars="570" w:hanging="1506" w:hangingChars="500"/>
        <w:rPr>
          <w:rFonts w:hint="eastAsia" w:hAnsi="宋体" w:eastAsia="宋体" w:cs="宋体"/>
          <w:b/>
          <w:bCs/>
          <w:color w:val="auto"/>
          <w:sz w:val="30"/>
          <w:szCs w:val="30"/>
          <w:highlight w:val="none"/>
          <w:lang w:eastAsia="zh-CN"/>
        </w:rPr>
      </w:pPr>
      <w:r>
        <w:rPr>
          <w:rFonts w:hint="eastAsia" w:hAnsi="宋体" w:cs="宋体"/>
          <w:b/>
          <w:bCs/>
          <w:color w:val="auto"/>
          <w:sz w:val="30"/>
          <w:szCs w:val="30"/>
          <w:highlight w:val="none"/>
        </w:rPr>
        <w:t>项目</w:t>
      </w:r>
      <w:r>
        <w:rPr>
          <w:rFonts w:hint="eastAsia" w:hAnsi="宋体" w:cs="宋体"/>
          <w:b/>
          <w:bCs/>
          <w:color w:val="auto"/>
          <w:w w:val="95"/>
          <w:sz w:val="30"/>
          <w:szCs w:val="30"/>
          <w:highlight w:val="none"/>
        </w:rPr>
        <w:t>名称</w:t>
      </w:r>
      <w:r>
        <w:rPr>
          <w:rFonts w:hint="eastAsia" w:hAnsi="宋体" w:cs="宋体"/>
          <w:b/>
          <w:bCs/>
          <w:color w:val="auto"/>
          <w:sz w:val="30"/>
          <w:szCs w:val="30"/>
          <w:highlight w:val="none"/>
        </w:rPr>
        <w:t>：</w:t>
      </w:r>
      <w:r>
        <w:rPr>
          <w:rFonts w:hint="eastAsia" w:hAnsi="宋体" w:cs="宋体"/>
          <w:b/>
          <w:color w:val="auto"/>
          <w:sz w:val="32"/>
          <w:szCs w:val="32"/>
          <w:highlight w:val="none"/>
          <w:lang w:eastAsia="zh-CN"/>
        </w:rPr>
        <w:t>2024年广西农业信息化系统设计，信息技术咨询、信息系统和其他运行维护项目</w:t>
      </w:r>
    </w:p>
    <w:p>
      <w:pPr>
        <w:pStyle w:val="18"/>
        <w:snapToGrid w:val="0"/>
        <w:spacing w:line="360" w:lineRule="auto"/>
        <w:ind w:firstLine="1205" w:firstLineChars="400"/>
        <w:rPr>
          <w:rFonts w:hint="eastAsia" w:hAnsi="宋体" w:eastAsia="宋体" w:cs="宋体"/>
          <w:b/>
          <w:bCs/>
          <w:color w:val="auto"/>
          <w:sz w:val="30"/>
          <w:szCs w:val="30"/>
          <w:highlight w:val="none"/>
          <w:lang w:eastAsia="zh-CN"/>
        </w:rPr>
      </w:pPr>
      <w:r>
        <w:rPr>
          <w:rFonts w:hint="eastAsia" w:hAnsi="宋体" w:cs="宋体"/>
          <w:b/>
          <w:bCs/>
          <w:color w:val="auto"/>
          <w:sz w:val="30"/>
          <w:szCs w:val="30"/>
          <w:highlight w:val="none"/>
        </w:rPr>
        <w:t>项目编号：</w:t>
      </w:r>
      <w:r>
        <w:rPr>
          <w:rFonts w:hint="eastAsia" w:hAnsi="宋体" w:cs="宋体"/>
          <w:b/>
          <w:color w:val="auto"/>
          <w:sz w:val="32"/>
          <w:szCs w:val="32"/>
          <w:highlight w:val="none"/>
          <w:lang w:eastAsia="zh-CN"/>
        </w:rPr>
        <w:t>GXZC2024-C3-005320-GTZB</w:t>
      </w:r>
    </w:p>
    <w:p>
      <w:pPr>
        <w:snapToGrid w:val="0"/>
        <w:spacing w:line="360" w:lineRule="auto"/>
        <w:rPr>
          <w:rFonts w:ascii="宋体" w:hAnsi="宋体" w:cs="宋体"/>
          <w:color w:val="auto"/>
          <w:sz w:val="30"/>
          <w:szCs w:val="72"/>
          <w:highlight w:val="none"/>
        </w:rPr>
      </w:pPr>
      <w:r>
        <w:rPr>
          <w:rFonts w:hint="eastAsia" w:ascii="宋体" w:hAnsi="宋体" w:cs="宋体"/>
          <w:b/>
          <w:color w:val="auto"/>
          <w:sz w:val="30"/>
          <w:szCs w:val="48"/>
          <w:highlight w:val="none"/>
        </w:rPr>
        <w:t xml:space="preserve"> </w:t>
      </w:r>
    </w:p>
    <w:p>
      <w:pPr>
        <w:pStyle w:val="18"/>
        <w:snapToGrid w:val="0"/>
        <w:spacing w:line="360" w:lineRule="auto"/>
        <w:ind w:firstLine="1431" w:firstLineChars="500"/>
        <w:rPr>
          <w:rFonts w:hint="eastAsia" w:hAnsi="宋体" w:cs="宋体"/>
          <w:b/>
          <w:bCs/>
          <w:color w:val="auto"/>
          <w:w w:val="95"/>
          <w:sz w:val="30"/>
          <w:szCs w:val="30"/>
          <w:highlight w:val="none"/>
        </w:rPr>
      </w:pPr>
    </w:p>
    <w:p>
      <w:pPr>
        <w:pStyle w:val="18"/>
        <w:snapToGrid w:val="0"/>
        <w:spacing w:line="360" w:lineRule="auto"/>
        <w:ind w:firstLine="1431" w:firstLineChars="500"/>
        <w:rPr>
          <w:rFonts w:hint="eastAsia" w:hAnsi="宋体" w:eastAsia="宋体" w:cs="宋体"/>
          <w:b/>
          <w:bCs/>
          <w:color w:val="auto"/>
          <w:w w:val="95"/>
          <w:sz w:val="30"/>
          <w:szCs w:val="30"/>
          <w:highlight w:val="none"/>
          <w:lang w:eastAsia="zh-CN"/>
        </w:rPr>
      </w:pPr>
      <w:r>
        <w:rPr>
          <w:rFonts w:hint="eastAsia" w:hAnsi="宋体" w:cs="宋体"/>
          <w:b/>
          <w:bCs/>
          <w:color w:val="auto"/>
          <w:w w:val="95"/>
          <w:sz w:val="30"/>
          <w:szCs w:val="30"/>
          <w:highlight w:val="none"/>
        </w:rPr>
        <w:t>采 购 人：</w:t>
      </w:r>
      <w:r>
        <w:rPr>
          <w:rFonts w:hint="eastAsia" w:hAnsi="宋体" w:cs="宋体"/>
          <w:b/>
          <w:color w:val="auto"/>
          <w:sz w:val="32"/>
          <w:szCs w:val="32"/>
          <w:highlight w:val="none"/>
          <w:lang w:eastAsia="zh-CN"/>
        </w:rPr>
        <w:t>广西壮族自治区农业信息中心</w:t>
      </w:r>
    </w:p>
    <w:p>
      <w:pPr>
        <w:pStyle w:val="18"/>
        <w:snapToGrid w:val="0"/>
        <w:spacing w:line="360" w:lineRule="auto"/>
        <w:ind w:firstLine="1431" w:firstLineChars="500"/>
        <w:rPr>
          <w:rFonts w:hAnsi="宋体" w:cs="宋体"/>
          <w:b/>
          <w:bCs/>
          <w:color w:val="auto"/>
          <w:w w:val="95"/>
          <w:sz w:val="30"/>
          <w:szCs w:val="30"/>
          <w:highlight w:val="none"/>
        </w:rPr>
      </w:pPr>
      <w:r>
        <w:rPr>
          <w:rFonts w:hint="eastAsia" w:hAnsi="宋体" w:cs="宋体"/>
          <w:b/>
          <w:bCs/>
          <w:color w:val="auto"/>
          <w:w w:val="95"/>
          <w:sz w:val="30"/>
          <w:szCs w:val="30"/>
          <w:highlight w:val="none"/>
        </w:rPr>
        <w:t>采购代理机构：</w:t>
      </w:r>
      <w:r>
        <w:rPr>
          <w:rFonts w:hint="eastAsia" w:hAnsi="宋体" w:cs="宋体"/>
          <w:b/>
          <w:color w:val="auto"/>
          <w:sz w:val="32"/>
          <w:szCs w:val="32"/>
          <w:highlight w:val="none"/>
        </w:rPr>
        <w:t>广西国泰招标咨询有限公司</w:t>
      </w:r>
    </w:p>
    <w:p>
      <w:pPr>
        <w:pStyle w:val="18"/>
        <w:snapToGrid w:val="0"/>
        <w:spacing w:line="360" w:lineRule="auto"/>
        <w:ind w:left="420" w:firstLine="841" w:firstLineChars="294"/>
        <w:rPr>
          <w:rFonts w:hAnsi="宋体" w:cs="宋体"/>
          <w:b/>
          <w:bCs/>
          <w:color w:val="auto"/>
          <w:w w:val="95"/>
          <w:sz w:val="30"/>
          <w:szCs w:val="30"/>
          <w:highlight w:val="none"/>
        </w:rPr>
      </w:pPr>
      <w:r>
        <w:rPr>
          <w:rFonts w:hint="eastAsia" w:hAnsi="宋体" w:cs="宋体"/>
          <w:b/>
          <w:bCs/>
          <w:color w:val="auto"/>
          <w:w w:val="95"/>
          <w:sz w:val="30"/>
          <w:szCs w:val="30"/>
          <w:highlight w:val="none"/>
        </w:rPr>
        <w:t xml:space="preserve">                2024年</w:t>
      </w:r>
      <w:r>
        <w:rPr>
          <w:rFonts w:hint="eastAsia" w:hAnsi="宋体" w:cs="宋体"/>
          <w:b/>
          <w:bCs/>
          <w:color w:val="auto"/>
          <w:w w:val="95"/>
          <w:sz w:val="30"/>
          <w:szCs w:val="30"/>
          <w:highlight w:val="none"/>
          <w:lang w:val="en-US" w:eastAsia="zh-CN"/>
        </w:rPr>
        <w:t>9</w:t>
      </w:r>
      <w:r>
        <w:rPr>
          <w:rFonts w:hint="eastAsia" w:hAnsi="宋体" w:cs="宋体"/>
          <w:b/>
          <w:bCs/>
          <w:color w:val="auto"/>
          <w:w w:val="95"/>
          <w:sz w:val="30"/>
          <w:szCs w:val="30"/>
          <w:highlight w:val="none"/>
        </w:rPr>
        <w:t>月</w:t>
      </w:r>
    </w:p>
    <w:p>
      <w:pPr>
        <w:tabs>
          <w:tab w:val="left" w:pos="1080"/>
        </w:tabs>
        <w:spacing w:line="360" w:lineRule="auto"/>
        <w:ind w:firstLine="883" w:firstLineChars="200"/>
        <w:rPr>
          <w:rFonts w:ascii="宋体" w:hAnsi="宋体" w:cs="宋体"/>
          <w:b/>
          <w:color w:val="auto"/>
          <w:sz w:val="44"/>
          <w:szCs w:val="44"/>
          <w:highlight w:val="none"/>
        </w:rPr>
        <w:sectPr>
          <w:headerReference r:id="rId5" w:type="first"/>
          <w:footerReference r:id="rId8" w:type="first"/>
          <w:headerReference r:id="rId3" w:type="default"/>
          <w:footerReference r:id="rId6" w:type="default"/>
          <w:headerReference r:id="rId4" w:type="even"/>
          <w:footerReference r:id="rId7" w:type="even"/>
          <w:pgSz w:w="11906" w:h="16838"/>
          <w:pgMar w:top="1440" w:right="1440" w:bottom="1440" w:left="1587" w:header="851" w:footer="992" w:gutter="0"/>
          <w:pgNumType w:start="0"/>
          <w:cols w:space="720" w:num="1"/>
          <w:titlePg/>
          <w:docGrid w:type="lines" w:linePitch="312" w:charSpace="0"/>
        </w:sectPr>
      </w:pPr>
    </w:p>
    <w:p>
      <w:pPr>
        <w:pStyle w:val="52"/>
        <w:rPr>
          <w:color w:val="auto"/>
          <w:highlight w:val="none"/>
        </w:rPr>
      </w:pPr>
    </w:p>
    <w:p>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目  录</w:t>
      </w:r>
    </w:p>
    <w:p>
      <w:pPr>
        <w:spacing w:line="400" w:lineRule="exact"/>
        <w:jc w:val="center"/>
        <w:rPr>
          <w:rFonts w:ascii="宋体" w:hAnsi="宋体" w:cs="宋体"/>
          <w:b/>
          <w:color w:val="auto"/>
          <w:sz w:val="44"/>
          <w:szCs w:val="44"/>
          <w:highlight w:val="none"/>
        </w:rPr>
      </w:pPr>
    </w:p>
    <w:p>
      <w:pPr>
        <w:pStyle w:val="23"/>
        <w:tabs>
          <w:tab w:val="right" w:leader="dot" w:pos="8869"/>
        </w:tabs>
        <w:snapToGrid w:val="0"/>
        <w:spacing w:line="500" w:lineRule="atLeast"/>
        <w:rPr>
          <w:rFonts w:ascii="宋体" w:hAnsi="宋体" w:cs="宋体"/>
          <w:b/>
          <w:color w:val="auto"/>
          <w:sz w:val="24"/>
          <w:highlight w:val="none"/>
        </w:rPr>
      </w:pPr>
      <w:r>
        <w:rPr>
          <w:rFonts w:hint="eastAsia" w:ascii="宋体" w:hAnsi="宋体" w:cs="宋体"/>
          <w:b/>
          <w:color w:val="auto"/>
          <w:sz w:val="24"/>
          <w:highlight w:val="none"/>
        </w:rPr>
        <w:fldChar w:fldCharType="begin"/>
      </w:r>
      <w:r>
        <w:rPr>
          <w:rFonts w:hint="eastAsia" w:ascii="宋体" w:hAnsi="宋体" w:cs="宋体"/>
          <w:b/>
          <w:color w:val="auto"/>
          <w:sz w:val="24"/>
          <w:highlight w:val="none"/>
        </w:rPr>
        <w:instrText xml:space="preserve"> TOC \o "1-3" \h \z \u </w:instrText>
      </w:r>
      <w:r>
        <w:rPr>
          <w:rFonts w:hint="eastAsia" w:ascii="宋体" w:hAnsi="宋体" w:cs="宋体"/>
          <w:b/>
          <w:color w:val="auto"/>
          <w:sz w:val="24"/>
          <w:highlight w:val="none"/>
        </w:rPr>
        <w:fldChar w:fldCharType="separate"/>
      </w:r>
      <w:r>
        <w:rPr>
          <w:color w:val="auto"/>
          <w:highlight w:val="none"/>
        </w:rPr>
        <w:fldChar w:fldCharType="begin"/>
      </w:r>
      <w:r>
        <w:rPr>
          <w:color w:val="auto"/>
          <w:highlight w:val="none"/>
        </w:rPr>
        <w:instrText xml:space="preserve"> HYPERLINK \l "_Toc74323456" </w:instrText>
      </w:r>
      <w:r>
        <w:rPr>
          <w:color w:val="auto"/>
          <w:highlight w:val="none"/>
        </w:rPr>
        <w:fldChar w:fldCharType="separate"/>
      </w:r>
      <w:r>
        <w:rPr>
          <w:rStyle w:val="34"/>
          <w:rFonts w:hint="eastAsia" w:ascii="宋体" w:hAnsi="宋体" w:cs="宋体"/>
          <w:b/>
          <w:color w:val="auto"/>
          <w:sz w:val="24"/>
          <w:highlight w:val="none"/>
        </w:rPr>
        <w:t>第一章 竞争性磋商公告</w:t>
      </w:r>
      <w:r>
        <w:rPr>
          <w:rFonts w:hint="eastAsia" w:ascii="宋体" w:hAnsi="宋体" w:cs="宋体"/>
          <w:b/>
          <w:color w:val="auto"/>
          <w:sz w:val="24"/>
          <w:highlight w:val="none"/>
        </w:rPr>
        <w:tab/>
      </w:r>
      <w:r>
        <w:rPr>
          <w:rFonts w:hint="eastAsia" w:ascii="宋体" w:hAnsi="宋体" w:cs="宋体"/>
          <w:b/>
          <w:color w:val="auto"/>
          <w:sz w:val="24"/>
          <w:highlight w:val="none"/>
        </w:rPr>
        <w:fldChar w:fldCharType="begin"/>
      </w:r>
      <w:r>
        <w:rPr>
          <w:rFonts w:hint="eastAsia" w:ascii="宋体" w:hAnsi="宋体" w:cs="宋体"/>
          <w:b/>
          <w:color w:val="auto"/>
          <w:sz w:val="24"/>
          <w:highlight w:val="none"/>
        </w:rPr>
        <w:instrText xml:space="preserve"> PAGEREF _Toc74323456 \h </w:instrText>
      </w:r>
      <w:r>
        <w:rPr>
          <w:rFonts w:hint="eastAsia" w:ascii="宋体" w:hAnsi="宋体" w:cs="宋体"/>
          <w:b/>
          <w:color w:val="auto"/>
          <w:sz w:val="24"/>
          <w:highlight w:val="none"/>
        </w:rPr>
        <w:fldChar w:fldCharType="separate"/>
      </w:r>
      <w:r>
        <w:rPr>
          <w:rFonts w:hint="eastAsia" w:ascii="宋体" w:hAnsi="宋体" w:cs="宋体"/>
          <w:b/>
          <w:color w:val="auto"/>
          <w:sz w:val="24"/>
          <w:highlight w:val="none"/>
        </w:rPr>
        <w:t>1</w:t>
      </w:r>
      <w:r>
        <w:rPr>
          <w:rFonts w:hint="eastAsia" w:ascii="宋体" w:hAnsi="宋体" w:cs="宋体"/>
          <w:b/>
          <w:color w:val="auto"/>
          <w:sz w:val="24"/>
          <w:highlight w:val="none"/>
        </w:rPr>
        <w:fldChar w:fldCharType="end"/>
      </w:r>
      <w:r>
        <w:rPr>
          <w:rFonts w:hint="eastAsia" w:ascii="宋体" w:hAnsi="宋体" w:cs="宋体"/>
          <w:b/>
          <w:color w:val="auto"/>
          <w:sz w:val="24"/>
          <w:highlight w:val="none"/>
        </w:rPr>
        <w:fldChar w:fldCharType="end"/>
      </w:r>
    </w:p>
    <w:p>
      <w:pPr>
        <w:pStyle w:val="23"/>
        <w:tabs>
          <w:tab w:val="right" w:leader="dot" w:pos="8869"/>
        </w:tabs>
        <w:snapToGrid w:val="0"/>
        <w:spacing w:line="500" w:lineRule="atLeast"/>
        <w:rPr>
          <w:rFonts w:ascii="宋体" w:hAnsi="宋体" w:cs="宋体"/>
          <w:b/>
          <w:color w:val="auto"/>
          <w:sz w:val="24"/>
          <w:highlight w:val="none"/>
        </w:rPr>
      </w:pPr>
      <w:r>
        <w:rPr>
          <w:color w:val="auto"/>
          <w:highlight w:val="none"/>
        </w:rPr>
        <w:fldChar w:fldCharType="begin"/>
      </w:r>
      <w:r>
        <w:rPr>
          <w:color w:val="auto"/>
          <w:highlight w:val="none"/>
        </w:rPr>
        <w:instrText xml:space="preserve"> HYPERLINK \l "_Toc74323457" </w:instrText>
      </w:r>
      <w:r>
        <w:rPr>
          <w:color w:val="auto"/>
          <w:highlight w:val="none"/>
        </w:rPr>
        <w:fldChar w:fldCharType="separate"/>
      </w:r>
      <w:r>
        <w:rPr>
          <w:rStyle w:val="34"/>
          <w:rFonts w:hint="eastAsia" w:ascii="宋体" w:hAnsi="宋体" w:cs="宋体"/>
          <w:b/>
          <w:color w:val="auto"/>
          <w:sz w:val="24"/>
          <w:highlight w:val="none"/>
        </w:rPr>
        <w:t>第二章 供应</w:t>
      </w:r>
      <w:bookmarkStart w:id="0" w:name="_Hlt82161237"/>
      <w:r>
        <w:rPr>
          <w:rStyle w:val="34"/>
          <w:rFonts w:hint="eastAsia" w:ascii="宋体" w:hAnsi="宋体" w:cs="宋体"/>
          <w:b/>
          <w:color w:val="auto"/>
          <w:sz w:val="24"/>
          <w:highlight w:val="none"/>
        </w:rPr>
        <w:t>商</w:t>
      </w:r>
      <w:bookmarkEnd w:id="0"/>
      <w:r>
        <w:rPr>
          <w:rStyle w:val="34"/>
          <w:rFonts w:hint="eastAsia" w:ascii="宋体" w:hAnsi="宋体" w:cs="宋体"/>
          <w:b/>
          <w:color w:val="auto"/>
          <w:sz w:val="24"/>
          <w:highlight w:val="none"/>
        </w:rPr>
        <w:t>须知</w:t>
      </w:r>
      <w:r>
        <w:rPr>
          <w:rFonts w:hint="eastAsia" w:ascii="宋体" w:hAnsi="宋体" w:cs="宋体"/>
          <w:b/>
          <w:color w:val="auto"/>
          <w:sz w:val="24"/>
          <w:highlight w:val="none"/>
        </w:rPr>
        <w:tab/>
      </w:r>
      <w:r>
        <w:rPr>
          <w:rFonts w:hint="eastAsia" w:ascii="宋体" w:hAnsi="宋体" w:cs="宋体"/>
          <w:b/>
          <w:color w:val="auto"/>
          <w:sz w:val="24"/>
          <w:highlight w:val="none"/>
        </w:rPr>
        <w:fldChar w:fldCharType="begin"/>
      </w:r>
      <w:r>
        <w:rPr>
          <w:rFonts w:hint="eastAsia" w:ascii="宋体" w:hAnsi="宋体" w:cs="宋体"/>
          <w:b/>
          <w:color w:val="auto"/>
          <w:sz w:val="24"/>
          <w:highlight w:val="none"/>
        </w:rPr>
        <w:instrText xml:space="preserve"> PAGEREF _Toc74323457 \h </w:instrText>
      </w:r>
      <w:r>
        <w:rPr>
          <w:rFonts w:hint="eastAsia" w:ascii="宋体" w:hAnsi="宋体" w:cs="宋体"/>
          <w:b/>
          <w:color w:val="auto"/>
          <w:sz w:val="24"/>
          <w:highlight w:val="none"/>
        </w:rPr>
        <w:fldChar w:fldCharType="separate"/>
      </w:r>
      <w:r>
        <w:rPr>
          <w:rFonts w:hint="eastAsia" w:ascii="宋体" w:hAnsi="宋体" w:cs="宋体"/>
          <w:b/>
          <w:color w:val="auto"/>
          <w:sz w:val="24"/>
          <w:highlight w:val="none"/>
        </w:rPr>
        <w:t>7</w:t>
      </w:r>
      <w:r>
        <w:rPr>
          <w:rFonts w:hint="eastAsia" w:ascii="宋体" w:hAnsi="宋体" w:cs="宋体"/>
          <w:b/>
          <w:color w:val="auto"/>
          <w:sz w:val="24"/>
          <w:highlight w:val="none"/>
        </w:rPr>
        <w:fldChar w:fldCharType="end"/>
      </w:r>
      <w:r>
        <w:rPr>
          <w:rFonts w:hint="eastAsia" w:ascii="宋体" w:hAnsi="宋体" w:cs="宋体"/>
          <w:b/>
          <w:color w:val="auto"/>
          <w:sz w:val="24"/>
          <w:highlight w:val="none"/>
        </w:rPr>
        <w:fldChar w:fldCharType="end"/>
      </w:r>
    </w:p>
    <w:p>
      <w:pPr>
        <w:pStyle w:val="23"/>
        <w:tabs>
          <w:tab w:val="right" w:leader="dot" w:pos="8869"/>
        </w:tabs>
        <w:snapToGrid w:val="0"/>
        <w:spacing w:line="500" w:lineRule="atLeast"/>
        <w:rPr>
          <w:rFonts w:ascii="宋体" w:hAnsi="宋体" w:cs="宋体"/>
          <w:b/>
          <w:color w:val="auto"/>
          <w:sz w:val="24"/>
          <w:highlight w:val="none"/>
        </w:rPr>
      </w:pPr>
      <w:r>
        <w:rPr>
          <w:color w:val="auto"/>
          <w:highlight w:val="none"/>
        </w:rPr>
        <w:fldChar w:fldCharType="begin"/>
      </w:r>
      <w:r>
        <w:rPr>
          <w:color w:val="auto"/>
          <w:highlight w:val="none"/>
        </w:rPr>
        <w:instrText xml:space="preserve"> HYPERLINK \l "_Toc74323458" </w:instrText>
      </w:r>
      <w:r>
        <w:rPr>
          <w:color w:val="auto"/>
          <w:highlight w:val="none"/>
        </w:rPr>
        <w:fldChar w:fldCharType="separate"/>
      </w:r>
      <w:r>
        <w:rPr>
          <w:rStyle w:val="34"/>
          <w:rFonts w:hint="eastAsia" w:ascii="宋体" w:hAnsi="宋体" w:cs="宋体"/>
          <w:b/>
          <w:color w:val="auto"/>
          <w:sz w:val="24"/>
          <w:highlight w:val="none"/>
        </w:rPr>
        <w:t>第三章 采购需</w:t>
      </w:r>
      <w:bookmarkStart w:id="1" w:name="_Hlt82166940"/>
      <w:r>
        <w:rPr>
          <w:rStyle w:val="34"/>
          <w:rFonts w:hint="eastAsia" w:ascii="宋体" w:hAnsi="宋体" w:cs="宋体"/>
          <w:b/>
          <w:color w:val="auto"/>
          <w:sz w:val="24"/>
          <w:highlight w:val="none"/>
        </w:rPr>
        <w:t>求</w:t>
      </w:r>
      <w:bookmarkEnd w:id="1"/>
      <w:r>
        <w:rPr>
          <w:rFonts w:hint="eastAsia" w:ascii="宋体" w:hAnsi="宋体" w:cs="宋体"/>
          <w:b/>
          <w:color w:val="auto"/>
          <w:sz w:val="24"/>
          <w:highlight w:val="none"/>
        </w:rPr>
        <w:tab/>
      </w:r>
      <w:r>
        <w:rPr>
          <w:rFonts w:hint="eastAsia" w:ascii="宋体" w:hAnsi="宋体" w:cs="宋体"/>
          <w:b/>
          <w:color w:val="auto"/>
          <w:sz w:val="24"/>
          <w:highlight w:val="none"/>
        </w:rPr>
        <w:fldChar w:fldCharType="begin"/>
      </w:r>
      <w:r>
        <w:rPr>
          <w:rFonts w:hint="eastAsia" w:ascii="宋体" w:hAnsi="宋体" w:cs="宋体"/>
          <w:b/>
          <w:color w:val="auto"/>
          <w:sz w:val="24"/>
          <w:highlight w:val="none"/>
        </w:rPr>
        <w:instrText xml:space="preserve"> PAGEREF _Toc74323458 \h </w:instrText>
      </w:r>
      <w:r>
        <w:rPr>
          <w:rFonts w:hint="eastAsia" w:ascii="宋体" w:hAnsi="宋体" w:cs="宋体"/>
          <w:b/>
          <w:color w:val="auto"/>
          <w:sz w:val="24"/>
          <w:highlight w:val="none"/>
        </w:rPr>
        <w:fldChar w:fldCharType="separate"/>
      </w:r>
      <w:r>
        <w:rPr>
          <w:rFonts w:hint="eastAsia" w:ascii="宋体" w:hAnsi="宋体" w:cs="宋体"/>
          <w:b/>
          <w:color w:val="auto"/>
          <w:sz w:val="24"/>
          <w:highlight w:val="none"/>
        </w:rPr>
        <w:t>24</w:t>
      </w:r>
      <w:r>
        <w:rPr>
          <w:rFonts w:hint="eastAsia" w:ascii="宋体" w:hAnsi="宋体" w:cs="宋体"/>
          <w:b/>
          <w:color w:val="auto"/>
          <w:sz w:val="24"/>
          <w:highlight w:val="none"/>
        </w:rPr>
        <w:fldChar w:fldCharType="end"/>
      </w:r>
      <w:r>
        <w:rPr>
          <w:rFonts w:hint="eastAsia" w:ascii="宋体" w:hAnsi="宋体" w:cs="宋体"/>
          <w:b/>
          <w:color w:val="auto"/>
          <w:sz w:val="24"/>
          <w:highlight w:val="none"/>
        </w:rPr>
        <w:fldChar w:fldCharType="end"/>
      </w:r>
    </w:p>
    <w:p>
      <w:pPr>
        <w:pStyle w:val="23"/>
        <w:tabs>
          <w:tab w:val="right" w:leader="dot" w:pos="8869"/>
        </w:tabs>
        <w:snapToGrid w:val="0"/>
        <w:spacing w:line="500" w:lineRule="atLeast"/>
        <w:rPr>
          <w:rFonts w:ascii="宋体" w:hAnsi="宋体" w:cs="宋体"/>
          <w:b/>
          <w:color w:val="auto"/>
          <w:sz w:val="24"/>
          <w:highlight w:val="none"/>
        </w:rPr>
      </w:pPr>
      <w:r>
        <w:rPr>
          <w:color w:val="auto"/>
          <w:highlight w:val="none"/>
        </w:rPr>
        <w:fldChar w:fldCharType="begin"/>
      </w:r>
      <w:r>
        <w:rPr>
          <w:color w:val="auto"/>
          <w:highlight w:val="none"/>
        </w:rPr>
        <w:instrText xml:space="preserve"> HYPERLINK \l "_Toc74323459" </w:instrText>
      </w:r>
      <w:r>
        <w:rPr>
          <w:color w:val="auto"/>
          <w:highlight w:val="none"/>
        </w:rPr>
        <w:fldChar w:fldCharType="separate"/>
      </w:r>
      <w:r>
        <w:rPr>
          <w:rStyle w:val="34"/>
          <w:rFonts w:hint="eastAsia" w:ascii="宋体" w:hAnsi="宋体" w:cs="宋体"/>
          <w:b/>
          <w:color w:val="auto"/>
          <w:sz w:val="24"/>
          <w:highlight w:val="none"/>
        </w:rPr>
        <w:t>第四章 评审程序、</w:t>
      </w:r>
      <w:bookmarkStart w:id="2" w:name="_Hlt82166000"/>
      <w:r>
        <w:rPr>
          <w:rStyle w:val="34"/>
          <w:rFonts w:hint="eastAsia" w:ascii="宋体" w:hAnsi="宋体" w:cs="宋体"/>
          <w:b/>
          <w:color w:val="auto"/>
          <w:sz w:val="24"/>
          <w:highlight w:val="none"/>
        </w:rPr>
        <w:t>评</w:t>
      </w:r>
      <w:bookmarkEnd w:id="2"/>
      <w:r>
        <w:rPr>
          <w:rStyle w:val="34"/>
          <w:rFonts w:hint="eastAsia" w:ascii="宋体" w:hAnsi="宋体" w:cs="宋体"/>
          <w:b/>
          <w:color w:val="auto"/>
          <w:sz w:val="24"/>
          <w:highlight w:val="none"/>
        </w:rPr>
        <w:t>审方法和评审标准</w:t>
      </w:r>
      <w:r>
        <w:rPr>
          <w:rFonts w:hint="eastAsia" w:ascii="宋体" w:hAnsi="宋体" w:cs="宋体"/>
          <w:b/>
          <w:color w:val="auto"/>
          <w:sz w:val="24"/>
          <w:highlight w:val="none"/>
        </w:rPr>
        <w:tab/>
      </w:r>
      <w:r>
        <w:rPr>
          <w:rFonts w:hint="eastAsia" w:ascii="宋体" w:hAnsi="宋体" w:cs="宋体"/>
          <w:b/>
          <w:color w:val="auto"/>
          <w:sz w:val="24"/>
          <w:highlight w:val="none"/>
        </w:rPr>
        <w:fldChar w:fldCharType="begin"/>
      </w:r>
      <w:r>
        <w:rPr>
          <w:rFonts w:hint="eastAsia" w:ascii="宋体" w:hAnsi="宋体" w:cs="宋体"/>
          <w:b/>
          <w:color w:val="auto"/>
          <w:sz w:val="24"/>
          <w:highlight w:val="none"/>
        </w:rPr>
        <w:instrText xml:space="preserve"> PAGEREF _Toc74323459 \h </w:instrText>
      </w:r>
      <w:r>
        <w:rPr>
          <w:rFonts w:hint="eastAsia" w:ascii="宋体" w:hAnsi="宋体" w:cs="宋体"/>
          <w:b/>
          <w:color w:val="auto"/>
          <w:sz w:val="24"/>
          <w:highlight w:val="none"/>
        </w:rPr>
        <w:fldChar w:fldCharType="separate"/>
      </w:r>
      <w:r>
        <w:rPr>
          <w:rFonts w:hint="eastAsia" w:ascii="宋体" w:hAnsi="宋体" w:cs="宋体"/>
          <w:b/>
          <w:color w:val="auto"/>
          <w:sz w:val="24"/>
          <w:highlight w:val="none"/>
        </w:rPr>
        <w:t>24</w:t>
      </w:r>
      <w:r>
        <w:rPr>
          <w:rFonts w:hint="eastAsia" w:ascii="宋体" w:hAnsi="宋体" w:cs="宋体"/>
          <w:b/>
          <w:color w:val="auto"/>
          <w:sz w:val="24"/>
          <w:highlight w:val="none"/>
        </w:rPr>
        <w:fldChar w:fldCharType="end"/>
      </w:r>
      <w:r>
        <w:rPr>
          <w:rFonts w:hint="eastAsia" w:ascii="宋体" w:hAnsi="宋体" w:cs="宋体"/>
          <w:b/>
          <w:color w:val="auto"/>
          <w:sz w:val="24"/>
          <w:highlight w:val="none"/>
        </w:rPr>
        <w:fldChar w:fldCharType="end"/>
      </w:r>
    </w:p>
    <w:p>
      <w:pPr>
        <w:pStyle w:val="23"/>
        <w:tabs>
          <w:tab w:val="right" w:leader="dot" w:pos="8869"/>
        </w:tabs>
        <w:snapToGrid w:val="0"/>
        <w:spacing w:line="500" w:lineRule="atLeast"/>
        <w:rPr>
          <w:rFonts w:ascii="宋体" w:hAnsi="宋体" w:cs="宋体"/>
          <w:b/>
          <w:color w:val="auto"/>
          <w:sz w:val="24"/>
          <w:highlight w:val="none"/>
        </w:rPr>
      </w:pPr>
      <w:r>
        <w:rPr>
          <w:color w:val="auto"/>
          <w:highlight w:val="none"/>
        </w:rPr>
        <w:fldChar w:fldCharType="begin"/>
      </w:r>
      <w:r>
        <w:rPr>
          <w:color w:val="auto"/>
          <w:highlight w:val="none"/>
        </w:rPr>
        <w:instrText xml:space="preserve"> HYPERLINK \l "_Toc74323460" </w:instrText>
      </w:r>
      <w:r>
        <w:rPr>
          <w:color w:val="auto"/>
          <w:highlight w:val="none"/>
        </w:rPr>
        <w:fldChar w:fldCharType="separate"/>
      </w:r>
      <w:r>
        <w:rPr>
          <w:rStyle w:val="34"/>
          <w:rFonts w:hint="eastAsia" w:ascii="宋体" w:hAnsi="宋体" w:cs="宋体"/>
          <w:b/>
          <w:color w:val="auto"/>
          <w:sz w:val="24"/>
          <w:highlight w:val="none"/>
        </w:rPr>
        <w:t>第五章 响应文件格式</w:t>
      </w:r>
      <w:r>
        <w:rPr>
          <w:rFonts w:hint="eastAsia" w:ascii="宋体" w:hAnsi="宋体" w:cs="宋体"/>
          <w:b/>
          <w:color w:val="auto"/>
          <w:sz w:val="24"/>
          <w:highlight w:val="none"/>
        </w:rPr>
        <w:tab/>
      </w:r>
      <w:r>
        <w:rPr>
          <w:rFonts w:hint="eastAsia" w:ascii="宋体" w:hAnsi="宋体" w:cs="宋体"/>
          <w:b/>
          <w:color w:val="auto"/>
          <w:sz w:val="24"/>
          <w:highlight w:val="none"/>
        </w:rPr>
        <w:fldChar w:fldCharType="begin"/>
      </w:r>
      <w:r>
        <w:rPr>
          <w:rFonts w:hint="eastAsia" w:ascii="宋体" w:hAnsi="宋体" w:cs="宋体"/>
          <w:b/>
          <w:color w:val="auto"/>
          <w:sz w:val="24"/>
          <w:highlight w:val="none"/>
        </w:rPr>
        <w:instrText xml:space="preserve"> PAGEREF _Toc74323460 \h </w:instrText>
      </w:r>
      <w:r>
        <w:rPr>
          <w:rFonts w:hint="eastAsia" w:ascii="宋体" w:hAnsi="宋体" w:cs="宋体"/>
          <w:b/>
          <w:color w:val="auto"/>
          <w:sz w:val="24"/>
          <w:highlight w:val="none"/>
        </w:rPr>
        <w:fldChar w:fldCharType="separate"/>
      </w:r>
      <w:r>
        <w:rPr>
          <w:rFonts w:hint="eastAsia" w:ascii="宋体" w:hAnsi="宋体" w:cs="宋体"/>
          <w:b/>
          <w:color w:val="auto"/>
          <w:sz w:val="24"/>
          <w:highlight w:val="none"/>
        </w:rPr>
        <w:t>93</w:t>
      </w:r>
      <w:r>
        <w:rPr>
          <w:rFonts w:hint="eastAsia" w:ascii="宋体" w:hAnsi="宋体" w:cs="宋体"/>
          <w:b/>
          <w:color w:val="auto"/>
          <w:sz w:val="24"/>
          <w:highlight w:val="none"/>
        </w:rPr>
        <w:fldChar w:fldCharType="end"/>
      </w:r>
      <w:r>
        <w:rPr>
          <w:rFonts w:hint="eastAsia" w:ascii="宋体" w:hAnsi="宋体" w:cs="宋体"/>
          <w:b/>
          <w:color w:val="auto"/>
          <w:sz w:val="24"/>
          <w:highlight w:val="none"/>
        </w:rPr>
        <w:fldChar w:fldCharType="end"/>
      </w:r>
    </w:p>
    <w:p>
      <w:pPr>
        <w:pStyle w:val="23"/>
        <w:tabs>
          <w:tab w:val="right" w:leader="dot" w:pos="8869"/>
        </w:tabs>
        <w:snapToGrid w:val="0"/>
        <w:spacing w:line="500" w:lineRule="atLeast"/>
        <w:rPr>
          <w:rFonts w:ascii="宋体" w:hAnsi="宋体" w:cs="宋体"/>
          <w:color w:val="auto"/>
          <w:sz w:val="24"/>
          <w:highlight w:val="none"/>
        </w:rPr>
      </w:pPr>
      <w:r>
        <w:rPr>
          <w:color w:val="auto"/>
          <w:highlight w:val="none"/>
        </w:rPr>
        <w:fldChar w:fldCharType="begin"/>
      </w:r>
      <w:r>
        <w:rPr>
          <w:color w:val="auto"/>
          <w:highlight w:val="none"/>
        </w:rPr>
        <w:instrText xml:space="preserve"> HYPERLINK \l "_Toc74323461" </w:instrText>
      </w:r>
      <w:r>
        <w:rPr>
          <w:color w:val="auto"/>
          <w:highlight w:val="none"/>
        </w:rPr>
        <w:fldChar w:fldCharType="separate"/>
      </w:r>
      <w:r>
        <w:rPr>
          <w:rStyle w:val="34"/>
          <w:rFonts w:hint="eastAsia" w:ascii="宋体" w:hAnsi="宋体" w:cs="宋体"/>
          <w:b/>
          <w:color w:val="auto"/>
          <w:sz w:val="24"/>
          <w:highlight w:val="none"/>
        </w:rPr>
        <w:t>第六章 合同文本</w:t>
      </w:r>
      <w:r>
        <w:rPr>
          <w:rFonts w:hint="eastAsia" w:ascii="宋体" w:hAnsi="宋体" w:cs="宋体"/>
          <w:b/>
          <w:color w:val="auto"/>
          <w:sz w:val="24"/>
          <w:highlight w:val="none"/>
        </w:rPr>
        <w:tab/>
      </w:r>
      <w:r>
        <w:rPr>
          <w:rFonts w:hint="eastAsia" w:ascii="宋体" w:hAnsi="宋体" w:cs="宋体"/>
          <w:b/>
          <w:color w:val="auto"/>
          <w:sz w:val="24"/>
          <w:highlight w:val="none"/>
        </w:rPr>
        <w:fldChar w:fldCharType="begin"/>
      </w:r>
      <w:r>
        <w:rPr>
          <w:rFonts w:hint="eastAsia" w:ascii="宋体" w:hAnsi="宋体" w:cs="宋体"/>
          <w:b/>
          <w:color w:val="auto"/>
          <w:sz w:val="24"/>
          <w:highlight w:val="none"/>
        </w:rPr>
        <w:instrText xml:space="preserve"> PAGEREF _Toc74323461 \h </w:instrText>
      </w:r>
      <w:r>
        <w:rPr>
          <w:rFonts w:hint="eastAsia" w:ascii="宋体" w:hAnsi="宋体" w:cs="宋体"/>
          <w:b/>
          <w:color w:val="auto"/>
          <w:sz w:val="24"/>
          <w:highlight w:val="none"/>
        </w:rPr>
        <w:fldChar w:fldCharType="separate"/>
      </w:r>
      <w:r>
        <w:rPr>
          <w:rFonts w:hint="eastAsia" w:ascii="宋体" w:hAnsi="宋体" w:cs="宋体"/>
          <w:b/>
          <w:color w:val="auto"/>
          <w:sz w:val="24"/>
          <w:highlight w:val="none"/>
        </w:rPr>
        <w:t>118</w:t>
      </w:r>
      <w:r>
        <w:rPr>
          <w:rFonts w:hint="eastAsia" w:ascii="宋体" w:hAnsi="宋体" w:cs="宋体"/>
          <w:b/>
          <w:color w:val="auto"/>
          <w:sz w:val="24"/>
          <w:highlight w:val="none"/>
        </w:rPr>
        <w:fldChar w:fldCharType="end"/>
      </w:r>
      <w:r>
        <w:rPr>
          <w:rFonts w:hint="eastAsia" w:ascii="宋体" w:hAnsi="宋体" w:cs="宋体"/>
          <w:b/>
          <w:color w:val="auto"/>
          <w:sz w:val="24"/>
          <w:highlight w:val="none"/>
        </w:rPr>
        <w:fldChar w:fldCharType="end"/>
      </w:r>
    </w:p>
    <w:p>
      <w:pPr>
        <w:pStyle w:val="24"/>
        <w:tabs>
          <w:tab w:val="right" w:leader="dot" w:pos="8931"/>
          <w:tab w:val="clear" w:pos="8296"/>
        </w:tabs>
        <w:snapToGrid w:val="0"/>
        <w:spacing w:line="500" w:lineRule="atLeast"/>
        <w:ind w:left="0" w:leftChars="0"/>
        <w:rPr>
          <w:rFonts w:ascii="宋体" w:hAnsi="宋体" w:cs="宋体"/>
          <w:b/>
          <w:color w:val="auto"/>
          <w:sz w:val="24"/>
          <w:highlight w:val="none"/>
        </w:rPr>
      </w:pPr>
      <w:r>
        <w:rPr>
          <w:rFonts w:hint="eastAsia" w:ascii="宋体" w:hAnsi="宋体" w:cs="宋体"/>
          <w:b/>
          <w:color w:val="auto"/>
          <w:sz w:val="24"/>
          <w:highlight w:val="none"/>
        </w:rPr>
        <w:fldChar w:fldCharType="end"/>
      </w:r>
    </w:p>
    <w:p>
      <w:pPr>
        <w:spacing w:line="400" w:lineRule="exact"/>
        <w:jc w:val="left"/>
        <w:rPr>
          <w:rFonts w:ascii="宋体" w:hAnsi="宋体" w:cs="宋体"/>
          <w:b/>
          <w:color w:val="auto"/>
          <w:sz w:val="32"/>
          <w:szCs w:val="32"/>
          <w:highlight w:val="none"/>
        </w:rPr>
      </w:pPr>
    </w:p>
    <w:p>
      <w:pPr>
        <w:spacing w:line="400" w:lineRule="exact"/>
        <w:jc w:val="center"/>
        <w:rPr>
          <w:rFonts w:ascii="宋体" w:hAnsi="宋体" w:cs="宋体"/>
          <w:b/>
          <w:color w:val="auto"/>
          <w:sz w:val="32"/>
          <w:szCs w:val="32"/>
          <w:highlight w:val="none"/>
        </w:rPr>
      </w:pPr>
    </w:p>
    <w:p>
      <w:pPr>
        <w:spacing w:line="400" w:lineRule="exact"/>
        <w:jc w:val="center"/>
        <w:rPr>
          <w:rFonts w:ascii="宋体" w:hAnsi="宋体" w:cs="宋体"/>
          <w:b/>
          <w:color w:val="auto"/>
          <w:sz w:val="32"/>
          <w:szCs w:val="32"/>
          <w:highlight w:val="none"/>
        </w:rPr>
      </w:pPr>
    </w:p>
    <w:p>
      <w:pPr>
        <w:spacing w:line="400" w:lineRule="exact"/>
        <w:jc w:val="center"/>
        <w:rPr>
          <w:rFonts w:ascii="宋体" w:hAnsi="宋体" w:cs="宋体"/>
          <w:b/>
          <w:color w:val="auto"/>
          <w:sz w:val="32"/>
          <w:szCs w:val="32"/>
          <w:highlight w:val="none"/>
        </w:rPr>
      </w:pPr>
    </w:p>
    <w:p>
      <w:pPr>
        <w:spacing w:line="400" w:lineRule="exact"/>
        <w:jc w:val="center"/>
        <w:rPr>
          <w:rFonts w:ascii="宋体" w:hAnsi="宋体" w:cs="宋体"/>
          <w:b/>
          <w:color w:val="auto"/>
          <w:sz w:val="32"/>
          <w:szCs w:val="32"/>
          <w:highlight w:val="none"/>
        </w:rPr>
      </w:pPr>
    </w:p>
    <w:p>
      <w:pPr>
        <w:spacing w:line="400" w:lineRule="exact"/>
        <w:rPr>
          <w:rFonts w:ascii="宋体" w:hAnsi="宋体" w:cs="宋体"/>
          <w:b/>
          <w:color w:val="auto"/>
          <w:sz w:val="32"/>
          <w:szCs w:val="32"/>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tabs>
          <w:tab w:val="center" w:pos="4439"/>
        </w:tabs>
        <w:jc w:val="left"/>
        <w:rPr>
          <w:color w:val="auto"/>
          <w:highlight w:val="none"/>
        </w:rPr>
        <w:sectPr>
          <w:footerReference r:id="rId10" w:type="first"/>
          <w:footerReference r:id="rId9" w:type="default"/>
          <w:pgSz w:w="11906" w:h="16838"/>
          <w:pgMar w:top="1440" w:right="1440" w:bottom="1440" w:left="1587" w:header="851" w:footer="992" w:gutter="0"/>
          <w:pgNumType w:start="0"/>
          <w:cols w:space="720" w:num="1"/>
          <w:titlePg/>
          <w:docGrid w:type="lines" w:linePitch="312" w:charSpace="0"/>
        </w:sectPr>
      </w:pPr>
      <w:r>
        <w:rPr>
          <w:rFonts w:hint="eastAsia"/>
          <w:color w:val="auto"/>
          <w:highlight w:val="none"/>
        </w:rPr>
        <w:tab/>
      </w:r>
    </w:p>
    <w:p>
      <w:pPr>
        <w:pStyle w:val="5"/>
        <w:rPr>
          <w:rFonts w:ascii="宋体" w:hAnsi="宋体" w:cs="宋体"/>
          <w:b/>
          <w:bCs/>
          <w:color w:val="auto"/>
          <w:sz w:val="32"/>
          <w:szCs w:val="32"/>
          <w:highlight w:val="none"/>
        </w:rPr>
      </w:pPr>
      <w:bookmarkStart w:id="3" w:name="_Toc74323456"/>
      <w:r>
        <w:rPr>
          <w:rFonts w:hint="eastAsia"/>
          <w:color w:val="auto"/>
          <w:highlight w:val="none"/>
        </w:rPr>
        <w:t>第一章 竞争性磋商公告</w:t>
      </w:r>
      <w:bookmarkEnd w:id="3"/>
    </w:p>
    <w:p>
      <w:pPr>
        <w:pStyle w:val="18"/>
        <w:jc w:val="center"/>
        <w:rPr>
          <w:rFonts w:hint="eastAsia" w:hAnsi="宋体" w:cs="宋体"/>
          <w:b/>
          <w:color w:val="auto"/>
          <w:sz w:val="32"/>
          <w:szCs w:val="32"/>
          <w:highlight w:val="none"/>
          <w:lang w:eastAsia="zh-CN"/>
        </w:rPr>
      </w:pPr>
      <w:r>
        <w:rPr>
          <w:rFonts w:hint="eastAsia" w:hAnsi="宋体" w:cs="宋体"/>
          <w:b/>
          <w:color w:val="auto"/>
          <w:sz w:val="32"/>
          <w:szCs w:val="32"/>
          <w:highlight w:val="none"/>
        </w:rPr>
        <w:t>广西国泰招标咨询有限公司</w:t>
      </w:r>
      <w:r>
        <w:rPr>
          <w:rFonts w:hint="eastAsia" w:hAnsi="宋体" w:cs="宋体"/>
          <w:b/>
          <w:color w:val="auto"/>
          <w:sz w:val="32"/>
          <w:szCs w:val="32"/>
          <w:highlight w:val="none"/>
          <w:lang w:eastAsia="zh-CN"/>
        </w:rPr>
        <w:t>关于</w:t>
      </w:r>
    </w:p>
    <w:p>
      <w:pPr>
        <w:pStyle w:val="18"/>
        <w:jc w:val="center"/>
        <w:rPr>
          <w:rFonts w:hAnsi="宋体" w:cs="宋体"/>
          <w:b/>
          <w:color w:val="auto"/>
          <w:sz w:val="36"/>
          <w:szCs w:val="36"/>
          <w:highlight w:val="none"/>
        </w:rPr>
      </w:pPr>
      <w:r>
        <w:rPr>
          <w:rFonts w:hint="eastAsia" w:hAnsi="宋体" w:cs="宋体"/>
          <w:b/>
          <w:color w:val="auto"/>
          <w:sz w:val="32"/>
          <w:szCs w:val="32"/>
          <w:highlight w:val="none"/>
          <w:lang w:eastAsia="zh-CN"/>
        </w:rPr>
        <w:t>2024年广西农业信息化系统设计，信息技术咨询、信息系统和其他运行维护项目</w:t>
      </w:r>
      <w:r>
        <w:rPr>
          <w:rFonts w:hint="eastAsia" w:hAnsi="宋体" w:cs="宋体"/>
          <w:b/>
          <w:color w:val="auto"/>
          <w:sz w:val="32"/>
          <w:szCs w:val="32"/>
          <w:highlight w:val="none"/>
        </w:rPr>
        <w:t>（</w:t>
      </w:r>
      <w:r>
        <w:rPr>
          <w:rFonts w:hint="eastAsia" w:hAnsi="宋体" w:cs="宋体"/>
          <w:b/>
          <w:color w:val="auto"/>
          <w:sz w:val="32"/>
          <w:szCs w:val="32"/>
          <w:highlight w:val="none"/>
          <w:lang w:eastAsia="zh-CN"/>
        </w:rPr>
        <w:t>GXZC2024-C3-005320-GTZB</w:t>
      </w:r>
      <w:r>
        <w:rPr>
          <w:rFonts w:hint="eastAsia" w:hAnsi="宋体" w:cs="宋体"/>
          <w:b/>
          <w:color w:val="auto"/>
          <w:sz w:val="32"/>
          <w:szCs w:val="32"/>
          <w:highlight w:val="none"/>
        </w:rPr>
        <w:t>）竞争性磋商公告</w:t>
      </w:r>
    </w:p>
    <w:p>
      <w:pPr>
        <w:spacing w:line="360" w:lineRule="auto"/>
        <w:jc w:val="center"/>
        <w:rPr>
          <w:rFonts w:ascii="宋体" w:hAnsi="宋体" w:cs="宋体"/>
          <w:color w:val="auto"/>
          <w:szCs w:val="21"/>
          <w:highlight w:val="none"/>
        </w:rPr>
      </w:pPr>
    </w:p>
    <w:p>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s="宋体"/>
          <w:color w:val="auto"/>
          <w:szCs w:val="21"/>
          <w:highlight w:val="none"/>
        </w:rPr>
      </w:pPr>
      <w:bookmarkStart w:id="4" w:name="_Hlk37430271"/>
      <w:r>
        <w:rPr>
          <w:rFonts w:hint="eastAsia" w:ascii="宋体" w:hAnsi="宋体" w:cs="宋体"/>
          <w:color w:val="auto"/>
          <w:szCs w:val="21"/>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eastAsia="zh-CN"/>
        </w:rPr>
        <w:t>2024年广西农业信息化系统设计，信息技术咨询、信息系统和其他运行维护项目</w:t>
      </w:r>
      <w:r>
        <w:rPr>
          <w:rFonts w:hint="eastAsia" w:ascii="宋体" w:hAnsi="宋体" w:cs="宋体"/>
          <w:color w:val="auto"/>
          <w:szCs w:val="21"/>
          <w:highlight w:val="none"/>
        </w:rPr>
        <w:t>采购项目的潜在供应商应在广西政府采购云平台（https://www.gcy.zfcg.gxzf.gov.cn/）获取采购文件，并于</w:t>
      </w:r>
      <w:r>
        <w:rPr>
          <w:rFonts w:hint="eastAsia" w:ascii="宋体" w:hAnsi="宋体" w:cs="宋体"/>
          <w:color w:val="auto"/>
          <w:szCs w:val="21"/>
          <w:highlight w:val="none"/>
          <w:lang w:eastAsia="zh-CN"/>
        </w:rPr>
        <w:t>2024年</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lang w:eastAsia="zh-CN"/>
        </w:rPr>
        <w:t>月</w:t>
      </w:r>
      <w:r>
        <w:rPr>
          <w:rFonts w:hint="eastAsia" w:ascii="宋体" w:hAnsi="宋体" w:cs="宋体"/>
          <w:color w:val="auto"/>
          <w:szCs w:val="21"/>
          <w:highlight w:val="none"/>
          <w:lang w:val="en-US" w:eastAsia="zh-CN"/>
        </w:rPr>
        <w:t>19</w:t>
      </w:r>
      <w:r>
        <w:rPr>
          <w:rFonts w:hint="eastAsia" w:ascii="宋体" w:hAnsi="宋体" w:cs="宋体"/>
          <w:color w:val="auto"/>
          <w:szCs w:val="21"/>
          <w:highlight w:val="none"/>
          <w:lang w:eastAsia="zh-CN"/>
        </w:rPr>
        <w:t>日</w:t>
      </w:r>
      <w:r>
        <w:rPr>
          <w:rFonts w:hint="eastAsia" w:ascii="宋体" w:hAnsi="宋体" w:cs="宋体"/>
          <w:color w:val="auto"/>
          <w:szCs w:val="21"/>
          <w:highlight w:val="none"/>
        </w:rPr>
        <w:t>09时00分</w:t>
      </w:r>
      <w:r>
        <w:rPr>
          <w:rFonts w:hint="eastAsia" w:ascii="宋体" w:hAnsi="宋体" w:cs="宋体"/>
          <w:bCs/>
          <w:color w:val="auto"/>
          <w:szCs w:val="21"/>
          <w:highlight w:val="none"/>
        </w:rPr>
        <w:t>（北京时间）前提交响应文件</w:t>
      </w:r>
      <w:r>
        <w:rPr>
          <w:rFonts w:hint="eastAsia" w:ascii="宋体" w:hAnsi="宋体" w:cs="宋体"/>
          <w:color w:val="auto"/>
          <w:szCs w:val="21"/>
          <w:highlight w:val="none"/>
        </w:rPr>
        <w:t>。</w:t>
      </w:r>
    </w:p>
    <w:p>
      <w:pPr>
        <w:spacing w:line="360" w:lineRule="auto"/>
        <w:ind w:firstLine="354" w:firstLineChars="147"/>
        <w:rPr>
          <w:rFonts w:ascii="宋体" w:hAnsi="宋体" w:cs="宋体"/>
          <w:b/>
          <w:color w:val="auto"/>
          <w:sz w:val="24"/>
          <w:highlight w:val="none"/>
        </w:rPr>
      </w:pPr>
      <w:bookmarkStart w:id="5" w:name="_Toc35393798"/>
      <w:bookmarkStart w:id="6" w:name="_Toc28359012"/>
      <w:bookmarkStart w:id="7" w:name="_Toc35393629"/>
      <w:bookmarkStart w:id="8" w:name="_Toc44229878"/>
      <w:bookmarkStart w:id="9" w:name="_Toc28359089"/>
      <w:bookmarkStart w:id="10" w:name="_Toc71365905"/>
    </w:p>
    <w:bookmarkEnd w:id="5"/>
    <w:bookmarkEnd w:id="6"/>
    <w:bookmarkEnd w:id="7"/>
    <w:bookmarkEnd w:id="8"/>
    <w:bookmarkEnd w:id="9"/>
    <w:bookmarkEnd w:id="10"/>
    <w:p>
      <w:pPr>
        <w:spacing w:line="360" w:lineRule="auto"/>
        <w:ind w:firstLine="354" w:firstLineChars="147"/>
        <w:rPr>
          <w:rFonts w:ascii="宋体" w:hAnsi="宋体" w:cs="宋体"/>
          <w:b/>
          <w:color w:val="auto"/>
          <w:sz w:val="24"/>
          <w:highlight w:val="none"/>
        </w:rPr>
      </w:pPr>
      <w:bookmarkStart w:id="11" w:name="_Hlk37429674"/>
      <w:bookmarkStart w:id="12" w:name="_Toc28359018"/>
      <w:bookmarkStart w:id="13" w:name="_Toc35393805"/>
      <w:bookmarkStart w:id="14" w:name="_Toc44229885"/>
      <w:bookmarkStart w:id="15" w:name="_Toc35393636"/>
      <w:bookmarkStart w:id="16" w:name="_Toc28359095"/>
      <w:r>
        <w:rPr>
          <w:rFonts w:hint="eastAsia" w:ascii="宋体" w:hAnsi="宋体" w:cs="宋体"/>
          <w:b/>
          <w:color w:val="auto"/>
          <w:sz w:val="24"/>
          <w:highlight w:val="none"/>
        </w:rPr>
        <w:t>一、项目基本情况</w:t>
      </w:r>
    </w:p>
    <w:p>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项目编号：</w:t>
      </w:r>
      <w:r>
        <w:rPr>
          <w:rFonts w:hint="eastAsia" w:ascii="宋体" w:hAnsi="宋体" w:cs="宋体"/>
          <w:color w:val="auto"/>
          <w:szCs w:val="21"/>
          <w:highlight w:val="none"/>
          <w:lang w:eastAsia="zh-CN"/>
        </w:rPr>
        <w:t>GXZC2024-C3-005320-GTZB</w:t>
      </w:r>
    </w:p>
    <w:p>
      <w:pPr>
        <w:spacing w:line="360" w:lineRule="auto"/>
        <w:ind w:firstLine="420" w:firstLineChars="200"/>
        <w:rPr>
          <w:rFonts w:hint="eastAsia" w:ascii="宋体" w:hAnsi="宋体" w:cs="宋体"/>
          <w:color w:val="auto"/>
          <w:szCs w:val="21"/>
          <w:highlight w:val="none"/>
          <w:lang w:eastAsia="zh-CN"/>
        </w:rPr>
      </w:pPr>
      <w:r>
        <w:rPr>
          <w:rFonts w:hint="eastAsia" w:ascii="宋体" w:hAnsi="宋体" w:cs="宋体"/>
          <w:color w:val="auto"/>
          <w:szCs w:val="21"/>
          <w:highlight w:val="none"/>
          <w:lang w:eastAsia="zh-CN"/>
        </w:rPr>
        <w:t>项目名称：</w:t>
      </w:r>
      <w:r>
        <w:rPr>
          <w:rFonts w:hint="eastAsia" w:ascii="宋体" w:hAnsi="宋体" w:cs="宋体"/>
          <w:color w:val="auto"/>
          <w:szCs w:val="21"/>
          <w:highlight w:val="none"/>
          <w:lang w:val="en-US" w:eastAsia="zh-CN"/>
        </w:rPr>
        <w:t>2024年广西农业信息化系统设计，信息技术咨询、信息系统和其他运行维护项目</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采购方式：竞争性磋商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预算金额：</w:t>
      </w:r>
      <w:r>
        <w:rPr>
          <w:rFonts w:hint="eastAsia" w:ascii="宋体" w:hAnsi="宋体"/>
          <w:color w:val="auto"/>
          <w:highlight w:val="none"/>
        </w:rPr>
        <w:t>预算总金额为</w:t>
      </w:r>
      <w:r>
        <w:rPr>
          <w:rFonts w:hint="eastAsia" w:ascii="宋体" w:hAnsi="宋体" w:cs="宋体"/>
          <w:iCs/>
          <w:color w:val="auto"/>
          <w:szCs w:val="21"/>
          <w:highlight w:val="none"/>
          <w:lang w:val="en-US" w:eastAsia="zh-CN"/>
        </w:rPr>
        <w:t>206.00</w:t>
      </w:r>
      <w:r>
        <w:rPr>
          <w:rFonts w:hint="eastAsia" w:ascii="宋体" w:hAnsi="宋体" w:cs="宋体"/>
          <w:iCs/>
          <w:color w:val="auto"/>
          <w:szCs w:val="21"/>
          <w:highlight w:val="none"/>
        </w:rPr>
        <w:t>万元</w:t>
      </w:r>
      <w:r>
        <w:rPr>
          <w:rFonts w:hint="eastAsia" w:ascii="宋体" w:hAnsi="宋体"/>
          <w:color w:val="auto"/>
          <w:highlight w:val="none"/>
        </w:rPr>
        <w:t>，其中：</w:t>
      </w:r>
      <w:r>
        <w:rPr>
          <w:rFonts w:hint="eastAsia" w:ascii="宋体" w:hAnsi="宋体"/>
          <w:color w:val="auto"/>
          <w:szCs w:val="21"/>
          <w:highlight w:val="none"/>
        </w:rPr>
        <w:t>分标</w:t>
      </w:r>
      <w:r>
        <w:rPr>
          <w:rFonts w:hint="eastAsia" w:ascii="宋体" w:hAnsi="宋体"/>
          <w:color w:val="auto"/>
          <w:szCs w:val="21"/>
          <w:highlight w:val="none"/>
          <w:lang w:val="en-US" w:eastAsia="zh-CN"/>
        </w:rPr>
        <w:t>1为30.00</w:t>
      </w:r>
      <w:r>
        <w:rPr>
          <w:rFonts w:hint="eastAsia" w:ascii="宋体" w:hAnsi="宋体"/>
          <w:color w:val="auto"/>
          <w:szCs w:val="21"/>
          <w:highlight w:val="none"/>
        </w:rPr>
        <w:t>万元；分标</w:t>
      </w:r>
      <w:r>
        <w:rPr>
          <w:rFonts w:hint="eastAsia" w:ascii="宋体" w:hAnsi="宋体"/>
          <w:color w:val="auto"/>
          <w:szCs w:val="21"/>
          <w:highlight w:val="none"/>
          <w:lang w:val="en-US" w:eastAsia="zh-CN"/>
        </w:rPr>
        <w:t>2为46.71</w:t>
      </w:r>
      <w:r>
        <w:rPr>
          <w:rFonts w:hint="eastAsia" w:ascii="宋体" w:hAnsi="宋体" w:cs="宋体"/>
          <w:color w:val="auto"/>
          <w:szCs w:val="21"/>
          <w:highlight w:val="none"/>
        </w:rPr>
        <w:t>万元；</w:t>
      </w:r>
      <w:r>
        <w:rPr>
          <w:rFonts w:hint="eastAsia" w:ascii="宋体" w:hAnsi="宋体"/>
          <w:color w:val="auto"/>
          <w:szCs w:val="21"/>
          <w:highlight w:val="none"/>
        </w:rPr>
        <w:t>分标</w:t>
      </w:r>
      <w:r>
        <w:rPr>
          <w:rFonts w:hint="eastAsia" w:ascii="宋体" w:hAnsi="宋体"/>
          <w:color w:val="auto"/>
          <w:szCs w:val="21"/>
          <w:highlight w:val="none"/>
          <w:lang w:val="en-US" w:eastAsia="zh-CN"/>
        </w:rPr>
        <w:t>3为13.29</w:t>
      </w:r>
      <w:r>
        <w:rPr>
          <w:rFonts w:hint="eastAsia" w:ascii="宋体" w:hAnsi="宋体" w:cs="宋体"/>
          <w:color w:val="auto"/>
          <w:szCs w:val="21"/>
          <w:highlight w:val="none"/>
        </w:rPr>
        <w:t>万元；</w:t>
      </w:r>
      <w:r>
        <w:rPr>
          <w:rFonts w:hint="eastAsia" w:ascii="宋体" w:hAnsi="宋体"/>
          <w:color w:val="auto"/>
          <w:szCs w:val="21"/>
          <w:highlight w:val="none"/>
        </w:rPr>
        <w:t>分标</w:t>
      </w:r>
      <w:r>
        <w:rPr>
          <w:rFonts w:hint="eastAsia" w:ascii="宋体" w:hAnsi="宋体"/>
          <w:color w:val="auto"/>
          <w:szCs w:val="21"/>
          <w:highlight w:val="none"/>
          <w:lang w:val="en-US" w:eastAsia="zh-CN"/>
        </w:rPr>
        <w:t>4为20.00</w:t>
      </w:r>
      <w:r>
        <w:rPr>
          <w:rFonts w:hint="eastAsia" w:ascii="宋体" w:hAnsi="宋体" w:cs="宋体"/>
          <w:color w:val="auto"/>
          <w:szCs w:val="21"/>
          <w:highlight w:val="none"/>
        </w:rPr>
        <w:t>万元；</w:t>
      </w:r>
      <w:r>
        <w:rPr>
          <w:rFonts w:hint="eastAsia" w:ascii="宋体" w:hAnsi="宋体"/>
          <w:color w:val="auto"/>
          <w:szCs w:val="21"/>
          <w:highlight w:val="none"/>
        </w:rPr>
        <w:t>分标</w:t>
      </w:r>
      <w:r>
        <w:rPr>
          <w:rFonts w:hint="eastAsia" w:ascii="宋体" w:hAnsi="宋体"/>
          <w:color w:val="auto"/>
          <w:szCs w:val="21"/>
          <w:highlight w:val="none"/>
          <w:lang w:val="en-US" w:eastAsia="zh-CN"/>
        </w:rPr>
        <w:t>5为20.00</w:t>
      </w:r>
      <w:r>
        <w:rPr>
          <w:rFonts w:hint="eastAsia" w:ascii="宋体" w:hAnsi="宋体" w:cs="宋体"/>
          <w:color w:val="auto"/>
          <w:szCs w:val="21"/>
          <w:highlight w:val="none"/>
        </w:rPr>
        <w:t>万元；</w:t>
      </w:r>
      <w:r>
        <w:rPr>
          <w:rFonts w:hint="eastAsia" w:ascii="宋体" w:hAnsi="宋体"/>
          <w:color w:val="auto"/>
          <w:szCs w:val="21"/>
          <w:highlight w:val="none"/>
        </w:rPr>
        <w:t>分标</w:t>
      </w:r>
      <w:r>
        <w:rPr>
          <w:rFonts w:hint="eastAsia" w:ascii="宋体" w:hAnsi="宋体"/>
          <w:color w:val="auto"/>
          <w:szCs w:val="21"/>
          <w:highlight w:val="none"/>
          <w:lang w:val="en-US" w:eastAsia="zh-CN"/>
        </w:rPr>
        <w:t>6为56.00</w:t>
      </w:r>
      <w:r>
        <w:rPr>
          <w:rFonts w:hint="eastAsia" w:ascii="宋体" w:hAnsi="宋体" w:cs="宋体"/>
          <w:color w:val="auto"/>
          <w:szCs w:val="21"/>
          <w:highlight w:val="none"/>
        </w:rPr>
        <w:t>万元；</w:t>
      </w:r>
      <w:r>
        <w:rPr>
          <w:rFonts w:hint="eastAsia" w:ascii="宋体" w:hAnsi="宋体"/>
          <w:color w:val="auto"/>
          <w:szCs w:val="21"/>
          <w:highlight w:val="none"/>
        </w:rPr>
        <w:t>分标</w:t>
      </w:r>
      <w:r>
        <w:rPr>
          <w:rFonts w:hint="eastAsia" w:ascii="宋体" w:hAnsi="宋体"/>
          <w:color w:val="auto"/>
          <w:szCs w:val="21"/>
          <w:highlight w:val="none"/>
          <w:lang w:val="en-US" w:eastAsia="zh-CN"/>
        </w:rPr>
        <w:t>7为10.00</w:t>
      </w:r>
      <w:r>
        <w:rPr>
          <w:rFonts w:hint="eastAsia" w:ascii="宋体" w:hAnsi="宋体" w:cs="宋体"/>
          <w:color w:val="auto"/>
          <w:szCs w:val="21"/>
          <w:highlight w:val="none"/>
        </w:rPr>
        <w:t>万元；</w:t>
      </w:r>
      <w:r>
        <w:rPr>
          <w:rFonts w:hint="eastAsia" w:ascii="宋体" w:hAnsi="宋体"/>
          <w:color w:val="auto"/>
          <w:szCs w:val="21"/>
          <w:highlight w:val="none"/>
        </w:rPr>
        <w:t>分标</w:t>
      </w:r>
      <w:r>
        <w:rPr>
          <w:rFonts w:hint="eastAsia" w:ascii="宋体" w:hAnsi="宋体"/>
          <w:color w:val="auto"/>
          <w:szCs w:val="21"/>
          <w:highlight w:val="none"/>
          <w:lang w:val="en-US" w:eastAsia="zh-CN"/>
        </w:rPr>
        <w:t>8为10.00</w:t>
      </w:r>
      <w:r>
        <w:rPr>
          <w:rFonts w:hint="eastAsia" w:ascii="宋体" w:hAnsi="宋体" w:cs="宋体"/>
          <w:color w:val="auto"/>
          <w:szCs w:val="21"/>
          <w:highlight w:val="none"/>
        </w:rPr>
        <w:t>万元。</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最高限价（如有）：</w:t>
      </w:r>
      <w:r>
        <w:rPr>
          <w:rFonts w:hint="eastAsia" w:ascii="宋体" w:hAnsi="宋体"/>
          <w:color w:val="auto"/>
          <w:szCs w:val="21"/>
          <w:highlight w:val="none"/>
        </w:rPr>
        <w:t>分标</w:t>
      </w:r>
      <w:r>
        <w:rPr>
          <w:rFonts w:hint="eastAsia" w:ascii="宋体" w:hAnsi="宋体"/>
          <w:color w:val="auto"/>
          <w:szCs w:val="21"/>
          <w:highlight w:val="none"/>
          <w:lang w:val="en-US" w:eastAsia="zh-CN"/>
        </w:rPr>
        <w:t>1为30.00</w:t>
      </w:r>
      <w:r>
        <w:rPr>
          <w:rFonts w:hint="eastAsia" w:ascii="宋体" w:hAnsi="宋体"/>
          <w:color w:val="auto"/>
          <w:szCs w:val="21"/>
          <w:highlight w:val="none"/>
        </w:rPr>
        <w:t>万元；分标</w:t>
      </w:r>
      <w:r>
        <w:rPr>
          <w:rFonts w:hint="eastAsia" w:ascii="宋体" w:hAnsi="宋体"/>
          <w:color w:val="auto"/>
          <w:szCs w:val="21"/>
          <w:highlight w:val="none"/>
          <w:lang w:val="en-US" w:eastAsia="zh-CN"/>
        </w:rPr>
        <w:t>2为46.71</w:t>
      </w:r>
      <w:r>
        <w:rPr>
          <w:rFonts w:hint="eastAsia" w:ascii="宋体" w:hAnsi="宋体" w:cs="宋体"/>
          <w:color w:val="auto"/>
          <w:szCs w:val="21"/>
          <w:highlight w:val="none"/>
        </w:rPr>
        <w:t>万元；</w:t>
      </w:r>
      <w:r>
        <w:rPr>
          <w:rFonts w:hint="eastAsia" w:ascii="宋体" w:hAnsi="宋体"/>
          <w:color w:val="auto"/>
          <w:szCs w:val="21"/>
          <w:highlight w:val="none"/>
        </w:rPr>
        <w:t>分标</w:t>
      </w:r>
      <w:r>
        <w:rPr>
          <w:rFonts w:hint="eastAsia" w:ascii="宋体" w:hAnsi="宋体"/>
          <w:color w:val="auto"/>
          <w:szCs w:val="21"/>
          <w:highlight w:val="none"/>
          <w:lang w:val="en-US" w:eastAsia="zh-CN"/>
        </w:rPr>
        <w:t>3为13.29</w:t>
      </w:r>
      <w:r>
        <w:rPr>
          <w:rFonts w:hint="eastAsia" w:ascii="宋体" w:hAnsi="宋体" w:cs="宋体"/>
          <w:color w:val="auto"/>
          <w:szCs w:val="21"/>
          <w:highlight w:val="none"/>
        </w:rPr>
        <w:t>万元；</w:t>
      </w:r>
      <w:r>
        <w:rPr>
          <w:rFonts w:hint="eastAsia" w:ascii="宋体" w:hAnsi="宋体"/>
          <w:color w:val="auto"/>
          <w:szCs w:val="21"/>
          <w:highlight w:val="none"/>
        </w:rPr>
        <w:t>分标</w:t>
      </w:r>
      <w:r>
        <w:rPr>
          <w:rFonts w:hint="eastAsia" w:ascii="宋体" w:hAnsi="宋体"/>
          <w:color w:val="auto"/>
          <w:szCs w:val="21"/>
          <w:highlight w:val="none"/>
          <w:lang w:val="en-US" w:eastAsia="zh-CN"/>
        </w:rPr>
        <w:t>4为20.00</w:t>
      </w:r>
      <w:r>
        <w:rPr>
          <w:rFonts w:hint="eastAsia" w:ascii="宋体" w:hAnsi="宋体" w:cs="宋体"/>
          <w:color w:val="auto"/>
          <w:szCs w:val="21"/>
          <w:highlight w:val="none"/>
        </w:rPr>
        <w:t>万元；</w:t>
      </w:r>
      <w:r>
        <w:rPr>
          <w:rFonts w:hint="eastAsia" w:ascii="宋体" w:hAnsi="宋体"/>
          <w:color w:val="auto"/>
          <w:szCs w:val="21"/>
          <w:highlight w:val="none"/>
        </w:rPr>
        <w:t>分标</w:t>
      </w:r>
      <w:r>
        <w:rPr>
          <w:rFonts w:hint="eastAsia" w:ascii="宋体" w:hAnsi="宋体"/>
          <w:color w:val="auto"/>
          <w:szCs w:val="21"/>
          <w:highlight w:val="none"/>
          <w:lang w:val="en-US" w:eastAsia="zh-CN"/>
        </w:rPr>
        <w:t>5为20.00</w:t>
      </w:r>
      <w:r>
        <w:rPr>
          <w:rFonts w:hint="eastAsia" w:ascii="宋体" w:hAnsi="宋体" w:cs="宋体"/>
          <w:color w:val="auto"/>
          <w:szCs w:val="21"/>
          <w:highlight w:val="none"/>
        </w:rPr>
        <w:t>万元；</w:t>
      </w:r>
      <w:r>
        <w:rPr>
          <w:rFonts w:hint="eastAsia" w:ascii="宋体" w:hAnsi="宋体"/>
          <w:color w:val="auto"/>
          <w:szCs w:val="21"/>
          <w:highlight w:val="none"/>
        </w:rPr>
        <w:t>分标</w:t>
      </w:r>
      <w:r>
        <w:rPr>
          <w:rFonts w:hint="eastAsia" w:ascii="宋体" w:hAnsi="宋体"/>
          <w:color w:val="auto"/>
          <w:szCs w:val="21"/>
          <w:highlight w:val="none"/>
          <w:lang w:val="en-US" w:eastAsia="zh-CN"/>
        </w:rPr>
        <w:t>6为56.00</w:t>
      </w:r>
      <w:r>
        <w:rPr>
          <w:rFonts w:hint="eastAsia" w:ascii="宋体" w:hAnsi="宋体" w:cs="宋体"/>
          <w:color w:val="auto"/>
          <w:szCs w:val="21"/>
          <w:highlight w:val="none"/>
        </w:rPr>
        <w:t>万元；</w:t>
      </w:r>
      <w:r>
        <w:rPr>
          <w:rFonts w:hint="eastAsia" w:ascii="宋体" w:hAnsi="宋体"/>
          <w:color w:val="auto"/>
          <w:szCs w:val="21"/>
          <w:highlight w:val="none"/>
        </w:rPr>
        <w:t>分标</w:t>
      </w:r>
      <w:r>
        <w:rPr>
          <w:rFonts w:hint="eastAsia" w:ascii="宋体" w:hAnsi="宋体"/>
          <w:color w:val="auto"/>
          <w:szCs w:val="21"/>
          <w:highlight w:val="none"/>
          <w:lang w:val="en-US" w:eastAsia="zh-CN"/>
        </w:rPr>
        <w:t>7为10.00</w:t>
      </w:r>
      <w:r>
        <w:rPr>
          <w:rFonts w:hint="eastAsia" w:ascii="宋体" w:hAnsi="宋体" w:cs="宋体"/>
          <w:color w:val="auto"/>
          <w:szCs w:val="21"/>
          <w:highlight w:val="none"/>
        </w:rPr>
        <w:t>万元；</w:t>
      </w:r>
      <w:r>
        <w:rPr>
          <w:rFonts w:hint="eastAsia" w:ascii="宋体" w:hAnsi="宋体"/>
          <w:color w:val="auto"/>
          <w:szCs w:val="21"/>
          <w:highlight w:val="none"/>
        </w:rPr>
        <w:t>分标</w:t>
      </w:r>
      <w:r>
        <w:rPr>
          <w:rFonts w:hint="eastAsia" w:ascii="宋体" w:hAnsi="宋体"/>
          <w:color w:val="auto"/>
          <w:szCs w:val="21"/>
          <w:highlight w:val="none"/>
          <w:lang w:val="en-US" w:eastAsia="zh-CN"/>
        </w:rPr>
        <w:t>8为10.00</w:t>
      </w:r>
      <w:r>
        <w:rPr>
          <w:rFonts w:hint="eastAsia" w:ascii="宋体" w:hAnsi="宋体" w:cs="宋体"/>
          <w:color w:val="auto"/>
          <w:szCs w:val="21"/>
          <w:highlight w:val="none"/>
        </w:rPr>
        <w:t>万元。</w:t>
      </w:r>
    </w:p>
    <w:p>
      <w:pPr>
        <w:rPr>
          <w:rFonts w:ascii="宋体" w:hAnsi="宋体"/>
          <w:b/>
          <w:bCs/>
          <w:color w:val="auto"/>
          <w:szCs w:val="21"/>
          <w:highlight w:val="none"/>
        </w:rPr>
      </w:pPr>
      <w:r>
        <w:rPr>
          <w:rFonts w:hint="eastAsia" w:ascii="宋体" w:hAnsi="宋体"/>
          <w:b/>
          <w:bCs/>
          <w:color w:val="auto"/>
          <w:szCs w:val="21"/>
          <w:highlight w:val="none"/>
        </w:rPr>
        <w:t>采购需求：</w:t>
      </w:r>
    </w:p>
    <w:tbl>
      <w:tblPr>
        <w:tblStyle w:val="30"/>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718"/>
        <w:gridCol w:w="3688"/>
        <w:gridCol w:w="567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jc w:val="center"/>
        </w:trPr>
        <w:tc>
          <w:tcPr>
            <w:tcW w:w="5000" w:type="pct"/>
            <w:gridSpan w:val="3"/>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olor w:val="auto"/>
                <w:szCs w:val="21"/>
                <w:highlight w:val="none"/>
              </w:rPr>
            </w:pPr>
            <w:r>
              <w:rPr>
                <w:rFonts w:hint="eastAsia" w:ascii="宋体" w:hAnsi="宋体"/>
                <w:b/>
                <w:bCs/>
                <w:color w:val="auto"/>
                <w:szCs w:val="21"/>
                <w:highlight w:val="none"/>
              </w:rPr>
              <w:t>分标</w:t>
            </w:r>
            <w:r>
              <w:rPr>
                <w:rFonts w:hint="eastAsia" w:ascii="宋体" w:hAnsi="宋体"/>
                <w:b/>
                <w:bCs/>
                <w:color w:val="auto"/>
                <w:szCs w:val="21"/>
                <w:highlight w:val="none"/>
                <w:lang w:val="en-US" w:eastAsia="zh-CN"/>
              </w:rPr>
              <w:t>1</w:t>
            </w:r>
            <w:r>
              <w:rPr>
                <w:rFonts w:hint="eastAsia" w:ascii="宋体" w:hAnsi="宋体"/>
                <w:b/>
                <w:bCs/>
                <w:color w:val="auto"/>
                <w:szCs w:val="21"/>
                <w:highlight w:val="none"/>
              </w:rPr>
              <w:t>；预算金额：</w:t>
            </w:r>
            <w:r>
              <w:rPr>
                <w:rFonts w:hint="eastAsia" w:ascii="宋体" w:hAnsi="宋体"/>
                <w:b/>
                <w:bCs/>
                <w:color w:val="auto"/>
                <w:szCs w:val="21"/>
                <w:highlight w:val="none"/>
                <w:u w:val="single"/>
                <w:lang w:val="en-US" w:eastAsia="zh-CN"/>
              </w:rPr>
              <w:t xml:space="preserve"> 30.00</w:t>
            </w:r>
            <w:r>
              <w:rPr>
                <w:rFonts w:hint="eastAsia" w:ascii="宋体" w:hAnsi="宋体" w:cs="宋体"/>
                <w:b/>
                <w:bCs/>
                <w:color w:val="auto"/>
                <w:szCs w:val="21"/>
                <w:highlight w:val="none"/>
                <w:u w:val="single"/>
              </w:rPr>
              <w:t xml:space="preserve">万元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2" w:hRule="atLeast"/>
          <w:jc w:val="center"/>
        </w:trPr>
        <w:tc>
          <w:tcPr>
            <w:tcW w:w="356" w:type="pct"/>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r>
              <w:rPr>
                <w:rFonts w:hint="eastAsia"/>
                <w:color w:val="auto"/>
                <w:highlight w:val="none"/>
              </w:rPr>
              <w:t>序号</w:t>
            </w:r>
          </w:p>
        </w:tc>
        <w:tc>
          <w:tcPr>
            <w:tcW w:w="1829" w:type="pct"/>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r>
              <w:rPr>
                <w:rFonts w:hint="eastAsia"/>
                <w:color w:val="auto"/>
                <w:highlight w:val="none"/>
              </w:rPr>
              <w:t>标</w:t>
            </w:r>
            <w:r>
              <w:rPr>
                <w:rFonts w:hint="eastAsia"/>
                <w:color w:val="auto"/>
                <w:highlight w:val="none"/>
                <w:lang w:eastAsia="zh-CN"/>
              </w:rPr>
              <w:t>项</w:t>
            </w:r>
            <w:r>
              <w:rPr>
                <w:rFonts w:hint="eastAsia"/>
                <w:color w:val="auto"/>
                <w:highlight w:val="none"/>
              </w:rPr>
              <w:t>名称</w:t>
            </w:r>
          </w:p>
        </w:tc>
        <w:tc>
          <w:tcPr>
            <w:tcW w:w="2814" w:type="pct"/>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r>
              <w:rPr>
                <w:rFonts w:hint="eastAsia"/>
                <w:color w:val="auto"/>
                <w:highlight w:val="none"/>
              </w:rPr>
              <w:t>简要技术需求或者</w:t>
            </w:r>
            <w:r>
              <w:rPr>
                <w:rFonts w:hint="eastAsia"/>
                <w:color w:val="auto"/>
                <w:highlight w:val="none"/>
                <w:lang w:eastAsia="zh-CN"/>
              </w:rPr>
              <w:t>技术</w:t>
            </w:r>
            <w:r>
              <w:rPr>
                <w:rFonts w:hint="eastAsia"/>
                <w:color w:val="auto"/>
                <w:highlight w:val="none"/>
              </w:rPr>
              <w:t>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85" w:hRule="atLeast"/>
          <w:jc w:val="center"/>
        </w:trPr>
        <w:tc>
          <w:tcPr>
            <w:tcW w:w="356"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1</w:t>
            </w:r>
          </w:p>
        </w:tc>
        <w:tc>
          <w:tcPr>
            <w:tcW w:w="1829"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eastAsia="宋体"/>
                <w:color w:val="auto"/>
                <w:highlight w:val="none"/>
                <w:lang w:eastAsia="zh-CN"/>
              </w:rPr>
            </w:pPr>
            <w:r>
              <w:rPr>
                <w:rFonts w:hint="eastAsia"/>
                <w:color w:val="auto"/>
                <w:highlight w:val="none"/>
                <w:lang w:eastAsia="zh-CN"/>
              </w:rPr>
              <w:t>数据底图绘制服务</w:t>
            </w:r>
          </w:p>
        </w:tc>
        <w:tc>
          <w:tcPr>
            <w:tcW w:w="2814" w:type="pct"/>
            <w:tcBorders>
              <w:top w:val="single" w:color="auto" w:sz="4" w:space="0"/>
              <w:left w:val="single" w:color="auto" w:sz="4" w:space="0"/>
              <w:bottom w:val="single" w:color="auto" w:sz="4" w:space="0"/>
              <w:right w:val="single" w:color="auto" w:sz="4" w:space="0"/>
            </w:tcBorders>
            <w:vAlign w:val="center"/>
          </w:tcPr>
          <w:p>
            <w:pPr>
              <w:pStyle w:val="76"/>
              <w:widowControl w:val="0"/>
              <w:spacing w:line="300" w:lineRule="exact"/>
              <w:ind w:firstLine="0" w:firstLineChars="0"/>
              <w:rPr>
                <w:rFonts w:ascii="宋体" w:hAnsi="宋体"/>
                <w:color w:val="auto"/>
                <w:szCs w:val="21"/>
                <w:highlight w:val="none"/>
              </w:rPr>
            </w:pPr>
            <w:r>
              <w:rPr>
                <w:rFonts w:hint="eastAsia"/>
                <w:color w:val="auto"/>
                <w:highlight w:val="none"/>
                <w:lang w:eastAsia="zh-CN"/>
              </w:rPr>
              <w:t>数据底图绘制服务</w:t>
            </w:r>
            <w:r>
              <w:rPr>
                <w:rFonts w:hint="eastAsia"/>
                <w:color w:val="auto"/>
                <w:highlight w:val="none"/>
                <w:lang w:val="en-US" w:eastAsia="zh-CN"/>
              </w:rPr>
              <w:t>1项</w:t>
            </w:r>
            <w:r>
              <w:rPr>
                <w:rFonts w:hint="eastAsia" w:ascii="宋体" w:hAnsi="宋体"/>
                <w:color w:val="auto"/>
                <w:szCs w:val="21"/>
                <w:highlight w:val="none"/>
                <w:lang w:val="en-US" w:eastAsia="zh-CN"/>
              </w:rPr>
              <w:t>，</w:t>
            </w:r>
            <w:r>
              <w:rPr>
                <w:rFonts w:hint="eastAsia" w:ascii="宋体" w:hAnsi="宋体"/>
                <w:color w:val="auto"/>
                <w:szCs w:val="21"/>
                <w:highlight w:val="none"/>
              </w:rPr>
              <w:t>具体详见竞争性磋商文件第三章采购需求。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5000" w:type="pct"/>
            <w:gridSpan w:val="3"/>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eastAsia" w:ascii="宋体" w:hAnsi="宋体" w:cs="宋体"/>
                <w:color w:val="auto"/>
                <w:szCs w:val="21"/>
                <w:highlight w:val="none"/>
                <w:lang w:val="en-US" w:eastAsia="zh-CN"/>
              </w:rPr>
            </w:pPr>
            <w:r>
              <w:rPr>
                <w:rFonts w:hint="eastAsia" w:ascii="宋体" w:hAnsi="宋体"/>
                <w:b/>
                <w:bCs/>
                <w:color w:val="auto"/>
                <w:szCs w:val="21"/>
                <w:highlight w:val="none"/>
              </w:rPr>
              <w:t>分标</w:t>
            </w:r>
            <w:r>
              <w:rPr>
                <w:rFonts w:hint="eastAsia" w:ascii="宋体" w:hAnsi="宋体"/>
                <w:b/>
                <w:bCs/>
                <w:color w:val="auto"/>
                <w:szCs w:val="21"/>
                <w:highlight w:val="none"/>
                <w:lang w:val="en-US" w:eastAsia="zh-CN"/>
              </w:rPr>
              <w:t>2</w:t>
            </w:r>
            <w:r>
              <w:rPr>
                <w:rFonts w:hint="eastAsia" w:ascii="宋体" w:hAnsi="宋体"/>
                <w:b/>
                <w:bCs/>
                <w:color w:val="auto"/>
                <w:szCs w:val="21"/>
                <w:highlight w:val="none"/>
              </w:rPr>
              <w:t>；预算金额：</w:t>
            </w:r>
            <w:r>
              <w:rPr>
                <w:rFonts w:hint="eastAsia" w:ascii="宋体" w:hAnsi="宋体"/>
                <w:b/>
                <w:bCs/>
                <w:color w:val="auto"/>
                <w:szCs w:val="21"/>
                <w:highlight w:val="none"/>
                <w:u w:val="single"/>
                <w:lang w:val="en-US" w:eastAsia="zh-CN"/>
              </w:rPr>
              <w:t>46.71</w:t>
            </w:r>
            <w:r>
              <w:rPr>
                <w:rFonts w:hint="eastAsia" w:ascii="宋体" w:hAnsi="宋体" w:cs="宋体"/>
                <w:b/>
                <w:bCs/>
                <w:color w:val="auto"/>
                <w:szCs w:val="21"/>
                <w:highlight w:val="none"/>
                <w:u w:val="single"/>
              </w:rPr>
              <w:t xml:space="preserve">万元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85" w:hRule="atLeast"/>
          <w:jc w:val="center"/>
        </w:trPr>
        <w:tc>
          <w:tcPr>
            <w:tcW w:w="356"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auto"/>
                <w:szCs w:val="21"/>
                <w:highlight w:val="none"/>
              </w:rPr>
            </w:pPr>
            <w:r>
              <w:rPr>
                <w:rFonts w:hint="eastAsia"/>
                <w:color w:val="auto"/>
                <w:highlight w:val="none"/>
              </w:rPr>
              <w:t>序号</w:t>
            </w:r>
          </w:p>
        </w:tc>
        <w:tc>
          <w:tcPr>
            <w:tcW w:w="1829" w:type="pct"/>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color w:val="auto"/>
                <w:highlight w:val="none"/>
                <w:lang w:eastAsia="zh-CN"/>
              </w:rPr>
            </w:pPr>
            <w:r>
              <w:rPr>
                <w:rFonts w:hint="eastAsia"/>
                <w:color w:val="auto"/>
                <w:highlight w:val="none"/>
              </w:rPr>
              <w:t>标</w:t>
            </w:r>
            <w:r>
              <w:rPr>
                <w:rFonts w:hint="eastAsia"/>
                <w:color w:val="auto"/>
                <w:highlight w:val="none"/>
                <w:lang w:eastAsia="zh-CN"/>
              </w:rPr>
              <w:t>项</w:t>
            </w:r>
            <w:r>
              <w:rPr>
                <w:rFonts w:hint="eastAsia"/>
                <w:color w:val="auto"/>
                <w:highlight w:val="none"/>
              </w:rPr>
              <w:t>名称</w:t>
            </w:r>
          </w:p>
        </w:tc>
        <w:tc>
          <w:tcPr>
            <w:tcW w:w="2814"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auto"/>
                <w:szCs w:val="21"/>
                <w:highlight w:val="none"/>
                <w:lang w:val="en-US" w:eastAsia="zh-CN"/>
              </w:rPr>
            </w:pPr>
            <w:r>
              <w:rPr>
                <w:rFonts w:hint="eastAsia"/>
                <w:color w:val="auto"/>
                <w:highlight w:val="none"/>
              </w:rPr>
              <w:t>简要技术需求或者</w:t>
            </w:r>
            <w:r>
              <w:rPr>
                <w:rFonts w:hint="eastAsia"/>
                <w:color w:val="auto"/>
                <w:highlight w:val="none"/>
                <w:lang w:eastAsia="zh-CN"/>
              </w:rPr>
              <w:t>技术</w:t>
            </w:r>
            <w:r>
              <w:rPr>
                <w:rFonts w:hint="eastAsia"/>
                <w:color w:val="auto"/>
                <w:highlight w:val="none"/>
              </w:rPr>
              <w:t>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85" w:hRule="atLeast"/>
          <w:jc w:val="center"/>
        </w:trPr>
        <w:tc>
          <w:tcPr>
            <w:tcW w:w="356"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color w:val="auto"/>
                <w:szCs w:val="21"/>
                <w:highlight w:val="none"/>
              </w:rPr>
            </w:pPr>
            <w:r>
              <w:rPr>
                <w:rFonts w:hint="eastAsia" w:ascii="宋体" w:hAnsi="宋体"/>
                <w:color w:val="auto"/>
                <w:szCs w:val="21"/>
                <w:highlight w:val="none"/>
              </w:rPr>
              <w:t>1</w:t>
            </w:r>
          </w:p>
        </w:tc>
        <w:tc>
          <w:tcPr>
            <w:tcW w:w="1829"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广西农业信息化建设项目设计服务(智桂农平台、数字档案室系统)</w:t>
            </w:r>
          </w:p>
        </w:tc>
        <w:tc>
          <w:tcPr>
            <w:tcW w:w="2814" w:type="pct"/>
            <w:tcBorders>
              <w:top w:val="single" w:color="auto" w:sz="4" w:space="0"/>
              <w:left w:val="single" w:color="auto" w:sz="4" w:space="0"/>
              <w:bottom w:val="single" w:color="auto" w:sz="4" w:space="0"/>
              <w:right w:val="single" w:color="auto" w:sz="4" w:space="0"/>
            </w:tcBorders>
            <w:vAlign w:val="center"/>
          </w:tcPr>
          <w:p>
            <w:pPr>
              <w:pStyle w:val="76"/>
              <w:widowControl w:val="0"/>
              <w:spacing w:line="300" w:lineRule="exact"/>
              <w:ind w:firstLine="0" w:firstLineChars="0"/>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广西农业信息化建设项目设计服务(智桂农平台、数字档案室系统)1项，具体详见竞争性磋商文件第三章采购需求。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6" w:hRule="atLeast"/>
          <w:jc w:val="center"/>
        </w:trPr>
        <w:tc>
          <w:tcPr>
            <w:tcW w:w="5000" w:type="pct"/>
            <w:gridSpan w:val="3"/>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eastAsia" w:ascii="宋体" w:hAnsi="宋体" w:eastAsia="宋体" w:cs="Times New Roman"/>
                <w:color w:val="auto"/>
                <w:kern w:val="2"/>
                <w:sz w:val="21"/>
                <w:szCs w:val="21"/>
                <w:highlight w:val="none"/>
                <w:lang w:val="en-US" w:eastAsia="zh-CN" w:bidi="ar-SA"/>
              </w:rPr>
            </w:pPr>
            <w:r>
              <w:rPr>
                <w:rFonts w:hint="eastAsia" w:ascii="宋体" w:hAnsi="宋体"/>
                <w:b/>
                <w:bCs/>
                <w:color w:val="auto"/>
                <w:szCs w:val="21"/>
                <w:highlight w:val="none"/>
              </w:rPr>
              <w:t>分标</w:t>
            </w:r>
            <w:r>
              <w:rPr>
                <w:rFonts w:hint="eastAsia" w:ascii="宋体" w:hAnsi="宋体"/>
                <w:b/>
                <w:bCs/>
                <w:color w:val="auto"/>
                <w:szCs w:val="21"/>
                <w:highlight w:val="none"/>
                <w:lang w:val="en-US" w:eastAsia="zh-CN"/>
              </w:rPr>
              <w:t>3</w:t>
            </w:r>
            <w:r>
              <w:rPr>
                <w:rFonts w:hint="eastAsia" w:ascii="宋体" w:hAnsi="宋体"/>
                <w:b/>
                <w:bCs/>
                <w:color w:val="auto"/>
                <w:szCs w:val="21"/>
                <w:highlight w:val="none"/>
              </w:rPr>
              <w:t>；预算金额：</w:t>
            </w:r>
            <w:r>
              <w:rPr>
                <w:rFonts w:hint="eastAsia" w:ascii="宋体" w:hAnsi="宋体"/>
                <w:b/>
                <w:bCs/>
                <w:color w:val="auto"/>
                <w:szCs w:val="21"/>
                <w:highlight w:val="none"/>
                <w:u w:val="single"/>
                <w:lang w:val="en-US" w:eastAsia="zh-CN"/>
              </w:rPr>
              <w:t>13.29</w:t>
            </w:r>
            <w:r>
              <w:rPr>
                <w:rFonts w:hint="eastAsia" w:ascii="宋体" w:hAnsi="宋体" w:cs="宋体"/>
                <w:b/>
                <w:bCs/>
                <w:color w:val="auto"/>
                <w:szCs w:val="21"/>
                <w:highlight w:val="none"/>
                <w:u w:val="single"/>
              </w:rPr>
              <w:t xml:space="preserve">万元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85" w:hRule="atLeast"/>
          <w:jc w:val="center"/>
        </w:trPr>
        <w:tc>
          <w:tcPr>
            <w:tcW w:w="356"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cs="Times New Roman"/>
                <w:color w:val="auto"/>
                <w:kern w:val="2"/>
                <w:sz w:val="21"/>
                <w:szCs w:val="24"/>
                <w:highlight w:val="none"/>
                <w:lang w:val="en-US" w:eastAsia="zh-CN" w:bidi="ar-SA"/>
              </w:rPr>
            </w:pPr>
            <w:r>
              <w:rPr>
                <w:rFonts w:hint="eastAsia"/>
                <w:color w:val="auto"/>
                <w:highlight w:val="none"/>
              </w:rPr>
              <w:t>序号</w:t>
            </w:r>
          </w:p>
        </w:tc>
        <w:tc>
          <w:tcPr>
            <w:tcW w:w="1829"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cs="Times New Roman"/>
                <w:color w:val="auto"/>
                <w:kern w:val="2"/>
                <w:sz w:val="21"/>
                <w:szCs w:val="24"/>
                <w:highlight w:val="none"/>
                <w:lang w:val="en-US" w:eastAsia="zh-CN" w:bidi="ar-SA"/>
              </w:rPr>
            </w:pPr>
            <w:r>
              <w:rPr>
                <w:rFonts w:hint="eastAsia"/>
                <w:color w:val="auto"/>
                <w:highlight w:val="none"/>
              </w:rPr>
              <w:t>标</w:t>
            </w:r>
            <w:r>
              <w:rPr>
                <w:rFonts w:hint="eastAsia"/>
                <w:color w:val="auto"/>
                <w:highlight w:val="none"/>
                <w:lang w:eastAsia="zh-CN"/>
              </w:rPr>
              <w:t>项</w:t>
            </w:r>
            <w:r>
              <w:rPr>
                <w:rFonts w:hint="eastAsia"/>
                <w:color w:val="auto"/>
                <w:highlight w:val="none"/>
              </w:rPr>
              <w:t>名称</w:t>
            </w:r>
          </w:p>
        </w:tc>
        <w:tc>
          <w:tcPr>
            <w:tcW w:w="2814"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cs="Times New Roman"/>
                <w:color w:val="auto"/>
                <w:kern w:val="2"/>
                <w:sz w:val="21"/>
                <w:szCs w:val="24"/>
                <w:highlight w:val="none"/>
                <w:lang w:val="en-US" w:eastAsia="zh-CN" w:bidi="ar-SA"/>
              </w:rPr>
            </w:pPr>
            <w:r>
              <w:rPr>
                <w:rFonts w:hint="eastAsia"/>
                <w:color w:val="auto"/>
                <w:highlight w:val="none"/>
              </w:rPr>
              <w:t>简要技术需求或者</w:t>
            </w:r>
            <w:r>
              <w:rPr>
                <w:rFonts w:hint="eastAsia"/>
                <w:color w:val="auto"/>
                <w:highlight w:val="none"/>
                <w:lang w:eastAsia="zh-CN"/>
              </w:rPr>
              <w:t>技术</w:t>
            </w:r>
            <w:r>
              <w:rPr>
                <w:rFonts w:hint="eastAsia"/>
                <w:color w:val="auto"/>
                <w:highlight w:val="none"/>
              </w:rPr>
              <w:t>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7" w:hRule="atLeast"/>
          <w:jc w:val="center"/>
        </w:trPr>
        <w:tc>
          <w:tcPr>
            <w:tcW w:w="356"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rPr>
              <w:t>1</w:t>
            </w:r>
          </w:p>
        </w:tc>
        <w:tc>
          <w:tcPr>
            <w:tcW w:w="1829"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广西农业信息化建设项目设计服务(农情固定观察点、信息化运维设计服务)</w:t>
            </w:r>
          </w:p>
        </w:tc>
        <w:tc>
          <w:tcPr>
            <w:tcW w:w="2814" w:type="pct"/>
            <w:tcBorders>
              <w:top w:val="single" w:color="auto" w:sz="4" w:space="0"/>
              <w:left w:val="single" w:color="auto" w:sz="4" w:space="0"/>
              <w:bottom w:val="single" w:color="auto" w:sz="4" w:space="0"/>
              <w:right w:val="single" w:color="auto" w:sz="4" w:space="0"/>
            </w:tcBorders>
            <w:vAlign w:val="center"/>
          </w:tcPr>
          <w:p>
            <w:pPr>
              <w:pStyle w:val="76"/>
              <w:widowControl w:val="0"/>
              <w:spacing w:line="300" w:lineRule="exact"/>
              <w:ind w:firstLine="0" w:firstLineChars="0"/>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lang w:val="en-US" w:eastAsia="zh-CN"/>
              </w:rPr>
              <w:t>广西农业信息化建设项目设计服务(农情固定观察点、信息化运维设计服务)1项，</w:t>
            </w:r>
            <w:r>
              <w:rPr>
                <w:rFonts w:hint="eastAsia" w:ascii="宋体" w:hAnsi="宋体"/>
                <w:color w:val="auto"/>
                <w:szCs w:val="21"/>
                <w:highlight w:val="none"/>
              </w:rPr>
              <w:t>具体详见竞争性磋商文件第三章采购需求。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4" w:hRule="atLeast"/>
          <w:jc w:val="center"/>
        </w:trPr>
        <w:tc>
          <w:tcPr>
            <w:tcW w:w="5000" w:type="pct"/>
            <w:gridSpan w:val="3"/>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eastAsia" w:ascii="宋体" w:hAnsi="宋体" w:cs="宋体"/>
                <w:color w:val="auto"/>
                <w:szCs w:val="21"/>
                <w:highlight w:val="none"/>
                <w:lang w:val="en-US" w:eastAsia="zh-CN"/>
              </w:rPr>
            </w:pPr>
            <w:r>
              <w:rPr>
                <w:rFonts w:hint="eastAsia" w:ascii="宋体" w:hAnsi="宋体"/>
                <w:b/>
                <w:bCs/>
                <w:color w:val="auto"/>
                <w:szCs w:val="21"/>
                <w:highlight w:val="none"/>
              </w:rPr>
              <w:t>分标</w:t>
            </w:r>
            <w:r>
              <w:rPr>
                <w:rFonts w:hint="eastAsia" w:ascii="宋体" w:hAnsi="宋体"/>
                <w:b/>
                <w:bCs/>
                <w:color w:val="auto"/>
                <w:szCs w:val="21"/>
                <w:highlight w:val="none"/>
                <w:lang w:val="en-US" w:eastAsia="zh-CN"/>
              </w:rPr>
              <w:t>4</w:t>
            </w:r>
            <w:r>
              <w:rPr>
                <w:rFonts w:hint="eastAsia" w:ascii="宋体" w:hAnsi="宋体"/>
                <w:b/>
                <w:bCs/>
                <w:color w:val="auto"/>
                <w:szCs w:val="21"/>
                <w:highlight w:val="none"/>
              </w:rPr>
              <w:t>；预算金额：</w:t>
            </w:r>
            <w:r>
              <w:rPr>
                <w:rFonts w:hint="eastAsia" w:ascii="宋体" w:hAnsi="宋体"/>
                <w:b/>
                <w:bCs/>
                <w:color w:val="auto"/>
                <w:szCs w:val="21"/>
                <w:highlight w:val="none"/>
                <w:u w:val="single"/>
                <w:lang w:val="en-US" w:eastAsia="zh-CN"/>
              </w:rPr>
              <w:t>20.00</w:t>
            </w:r>
            <w:r>
              <w:rPr>
                <w:rFonts w:hint="eastAsia" w:ascii="宋体" w:hAnsi="宋体" w:cs="宋体"/>
                <w:b/>
                <w:bCs/>
                <w:color w:val="auto"/>
                <w:szCs w:val="21"/>
                <w:highlight w:val="none"/>
                <w:u w:val="single"/>
              </w:rPr>
              <w:t xml:space="preserve">万元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85" w:hRule="atLeast"/>
          <w:jc w:val="center"/>
        </w:trPr>
        <w:tc>
          <w:tcPr>
            <w:tcW w:w="356"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auto"/>
                <w:szCs w:val="21"/>
                <w:highlight w:val="none"/>
              </w:rPr>
            </w:pPr>
            <w:r>
              <w:rPr>
                <w:rFonts w:hint="eastAsia"/>
                <w:color w:val="auto"/>
                <w:highlight w:val="none"/>
              </w:rPr>
              <w:t>序号</w:t>
            </w:r>
          </w:p>
        </w:tc>
        <w:tc>
          <w:tcPr>
            <w:tcW w:w="1829" w:type="pct"/>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color w:val="auto"/>
                <w:highlight w:val="none"/>
                <w:lang w:eastAsia="zh-CN"/>
              </w:rPr>
            </w:pPr>
            <w:r>
              <w:rPr>
                <w:rFonts w:hint="eastAsia"/>
                <w:color w:val="auto"/>
                <w:highlight w:val="none"/>
              </w:rPr>
              <w:t>标</w:t>
            </w:r>
            <w:r>
              <w:rPr>
                <w:rFonts w:hint="eastAsia"/>
                <w:color w:val="auto"/>
                <w:highlight w:val="none"/>
                <w:lang w:eastAsia="zh-CN"/>
              </w:rPr>
              <w:t>项</w:t>
            </w:r>
            <w:r>
              <w:rPr>
                <w:rFonts w:hint="eastAsia"/>
                <w:color w:val="auto"/>
                <w:highlight w:val="none"/>
              </w:rPr>
              <w:t>名称</w:t>
            </w:r>
          </w:p>
        </w:tc>
        <w:tc>
          <w:tcPr>
            <w:tcW w:w="2814"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auto"/>
                <w:szCs w:val="21"/>
                <w:highlight w:val="none"/>
                <w:lang w:val="en-US" w:eastAsia="zh-CN"/>
              </w:rPr>
            </w:pPr>
            <w:r>
              <w:rPr>
                <w:rFonts w:hint="eastAsia"/>
                <w:color w:val="auto"/>
                <w:highlight w:val="none"/>
              </w:rPr>
              <w:t>简要技术需求或者</w:t>
            </w:r>
            <w:r>
              <w:rPr>
                <w:rFonts w:hint="eastAsia"/>
                <w:color w:val="auto"/>
                <w:highlight w:val="none"/>
                <w:lang w:eastAsia="zh-CN"/>
              </w:rPr>
              <w:t>技术</w:t>
            </w:r>
            <w:r>
              <w:rPr>
                <w:rFonts w:hint="eastAsia"/>
                <w:color w:val="auto"/>
                <w:highlight w:val="none"/>
              </w:rPr>
              <w:t>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85" w:hRule="atLeast"/>
          <w:jc w:val="center"/>
        </w:trPr>
        <w:tc>
          <w:tcPr>
            <w:tcW w:w="356"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color w:val="auto"/>
                <w:szCs w:val="21"/>
                <w:highlight w:val="none"/>
              </w:rPr>
            </w:pPr>
            <w:r>
              <w:rPr>
                <w:rFonts w:hint="eastAsia" w:ascii="宋体" w:hAnsi="宋体"/>
                <w:color w:val="auto"/>
                <w:szCs w:val="21"/>
                <w:highlight w:val="none"/>
              </w:rPr>
              <w:t>1</w:t>
            </w:r>
          </w:p>
        </w:tc>
        <w:tc>
          <w:tcPr>
            <w:tcW w:w="1829"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eastAsia="宋体"/>
                <w:color w:val="auto"/>
                <w:highlight w:val="none"/>
                <w:lang w:eastAsia="zh-CN"/>
              </w:rPr>
            </w:pPr>
            <w:r>
              <w:rPr>
                <w:rFonts w:hint="default" w:cs="宋体" w:asciiTheme="minorAscii" w:hAnsiTheme="minorAscii"/>
                <w:color w:val="auto"/>
                <w:szCs w:val="21"/>
                <w:highlight w:val="none"/>
              </w:rPr>
              <w:t>农情调度创新发展课题研究</w:t>
            </w:r>
          </w:p>
        </w:tc>
        <w:tc>
          <w:tcPr>
            <w:tcW w:w="2814" w:type="pct"/>
            <w:tcBorders>
              <w:top w:val="single" w:color="auto" w:sz="4" w:space="0"/>
              <w:left w:val="single" w:color="auto" w:sz="4" w:space="0"/>
              <w:bottom w:val="single" w:color="auto" w:sz="4" w:space="0"/>
              <w:right w:val="single" w:color="auto" w:sz="4" w:space="0"/>
            </w:tcBorders>
            <w:vAlign w:val="center"/>
          </w:tcPr>
          <w:p>
            <w:pPr>
              <w:pStyle w:val="76"/>
              <w:widowControl w:val="0"/>
              <w:spacing w:line="300" w:lineRule="exact"/>
              <w:ind w:firstLine="0" w:firstLineChars="0"/>
              <w:rPr>
                <w:rFonts w:hint="eastAsia" w:ascii="宋体" w:hAnsi="宋体" w:cs="宋体"/>
                <w:color w:val="auto"/>
                <w:szCs w:val="21"/>
                <w:highlight w:val="none"/>
                <w:lang w:val="en-US" w:eastAsia="zh-CN"/>
              </w:rPr>
            </w:pPr>
            <w:r>
              <w:rPr>
                <w:rFonts w:hint="default" w:cs="宋体" w:asciiTheme="minorAscii" w:hAnsiTheme="minorAscii"/>
                <w:color w:val="auto"/>
                <w:szCs w:val="21"/>
                <w:highlight w:val="none"/>
              </w:rPr>
              <w:t>农情调度创新发展课题研究</w:t>
            </w:r>
            <w:r>
              <w:rPr>
                <w:rFonts w:hint="eastAsia" w:cs="宋体" w:asciiTheme="minorAscii" w:hAnsiTheme="minorAscii"/>
                <w:color w:val="auto"/>
                <w:szCs w:val="21"/>
                <w:highlight w:val="none"/>
                <w:lang w:val="en-US" w:eastAsia="zh-CN"/>
              </w:rPr>
              <w:t>1项</w:t>
            </w:r>
            <w:r>
              <w:rPr>
                <w:rFonts w:hint="eastAsia" w:ascii="宋体" w:hAnsi="宋体" w:eastAsia="宋体" w:cs="宋体"/>
                <w:color w:val="auto"/>
                <w:kern w:val="2"/>
                <w:sz w:val="21"/>
                <w:szCs w:val="21"/>
                <w:highlight w:val="none"/>
                <w:lang w:val="en-US" w:eastAsia="zh-CN" w:bidi="ar-SA"/>
              </w:rPr>
              <w:t>，</w:t>
            </w:r>
            <w:r>
              <w:rPr>
                <w:rFonts w:hint="eastAsia" w:ascii="宋体" w:hAnsi="宋体"/>
                <w:color w:val="auto"/>
                <w:szCs w:val="21"/>
                <w:highlight w:val="none"/>
              </w:rPr>
              <w:t>具体详见竞争性磋商文件第三章采购需求。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4" w:hRule="atLeast"/>
          <w:jc w:val="center"/>
        </w:trPr>
        <w:tc>
          <w:tcPr>
            <w:tcW w:w="5000" w:type="pct"/>
            <w:gridSpan w:val="3"/>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eastAsia" w:ascii="宋体" w:hAnsi="宋体" w:cs="宋体"/>
                <w:color w:val="auto"/>
                <w:szCs w:val="21"/>
                <w:highlight w:val="none"/>
                <w:lang w:val="en-US" w:eastAsia="zh-CN"/>
              </w:rPr>
            </w:pPr>
            <w:r>
              <w:rPr>
                <w:rFonts w:hint="eastAsia" w:ascii="宋体" w:hAnsi="宋体"/>
                <w:b/>
                <w:bCs/>
                <w:color w:val="auto"/>
                <w:szCs w:val="21"/>
                <w:highlight w:val="none"/>
              </w:rPr>
              <w:t>分标</w:t>
            </w:r>
            <w:r>
              <w:rPr>
                <w:rFonts w:hint="eastAsia" w:ascii="宋体" w:hAnsi="宋体"/>
                <w:b/>
                <w:bCs/>
                <w:color w:val="auto"/>
                <w:szCs w:val="21"/>
                <w:highlight w:val="none"/>
                <w:lang w:val="en-US" w:eastAsia="zh-CN"/>
              </w:rPr>
              <w:t>5</w:t>
            </w:r>
            <w:r>
              <w:rPr>
                <w:rFonts w:hint="eastAsia" w:ascii="宋体" w:hAnsi="宋体"/>
                <w:b/>
                <w:bCs/>
                <w:color w:val="auto"/>
                <w:szCs w:val="21"/>
                <w:highlight w:val="none"/>
              </w:rPr>
              <w:t>；预算金额：</w:t>
            </w:r>
            <w:r>
              <w:rPr>
                <w:rFonts w:hint="eastAsia" w:ascii="宋体" w:hAnsi="宋体"/>
                <w:b/>
                <w:bCs/>
                <w:color w:val="auto"/>
                <w:szCs w:val="21"/>
                <w:highlight w:val="none"/>
                <w:u w:val="single"/>
                <w:lang w:val="en-US" w:eastAsia="zh-CN"/>
              </w:rPr>
              <w:t xml:space="preserve"> 20.00</w:t>
            </w:r>
            <w:r>
              <w:rPr>
                <w:rFonts w:hint="eastAsia" w:ascii="宋体" w:hAnsi="宋体" w:cs="宋体"/>
                <w:b/>
                <w:bCs/>
                <w:color w:val="auto"/>
                <w:szCs w:val="21"/>
                <w:highlight w:val="none"/>
                <w:u w:val="single"/>
              </w:rPr>
              <w:t xml:space="preserve">万元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85" w:hRule="atLeast"/>
          <w:jc w:val="center"/>
        </w:trPr>
        <w:tc>
          <w:tcPr>
            <w:tcW w:w="356"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auto"/>
                <w:szCs w:val="21"/>
                <w:highlight w:val="none"/>
              </w:rPr>
            </w:pPr>
            <w:r>
              <w:rPr>
                <w:rFonts w:hint="eastAsia"/>
                <w:color w:val="auto"/>
                <w:highlight w:val="none"/>
              </w:rPr>
              <w:t>序号</w:t>
            </w:r>
          </w:p>
        </w:tc>
        <w:tc>
          <w:tcPr>
            <w:tcW w:w="1829" w:type="pct"/>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color w:val="auto"/>
                <w:highlight w:val="none"/>
                <w:lang w:eastAsia="zh-CN"/>
              </w:rPr>
            </w:pPr>
            <w:r>
              <w:rPr>
                <w:rFonts w:hint="eastAsia"/>
                <w:color w:val="auto"/>
                <w:highlight w:val="none"/>
              </w:rPr>
              <w:t>标</w:t>
            </w:r>
            <w:r>
              <w:rPr>
                <w:rFonts w:hint="eastAsia"/>
                <w:color w:val="auto"/>
                <w:highlight w:val="none"/>
                <w:lang w:eastAsia="zh-CN"/>
              </w:rPr>
              <w:t>项</w:t>
            </w:r>
            <w:r>
              <w:rPr>
                <w:rFonts w:hint="eastAsia"/>
                <w:color w:val="auto"/>
                <w:highlight w:val="none"/>
              </w:rPr>
              <w:t>名称</w:t>
            </w:r>
          </w:p>
        </w:tc>
        <w:tc>
          <w:tcPr>
            <w:tcW w:w="2814"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auto"/>
                <w:szCs w:val="21"/>
                <w:highlight w:val="none"/>
                <w:lang w:val="en-US" w:eastAsia="zh-CN"/>
              </w:rPr>
            </w:pPr>
            <w:r>
              <w:rPr>
                <w:rFonts w:hint="eastAsia"/>
                <w:color w:val="auto"/>
                <w:highlight w:val="none"/>
              </w:rPr>
              <w:t>简要技术需求或者</w:t>
            </w:r>
            <w:r>
              <w:rPr>
                <w:rFonts w:hint="eastAsia"/>
                <w:color w:val="auto"/>
                <w:highlight w:val="none"/>
                <w:lang w:eastAsia="zh-CN"/>
              </w:rPr>
              <w:t>技术</w:t>
            </w:r>
            <w:r>
              <w:rPr>
                <w:rFonts w:hint="eastAsia"/>
                <w:color w:val="auto"/>
                <w:highlight w:val="none"/>
              </w:rPr>
              <w:t>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85" w:hRule="atLeast"/>
          <w:jc w:val="center"/>
        </w:trPr>
        <w:tc>
          <w:tcPr>
            <w:tcW w:w="356"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color w:val="auto"/>
                <w:szCs w:val="21"/>
                <w:highlight w:val="none"/>
              </w:rPr>
            </w:pPr>
            <w:r>
              <w:rPr>
                <w:rFonts w:hint="eastAsia" w:ascii="宋体" w:hAnsi="宋体"/>
                <w:color w:val="auto"/>
                <w:szCs w:val="21"/>
                <w:highlight w:val="none"/>
              </w:rPr>
              <w:t>1</w:t>
            </w:r>
          </w:p>
        </w:tc>
        <w:tc>
          <w:tcPr>
            <w:tcW w:w="1829"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eastAsia="宋体"/>
                <w:color w:val="auto"/>
                <w:highlight w:val="none"/>
                <w:lang w:eastAsia="zh-CN"/>
              </w:rPr>
            </w:pPr>
            <w:r>
              <w:rPr>
                <w:rFonts w:hint="eastAsia" w:eastAsia="宋体"/>
                <w:color w:val="auto"/>
                <w:highlight w:val="none"/>
                <w:lang w:eastAsia="zh-CN"/>
              </w:rPr>
              <w:t>广西“三农”网络舆情应对课题研究</w:t>
            </w:r>
          </w:p>
        </w:tc>
        <w:tc>
          <w:tcPr>
            <w:tcW w:w="2814" w:type="pct"/>
            <w:tcBorders>
              <w:top w:val="single" w:color="auto" w:sz="4" w:space="0"/>
              <w:left w:val="single" w:color="auto" w:sz="4" w:space="0"/>
              <w:bottom w:val="single" w:color="auto" w:sz="4" w:space="0"/>
              <w:right w:val="single" w:color="auto" w:sz="4" w:space="0"/>
            </w:tcBorders>
            <w:vAlign w:val="center"/>
          </w:tcPr>
          <w:p>
            <w:pPr>
              <w:pStyle w:val="76"/>
              <w:widowControl w:val="0"/>
              <w:spacing w:line="300" w:lineRule="exact"/>
              <w:ind w:firstLine="0" w:firstLineChars="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 xml:space="preserve"> </w:t>
            </w:r>
            <w:r>
              <w:rPr>
                <w:rFonts w:hint="eastAsia" w:eastAsia="宋体"/>
                <w:color w:val="auto"/>
                <w:highlight w:val="none"/>
                <w:lang w:eastAsia="zh-CN"/>
              </w:rPr>
              <w:t>广西“三农”网络舆情应对课题研究</w:t>
            </w:r>
            <w:r>
              <w:rPr>
                <w:rFonts w:hint="eastAsia"/>
                <w:color w:val="auto"/>
                <w:highlight w:val="none"/>
                <w:lang w:val="en-US" w:eastAsia="zh-CN"/>
              </w:rPr>
              <w:t>1项</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具体详见竞争性磋商文件第三章采购需求。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1" w:hRule="atLeast"/>
          <w:jc w:val="center"/>
        </w:trPr>
        <w:tc>
          <w:tcPr>
            <w:tcW w:w="5000" w:type="pct"/>
            <w:gridSpan w:val="3"/>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eastAsia" w:ascii="宋体" w:hAnsi="宋体" w:cs="宋体"/>
                <w:color w:val="auto"/>
                <w:szCs w:val="21"/>
                <w:highlight w:val="none"/>
                <w:lang w:val="en-US" w:eastAsia="zh-CN"/>
              </w:rPr>
            </w:pPr>
            <w:r>
              <w:rPr>
                <w:rFonts w:hint="eastAsia" w:ascii="宋体" w:hAnsi="宋体"/>
                <w:b/>
                <w:bCs/>
                <w:color w:val="auto"/>
                <w:szCs w:val="21"/>
                <w:highlight w:val="none"/>
              </w:rPr>
              <w:t>分标</w:t>
            </w:r>
            <w:r>
              <w:rPr>
                <w:rFonts w:hint="eastAsia" w:ascii="宋体" w:hAnsi="宋体"/>
                <w:b/>
                <w:bCs/>
                <w:color w:val="auto"/>
                <w:szCs w:val="21"/>
                <w:highlight w:val="none"/>
                <w:lang w:val="en-US" w:eastAsia="zh-CN"/>
              </w:rPr>
              <w:t>6</w:t>
            </w:r>
            <w:r>
              <w:rPr>
                <w:rFonts w:hint="eastAsia" w:ascii="宋体" w:hAnsi="宋体"/>
                <w:b/>
                <w:bCs/>
                <w:color w:val="auto"/>
                <w:szCs w:val="21"/>
                <w:highlight w:val="none"/>
              </w:rPr>
              <w:t>；预算金额：</w:t>
            </w:r>
            <w:r>
              <w:rPr>
                <w:rFonts w:hint="eastAsia" w:ascii="宋体" w:hAnsi="宋体"/>
                <w:b/>
                <w:bCs/>
                <w:color w:val="auto"/>
                <w:szCs w:val="21"/>
                <w:highlight w:val="none"/>
                <w:u w:val="single"/>
                <w:lang w:val="en-US" w:eastAsia="zh-CN"/>
              </w:rPr>
              <w:t xml:space="preserve"> 56.00</w:t>
            </w:r>
            <w:r>
              <w:rPr>
                <w:rFonts w:hint="eastAsia" w:ascii="宋体" w:hAnsi="宋体" w:cs="宋体"/>
                <w:b/>
                <w:bCs/>
                <w:color w:val="auto"/>
                <w:szCs w:val="21"/>
                <w:highlight w:val="none"/>
                <w:u w:val="single"/>
              </w:rPr>
              <w:t xml:space="preserve">万元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85" w:hRule="atLeast"/>
          <w:jc w:val="center"/>
        </w:trPr>
        <w:tc>
          <w:tcPr>
            <w:tcW w:w="356"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auto"/>
                <w:szCs w:val="21"/>
                <w:highlight w:val="none"/>
              </w:rPr>
            </w:pPr>
            <w:r>
              <w:rPr>
                <w:rFonts w:hint="eastAsia"/>
                <w:color w:val="auto"/>
                <w:highlight w:val="none"/>
              </w:rPr>
              <w:t>序号</w:t>
            </w:r>
          </w:p>
        </w:tc>
        <w:tc>
          <w:tcPr>
            <w:tcW w:w="1829" w:type="pct"/>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color w:val="auto"/>
                <w:highlight w:val="none"/>
                <w:lang w:eastAsia="zh-CN"/>
              </w:rPr>
            </w:pPr>
            <w:r>
              <w:rPr>
                <w:rFonts w:hint="eastAsia"/>
                <w:color w:val="auto"/>
                <w:highlight w:val="none"/>
              </w:rPr>
              <w:t>标</w:t>
            </w:r>
            <w:r>
              <w:rPr>
                <w:rFonts w:hint="eastAsia"/>
                <w:color w:val="auto"/>
                <w:highlight w:val="none"/>
                <w:lang w:eastAsia="zh-CN"/>
              </w:rPr>
              <w:t>项</w:t>
            </w:r>
            <w:r>
              <w:rPr>
                <w:rFonts w:hint="eastAsia"/>
                <w:color w:val="auto"/>
                <w:highlight w:val="none"/>
              </w:rPr>
              <w:t>名称</w:t>
            </w:r>
          </w:p>
        </w:tc>
        <w:tc>
          <w:tcPr>
            <w:tcW w:w="2814"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auto"/>
                <w:szCs w:val="21"/>
                <w:highlight w:val="none"/>
                <w:lang w:val="en-US" w:eastAsia="zh-CN"/>
              </w:rPr>
            </w:pPr>
            <w:r>
              <w:rPr>
                <w:rFonts w:hint="eastAsia"/>
                <w:color w:val="auto"/>
                <w:highlight w:val="none"/>
              </w:rPr>
              <w:t>简要技术需求或者</w:t>
            </w:r>
            <w:r>
              <w:rPr>
                <w:rFonts w:hint="eastAsia"/>
                <w:color w:val="auto"/>
                <w:highlight w:val="none"/>
                <w:lang w:eastAsia="zh-CN"/>
              </w:rPr>
              <w:t>技术</w:t>
            </w:r>
            <w:r>
              <w:rPr>
                <w:rFonts w:hint="eastAsia"/>
                <w:color w:val="auto"/>
                <w:highlight w:val="none"/>
              </w:rPr>
              <w:t>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85" w:hRule="atLeast"/>
          <w:jc w:val="center"/>
        </w:trPr>
        <w:tc>
          <w:tcPr>
            <w:tcW w:w="356"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color w:val="auto"/>
                <w:szCs w:val="21"/>
                <w:highlight w:val="none"/>
              </w:rPr>
            </w:pPr>
            <w:r>
              <w:rPr>
                <w:rFonts w:hint="eastAsia" w:ascii="宋体" w:hAnsi="宋体"/>
                <w:color w:val="auto"/>
                <w:szCs w:val="21"/>
                <w:highlight w:val="none"/>
              </w:rPr>
              <w:t>1</w:t>
            </w:r>
          </w:p>
        </w:tc>
        <w:tc>
          <w:tcPr>
            <w:tcW w:w="1829"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eastAsia="宋体"/>
                <w:color w:val="auto"/>
                <w:highlight w:val="none"/>
                <w:lang w:eastAsia="zh-CN"/>
              </w:rPr>
            </w:pPr>
            <w:r>
              <w:rPr>
                <w:rFonts w:hint="eastAsia" w:eastAsia="宋体"/>
                <w:color w:val="auto"/>
                <w:highlight w:val="none"/>
                <w:lang w:eastAsia="zh-CN"/>
              </w:rPr>
              <w:t>广西12316“三农”信息服务运维</w:t>
            </w:r>
          </w:p>
        </w:tc>
        <w:tc>
          <w:tcPr>
            <w:tcW w:w="2814" w:type="pct"/>
            <w:tcBorders>
              <w:top w:val="single" w:color="auto" w:sz="4" w:space="0"/>
              <w:left w:val="single" w:color="auto" w:sz="4" w:space="0"/>
              <w:bottom w:val="single" w:color="auto" w:sz="4" w:space="0"/>
              <w:right w:val="single" w:color="auto" w:sz="4" w:space="0"/>
            </w:tcBorders>
            <w:vAlign w:val="center"/>
          </w:tcPr>
          <w:p>
            <w:pPr>
              <w:pStyle w:val="76"/>
              <w:widowControl w:val="0"/>
              <w:spacing w:line="300" w:lineRule="exact"/>
              <w:ind w:firstLine="0" w:firstLineChars="0"/>
              <w:rPr>
                <w:rFonts w:hint="eastAsia" w:ascii="宋体" w:hAnsi="宋体" w:cs="宋体"/>
                <w:color w:val="auto"/>
                <w:szCs w:val="21"/>
                <w:highlight w:val="none"/>
                <w:lang w:val="en-US" w:eastAsia="zh-CN"/>
              </w:rPr>
            </w:pPr>
            <w:r>
              <w:rPr>
                <w:rFonts w:hint="eastAsia" w:ascii="宋体" w:hAnsi="宋体"/>
                <w:color w:val="auto"/>
                <w:szCs w:val="21"/>
                <w:highlight w:val="none"/>
              </w:rPr>
              <w:t>知识库更新及热线工单处理服务1项</w:t>
            </w:r>
            <w:r>
              <w:rPr>
                <w:rFonts w:hint="eastAsia" w:ascii="宋体" w:hAnsi="宋体"/>
                <w:color w:val="auto"/>
                <w:szCs w:val="21"/>
                <w:highlight w:val="none"/>
                <w:lang w:eastAsia="zh-CN"/>
              </w:rPr>
              <w:t>、</w:t>
            </w:r>
            <w:r>
              <w:rPr>
                <w:rFonts w:hint="eastAsia" w:ascii="宋体" w:hAnsi="宋体"/>
                <w:color w:val="auto"/>
                <w:szCs w:val="21"/>
                <w:highlight w:val="none"/>
              </w:rPr>
              <w:t>农业专家咨询答疑服务1项</w:t>
            </w:r>
            <w:r>
              <w:rPr>
                <w:rFonts w:hint="eastAsia" w:ascii="宋体" w:hAnsi="宋体"/>
                <w:color w:val="auto"/>
                <w:szCs w:val="21"/>
                <w:highlight w:val="none"/>
                <w:lang w:eastAsia="zh-CN"/>
              </w:rPr>
              <w:t>、</w:t>
            </w:r>
            <w:r>
              <w:rPr>
                <w:rFonts w:hint="eastAsia" w:ascii="宋体" w:hAnsi="宋体"/>
                <w:color w:val="auto"/>
                <w:szCs w:val="21"/>
                <w:highlight w:val="none"/>
              </w:rPr>
              <w:t>话务专席应答服务1项</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12316 宣传推广1项</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具体详见竞争性磋商文件第三章采购需求。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10082" w:type="dxa"/>
            <w:gridSpan w:val="3"/>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eastAsia" w:ascii="宋体" w:hAnsi="宋体" w:cs="宋体"/>
                <w:color w:val="auto"/>
                <w:szCs w:val="21"/>
                <w:highlight w:val="none"/>
                <w:lang w:val="en-US" w:eastAsia="zh-CN"/>
              </w:rPr>
            </w:pPr>
            <w:r>
              <w:rPr>
                <w:rFonts w:hint="eastAsia" w:ascii="宋体" w:hAnsi="宋体"/>
                <w:b/>
                <w:bCs/>
                <w:color w:val="auto"/>
                <w:szCs w:val="21"/>
                <w:highlight w:val="none"/>
              </w:rPr>
              <w:t>分标</w:t>
            </w:r>
            <w:r>
              <w:rPr>
                <w:rFonts w:hint="eastAsia" w:ascii="宋体" w:hAnsi="宋体"/>
                <w:b/>
                <w:bCs/>
                <w:color w:val="auto"/>
                <w:szCs w:val="21"/>
                <w:highlight w:val="none"/>
                <w:lang w:val="en-US" w:eastAsia="zh-CN"/>
              </w:rPr>
              <w:t>7</w:t>
            </w:r>
            <w:r>
              <w:rPr>
                <w:rFonts w:hint="eastAsia" w:ascii="宋体" w:hAnsi="宋体"/>
                <w:b/>
                <w:bCs/>
                <w:color w:val="auto"/>
                <w:szCs w:val="21"/>
                <w:highlight w:val="none"/>
              </w:rPr>
              <w:t>；预算金额：</w:t>
            </w:r>
            <w:r>
              <w:rPr>
                <w:rFonts w:hint="eastAsia" w:ascii="宋体" w:hAnsi="宋体"/>
                <w:b/>
                <w:bCs/>
                <w:color w:val="auto"/>
                <w:szCs w:val="21"/>
                <w:highlight w:val="none"/>
                <w:u w:val="single"/>
                <w:lang w:val="en-US" w:eastAsia="zh-CN"/>
              </w:rPr>
              <w:t>10.00</w:t>
            </w:r>
            <w:r>
              <w:rPr>
                <w:rFonts w:hint="eastAsia" w:ascii="宋体" w:hAnsi="宋体" w:cs="宋体"/>
                <w:b/>
                <w:bCs/>
                <w:color w:val="auto"/>
                <w:szCs w:val="21"/>
                <w:highlight w:val="none"/>
                <w:u w:val="single"/>
              </w:rPr>
              <w:t xml:space="preserve">万元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7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auto"/>
                <w:szCs w:val="21"/>
                <w:highlight w:val="none"/>
              </w:rPr>
            </w:pPr>
            <w:r>
              <w:rPr>
                <w:rFonts w:hint="eastAsia"/>
                <w:color w:val="auto"/>
                <w:highlight w:val="none"/>
              </w:rPr>
              <w:t>序号</w:t>
            </w:r>
          </w:p>
        </w:tc>
        <w:tc>
          <w:tcPr>
            <w:tcW w:w="3688"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color w:val="auto"/>
                <w:highlight w:val="none"/>
                <w:lang w:eastAsia="zh-CN"/>
              </w:rPr>
            </w:pPr>
            <w:r>
              <w:rPr>
                <w:rFonts w:hint="eastAsia"/>
                <w:color w:val="auto"/>
                <w:highlight w:val="none"/>
              </w:rPr>
              <w:t>标</w:t>
            </w:r>
            <w:r>
              <w:rPr>
                <w:rFonts w:hint="eastAsia"/>
                <w:color w:val="auto"/>
                <w:highlight w:val="none"/>
                <w:lang w:eastAsia="zh-CN"/>
              </w:rPr>
              <w:t>项</w:t>
            </w:r>
            <w:r>
              <w:rPr>
                <w:rFonts w:hint="eastAsia"/>
                <w:color w:val="auto"/>
                <w:highlight w:val="none"/>
              </w:rPr>
              <w:t>名称</w:t>
            </w:r>
          </w:p>
        </w:tc>
        <w:tc>
          <w:tcPr>
            <w:tcW w:w="567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auto"/>
                <w:szCs w:val="21"/>
                <w:highlight w:val="none"/>
                <w:lang w:val="en-US" w:eastAsia="zh-CN"/>
              </w:rPr>
            </w:pPr>
            <w:r>
              <w:rPr>
                <w:rFonts w:hint="eastAsia"/>
                <w:color w:val="auto"/>
                <w:highlight w:val="none"/>
              </w:rPr>
              <w:t>简要技术需求或者</w:t>
            </w:r>
            <w:r>
              <w:rPr>
                <w:rFonts w:hint="eastAsia"/>
                <w:color w:val="auto"/>
                <w:highlight w:val="none"/>
                <w:lang w:eastAsia="zh-CN"/>
              </w:rPr>
              <w:t>技术</w:t>
            </w:r>
            <w:r>
              <w:rPr>
                <w:rFonts w:hint="eastAsia"/>
                <w:color w:val="auto"/>
                <w:highlight w:val="none"/>
              </w:rPr>
              <w:t>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8" w:hRule="atLeast"/>
          <w:jc w:val="center"/>
        </w:trPr>
        <w:tc>
          <w:tcPr>
            <w:tcW w:w="71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color w:val="auto"/>
                <w:szCs w:val="21"/>
                <w:highlight w:val="none"/>
              </w:rPr>
            </w:pPr>
            <w:r>
              <w:rPr>
                <w:rFonts w:hint="eastAsia" w:ascii="宋体" w:hAnsi="宋体"/>
                <w:color w:val="auto"/>
                <w:szCs w:val="21"/>
                <w:highlight w:val="none"/>
              </w:rPr>
              <w:t>1</w:t>
            </w:r>
          </w:p>
        </w:tc>
        <w:tc>
          <w:tcPr>
            <w:tcW w:w="368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eastAsia="宋体"/>
                <w:color w:val="auto"/>
                <w:highlight w:val="none"/>
                <w:lang w:eastAsia="zh-CN"/>
              </w:rPr>
            </w:pPr>
            <w:r>
              <w:rPr>
                <w:rFonts w:hint="eastAsia"/>
                <w:color w:val="auto"/>
                <w:highlight w:val="none"/>
                <w:lang w:eastAsia="zh-CN"/>
              </w:rPr>
              <w:t>广西农产品身份信息核查监管平台运维</w:t>
            </w:r>
          </w:p>
        </w:tc>
        <w:tc>
          <w:tcPr>
            <w:tcW w:w="5676" w:type="dxa"/>
            <w:tcBorders>
              <w:top w:val="single" w:color="auto" w:sz="4" w:space="0"/>
              <w:left w:val="single" w:color="auto" w:sz="4" w:space="0"/>
              <w:bottom w:val="single" w:color="auto" w:sz="4" w:space="0"/>
              <w:right w:val="single" w:color="auto" w:sz="4" w:space="0"/>
            </w:tcBorders>
            <w:vAlign w:val="center"/>
          </w:tcPr>
          <w:p>
            <w:pPr>
              <w:pStyle w:val="76"/>
              <w:widowControl w:val="0"/>
              <w:spacing w:line="300" w:lineRule="exact"/>
              <w:ind w:firstLine="0" w:firstLineChars="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 xml:space="preserve"> 平台系统日常维护1项、平台栏目维护及信息采集更新1项</w:t>
            </w:r>
            <w:r>
              <w:rPr>
                <w:rFonts w:hint="eastAsia" w:ascii="宋体" w:hAnsi="宋体" w:eastAsia="宋体" w:cs="宋体"/>
                <w:color w:val="auto"/>
                <w:kern w:val="2"/>
                <w:sz w:val="21"/>
                <w:szCs w:val="21"/>
                <w:highlight w:val="none"/>
                <w:lang w:val="en-US" w:eastAsia="zh-CN" w:bidi="ar-SA"/>
              </w:rPr>
              <w:t>，</w:t>
            </w:r>
            <w:r>
              <w:rPr>
                <w:rFonts w:hint="eastAsia" w:ascii="宋体" w:hAnsi="宋体"/>
                <w:color w:val="auto"/>
                <w:szCs w:val="21"/>
                <w:highlight w:val="none"/>
              </w:rPr>
              <w:t>具体详见竞争性磋商文件第三章采购需求。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10082" w:type="dxa"/>
            <w:gridSpan w:val="3"/>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eastAsia" w:ascii="宋体" w:hAnsi="宋体" w:cs="宋体"/>
                <w:color w:val="auto"/>
                <w:szCs w:val="21"/>
                <w:highlight w:val="none"/>
                <w:lang w:val="en-US" w:eastAsia="zh-CN"/>
              </w:rPr>
            </w:pPr>
            <w:r>
              <w:rPr>
                <w:rFonts w:hint="eastAsia" w:ascii="宋体" w:hAnsi="宋体"/>
                <w:b/>
                <w:bCs/>
                <w:color w:val="auto"/>
                <w:szCs w:val="21"/>
                <w:highlight w:val="none"/>
              </w:rPr>
              <w:t>分标</w:t>
            </w:r>
            <w:r>
              <w:rPr>
                <w:rFonts w:hint="eastAsia" w:ascii="宋体" w:hAnsi="宋体"/>
                <w:b/>
                <w:bCs/>
                <w:color w:val="auto"/>
                <w:szCs w:val="21"/>
                <w:highlight w:val="none"/>
                <w:lang w:val="en-US" w:eastAsia="zh-CN"/>
              </w:rPr>
              <w:t>8</w:t>
            </w:r>
            <w:r>
              <w:rPr>
                <w:rFonts w:hint="eastAsia" w:ascii="宋体" w:hAnsi="宋体"/>
                <w:b/>
                <w:bCs/>
                <w:color w:val="auto"/>
                <w:szCs w:val="21"/>
                <w:highlight w:val="none"/>
              </w:rPr>
              <w:t>；预算金额：</w:t>
            </w:r>
            <w:r>
              <w:rPr>
                <w:rFonts w:hint="eastAsia" w:ascii="宋体" w:hAnsi="宋体"/>
                <w:b/>
                <w:bCs/>
                <w:color w:val="auto"/>
                <w:szCs w:val="21"/>
                <w:highlight w:val="none"/>
                <w:u w:val="single"/>
                <w:lang w:val="en-US" w:eastAsia="zh-CN"/>
              </w:rPr>
              <w:t>10.00</w:t>
            </w:r>
            <w:r>
              <w:rPr>
                <w:rFonts w:hint="eastAsia" w:ascii="宋体" w:hAnsi="宋体" w:cs="宋体"/>
                <w:b/>
                <w:bCs/>
                <w:color w:val="auto"/>
                <w:szCs w:val="21"/>
                <w:highlight w:val="none"/>
                <w:u w:val="single"/>
              </w:rPr>
              <w:t xml:space="preserve">万元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7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auto"/>
                <w:szCs w:val="21"/>
                <w:highlight w:val="none"/>
              </w:rPr>
            </w:pPr>
            <w:r>
              <w:rPr>
                <w:rFonts w:hint="eastAsia"/>
                <w:color w:val="auto"/>
                <w:highlight w:val="none"/>
              </w:rPr>
              <w:t>序号</w:t>
            </w:r>
          </w:p>
        </w:tc>
        <w:tc>
          <w:tcPr>
            <w:tcW w:w="3688"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color w:val="auto"/>
                <w:highlight w:val="none"/>
                <w:lang w:eastAsia="zh-CN"/>
              </w:rPr>
            </w:pPr>
            <w:r>
              <w:rPr>
                <w:rFonts w:hint="eastAsia"/>
                <w:color w:val="auto"/>
                <w:highlight w:val="none"/>
              </w:rPr>
              <w:t>标</w:t>
            </w:r>
            <w:r>
              <w:rPr>
                <w:rFonts w:hint="eastAsia"/>
                <w:color w:val="auto"/>
                <w:highlight w:val="none"/>
                <w:lang w:eastAsia="zh-CN"/>
              </w:rPr>
              <w:t>项</w:t>
            </w:r>
            <w:r>
              <w:rPr>
                <w:rFonts w:hint="eastAsia"/>
                <w:color w:val="auto"/>
                <w:highlight w:val="none"/>
              </w:rPr>
              <w:t>名称</w:t>
            </w:r>
          </w:p>
        </w:tc>
        <w:tc>
          <w:tcPr>
            <w:tcW w:w="567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auto"/>
                <w:szCs w:val="21"/>
                <w:highlight w:val="none"/>
                <w:lang w:val="en-US" w:eastAsia="zh-CN"/>
              </w:rPr>
            </w:pPr>
            <w:r>
              <w:rPr>
                <w:rFonts w:hint="eastAsia"/>
                <w:color w:val="auto"/>
                <w:highlight w:val="none"/>
              </w:rPr>
              <w:t>简要技术需求或者</w:t>
            </w:r>
            <w:r>
              <w:rPr>
                <w:rFonts w:hint="eastAsia"/>
                <w:color w:val="auto"/>
                <w:highlight w:val="none"/>
                <w:lang w:eastAsia="zh-CN"/>
              </w:rPr>
              <w:t>技术</w:t>
            </w:r>
            <w:r>
              <w:rPr>
                <w:rFonts w:hint="eastAsia"/>
                <w:color w:val="auto"/>
                <w:highlight w:val="none"/>
              </w:rPr>
              <w:t>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718"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color w:val="auto"/>
                <w:highlight w:val="none"/>
                <w:lang w:val="en-US" w:eastAsia="zh-CN"/>
              </w:rPr>
            </w:pPr>
            <w:r>
              <w:rPr>
                <w:rFonts w:hint="eastAsia"/>
                <w:color w:val="auto"/>
                <w:highlight w:val="none"/>
                <w:lang w:val="en-US" w:eastAsia="zh-CN"/>
              </w:rPr>
              <w:t>1</w:t>
            </w:r>
          </w:p>
        </w:tc>
        <w:tc>
          <w:tcPr>
            <w:tcW w:w="3688" w:type="dxa"/>
            <w:tcBorders>
              <w:top w:val="single" w:color="auto" w:sz="4" w:space="0"/>
              <w:left w:val="single" w:color="auto" w:sz="4" w:space="0"/>
              <w:bottom w:val="single" w:color="auto" w:sz="4" w:space="0"/>
              <w:right w:val="single" w:color="auto" w:sz="4" w:space="0"/>
            </w:tcBorders>
            <w:vAlign w:val="center"/>
          </w:tcPr>
          <w:p>
            <w:pPr>
              <w:jc w:val="center"/>
              <w:rPr>
                <w:rFonts w:hint="eastAsia"/>
                <w:color w:val="auto"/>
                <w:highlight w:val="none"/>
              </w:rPr>
            </w:pPr>
            <w:r>
              <w:rPr>
                <w:rFonts w:hint="eastAsia"/>
                <w:color w:val="auto"/>
                <w:highlight w:val="none"/>
              </w:rPr>
              <w:t>广西农业全产业链公共服务平台运维</w:t>
            </w:r>
          </w:p>
        </w:tc>
        <w:tc>
          <w:tcPr>
            <w:tcW w:w="5676" w:type="dxa"/>
            <w:tcBorders>
              <w:top w:val="single" w:color="auto" w:sz="4" w:space="0"/>
              <w:left w:val="single" w:color="auto" w:sz="4" w:space="0"/>
              <w:bottom w:val="single" w:color="auto" w:sz="4" w:space="0"/>
              <w:right w:val="single" w:color="auto" w:sz="4" w:space="0"/>
            </w:tcBorders>
            <w:vAlign w:val="center"/>
          </w:tcPr>
          <w:p>
            <w:pPr>
              <w:jc w:val="left"/>
              <w:rPr>
                <w:rFonts w:hint="eastAsia" w:eastAsia="宋体"/>
                <w:color w:val="auto"/>
                <w:highlight w:val="none"/>
                <w:lang w:val="en-US" w:eastAsia="zh-CN"/>
              </w:rPr>
            </w:pPr>
            <w:r>
              <w:rPr>
                <w:rFonts w:hint="eastAsia" w:ascii="宋体" w:hAnsi="宋体" w:eastAsia="宋体" w:cs="宋体"/>
                <w:color w:val="auto"/>
                <w:kern w:val="2"/>
                <w:sz w:val="21"/>
                <w:szCs w:val="21"/>
                <w:highlight w:val="none"/>
                <w:lang w:val="en-US" w:eastAsia="zh-CN" w:bidi="ar-SA"/>
              </w:rPr>
              <w:t>平台系统日常维护1项、平台数据更新与对接服务1项，具体详见竞争性磋商文件第三章采购需求。</w:t>
            </w:r>
          </w:p>
        </w:tc>
      </w:tr>
    </w:tbl>
    <w:p>
      <w:pPr>
        <w:spacing w:line="360" w:lineRule="auto"/>
        <w:ind w:firstLine="420" w:firstLineChars="200"/>
        <w:rPr>
          <w:color w:val="auto"/>
          <w:highlight w:val="none"/>
        </w:rPr>
      </w:pPr>
      <w:r>
        <w:rPr>
          <w:rFonts w:hint="eastAsia" w:ascii="宋体" w:hAnsi="宋体"/>
          <w:color w:val="auto"/>
          <w:szCs w:val="21"/>
          <w:highlight w:val="none"/>
        </w:rPr>
        <w:t>合同履行期限：</w:t>
      </w:r>
      <w:r>
        <w:rPr>
          <w:rFonts w:hint="eastAsia"/>
          <w:bCs/>
          <w:color w:val="auto"/>
          <w:highlight w:val="none"/>
          <w:lang w:val="en-US" w:eastAsia="zh-CN"/>
        </w:rPr>
        <w:t>详见竞争性磋商文件</w:t>
      </w:r>
      <w:r>
        <w:rPr>
          <w:rFonts w:hint="eastAsia"/>
          <w:bCs/>
          <w:color w:val="auto"/>
          <w:highlight w:val="none"/>
        </w:rPr>
        <w:t>。</w:t>
      </w:r>
    </w:p>
    <w:p>
      <w:pPr>
        <w:spacing w:line="360" w:lineRule="auto"/>
        <w:ind w:firstLine="422" w:firstLineChars="200"/>
        <w:rPr>
          <w:rFonts w:ascii="宋体" w:hAnsi="宋体" w:cs="宋体"/>
          <w:b/>
          <w:bCs/>
          <w:color w:val="auto"/>
          <w:szCs w:val="21"/>
          <w:highlight w:val="none"/>
        </w:rPr>
      </w:pPr>
      <w:r>
        <w:rPr>
          <w:rFonts w:hint="eastAsia" w:ascii="宋体" w:hAnsi="宋体"/>
          <w:b/>
          <w:bCs/>
          <w:color w:val="auto"/>
          <w:szCs w:val="21"/>
          <w:highlight w:val="none"/>
        </w:rPr>
        <w:t>本项目</w:t>
      </w:r>
      <w:r>
        <w:rPr>
          <w:rFonts w:hint="eastAsia" w:ascii="宋体" w:hAnsi="宋体"/>
          <w:b/>
          <w:bCs/>
          <w:color w:val="auto"/>
          <w:szCs w:val="21"/>
          <w:highlight w:val="none"/>
          <w:lang w:eastAsia="zh-CN"/>
        </w:rPr>
        <w:t>不</w:t>
      </w:r>
      <w:r>
        <w:rPr>
          <w:rFonts w:hint="eastAsia" w:ascii="宋体" w:hAnsi="宋体"/>
          <w:b/>
          <w:bCs/>
          <w:color w:val="auto"/>
          <w:szCs w:val="21"/>
          <w:highlight w:val="none"/>
        </w:rPr>
        <w:t>接受联合体。</w:t>
      </w:r>
    </w:p>
    <w:p>
      <w:pPr>
        <w:spacing w:line="360" w:lineRule="auto"/>
        <w:ind w:firstLine="354" w:firstLineChars="147"/>
        <w:rPr>
          <w:rFonts w:ascii="宋体" w:hAnsi="宋体" w:cs="宋体"/>
          <w:b/>
          <w:color w:val="auto"/>
          <w:sz w:val="24"/>
          <w:highlight w:val="none"/>
        </w:rPr>
      </w:pPr>
      <w:r>
        <w:rPr>
          <w:rFonts w:hint="eastAsia" w:ascii="宋体" w:hAnsi="宋体" w:cs="宋体"/>
          <w:b/>
          <w:color w:val="auto"/>
          <w:sz w:val="24"/>
          <w:highlight w:val="none"/>
        </w:rPr>
        <w:t>二、申请人的资格条件：</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1、满足《中华人民共和国政府采购法》第二十二条规定；</w:t>
      </w:r>
    </w:p>
    <w:p>
      <w:pPr>
        <w:spacing w:line="360" w:lineRule="auto"/>
        <w:ind w:firstLine="420" w:firstLineChars="200"/>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2、落实政府采购政策需满足的资格要求：</w:t>
      </w:r>
      <w:r>
        <w:rPr>
          <w:rFonts w:hint="eastAsia" w:ascii="宋体" w:hAnsi="宋体" w:cs="宋体"/>
          <w:color w:val="auto"/>
          <w:szCs w:val="21"/>
          <w:highlight w:val="none"/>
          <w:lang w:eastAsia="zh-CN"/>
        </w:rPr>
        <w:t>分标</w:t>
      </w:r>
      <w:r>
        <w:rPr>
          <w:rFonts w:hint="eastAsia" w:ascii="宋体" w:hAnsi="宋体" w:cs="宋体"/>
          <w:color w:val="auto"/>
          <w:szCs w:val="21"/>
          <w:highlight w:val="none"/>
          <w:lang w:val="en-US" w:eastAsia="zh-CN"/>
        </w:rPr>
        <w:t>2、4、5、8专门面向中小企业采购，供应商应为中小微企业或监狱企业或残疾人福利性单位。 </w:t>
      </w:r>
    </w:p>
    <w:p>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3、本项目的特定资格要求：</w:t>
      </w:r>
      <w:r>
        <w:rPr>
          <w:rFonts w:hint="eastAsia" w:ascii="宋体" w:hAnsi="宋体" w:cs="宋体"/>
          <w:color w:val="auto"/>
          <w:szCs w:val="21"/>
          <w:highlight w:val="none"/>
          <w:lang w:eastAsia="zh-CN"/>
        </w:rPr>
        <w:t>分标</w:t>
      </w:r>
      <w:r>
        <w:rPr>
          <w:rFonts w:hint="eastAsia" w:ascii="宋体" w:hAnsi="宋体" w:cs="宋体"/>
          <w:color w:val="auto"/>
          <w:szCs w:val="21"/>
          <w:highlight w:val="none"/>
          <w:lang w:val="en-US" w:eastAsia="zh-CN"/>
        </w:rPr>
        <w:t>1供应商须具有测绘行政主管部门颁发的有效的乙级（或以上）测绘资质；分标2、分标3供应商须具有国家住房和城乡建设部颁发的《工程设计资质证书》电子通信广电行业</w:t>
      </w:r>
      <w:r>
        <w:rPr>
          <w:rFonts w:hint="eastAsia" w:ascii="宋体" w:hAnsi="宋体" w:eastAsia="宋体" w:cs="宋体"/>
          <w:color w:val="auto"/>
          <w:szCs w:val="21"/>
          <w:highlight w:val="none"/>
          <w:lang w:val="en-US" w:eastAsia="zh-CN"/>
        </w:rPr>
        <w:t>（电子系统工程</w:t>
      </w:r>
      <w:r>
        <w:rPr>
          <w:rFonts w:hint="eastAsia" w:ascii="宋体" w:hAnsi="宋体" w:cs="宋体"/>
          <w:color w:val="auto"/>
          <w:szCs w:val="21"/>
          <w:highlight w:val="none"/>
          <w:lang w:val="en-US" w:eastAsia="zh-CN"/>
        </w:rPr>
        <w:t>或通信工程类</w:t>
      </w:r>
      <w:r>
        <w:rPr>
          <w:rFonts w:hint="eastAsia" w:ascii="宋体" w:hAnsi="宋体" w:eastAsia="宋体" w:cs="宋体"/>
          <w:color w:val="auto"/>
          <w:szCs w:val="21"/>
          <w:highlight w:val="none"/>
          <w:lang w:val="en-US" w:eastAsia="zh-CN"/>
        </w:rPr>
        <w:t>）专业乙级及以</w:t>
      </w:r>
      <w:r>
        <w:rPr>
          <w:rFonts w:hint="eastAsia" w:ascii="宋体" w:hAnsi="宋体" w:cs="宋体"/>
          <w:color w:val="auto"/>
          <w:szCs w:val="21"/>
          <w:highlight w:val="none"/>
          <w:lang w:val="en-US" w:eastAsia="zh-CN"/>
        </w:rPr>
        <w:t>上资质，且通过全国投资项目在线审批监管平台备案的工程咨询单位，备案专业为电子、信息工程（含通信、广电、信息化）。</w:t>
      </w:r>
    </w:p>
    <w:p>
      <w:pPr>
        <w:spacing w:line="360" w:lineRule="auto"/>
        <w:ind w:firstLine="354" w:firstLineChars="147"/>
        <w:rPr>
          <w:rFonts w:ascii="宋体" w:hAnsi="宋体" w:cs="宋体"/>
          <w:b/>
          <w:color w:val="auto"/>
          <w:sz w:val="24"/>
          <w:highlight w:val="none"/>
        </w:rPr>
      </w:pPr>
      <w:r>
        <w:rPr>
          <w:rFonts w:hint="eastAsia" w:ascii="宋体" w:hAnsi="宋体" w:cs="宋体"/>
          <w:b/>
          <w:color w:val="auto"/>
          <w:sz w:val="24"/>
          <w:highlight w:val="none"/>
        </w:rPr>
        <w:t>三、获取竞争性磋商文件</w:t>
      </w:r>
    </w:p>
    <w:p>
      <w:pPr>
        <w:spacing w:line="360" w:lineRule="auto"/>
        <w:ind w:firstLine="420" w:firstLineChars="200"/>
        <w:rPr>
          <w:rFonts w:ascii="宋体" w:hAnsi="宋体" w:cs="宋体"/>
          <w:bCs/>
          <w:color w:val="auto"/>
          <w:kern w:val="0"/>
          <w:szCs w:val="21"/>
          <w:highlight w:val="none"/>
        </w:rPr>
      </w:pPr>
      <w:r>
        <w:rPr>
          <w:rFonts w:hint="eastAsia" w:ascii="宋体" w:hAnsi="宋体" w:cs="宋体"/>
          <w:bCs/>
          <w:color w:val="auto"/>
          <w:kern w:val="0"/>
          <w:szCs w:val="21"/>
          <w:highlight w:val="none"/>
        </w:rPr>
        <w:t>时间：</w:t>
      </w:r>
      <w:r>
        <w:rPr>
          <w:rFonts w:hint="eastAsia" w:ascii="宋体" w:hAnsi="宋体" w:cs="宋体"/>
          <w:color w:val="auto"/>
          <w:highlight w:val="none"/>
        </w:rPr>
        <w:t>2024年</w:t>
      </w:r>
      <w:r>
        <w:rPr>
          <w:rFonts w:hint="eastAsia" w:ascii="宋体" w:hAnsi="宋体" w:cs="宋体"/>
          <w:color w:val="auto"/>
          <w:highlight w:val="none"/>
          <w:lang w:val="en-US" w:eastAsia="zh-CN"/>
        </w:rPr>
        <w:t>9</w:t>
      </w:r>
      <w:r>
        <w:rPr>
          <w:rFonts w:hint="eastAsia" w:ascii="宋体" w:hAnsi="宋体" w:cs="宋体"/>
          <w:color w:val="auto"/>
          <w:highlight w:val="none"/>
        </w:rPr>
        <w:t>月</w:t>
      </w:r>
      <w:r>
        <w:rPr>
          <w:rFonts w:hint="eastAsia" w:ascii="宋体" w:hAnsi="宋体" w:cs="宋体"/>
          <w:color w:val="auto"/>
          <w:highlight w:val="none"/>
          <w:lang w:val="en-US" w:eastAsia="zh-CN"/>
        </w:rPr>
        <w:t>6</w:t>
      </w:r>
      <w:r>
        <w:rPr>
          <w:rFonts w:hint="eastAsia" w:ascii="宋体" w:hAnsi="宋体" w:cs="宋体"/>
          <w:color w:val="auto"/>
          <w:highlight w:val="none"/>
        </w:rPr>
        <w:t>日</w:t>
      </w:r>
      <w:r>
        <w:rPr>
          <w:rFonts w:hint="eastAsia" w:ascii="宋体" w:hAnsi="宋体" w:cs="宋体"/>
          <w:color w:val="auto"/>
          <w:szCs w:val="21"/>
          <w:highlight w:val="none"/>
        </w:rPr>
        <w:t>至</w:t>
      </w:r>
      <w:r>
        <w:rPr>
          <w:rFonts w:hint="eastAsia" w:ascii="宋体" w:hAnsi="宋体" w:cs="宋体"/>
          <w:color w:val="auto"/>
          <w:highlight w:val="none"/>
        </w:rPr>
        <w:t>2024年</w:t>
      </w:r>
      <w:r>
        <w:rPr>
          <w:rFonts w:hint="eastAsia" w:ascii="宋体" w:hAnsi="宋体" w:cs="宋体"/>
          <w:color w:val="auto"/>
          <w:highlight w:val="none"/>
          <w:lang w:val="en-US" w:eastAsia="zh-CN"/>
        </w:rPr>
        <w:t>9</w:t>
      </w:r>
      <w:r>
        <w:rPr>
          <w:rFonts w:hint="eastAsia" w:ascii="宋体" w:hAnsi="宋体" w:cs="宋体"/>
          <w:color w:val="auto"/>
          <w:highlight w:val="none"/>
        </w:rPr>
        <w:t>月</w:t>
      </w:r>
      <w:r>
        <w:rPr>
          <w:rFonts w:hint="eastAsia" w:ascii="宋体" w:hAnsi="宋体" w:cs="宋体"/>
          <w:color w:val="auto"/>
          <w:highlight w:val="none"/>
          <w:lang w:val="en-US" w:eastAsia="zh-CN"/>
        </w:rPr>
        <w:t>13</w:t>
      </w:r>
      <w:r>
        <w:rPr>
          <w:rFonts w:hint="eastAsia" w:ascii="宋体" w:hAnsi="宋体" w:cs="宋体"/>
          <w:color w:val="auto"/>
          <w:highlight w:val="none"/>
        </w:rPr>
        <w:t>日</w:t>
      </w:r>
      <w:r>
        <w:rPr>
          <w:rFonts w:hint="eastAsia" w:ascii="宋体" w:hAnsi="宋体" w:cs="宋体"/>
          <w:color w:val="auto"/>
          <w:szCs w:val="21"/>
          <w:highlight w:val="none"/>
        </w:rPr>
        <w:t>，每天上午00:00-12:00；下午1</w:t>
      </w:r>
      <w:r>
        <w:rPr>
          <w:rFonts w:hint="eastAsia" w:ascii="宋体" w:hAnsi="宋体" w:cs="宋体"/>
          <w:color w:val="auto"/>
          <w:highlight w:val="none"/>
        </w:rPr>
        <w:t>2</w:t>
      </w:r>
      <w:r>
        <w:rPr>
          <w:rFonts w:hint="eastAsia" w:ascii="宋体" w:hAnsi="宋体" w:cs="宋体"/>
          <w:color w:val="auto"/>
          <w:szCs w:val="21"/>
          <w:highlight w:val="none"/>
        </w:rPr>
        <w:t>:</w:t>
      </w:r>
      <w:r>
        <w:rPr>
          <w:rFonts w:hint="eastAsia" w:ascii="宋体" w:hAnsi="宋体" w:cs="宋体"/>
          <w:color w:val="auto"/>
          <w:highlight w:val="none"/>
        </w:rPr>
        <w:t>00</w:t>
      </w:r>
      <w:r>
        <w:rPr>
          <w:rFonts w:hint="eastAsia" w:ascii="宋体" w:hAnsi="宋体" w:cs="宋体"/>
          <w:color w:val="auto"/>
          <w:szCs w:val="21"/>
          <w:highlight w:val="none"/>
        </w:rPr>
        <w:t>-23:</w:t>
      </w:r>
      <w:r>
        <w:rPr>
          <w:rFonts w:hint="eastAsia" w:ascii="宋体" w:hAnsi="宋体" w:cs="宋体"/>
          <w:color w:val="auto"/>
          <w:highlight w:val="none"/>
        </w:rPr>
        <w:t>59</w:t>
      </w:r>
      <w:r>
        <w:rPr>
          <w:rFonts w:hint="eastAsia" w:ascii="宋体" w:hAnsi="宋体" w:cs="宋体"/>
          <w:color w:val="auto"/>
          <w:szCs w:val="21"/>
          <w:highlight w:val="none"/>
        </w:rPr>
        <w:t>（北京时间，法定节假日除外）</w:t>
      </w:r>
      <w:r>
        <w:rPr>
          <w:rFonts w:hint="eastAsia" w:ascii="宋体" w:hAnsi="宋体" w:cs="宋体"/>
          <w:bCs/>
          <w:color w:val="auto"/>
          <w:kern w:val="0"/>
          <w:szCs w:val="21"/>
          <w:highlight w:val="none"/>
        </w:rPr>
        <w:t>。</w:t>
      </w:r>
    </w:p>
    <w:p>
      <w:pPr>
        <w:spacing w:line="360" w:lineRule="auto"/>
        <w:ind w:firstLine="420" w:firstLineChars="200"/>
        <w:rPr>
          <w:rFonts w:ascii="宋体" w:hAnsi="宋体" w:cs="宋体"/>
          <w:color w:val="auto"/>
          <w:highlight w:val="none"/>
        </w:rPr>
      </w:pPr>
      <w:r>
        <w:rPr>
          <w:rFonts w:hint="eastAsia" w:ascii="宋体" w:hAnsi="宋体" w:cs="宋体"/>
          <w:bCs/>
          <w:color w:val="auto"/>
          <w:kern w:val="0"/>
          <w:szCs w:val="21"/>
          <w:highlight w:val="none"/>
        </w:rPr>
        <w:t>地点：</w:t>
      </w:r>
      <w:r>
        <w:rPr>
          <w:rFonts w:hint="eastAsia" w:ascii="宋体" w:hAnsi="宋体" w:cs="宋体"/>
          <w:color w:val="auto"/>
          <w:highlight w:val="none"/>
        </w:rPr>
        <w:t>广西政府采购云平台（https://www.gcy.zfcg.gxzf.gov.cn/）。</w:t>
      </w:r>
    </w:p>
    <w:p>
      <w:pPr>
        <w:spacing w:line="360" w:lineRule="auto"/>
        <w:ind w:firstLine="420" w:firstLineChars="200"/>
        <w:rPr>
          <w:rFonts w:ascii="宋体" w:hAnsi="宋体" w:cs="宋体"/>
          <w:bCs/>
          <w:color w:val="auto"/>
          <w:kern w:val="0"/>
          <w:szCs w:val="21"/>
          <w:highlight w:val="none"/>
        </w:rPr>
      </w:pPr>
      <w:r>
        <w:rPr>
          <w:rFonts w:hint="eastAsia" w:ascii="宋体" w:hAnsi="宋体" w:cs="宋体"/>
          <w:bCs/>
          <w:color w:val="auto"/>
          <w:kern w:val="0"/>
          <w:szCs w:val="21"/>
          <w:highlight w:val="none"/>
        </w:rPr>
        <w:t>方式：网上下载。供应商登录广西政府采购云平台https://www.gcy.zfcg.gxzf.gov.cn/在线申请获取采购文件（进入“项目采购”应用，在获取采购文件菜单中选择项目，申请获取采购文件）。</w:t>
      </w:r>
    </w:p>
    <w:p>
      <w:pPr>
        <w:spacing w:line="360" w:lineRule="auto"/>
        <w:ind w:firstLine="420" w:firstLineChars="200"/>
        <w:rPr>
          <w:rFonts w:ascii="宋体" w:hAnsi="宋体" w:cs="宋体"/>
          <w:color w:val="auto"/>
          <w:szCs w:val="21"/>
          <w:highlight w:val="none"/>
        </w:rPr>
      </w:pPr>
      <w:r>
        <w:rPr>
          <w:rFonts w:hint="eastAsia" w:ascii="宋体" w:hAnsi="宋体" w:cs="宋体"/>
          <w:bCs/>
          <w:color w:val="auto"/>
          <w:kern w:val="0"/>
          <w:szCs w:val="21"/>
          <w:highlight w:val="none"/>
        </w:rPr>
        <w:t>售价：0元。</w:t>
      </w:r>
    </w:p>
    <w:p>
      <w:pPr>
        <w:spacing w:line="360" w:lineRule="auto"/>
        <w:ind w:firstLine="354" w:firstLineChars="147"/>
        <w:rPr>
          <w:rFonts w:ascii="宋体" w:hAnsi="宋体" w:cs="宋体"/>
          <w:b/>
          <w:color w:val="auto"/>
          <w:sz w:val="24"/>
          <w:highlight w:val="none"/>
        </w:rPr>
      </w:pPr>
      <w:r>
        <w:rPr>
          <w:rFonts w:hint="eastAsia" w:ascii="宋体" w:hAnsi="宋体" w:cs="宋体"/>
          <w:b/>
          <w:color w:val="auto"/>
          <w:sz w:val="24"/>
          <w:highlight w:val="none"/>
        </w:rPr>
        <w:t>四、响应文件提交</w:t>
      </w:r>
    </w:p>
    <w:p>
      <w:pPr>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1、首次响应文件提交截止时间：</w:t>
      </w:r>
      <w:r>
        <w:rPr>
          <w:rFonts w:hint="eastAsia" w:ascii="宋体" w:hAnsi="宋体" w:cs="宋体"/>
          <w:bCs/>
          <w:color w:val="auto"/>
          <w:kern w:val="0"/>
          <w:szCs w:val="21"/>
          <w:highlight w:val="none"/>
          <w:lang w:eastAsia="zh-CN"/>
        </w:rPr>
        <w:t>2024年</w:t>
      </w:r>
      <w:r>
        <w:rPr>
          <w:rFonts w:hint="eastAsia" w:ascii="宋体" w:hAnsi="宋体" w:cs="宋体"/>
          <w:bCs/>
          <w:color w:val="auto"/>
          <w:kern w:val="0"/>
          <w:szCs w:val="21"/>
          <w:highlight w:val="none"/>
          <w:lang w:val="en-US" w:eastAsia="zh-CN"/>
        </w:rPr>
        <w:t>9</w:t>
      </w:r>
      <w:r>
        <w:rPr>
          <w:rFonts w:hint="eastAsia" w:ascii="宋体" w:hAnsi="宋体" w:cs="宋体"/>
          <w:bCs/>
          <w:color w:val="auto"/>
          <w:kern w:val="0"/>
          <w:szCs w:val="21"/>
          <w:highlight w:val="none"/>
          <w:lang w:eastAsia="zh-CN"/>
        </w:rPr>
        <w:t>月</w:t>
      </w:r>
      <w:r>
        <w:rPr>
          <w:rFonts w:hint="eastAsia" w:ascii="宋体" w:hAnsi="宋体" w:cs="宋体"/>
          <w:bCs/>
          <w:color w:val="auto"/>
          <w:kern w:val="0"/>
          <w:szCs w:val="21"/>
          <w:highlight w:val="none"/>
          <w:lang w:val="en-US" w:eastAsia="zh-CN"/>
        </w:rPr>
        <w:t>19</w:t>
      </w:r>
      <w:r>
        <w:rPr>
          <w:rFonts w:hint="eastAsia" w:ascii="宋体" w:hAnsi="宋体" w:cs="宋体"/>
          <w:bCs/>
          <w:color w:val="auto"/>
          <w:kern w:val="0"/>
          <w:szCs w:val="21"/>
          <w:highlight w:val="none"/>
          <w:lang w:eastAsia="zh-CN"/>
        </w:rPr>
        <w:t>日</w:t>
      </w:r>
      <w:r>
        <w:rPr>
          <w:rFonts w:hint="eastAsia" w:ascii="宋体" w:hAnsi="宋体" w:cs="宋体"/>
          <w:bCs/>
          <w:color w:val="auto"/>
          <w:kern w:val="0"/>
          <w:szCs w:val="21"/>
          <w:highlight w:val="none"/>
        </w:rPr>
        <w:t>09时00分（北京时间）</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2、地点：通过广西政府采购云平台（https://www.gcy.zfcg.gxzf.gov.cn/）在线提交。</w:t>
      </w:r>
    </w:p>
    <w:p>
      <w:pPr>
        <w:spacing w:line="360" w:lineRule="auto"/>
        <w:ind w:firstLine="354" w:firstLineChars="147"/>
        <w:rPr>
          <w:rFonts w:ascii="宋体" w:hAnsi="宋体" w:cs="宋体"/>
          <w:b/>
          <w:color w:val="auto"/>
          <w:sz w:val="24"/>
          <w:highlight w:val="none"/>
        </w:rPr>
      </w:pPr>
      <w:r>
        <w:rPr>
          <w:rFonts w:hint="eastAsia" w:ascii="宋体" w:hAnsi="宋体" w:cs="宋体"/>
          <w:b/>
          <w:color w:val="auto"/>
          <w:sz w:val="24"/>
          <w:highlight w:val="none"/>
        </w:rPr>
        <w:t>五、开启</w:t>
      </w:r>
    </w:p>
    <w:p>
      <w:pPr>
        <w:spacing w:line="360" w:lineRule="auto"/>
        <w:ind w:firstLine="420" w:firstLineChars="200"/>
        <w:rPr>
          <w:rFonts w:ascii="宋体" w:hAnsi="宋体" w:cs="宋体"/>
          <w:bCs/>
          <w:color w:val="auto"/>
          <w:szCs w:val="21"/>
          <w:highlight w:val="none"/>
          <w:u w:val="single"/>
        </w:rPr>
      </w:pPr>
      <w:r>
        <w:rPr>
          <w:rFonts w:hint="eastAsia" w:ascii="宋体" w:hAnsi="宋体" w:cs="宋体"/>
          <w:color w:val="auto"/>
          <w:szCs w:val="21"/>
          <w:highlight w:val="none"/>
        </w:rPr>
        <w:t>1、首次响应文件开启时间：</w:t>
      </w:r>
      <w:r>
        <w:rPr>
          <w:rFonts w:hint="eastAsia" w:ascii="宋体" w:hAnsi="宋体" w:cs="宋体"/>
          <w:bCs/>
          <w:color w:val="auto"/>
          <w:kern w:val="0"/>
          <w:szCs w:val="21"/>
          <w:highlight w:val="none"/>
          <w:lang w:eastAsia="zh-CN"/>
        </w:rPr>
        <w:t>2024年</w:t>
      </w:r>
      <w:r>
        <w:rPr>
          <w:rFonts w:hint="eastAsia" w:ascii="宋体" w:hAnsi="宋体" w:cs="宋体"/>
          <w:bCs/>
          <w:color w:val="auto"/>
          <w:kern w:val="0"/>
          <w:szCs w:val="21"/>
          <w:highlight w:val="none"/>
          <w:lang w:val="en-US" w:eastAsia="zh-CN"/>
        </w:rPr>
        <w:t>9</w:t>
      </w:r>
      <w:r>
        <w:rPr>
          <w:rFonts w:hint="eastAsia" w:ascii="宋体" w:hAnsi="宋体" w:cs="宋体"/>
          <w:bCs/>
          <w:color w:val="auto"/>
          <w:kern w:val="0"/>
          <w:szCs w:val="21"/>
          <w:highlight w:val="none"/>
          <w:lang w:eastAsia="zh-CN"/>
        </w:rPr>
        <w:t>月</w:t>
      </w:r>
      <w:r>
        <w:rPr>
          <w:rFonts w:hint="eastAsia" w:ascii="宋体" w:hAnsi="宋体" w:cs="宋体"/>
          <w:bCs/>
          <w:color w:val="auto"/>
          <w:kern w:val="0"/>
          <w:szCs w:val="21"/>
          <w:highlight w:val="none"/>
          <w:lang w:val="en-US" w:eastAsia="zh-CN"/>
        </w:rPr>
        <w:t>19</w:t>
      </w:r>
      <w:r>
        <w:rPr>
          <w:rFonts w:hint="eastAsia" w:ascii="宋体" w:hAnsi="宋体" w:cs="宋体"/>
          <w:bCs/>
          <w:color w:val="auto"/>
          <w:kern w:val="0"/>
          <w:szCs w:val="21"/>
          <w:highlight w:val="none"/>
          <w:lang w:eastAsia="zh-CN"/>
        </w:rPr>
        <w:t>日</w:t>
      </w:r>
      <w:r>
        <w:rPr>
          <w:rFonts w:hint="eastAsia" w:ascii="宋体" w:hAnsi="宋体" w:cs="宋体"/>
          <w:bCs/>
          <w:color w:val="auto"/>
          <w:kern w:val="0"/>
          <w:szCs w:val="21"/>
          <w:highlight w:val="none"/>
        </w:rPr>
        <w:t>09时00分（北京时间）</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2、地点：本项目将在广西政府采购云平台电子开标大厅解密、开启。</w:t>
      </w:r>
    </w:p>
    <w:p>
      <w:pPr>
        <w:spacing w:line="360" w:lineRule="auto"/>
        <w:ind w:firstLine="354" w:firstLineChars="147"/>
        <w:rPr>
          <w:rFonts w:ascii="宋体" w:hAnsi="宋体" w:cs="宋体"/>
          <w:b/>
          <w:color w:val="auto"/>
          <w:sz w:val="24"/>
          <w:highlight w:val="none"/>
        </w:rPr>
      </w:pPr>
      <w:r>
        <w:rPr>
          <w:rFonts w:hint="eastAsia" w:ascii="宋体" w:hAnsi="宋体" w:cs="宋体"/>
          <w:b/>
          <w:color w:val="auto"/>
          <w:sz w:val="24"/>
          <w:highlight w:val="none"/>
        </w:rPr>
        <w:t>六、公告期限</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自本公告发布之日起</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个工作日。</w:t>
      </w:r>
    </w:p>
    <w:p>
      <w:pPr>
        <w:spacing w:line="360" w:lineRule="auto"/>
        <w:ind w:firstLine="354" w:firstLineChars="147"/>
        <w:rPr>
          <w:rFonts w:ascii="宋体" w:hAnsi="宋体" w:cs="宋体"/>
          <w:b/>
          <w:color w:val="auto"/>
          <w:sz w:val="24"/>
          <w:highlight w:val="none"/>
        </w:rPr>
      </w:pPr>
      <w:r>
        <w:rPr>
          <w:rFonts w:hint="eastAsia" w:ascii="宋体" w:hAnsi="宋体" w:cs="宋体"/>
          <w:b/>
          <w:color w:val="auto"/>
          <w:sz w:val="24"/>
          <w:highlight w:val="none"/>
        </w:rPr>
        <w:t>七、其他补充事宜</w:t>
      </w:r>
    </w:p>
    <w:p>
      <w:pPr>
        <w:widowControl/>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1、磋商保证金（人民币）：</w:t>
      </w:r>
      <w:r>
        <w:rPr>
          <w:rFonts w:hint="eastAsia" w:ascii="宋体" w:hAnsi="宋体" w:cs="宋体"/>
          <w:color w:val="auto"/>
          <w:szCs w:val="21"/>
          <w:highlight w:val="none"/>
          <w:lang w:bidi="ar"/>
        </w:rPr>
        <w:t>分标</w:t>
      </w:r>
      <w:r>
        <w:rPr>
          <w:rFonts w:hint="eastAsia" w:ascii="宋体" w:hAnsi="宋体" w:cs="宋体"/>
          <w:color w:val="auto"/>
          <w:szCs w:val="21"/>
          <w:highlight w:val="none"/>
          <w:lang w:val="en-US" w:eastAsia="zh-CN" w:bidi="ar"/>
        </w:rPr>
        <w:t>1为3000.00</w:t>
      </w:r>
      <w:r>
        <w:rPr>
          <w:rFonts w:hint="eastAsia" w:ascii="宋体" w:hAnsi="宋体" w:cs="宋体"/>
          <w:color w:val="auto"/>
          <w:szCs w:val="21"/>
          <w:highlight w:val="none"/>
          <w:lang w:bidi="ar"/>
        </w:rPr>
        <w:t>元</w:t>
      </w:r>
      <w:r>
        <w:rPr>
          <w:rFonts w:hint="eastAsia" w:ascii="宋体" w:hAnsi="宋体" w:cs="宋体"/>
          <w:color w:val="auto"/>
          <w:szCs w:val="21"/>
          <w:highlight w:val="none"/>
          <w:lang w:eastAsia="zh-CN" w:bidi="ar"/>
        </w:rPr>
        <w:t>；</w:t>
      </w:r>
      <w:r>
        <w:rPr>
          <w:rFonts w:hint="eastAsia" w:ascii="宋体" w:hAnsi="宋体" w:cs="宋体"/>
          <w:color w:val="auto"/>
          <w:szCs w:val="21"/>
          <w:highlight w:val="none"/>
          <w:lang w:bidi="ar"/>
        </w:rPr>
        <w:t>分标</w:t>
      </w:r>
      <w:r>
        <w:rPr>
          <w:rFonts w:hint="eastAsia" w:ascii="宋体" w:hAnsi="宋体" w:cs="宋体"/>
          <w:color w:val="auto"/>
          <w:szCs w:val="21"/>
          <w:highlight w:val="none"/>
          <w:lang w:val="en-US" w:eastAsia="zh-CN" w:bidi="ar"/>
        </w:rPr>
        <w:t>2为4600.00</w:t>
      </w:r>
      <w:r>
        <w:rPr>
          <w:rFonts w:hint="eastAsia" w:ascii="宋体" w:hAnsi="宋体" w:cs="宋体"/>
          <w:color w:val="auto"/>
          <w:szCs w:val="21"/>
          <w:highlight w:val="none"/>
          <w:lang w:bidi="ar"/>
        </w:rPr>
        <w:t>元</w:t>
      </w:r>
      <w:r>
        <w:rPr>
          <w:rFonts w:hint="eastAsia" w:ascii="宋体" w:hAnsi="宋体" w:cs="宋体"/>
          <w:color w:val="auto"/>
          <w:szCs w:val="21"/>
          <w:highlight w:val="none"/>
          <w:lang w:eastAsia="zh-CN" w:bidi="ar"/>
        </w:rPr>
        <w:t>；</w:t>
      </w:r>
      <w:r>
        <w:rPr>
          <w:rFonts w:hint="eastAsia" w:ascii="宋体" w:hAnsi="宋体" w:cs="宋体"/>
          <w:color w:val="auto"/>
          <w:szCs w:val="21"/>
          <w:highlight w:val="none"/>
          <w:lang w:bidi="ar"/>
        </w:rPr>
        <w:t>分标</w:t>
      </w:r>
      <w:r>
        <w:rPr>
          <w:rFonts w:hint="eastAsia" w:ascii="宋体" w:hAnsi="宋体" w:cs="宋体"/>
          <w:color w:val="auto"/>
          <w:szCs w:val="21"/>
          <w:highlight w:val="none"/>
          <w:lang w:val="en-US" w:eastAsia="zh-CN" w:bidi="ar"/>
        </w:rPr>
        <w:t>3为1300.00</w:t>
      </w:r>
      <w:r>
        <w:rPr>
          <w:rFonts w:hint="eastAsia" w:ascii="宋体" w:hAnsi="宋体" w:cs="宋体"/>
          <w:color w:val="auto"/>
          <w:szCs w:val="21"/>
          <w:highlight w:val="none"/>
          <w:lang w:bidi="ar"/>
        </w:rPr>
        <w:t>元</w:t>
      </w:r>
      <w:r>
        <w:rPr>
          <w:rFonts w:hint="eastAsia" w:ascii="宋体" w:hAnsi="宋体" w:cs="宋体"/>
          <w:color w:val="auto"/>
          <w:szCs w:val="21"/>
          <w:highlight w:val="none"/>
          <w:lang w:eastAsia="zh-CN" w:bidi="ar"/>
        </w:rPr>
        <w:t>；</w:t>
      </w:r>
      <w:r>
        <w:rPr>
          <w:rFonts w:hint="eastAsia" w:ascii="宋体" w:hAnsi="宋体" w:cs="宋体"/>
          <w:color w:val="auto"/>
          <w:szCs w:val="21"/>
          <w:highlight w:val="none"/>
          <w:lang w:bidi="ar"/>
        </w:rPr>
        <w:t>分标</w:t>
      </w:r>
      <w:r>
        <w:rPr>
          <w:rFonts w:hint="eastAsia" w:ascii="宋体" w:hAnsi="宋体" w:cs="宋体"/>
          <w:color w:val="auto"/>
          <w:szCs w:val="21"/>
          <w:highlight w:val="none"/>
          <w:lang w:val="en-US" w:eastAsia="zh-CN" w:bidi="ar"/>
        </w:rPr>
        <w:t>4为2000.00</w:t>
      </w:r>
      <w:r>
        <w:rPr>
          <w:rFonts w:hint="eastAsia" w:ascii="宋体" w:hAnsi="宋体" w:cs="宋体"/>
          <w:color w:val="auto"/>
          <w:szCs w:val="21"/>
          <w:highlight w:val="none"/>
          <w:lang w:bidi="ar"/>
        </w:rPr>
        <w:t>元</w:t>
      </w:r>
      <w:r>
        <w:rPr>
          <w:rFonts w:hint="eastAsia" w:ascii="宋体" w:hAnsi="宋体" w:cs="宋体"/>
          <w:color w:val="auto"/>
          <w:szCs w:val="21"/>
          <w:highlight w:val="none"/>
          <w:lang w:eastAsia="zh-CN" w:bidi="ar"/>
        </w:rPr>
        <w:t>；</w:t>
      </w:r>
      <w:r>
        <w:rPr>
          <w:rFonts w:hint="eastAsia" w:ascii="宋体" w:hAnsi="宋体" w:cs="宋体"/>
          <w:color w:val="auto"/>
          <w:szCs w:val="21"/>
          <w:highlight w:val="none"/>
          <w:lang w:bidi="ar"/>
        </w:rPr>
        <w:t>分标</w:t>
      </w:r>
      <w:r>
        <w:rPr>
          <w:rFonts w:hint="eastAsia" w:ascii="宋体" w:hAnsi="宋体" w:cs="宋体"/>
          <w:color w:val="auto"/>
          <w:szCs w:val="21"/>
          <w:highlight w:val="none"/>
          <w:lang w:val="en-US" w:eastAsia="zh-CN" w:bidi="ar"/>
        </w:rPr>
        <w:t>5为1900.00</w:t>
      </w:r>
      <w:r>
        <w:rPr>
          <w:rFonts w:hint="eastAsia" w:ascii="宋体" w:hAnsi="宋体" w:cs="宋体"/>
          <w:color w:val="auto"/>
          <w:szCs w:val="21"/>
          <w:highlight w:val="none"/>
          <w:lang w:bidi="ar"/>
        </w:rPr>
        <w:t>元</w:t>
      </w:r>
      <w:r>
        <w:rPr>
          <w:rFonts w:hint="eastAsia" w:ascii="宋体" w:hAnsi="宋体" w:cs="宋体"/>
          <w:color w:val="auto"/>
          <w:szCs w:val="21"/>
          <w:highlight w:val="none"/>
          <w:lang w:eastAsia="zh-CN" w:bidi="ar"/>
        </w:rPr>
        <w:t>；</w:t>
      </w:r>
      <w:r>
        <w:rPr>
          <w:rFonts w:hint="eastAsia" w:ascii="宋体" w:hAnsi="宋体" w:cs="宋体"/>
          <w:color w:val="auto"/>
          <w:szCs w:val="21"/>
          <w:highlight w:val="none"/>
          <w:lang w:bidi="ar"/>
        </w:rPr>
        <w:t>分标</w:t>
      </w:r>
      <w:r>
        <w:rPr>
          <w:rFonts w:hint="eastAsia" w:ascii="宋体" w:hAnsi="宋体" w:cs="宋体"/>
          <w:color w:val="auto"/>
          <w:szCs w:val="21"/>
          <w:highlight w:val="none"/>
          <w:lang w:val="en-US" w:eastAsia="zh-CN" w:bidi="ar"/>
        </w:rPr>
        <w:t>6为5600.00</w:t>
      </w:r>
      <w:r>
        <w:rPr>
          <w:rFonts w:hint="eastAsia" w:ascii="宋体" w:hAnsi="宋体" w:cs="宋体"/>
          <w:color w:val="auto"/>
          <w:szCs w:val="21"/>
          <w:highlight w:val="none"/>
          <w:lang w:bidi="ar"/>
        </w:rPr>
        <w:t>元</w:t>
      </w:r>
      <w:r>
        <w:rPr>
          <w:rFonts w:hint="eastAsia" w:ascii="宋体" w:hAnsi="宋体" w:cs="宋体"/>
          <w:color w:val="auto"/>
          <w:szCs w:val="21"/>
          <w:highlight w:val="none"/>
          <w:lang w:eastAsia="zh-CN" w:bidi="ar"/>
        </w:rPr>
        <w:t>；</w:t>
      </w:r>
      <w:r>
        <w:rPr>
          <w:rFonts w:hint="eastAsia" w:ascii="宋体" w:hAnsi="宋体" w:cs="宋体"/>
          <w:color w:val="auto"/>
          <w:szCs w:val="21"/>
          <w:highlight w:val="none"/>
          <w:lang w:bidi="ar"/>
        </w:rPr>
        <w:t>分标</w:t>
      </w:r>
      <w:r>
        <w:rPr>
          <w:rFonts w:hint="eastAsia" w:ascii="宋体" w:hAnsi="宋体" w:cs="宋体"/>
          <w:color w:val="auto"/>
          <w:szCs w:val="21"/>
          <w:highlight w:val="none"/>
          <w:lang w:val="en-US" w:eastAsia="zh-CN" w:bidi="ar"/>
        </w:rPr>
        <w:t>7为1000.00</w:t>
      </w:r>
      <w:r>
        <w:rPr>
          <w:rFonts w:hint="eastAsia" w:ascii="宋体" w:hAnsi="宋体" w:cs="宋体"/>
          <w:color w:val="auto"/>
          <w:szCs w:val="21"/>
          <w:highlight w:val="none"/>
          <w:lang w:bidi="ar"/>
        </w:rPr>
        <w:t>元</w:t>
      </w:r>
      <w:r>
        <w:rPr>
          <w:rFonts w:hint="eastAsia" w:ascii="宋体" w:hAnsi="宋体" w:cs="宋体"/>
          <w:color w:val="auto"/>
          <w:szCs w:val="21"/>
          <w:highlight w:val="none"/>
          <w:lang w:eastAsia="zh-CN" w:bidi="ar"/>
        </w:rPr>
        <w:t>；</w:t>
      </w:r>
      <w:r>
        <w:rPr>
          <w:rFonts w:hint="eastAsia" w:ascii="宋体" w:hAnsi="宋体" w:cs="宋体"/>
          <w:color w:val="auto"/>
          <w:szCs w:val="21"/>
          <w:highlight w:val="none"/>
          <w:lang w:bidi="ar"/>
        </w:rPr>
        <w:t>分标</w:t>
      </w:r>
      <w:r>
        <w:rPr>
          <w:rFonts w:hint="eastAsia" w:ascii="宋体" w:hAnsi="宋体" w:cs="宋体"/>
          <w:color w:val="auto"/>
          <w:szCs w:val="21"/>
          <w:highlight w:val="none"/>
          <w:lang w:val="en-US" w:eastAsia="zh-CN" w:bidi="ar"/>
        </w:rPr>
        <w:t>8为900.00</w:t>
      </w:r>
      <w:r>
        <w:rPr>
          <w:rFonts w:hint="eastAsia" w:ascii="宋体" w:hAnsi="宋体" w:cs="宋体"/>
          <w:color w:val="auto"/>
          <w:szCs w:val="21"/>
          <w:highlight w:val="none"/>
          <w:lang w:bidi="ar"/>
        </w:rPr>
        <w:t>元</w:t>
      </w:r>
      <w:r>
        <w:rPr>
          <w:rFonts w:hint="eastAsia" w:ascii="宋体" w:hAnsi="宋体" w:cs="宋体"/>
          <w:color w:val="auto"/>
          <w:szCs w:val="21"/>
          <w:highlight w:val="none"/>
        </w:rPr>
        <w:t>。</w:t>
      </w:r>
    </w:p>
    <w:p>
      <w:pPr>
        <w:widowControl/>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pPr>
        <w:widowControl/>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3、根据财政部《关于在政府采购活动中查询及使用信用记录有关问题的通知》（财库〔2016〕125号）的规定，对在“信用中国”网站(www.creditchina.gov.cn)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pPr>
        <w:widowControl/>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4、网上查询地址：中国政府采购网（www.ccgp.gov.cn）、广西政府采购网（zfcg.gxzf.gov.cn）。</w:t>
      </w:r>
    </w:p>
    <w:p>
      <w:pPr>
        <w:widowControl/>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5、本项目需要落实的政府采购政策：</w:t>
      </w:r>
    </w:p>
    <w:p>
      <w:pPr>
        <w:widowControl/>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（1）政府采购促进中小企业发展。</w:t>
      </w:r>
    </w:p>
    <w:p>
      <w:pPr>
        <w:widowControl/>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（2）政府采购支持采用本国产品的政策。</w:t>
      </w:r>
    </w:p>
    <w:p>
      <w:pPr>
        <w:widowControl/>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（3）强制采购节能产品；优先采购节能产品、环境标志产品。</w:t>
      </w:r>
    </w:p>
    <w:p>
      <w:pPr>
        <w:widowControl/>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（4）政府采购促进残疾人就业政策。</w:t>
      </w:r>
    </w:p>
    <w:p>
      <w:pPr>
        <w:widowControl/>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（5）政府采购支持监狱企业发展。</w:t>
      </w:r>
    </w:p>
    <w:p>
      <w:pPr>
        <w:widowControl/>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（6）扶持不发达地区和少数民族地区政策</w:t>
      </w:r>
    </w:p>
    <w:p>
      <w:pPr>
        <w:widowControl/>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6、磋商注意事项：</w:t>
      </w:r>
    </w:p>
    <w:bookmarkEnd w:id="11"/>
    <w:p>
      <w:pPr>
        <w:spacing w:line="360" w:lineRule="auto"/>
        <w:ind w:firstLine="630" w:firstLineChars="3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1）本项目为全流程电子化采购项目，通过“广西政府采购云平台”（https://www.gcy.zfcg.gxzf.gov.cn/）实行在线电子竞标，供应商应先安装“广西政府采购云平台新版客户端”（新版客户端下载路径：请自行前往广西政府采购网（访问地址http://zfcg.gxzf.gov.cn/）—办事服务—下载专区），并按照本项目竞争性磋商文件和“广西政府采购云平台”的要求编制、加密后在竞标截止时间前通过网络上传至 “广西政府采购云平台”，供应商在“广西政府采购云平台”提交电子响应文件时，请填写参加远程开标活动经办人联系方式。供应商登录“广西政府采购云平台”，依次进入“服务中心-项目采购-操作流程-电子招投标-政府采购项目电子交易管理操作指南-供应商”查看电子竞标具体操作流程。</w:t>
      </w:r>
    </w:p>
    <w:p>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2）未进行网上注册并办理数字证书（CA认证）的供应商将无法参与本项目政府采购活动，供应商应当在竞标截止时间前，完成电子交易平台上的CA数字证书办理及响应文件的提交（供应商可登录“广西政府采购网”，依次进入“办事服务-下载专区”或者登陆“广西政府采购云平台”，依次进入“服务中心-入驻与配置”中查看CA数字证书办理操作流程。如在操作过程中遇到问题或者需要技术支持，请致电</w:t>
      </w:r>
      <w:r>
        <w:rPr>
          <w:rFonts w:hint="eastAsia" w:ascii="宋体" w:hAnsi="宋体" w:cs="宋体"/>
          <w:bCs/>
          <w:color w:val="auto"/>
          <w:kern w:val="0"/>
          <w:szCs w:val="21"/>
          <w:highlight w:val="none"/>
        </w:rPr>
        <w:t>广西政府采购云平台</w:t>
      </w:r>
      <w:r>
        <w:rPr>
          <w:rFonts w:hint="eastAsia" w:ascii="宋体" w:hAnsi="宋体" w:cs="宋体"/>
          <w:color w:val="auto"/>
          <w:szCs w:val="21"/>
          <w:highlight w:val="none"/>
        </w:rPr>
        <w:t>客服热线：95763）。</w:t>
      </w:r>
    </w:p>
    <w:p>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（3）CA证书在线解密：供应商竞标时，需凭制作响应文件时用来加密的有效数字证书（CA认证）登录“广西政府采购云平台”电子开标大厅现场按规定时间对加密的响应文件进行解密，否则后果自负。</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注：1）为确保网上操作合法、有效和安全，请供应商确保在电子投标过程中能够对相关数据电文进行加密和使用电子签章，妥善保管CA数字证书并使用有效的CA数字证书参与整个采购活动。2）供应商应当在竞标截止时间前完成电子响应文件的上传、提交，竞标截止时间前可以补充、修改或者撤回响应文件。补充或者修改响应文件的，应当先行撤回原响应文件，补充、修改后重新上传、提交，提交响应文件截止时间前未完成上传、提交的，视为撤回响应文件。提交响应文件截止时间以后上传递交的响应文件，“广西政府采购云平台”将予以拒收。</w:t>
      </w:r>
    </w:p>
    <w:p>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 xml:space="preserve"> （4）供应商需要在具备有摄像头及语音功能且互联网网络状况良好的电脑登录“广西政府采购云平台”远程开标大厅参与本次磋商，否则后果自负。</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若对项目采购电子交易系统操作有疑问，可登录“广西政府采购云平台”（https://www.gcy.zfcg.gxzf.gov.cn/），点击右侧咨询小采，获取采小蜜智能服务管家帮助，或拨打广西政府采购云平台服务热线95763获取热线服务帮助。</w:t>
      </w:r>
    </w:p>
    <w:p>
      <w:pPr>
        <w:spacing w:line="360" w:lineRule="auto"/>
        <w:ind w:firstLine="354" w:firstLineChars="147"/>
        <w:rPr>
          <w:rFonts w:ascii="宋体" w:hAnsi="宋体" w:cs="宋体"/>
          <w:b/>
          <w:color w:val="auto"/>
          <w:sz w:val="24"/>
          <w:highlight w:val="none"/>
        </w:rPr>
      </w:pPr>
      <w:r>
        <w:rPr>
          <w:rFonts w:hint="eastAsia" w:ascii="宋体" w:hAnsi="宋体" w:cs="宋体"/>
          <w:b/>
          <w:color w:val="auto"/>
          <w:sz w:val="24"/>
          <w:highlight w:val="none"/>
        </w:rPr>
        <w:t>八、凡对本次采购提出询问，请按以下方式联系。</w:t>
      </w:r>
      <w:bookmarkEnd w:id="12"/>
      <w:bookmarkEnd w:id="13"/>
      <w:bookmarkEnd w:id="14"/>
      <w:bookmarkEnd w:id="15"/>
      <w:bookmarkEnd w:id="16"/>
    </w:p>
    <w:p>
      <w:pPr>
        <w:spacing w:line="360" w:lineRule="auto"/>
        <w:ind w:firstLine="567" w:firstLineChars="270"/>
        <w:jc w:val="left"/>
        <w:rPr>
          <w:rFonts w:hint="eastAsia" w:ascii="宋体" w:hAnsi="宋体" w:cs="宋体"/>
          <w:color w:val="auto"/>
          <w:szCs w:val="21"/>
          <w:highlight w:val="none"/>
        </w:rPr>
      </w:pPr>
      <w:bookmarkStart w:id="17" w:name="_Toc35393637"/>
      <w:bookmarkStart w:id="18" w:name="_Toc35393806"/>
      <w:bookmarkStart w:id="19" w:name="_Toc28359096"/>
      <w:bookmarkStart w:id="20" w:name="_Toc28359019"/>
      <w:r>
        <w:rPr>
          <w:rFonts w:hint="eastAsia" w:ascii="宋体" w:hAnsi="宋体" w:cs="宋体"/>
          <w:color w:val="auto"/>
          <w:szCs w:val="21"/>
          <w:highlight w:val="none"/>
        </w:rPr>
        <w:t>1.采购人信息</w:t>
      </w:r>
    </w:p>
    <w:p>
      <w:pPr>
        <w:spacing w:line="360" w:lineRule="auto"/>
        <w:ind w:firstLine="567" w:firstLineChars="270"/>
        <w:jc w:val="left"/>
        <w:rPr>
          <w:rFonts w:hint="eastAsia" w:ascii="宋体" w:hAnsi="宋体" w:cs="宋体"/>
          <w:color w:val="auto"/>
          <w:szCs w:val="21"/>
          <w:highlight w:val="none"/>
        </w:rPr>
      </w:pPr>
      <w:r>
        <w:rPr>
          <w:rFonts w:hint="eastAsia" w:ascii="宋体" w:hAnsi="宋体" w:cs="宋体"/>
          <w:color w:val="auto"/>
          <w:szCs w:val="21"/>
          <w:highlight w:val="none"/>
        </w:rPr>
        <w:t>名 称：</w:t>
      </w:r>
      <w:r>
        <w:rPr>
          <w:rFonts w:hint="eastAsia" w:ascii="宋体" w:hAnsi="宋体" w:cs="宋体"/>
          <w:color w:val="auto"/>
          <w:highlight w:val="none"/>
        </w:rPr>
        <w:t>广西壮族自治区农业信息中心</w:t>
      </w:r>
    </w:p>
    <w:p>
      <w:pPr>
        <w:spacing w:line="360" w:lineRule="auto"/>
        <w:ind w:firstLine="567" w:firstLineChars="270"/>
        <w:jc w:val="left"/>
        <w:rPr>
          <w:rFonts w:hint="eastAsia" w:ascii="宋体" w:hAnsi="宋体" w:cs="宋体"/>
          <w:color w:val="auto"/>
          <w:szCs w:val="21"/>
          <w:highlight w:val="none"/>
        </w:rPr>
      </w:pPr>
      <w:r>
        <w:rPr>
          <w:rFonts w:hint="eastAsia" w:ascii="宋体" w:hAnsi="宋体" w:cs="宋体"/>
          <w:color w:val="auto"/>
          <w:szCs w:val="21"/>
          <w:highlight w:val="none"/>
        </w:rPr>
        <w:t>地址：</w:t>
      </w:r>
      <w:r>
        <w:rPr>
          <w:rFonts w:hint="eastAsia" w:ascii="宋体" w:hAnsi="宋体" w:cs="宋体"/>
          <w:color w:val="auto"/>
          <w:highlight w:val="none"/>
        </w:rPr>
        <w:t>广西南宁市七星路135号</w:t>
      </w:r>
    </w:p>
    <w:p>
      <w:pPr>
        <w:spacing w:line="360" w:lineRule="auto"/>
        <w:ind w:firstLine="567" w:firstLineChars="270"/>
        <w:jc w:val="left"/>
        <w:rPr>
          <w:rFonts w:hint="eastAsia" w:ascii="宋体" w:hAnsi="宋体" w:cs="宋体"/>
          <w:color w:val="auto"/>
          <w:szCs w:val="21"/>
          <w:highlight w:val="none"/>
        </w:rPr>
      </w:pPr>
      <w:r>
        <w:rPr>
          <w:rFonts w:hint="eastAsia" w:ascii="宋体" w:hAnsi="宋体" w:cs="宋体"/>
          <w:color w:val="auto"/>
          <w:szCs w:val="21"/>
          <w:highlight w:val="none"/>
        </w:rPr>
        <w:t>联系方式：联系人：</w:t>
      </w:r>
      <w:bookmarkStart w:id="21" w:name="_Toc28359009"/>
      <w:bookmarkStart w:id="22" w:name="_Toc28359086"/>
      <w:r>
        <w:rPr>
          <w:rFonts w:hint="eastAsia" w:ascii="宋体" w:hAnsi="宋体" w:cs="宋体"/>
          <w:color w:val="auto"/>
          <w:szCs w:val="21"/>
          <w:highlight w:val="none"/>
        </w:rPr>
        <w:t>曾振宇，联系电话： 0771-5829847</w:t>
      </w:r>
    </w:p>
    <w:p>
      <w:pPr>
        <w:spacing w:line="360" w:lineRule="auto"/>
        <w:ind w:firstLine="567" w:firstLineChars="270"/>
        <w:jc w:val="left"/>
        <w:rPr>
          <w:rFonts w:hint="eastAsia" w:ascii="宋体" w:hAnsi="宋体" w:cs="宋体"/>
          <w:color w:val="auto"/>
          <w:szCs w:val="21"/>
          <w:highlight w:val="none"/>
        </w:rPr>
      </w:pPr>
      <w:r>
        <w:rPr>
          <w:rFonts w:hint="eastAsia" w:ascii="宋体" w:hAnsi="宋体" w:cs="宋体"/>
          <w:color w:val="auto"/>
          <w:szCs w:val="21"/>
          <w:highlight w:val="none"/>
        </w:rPr>
        <w:t>2.采购代理机构信息</w:t>
      </w:r>
      <w:bookmarkEnd w:id="21"/>
      <w:bookmarkEnd w:id="22"/>
    </w:p>
    <w:p>
      <w:pPr>
        <w:spacing w:line="360" w:lineRule="auto"/>
        <w:ind w:firstLine="567" w:firstLineChars="270"/>
        <w:rPr>
          <w:rFonts w:hint="eastAsia" w:ascii="宋体" w:hAnsi="宋体" w:cs="宋体"/>
          <w:color w:val="auto"/>
          <w:szCs w:val="21"/>
          <w:highlight w:val="none"/>
        </w:rPr>
      </w:pPr>
      <w:r>
        <w:rPr>
          <w:rFonts w:hint="eastAsia" w:ascii="宋体" w:hAnsi="宋体" w:cs="宋体"/>
          <w:color w:val="auto"/>
          <w:szCs w:val="21"/>
          <w:highlight w:val="none"/>
        </w:rPr>
        <w:t>名 称：广西国泰招标咨询有限公司</w:t>
      </w:r>
    </w:p>
    <w:p>
      <w:pPr>
        <w:spacing w:line="360" w:lineRule="auto"/>
        <w:ind w:firstLine="567" w:firstLineChars="270"/>
        <w:rPr>
          <w:rFonts w:hint="eastAsia" w:ascii="宋体" w:hAnsi="宋体" w:cs="宋体"/>
          <w:color w:val="auto"/>
          <w:szCs w:val="21"/>
          <w:highlight w:val="none"/>
        </w:rPr>
      </w:pPr>
      <w:r>
        <w:rPr>
          <w:rFonts w:hint="eastAsia" w:ascii="宋体" w:hAnsi="宋体" w:cs="宋体"/>
          <w:color w:val="auto"/>
          <w:szCs w:val="21"/>
          <w:highlight w:val="none"/>
        </w:rPr>
        <w:t>地　址：广西南宁市民族大道141号中鼎万象东方大厦D区</w:t>
      </w:r>
      <w:r>
        <w:rPr>
          <w:rFonts w:hint="eastAsia" w:ascii="宋体" w:hAnsi="宋体" w:cs="宋体"/>
          <w:color w:val="auto"/>
          <w:highlight w:val="none"/>
        </w:rPr>
        <w:t>六</w:t>
      </w:r>
      <w:r>
        <w:rPr>
          <w:rFonts w:hint="eastAsia" w:ascii="宋体" w:hAnsi="宋体" w:cs="宋体"/>
          <w:color w:val="auto"/>
          <w:szCs w:val="21"/>
          <w:highlight w:val="none"/>
        </w:rPr>
        <w:t>层D</w:t>
      </w:r>
      <w:r>
        <w:rPr>
          <w:rFonts w:hint="eastAsia" w:ascii="宋体" w:hAnsi="宋体" w:cs="宋体"/>
          <w:color w:val="auto"/>
          <w:highlight w:val="none"/>
        </w:rPr>
        <w:t>607</w:t>
      </w:r>
    </w:p>
    <w:p>
      <w:pPr>
        <w:spacing w:line="360" w:lineRule="auto"/>
        <w:ind w:firstLine="567" w:firstLineChars="270"/>
        <w:rPr>
          <w:rFonts w:ascii="宋体" w:hAnsi="宋体" w:cs="宋体"/>
          <w:color w:val="auto"/>
          <w:szCs w:val="21"/>
          <w:highlight w:val="none"/>
        </w:rPr>
      </w:pPr>
      <w:r>
        <w:rPr>
          <w:rFonts w:hint="eastAsia" w:ascii="宋体" w:hAnsi="宋体" w:cs="宋体"/>
          <w:color w:val="auto"/>
          <w:szCs w:val="21"/>
          <w:highlight w:val="none"/>
        </w:rPr>
        <w:t>联系方式：</w:t>
      </w:r>
      <w:bookmarkStart w:id="23" w:name="_Toc28359087"/>
      <w:bookmarkStart w:id="24" w:name="_Toc28359010"/>
      <w:r>
        <w:rPr>
          <w:rFonts w:hint="eastAsia" w:ascii="宋体" w:hAnsi="宋体" w:cs="宋体"/>
          <w:color w:val="auto"/>
          <w:szCs w:val="21"/>
          <w:highlight w:val="none"/>
        </w:rPr>
        <w:t>　联系人：黄</w:t>
      </w:r>
      <w:r>
        <w:rPr>
          <w:rFonts w:hint="eastAsia" w:ascii="宋体" w:hAnsi="宋体" w:cs="宋体"/>
          <w:color w:val="auto"/>
          <w:szCs w:val="21"/>
          <w:highlight w:val="none"/>
          <w:lang w:eastAsia="zh-CN"/>
        </w:rPr>
        <w:t>柳娜</w:t>
      </w:r>
      <w:r>
        <w:rPr>
          <w:rFonts w:hint="eastAsia" w:ascii="宋体" w:hAnsi="宋体" w:cs="宋体"/>
          <w:color w:val="auto"/>
          <w:szCs w:val="21"/>
          <w:highlight w:val="none"/>
        </w:rPr>
        <w:t>；联系电话：0771-2023496</w:t>
      </w:r>
    </w:p>
    <w:p>
      <w:pPr>
        <w:spacing w:line="360" w:lineRule="auto"/>
        <w:ind w:firstLine="567" w:firstLineChars="270"/>
        <w:rPr>
          <w:rFonts w:hint="eastAsia" w:ascii="宋体" w:hAnsi="宋体" w:cs="宋体"/>
          <w:color w:val="auto"/>
          <w:szCs w:val="21"/>
          <w:highlight w:val="none"/>
        </w:rPr>
      </w:pPr>
      <w:r>
        <w:rPr>
          <w:rFonts w:hint="eastAsia" w:ascii="宋体" w:hAnsi="宋体" w:cs="宋体"/>
          <w:color w:val="auto"/>
          <w:szCs w:val="21"/>
          <w:highlight w:val="none"/>
        </w:rPr>
        <w:t>3.项目联系方式</w:t>
      </w:r>
      <w:bookmarkEnd w:id="23"/>
      <w:bookmarkEnd w:id="24"/>
    </w:p>
    <w:p>
      <w:pPr>
        <w:pStyle w:val="18"/>
        <w:spacing w:line="360" w:lineRule="auto"/>
        <w:ind w:firstLine="567" w:firstLineChars="270"/>
        <w:rPr>
          <w:rFonts w:hint="eastAsia" w:hAnsi="宋体" w:cs="宋体"/>
          <w:color w:val="auto"/>
          <w:sz w:val="21"/>
          <w:highlight w:val="none"/>
        </w:rPr>
      </w:pPr>
      <w:r>
        <w:rPr>
          <w:rFonts w:hint="eastAsia" w:hAnsi="宋体" w:cs="宋体"/>
          <w:color w:val="auto"/>
          <w:sz w:val="21"/>
          <w:highlight w:val="none"/>
        </w:rPr>
        <w:t>项目联系人：</w:t>
      </w:r>
      <w:r>
        <w:rPr>
          <w:rFonts w:hint="eastAsia" w:ascii="宋体" w:hAnsi="宋体" w:cs="宋体"/>
          <w:color w:val="auto"/>
          <w:szCs w:val="21"/>
          <w:highlight w:val="none"/>
        </w:rPr>
        <w:t>黄</w:t>
      </w:r>
      <w:r>
        <w:rPr>
          <w:rFonts w:hint="eastAsia" w:ascii="宋体" w:hAnsi="宋体" w:cs="宋体"/>
          <w:color w:val="auto"/>
          <w:szCs w:val="21"/>
          <w:highlight w:val="none"/>
          <w:lang w:eastAsia="zh-CN"/>
        </w:rPr>
        <w:t>柳娜</w:t>
      </w:r>
      <w:r>
        <w:rPr>
          <w:rFonts w:hint="eastAsia" w:hAnsi="宋体" w:cs="宋体"/>
          <w:color w:val="auto"/>
          <w:sz w:val="21"/>
          <w:highlight w:val="none"/>
        </w:rPr>
        <w:t xml:space="preserve">     </w:t>
      </w:r>
    </w:p>
    <w:p>
      <w:pPr>
        <w:spacing w:line="360" w:lineRule="auto"/>
        <w:ind w:firstLine="567" w:firstLineChars="270"/>
        <w:rPr>
          <w:rFonts w:ascii="宋体" w:hAnsi="宋体" w:cs="宋体"/>
          <w:color w:val="auto"/>
          <w:szCs w:val="21"/>
          <w:highlight w:val="none"/>
        </w:rPr>
      </w:pPr>
      <w:r>
        <w:rPr>
          <w:rFonts w:hint="eastAsia" w:ascii="宋体" w:hAnsi="宋体" w:cs="宋体"/>
          <w:color w:val="auto"/>
          <w:szCs w:val="21"/>
          <w:highlight w:val="none"/>
        </w:rPr>
        <w:t>电　话：0771-2023496　　　　　　　　　　</w:t>
      </w:r>
    </w:p>
    <w:p>
      <w:pPr>
        <w:spacing w:line="380" w:lineRule="exact"/>
        <w:ind w:firstLine="6195" w:firstLineChars="2950"/>
        <w:rPr>
          <w:rFonts w:ascii="宋体" w:hAnsi="宋体" w:cs="宋体"/>
          <w:color w:val="auto"/>
          <w:szCs w:val="21"/>
          <w:highlight w:val="none"/>
        </w:rPr>
      </w:pPr>
    </w:p>
    <w:p>
      <w:pPr>
        <w:spacing w:line="380" w:lineRule="exact"/>
        <w:ind w:firstLine="6195" w:firstLineChars="2950"/>
        <w:rPr>
          <w:rFonts w:ascii="宋体" w:hAnsi="宋体" w:cs="宋体"/>
          <w:color w:val="auto"/>
          <w:szCs w:val="21"/>
          <w:highlight w:val="none"/>
        </w:rPr>
      </w:pPr>
    </w:p>
    <w:p>
      <w:pPr>
        <w:spacing w:line="360" w:lineRule="auto"/>
        <w:ind w:firstLine="6232" w:firstLineChars="2968"/>
        <w:rPr>
          <w:rFonts w:ascii="宋体" w:hAnsi="宋体" w:cs="宋体"/>
          <w:color w:val="auto"/>
          <w:szCs w:val="21"/>
          <w:highlight w:val="none"/>
        </w:rPr>
      </w:pPr>
      <w:r>
        <w:rPr>
          <w:rFonts w:hint="eastAsia" w:ascii="宋体" w:hAnsi="宋体" w:cs="宋体"/>
          <w:color w:val="auto"/>
          <w:szCs w:val="21"/>
          <w:highlight w:val="none"/>
        </w:rPr>
        <w:t>广西国泰招标咨询有限公司</w:t>
      </w:r>
    </w:p>
    <w:p>
      <w:pPr>
        <w:spacing w:line="360" w:lineRule="auto"/>
        <w:ind w:firstLine="567" w:firstLineChars="270"/>
        <w:jc w:val="center"/>
        <w:rPr>
          <w:rFonts w:ascii="宋体" w:hAnsi="宋体" w:cs="宋体"/>
          <w:color w:val="auto"/>
          <w:highlight w:val="none"/>
        </w:rPr>
      </w:pPr>
      <w:r>
        <w:rPr>
          <w:rFonts w:hint="eastAsia" w:ascii="宋体" w:hAnsi="宋体" w:cs="宋体"/>
          <w:color w:val="auto"/>
          <w:szCs w:val="21"/>
          <w:highlight w:val="none"/>
        </w:rPr>
        <w:t xml:space="preserve">                                              2024年</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日</w:t>
      </w:r>
      <w:bookmarkEnd w:id="4"/>
      <w:bookmarkEnd w:id="17"/>
      <w:bookmarkEnd w:id="18"/>
      <w:bookmarkEnd w:id="19"/>
      <w:bookmarkEnd w:id="20"/>
      <w:r>
        <w:rPr>
          <w:rFonts w:hint="eastAsia" w:ascii="宋体" w:hAnsi="宋体" w:cs="宋体"/>
          <w:b/>
          <w:bCs/>
          <w:color w:val="auto"/>
          <w:sz w:val="32"/>
          <w:szCs w:val="32"/>
          <w:highlight w:val="none"/>
        </w:rPr>
        <w:br w:type="page"/>
      </w:r>
      <w:bookmarkStart w:id="25" w:name="_Toc74323457"/>
      <w:r>
        <w:rPr>
          <w:rStyle w:val="38"/>
          <w:rFonts w:hint="eastAsia"/>
          <w:color w:val="auto"/>
          <w:highlight w:val="none"/>
        </w:rPr>
        <w:t>第二章 供应商须知</w:t>
      </w:r>
      <w:bookmarkEnd w:id="25"/>
    </w:p>
    <w:p>
      <w:pPr>
        <w:spacing w:line="400" w:lineRule="exact"/>
        <w:jc w:val="center"/>
        <w:rPr>
          <w:rFonts w:ascii="宋体" w:hAnsi="宋体" w:cs="宋体"/>
          <w:b/>
          <w:color w:val="auto"/>
          <w:sz w:val="32"/>
          <w:szCs w:val="32"/>
          <w:highlight w:val="none"/>
        </w:rPr>
      </w:pPr>
      <w:r>
        <w:rPr>
          <w:rFonts w:hint="eastAsia" w:ascii="宋体" w:hAnsi="宋体" w:cs="宋体"/>
          <w:b/>
          <w:color w:val="auto"/>
          <w:sz w:val="32"/>
          <w:szCs w:val="32"/>
          <w:highlight w:val="none"/>
        </w:rPr>
        <w:t>供应商须知前附表</w:t>
      </w:r>
    </w:p>
    <w:p>
      <w:pPr>
        <w:spacing w:line="400" w:lineRule="exact"/>
        <w:jc w:val="center"/>
        <w:rPr>
          <w:rFonts w:ascii="宋体" w:hAnsi="宋体" w:cs="宋体"/>
          <w:b/>
          <w:color w:val="auto"/>
          <w:sz w:val="32"/>
          <w:szCs w:val="32"/>
          <w:highlight w:val="none"/>
        </w:rPr>
      </w:pPr>
    </w:p>
    <w:tbl>
      <w:tblPr>
        <w:tblStyle w:val="30"/>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92"/>
        <w:gridCol w:w="86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tcPr>
          <w:p>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条款号</w:t>
            </w:r>
          </w:p>
        </w:tc>
        <w:tc>
          <w:tcPr>
            <w:tcW w:w="8627" w:type="dxa"/>
          </w:tcPr>
          <w:p>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内    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w:t>
            </w:r>
          </w:p>
        </w:tc>
        <w:tc>
          <w:tcPr>
            <w:tcW w:w="8627" w:type="dxa"/>
            <w:vAlign w:val="center"/>
          </w:tcPr>
          <w:p>
            <w:pPr>
              <w:spacing w:line="360" w:lineRule="auto"/>
              <w:rPr>
                <w:rFonts w:ascii="宋体" w:hAnsi="宋体" w:cs="宋体"/>
                <w:color w:val="auto"/>
                <w:szCs w:val="21"/>
                <w:highlight w:val="none"/>
              </w:rPr>
            </w:pPr>
            <w:r>
              <w:rPr>
                <w:rFonts w:hint="eastAsia" w:ascii="宋体" w:hAnsi="宋体" w:cs="宋体"/>
                <w:bCs/>
                <w:color w:val="auto"/>
                <w:szCs w:val="21"/>
                <w:highlight w:val="none"/>
              </w:rPr>
              <w:t>供应商的资格条件</w:t>
            </w:r>
            <w:r>
              <w:rPr>
                <w:rFonts w:hint="eastAsia" w:ascii="宋体" w:hAnsi="宋体" w:cs="宋体"/>
                <w:color w:val="auto"/>
                <w:szCs w:val="21"/>
                <w:highlight w:val="none"/>
              </w:rPr>
              <w:t>：详见竞争性磋商公告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5.1</w:t>
            </w:r>
          </w:p>
        </w:tc>
        <w:tc>
          <w:tcPr>
            <w:tcW w:w="8627" w:type="dxa"/>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是否接受联合体竞标：详见竞争性磋商公告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5.2</w:t>
            </w:r>
          </w:p>
        </w:tc>
        <w:tc>
          <w:tcPr>
            <w:tcW w:w="8627" w:type="dxa"/>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如接受联合体竞标，联合体竞标要求如下：</w:t>
            </w:r>
          </w:p>
          <w:p>
            <w:pPr>
              <w:autoSpaceDE w:val="0"/>
              <w:autoSpaceDN w:val="0"/>
              <w:snapToGrid w:val="0"/>
              <w:spacing w:line="400" w:lineRule="exact"/>
              <w:textAlignment w:val="bottom"/>
              <w:rPr>
                <w:rFonts w:ascii="宋体" w:hAnsi="宋体" w:cs="宋体"/>
                <w:color w:val="auto"/>
                <w:szCs w:val="21"/>
                <w:highlight w:val="none"/>
              </w:rPr>
            </w:pPr>
            <w:r>
              <w:rPr>
                <w:rFonts w:hint="eastAsia" w:ascii="宋体" w:hAnsi="宋体" w:cs="宋体"/>
                <w:color w:val="auto"/>
                <w:szCs w:val="21"/>
                <w:highlight w:val="none"/>
              </w:rPr>
              <w:t>1、两个以上供应商可以组成一个竞标联合体，以一个供应商的身份共同参加竞标，联合体供应商的名称应统一按“XXX 公司与 XXX 公司的联合体”的规则填写。</w:t>
            </w:r>
            <w:r>
              <w:rPr>
                <w:rFonts w:hint="eastAsia" w:ascii="宋体" w:hAnsi="宋体" w:cs="宋体"/>
                <w:color w:val="auto"/>
                <w:szCs w:val="21"/>
                <w:highlight w:val="none"/>
              </w:rPr>
              <w:tab/>
            </w:r>
          </w:p>
          <w:p>
            <w:pPr>
              <w:autoSpaceDE w:val="0"/>
              <w:autoSpaceDN w:val="0"/>
              <w:snapToGrid w:val="0"/>
              <w:spacing w:line="400" w:lineRule="exact"/>
              <w:textAlignment w:val="bottom"/>
              <w:rPr>
                <w:rFonts w:ascii="宋体" w:hAnsi="宋体" w:cs="宋体"/>
                <w:color w:val="auto"/>
                <w:szCs w:val="21"/>
                <w:highlight w:val="none"/>
              </w:rPr>
            </w:pPr>
            <w:r>
              <w:rPr>
                <w:rFonts w:hint="eastAsia" w:ascii="宋体" w:hAnsi="宋体" w:cs="宋体"/>
                <w:color w:val="auto"/>
                <w:szCs w:val="21"/>
                <w:highlight w:val="none"/>
              </w:rPr>
              <w:t>2、以联合体形式参加竞标的，联合体各方均必须具备《中华人民共和国政府采购法》第二十二条第一款规定的基本条件（涉及行政许可范围的内容，联合体各方均应具备相应资质）。本项目有特殊要求规定供应商特定条件的，联合体各方中至少有一方必须符合本项目竞争性磋商公告“申请人的资格条件”第3点 “3、本项目的特定资格要求”的要求。</w:t>
            </w:r>
          </w:p>
          <w:p>
            <w:pPr>
              <w:autoSpaceDE w:val="0"/>
              <w:autoSpaceDN w:val="0"/>
              <w:snapToGrid w:val="0"/>
              <w:spacing w:line="400" w:lineRule="exact"/>
              <w:textAlignment w:val="bottom"/>
              <w:rPr>
                <w:rFonts w:ascii="宋体" w:hAnsi="宋体" w:cs="宋体"/>
                <w:color w:val="auto"/>
                <w:szCs w:val="21"/>
                <w:highlight w:val="none"/>
              </w:rPr>
            </w:pPr>
            <w:r>
              <w:rPr>
                <w:rFonts w:hint="eastAsia" w:ascii="宋体" w:hAnsi="宋体" w:cs="宋体"/>
                <w:color w:val="auto"/>
                <w:szCs w:val="21"/>
                <w:highlight w:val="none"/>
              </w:rPr>
              <w:t>3、联合体竞标的，须提供《联合体竞标协议书》（格式后附），协议书必须明确主体方（或者牵头方）并明确约定联合体各方承担的工作和相应的责任（各方承担责任与义务的分工必须符合采购需求，否则，联合体响应无效），并将联合竞标协议放入响应文件。联合体各方必须共同与采购人签订采购合同，就采购合同约定的事项对采购人承担连带责任。</w:t>
            </w:r>
            <w:r>
              <w:rPr>
                <w:rFonts w:hint="eastAsia" w:ascii="宋体" w:hAnsi="宋体" w:cs="宋体"/>
                <w:color w:val="auto"/>
                <w:szCs w:val="21"/>
                <w:highlight w:val="none"/>
              </w:rPr>
              <w:tab/>
            </w:r>
          </w:p>
          <w:p>
            <w:pPr>
              <w:autoSpaceDE w:val="0"/>
              <w:autoSpaceDN w:val="0"/>
              <w:snapToGrid w:val="0"/>
              <w:spacing w:line="400" w:lineRule="exact"/>
              <w:textAlignment w:val="bottom"/>
              <w:rPr>
                <w:rFonts w:ascii="宋体" w:hAnsi="宋体" w:cs="宋体"/>
                <w:color w:val="auto"/>
                <w:szCs w:val="21"/>
                <w:highlight w:val="none"/>
              </w:rPr>
            </w:pPr>
            <w:r>
              <w:rPr>
                <w:rFonts w:hint="eastAsia" w:ascii="宋体" w:hAnsi="宋体" w:cs="宋体"/>
                <w:color w:val="auto"/>
                <w:szCs w:val="21"/>
                <w:highlight w:val="none"/>
              </w:rPr>
              <w:t>4、以联合体形式参加政府采购活动的，联合体各方不得再单独参加或者与其他供应商另外组成联合体参加同一合同项下的政府采购活动，否则与之相关的响应文件作废。</w:t>
            </w:r>
            <w:r>
              <w:rPr>
                <w:rFonts w:hint="eastAsia" w:ascii="宋体" w:hAnsi="宋体" w:cs="宋体"/>
                <w:color w:val="auto"/>
                <w:szCs w:val="21"/>
                <w:highlight w:val="none"/>
              </w:rPr>
              <w:tab/>
            </w:r>
            <w:r>
              <w:rPr>
                <w:rFonts w:hint="eastAsia" w:ascii="宋体" w:hAnsi="宋体" w:cs="宋体"/>
                <w:color w:val="auto"/>
                <w:szCs w:val="21"/>
                <w:highlight w:val="none"/>
              </w:rPr>
              <w:tab/>
            </w:r>
          </w:p>
          <w:p>
            <w:pPr>
              <w:autoSpaceDE w:val="0"/>
              <w:autoSpaceDN w:val="0"/>
              <w:snapToGrid w:val="0"/>
              <w:spacing w:line="400" w:lineRule="exact"/>
              <w:textAlignment w:val="bottom"/>
              <w:rPr>
                <w:rFonts w:ascii="宋体" w:hAnsi="宋体" w:cs="宋体"/>
                <w:color w:val="auto"/>
                <w:szCs w:val="21"/>
                <w:highlight w:val="none"/>
              </w:rPr>
            </w:pPr>
            <w:r>
              <w:rPr>
                <w:rFonts w:hint="eastAsia" w:ascii="宋体" w:hAnsi="宋体" w:cs="宋体"/>
                <w:color w:val="auto"/>
                <w:szCs w:val="21"/>
                <w:highlight w:val="none"/>
              </w:rPr>
              <w:t>5、联合体中有同类资质的供应商按照联合体分工承担相同工作的，应当按照资质等级较低的供应商确定资质等级。</w:t>
            </w:r>
            <w:r>
              <w:rPr>
                <w:rFonts w:hint="eastAsia" w:ascii="宋体" w:hAnsi="宋体" w:cs="宋体"/>
                <w:color w:val="auto"/>
                <w:szCs w:val="21"/>
                <w:highlight w:val="none"/>
              </w:rPr>
              <w:tab/>
            </w:r>
            <w:r>
              <w:rPr>
                <w:rFonts w:hint="eastAsia" w:ascii="宋体" w:hAnsi="宋体" w:cs="宋体"/>
                <w:color w:val="auto"/>
                <w:szCs w:val="21"/>
                <w:highlight w:val="none"/>
              </w:rPr>
              <w:tab/>
            </w:r>
          </w:p>
          <w:p>
            <w:pPr>
              <w:autoSpaceDE w:val="0"/>
              <w:autoSpaceDN w:val="0"/>
              <w:snapToGrid w:val="0"/>
              <w:spacing w:line="400" w:lineRule="exact"/>
              <w:textAlignment w:val="bottom"/>
              <w:rPr>
                <w:rFonts w:ascii="宋体" w:hAnsi="宋体" w:cs="宋体"/>
                <w:color w:val="auto"/>
                <w:szCs w:val="21"/>
                <w:highlight w:val="none"/>
              </w:rPr>
            </w:pPr>
            <w:r>
              <w:rPr>
                <w:rFonts w:hint="eastAsia" w:ascii="宋体" w:hAnsi="宋体" w:cs="宋体"/>
                <w:color w:val="auto"/>
                <w:szCs w:val="21"/>
                <w:highlight w:val="none"/>
              </w:rPr>
              <w:t>6、联合体各方均应按照竞争性磋商文件的规定提交资格证明文件。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6.2</w:t>
            </w:r>
          </w:p>
        </w:tc>
        <w:tc>
          <w:tcPr>
            <w:tcW w:w="8627" w:type="dxa"/>
            <w:vAlign w:val="center"/>
          </w:tcPr>
          <w:p>
            <w:pPr>
              <w:pStyle w:val="14"/>
              <w:spacing w:line="400" w:lineRule="exact"/>
              <w:rPr>
                <w:rFonts w:ascii="宋体" w:hAnsi="宋体" w:cs="宋体"/>
                <w:color w:val="auto"/>
                <w:szCs w:val="21"/>
                <w:highlight w:val="none"/>
              </w:rPr>
            </w:pPr>
            <w:r>
              <w:rPr>
                <w:rFonts w:hint="eastAsia" w:ascii="宋体" w:hAnsi="宋体" w:cs="宋体"/>
                <w:color w:val="auto"/>
                <w:szCs w:val="21"/>
                <w:highlight w:val="none"/>
              </w:rPr>
              <w:t>本项目不允许分包。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12.1.1</w:t>
            </w:r>
          </w:p>
        </w:tc>
        <w:tc>
          <w:tcPr>
            <w:tcW w:w="8627" w:type="dxa"/>
            <w:vAlign w:val="center"/>
          </w:tcPr>
          <w:p>
            <w:pPr>
              <w:snapToGrid w:val="0"/>
              <w:spacing w:line="360" w:lineRule="auto"/>
              <w:jc w:val="left"/>
              <w:rPr>
                <w:rFonts w:ascii="宋体" w:hAnsi="宋体" w:cs="宋体"/>
                <w:b/>
                <w:color w:val="auto"/>
                <w:szCs w:val="21"/>
                <w:highlight w:val="none"/>
              </w:rPr>
            </w:pPr>
            <w:r>
              <w:rPr>
                <w:rFonts w:hint="eastAsia" w:ascii="宋体" w:hAnsi="宋体" w:cs="宋体"/>
                <w:b/>
                <w:color w:val="auto"/>
                <w:szCs w:val="21"/>
                <w:highlight w:val="none"/>
              </w:rPr>
              <w:t>资格证明文件</w:t>
            </w:r>
          </w:p>
          <w:p>
            <w:pPr>
              <w:pStyle w:val="14"/>
              <w:spacing w:line="360" w:lineRule="auto"/>
              <w:rPr>
                <w:rFonts w:ascii="宋体" w:hAnsi="宋体" w:cs="宋体"/>
                <w:color w:val="auto"/>
                <w:szCs w:val="21"/>
                <w:highlight w:val="none"/>
              </w:rPr>
            </w:pPr>
            <w:r>
              <w:rPr>
                <w:rFonts w:hint="eastAsia" w:ascii="宋体" w:hAnsi="宋体" w:cs="宋体"/>
                <w:color w:val="auto"/>
                <w:szCs w:val="21"/>
                <w:highlight w:val="none"/>
              </w:rPr>
              <w:t>1、供应商为法人或者其他组织的，证明文件为其营业执照复印件（如营业执照或者事业单位法人证书或者执业许可证等）；供应商为自然人的，证明文件为其身份证复印件；（</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pPr>
              <w:spacing w:line="360" w:lineRule="auto"/>
              <w:contextualSpacing/>
              <w:jc w:val="left"/>
              <w:rPr>
                <w:rFonts w:ascii="宋体" w:hAnsi="宋体" w:cs="宋体"/>
                <w:color w:val="auto"/>
                <w:szCs w:val="21"/>
                <w:highlight w:val="none"/>
              </w:rPr>
            </w:pPr>
            <w:r>
              <w:rPr>
                <w:rFonts w:hint="eastAsia" w:ascii="宋体" w:hAnsi="宋体" w:cs="宋体"/>
                <w:color w:val="auto"/>
                <w:szCs w:val="21"/>
                <w:highlight w:val="none"/>
              </w:rPr>
              <w:t>2、供应商依法缴纳税收的相关材料（</w:t>
            </w:r>
            <w:r>
              <w:rPr>
                <w:rFonts w:hint="eastAsia" w:ascii="宋体" w:hAnsi="宋体" w:cs="宋体"/>
                <w:color w:val="auto"/>
                <w:szCs w:val="21"/>
                <w:highlight w:val="none"/>
                <w:u w:val="single"/>
              </w:rPr>
              <w:t xml:space="preserve"> 202</w:t>
            </w:r>
            <w:r>
              <w:rPr>
                <w:rFonts w:hint="eastAsia" w:ascii="宋体" w:hAnsi="宋体" w:cs="宋体"/>
                <w:color w:val="auto"/>
                <w:szCs w:val="21"/>
                <w:highlight w:val="none"/>
                <w:u w:val="single"/>
                <w:lang w:val="en-US" w:eastAsia="zh-CN"/>
              </w:rPr>
              <w:t>4</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1</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月至</w:t>
            </w:r>
            <w:r>
              <w:rPr>
                <w:rFonts w:hint="eastAsia" w:ascii="宋体" w:hAnsi="宋体" w:cs="宋体"/>
                <w:color w:val="auto"/>
                <w:szCs w:val="21"/>
                <w:highlight w:val="none"/>
                <w:u w:val="single"/>
              </w:rPr>
              <w:t xml:space="preserve"> 2024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8</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月内连续</w:t>
            </w:r>
            <w:r>
              <w:rPr>
                <w:rFonts w:hint="eastAsia" w:ascii="宋体" w:hAnsi="宋体" w:cs="宋体"/>
                <w:color w:val="auto"/>
                <w:szCs w:val="21"/>
                <w:highlight w:val="none"/>
                <w:u w:val="single"/>
              </w:rPr>
              <w:t xml:space="preserve">  3  </w:t>
            </w:r>
            <w:r>
              <w:rPr>
                <w:rFonts w:hint="eastAsia" w:ascii="宋体" w:hAnsi="宋体" w:cs="宋体"/>
                <w:color w:val="auto"/>
                <w:szCs w:val="21"/>
                <w:highlight w:val="none"/>
              </w:rPr>
              <w:t>个月的依法缴纳税收的凭据复印件；</w:t>
            </w:r>
            <w:r>
              <w:rPr>
                <w:rFonts w:hint="eastAsia" w:ascii="宋体" w:hAnsi="宋体" w:cs="宋体"/>
                <w:color w:val="auto"/>
                <w:highlight w:val="none"/>
              </w:rPr>
              <w:t>依法免税的，必须提供相应文件证明其依法免税。</w:t>
            </w:r>
            <w:r>
              <w:rPr>
                <w:rFonts w:hint="eastAsia" w:ascii="宋体" w:hAnsi="宋体" w:cs="宋体"/>
                <w:color w:val="auto"/>
                <w:szCs w:val="21"/>
                <w:highlight w:val="none"/>
              </w:rPr>
              <w:t>从成立之日起到响应文件提交截止时间止不足要求月数的，只需提供从成立之日起的依法缴纳税收</w:t>
            </w:r>
            <w:r>
              <w:rPr>
                <w:rFonts w:hint="eastAsia" w:ascii="宋体" w:hAnsi="宋体" w:cs="宋体"/>
                <w:color w:val="auto"/>
                <w:highlight w:val="none"/>
              </w:rPr>
              <w:t>相应证明文件</w:t>
            </w:r>
            <w:r>
              <w:rPr>
                <w:rFonts w:hint="eastAsia" w:ascii="宋体" w:hAnsi="宋体" w:cs="宋体"/>
                <w:color w:val="auto"/>
                <w:szCs w:val="21"/>
                <w:highlight w:val="none"/>
              </w:rPr>
              <w:t>）；（</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pPr>
              <w:spacing w:line="360" w:lineRule="auto"/>
              <w:contextualSpacing/>
              <w:jc w:val="left"/>
              <w:rPr>
                <w:rFonts w:ascii="宋体" w:hAnsi="宋体" w:cs="宋体"/>
                <w:color w:val="auto"/>
                <w:szCs w:val="21"/>
                <w:highlight w:val="none"/>
              </w:rPr>
            </w:pPr>
            <w:r>
              <w:rPr>
                <w:rFonts w:hint="eastAsia" w:ascii="宋体" w:hAnsi="宋体" w:cs="宋体"/>
                <w:color w:val="auto"/>
                <w:szCs w:val="21"/>
                <w:highlight w:val="none"/>
              </w:rPr>
              <w:t>3、供应商依法缴纳社会保障资金的相关材料[</w:t>
            </w:r>
            <w:r>
              <w:rPr>
                <w:rFonts w:hint="eastAsia" w:ascii="宋体" w:hAnsi="宋体" w:cs="宋体"/>
                <w:color w:val="auto"/>
                <w:szCs w:val="21"/>
                <w:highlight w:val="none"/>
                <w:u w:val="single"/>
              </w:rPr>
              <w:t xml:space="preserve">  202</w:t>
            </w:r>
            <w:r>
              <w:rPr>
                <w:rFonts w:hint="eastAsia" w:ascii="宋体" w:hAnsi="宋体" w:cs="宋体"/>
                <w:color w:val="auto"/>
                <w:szCs w:val="21"/>
                <w:highlight w:val="none"/>
                <w:u w:val="single"/>
                <w:lang w:val="en-US" w:eastAsia="zh-CN"/>
              </w:rPr>
              <w:t>4</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1</w:t>
            </w:r>
            <w:r>
              <w:rPr>
                <w:rFonts w:hint="eastAsia" w:ascii="宋体" w:hAnsi="宋体" w:cs="宋体"/>
                <w:color w:val="auto"/>
                <w:szCs w:val="21"/>
                <w:highlight w:val="none"/>
              </w:rPr>
              <w:t>月至</w:t>
            </w:r>
            <w:r>
              <w:rPr>
                <w:rFonts w:hint="eastAsia" w:ascii="宋体" w:hAnsi="宋体" w:cs="宋体"/>
                <w:color w:val="auto"/>
                <w:szCs w:val="21"/>
                <w:highlight w:val="none"/>
                <w:u w:val="single"/>
              </w:rPr>
              <w:t xml:space="preserve">  2024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8</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月连续</w:t>
            </w:r>
            <w:r>
              <w:rPr>
                <w:rFonts w:hint="eastAsia" w:ascii="宋体" w:hAnsi="宋体" w:cs="宋体"/>
                <w:color w:val="auto"/>
                <w:szCs w:val="21"/>
                <w:highlight w:val="none"/>
                <w:u w:val="single"/>
              </w:rPr>
              <w:t xml:space="preserve">3 </w:t>
            </w:r>
            <w:r>
              <w:rPr>
                <w:rFonts w:hint="eastAsia" w:ascii="宋体" w:hAnsi="宋体" w:cs="宋体"/>
                <w:color w:val="auto"/>
                <w:szCs w:val="21"/>
                <w:highlight w:val="none"/>
              </w:rPr>
              <w:t>个月的依法缴纳社会保障资金的缴费凭证（专用收据或者社会保险缴纳清单）复印件；</w:t>
            </w:r>
            <w:r>
              <w:rPr>
                <w:rFonts w:hint="eastAsia" w:ascii="宋体" w:hAnsi="宋体" w:cs="宋体"/>
                <w:color w:val="auto"/>
                <w:highlight w:val="none"/>
              </w:rPr>
              <w:t>依法不需要缴纳社会保障资金的，必须提供相应文件证明不需要缴纳社会保障资金。</w:t>
            </w:r>
            <w:r>
              <w:rPr>
                <w:rFonts w:hint="eastAsia" w:ascii="宋体" w:hAnsi="宋体" w:cs="宋体"/>
                <w:color w:val="auto"/>
                <w:szCs w:val="21"/>
                <w:highlight w:val="none"/>
              </w:rPr>
              <w:t>从成立之日起到响应文件提交截止时间止不足要求月数的只需提供从成立之日起的依法缴纳社会保障资金的</w:t>
            </w:r>
            <w:r>
              <w:rPr>
                <w:rFonts w:hint="eastAsia" w:ascii="宋体" w:hAnsi="宋体" w:cs="宋体"/>
                <w:color w:val="auto"/>
                <w:highlight w:val="none"/>
              </w:rPr>
              <w:t>相应证明文件</w:t>
            </w:r>
            <w:r>
              <w:rPr>
                <w:rFonts w:hint="eastAsia" w:ascii="宋体" w:hAnsi="宋体" w:cs="宋体"/>
                <w:color w:val="auto"/>
                <w:szCs w:val="21"/>
                <w:highlight w:val="none"/>
              </w:rPr>
              <w:t>]；（</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pPr>
              <w:spacing w:line="360" w:lineRule="auto"/>
              <w:contextualSpacing/>
              <w:jc w:val="left"/>
              <w:rPr>
                <w:rFonts w:ascii="宋体" w:hAnsi="宋体" w:cs="宋体"/>
                <w:b/>
                <w:color w:val="auto"/>
                <w:szCs w:val="21"/>
                <w:highlight w:val="none"/>
              </w:rPr>
            </w:pPr>
            <w:r>
              <w:rPr>
                <w:rFonts w:hint="eastAsia" w:ascii="宋体" w:hAnsi="宋体" w:cs="宋体"/>
                <w:color w:val="auto"/>
                <w:szCs w:val="21"/>
                <w:highlight w:val="none"/>
              </w:rPr>
              <w:t>4、供应商财务状况报告（</w:t>
            </w:r>
            <w:r>
              <w:rPr>
                <w:rFonts w:hint="eastAsia" w:ascii="宋体" w:hAnsi="宋体" w:cs="宋体"/>
                <w:color w:val="auto"/>
                <w:szCs w:val="21"/>
                <w:highlight w:val="none"/>
                <w:lang w:val="en-US" w:eastAsia="zh-CN"/>
              </w:rPr>
              <w:t>2023年度</w:t>
            </w:r>
            <w:r>
              <w:rPr>
                <w:rFonts w:hint="eastAsia" w:ascii="宋体" w:hAnsi="宋体" w:cs="宋体"/>
                <w:color w:val="auto"/>
                <w:szCs w:val="21"/>
                <w:highlight w:val="none"/>
              </w:rPr>
              <w:t>财务报表复印件或者银行出具的资信证明；供应商属于</w:t>
            </w:r>
            <w:r>
              <w:rPr>
                <w:rFonts w:hint="eastAsia" w:ascii="宋体" w:hAnsi="宋体" w:cs="宋体"/>
                <w:color w:val="auto"/>
                <w:highlight w:val="none"/>
              </w:rPr>
              <w:t>成立时间</w:t>
            </w:r>
            <w:r>
              <w:rPr>
                <w:rFonts w:hint="eastAsia" w:ascii="宋体" w:hAnsi="宋体" w:cs="宋体"/>
                <w:color w:val="auto"/>
                <w:kern w:val="0"/>
                <w:highlight w:val="none"/>
              </w:rPr>
              <w:t>在规定年度之后</w:t>
            </w:r>
            <w:r>
              <w:rPr>
                <w:rFonts w:hint="eastAsia" w:ascii="宋体" w:hAnsi="宋体" w:cs="宋体"/>
                <w:color w:val="auto"/>
                <w:highlight w:val="none"/>
              </w:rPr>
              <w:t>的</w:t>
            </w:r>
            <w:r>
              <w:rPr>
                <w:rFonts w:hint="eastAsia" w:ascii="宋体" w:hAnsi="宋体" w:cs="宋体"/>
                <w:color w:val="auto"/>
                <w:szCs w:val="21"/>
                <w:highlight w:val="none"/>
              </w:rPr>
              <w:t>法人或其他组织</w:t>
            </w:r>
            <w:r>
              <w:rPr>
                <w:rFonts w:hint="eastAsia" w:ascii="宋体" w:hAnsi="宋体" w:cs="宋体"/>
                <w:color w:val="auto"/>
                <w:highlight w:val="none"/>
              </w:rPr>
              <w:t>，需提供成立之日起至响应文件提交截止时间前的月报表</w:t>
            </w:r>
            <w:r>
              <w:rPr>
                <w:rFonts w:hint="eastAsia" w:ascii="宋体" w:hAnsi="宋体" w:cs="宋体"/>
                <w:color w:val="auto"/>
                <w:szCs w:val="21"/>
                <w:highlight w:val="none"/>
              </w:rPr>
              <w:t>或银行出具的资信证明；资信证明应在有效期内，未注明有效期的，银行出具时间至响应文件提交截止时间不超过一年）；</w:t>
            </w:r>
            <w:r>
              <w:rPr>
                <w:rFonts w:hint="eastAsia" w:ascii="宋体" w:hAnsi="宋体" w:cs="宋体"/>
                <w:bCs/>
                <w:color w:val="auto"/>
                <w:szCs w:val="21"/>
                <w:highlight w:val="none"/>
              </w:rPr>
              <w:t>（</w:t>
            </w:r>
            <w:r>
              <w:rPr>
                <w:rFonts w:hint="eastAsia" w:ascii="宋体" w:hAnsi="宋体" w:cs="宋体"/>
                <w:b/>
                <w:color w:val="auto"/>
                <w:szCs w:val="21"/>
                <w:highlight w:val="none"/>
              </w:rPr>
              <w:t>除自然人外必须提供，否则响应文件按无效响应处理</w:t>
            </w:r>
            <w:r>
              <w:rPr>
                <w:rFonts w:hint="eastAsia" w:ascii="宋体" w:hAnsi="宋体" w:cs="宋体"/>
                <w:bCs/>
                <w:color w:val="auto"/>
                <w:szCs w:val="21"/>
                <w:highlight w:val="none"/>
              </w:rPr>
              <w:t>）</w:t>
            </w:r>
          </w:p>
          <w:p>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5、供应商直接控股、管理关系信息表（格式后附）；（</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6、竞标声明（格式后附）；（</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7、联合体竞标协议书（格式后附）；（</w:t>
            </w:r>
            <w:r>
              <w:rPr>
                <w:rFonts w:hint="eastAsia" w:ascii="宋体" w:hAnsi="宋体" w:cs="宋体"/>
                <w:b/>
                <w:color w:val="auto"/>
                <w:szCs w:val="21"/>
                <w:highlight w:val="none"/>
              </w:rPr>
              <w:t>联合体竞标时必须提供，否则响应文件按无效响应处理</w:t>
            </w:r>
            <w:r>
              <w:rPr>
                <w:rFonts w:hint="eastAsia" w:ascii="宋体" w:hAnsi="宋体" w:cs="宋体"/>
                <w:color w:val="auto"/>
                <w:szCs w:val="21"/>
                <w:highlight w:val="none"/>
              </w:rPr>
              <w:t>）</w:t>
            </w:r>
          </w:p>
          <w:p>
            <w:pPr>
              <w:snapToGrid w:val="0"/>
              <w:spacing w:line="360" w:lineRule="auto"/>
              <w:jc w:val="left"/>
              <w:rPr>
                <w:rFonts w:ascii="宋体" w:hAnsi="宋体" w:cs="宋体"/>
                <w:b/>
                <w:bCs/>
                <w:color w:val="auto"/>
                <w:szCs w:val="21"/>
                <w:highlight w:val="none"/>
              </w:rPr>
            </w:pPr>
            <w:r>
              <w:rPr>
                <w:rFonts w:hint="eastAsia" w:ascii="宋体" w:hAnsi="宋体" w:cs="宋体"/>
                <w:color w:val="auto"/>
                <w:szCs w:val="21"/>
                <w:highlight w:val="none"/>
              </w:rPr>
              <w:t>8、中小企业声明函或由省级以上监狱管理局、戒毒管理局（含新疆生产建设兵团）出具的属于监狱企业的证明文件或残疾人福利性单位声明函（格式后附）；（</w:t>
            </w:r>
            <w:r>
              <w:rPr>
                <w:rFonts w:hint="eastAsia" w:ascii="宋体" w:hAnsi="宋体" w:cs="宋体"/>
                <w:b/>
                <w:bCs/>
                <w:color w:val="auto"/>
                <w:szCs w:val="21"/>
                <w:highlight w:val="none"/>
                <w:lang w:eastAsia="zh-CN"/>
              </w:rPr>
              <w:t>分标</w:t>
            </w:r>
            <w:r>
              <w:rPr>
                <w:rFonts w:hint="eastAsia" w:ascii="宋体" w:hAnsi="宋体" w:cs="宋体"/>
                <w:b/>
                <w:bCs/>
                <w:color w:val="auto"/>
                <w:szCs w:val="21"/>
                <w:highlight w:val="none"/>
                <w:lang w:val="en-US" w:eastAsia="zh-CN"/>
              </w:rPr>
              <w:t>2、4、5、8</w:t>
            </w:r>
            <w:r>
              <w:rPr>
                <w:rFonts w:hint="eastAsia" w:ascii="宋体" w:hAnsi="宋体" w:cs="宋体"/>
                <w:b/>
                <w:color w:val="auto"/>
                <w:szCs w:val="21"/>
                <w:highlight w:val="none"/>
              </w:rPr>
              <w:t>必须提供，否则响应文件按无效响应处理</w:t>
            </w:r>
            <w:r>
              <w:rPr>
                <w:rFonts w:hint="eastAsia" w:ascii="宋体" w:hAnsi="宋体" w:cs="宋体"/>
                <w:b/>
                <w:bCs/>
                <w:color w:val="auto"/>
                <w:szCs w:val="21"/>
                <w:highlight w:val="none"/>
                <w:lang w:val="en-US" w:eastAsia="zh-CN"/>
              </w:rPr>
              <w:t>；分标1、3、6、7</w:t>
            </w:r>
            <w:r>
              <w:rPr>
                <w:rFonts w:hint="eastAsia" w:ascii="宋体" w:hAnsi="宋体" w:cs="宋体"/>
                <w:b/>
                <w:bCs/>
                <w:color w:val="auto"/>
                <w:szCs w:val="21"/>
                <w:highlight w:val="none"/>
                <w:lang w:eastAsia="zh-CN"/>
              </w:rPr>
              <w:t>如有，请提供</w:t>
            </w:r>
            <w:r>
              <w:rPr>
                <w:rFonts w:hint="eastAsia" w:ascii="宋体" w:hAnsi="宋体" w:cs="宋体"/>
                <w:color w:val="auto"/>
                <w:szCs w:val="21"/>
                <w:highlight w:val="none"/>
              </w:rPr>
              <w:t>）</w:t>
            </w:r>
          </w:p>
          <w:p>
            <w:pPr>
              <w:snapToGrid w:val="0"/>
              <w:spacing w:line="360" w:lineRule="auto"/>
              <w:jc w:val="left"/>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9、供应商须具有测绘行政主管部门颁发的有效的乙级（或以上）测绘资质</w:t>
            </w:r>
            <w:r>
              <w:rPr>
                <w:rFonts w:hint="eastAsia" w:ascii="宋体" w:hAnsi="宋体" w:cs="宋体"/>
                <w:color w:val="auto"/>
                <w:szCs w:val="21"/>
                <w:highlight w:val="none"/>
                <w:lang w:eastAsia="zh-CN"/>
              </w:rPr>
              <w:t>。</w:t>
            </w:r>
            <w:r>
              <w:rPr>
                <w:rFonts w:hint="eastAsia" w:ascii="宋体" w:hAnsi="宋体" w:cs="宋体"/>
                <w:b/>
                <w:color w:val="auto"/>
                <w:szCs w:val="21"/>
                <w:highlight w:val="none"/>
              </w:rPr>
              <w:t>（</w:t>
            </w:r>
            <w:r>
              <w:rPr>
                <w:rFonts w:hint="eastAsia" w:ascii="宋体" w:hAnsi="宋体" w:cs="宋体"/>
                <w:b/>
                <w:color w:val="auto"/>
                <w:szCs w:val="21"/>
                <w:highlight w:val="none"/>
                <w:lang w:eastAsia="zh-CN"/>
              </w:rPr>
              <w:t>复印件，分标</w:t>
            </w:r>
            <w:r>
              <w:rPr>
                <w:rFonts w:hint="eastAsia" w:ascii="宋体" w:hAnsi="宋体" w:cs="宋体"/>
                <w:b/>
                <w:color w:val="auto"/>
                <w:szCs w:val="21"/>
                <w:highlight w:val="none"/>
                <w:lang w:val="en-US" w:eastAsia="zh-CN"/>
              </w:rPr>
              <w:t>1</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pPr>
              <w:snapToGrid w:val="0"/>
              <w:spacing w:line="360" w:lineRule="auto"/>
              <w:jc w:val="left"/>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10、供应商须具有国家住房和城乡建设部颁发的《工程设计资质证书》电子通信广电行业</w:t>
            </w:r>
            <w:r>
              <w:rPr>
                <w:rFonts w:hint="eastAsia" w:ascii="宋体" w:hAnsi="宋体" w:eastAsia="宋体" w:cs="宋体"/>
                <w:color w:val="auto"/>
                <w:szCs w:val="21"/>
                <w:highlight w:val="none"/>
                <w:lang w:val="en-US" w:eastAsia="zh-CN"/>
              </w:rPr>
              <w:t>（电子系统工程</w:t>
            </w:r>
            <w:r>
              <w:rPr>
                <w:rFonts w:hint="eastAsia" w:ascii="宋体" w:hAnsi="宋体" w:cs="宋体"/>
                <w:color w:val="auto"/>
                <w:szCs w:val="21"/>
                <w:highlight w:val="none"/>
                <w:lang w:val="en-US" w:eastAsia="zh-CN"/>
              </w:rPr>
              <w:t>或通信工程类</w:t>
            </w:r>
            <w:r>
              <w:rPr>
                <w:rFonts w:hint="eastAsia" w:ascii="宋体" w:hAnsi="宋体" w:eastAsia="宋体" w:cs="宋体"/>
                <w:color w:val="auto"/>
                <w:szCs w:val="21"/>
                <w:highlight w:val="none"/>
                <w:lang w:val="en-US" w:eastAsia="zh-CN"/>
              </w:rPr>
              <w:t>）专业乙级及以</w:t>
            </w:r>
            <w:r>
              <w:rPr>
                <w:rFonts w:hint="eastAsia" w:ascii="宋体" w:hAnsi="宋体" w:cs="宋体"/>
                <w:color w:val="auto"/>
                <w:szCs w:val="21"/>
                <w:highlight w:val="none"/>
                <w:lang w:val="en-US" w:eastAsia="zh-CN"/>
              </w:rPr>
              <w:t>上资质，且通过全国投资项目在线审批监管平台备案的工程咨询单位，备案专业为电子、信息工程（含通信、广电、信息化）</w:t>
            </w:r>
            <w:r>
              <w:rPr>
                <w:rFonts w:hint="eastAsia" w:ascii="宋体" w:hAnsi="宋体" w:cs="宋体"/>
                <w:b/>
                <w:color w:val="auto"/>
                <w:szCs w:val="21"/>
                <w:highlight w:val="none"/>
              </w:rPr>
              <w:t>（</w:t>
            </w:r>
            <w:r>
              <w:rPr>
                <w:rFonts w:hint="eastAsia" w:ascii="宋体" w:hAnsi="宋体" w:cs="宋体"/>
                <w:b/>
                <w:color w:val="auto"/>
                <w:szCs w:val="21"/>
                <w:highlight w:val="none"/>
                <w:lang w:eastAsia="zh-CN"/>
              </w:rPr>
              <w:t>复印件，</w:t>
            </w:r>
            <w:r>
              <w:rPr>
                <w:rFonts w:hint="eastAsia" w:ascii="宋体" w:hAnsi="宋体" w:cs="宋体"/>
                <w:b/>
                <w:color w:val="auto"/>
                <w:szCs w:val="21"/>
                <w:highlight w:val="none"/>
                <w:lang w:val="en-US" w:eastAsia="zh-CN"/>
              </w:rPr>
              <w:t>分标2、分标3</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lang w:val="en-US" w:eastAsia="zh-CN"/>
              </w:rPr>
              <w:t>11</w:t>
            </w:r>
            <w:r>
              <w:rPr>
                <w:rFonts w:hint="eastAsia" w:ascii="宋体" w:hAnsi="宋体" w:cs="宋体"/>
                <w:color w:val="auto"/>
                <w:szCs w:val="21"/>
                <w:highlight w:val="none"/>
              </w:rPr>
              <w:t>、除磋商文件规定必须提供以外，供应商认为需要提供的其他证明材料；</w:t>
            </w:r>
          </w:p>
          <w:p>
            <w:pPr>
              <w:snapToGrid w:val="0"/>
              <w:spacing w:line="360" w:lineRule="auto"/>
              <w:ind w:firstLine="422" w:firstLineChars="200"/>
              <w:jc w:val="left"/>
              <w:rPr>
                <w:rFonts w:ascii="宋体" w:hAnsi="宋体" w:cs="宋体"/>
                <w:b/>
                <w:color w:val="auto"/>
                <w:szCs w:val="21"/>
                <w:highlight w:val="none"/>
              </w:rPr>
            </w:pPr>
            <w:r>
              <w:rPr>
                <w:rFonts w:hint="eastAsia" w:ascii="宋体" w:hAnsi="宋体" w:cs="宋体"/>
                <w:b/>
                <w:color w:val="auto"/>
                <w:szCs w:val="21"/>
                <w:highlight w:val="none"/>
              </w:rPr>
              <w:t>注：</w:t>
            </w:r>
          </w:p>
          <w:p>
            <w:pPr>
              <w:snapToGrid w:val="0"/>
              <w:spacing w:line="360" w:lineRule="auto"/>
              <w:ind w:firstLine="413" w:firstLineChars="196"/>
              <w:jc w:val="left"/>
              <w:rPr>
                <w:rFonts w:ascii="宋体" w:hAnsi="宋体" w:cs="宋体"/>
                <w:b/>
                <w:color w:val="auto"/>
                <w:szCs w:val="21"/>
                <w:highlight w:val="none"/>
              </w:rPr>
            </w:pPr>
            <w:r>
              <w:rPr>
                <w:rFonts w:hint="eastAsia" w:ascii="宋体" w:hAnsi="宋体" w:cs="宋体"/>
                <w:b/>
                <w:color w:val="auto"/>
                <w:szCs w:val="21"/>
                <w:highlight w:val="none"/>
              </w:rPr>
              <w:t>1、以上标明“必须提供”的材料属于复印件的，必须加盖供应商公章，否则响应文件按无效响应处理。</w:t>
            </w:r>
          </w:p>
          <w:p>
            <w:pPr>
              <w:snapToGrid w:val="0"/>
              <w:spacing w:line="360" w:lineRule="auto"/>
              <w:ind w:firstLine="422" w:firstLineChars="200"/>
              <w:jc w:val="left"/>
              <w:rPr>
                <w:rFonts w:ascii="宋体" w:hAnsi="宋体" w:cs="宋体"/>
                <w:b/>
                <w:color w:val="auto"/>
                <w:szCs w:val="21"/>
                <w:highlight w:val="none"/>
              </w:rPr>
            </w:pPr>
            <w:r>
              <w:rPr>
                <w:rFonts w:hint="eastAsia" w:ascii="宋体" w:hAnsi="宋体" w:cs="宋体"/>
                <w:b/>
                <w:color w:val="auto"/>
                <w:szCs w:val="21"/>
                <w:highlight w:val="none"/>
              </w:rPr>
              <w:t>2、竞标声明必须由法定代表人在规定签章处签字并加盖供应商公章，否则响应文件按无效响应处理。</w:t>
            </w:r>
          </w:p>
          <w:p>
            <w:pPr>
              <w:snapToGrid w:val="0"/>
              <w:spacing w:line="360" w:lineRule="auto"/>
              <w:ind w:firstLine="422" w:firstLineChars="200"/>
              <w:jc w:val="left"/>
              <w:rPr>
                <w:rFonts w:ascii="宋体" w:hAnsi="宋体" w:cs="宋体"/>
                <w:b/>
                <w:color w:val="auto"/>
                <w:szCs w:val="21"/>
                <w:highlight w:val="none"/>
              </w:rPr>
            </w:pPr>
            <w:r>
              <w:rPr>
                <w:rFonts w:hint="eastAsia" w:ascii="宋体" w:hAnsi="宋体" w:cs="宋体"/>
                <w:b/>
                <w:color w:val="auto"/>
                <w:szCs w:val="21"/>
                <w:highlight w:val="none"/>
              </w:rPr>
              <w:t>3、供应商直接控股、管理关系信息表必须由法定代表人或者委托代理人在规定签章处签字并加盖供应商公章，否则响应文件按无效响应处理。</w:t>
            </w:r>
          </w:p>
          <w:p>
            <w:pPr>
              <w:pStyle w:val="14"/>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4、联合体竞标时，第1-5项资格证明文件联合体各方均必须分别提供，联合体各方分别盖章和签字，否则响应文件按无效响应处理。</w:t>
            </w:r>
          </w:p>
          <w:p>
            <w:pPr>
              <w:pStyle w:val="14"/>
              <w:spacing w:line="360" w:lineRule="auto"/>
              <w:ind w:firstLine="422" w:firstLineChars="200"/>
              <w:rPr>
                <w:rFonts w:ascii="宋体" w:hAnsi="宋体" w:cs="宋体"/>
                <w:b/>
                <w:color w:val="auto"/>
                <w:szCs w:val="21"/>
                <w:highlight w:val="none"/>
              </w:rPr>
            </w:pPr>
            <w:r>
              <w:rPr>
                <w:rFonts w:hint="eastAsia" w:ascii="宋体" w:hAnsi="宋体" w:cs="宋体"/>
                <w:b/>
                <w:bCs/>
                <w:color w:val="auto"/>
                <w:szCs w:val="21"/>
                <w:highlight w:val="none"/>
              </w:rPr>
              <w:t>5、分公司参加竞标的，应当取得总公司授权，否则响应文件按无效响应处理。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12.1.2</w:t>
            </w:r>
          </w:p>
        </w:tc>
        <w:tc>
          <w:tcPr>
            <w:tcW w:w="8627" w:type="dxa"/>
            <w:vAlign w:val="center"/>
          </w:tcPr>
          <w:p>
            <w:pPr>
              <w:spacing w:line="360" w:lineRule="auto"/>
              <w:rPr>
                <w:rFonts w:ascii="宋体" w:hAnsi="宋体" w:cs="宋体"/>
                <w:b/>
                <w:bCs/>
                <w:color w:val="auto"/>
                <w:szCs w:val="21"/>
                <w:highlight w:val="none"/>
              </w:rPr>
            </w:pPr>
            <w:r>
              <w:rPr>
                <w:rFonts w:hint="eastAsia" w:ascii="宋体" w:hAnsi="宋体" w:cs="宋体"/>
                <w:b/>
                <w:bCs/>
                <w:color w:val="auto"/>
                <w:szCs w:val="21"/>
                <w:highlight w:val="none"/>
              </w:rPr>
              <w:t>报价商务技术文件</w:t>
            </w:r>
          </w:p>
          <w:p>
            <w:pPr>
              <w:spacing w:line="360" w:lineRule="auto"/>
              <w:rPr>
                <w:rFonts w:ascii="宋体" w:hAnsi="宋体" w:cs="宋体"/>
                <w:color w:val="auto"/>
                <w:szCs w:val="21"/>
                <w:highlight w:val="none"/>
              </w:rPr>
            </w:pPr>
            <w:r>
              <w:rPr>
                <w:rFonts w:hint="eastAsia" w:ascii="宋体" w:hAnsi="宋体" w:cs="宋体"/>
                <w:color w:val="auto"/>
                <w:szCs w:val="21"/>
                <w:highlight w:val="none"/>
              </w:rPr>
              <w:t>1、无串通竞标行为的承诺函（格式后附）；（</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pPr>
              <w:spacing w:line="360" w:lineRule="auto"/>
              <w:rPr>
                <w:rFonts w:ascii="宋体" w:hAnsi="宋体" w:cs="宋体"/>
                <w:color w:val="auto"/>
                <w:szCs w:val="21"/>
                <w:highlight w:val="none"/>
              </w:rPr>
            </w:pPr>
            <w:r>
              <w:rPr>
                <w:rFonts w:hint="eastAsia" w:ascii="宋体" w:hAnsi="宋体" w:cs="宋体"/>
                <w:color w:val="auto"/>
                <w:szCs w:val="21"/>
                <w:highlight w:val="none"/>
              </w:rPr>
              <w:t>2、竞标报价表（格式后附）；（</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3、法定代表人身份证明及法定代表人有效身份证正反面复印件（格式后附）；（</w:t>
            </w:r>
            <w:r>
              <w:rPr>
                <w:rFonts w:hint="eastAsia" w:ascii="宋体" w:hAnsi="宋体" w:cs="宋体"/>
                <w:b/>
                <w:bCs/>
                <w:color w:val="auto"/>
                <w:szCs w:val="21"/>
                <w:highlight w:val="none"/>
              </w:rPr>
              <w:t>除自然人竞标外</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pPr>
              <w:spacing w:line="360" w:lineRule="auto"/>
              <w:rPr>
                <w:rFonts w:ascii="宋体" w:hAnsi="宋体" w:cs="宋体"/>
                <w:b/>
                <w:color w:val="auto"/>
                <w:szCs w:val="21"/>
                <w:highlight w:val="none"/>
              </w:rPr>
            </w:pPr>
            <w:r>
              <w:rPr>
                <w:rFonts w:hint="eastAsia" w:ascii="宋体" w:hAnsi="宋体" w:cs="宋体"/>
                <w:color w:val="auto"/>
                <w:szCs w:val="21"/>
                <w:highlight w:val="none"/>
              </w:rPr>
              <w:t>4、授权委托书及委托代理人有效身份证正反面复印件（格式后附）；（</w:t>
            </w:r>
            <w:r>
              <w:rPr>
                <w:rFonts w:hint="eastAsia" w:ascii="宋体" w:hAnsi="宋体" w:cs="宋体"/>
                <w:b/>
                <w:color w:val="auto"/>
                <w:szCs w:val="21"/>
                <w:highlight w:val="none"/>
              </w:rPr>
              <w:t>委托时必须提供，否则响应文件按无效响应处理</w:t>
            </w:r>
            <w:r>
              <w:rPr>
                <w:rFonts w:hint="eastAsia" w:ascii="宋体" w:hAnsi="宋体" w:cs="宋体"/>
                <w:color w:val="auto"/>
                <w:szCs w:val="21"/>
                <w:highlight w:val="none"/>
              </w:rPr>
              <w:t>）</w:t>
            </w:r>
          </w:p>
          <w:p>
            <w:pPr>
              <w:spacing w:line="360" w:lineRule="auto"/>
              <w:rPr>
                <w:rFonts w:ascii="宋体" w:hAnsi="宋体" w:cs="宋体"/>
                <w:color w:val="auto"/>
                <w:szCs w:val="21"/>
                <w:highlight w:val="none"/>
              </w:rPr>
            </w:pPr>
            <w:r>
              <w:rPr>
                <w:rFonts w:hint="eastAsia" w:ascii="宋体" w:hAnsi="宋体" w:cs="宋体"/>
                <w:color w:val="auto"/>
                <w:szCs w:val="21"/>
                <w:highlight w:val="none"/>
              </w:rPr>
              <w:t>5、磋商保证金提交凭证；（</w:t>
            </w:r>
            <w:r>
              <w:rPr>
                <w:rFonts w:hint="eastAsia" w:ascii="宋体" w:hAnsi="宋体" w:cs="宋体"/>
                <w:b/>
                <w:bCs/>
                <w:color w:val="auto"/>
                <w:highlight w:val="none"/>
              </w:rPr>
              <w:t>必须提供</w:t>
            </w:r>
            <w:r>
              <w:rPr>
                <w:rFonts w:hint="eastAsia" w:ascii="宋体" w:hAnsi="宋体" w:cs="宋体"/>
                <w:b/>
                <w:color w:val="auto"/>
                <w:szCs w:val="21"/>
                <w:highlight w:val="none"/>
              </w:rPr>
              <w:t>，否则响应文件按无效响应处理</w:t>
            </w:r>
            <w:r>
              <w:rPr>
                <w:rFonts w:hint="eastAsia" w:ascii="宋体" w:hAnsi="宋体" w:cs="宋体"/>
                <w:color w:val="auto"/>
                <w:szCs w:val="21"/>
                <w:highlight w:val="none"/>
              </w:rPr>
              <w:t>）</w:t>
            </w:r>
          </w:p>
          <w:p>
            <w:pPr>
              <w:spacing w:line="360" w:lineRule="auto"/>
              <w:rPr>
                <w:rFonts w:ascii="宋体" w:hAnsi="宋体" w:cs="宋体"/>
                <w:color w:val="auto"/>
                <w:szCs w:val="21"/>
                <w:highlight w:val="none"/>
              </w:rPr>
            </w:pPr>
            <w:r>
              <w:rPr>
                <w:rFonts w:hint="eastAsia" w:ascii="宋体" w:hAnsi="宋体" w:cs="宋体"/>
                <w:color w:val="auto"/>
                <w:szCs w:val="21"/>
                <w:highlight w:val="none"/>
              </w:rPr>
              <w:t>6、商务要求偏离表（格式后附）；（</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pPr>
              <w:spacing w:line="360" w:lineRule="auto"/>
              <w:rPr>
                <w:rFonts w:ascii="宋体" w:hAnsi="宋体" w:cs="宋体"/>
                <w:color w:val="auto"/>
                <w:szCs w:val="21"/>
                <w:highlight w:val="none"/>
              </w:rPr>
            </w:pPr>
            <w:r>
              <w:rPr>
                <w:rFonts w:hint="eastAsia" w:ascii="宋体" w:hAnsi="宋体" w:cs="宋体"/>
                <w:color w:val="auto"/>
                <w:szCs w:val="21"/>
                <w:highlight w:val="none"/>
              </w:rPr>
              <w:t>7、服务方案（格式自拟）；（</w:t>
            </w:r>
            <w:r>
              <w:rPr>
                <w:rFonts w:hint="eastAsia" w:ascii="宋体" w:hAnsi="宋体" w:cs="宋体"/>
                <w:b/>
                <w:color w:val="auto"/>
                <w:szCs w:val="21"/>
                <w:highlight w:val="none"/>
              </w:rPr>
              <w:t>根据竞争性磋商文件的要求提供</w:t>
            </w:r>
            <w:r>
              <w:rPr>
                <w:rFonts w:hint="eastAsia" w:ascii="宋体" w:hAnsi="宋体" w:cs="宋体"/>
                <w:color w:val="auto"/>
                <w:szCs w:val="21"/>
                <w:highlight w:val="none"/>
              </w:rPr>
              <w:t>）</w:t>
            </w:r>
          </w:p>
          <w:p>
            <w:pPr>
              <w:spacing w:line="360" w:lineRule="auto"/>
              <w:rPr>
                <w:rFonts w:ascii="宋体" w:hAnsi="宋体" w:cs="宋体"/>
                <w:color w:val="auto"/>
                <w:szCs w:val="21"/>
                <w:highlight w:val="none"/>
              </w:rPr>
            </w:pPr>
            <w:r>
              <w:rPr>
                <w:rFonts w:hint="eastAsia" w:ascii="宋体" w:hAnsi="宋体" w:cs="宋体"/>
                <w:color w:val="auto"/>
                <w:szCs w:val="21"/>
                <w:highlight w:val="none"/>
              </w:rPr>
              <w:t>8、技术要求偏离表（格式后附）；（</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pPr>
              <w:spacing w:line="360" w:lineRule="auto"/>
              <w:rPr>
                <w:rFonts w:ascii="宋体" w:hAnsi="宋体" w:cs="宋体"/>
                <w:color w:val="auto"/>
                <w:szCs w:val="21"/>
                <w:highlight w:val="none"/>
              </w:rPr>
            </w:pPr>
            <w:r>
              <w:rPr>
                <w:rFonts w:hint="eastAsia" w:ascii="宋体" w:hAnsi="宋体" w:cs="宋体"/>
                <w:color w:val="auto"/>
                <w:szCs w:val="21"/>
                <w:highlight w:val="none"/>
              </w:rPr>
              <w:t>9、项目实施人员一览表（</w:t>
            </w:r>
            <w:r>
              <w:rPr>
                <w:rFonts w:hint="eastAsia" w:ascii="宋体" w:hAnsi="宋体" w:cs="宋体"/>
                <w:b/>
                <w:color w:val="auto"/>
                <w:szCs w:val="21"/>
                <w:highlight w:val="none"/>
              </w:rPr>
              <w:t>如有，请提供</w:t>
            </w:r>
            <w:r>
              <w:rPr>
                <w:rFonts w:hint="eastAsia" w:ascii="宋体" w:hAnsi="宋体" w:cs="宋体"/>
                <w:color w:val="auto"/>
                <w:szCs w:val="21"/>
                <w:highlight w:val="none"/>
              </w:rPr>
              <w:t xml:space="preserve">）； </w:t>
            </w:r>
          </w:p>
          <w:p>
            <w:pPr>
              <w:spacing w:line="360" w:lineRule="auto"/>
              <w:rPr>
                <w:rFonts w:ascii="宋体" w:hAnsi="宋体" w:cs="宋体"/>
                <w:color w:val="auto"/>
                <w:szCs w:val="21"/>
                <w:highlight w:val="none"/>
              </w:rPr>
            </w:pPr>
            <w:r>
              <w:rPr>
                <w:rFonts w:hint="eastAsia" w:ascii="宋体" w:hAnsi="宋体" w:cs="宋体"/>
                <w:color w:val="auto"/>
                <w:szCs w:val="21"/>
                <w:highlight w:val="none"/>
              </w:rPr>
              <w:t>10、对应采购需求的技术要求、商务要求提供的其他文件资料（格式自拟）；</w:t>
            </w:r>
          </w:p>
          <w:p>
            <w:pPr>
              <w:spacing w:line="360" w:lineRule="auto"/>
              <w:rPr>
                <w:rFonts w:ascii="宋体" w:hAnsi="宋体" w:cs="宋体"/>
                <w:b/>
                <w:color w:val="auto"/>
                <w:szCs w:val="21"/>
                <w:highlight w:val="none"/>
              </w:rPr>
            </w:pPr>
            <w:r>
              <w:rPr>
                <w:rFonts w:hint="eastAsia" w:ascii="宋体" w:hAnsi="宋体" w:cs="宋体"/>
                <w:color w:val="auto"/>
                <w:szCs w:val="21"/>
                <w:highlight w:val="none"/>
              </w:rPr>
              <w:t>11、供应商认为需要提供的其他有关资料。</w:t>
            </w:r>
          </w:p>
          <w:p>
            <w:pPr>
              <w:snapToGrid w:val="0"/>
              <w:spacing w:line="360" w:lineRule="auto"/>
              <w:ind w:firstLine="422" w:firstLineChars="200"/>
              <w:jc w:val="left"/>
              <w:rPr>
                <w:rFonts w:ascii="宋体" w:hAnsi="宋体" w:cs="宋体"/>
                <w:b/>
                <w:color w:val="auto"/>
                <w:szCs w:val="21"/>
                <w:highlight w:val="none"/>
              </w:rPr>
            </w:pPr>
            <w:r>
              <w:rPr>
                <w:rFonts w:hint="eastAsia" w:ascii="宋体" w:hAnsi="宋体" w:cs="宋体"/>
                <w:b/>
                <w:color w:val="auto"/>
                <w:szCs w:val="21"/>
                <w:highlight w:val="none"/>
              </w:rPr>
              <w:t>注：以上标明“必须提供”的材料属于复印件的，必须加盖供应商公章，否则响应文件按无效响应处理。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15.2</w:t>
            </w:r>
          </w:p>
        </w:tc>
        <w:tc>
          <w:tcPr>
            <w:tcW w:w="8627" w:type="dxa"/>
            <w:vAlign w:val="center"/>
          </w:tcPr>
          <w:p>
            <w:pPr>
              <w:snapToGrid w:val="0"/>
              <w:spacing w:line="360" w:lineRule="auto"/>
              <w:jc w:val="left"/>
              <w:rPr>
                <w:rFonts w:ascii="宋体" w:hAnsi="宋体" w:cs="宋体"/>
                <w:color w:val="auto"/>
                <w:szCs w:val="21"/>
                <w:highlight w:val="none"/>
              </w:rPr>
            </w:pPr>
            <w:r>
              <w:rPr>
                <w:rFonts w:hint="eastAsia" w:ascii="宋体" w:hAnsi="宋体"/>
                <w:color w:val="auto"/>
                <w:szCs w:val="21"/>
                <w:highlight w:val="none"/>
              </w:rPr>
              <w:t>竞标报价是履行合同的最终价格，</w:t>
            </w:r>
            <w:r>
              <w:rPr>
                <w:rFonts w:hint="eastAsia" w:ascii="宋体" w:hAnsi="宋体" w:cs="宋体"/>
                <w:color w:val="auto"/>
                <w:szCs w:val="21"/>
                <w:highlight w:val="none"/>
              </w:rPr>
              <w:t>即满足全部采购需求所应提供的服务的价格；包括竞标服务的成本、运输（含保险）（如有）、技术服务、培训、税费等所有费用。</w:t>
            </w:r>
            <w:r>
              <w:rPr>
                <w:rFonts w:hint="eastAsia" w:ascii="宋体" w:hAnsi="宋体"/>
                <w:b/>
                <w:color w:val="auto"/>
                <w:szCs w:val="21"/>
                <w:highlight w:val="none"/>
              </w:rPr>
              <w:t>（采购需求另有约定的，从其约定。）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16.2</w:t>
            </w:r>
          </w:p>
        </w:tc>
        <w:tc>
          <w:tcPr>
            <w:tcW w:w="8627" w:type="dxa"/>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竞标有效期：首次响应文件提交截止之日起60天内。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17.1</w:t>
            </w:r>
          </w:p>
        </w:tc>
        <w:tc>
          <w:tcPr>
            <w:tcW w:w="8627" w:type="dxa"/>
            <w:vAlign w:val="center"/>
          </w:tcPr>
          <w:p>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本项目收取磋商保证金，具体规定如下：</w:t>
            </w:r>
          </w:p>
          <w:p>
            <w:pPr>
              <w:widowControl/>
              <w:spacing w:line="360" w:lineRule="auto"/>
              <w:rPr>
                <w:rFonts w:hint="eastAsia" w:ascii="宋体" w:hAnsi="宋体" w:cs="宋体"/>
                <w:color w:val="auto"/>
                <w:szCs w:val="21"/>
                <w:highlight w:val="none"/>
                <w:lang w:bidi="ar"/>
              </w:rPr>
            </w:pPr>
            <w:r>
              <w:rPr>
                <w:rFonts w:hint="eastAsia" w:ascii="宋体" w:hAnsi="宋体" w:cs="宋体"/>
                <w:color w:val="auto"/>
                <w:szCs w:val="21"/>
                <w:highlight w:val="none"/>
                <w:lang w:bidi="ar"/>
              </w:rPr>
              <w:t>分标</w:t>
            </w:r>
            <w:r>
              <w:rPr>
                <w:rFonts w:hint="eastAsia" w:ascii="宋体" w:hAnsi="宋体" w:cs="宋体"/>
                <w:color w:val="auto"/>
                <w:szCs w:val="21"/>
                <w:highlight w:val="none"/>
                <w:lang w:val="en-US" w:eastAsia="zh-CN" w:bidi="ar"/>
              </w:rPr>
              <w:t>1</w:t>
            </w:r>
            <w:r>
              <w:rPr>
                <w:rFonts w:hint="eastAsia" w:ascii="宋体" w:hAnsi="宋体" w:cs="宋体"/>
                <w:color w:val="auto"/>
                <w:kern w:val="0"/>
                <w:szCs w:val="21"/>
                <w:highlight w:val="none"/>
              </w:rPr>
              <w:t>磋商保证金人民币</w:t>
            </w:r>
            <w:r>
              <w:rPr>
                <w:rFonts w:hint="eastAsia" w:ascii="宋体" w:hAnsi="宋体" w:cs="宋体"/>
                <w:color w:val="auto"/>
                <w:kern w:val="0"/>
                <w:szCs w:val="21"/>
                <w:highlight w:val="none"/>
                <w:u w:val="single"/>
                <w:lang w:val="en-US" w:eastAsia="zh-CN"/>
              </w:rPr>
              <w:t>3000.00</w:t>
            </w:r>
            <w:r>
              <w:rPr>
                <w:rFonts w:hint="eastAsia" w:ascii="宋体" w:hAnsi="宋体" w:cs="宋体"/>
                <w:color w:val="auto"/>
                <w:szCs w:val="21"/>
                <w:highlight w:val="none"/>
                <w:lang w:bidi="ar"/>
              </w:rPr>
              <w:t>元；</w:t>
            </w:r>
          </w:p>
          <w:p>
            <w:pPr>
              <w:widowControl/>
              <w:spacing w:line="360" w:lineRule="auto"/>
              <w:rPr>
                <w:rFonts w:hint="eastAsia" w:ascii="宋体" w:hAnsi="宋体" w:cs="宋体"/>
                <w:color w:val="auto"/>
                <w:szCs w:val="21"/>
                <w:highlight w:val="none"/>
                <w:lang w:bidi="ar"/>
              </w:rPr>
            </w:pPr>
            <w:r>
              <w:rPr>
                <w:rFonts w:hint="eastAsia" w:ascii="宋体" w:hAnsi="宋体" w:cs="宋体"/>
                <w:color w:val="auto"/>
                <w:szCs w:val="21"/>
                <w:highlight w:val="none"/>
                <w:lang w:bidi="ar"/>
              </w:rPr>
              <w:t>分标</w:t>
            </w:r>
            <w:r>
              <w:rPr>
                <w:rFonts w:hint="eastAsia" w:ascii="宋体" w:hAnsi="宋体" w:cs="宋体"/>
                <w:color w:val="auto"/>
                <w:szCs w:val="21"/>
                <w:highlight w:val="none"/>
                <w:lang w:val="en-US" w:eastAsia="zh-CN" w:bidi="ar"/>
              </w:rPr>
              <w:t>2</w:t>
            </w:r>
            <w:r>
              <w:rPr>
                <w:rFonts w:hint="eastAsia" w:ascii="宋体" w:hAnsi="宋体" w:cs="宋体"/>
                <w:color w:val="auto"/>
                <w:kern w:val="0"/>
                <w:szCs w:val="21"/>
                <w:highlight w:val="none"/>
              </w:rPr>
              <w:t>磋商保证金人民币</w:t>
            </w:r>
            <w:r>
              <w:rPr>
                <w:rFonts w:hint="eastAsia" w:ascii="宋体" w:hAnsi="宋体" w:cs="宋体"/>
                <w:color w:val="auto"/>
                <w:szCs w:val="21"/>
                <w:highlight w:val="none"/>
                <w:u w:val="single"/>
                <w:lang w:val="en-US" w:eastAsia="zh-CN" w:bidi="ar"/>
              </w:rPr>
              <w:t xml:space="preserve"> 4600.00 </w:t>
            </w:r>
            <w:r>
              <w:rPr>
                <w:rFonts w:hint="eastAsia" w:ascii="宋体" w:hAnsi="宋体" w:cs="宋体"/>
                <w:color w:val="auto"/>
                <w:szCs w:val="21"/>
                <w:highlight w:val="none"/>
                <w:lang w:bidi="ar"/>
              </w:rPr>
              <w:t>元；</w:t>
            </w:r>
          </w:p>
          <w:p>
            <w:pPr>
              <w:widowControl/>
              <w:spacing w:line="360" w:lineRule="auto"/>
              <w:rPr>
                <w:rFonts w:hint="eastAsia" w:ascii="宋体" w:hAnsi="宋体" w:cs="宋体"/>
                <w:color w:val="auto"/>
                <w:szCs w:val="21"/>
                <w:highlight w:val="none"/>
                <w:lang w:bidi="ar"/>
              </w:rPr>
            </w:pPr>
            <w:r>
              <w:rPr>
                <w:rFonts w:hint="eastAsia" w:ascii="宋体" w:hAnsi="宋体" w:cs="宋体"/>
                <w:color w:val="auto"/>
                <w:szCs w:val="21"/>
                <w:highlight w:val="none"/>
                <w:lang w:bidi="ar"/>
              </w:rPr>
              <w:t>分标</w:t>
            </w:r>
            <w:r>
              <w:rPr>
                <w:rFonts w:hint="eastAsia" w:ascii="宋体" w:hAnsi="宋体" w:cs="宋体"/>
                <w:color w:val="auto"/>
                <w:szCs w:val="21"/>
                <w:highlight w:val="none"/>
                <w:lang w:val="en-US" w:eastAsia="zh-CN" w:bidi="ar"/>
              </w:rPr>
              <w:t>3</w:t>
            </w:r>
            <w:r>
              <w:rPr>
                <w:rFonts w:hint="eastAsia" w:ascii="宋体" w:hAnsi="宋体" w:cs="宋体"/>
                <w:color w:val="auto"/>
                <w:kern w:val="0"/>
                <w:szCs w:val="21"/>
                <w:highlight w:val="none"/>
              </w:rPr>
              <w:t>磋商保证金人民币</w:t>
            </w:r>
            <w:r>
              <w:rPr>
                <w:rFonts w:hint="eastAsia" w:ascii="宋体" w:hAnsi="宋体" w:cs="宋体"/>
                <w:color w:val="auto"/>
                <w:szCs w:val="21"/>
                <w:highlight w:val="none"/>
                <w:u w:val="single"/>
                <w:lang w:val="en-US" w:eastAsia="zh-CN" w:bidi="ar"/>
              </w:rPr>
              <w:t xml:space="preserve"> 1300.00 </w:t>
            </w:r>
            <w:r>
              <w:rPr>
                <w:rFonts w:hint="eastAsia" w:ascii="宋体" w:hAnsi="宋体" w:cs="宋体"/>
                <w:color w:val="auto"/>
                <w:szCs w:val="21"/>
                <w:highlight w:val="none"/>
                <w:lang w:bidi="ar"/>
              </w:rPr>
              <w:t>元；</w:t>
            </w:r>
          </w:p>
          <w:p>
            <w:pPr>
              <w:widowControl/>
              <w:spacing w:line="360" w:lineRule="auto"/>
              <w:rPr>
                <w:rFonts w:hint="eastAsia" w:ascii="宋体" w:hAnsi="宋体" w:cs="宋体"/>
                <w:color w:val="auto"/>
                <w:szCs w:val="21"/>
                <w:highlight w:val="none"/>
                <w:lang w:bidi="ar"/>
              </w:rPr>
            </w:pPr>
            <w:r>
              <w:rPr>
                <w:rFonts w:hint="eastAsia" w:ascii="宋体" w:hAnsi="宋体" w:cs="宋体"/>
                <w:color w:val="auto"/>
                <w:szCs w:val="21"/>
                <w:highlight w:val="none"/>
                <w:lang w:bidi="ar"/>
              </w:rPr>
              <w:t>分标</w:t>
            </w:r>
            <w:r>
              <w:rPr>
                <w:rFonts w:hint="eastAsia" w:ascii="宋体" w:hAnsi="宋体" w:cs="宋体"/>
                <w:color w:val="auto"/>
                <w:szCs w:val="21"/>
                <w:highlight w:val="none"/>
                <w:lang w:val="en-US" w:eastAsia="zh-CN" w:bidi="ar"/>
              </w:rPr>
              <w:t>4</w:t>
            </w:r>
            <w:r>
              <w:rPr>
                <w:rFonts w:hint="eastAsia" w:ascii="宋体" w:hAnsi="宋体" w:cs="宋体"/>
                <w:color w:val="auto"/>
                <w:kern w:val="0"/>
                <w:szCs w:val="21"/>
                <w:highlight w:val="none"/>
              </w:rPr>
              <w:t>磋商保证金人民币</w:t>
            </w:r>
            <w:r>
              <w:rPr>
                <w:rFonts w:hint="eastAsia" w:ascii="宋体" w:hAnsi="宋体" w:cs="宋体"/>
                <w:color w:val="auto"/>
                <w:szCs w:val="21"/>
                <w:highlight w:val="none"/>
                <w:u w:val="single"/>
                <w:lang w:val="en-US" w:eastAsia="zh-CN" w:bidi="ar"/>
              </w:rPr>
              <w:t xml:space="preserve"> 2000.00 </w:t>
            </w:r>
            <w:r>
              <w:rPr>
                <w:rFonts w:hint="eastAsia" w:ascii="宋体" w:hAnsi="宋体" w:cs="宋体"/>
                <w:color w:val="auto"/>
                <w:szCs w:val="21"/>
                <w:highlight w:val="none"/>
                <w:lang w:bidi="ar"/>
              </w:rPr>
              <w:t>元；</w:t>
            </w:r>
          </w:p>
          <w:p>
            <w:pPr>
              <w:widowControl/>
              <w:spacing w:line="360" w:lineRule="auto"/>
              <w:rPr>
                <w:rFonts w:hint="eastAsia" w:ascii="宋体" w:hAnsi="宋体" w:eastAsia="宋体" w:cs="宋体"/>
                <w:color w:val="auto"/>
                <w:szCs w:val="21"/>
                <w:highlight w:val="none"/>
                <w:lang w:eastAsia="zh-CN" w:bidi="ar"/>
              </w:rPr>
            </w:pPr>
            <w:r>
              <w:rPr>
                <w:rFonts w:hint="eastAsia" w:ascii="宋体" w:hAnsi="宋体" w:cs="宋体"/>
                <w:color w:val="auto"/>
                <w:szCs w:val="21"/>
                <w:highlight w:val="none"/>
                <w:lang w:bidi="ar"/>
              </w:rPr>
              <w:t>分标</w:t>
            </w:r>
            <w:r>
              <w:rPr>
                <w:rFonts w:hint="eastAsia" w:ascii="宋体" w:hAnsi="宋体" w:cs="宋体"/>
                <w:color w:val="auto"/>
                <w:szCs w:val="21"/>
                <w:highlight w:val="none"/>
                <w:lang w:val="en-US" w:eastAsia="zh-CN" w:bidi="ar"/>
              </w:rPr>
              <w:t>5</w:t>
            </w:r>
            <w:r>
              <w:rPr>
                <w:rFonts w:hint="eastAsia" w:ascii="宋体" w:hAnsi="宋体" w:cs="宋体"/>
                <w:color w:val="auto"/>
                <w:kern w:val="0"/>
                <w:szCs w:val="21"/>
                <w:highlight w:val="none"/>
              </w:rPr>
              <w:t>磋商保证金人民币</w:t>
            </w:r>
            <w:r>
              <w:rPr>
                <w:rFonts w:hint="eastAsia" w:ascii="宋体" w:hAnsi="宋体" w:cs="宋体"/>
                <w:color w:val="auto"/>
                <w:szCs w:val="21"/>
                <w:highlight w:val="none"/>
                <w:u w:val="single"/>
                <w:lang w:val="en-US" w:eastAsia="zh-CN" w:bidi="ar"/>
              </w:rPr>
              <w:t xml:space="preserve"> 1900.00</w:t>
            </w:r>
            <w:r>
              <w:rPr>
                <w:rFonts w:hint="eastAsia" w:ascii="宋体" w:hAnsi="宋体" w:cs="宋体"/>
                <w:color w:val="auto"/>
                <w:szCs w:val="21"/>
                <w:highlight w:val="none"/>
                <w:lang w:bidi="ar"/>
              </w:rPr>
              <w:t>元</w:t>
            </w:r>
            <w:r>
              <w:rPr>
                <w:rFonts w:hint="eastAsia" w:ascii="宋体" w:hAnsi="宋体" w:cs="宋体"/>
                <w:color w:val="auto"/>
                <w:szCs w:val="21"/>
                <w:highlight w:val="none"/>
                <w:lang w:eastAsia="zh-CN" w:bidi="ar"/>
              </w:rPr>
              <w:t>，</w:t>
            </w:r>
          </w:p>
          <w:p>
            <w:pPr>
              <w:widowControl/>
              <w:spacing w:line="360" w:lineRule="auto"/>
              <w:rPr>
                <w:rFonts w:hint="eastAsia" w:ascii="宋体" w:hAnsi="宋体" w:cs="宋体"/>
                <w:color w:val="auto"/>
                <w:szCs w:val="21"/>
                <w:highlight w:val="none"/>
                <w:lang w:bidi="ar"/>
              </w:rPr>
            </w:pPr>
            <w:r>
              <w:rPr>
                <w:rFonts w:hint="eastAsia" w:ascii="宋体" w:hAnsi="宋体" w:cs="宋体"/>
                <w:color w:val="auto"/>
                <w:szCs w:val="21"/>
                <w:highlight w:val="none"/>
                <w:lang w:bidi="ar"/>
              </w:rPr>
              <w:t>分标</w:t>
            </w:r>
            <w:r>
              <w:rPr>
                <w:rFonts w:hint="eastAsia" w:ascii="宋体" w:hAnsi="宋体" w:cs="宋体"/>
                <w:color w:val="auto"/>
                <w:szCs w:val="21"/>
                <w:highlight w:val="none"/>
                <w:lang w:val="en-US" w:eastAsia="zh-CN" w:bidi="ar"/>
              </w:rPr>
              <w:t>6</w:t>
            </w:r>
            <w:r>
              <w:rPr>
                <w:rFonts w:hint="eastAsia" w:ascii="宋体" w:hAnsi="宋体" w:cs="宋体"/>
                <w:color w:val="auto"/>
                <w:kern w:val="0"/>
                <w:szCs w:val="21"/>
                <w:highlight w:val="none"/>
              </w:rPr>
              <w:t>磋商保证金人民币</w:t>
            </w:r>
            <w:r>
              <w:rPr>
                <w:rFonts w:hint="eastAsia" w:ascii="宋体" w:hAnsi="宋体" w:cs="宋体"/>
                <w:color w:val="auto"/>
                <w:szCs w:val="21"/>
                <w:highlight w:val="none"/>
                <w:u w:val="single"/>
                <w:lang w:val="en-US" w:eastAsia="zh-CN" w:bidi="ar"/>
              </w:rPr>
              <w:t xml:space="preserve"> 5600.00 </w:t>
            </w:r>
            <w:r>
              <w:rPr>
                <w:rFonts w:hint="eastAsia" w:ascii="宋体" w:hAnsi="宋体" w:cs="宋体"/>
                <w:color w:val="auto"/>
                <w:szCs w:val="21"/>
                <w:highlight w:val="none"/>
                <w:lang w:bidi="ar"/>
              </w:rPr>
              <w:t>元</w:t>
            </w:r>
          </w:p>
          <w:p>
            <w:pPr>
              <w:widowControl/>
              <w:spacing w:line="360" w:lineRule="auto"/>
              <w:rPr>
                <w:rFonts w:hint="eastAsia" w:ascii="宋体" w:hAnsi="宋体" w:cs="宋体"/>
                <w:color w:val="auto"/>
                <w:szCs w:val="21"/>
                <w:highlight w:val="none"/>
                <w:lang w:bidi="ar"/>
              </w:rPr>
            </w:pPr>
            <w:r>
              <w:rPr>
                <w:rFonts w:hint="eastAsia" w:ascii="宋体" w:hAnsi="宋体" w:cs="宋体"/>
                <w:color w:val="auto"/>
                <w:szCs w:val="21"/>
                <w:highlight w:val="none"/>
                <w:lang w:bidi="ar"/>
              </w:rPr>
              <w:t>分标</w:t>
            </w:r>
            <w:r>
              <w:rPr>
                <w:rFonts w:hint="eastAsia" w:ascii="宋体" w:hAnsi="宋体" w:cs="宋体"/>
                <w:color w:val="auto"/>
                <w:szCs w:val="21"/>
                <w:highlight w:val="none"/>
                <w:lang w:val="en-US" w:eastAsia="zh-CN" w:bidi="ar"/>
              </w:rPr>
              <w:t>7</w:t>
            </w:r>
            <w:r>
              <w:rPr>
                <w:rFonts w:hint="eastAsia" w:ascii="宋体" w:hAnsi="宋体" w:cs="宋体"/>
                <w:color w:val="auto"/>
                <w:kern w:val="0"/>
                <w:szCs w:val="21"/>
                <w:highlight w:val="none"/>
              </w:rPr>
              <w:t>磋商保证金人民币</w:t>
            </w:r>
            <w:r>
              <w:rPr>
                <w:rFonts w:hint="eastAsia" w:ascii="宋体" w:hAnsi="宋体" w:cs="宋体"/>
                <w:color w:val="auto"/>
                <w:szCs w:val="21"/>
                <w:highlight w:val="none"/>
                <w:u w:val="single"/>
                <w:lang w:val="en-US" w:eastAsia="zh-CN" w:bidi="ar"/>
              </w:rPr>
              <w:t>1000.00</w:t>
            </w:r>
            <w:r>
              <w:rPr>
                <w:rFonts w:hint="eastAsia" w:ascii="宋体" w:hAnsi="宋体" w:cs="宋体"/>
                <w:color w:val="auto"/>
                <w:szCs w:val="21"/>
                <w:highlight w:val="none"/>
                <w:lang w:bidi="ar"/>
              </w:rPr>
              <w:t>元</w:t>
            </w:r>
          </w:p>
          <w:p>
            <w:pPr>
              <w:widowControl/>
              <w:spacing w:line="360" w:lineRule="auto"/>
              <w:rPr>
                <w:rFonts w:hint="eastAsia" w:ascii="宋体" w:hAnsi="宋体" w:eastAsia="宋体" w:cs="宋体"/>
                <w:color w:val="auto"/>
                <w:kern w:val="0"/>
                <w:szCs w:val="21"/>
                <w:highlight w:val="none"/>
                <w:lang w:eastAsia="zh-CN"/>
              </w:rPr>
            </w:pPr>
            <w:r>
              <w:rPr>
                <w:rFonts w:hint="eastAsia" w:ascii="宋体" w:hAnsi="宋体" w:cs="宋体"/>
                <w:color w:val="auto"/>
                <w:szCs w:val="21"/>
                <w:highlight w:val="none"/>
                <w:lang w:bidi="ar"/>
              </w:rPr>
              <w:t>分标</w:t>
            </w:r>
            <w:r>
              <w:rPr>
                <w:rFonts w:hint="eastAsia" w:ascii="宋体" w:hAnsi="宋体" w:cs="宋体"/>
                <w:color w:val="auto"/>
                <w:szCs w:val="21"/>
                <w:highlight w:val="none"/>
                <w:lang w:val="en-US" w:eastAsia="zh-CN" w:bidi="ar"/>
              </w:rPr>
              <w:t>8</w:t>
            </w:r>
            <w:r>
              <w:rPr>
                <w:rFonts w:hint="eastAsia" w:ascii="宋体" w:hAnsi="宋体" w:cs="宋体"/>
                <w:color w:val="auto"/>
                <w:kern w:val="0"/>
                <w:szCs w:val="21"/>
                <w:highlight w:val="none"/>
              </w:rPr>
              <w:t>磋商保证金人民币</w:t>
            </w:r>
            <w:r>
              <w:rPr>
                <w:rFonts w:hint="eastAsia" w:ascii="宋体" w:hAnsi="宋体" w:cs="宋体"/>
                <w:color w:val="auto"/>
                <w:szCs w:val="21"/>
                <w:highlight w:val="none"/>
                <w:u w:val="single"/>
                <w:lang w:val="en-US" w:eastAsia="zh-CN" w:bidi="ar"/>
              </w:rPr>
              <w:t xml:space="preserve"> 900.00 </w:t>
            </w:r>
            <w:r>
              <w:rPr>
                <w:rFonts w:hint="eastAsia" w:ascii="宋体" w:hAnsi="宋体" w:cs="宋体"/>
                <w:color w:val="auto"/>
                <w:szCs w:val="21"/>
                <w:highlight w:val="none"/>
                <w:lang w:bidi="ar"/>
              </w:rPr>
              <w:t>元</w:t>
            </w:r>
            <w:r>
              <w:rPr>
                <w:rFonts w:hint="eastAsia" w:ascii="宋体" w:hAnsi="宋体" w:cs="宋体"/>
                <w:color w:val="auto"/>
                <w:szCs w:val="21"/>
                <w:highlight w:val="none"/>
                <w:lang w:eastAsia="zh-CN" w:bidi="ar"/>
              </w:rPr>
              <w:t>。</w:t>
            </w:r>
          </w:p>
          <w:p>
            <w:pPr>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磋商保证金的交纳方式：银行转账、支票、汇票、本票或者金融、担保金融、担保机构出具的保函，禁止采用现钞方式。采用银行转账方式的，在响应文件提交截止时间前交至指定账户并且到账（开户银行：</w:t>
            </w:r>
            <w:r>
              <w:rPr>
                <w:rFonts w:hint="eastAsia" w:ascii="宋体" w:hAnsi="宋体" w:cs="宋体"/>
                <w:color w:val="auto"/>
                <w:kern w:val="0"/>
                <w:szCs w:val="21"/>
                <w:highlight w:val="none"/>
                <w:u w:val="single"/>
              </w:rPr>
              <w:t xml:space="preserve"> 广西北部湾银行股份有限公司南宁分行</w:t>
            </w:r>
            <w:r>
              <w:rPr>
                <w:rFonts w:hint="eastAsia" w:ascii="宋体" w:hAnsi="宋体" w:cs="宋体"/>
                <w:color w:val="auto"/>
                <w:kern w:val="0"/>
                <w:szCs w:val="21"/>
                <w:highlight w:val="none"/>
              </w:rPr>
              <w:t>，开户名称：</w:t>
            </w:r>
            <w:r>
              <w:rPr>
                <w:rFonts w:hint="eastAsia" w:ascii="宋体" w:hAnsi="宋体" w:cs="宋体"/>
                <w:color w:val="auto"/>
                <w:kern w:val="0"/>
                <w:szCs w:val="21"/>
                <w:highlight w:val="none"/>
                <w:u w:val="single"/>
              </w:rPr>
              <w:t xml:space="preserve"> 广西国泰招标咨询有限公司</w:t>
            </w:r>
            <w:r>
              <w:rPr>
                <w:rFonts w:hint="eastAsia" w:ascii="宋体" w:hAnsi="宋体" w:cs="宋体"/>
                <w:color w:val="auto"/>
                <w:kern w:val="0"/>
                <w:szCs w:val="21"/>
                <w:highlight w:val="none"/>
              </w:rPr>
              <w:t>，银行账号：</w:t>
            </w:r>
            <w:r>
              <w:rPr>
                <w:rFonts w:hint="eastAsia" w:ascii="宋体" w:hAnsi="宋体" w:cs="宋体"/>
                <w:color w:val="auto"/>
                <w:kern w:val="0"/>
                <w:szCs w:val="21"/>
                <w:highlight w:val="none"/>
                <w:u w:val="single"/>
              </w:rPr>
              <w:t xml:space="preserve"> 0101012090615711</w:t>
            </w:r>
            <w:r>
              <w:rPr>
                <w:rFonts w:hint="eastAsia" w:ascii="宋体" w:hAnsi="宋体" w:cs="宋体"/>
                <w:color w:val="auto"/>
                <w:kern w:val="0"/>
                <w:szCs w:val="21"/>
                <w:highlight w:val="none"/>
              </w:rPr>
              <w:t>）；采用支票、汇票、本票或者保函等方式的，在响应文件提交截止时间前，供应商必须提交支票、汇票、本票或者保函原件。否则视为无效磋商保证金。</w:t>
            </w:r>
          </w:p>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相关要求：</w:t>
            </w:r>
          </w:p>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1、磋商保证金采用银行转账交纳方式的，在响应文件提交截止时间前交至指定账户并且到账，供应商应将银行转账底单的复印件作为磋商保证金提交凭证，放置于报价商务技术文件中，</w:t>
            </w:r>
            <w:r>
              <w:rPr>
                <w:rFonts w:hint="eastAsia" w:ascii="宋体" w:hAnsi="宋体" w:cs="宋体"/>
                <w:b/>
                <w:color w:val="auto"/>
                <w:szCs w:val="21"/>
                <w:highlight w:val="none"/>
              </w:rPr>
              <w:t>否则响应文件按无效响应处理</w:t>
            </w:r>
            <w:r>
              <w:rPr>
                <w:rFonts w:hint="eastAsia" w:ascii="宋体" w:hAnsi="宋体" w:cs="宋体"/>
                <w:color w:val="auto"/>
                <w:szCs w:val="21"/>
                <w:highlight w:val="none"/>
              </w:rPr>
              <w:t>。</w:t>
            </w:r>
          </w:p>
          <w:p>
            <w:pPr>
              <w:snapToGrid w:val="0"/>
              <w:spacing w:line="360" w:lineRule="auto"/>
              <w:rPr>
                <w:rFonts w:ascii="宋体" w:hAnsi="宋体" w:cs="宋体"/>
                <w:b/>
                <w:color w:val="auto"/>
                <w:szCs w:val="21"/>
                <w:highlight w:val="none"/>
              </w:rPr>
            </w:pPr>
            <w:r>
              <w:rPr>
                <w:rFonts w:hint="eastAsia" w:ascii="宋体" w:hAnsi="宋体" w:cs="宋体"/>
                <w:color w:val="auto"/>
                <w:szCs w:val="21"/>
                <w:highlight w:val="none"/>
              </w:rPr>
              <w:t>2、磋商保证金采用支票、汇票、本票或者金融、担保机构出具的保函交纳方式的，供应商应将支票、汇票、本票或者金融、担保机构出具的保函的复印件作为磋商保证金提交凭证，放置于报价商务技术文件中，</w:t>
            </w:r>
            <w:r>
              <w:rPr>
                <w:rFonts w:hint="eastAsia" w:ascii="宋体" w:hAnsi="宋体" w:cs="宋体"/>
                <w:b/>
                <w:color w:val="auto"/>
                <w:szCs w:val="21"/>
                <w:highlight w:val="none"/>
              </w:rPr>
              <w:t>否则响应文件按无效响应处理</w:t>
            </w:r>
            <w:r>
              <w:rPr>
                <w:rFonts w:hint="eastAsia" w:ascii="宋体" w:hAnsi="宋体" w:cs="宋体"/>
                <w:color w:val="auto"/>
                <w:szCs w:val="21"/>
                <w:highlight w:val="none"/>
              </w:rPr>
              <w:t>。</w:t>
            </w:r>
            <w:r>
              <w:rPr>
                <w:rFonts w:hint="eastAsia" w:ascii="宋体" w:hAnsi="宋体" w:cs="宋体"/>
                <w:b/>
                <w:color w:val="auto"/>
                <w:szCs w:val="21"/>
                <w:highlight w:val="none"/>
              </w:rPr>
              <w:t>供应商必须在首次响应文件提交截止时间前将支票、汇票、本票或者金融、担保机构出具的保函原件提交给采购代理机构，由采购代理机构向供应商出具回执，并妥善保管。</w:t>
            </w:r>
          </w:p>
          <w:p>
            <w:pPr>
              <w:snapToGrid w:val="0"/>
              <w:spacing w:line="360" w:lineRule="auto"/>
              <w:rPr>
                <w:rFonts w:ascii="宋体" w:hAnsi="宋体" w:cs="宋体"/>
                <w:b/>
                <w:color w:val="auto"/>
                <w:szCs w:val="21"/>
                <w:highlight w:val="none"/>
              </w:rPr>
            </w:pPr>
            <w:r>
              <w:rPr>
                <w:rFonts w:hint="eastAsia" w:ascii="宋体" w:hAnsi="宋体" w:cs="宋体"/>
                <w:color w:val="auto"/>
                <w:szCs w:val="21"/>
                <w:highlight w:val="none"/>
              </w:rPr>
              <w:t>3、供应商为联合体的，可以由联合体中的一方或者多方共同交纳磋商保证金，其交纳的保证金对联合体各方均具有约束力。</w:t>
            </w:r>
          </w:p>
          <w:p>
            <w:pPr>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备注： </w:t>
            </w:r>
          </w:p>
          <w:p>
            <w:pPr>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1、磋商保证金在响应文件提交截止时间后提交的，或者不按规定交纳方式交纳的，或者未足额交纳的（包含保函额度不足的），视为无效磋商保证金。</w:t>
            </w:r>
          </w:p>
          <w:p>
            <w:pPr>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2、供应商采用现钞方式或者从个人账户（自然人竞标除外）转出的磋商保证金，视为无效磋商保证金。</w:t>
            </w:r>
          </w:p>
          <w:p>
            <w:pPr>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3、支票、汇票或者本票出现无效或者背书情形的，视为无效磋商保证金。</w:t>
            </w:r>
          </w:p>
          <w:p>
            <w:pPr>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4、保函有效期低于竞标有效期的，视为无效磋商保证金。</w:t>
            </w:r>
          </w:p>
          <w:p>
            <w:pPr>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5、采用金融、担保机构出具保函的，必须为无条件保函，否则视为无效磋商保证金。</w:t>
            </w:r>
          </w:p>
          <w:p>
            <w:pPr>
              <w:snapToGrid w:val="0"/>
              <w:spacing w:line="360" w:lineRule="auto"/>
              <w:rPr>
                <w:rFonts w:ascii="宋体" w:hAnsi="宋体" w:cs="宋体"/>
                <w:color w:val="auto"/>
                <w:szCs w:val="21"/>
                <w:highlight w:val="none"/>
              </w:rPr>
            </w:pPr>
            <w:r>
              <w:rPr>
                <w:rFonts w:hint="eastAsia" w:ascii="宋体" w:hAnsi="宋体" w:cs="宋体"/>
                <w:b/>
                <w:color w:val="auto"/>
                <w:szCs w:val="21"/>
                <w:highlight w:val="none"/>
              </w:rPr>
              <w:t>6、保证金凭证应注明正确的项目编号、分标号（如有）等信息，否则，信息不明确或有误的将可能被视为无效磋商保证金，并有可能影响保证金的及时退付。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9" w:hRule="atLeast"/>
          <w:jc w:val="center"/>
        </w:trPr>
        <w:tc>
          <w:tcPr>
            <w:tcW w:w="992"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18.2</w:t>
            </w:r>
          </w:p>
        </w:tc>
        <w:tc>
          <w:tcPr>
            <w:tcW w:w="8627" w:type="dxa"/>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响应文件应按资格证明文件、报价商务技术文件分别编制，并按广西政府采购云平台的要求编制、加密、上传。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20.1</w:t>
            </w:r>
          </w:p>
        </w:tc>
        <w:tc>
          <w:tcPr>
            <w:tcW w:w="8627" w:type="dxa"/>
            <w:vAlign w:val="center"/>
          </w:tcPr>
          <w:p>
            <w:pPr>
              <w:spacing w:line="360" w:lineRule="auto"/>
              <w:contextualSpacing/>
              <w:rPr>
                <w:rFonts w:ascii="宋体" w:hAnsi="宋体" w:cs="宋体"/>
                <w:color w:val="auto"/>
                <w:szCs w:val="21"/>
                <w:highlight w:val="none"/>
              </w:rPr>
            </w:pPr>
            <w:r>
              <w:rPr>
                <w:rFonts w:hint="eastAsia" w:ascii="宋体" w:hAnsi="宋体" w:cs="宋体"/>
                <w:color w:val="auto"/>
                <w:szCs w:val="21"/>
                <w:highlight w:val="none"/>
              </w:rPr>
              <w:t>首次响应文件提交截止时间：详见竞争性磋商公告。</w:t>
            </w:r>
          </w:p>
          <w:p>
            <w:pPr>
              <w:spacing w:line="360" w:lineRule="auto"/>
              <w:contextualSpacing/>
              <w:rPr>
                <w:rFonts w:ascii="宋体" w:hAnsi="宋体" w:cs="宋体"/>
                <w:color w:val="auto"/>
                <w:szCs w:val="21"/>
                <w:highlight w:val="none"/>
              </w:rPr>
            </w:pPr>
            <w:r>
              <w:rPr>
                <w:rFonts w:hint="eastAsia" w:ascii="宋体" w:hAnsi="宋体" w:cs="宋体"/>
                <w:color w:val="auto"/>
                <w:szCs w:val="21"/>
                <w:highlight w:val="none"/>
              </w:rPr>
              <w:t>首次响应文件提交地点：详见竞争性磋商公告。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24.1</w:t>
            </w:r>
          </w:p>
        </w:tc>
        <w:tc>
          <w:tcPr>
            <w:tcW w:w="8627" w:type="dxa"/>
            <w:vAlign w:val="center"/>
          </w:tcPr>
          <w:p>
            <w:pPr>
              <w:snapToGrid w:val="0"/>
              <w:spacing w:line="360" w:lineRule="auto"/>
              <w:rPr>
                <w:rFonts w:ascii="宋体" w:hAnsi="宋体" w:cs="宋体"/>
                <w:color w:val="auto"/>
                <w:szCs w:val="21"/>
                <w:highlight w:val="none"/>
                <w:u w:val="single"/>
              </w:rPr>
            </w:pPr>
            <w:r>
              <w:rPr>
                <w:rFonts w:hint="eastAsia" w:ascii="宋体" w:hAnsi="宋体" w:cs="宋体"/>
                <w:color w:val="auto"/>
                <w:szCs w:val="21"/>
                <w:highlight w:val="none"/>
              </w:rPr>
              <w:t>磋商小组的人数：3人。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25.2</w:t>
            </w:r>
          </w:p>
        </w:tc>
        <w:tc>
          <w:tcPr>
            <w:tcW w:w="8627" w:type="dxa"/>
            <w:vAlign w:val="center"/>
          </w:tcPr>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采购代理机构将依托电子交易平台发起开始解密指令，</w:t>
            </w:r>
            <w:r>
              <w:rPr>
                <w:rFonts w:hint="eastAsia" w:ascii="宋体" w:hAnsi="宋体" w:cs="宋体"/>
                <w:b/>
                <w:color w:val="auto"/>
                <w:szCs w:val="21"/>
                <w:highlight w:val="none"/>
              </w:rPr>
              <w:t>供应商的法定代表人或其委托代理人须携带加密时所用的CA锁按平台提示和采购文件的规定登录到“广西政府采购云平台”电子开标大厅签到并在发起解密指令之时起30分钟内完成对电子响应文件在线解密。</w:t>
            </w:r>
            <w:r>
              <w:rPr>
                <w:rFonts w:hint="eastAsia" w:ascii="宋体" w:hAnsi="宋体" w:cs="宋体"/>
                <w:b/>
                <w:bCs/>
                <w:color w:val="auto"/>
                <w:szCs w:val="21"/>
                <w:highlight w:val="none"/>
              </w:rPr>
              <w:t>响应文件未按时解密的，</w:t>
            </w:r>
            <w:r>
              <w:rPr>
                <w:rFonts w:hint="eastAsia" w:ascii="宋体" w:hAnsi="宋体" w:cs="宋体"/>
                <w:b/>
                <w:color w:val="auto"/>
                <w:szCs w:val="21"/>
                <w:highlight w:val="none"/>
              </w:rPr>
              <w:t>视为响应</w:t>
            </w:r>
            <w:r>
              <w:rPr>
                <w:rFonts w:hint="eastAsia" w:ascii="宋体" w:hAnsi="宋体" w:cs="宋体"/>
                <w:b/>
                <w:bCs/>
                <w:color w:val="auto"/>
                <w:szCs w:val="21"/>
                <w:highlight w:val="none"/>
              </w:rPr>
              <w:t>文件无效。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jc w:val="center"/>
        </w:trPr>
        <w:tc>
          <w:tcPr>
            <w:tcW w:w="992" w:type="dxa"/>
            <w:vMerge w:val="restart"/>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26</w:t>
            </w:r>
          </w:p>
        </w:tc>
        <w:tc>
          <w:tcPr>
            <w:tcW w:w="8627" w:type="dxa"/>
            <w:vAlign w:val="center"/>
          </w:tcPr>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lang w:eastAsia="zh-CN"/>
              </w:rPr>
              <w:t>各分标</w:t>
            </w:r>
            <w:r>
              <w:rPr>
                <w:rFonts w:hint="eastAsia" w:ascii="宋体" w:hAnsi="宋体" w:cs="宋体"/>
                <w:color w:val="auto"/>
                <w:szCs w:val="21"/>
                <w:highlight w:val="none"/>
              </w:rPr>
              <w:t>商务要求评审中允许负偏离的条款数为</w:t>
            </w:r>
            <w:r>
              <w:rPr>
                <w:rFonts w:hint="eastAsia" w:ascii="宋体" w:hAnsi="宋体" w:cs="宋体"/>
                <w:color w:val="auto"/>
                <w:szCs w:val="21"/>
                <w:highlight w:val="none"/>
                <w:u w:val="single"/>
              </w:rPr>
              <w:t xml:space="preserve"> 0  </w:t>
            </w:r>
            <w:r>
              <w:rPr>
                <w:rFonts w:hint="eastAsia" w:ascii="宋体" w:hAnsi="宋体" w:cs="宋体"/>
                <w:color w:val="auto"/>
                <w:szCs w:val="21"/>
                <w:highlight w:val="none"/>
              </w:rPr>
              <w:t>项。</w:t>
            </w:r>
          </w:p>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lang w:eastAsia="zh-CN"/>
              </w:rPr>
              <w:t>各分标</w:t>
            </w:r>
            <w:r>
              <w:rPr>
                <w:rFonts w:hint="eastAsia" w:ascii="宋体" w:hAnsi="宋体" w:cs="宋体"/>
                <w:color w:val="auto"/>
                <w:szCs w:val="21"/>
                <w:highlight w:val="none"/>
              </w:rPr>
              <w:t>技术要求评审中允许负偏离的条款数为</w:t>
            </w:r>
            <w:r>
              <w:rPr>
                <w:rFonts w:hint="eastAsia" w:ascii="宋体" w:hAnsi="宋体" w:cs="宋体"/>
                <w:color w:val="auto"/>
                <w:szCs w:val="21"/>
                <w:highlight w:val="none"/>
                <w:u w:val="single"/>
              </w:rPr>
              <w:t xml:space="preserve"> 1 </w:t>
            </w:r>
            <w:r>
              <w:rPr>
                <w:rFonts w:hint="eastAsia" w:ascii="宋体" w:hAnsi="宋体" w:cs="宋体"/>
                <w:color w:val="auto"/>
                <w:szCs w:val="21"/>
                <w:highlight w:val="none"/>
              </w:rPr>
              <w:t>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 w:hRule="atLeast"/>
          <w:jc w:val="center"/>
        </w:trPr>
        <w:tc>
          <w:tcPr>
            <w:tcW w:w="992" w:type="dxa"/>
            <w:vMerge w:val="continue"/>
            <w:vAlign w:val="center"/>
          </w:tcPr>
          <w:p>
            <w:pPr>
              <w:spacing w:line="360" w:lineRule="auto"/>
              <w:jc w:val="center"/>
              <w:rPr>
                <w:rFonts w:ascii="宋体" w:hAnsi="宋体" w:cs="宋体"/>
                <w:color w:val="auto"/>
                <w:szCs w:val="21"/>
                <w:highlight w:val="none"/>
              </w:rPr>
            </w:pPr>
          </w:p>
        </w:tc>
        <w:tc>
          <w:tcPr>
            <w:tcW w:w="8627" w:type="dxa"/>
            <w:vAlign w:val="center"/>
          </w:tcPr>
          <w:p>
            <w:pPr>
              <w:pStyle w:val="14"/>
              <w:spacing w:line="320" w:lineRule="exact"/>
              <w:jc w:val="both"/>
              <w:rPr>
                <w:rFonts w:ascii="宋体" w:hAnsi="宋体" w:cs="宋体"/>
                <w:color w:val="auto"/>
                <w:szCs w:val="21"/>
                <w:highlight w:val="none"/>
              </w:rPr>
            </w:pPr>
            <w:r>
              <w:rPr>
                <w:rFonts w:hint="eastAsia" w:ascii="宋体" w:hAnsi="宋体" w:cs="宋体"/>
                <w:color w:val="auto"/>
                <w:szCs w:val="21"/>
                <w:highlight w:val="none"/>
              </w:rPr>
              <w:t>磋商的顺序：按“广西政府采购云平台”系统的编号顺序。</w:t>
            </w:r>
          </w:p>
          <w:p>
            <w:pPr>
              <w:pStyle w:val="14"/>
              <w:spacing w:line="360" w:lineRule="auto"/>
              <w:jc w:val="both"/>
              <w:rPr>
                <w:rFonts w:ascii="宋体" w:hAnsi="宋体" w:cs="宋体"/>
                <w:b/>
                <w:color w:val="auto"/>
                <w:szCs w:val="21"/>
                <w:highlight w:val="none"/>
              </w:rPr>
            </w:pPr>
            <w:r>
              <w:rPr>
                <w:rFonts w:hint="eastAsia" w:ascii="宋体" w:hAnsi="宋体" w:cs="宋体"/>
                <w:b/>
                <w:color w:val="auto"/>
                <w:szCs w:val="21"/>
                <w:highlight w:val="none"/>
              </w:rPr>
              <w:t>符合磋商资格的供应商必须在接到磋商通知后规定时间内参加磋商，未在规定时间内参加磋商的视同放弃参加磋商权利，其响应文件按无效响应处理。</w:t>
            </w:r>
          </w:p>
          <w:p>
            <w:pPr>
              <w:pStyle w:val="14"/>
              <w:spacing w:line="360" w:lineRule="auto"/>
              <w:jc w:val="both"/>
              <w:rPr>
                <w:rFonts w:ascii="宋体" w:hAnsi="宋体" w:cs="宋体"/>
                <w:b/>
                <w:color w:val="auto"/>
                <w:szCs w:val="21"/>
                <w:highlight w:val="none"/>
              </w:rPr>
            </w:pPr>
            <w:r>
              <w:rPr>
                <w:rFonts w:hint="eastAsia" w:ascii="宋体" w:hAnsi="宋体" w:cs="宋体"/>
                <w:b/>
                <w:color w:val="auto"/>
                <w:szCs w:val="21"/>
                <w:highlight w:val="none"/>
              </w:rPr>
              <w:t>注：参与磋商前，供应商法定代表人或者委托代理人向磋商小组出示本人有效证件原件[有效证件可以是身份证（含临时身份证明）或者护照的其中一项]。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28.1</w:t>
            </w:r>
          </w:p>
        </w:tc>
        <w:tc>
          <w:tcPr>
            <w:tcW w:w="8627" w:type="dxa"/>
            <w:vAlign w:val="center"/>
          </w:tcPr>
          <w:p>
            <w:pPr>
              <w:autoSpaceDE w:val="0"/>
              <w:autoSpaceDN w:val="0"/>
              <w:snapToGrid w:val="0"/>
              <w:spacing w:line="360" w:lineRule="auto"/>
              <w:textAlignment w:val="bottom"/>
              <w:rPr>
                <w:rFonts w:hint="eastAsia" w:ascii="宋体" w:hAnsi="宋体" w:eastAsia="宋体" w:cs="宋体"/>
                <w:color w:val="auto"/>
                <w:szCs w:val="21"/>
                <w:highlight w:val="none"/>
                <w:lang w:eastAsia="zh-CN"/>
              </w:rPr>
            </w:pPr>
            <w:r>
              <w:rPr>
                <w:rFonts w:hint="eastAsia" w:ascii="宋体" w:hAnsi="宋体"/>
                <w:color w:val="auto"/>
                <w:szCs w:val="21"/>
                <w:highlight w:val="none"/>
              </w:rPr>
              <w:t>本项目</w:t>
            </w:r>
            <w:r>
              <w:rPr>
                <w:rFonts w:hint="eastAsia" w:ascii="宋体" w:hAnsi="宋体"/>
                <w:color w:val="auto"/>
                <w:szCs w:val="21"/>
                <w:highlight w:val="none"/>
                <w:lang w:eastAsia="zh-CN"/>
              </w:rPr>
              <w:t>不</w:t>
            </w:r>
            <w:r>
              <w:rPr>
                <w:rFonts w:hint="eastAsia" w:ascii="宋体" w:hAnsi="宋体"/>
                <w:color w:val="auto"/>
                <w:szCs w:val="21"/>
                <w:highlight w:val="none"/>
              </w:rPr>
              <w:t>收取履约保证金</w:t>
            </w:r>
            <w:r>
              <w:rPr>
                <w:rFonts w:hint="eastAsia" w:ascii="宋体" w:hAnsi="宋体"/>
                <w:color w:val="auto"/>
                <w:szCs w:val="21"/>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29.1</w:t>
            </w:r>
          </w:p>
        </w:tc>
        <w:tc>
          <w:tcPr>
            <w:tcW w:w="8627" w:type="dxa"/>
            <w:vAlign w:val="center"/>
          </w:tcPr>
          <w:p>
            <w:pPr>
              <w:autoSpaceDE w:val="0"/>
              <w:autoSpaceDN w:val="0"/>
              <w:snapToGrid w:val="0"/>
              <w:spacing w:line="360" w:lineRule="auto"/>
              <w:textAlignment w:val="bottom"/>
              <w:rPr>
                <w:rFonts w:ascii="宋体" w:hAnsi="宋体" w:cs="宋体"/>
                <w:color w:val="auto"/>
                <w:szCs w:val="21"/>
                <w:highlight w:val="none"/>
              </w:rPr>
            </w:pPr>
            <w:r>
              <w:rPr>
                <w:rFonts w:hint="eastAsia" w:ascii="宋体" w:hAnsi="宋体" w:cs="宋体"/>
                <w:color w:val="auto"/>
                <w:szCs w:val="21"/>
                <w:highlight w:val="none"/>
              </w:rPr>
              <w:t xml:space="preserve">签订合同携带的证明材料： </w:t>
            </w:r>
          </w:p>
          <w:p>
            <w:pPr>
              <w:autoSpaceDE w:val="0"/>
              <w:autoSpaceDN w:val="0"/>
              <w:snapToGrid w:val="0"/>
              <w:spacing w:line="360" w:lineRule="auto"/>
              <w:textAlignment w:val="bottom"/>
              <w:rPr>
                <w:rFonts w:ascii="宋体" w:hAnsi="宋体" w:cs="宋体"/>
                <w:color w:val="auto"/>
                <w:szCs w:val="21"/>
                <w:highlight w:val="none"/>
              </w:rPr>
            </w:pPr>
            <w:r>
              <w:rPr>
                <w:rFonts w:hint="eastAsia" w:ascii="宋体" w:hAnsi="宋体" w:cs="宋体"/>
                <w:color w:val="auto"/>
                <w:szCs w:val="21"/>
                <w:highlight w:val="none"/>
              </w:rPr>
              <w:t>1、委托代理人负责签订合同的，须携带授权委托书及委托代理人身份证原件等其他资格证件。</w:t>
            </w:r>
          </w:p>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2、法定代表人负责签订合同的，须携带法定代表人身份证明原件及身份证原件等其他证明材料。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31.2</w:t>
            </w:r>
          </w:p>
        </w:tc>
        <w:tc>
          <w:tcPr>
            <w:tcW w:w="8627" w:type="dxa"/>
            <w:vAlign w:val="center"/>
          </w:tcPr>
          <w:p>
            <w:pPr>
              <w:pStyle w:val="18"/>
              <w:snapToGrid w:val="0"/>
              <w:spacing w:line="360" w:lineRule="auto"/>
              <w:rPr>
                <w:rFonts w:hAnsi="宋体" w:cs="宋体"/>
                <w:color w:val="auto"/>
                <w:sz w:val="21"/>
                <w:highlight w:val="none"/>
              </w:rPr>
            </w:pPr>
            <w:r>
              <w:rPr>
                <w:rFonts w:hint="eastAsia" w:hAnsi="宋体" w:cs="宋体"/>
                <w:color w:val="auto"/>
                <w:sz w:val="21"/>
                <w:highlight w:val="none"/>
              </w:rPr>
              <w:t>接收质疑函方式：以纸质书面形式。</w:t>
            </w:r>
          </w:p>
          <w:p>
            <w:pPr>
              <w:pStyle w:val="18"/>
              <w:snapToGrid w:val="0"/>
              <w:spacing w:line="360" w:lineRule="auto"/>
              <w:rPr>
                <w:rFonts w:hAnsi="宋体" w:cs="宋体"/>
                <w:color w:val="auto"/>
                <w:sz w:val="21"/>
                <w:highlight w:val="none"/>
              </w:rPr>
            </w:pPr>
            <w:r>
              <w:rPr>
                <w:rFonts w:hint="eastAsia" w:hAnsi="宋体" w:cs="宋体"/>
                <w:color w:val="auto"/>
                <w:sz w:val="21"/>
                <w:highlight w:val="none"/>
              </w:rPr>
              <w:t>质疑联系部门及联系方式：广西国泰招标咨询有限公司，质疑联系人：黄柳娜  联系电话：0771-2023496，通讯地址：广西南宁市民族大道141号中鼎万象东方大厦C区六层</w:t>
            </w:r>
          </w:p>
          <w:p>
            <w:pPr>
              <w:pStyle w:val="18"/>
              <w:snapToGrid w:val="0"/>
              <w:spacing w:line="360" w:lineRule="auto"/>
              <w:rPr>
                <w:rFonts w:hAnsi="宋体" w:cs="宋体"/>
                <w:color w:val="auto"/>
                <w:highlight w:val="none"/>
              </w:rPr>
            </w:pPr>
            <w:r>
              <w:rPr>
                <w:rFonts w:hint="eastAsia" w:hAnsi="宋体" w:cs="宋体"/>
                <w:color w:val="auto"/>
                <w:sz w:val="21"/>
                <w:highlight w:val="none"/>
              </w:rPr>
              <w:t>现场提交质疑办理业务时间：工作日，上午8:00-12:00；下午15:00-18:00（北京时间）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992"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32.1</w:t>
            </w:r>
          </w:p>
        </w:tc>
        <w:tc>
          <w:tcPr>
            <w:tcW w:w="8627" w:type="dxa"/>
            <w:vAlign w:val="center"/>
          </w:tcPr>
          <w:p>
            <w:pPr>
              <w:pStyle w:val="18"/>
              <w:snapToGrid w:val="0"/>
              <w:spacing w:line="400" w:lineRule="exact"/>
              <w:rPr>
                <w:rFonts w:hint="eastAsia" w:hAnsi="宋体" w:cs="宋体"/>
                <w:color w:val="auto"/>
                <w:sz w:val="21"/>
                <w:highlight w:val="none"/>
                <w:lang w:val="en-US" w:eastAsia="zh-CN"/>
              </w:rPr>
            </w:pPr>
            <w:r>
              <w:rPr>
                <w:rFonts w:hint="eastAsia" w:hAnsi="宋体" w:cs="宋体"/>
                <w:color w:val="auto"/>
                <w:sz w:val="21"/>
                <w:highlight w:val="none"/>
                <w:lang w:val="en-US" w:eastAsia="zh-CN"/>
              </w:rPr>
              <w:t>1、采购代理服务费支付方式：</w:t>
            </w:r>
            <w:r>
              <w:rPr>
                <w:rFonts w:hint="eastAsia" w:hAnsi="宋体"/>
                <w:color w:val="auto"/>
                <w:sz w:val="21"/>
                <w:highlight w:val="none"/>
                <w:lang w:val="en-US" w:eastAsia="zh-CN"/>
              </w:rPr>
              <w:t>本项目的招标代理服务费按以下收费标准向</w:t>
            </w:r>
            <w:r>
              <w:rPr>
                <w:rFonts w:hint="eastAsia" w:hAnsi="宋体" w:cs="宋体"/>
                <w:color w:val="auto"/>
                <w:sz w:val="21"/>
                <w:highlight w:val="none"/>
                <w:lang w:val="en-US" w:eastAsia="zh-CN"/>
              </w:rPr>
              <w:t>成交供应商</w:t>
            </w:r>
            <w:r>
              <w:rPr>
                <w:rFonts w:hint="eastAsia" w:hAnsi="宋体"/>
                <w:color w:val="auto"/>
                <w:sz w:val="21"/>
                <w:highlight w:val="none"/>
                <w:lang w:val="en-US" w:eastAsia="zh-CN"/>
              </w:rPr>
              <w:t>收取，领取成交通知书前，</w:t>
            </w:r>
            <w:r>
              <w:rPr>
                <w:rFonts w:hint="eastAsia" w:hAnsi="宋体" w:cs="宋体"/>
                <w:color w:val="auto"/>
                <w:sz w:val="21"/>
                <w:highlight w:val="none"/>
                <w:lang w:val="en-US" w:eastAsia="zh-CN"/>
              </w:rPr>
              <w:t>成交供应商</w:t>
            </w:r>
            <w:r>
              <w:rPr>
                <w:rFonts w:hint="eastAsia" w:hAnsi="宋体"/>
                <w:color w:val="auto"/>
                <w:sz w:val="21"/>
                <w:highlight w:val="none"/>
                <w:lang w:val="en-US" w:eastAsia="zh-CN"/>
              </w:rPr>
              <w:t>应向采购代理机构一次付清招标代理服务费，否则采购代理机构有权不予以办理。</w:t>
            </w:r>
          </w:p>
          <w:p>
            <w:pPr>
              <w:pStyle w:val="18"/>
              <w:snapToGrid w:val="0"/>
              <w:spacing w:line="400" w:lineRule="exact"/>
              <w:rPr>
                <w:rFonts w:hAnsi="宋体" w:cs="宋体"/>
                <w:color w:val="auto"/>
                <w:sz w:val="21"/>
                <w:highlight w:val="none"/>
                <w:lang w:val="en-US" w:eastAsia="zh-CN"/>
              </w:rPr>
            </w:pPr>
            <w:r>
              <w:rPr>
                <w:rFonts w:hint="eastAsia" w:hAnsi="宋体" w:cs="宋体"/>
                <w:color w:val="auto"/>
                <w:sz w:val="21"/>
                <w:highlight w:val="none"/>
                <w:lang w:val="en-US" w:eastAsia="zh-CN"/>
              </w:rPr>
              <w:t>2、采购代理服务费收取标准：以各</w:t>
            </w:r>
            <w:r>
              <w:rPr>
                <w:rFonts w:hAnsi="宋体" w:cs="宋体"/>
                <w:color w:val="auto"/>
                <w:sz w:val="21"/>
                <w:highlight w:val="none"/>
                <w:lang w:val="en-US" w:eastAsia="zh-CN"/>
              </w:rPr>
              <w:t>分标</w:t>
            </w:r>
            <w:r>
              <w:rPr>
                <w:rFonts w:hint="eastAsia" w:hAnsi="宋体" w:cs="宋体"/>
                <w:color w:val="auto"/>
                <w:sz w:val="21"/>
                <w:highlight w:val="none"/>
                <w:lang w:val="en-US" w:eastAsia="zh-CN"/>
              </w:rPr>
              <w:t>成交金额为计费额，按本须知正文第</w:t>
            </w:r>
            <w:r>
              <w:rPr>
                <w:rFonts w:hAnsi="宋体" w:cs="宋体"/>
                <w:color w:val="auto"/>
                <w:sz w:val="21"/>
                <w:highlight w:val="none"/>
                <w:lang w:val="en-US" w:eastAsia="zh-CN"/>
              </w:rPr>
              <w:t>32</w:t>
            </w:r>
            <w:r>
              <w:rPr>
                <w:rFonts w:hint="eastAsia" w:hAnsi="宋体" w:cs="宋体"/>
                <w:color w:val="auto"/>
                <w:sz w:val="21"/>
                <w:highlight w:val="none"/>
                <w:lang w:val="en-US" w:eastAsia="zh-CN"/>
              </w:rPr>
              <w:t>.</w:t>
            </w:r>
            <w:r>
              <w:rPr>
                <w:rFonts w:hAnsi="宋体" w:cs="宋体"/>
                <w:color w:val="auto"/>
                <w:sz w:val="21"/>
                <w:highlight w:val="none"/>
                <w:lang w:val="en-US" w:eastAsia="zh-CN"/>
              </w:rPr>
              <w:t>2</w:t>
            </w:r>
            <w:r>
              <w:rPr>
                <w:rFonts w:hint="eastAsia" w:hAnsi="宋体" w:cs="宋体"/>
                <w:color w:val="auto"/>
                <w:sz w:val="21"/>
                <w:highlight w:val="none"/>
                <w:lang w:val="en-US" w:eastAsia="zh-CN"/>
              </w:rPr>
              <w:t>条规定的收费计算标准（</w:t>
            </w:r>
            <w:r>
              <w:rPr>
                <w:rFonts w:hint="eastAsia" w:hAnsi="宋体" w:cs="宋体"/>
                <w:b/>
                <w:color w:val="auto"/>
                <w:sz w:val="21"/>
                <w:highlight w:val="none"/>
                <w:lang w:val="en-US" w:eastAsia="zh-CN"/>
              </w:rPr>
              <w:t>服务类</w:t>
            </w:r>
            <w:r>
              <w:rPr>
                <w:rFonts w:hint="eastAsia" w:hAnsi="宋体" w:cs="宋体"/>
                <w:color w:val="auto"/>
                <w:sz w:val="21"/>
                <w:highlight w:val="none"/>
                <w:lang w:val="en-US" w:eastAsia="zh-CN"/>
              </w:rPr>
              <w:t>）采用差额定率累进法计算出收费基准价格，采购代理服务费收费按收费基准价格收取。</w:t>
            </w:r>
          </w:p>
          <w:p>
            <w:pPr>
              <w:pStyle w:val="18"/>
              <w:snapToGrid w:val="0"/>
              <w:spacing w:line="400" w:lineRule="exact"/>
              <w:rPr>
                <w:rFonts w:hint="eastAsia" w:hAnsi="宋体" w:cs="宋体"/>
                <w:color w:val="auto"/>
                <w:sz w:val="21"/>
                <w:highlight w:val="none"/>
                <w:lang w:val="en-US" w:eastAsia="zh-CN"/>
              </w:rPr>
            </w:pPr>
            <w:r>
              <w:rPr>
                <w:rFonts w:hint="eastAsia" w:hAnsi="宋体" w:cs="宋体"/>
                <w:color w:val="auto"/>
                <w:sz w:val="21"/>
                <w:highlight w:val="none"/>
                <w:lang w:val="en-US" w:eastAsia="zh-CN"/>
              </w:rPr>
              <w:t>3、代理服务费缴费账户信息：</w:t>
            </w:r>
          </w:p>
          <w:p>
            <w:pPr>
              <w:pStyle w:val="18"/>
              <w:snapToGrid w:val="0"/>
              <w:spacing w:line="400" w:lineRule="exact"/>
              <w:rPr>
                <w:rFonts w:hint="eastAsia" w:hAnsi="宋体" w:cs="宋体"/>
                <w:color w:val="auto"/>
                <w:sz w:val="21"/>
                <w:highlight w:val="none"/>
                <w:lang w:val="en-US" w:eastAsia="zh-CN"/>
              </w:rPr>
            </w:pPr>
            <w:r>
              <w:rPr>
                <w:rFonts w:hint="eastAsia" w:hAnsi="宋体" w:cs="宋体"/>
                <w:color w:val="auto"/>
                <w:sz w:val="21"/>
                <w:highlight w:val="none"/>
                <w:lang w:val="en-US" w:eastAsia="zh-CN"/>
              </w:rPr>
              <w:t>开户名称：广西国泰招标咨询有限公司南宁第五分公司</w:t>
            </w:r>
          </w:p>
          <w:p>
            <w:pPr>
              <w:pStyle w:val="18"/>
              <w:snapToGrid w:val="0"/>
              <w:spacing w:line="400" w:lineRule="exact"/>
              <w:rPr>
                <w:rFonts w:hint="eastAsia" w:hAnsi="宋体" w:cs="宋体"/>
                <w:color w:val="auto"/>
                <w:sz w:val="21"/>
                <w:highlight w:val="none"/>
                <w:lang w:val="en-US" w:eastAsia="zh-CN"/>
              </w:rPr>
            </w:pPr>
            <w:r>
              <w:rPr>
                <w:rFonts w:hint="eastAsia" w:hAnsi="宋体" w:cs="宋体"/>
                <w:color w:val="auto"/>
                <w:sz w:val="21"/>
                <w:highlight w:val="none"/>
                <w:lang w:val="en-US" w:eastAsia="zh-CN"/>
              </w:rPr>
              <w:t>开户银行：广西北部湾银行股份有限公司南宁市云景支行</w:t>
            </w:r>
          </w:p>
          <w:p>
            <w:pPr>
              <w:pStyle w:val="18"/>
              <w:snapToGrid w:val="0"/>
              <w:spacing w:line="400" w:lineRule="exact"/>
              <w:rPr>
                <w:rFonts w:hAnsi="宋体" w:cs="宋体"/>
                <w:color w:val="auto"/>
                <w:sz w:val="21"/>
                <w:highlight w:val="none"/>
              </w:rPr>
            </w:pPr>
            <w:r>
              <w:rPr>
                <w:rFonts w:hint="eastAsia" w:hAnsi="宋体" w:cs="宋体"/>
                <w:color w:val="auto"/>
                <w:sz w:val="21"/>
                <w:highlight w:val="none"/>
                <w:lang w:val="en-US" w:eastAsia="zh-CN"/>
              </w:rPr>
              <w:t>银行账号：805022302700001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33.1</w:t>
            </w:r>
          </w:p>
        </w:tc>
        <w:tc>
          <w:tcPr>
            <w:tcW w:w="8627" w:type="dxa"/>
            <w:vAlign w:val="center"/>
          </w:tcPr>
          <w:p>
            <w:pPr>
              <w:pStyle w:val="18"/>
              <w:snapToGrid w:val="0"/>
              <w:spacing w:line="360" w:lineRule="auto"/>
              <w:rPr>
                <w:rFonts w:hAnsi="宋体" w:cs="宋体"/>
                <w:color w:val="auto"/>
                <w:kern w:val="2"/>
                <w:sz w:val="21"/>
                <w:highlight w:val="none"/>
              </w:rPr>
            </w:pPr>
            <w:r>
              <w:rPr>
                <w:rFonts w:hint="eastAsia" w:hAnsi="宋体" w:cs="宋体"/>
                <w:color w:val="auto"/>
                <w:sz w:val="21"/>
                <w:highlight w:val="none"/>
              </w:rPr>
              <w:t>解释：构成本磋商文件的各个组成文件应互为解释，互为说明；除磋商文件中有特别规定外，仅适用于竞标阶段的规定，按更正公告（澄清公告）、竞争性磋商公告、供应商须知、采购需求、评审程序、评审方法和评审标准、响应文件格式、合同文本的先后顺序解释；同一组成文件中就同一事项的规定或者约定不一致的，以编排顺序在后者为准；同一组成文件不同版本之间有不一致的，以形成时间在后者为准；更正公告（澄清公告）与同步更新的磋商文件不一致时以更正公告（澄清公告）为准。按本款前述规定仍不能形成结论的，由采购人或者采购代理机构负责解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992"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33.2</w:t>
            </w:r>
          </w:p>
        </w:tc>
        <w:tc>
          <w:tcPr>
            <w:tcW w:w="8627" w:type="dxa"/>
            <w:vAlign w:val="center"/>
          </w:tcPr>
          <w:p>
            <w:pPr>
              <w:pStyle w:val="18"/>
              <w:snapToGrid w:val="0"/>
              <w:spacing w:line="360" w:lineRule="auto"/>
              <w:rPr>
                <w:rFonts w:hAnsi="宋体" w:cs="宋体"/>
                <w:color w:val="auto"/>
                <w:sz w:val="21"/>
                <w:highlight w:val="none"/>
              </w:rPr>
            </w:pPr>
            <w:r>
              <w:rPr>
                <w:rFonts w:hint="eastAsia" w:hAnsi="宋体" w:cs="宋体"/>
                <w:color w:val="auto"/>
                <w:sz w:val="21"/>
                <w:highlight w:val="none"/>
              </w:rPr>
              <w:t>1、本磋商文件中描述供应商的“公章”是指根据我国对公章的管理规定，用供应商法定主体行为名称制作的印章（含电子印章），除本磋商文件有特殊规定外，供应商的财务章、部门章、分公司章、工会章、合同章、竞标/投标专用章、业务专用章及银行的转账章、现金收讫章、现金付讫章等其他形式印章均不能代替公章。</w:t>
            </w:r>
          </w:p>
          <w:p>
            <w:pPr>
              <w:pStyle w:val="18"/>
              <w:snapToGrid w:val="0"/>
              <w:spacing w:line="360" w:lineRule="auto"/>
              <w:rPr>
                <w:rFonts w:hAnsi="宋体" w:cs="宋体"/>
                <w:color w:val="auto"/>
                <w:sz w:val="21"/>
                <w:highlight w:val="none"/>
              </w:rPr>
            </w:pPr>
            <w:r>
              <w:rPr>
                <w:rFonts w:hint="eastAsia" w:hAnsi="宋体" w:cs="宋体"/>
                <w:color w:val="auto"/>
                <w:sz w:val="21"/>
                <w:highlight w:val="none"/>
              </w:rPr>
              <w:t>2、供应商为其他组织或者自然人时，本磋商文件规定的法定代表人指负责人或者自然人。本磋商文件所称负责人是指参加竞标的其他组织</w:t>
            </w:r>
            <w:r>
              <w:rPr>
                <w:rFonts w:hint="eastAsia" w:hAnsi="宋体" w:cs="宋体"/>
                <w:bCs/>
                <w:color w:val="auto"/>
                <w:sz w:val="21"/>
                <w:highlight w:val="none"/>
              </w:rPr>
              <w:t>营业执照或者执业许可证等证照上的</w:t>
            </w:r>
            <w:r>
              <w:rPr>
                <w:rFonts w:hint="eastAsia" w:hAnsi="宋体" w:cs="宋体"/>
                <w:color w:val="auto"/>
                <w:sz w:val="21"/>
                <w:highlight w:val="none"/>
              </w:rPr>
              <w:t>负责人，本磋商文件所称自然人指参与竞标的自然人本人，</w:t>
            </w:r>
            <w:r>
              <w:rPr>
                <w:rFonts w:hint="eastAsia" w:hAnsi="宋体" w:cs="宋体"/>
                <w:bCs/>
                <w:color w:val="auto"/>
                <w:sz w:val="21"/>
                <w:highlight w:val="none"/>
              </w:rPr>
              <w:t>且应具备独立承担民事责任能力，自然人应当为年满18岁以上成年人（十六周岁以上的未成年人，以自己的劳动收入为主要生活来源的，视为完全民事行为能力人）。</w:t>
            </w:r>
          </w:p>
          <w:p>
            <w:pPr>
              <w:pStyle w:val="18"/>
              <w:snapToGrid w:val="0"/>
              <w:spacing w:line="360" w:lineRule="auto"/>
              <w:rPr>
                <w:rFonts w:hAnsi="宋体" w:cs="宋体"/>
                <w:color w:val="auto"/>
                <w:sz w:val="21"/>
                <w:highlight w:val="none"/>
              </w:rPr>
            </w:pPr>
            <w:r>
              <w:rPr>
                <w:rFonts w:hint="eastAsia" w:hAnsi="宋体" w:cs="宋体"/>
                <w:color w:val="auto"/>
                <w:sz w:val="21"/>
                <w:highlight w:val="none"/>
              </w:rPr>
              <w:t>3、本磋商文件中描述供应商的“签字”是指供应商的法定代表人或者委托代理人在文件规定签署处签名（含电子签名）的行为，私章、印鉴等其他形式均不能代替签字。</w:t>
            </w:r>
          </w:p>
          <w:p>
            <w:pPr>
              <w:pStyle w:val="18"/>
              <w:snapToGrid w:val="0"/>
              <w:spacing w:line="360" w:lineRule="auto"/>
              <w:rPr>
                <w:rFonts w:hAnsi="宋体" w:cs="宋体"/>
                <w:color w:val="auto"/>
                <w:sz w:val="21"/>
                <w:highlight w:val="none"/>
              </w:rPr>
            </w:pPr>
            <w:r>
              <w:rPr>
                <w:rFonts w:hint="eastAsia" w:hAnsi="宋体" w:cs="宋体"/>
                <w:color w:val="auto"/>
                <w:sz w:val="21"/>
                <w:highlight w:val="none"/>
              </w:rPr>
              <w:t>4、自然人竞标的，磋商文件规定盖公章处由自然人摁手指指印。</w:t>
            </w:r>
          </w:p>
          <w:p>
            <w:pPr>
              <w:pStyle w:val="18"/>
              <w:snapToGrid w:val="0"/>
              <w:spacing w:line="360" w:lineRule="auto"/>
              <w:rPr>
                <w:rFonts w:hAnsi="宋体" w:cs="宋体"/>
                <w:color w:val="auto"/>
                <w:sz w:val="21"/>
                <w:highlight w:val="none"/>
              </w:rPr>
            </w:pPr>
            <w:r>
              <w:rPr>
                <w:rFonts w:hint="eastAsia" w:hAnsi="宋体" w:cs="宋体"/>
                <w:color w:val="auto"/>
                <w:sz w:val="21"/>
                <w:highlight w:val="none"/>
              </w:rPr>
              <w:t>5、本磋商文件所称的“以上”“以下”“以内”“届满”，包括本数；所称的“不满”“超过”“以外”，不包括本数。</w:t>
            </w:r>
          </w:p>
        </w:tc>
      </w:tr>
    </w:tbl>
    <w:p>
      <w:pPr>
        <w:spacing w:line="400" w:lineRule="exact"/>
        <w:jc w:val="center"/>
        <w:rPr>
          <w:rFonts w:ascii="宋体" w:hAnsi="宋体" w:cs="宋体"/>
          <w:b/>
          <w:color w:val="auto"/>
          <w:sz w:val="32"/>
          <w:szCs w:val="32"/>
          <w:highlight w:val="none"/>
        </w:rPr>
      </w:pPr>
      <w:r>
        <w:rPr>
          <w:rFonts w:hint="eastAsia" w:ascii="宋体" w:hAnsi="宋体" w:cs="宋体"/>
          <w:b/>
          <w:color w:val="auto"/>
          <w:sz w:val="32"/>
          <w:szCs w:val="32"/>
          <w:highlight w:val="none"/>
        </w:rPr>
        <w:br w:type="page"/>
      </w:r>
      <w:r>
        <w:rPr>
          <w:rFonts w:hint="eastAsia" w:ascii="宋体" w:hAnsi="宋体" w:cs="宋体"/>
          <w:b/>
          <w:color w:val="auto"/>
          <w:sz w:val="32"/>
          <w:szCs w:val="32"/>
          <w:highlight w:val="none"/>
        </w:rPr>
        <w:t>供应商须知正文</w:t>
      </w:r>
    </w:p>
    <w:p>
      <w:pPr>
        <w:spacing w:line="400" w:lineRule="exact"/>
        <w:jc w:val="center"/>
        <w:rPr>
          <w:rFonts w:ascii="宋体" w:hAnsi="宋体" w:cs="宋体"/>
          <w:b/>
          <w:color w:val="auto"/>
          <w:sz w:val="32"/>
          <w:szCs w:val="32"/>
          <w:highlight w:val="none"/>
        </w:rPr>
      </w:pPr>
    </w:p>
    <w:p>
      <w:pPr>
        <w:spacing w:line="360" w:lineRule="auto"/>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一、总则</w:t>
      </w:r>
    </w:p>
    <w:p>
      <w:pPr>
        <w:spacing w:line="400" w:lineRule="exact"/>
        <w:rPr>
          <w:rFonts w:ascii="宋体" w:hAnsi="宋体" w:cs="宋体"/>
          <w:color w:val="auto"/>
          <w:szCs w:val="21"/>
          <w:highlight w:val="none"/>
        </w:rPr>
      </w:pP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1.适用范围</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本项目采购人、采购代理机构、供应商、磋商小组的相关行为均受《中华人民共和国政府采购法》《中华人民共和国政府采购法实施条例》《政府采购竞争性磋商采购方式管理暂行办法》《财政部关于政府采购竞争性磋商采购方式管理暂行办法有关问题的补充通知》及本项目本级和上级财政部门政府采购有关规定的约束和保护。</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w:t>
      </w:r>
      <w:r>
        <w:rPr>
          <w:rFonts w:hint="eastAsia" w:ascii="宋体" w:hAnsi="宋体" w:cs="宋体"/>
          <w:color w:val="auto"/>
          <w:spacing w:val="-6"/>
          <w:szCs w:val="21"/>
          <w:highlight w:val="none"/>
        </w:rPr>
        <w:t>本竞争性磋商文件（以下简称磋商文件）适用于本项目的所有采购程序和环节（法律、法规另有规定的，从其规定）。</w:t>
      </w: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2.定义</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2.1“采购人”是指依法进行政府采购的国家机关、事业单位、团体组织。</w:t>
      </w:r>
    </w:p>
    <w:p>
      <w:pPr>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2.2“采购代理机构”是指政府采购集中采购机构和集中采购机构以外的采购代理机构。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2.3“供应商”是指向采购人提供货物、工程或者服务的法人、其他组织或者自然人。</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2.4“服务”是指除货物和工程以外的其他政府采购对象。</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2.5“竞标”是指供应商按照本项目竞争性磋商公告或者邀请函规定的方式获取磋商文件、提交响应文件并希望获得标的的行为。</w:t>
      </w:r>
    </w:p>
    <w:p>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2.6“书面形式”是指合同书、信件和数据电文（包括电报、电传、传真、电子数据交换和电子邮件）等可以有形地表现所载内容的形式。</w:t>
      </w:r>
    </w:p>
    <w:p>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2.7“响应文件”</w:t>
      </w:r>
      <w:r>
        <w:rPr>
          <w:rFonts w:hint="eastAsia" w:ascii="宋体" w:hAnsi="宋体" w:cs="宋体"/>
          <w:color w:val="auto"/>
          <w:spacing w:val="-6"/>
          <w:szCs w:val="21"/>
          <w:highlight w:val="none"/>
        </w:rPr>
        <w:t>是指：供应商根据本磋商文件要求，编制包含资格证明、报价商务技术等所有内容的文件。</w:t>
      </w:r>
    </w:p>
    <w:p>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2.8“实质性要求”是指磋商文件中已经指明不满足则响应文件按无效响应处理的条款，或者不能负偏离的条款，或者采购需求中带“▲”的条款。</w:t>
      </w:r>
    </w:p>
    <w:p>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2.9“正偏离”，是指响应文件对磋商文件“采购需求”中有关条款作出的响应优于条款要求并有利于采购人的情形。</w:t>
      </w:r>
    </w:p>
    <w:p>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2.10“负偏离”，是指响应文件对磋商文件“采购需求”中有关条款作出的响应不满足条款要求，导致采购人要求不能得到满足的情形。</w:t>
      </w:r>
    </w:p>
    <w:p>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2.11“允许负偏离的条款”是指采购需求中的不属于“实质性要求”的条款。</w:t>
      </w:r>
    </w:p>
    <w:p>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2.12“首次报价”是指供应商提交的首次响应文件中的报价。</w:t>
      </w: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3.供应商的资格条件</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供应商的资格条件详见“供应商须知前附表”。</w:t>
      </w: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4.竞标费用</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供应商应承担参与本次采购活动有关的所有费用，包括但不限于获取磋商文件、勘查现场、编制和提交响应文件、参加磋商与应答、签订合同等，不论竞标结果如何，均应自行承担。</w:t>
      </w: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5.联合体竞标</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5.1本项目是否接受联合体竞标，详见“供应商须知前附表”。</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5.2</w:t>
      </w:r>
      <w:r>
        <w:rPr>
          <w:rFonts w:hint="eastAsia" w:ascii="宋体" w:hAnsi="宋体" w:cs="宋体"/>
          <w:color w:val="auto"/>
          <w:highlight w:val="none"/>
        </w:rPr>
        <w:t>如接受联合体竞标，</w:t>
      </w:r>
      <w:r>
        <w:rPr>
          <w:rFonts w:hint="eastAsia" w:ascii="宋体" w:hAnsi="宋体" w:cs="宋体"/>
          <w:color w:val="auto"/>
          <w:szCs w:val="21"/>
          <w:highlight w:val="none"/>
        </w:rPr>
        <w:t>联合体竞标要求详见“供应商须知前附表”。</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5.3</w:t>
      </w:r>
      <w:bookmarkStart w:id="26" w:name="_Hlk66782192"/>
      <w:r>
        <w:rPr>
          <w:rFonts w:hint="eastAsia" w:ascii="宋体" w:hAnsi="宋体" w:cs="宋体"/>
          <w:color w:val="auto"/>
          <w:szCs w:val="21"/>
          <w:highlight w:val="none"/>
        </w:rPr>
        <w:t>根据</w:t>
      </w:r>
      <w:r>
        <w:rPr>
          <w:rFonts w:hint="eastAsia" w:ascii="宋体" w:hAnsi="宋体" w:eastAsia="宋体" w:cs="宋体"/>
          <w:color w:val="auto"/>
          <w:kern w:val="2"/>
          <w:sz w:val="21"/>
          <w:szCs w:val="21"/>
          <w:highlight w:val="none"/>
          <w:lang w:val="en-US" w:eastAsia="zh-CN" w:bidi="ar-SA"/>
        </w:rPr>
        <w:t>《政府采购促进中小企业发展管理办法》（财库〔2020〕46号）第九条第二款以及《广西壮族自治区财政厅关于持续优化政府采购营商环境推动高质量发展的通知》（桂财采〔2024〕55号）</w:t>
      </w:r>
      <w:r>
        <w:rPr>
          <w:rFonts w:hint="eastAsia" w:ascii="宋体" w:hAnsi="宋体" w:cs="宋体"/>
          <w:bCs/>
          <w:color w:val="auto"/>
          <w:szCs w:val="21"/>
          <w:highlight w:val="none"/>
        </w:rPr>
        <w:t>的</w:t>
      </w:r>
      <w:r>
        <w:rPr>
          <w:rFonts w:hint="eastAsia" w:ascii="宋体" w:hAnsi="宋体" w:cs="宋体"/>
          <w:color w:val="auto"/>
          <w:szCs w:val="21"/>
          <w:highlight w:val="none"/>
        </w:rPr>
        <w:t>规定，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的扣除，用扣除后的价格参加评审。</w:t>
      </w:r>
      <w:bookmarkEnd w:id="26"/>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 xml:space="preserve">6.转包与分包             </w:t>
      </w:r>
    </w:p>
    <w:p>
      <w:pPr>
        <w:pStyle w:val="8"/>
        <w:keepNext w:val="0"/>
        <w:keepLines w:val="0"/>
        <w:spacing w:before="0" w:after="0" w:line="360" w:lineRule="auto"/>
        <w:ind w:left="420" w:leftChars="200"/>
        <w:rPr>
          <w:rFonts w:ascii="宋体" w:hAnsi="宋体" w:cs="宋体"/>
          <w:b w:val="0"/>
          <w:color w:val="auto"/>
          <w:sz w:val="21"/>
          <w:szCs w:val="21"/>
          <w:highlight w:val="none"/>
        </w:rPr>
      </w:pPr>
      <w:bookmarkStart w:id="27" w:name="_Toc254970532"/>
      <w:bookmarkStart w:id="28" w:name="_Toc254970673"/>
      <w:r>
        <w:rPr>
          <w:rFonts w:hint="eastAsia" w:ascii="宋体" w:hAnsi="宋体" w:cs="宋体"/>
          <w:b w:val="0"/>
          <w:color w:val="auto"/>
          <w:sz w:val="21"/>
          <w:szCs w:val="21"/>
          <w:highlight w:val="none"/>
        </w:rPr>
        <w:t>6.1本项目不允许转包。</w:t>
      </w:r>
    </w:p>
    <w:p>
      <w:pPr>
        <w:pStyle w:val="8"/>
        <w:keepNext w:val="0"/>
        <w:keepLines w:val="0"/>
        <w:spacing w:before="0" w:after="0" w:line="360" w:lineRule="auto"/>
        <w:ind w:firstLine="315" w:firstLineChars="150"/>
        <w:rPr>
          <w:rFonts w:ascii="宋体" w:hAnsi="宋体" w:cs="宋体"/>
          <w:b w:val="0"/>
          <w:color w:val="auto"/>
          <w:sz w:val="21"/>
          <w:szCs w:val="21"/>
          <w:highlight w:val="none"/>
        </w:rPr>
      </w:pPr>
      <w:r>
        <w:rPr>
          <w:rFonts w:hint="eastAsia" w:ascii="宋体" w:hAnsi="宋体" w:cs="宋体"/>
          <w:b w:val="0"/>
          <w:color w:val="auto"/>
          <w:sz w:val="21"/>
          <w:szCs w:val="21"/>
          <w:highlight w:val="none"/>
        </w:rPr>
        <w:t xml:space="preserve"> 6.2本项目是否允许分包详见“供应商须知前附表”，本项目不允许违法分包。允许分包的非主体、非关键性工作，根据法律法规规定承担该工作需要行政许可的，如该工作由供应商自行承担，供应商应具备相应的行政许可，如供应商不具备相应的行政许可必须采用分包的方式，但分包供应商应具备相应行政许可。</w:t>
      </w:r>
    </w:p>
    <w:p>
      <w:pPr>
        <w:pStyle w:val="8"/>
        <w:keepNext w:val="0"/>
        <w:keepLines w:val="0"/>
        <w:spacing w:before="0" w:after="0" w:line="360" w:lineRule="auto"/>
        <w:ind w:firstLine="315" w:firstLineChars="150"/>
        <w:rPr>
          <w:rFonts w:ascii="宋体" w:hAnsi="宋体" w:cs="宋体"/>
          <w:b w:val="0"/>
          <w:color w:val="auto"/>
          <w:sz w:val="21"/>
          <w:szCs w:val="21"/>
          <w:highlight w:val="none"/>
        </w:rPr>
      </w:pPr>
      <w:r>
        <w:rPr>
          <w:rFonts w:hint="eastAsia" w:ascii="宋体" w:hAnsi="宋体" w:cs="宋体"/>
          <w:b w:val="0"/>
          <w:color w:val="auto"/>
          <w:sz w:val="21"/>
          <w:szCs w:val="21"/>
          <w:highlight w:val="none"/>
        </w:rPr>
        <w:t xml:space="preserve"> 6.3供应商根据磋商文件的规定和采购项目的实际情况，拟在成交后将成交项目的非主体、非关键性工作分包的，应当在响应文件中载明分包承担主体，分包承担主体应当具备相应资质条件且不得再次分包。</w:t>
      </w: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7.特别说明</w:t>
      </w:r>
      <w:bookmarkEnd w:id="27"/>
      <w:bookmarkEnd w:id="28"/>
    </w:p>
    <w:p>
      <w:pPr>
        <w:spacing w:line="360" w:lineRule="auto"/>
        <w:ind w:firstLine="420" w:firstLineChars="200"/>
        <w:rPr>
          <w:rFonts w:ascii="宋体" w:hAnsi="宋体" w:cs="宋体"/>
          <w:color w:val="auto"/>
          <w:szCs w:val="21"/>
          <w:highlight w:val="none"/>
        </w:rPr>
      </w:pPr>
      <w:bookmarkStart w:id="29" w:name="_8.1提供相同品牌产品且通过资格审查、符合性审查的不同投标人参加同一合"/>
      <w:bookmarkEnd w:id="29"/>
      <w:r>
        <w:rPr>
          <w:rFonts w:hint="eastAsia" w:ascii="宋体" w:hAnsi="宋体" w:cs="宋体"/>
          <w:color w:val="auto"/>
          <w:szCs w:val="21"/>
          <w:highlight w:val="none"/>
        </w:rPr>
        <w:t>7.1</w:t>
      </w:r>
      <w:bookmarkStart w:id="30" w:name="_Hlk65832145"/>
      <w:r>
        <w:rPr>
          <w:rFonts w:hint="eastAsia" w:ascii="宋体" w:hAnsi="宋体" w:cs="宋体"/>
          <w:color w:val="auto"/>
          <w:szCs w:val="21"/>
          <w:highlight w:val="none"/>
        </w:rPr>
        <w:t>如果本磋商文件要求提供供应商或制造商的资格、信誉、荣誉、业绩与企业认证等材料的，资格、信誉、荣誉、业绩与企业认证等必须为供应商或者制造商所拥有或自身获得 。</w:t>
      </w:r>
    </w:p>
    <w:bookmarkEnd w:id="30"/>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7.2供应商应仔细阅读磋商文件的所有内容，按照磋商文件的要求提交响应文件，并对所提供的全部资料的真实性承担法律责任。</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7.3供应商在竞标活动中提供任何疑似虚假材料，将报监管部门查处；签订合同后发现的，成交供应商须依法赔偿采购人，且民事赔偿并不免除违法供应商的行政与刑事责任。</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7.4在政府采购活动中，采购人员及相关人员与供应商有下列利害关系之一的，应当回避：</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（1）参加采购活动前3年内与供应商存在劳动关系；</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（2）参加采购活动前3年内担任供应商的董事、监事；</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（3）参加采购活动前3年内是供应商的控股股东或者实际控制人；</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（4）与供应商的法定代表人或者负责人有夫妻、直系血亲、三代以内旁系血亲或者近姻亲关系；</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（5）与供应商有其他可能影响政府采购活动公平、公正进行的关系。</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7.5有下列情形之一的视为供应商相互串通竞标，响应文件将被视为无效：</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（1）不同供应商的响应文件由同一单位或者个人编制； </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（2）不同供应商委托同一单位或者个人办理竞标事宜；</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（3）不同的供应商的响应文件载明的项目管理员为同一个人；</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（4）不同供应商的响应文件异常一致或者报价呈规律性差异；</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（5）不同供应商的响应文件相互混装；</w:t>
      </w:r>
    </w:p>
    <w:p>
      <w:pPr>
        <w:tabs>
          <w:tab w:val="left" w:pos="6931"/>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（6）不同供应商的磋商保证金从同一单位或者个人账户转出。</w:t>
      </w:r>
      <w:r>
        <w:rPr>
          <w:rFonts w:hint="eastAsia" w:ascii="宋体" w:hAnsi="宋体" w:cs="宋体"/>
          <w:color w:val="auto"/>
          <w:szCs w:val="21"/>
          <w:highlight w:val="none"/>
        </w:rPr>
        <w:tab/>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7.6供应商有下列情形之一的，属于恶意串通行为，将报同级监督管理部门：</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（1）供应商直接或者间接从采购人或者采购代理机构处获得其他供应商的相关信息并修改其响应文件；</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（2）供应商按照采购人或者采购代理机构的授意撤换、修改响应文件；</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（3）供应商之间协商报价、技术方案等响应文件或者响应文件的实质性内容；</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（4）属于同一集团、协会、商会等组织成员的供应商按照该组织要求协同参加政府采购活动；</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（5）供应商之间事先约定一致抬高或者压低报价，或者在政府采购活动中事先约定轮流以高价位或者低价位成交，或者事先约定由某一特定供应商成交，然后再参加竞标；</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（6）供应商之间商定部分供应商放弃参加政府采购活动或者放弃成交；</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（7）供应商与采购人或者采购代理机构之间、供应商相互之间，为谋求特定供应商成交或者排斥其他供应商的其他串通行为。</w:t>
      </w:r>
    </w:p>
    <w:p>
      <w:pPr>
        <w:spacing w:line="360" w:lineRule="auto"/>
        <w:ind w:firstLine="420" w:firstLineChars="200"/>
        <w:rPr>
          <w:rFonts w:ascii="宋体" w:hAnsi="宋体" w:cs="宋体"/>
          <w:color w:val="auto"/>
          <w:szCs w:val="21"/>
          <w:highlight w:val="none"/>
        </w:rPr>
      </w:pPr>
    </w:p>
    <w:p>
      <w:pPr>
        <w:spacing w:line="360" w:lineRule="auto"/>
        <w:ind w:left="1" w:firstLine="417" w:firstLineChars="199"/>
        <w:jc w:val="center"/>
        <w:rPr>
          <w:rFonts w:ascii="宋体" w:hAnsi="宋体" w:cs="宋体"/>
          <w:color w:val="auto"/>
          <w:highlight w:val="none"/>
        </w:rPr>
      </w:pPr>
      <w:bookmarkStart w:id="31" w:name="_Toc254970534"/>
      <w:bookmarkStart w:id="32" w:name="_Toc254970675"/>
    </w:p>
    <w:p>
      <w:pPr>
        <w:spacing w:line="360" w:lineRule="auto"/>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二、磋商文件</w:t>
      </w:r>
      <w:bookmarkEnd w:id="31"/>
      <w:bookmarkEnd w:id="32"/>
    </w:p>
    <w:p>
      <w:pPr>
        <w:spacing w:line="360" w:lineRule="auto"/>
        <w:ind w:firstLine="482" w:firstLineChars="200"/>
        <w:rPr>
          <w:rFonts w:ascii="宋体" w:hAnsi="宋体" w:cs="宋体"/>
          <w:b/>
          <w:bCs/>
          <w:color w:val="auto"/>
          <w:sz w:val="24"/>
          <w:highlight w:val="none"/>
        </w:rPr>
      </w:pP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8.磋商文件的构成</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（1）竞争性磋商公告；</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（2）供应商须知； </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（3）采购需求；</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（4）评审程序、评审方法和评审标准；</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（5）响应文件格式；</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（6）合同文本。</w:t>
      </w: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9.供应商的询问</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应认真阅读磋商文件的采购需求，如供应商对磋商文件有疑问的，如要求采购人作出澄清或者修改的，供应商尽可能在提交首次响应文件截止之日前，以纸质书面形式向采购人、采购代理机构提出，否则，由此产生的后果由供应商自行负责。</w:t>
      </w: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10.磋商文件的澄清和修改</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10.1提交首次响应文件截止之日前，采购人、采购代理机构或者磋商小组可以对已发出的磋商文件进行必要的澄清或者修改，澄清或者修改的内容作为磋商文件的组成部分。澄清或者修改将在原公告发布媒体上发布更正公告。澄清或者修改的内容可能影响响应文件编制的，采购人、采购代理机构应当在提交首次响应文件截止时间至少5日前，在原公告发布媒体上发布更正公告；不足5日的，采购人、采购代理机构应当顺延提交首次响应文件截止时间。</w:t>
      </w:r>
    </w:p>
    <w:p>
      <w:pPr>
        <w:spacing w:line="400" w:lineRule="exact"/>
        <w:ind w:firstLine="420" w:firstLineChars="200"/>
        <w:rPr>
          <w:rFonts w:ascii="宋体" w:hAnsi="宋体" w:cs="宋体"/>
          <w:color w:val="auto"/>
          <w:szCs w:val="21"/>
          <w:highlight w:val="none"/>
        </w:rPr>
      </w:pPr>
      <w:r>
        <w:rPr>
          <w:rFonts w:hint="eastAsia" w:ascii="宋体" w:hAnsi="宋体" w:cs="宋体"/>
          <w:color w:val="auto"/>
          <w:highlight w:val="none"/>
        </w:rPr>
        <w:t>10.2采购人和采购代理机构可以视采购具体情况，变更</w:t>
      </w:r>
      <w:r>
        <w:rPr>
          <w:rFonts w:hint="eastAsia" w:ascii="宋体" w:hAnsi="宋体" w:cs="宋体"/>
          <w:color w:val="auto"/>
          <w:szCs w:val="21"/>
          <w:highlight w:val="none"/>
        </w:rPr>
        <w:t>首次响应文件提交截止时间和开启时间</w:t>
      </w:r>
      <w:r>
        <w:rPr>
          <w:rFonts w:hint="eastAsia" w:ascii="宋体" w:hAnsi="宋体" w:cs="宋体"/>
          <w:color w:val="auto"/>
          <w:highlight w:val="none"/>
        </w:rPr>
        <w:t>，并</w:t>
      </w:r>
      <w:r>
        <w:rPr>
          <w:rFonts w:hint="eastAsia" w:ascii="宋体" w:hAnsi="宋体" w:cs="宋体"/>
          <w:color w:val="auto"/>
          <w:szCs w:val="21"/>
          <w:highlight w:val="none"/>
        </w:rPr>
        <w:t>在原公告发布媒体上发布更正公告。</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10.3</w:t>
      </w:r>
      <w:r>
        <w:rPr>
          <w:rFonts w:hint="eastAsia" w:ascii="宋体" w:hAnsi="宋体" w:cs="宋体"/>
          <w:color w:val="auto"/>
          <w:szCs w:val="21"/>
          <w:highlight w:val="none"/>
        </w:rPr>
        <w:t>磋商文件澄清、答复、修改、补充的内容为磋商文件的组成部分。</w:t>
      </w:r>
      <w:r>
        <w:rPr>
          <w:rFonts w:hint="eastAsia" w:ascii="宋体" w:hAnsi="宋体" w:cs="宋体"/>
          <w:b/>
          <w:color w:val="auto"/>
          <w:szCs w:val="21"/>
          <w:highlight w:val="none"/>
        </w:rPr>
        <w:t>当磋商文件与磋商文件的澄清、答复、修改、补充通知就同一内容的表述不一致时，以最后发出的文件为准。</w:t>
      </w:r>
    </w:p>
    <w:p>
      <w:pPr>
        <w:spacing w:line="400" w:lineRule="exact"/>
        <w:ind w:firstLine="422" w:firstLineChars="200"/>
        <w:rPr>
          <w:rFonts w:ascii="宋体" w:hAnsi="宋体" w:cs="宋体"/>
          <w:b/>
          <w:color w:val="auto"/>
          <w:szCs w:val="21"/>
          <w:highlight w:val="none"/>
        </w:rPr>
      </w:pPr>
      <w:r>
        <w:rPr>
          <w:rFonts w:hint="eastAsia" w:ascii="宋体" w:hAnsi="宋体" w:cs="宋体"/>
          <w:b/>
          <w:color w:val="auto"/>
          <w:highlight w:val="none"/>
        </w:rPr>
        <w:t>10.4</w:t>
      </w:r>
      <w:r>
        <w:rPr>
          <w:rFonts w:hint="eastAsia" w:ascii="宋体" w:hAnsi="宋体" w:cs="宋体"/>
          <w:b/>
          <w:color w:val="auto"/>
          <w:szCs w:val="21"/>
          <w:highlight w:val="none"/>
        </w:rPr>
        <w:t>响应文件未按磋商文件的澄清、修改后的内容编制的，其响应文件作无效响应处理。</w:t>
      </w:r>
    </w:p>
    <w:p>
      <w:pPr>
        <w:spacing w:line="400" w:lineRule="exact"/>
        <w:ind w:firstLine="422" w:firstLineChars="200"/>
        <w:rPr>
          <w:rFonts w:ascii="宋体" w:hAnsi="宋体" w:cs="宋体"/>
          <w:b/>
          <w:color w:val="auto"/>
          <w:szCs w:val="21"/>
          <w:highlight w:val="none"/>
        </w:rPr>
      </w:pPr>
    </w:p>
    <w:p>
      <w:pPr>
        <w:spacing w:line="360" w:lineRule="auto"/>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三、响应文件的编制</w:t>
      </w:r>
    </w:p>
    <w:p>
      <w:pPr>
        <w:spacing w:line="360" w:lineRule="auto"/>
        <w:ind w:firstLine="482" w:firstLineChars="200"/>
        <w:rPr>
          <w:rFonts w:ascii="宋体" w:hAnsi="宋体" w:cs="宋体"/>
          <w:b/>
          <w:bCs/>
          <w:color w:val="auto"/>
          <w:sz w:val="24"/>
          <w:highlight w:val="none"/>
        </w:rPr>
      </w:pP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11.响应文件的编制原则</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供应商必须按照磋商文件的要求编制响应文件，并对其提交的响应文件的真实性、合法性承担法律责任。响应文件必须对磋商文件作出实质性响应。</w:t>
      </w: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12.响应文件的组成</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12.1响应文件由资格证明文件、报价商务技术文件两部分组成。</w:t>
      </w:r>
    </w:p>
    <w:p>
      <w:pPr>
        <w:spacing w:line="360" w:lineRule="auto"/>
        <w:ind w:left="840" w:leftChars="200" w:hanging="420" w:hangingChars="200"/>
        <w:rPr>
          <w:rFonts w:ascii="宋体" w:hAnsi="宋体" w:cs="宋体"/>
          <w:color w:val="auto"/>
          <w:szCs w:val="21"/>
          <w:highlight w:val="none"/>
        </w:rPr>
      </w:pPr>
      <w:r>
        <w:rPr>
          <w:rFonts w:hint="eastAsia" w:ascii="宋体" w:hAnsi="宋体" w:cs="宋体"/>
          <w:color w:val="auto"/>
          <w:szCs w:val="21"/>
          <w:highlight w:val="none"/>
        </w:rPr>
        <w:t>12.1.1资格证明文件：详见须知前附表</w:t>
      </w:r>
    </w:p>
    <w:p>
      <w:pPr>
        <w:spacing w:line="360" w:lineRule="auto"/>
        <w:ind w:left="840" w:leftChars="200" w:hanging="420" w:hangingChars="200"/>
        <w:rPr>
          <w:rFonts w:ascii="宋体" w:hAnsi="宋体" w:cs="宋体"/>
          <w:color w:val="auto"/>
          <w:szCs w:val="21"/>
          <w:highlight w:val="none"/>
        </w:rPr>
      </w:pPr>
      <w:r>
        <w:rPr>
          <w:rFonts w:hint="eastAsia" w:ascii="宋体" w:hAnsi="宋体" w:cs="宋体"/>
          <w:color w:val="auto"/>
          <w:szCs w:val="21"/>
          <w:highlight w:val="none"/>
        </w:rPr>
        <w:t>12.1.2报价商务技术文件：详见须知前附表</w:t>
      </w: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13.计量单位</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磋商文件已有明确规定的，使用磋商文件规定的计量单位；磋商文件没有规定的，应采用中华人民共和国法定计量单位，货币种类为人民币，否则视同未响应。</w:t>
      </w: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14.竞标的风险</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供应商没有按照磋商文件要求提供全部资料，或者供应商没有对磋商文件在各方面作出实质性响应可能导致其响应无效，是供应商应当考虑的风险。</w:t>
      </w: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15.竞标报价</w:t>
      </w:r>
    </w:p>
    <w:p>
      <w:pPr>
        <w:tabs>
          <w:tab w:val="left" w:pos="2492"/>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15.1竞标报价应按磋商文件中“竞标报价表”格式填写。</w:t>
      </w:r>
    </w:p>
    <w:p>
      <w:pPr>
        <w:tabs>
          <w:tab w:val="left" w:pos="2492"/>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15.2竞标报价的内容见“供应商须知前附表”。</w:t>
      </w:r>
    </w:p>
    <w:p>
      <w:pPr>
        <w:spacing w:line="360" w:lineRule="auto"/>
        <w:ind w:left="426" w:leftChars="203"/>
        <w:rPr>
          <w:rFonts w:ascii="宋体" w:hAnsi="宋体" w:cs="宋体"/>
          <w:color w:val="auto"/>
          <w:szCs w:val="21"/>
          <w:highlight w:val="none"/>
        </w:rPr>
      </w:pPr>
      <w:r>
        <w:rPr>
          <w:rFonts w:hint="eastAsia" w:ascii="宋体" w:hAnsi="宋体" w:cs="宋体"/>
          <w:color w:val="auto"/>
          <w:szCs w:val="21"/>
          <w:highlight w:val="none"/>
        </w:rPr>
        <w:t>15.3竞标报价要求</w:t>
      </w:r>
    </w:p>
    <w:p>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15.3.1供应商的竞标报价应符合以下要求，否则响应文件按无效响应处理：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（1）供应商必须就“采购需求”中所竞标的每个分标的全部内容分别作完整唯一总价报价，不得存在漏项报价；</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（2）供应商必须就所竞标的分标的单项内容作唯一报价。</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15.3.2最后报价超过所竞标分标规定的采购预算金额或者最高限价的，其响应文件将按无效响应处理。</w:t>
      </w:r>
      <w:bookmarkStart w:id="33" w:name="_Hlk42592874"/>
    </w:p>
    <w:bookmarkEnd w:id="33"/>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16.竞标有效期</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16.1竞标有效期是指为保证采购人有足够的时间在提交响应文件后完成评审、确定成交供应商、合同签订等工作而要求供应商提交的响应文件在一定时间内保持有效的期限。</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16.2 竞标有效期应由供应商按“供应商须知前附表”规定的期限作出响应。</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16.3供应商的响应文件在竞标有效期内均保持有效。</w:t>
      </w: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17.磋商保证金</w:t>
      </w:r>
    </w:p>
    <w:p>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17.1供应商须按“供应商须知前附表”的规定提交磋商保证金。</w:t>
      </w:r>
    </w:p>
    <w:p>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17.2磋商保证金的退还</w:t>
      </w:r>
    </w:p>
    <w:p>
      <w:pPr>
        <w:spacing w:line="360" w:lineRule="auto"/>
        <w:ind w:firstLine="420" w:firstLineChars="200"/>
        <w:rPr>
          <w:rFonts w:ascii="宋体" w:hAnsi="宋体" w:cs="宋体"/>
          <w:color w:val="auto"/>
          <w:szCs w:val="21"/>
          <w:highlight w:val="none"/>
        </w:rPr>
      </w:pPr>
      <w:bookmarkStart w:id="34" w:name="_Hlk66782243"/>
      <w:r>
        <w:rPr>
          <w:rFonts w:hint="eastAsia" w:ascii="宋体" w:hAnsi="宋体" w:cs="宋体"/>
          <w:color w:val="auto"/>
          <w:szCs w:val="21"/>
          <w:highlight w:val="none"/>
        </w:rPr>
        <w:t>未</w:t>
      </w:r>
      <w:r>
        <w:rPr>
          <w:rFonts w:hint="eastAsia" w:ascii="宋体" w:hAnsi="宋体" w:cs="宋体"/>
          <w:color w:val="auto"/>
          <w:spacing w:val="-6"/>
          <w:szCs w:val="21"/>
          <w:highlight w:val="none"/>
        </w:rPr>
        <w:t>成交供应商的磋商保证金自成交通知书发出之日起</w:t>
      </w:r>
      <w:r>
        <w:rPr>
          <w:rFonts w:hint="eastAsia" w:ascii="宋体" w:hAnsi="宋体" w:cs="宋体"/>
          <w:color w:val="auto"/>
          <w:spacing w:val="-6"/>
          <w:szCs w:val="21"/>
          <w:highlight w:val="none"/>
          <w:lang w:val="en-US" w:eastAsia="zh-CN"/>
        </w:rPr>
        <w:t>5</w:t>
      </w:r>
      <w:r>
        <w:rPr>
          <w:rFonts w:hint="eastAsia" w:ascii="宋体" w:hAnsi="宋体" w:cs="宋体"/>
          <w:color w:val="auto"/>
          <w:spacing w:val="-6"/>
          <w:szCs w:val="21"/>
          <w:highlight w:val="none"/>
        </w:rPr>
        <w:t>个工作日内退还；</w:t>
      </w:r>
      <w:r>
        <w:rPr>
          <w:rFonts w:hint="eastAsia" w:ascii="宋体" w:hAnsi="宋体" w:cs="宋体"/>
          <w:color w:val="auto"/>
          <w:szCs w:val="21"/>
          <w:highlight w:val="none"/>
        </w:rPr>
        <w:t>成交供应商的磋商保证金自签订合同之日起</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个工作日内退还。</w:t>
      </w:r>
      <w:bookmarkEnd w:id="34"/>
      <w:r>
        <w:rPr>
          <w:rFonts w:hint="eastAsia" w:ascii="宋体" w:hAnsi="宋体" w:cs="宋体"/>
          <w:color w:val="auto"/>
          <w:szCs w:val="21"/>
          <w:highlight w:val="none"/>
        </w:rPr>
        <w:t xml:space="preserve"> </w:t>
      </w:r>
    </w:p>
    <w:p>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17.3磋商保证金不计息。</w:t>
      </w:r>
    </w:p>
    <w:p>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 xml:space="preserve">17.4供应商有下列情形之一的，磋商保证金将不予退还： </w:t>
      </w:r>
    </w:p>
    <w:p>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（1）供应商在提交首次响应文件截止时间后撤回响应文件的；</w:t>
      </w:r>
    </w:p>
    <w:p>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（2）未按规定提交履约保证金的；</w:t>
      </w:r>
    </w:p>
    <w:p>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（3）供应商在响应文件中提供虚假材料的；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（4）除因不可抗力或者磋商文件认可的情形以外，成交供应商不与采购人签订合同的；</w:t>
      </w:r>
    </w:p>
    <w:p>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（5）供应商与采购人、其他供应商或者采购代理机构恶意串通的；</w:t>
      </w:r>
    </w:p>
    <w:p>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（6）法律法规规定的其他情形。</w:t>
      </w: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18.响应文件编制的要求</w:t>
      </w:r>
    </w:p>
    <w:p>
      <w:pPr>
        <w:spacing w:line="360" w:lineRule="auto"/>
        <w:ind w:firstLine="420" w:firstLineChars="200"/>
        <w:rPr>
          <w:rFonts w:ascii="宋体" w:hAnsi="宋体" w:cs="宋体"/>
          <w:color w:val="auto"/>
          <w:spacing w:val="-6"/>
          <w:szCs w:val="21"/>
          <w:highlight w:val="none"/>
        </w:rPr>
      </w:pPr>
      <w:r>
        <w:rPr>
          <w:rFonts w:hint="eastAsia" w:ascii="宋体" w:hAnsi="宋体" w:cs="宋体"/>
          <w:color w:val="auto"/>
          <w:szCs w:val="21"/>
          <w:highlight w:val="none"/>
        </w:rPr>
        <w:t>18.1供应商应按本磋商文件规定的格式和顺序编制响应文件并标注页码，响应文件内容</w:t>
      </w:r>
      <w:r>
        <w:rPr>
          <w:rFonts w:hint="eastAsia" w:ascii="宋体" w:hAnsi="宋体" w:cs="宋体"/>
          <w:color w:val="auto"/>
          <w:spacing w:val="-6"/>
          <w:szCs w:val="21"/>
          <w:highlight w:val="none"/>
        </w:rPr>
        <w:t>不完整、编排混乱导致响应文件被误读、漏读或者查找不到相关内容的，</w:t>
      </w:r>
      <w:r>
        <w:rPr>
          <w:rFonts w:hint="eastAsia" w:ascii="宋体" w:hAnsi="宋体" w:cs="宋体"/>
          <w:color w:val="auto"/>
          <w:highlight w:val="none"/>
        </w:rPr>
        <w:t>由此引发的</w:t>
      </w:r>
      <w:r>
        <w:rPr>
          <w:rFonts w:hint="eastAsia" w:ascii="宋体" w:hAnsi="宋体" w:cs="宋体"/>
          <w:color w:val="auto"/>
          <w:spacing w:val="-6"/>
          <w:szCs w:val="21"/>
          <w:highlight w:val="none"/>
        </w:rPr>
        <w:t>后果由供应商承担。</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18.2响应文件应按资格证明文件、报价商务技术文件分别编制电子文件，并按“广西政府采购云平台”的要求编制、加密、上传。</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w:t>
      </w:r>
      <w:bookmarkStart w:id="35" w:name="_Hlk65832699"/>
      <w:r>
        <w:rPr>
          <w:rFonts w:hint="eastAsia" w:ascii="宋体" w:hAnsi="宋体" w:cs="宋体"/>
          <w:color w:val="auto"/>
          <w:szCs w:val="21"/>
          <w:highlight w:val="none"/>
        </w:rPr>
        <w:t>3响应文件须由供应商在规定位置盖公章并签字</w:t>
      </w:r>
      <w:bookmarkStart w:id="36" w:name="_Hlk65832569"/>
      <w:r>
        <w:rPr>
          <w:rFonts w:hint="eastAsia" w:ascii="宋体" w:hAnsi="宋体" w:cs="宋体"/>
          <w:color w:val="auto"/>
          <w:szCs w:val="21"/>
          <w:highlight w:val="none"/>
        </w:rPr>
        <w:t>（具体以供应商须知前附表或响应文件格式规定为准）</w:t>
      </w:r>
      <w:bookmarkEnd w:id="35"/>
      <w:bookmarkEnd w:id="36"/>
      <w:r>
        <w:rPr>
          <w:rFonts w:hint="eastAsia" w:ascii="宋体" w:hAnsi="宋体" w:cs="宋体"/>
          <w:color w:val="auto"/>
          <w:szCs w:val="21"/>
          <w:highlight w:val="none"/>
        </w:rPr>
        <w:t>，否则其响应文件按无效响应处理。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18.4响应文件中标注的供应商名称应与营业执照（事业单位法人证书、执业许可证、自然人身份证）及公章一致，否则其响应文件按无效响应处理。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18.5响应文件应尽量避免涂改、行间插字或者删除。如果出现上述情况，改动之处应由供应商的法定代表人或者其委托代理人签字或者加盖公章。响应文件因涂改、行间插字或者删除导致字迹潦草或者表达不清所引起的后果由供应商承担。</w:t>
      </w: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19.响应文件的加密、解密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19.1电子响应文件编制完成后，供应商应按“广西政府采购云平台”的要求进行加密，并在规定时间内解密，否则，由此产生的后果由供应商自行负责。</w:t>
      </w: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20.响应文件的提交</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20.1供应商必须在“供应商须知前附表”规定的时间和地点提交响应文件。</w:t>
      </w:r>
    </w:p>
    <w:p>
      <w:pPr>
        <w:widowControl/>
        <w:spacing w:line="360" w:lineRule="auto"/>
        <w:ind w:firstLine="420" w:firstLineChars="200"/>
        <w:rPr>
          <w:rFonts w:ascii="宋体" w:hAnsi="宋体" w:cs="宋体"/>
          <w:b/>
          <w:color w:val="auto"/>
          <w:szCs w:val="21"/>
          <w:highlight w:val="none"/>
        </w:rPr>
      </w:pPr>
      <w:r>
        <w:rPr>
          <w:rFonts w:hint="eastAsia" w:ascii="宋体" w:hAnsi="宋体" w:cs="宋体"/>
          <w:color w:val="auto"/>
          <w:szCs w:val="21"/>
          <w:highlight w:val="none"/>
        </w:rPr>
        <w:t>20.2本项目为全流程电子化采购项目，通过“广西政府采购云平台”（https://www.gcy.zfcg.gxzf.gov.cn/）实行在线电子竞标，供应商应先安装“广西政府采购云平台新版客户端”（新版客户端下载路径：请自行前往“广西政府采购云平台”（访问地址http://zfcg.gxzf.gov.cn/）—办事服务—下载专区），并按照本项目竞争性磋商文件和“广西政府采购云平台”的要求编制、加密后在竞标截止时间前通过网络上传至 “广西政府采购云平台”，供应商在“广西政府采购云平台”提交电子响应文件时，请填写参加远程开标活动经办人联系方式。供应商登录“广西政府采购云平台”，依次进入“服务中心-项目采购-操作流程-电子招投标-政府采购项目电子交易管理操作指南-供应商”查看电子竞标具体操作流程。</w:t>
      </w:r>
    </w:p>
    <w:p>
      <w:pPr>
        <w:pStyle w:val="8"/>
        <w:keepNext w:val="0"/>
        <w:keepLines w:val="0"/>
        <w:spacing w:before="0" w:after="0" w:line="360" w:lineRule="auto"/>
        <w:ind w:firstLine="420" w:firstLineChars="200"/>
        <w:jc w:val="left"/>
        <w:rPr>
          <w:rFonts w:ascii="宋体" w:hAnsi="宋体" w:cs="宋体"/>
          <w:b w:val="0"/>
          <w:color w:val="auto"/>
          <w:sz w:val="21"/>
          <w:szCs w:val="21"/>
          <w:highlight w:val="none"/>
        </w:rPr>
      </w:pPr>
      <w:r>
        <w:rPr>
          <w:rFonts w:hint="eastAsia" w:ascii="宋体" w:hAnsi="宋体" w:cs="宋体"/>
          <w:b w:val="0"/>
          <w:color w:val="auto"/>
          <w:sz w:val="21"/>
          <w:szCs w:val="21"/>
          <w:highlight w:val="none"/>
        </w:rPr>
        <w:t>20.3未在规定时间内上传或者未按“广西政府采购云平台”的要求编制、加密的电子响应文件，“广西政府采购云平台”将拒收。</w:t>
      </w:r>
    </w:p>
    <w:p>
      <w:pPr>
        <w:pStyle w:val="9"/>
        <w:rPr>
          <w:rFonts w:ascii="宋体" w:hAnsi="宋体" w:cs="宋体"/>
          <w:color w:val="auto"/>
          <w:szCs w:val="21"/>
          <w:highlight w:val="none"/>
        </w:rPr>
      </w:pPr>
      <w:r>
        <w:rPr>
          <w:rFonts w:hint="eastAsia" w:ascii="宋体" w:hAnsi="宋体" w:cs="宋体"/>
          <w:color w:val="auto"/>
          <w:szCs w:val="21"/>
          <w:highlight w:val="none"/>
        </w:rPr>
        <w:t>20.4电子响应文件提交方</w:t>
      </w:r>
      <w:r>
        <w:rPr>
          <w:rFonts w:hint="eastAsia" w:ascii="宋体" w:hAnsi="宋体" w:cs="宋体"/>
          <w:bCs/>
          <w:color w:val="auto"/>
          <w:szCs w:val="21"/>
          <w:highlight w:val="none"/>
        </w:rPr>
        <w:t>式见“竞争性磋商公告”</w:t>
      </w:r>
      <w:r>
        <w:rPr>
          <w:rFonts w:hint="eastAsia" w:ascii="宋体" w:hAnsi="宋体" w:cs="宋体"/>
          <w:color w:val="auto"/>
          <w:szCs w:val="21"/>
          <w:highlight w:val="none"/>
        </w:rPr>
        <w:t>中“四、响应文件提交”。</w:t>
      </w: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21.首次响应文件的补充、修改与撤回</w:t>
      </w:r>
    </w:p>
    <w:p>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21.1供应商应当在首次响应文件提交截止时间前完成电子响应文件的上传、递交，首次响应文件提交截止时间前可以补充、修改或者撤回响应文件。补充或者修改响应文件的，应当先行撤回原文件，补充、修改后重新上传、递交。首次响应文件提交截止时间前未完成上传、递交的，视为撤回响应文件。首次响应文件提交截止时间以后上传递交的响应文件，“广西政府采购云平台”将予以拒收。</w:t>
      </w:r>
    </w:p>
    <w:p>
      <w:pPr>
        <w:spacing w:line="360" w:lineRule="auto"/>
        <w:ind w:firstLine="482" w:firstLineChars="200"/>
        <w:rPr>
          <w:rFonts w:ascii="宋体" w:hAnsi="宋体" w:cs="宋体"/>
          <w:b/>
          <w:bCs/>
          <w:color w:val="auto"/>
          <w:sz w:val="24"/>
          <w:highlight w:val="none"/>
        </w:rPr>
      </w:pPr>
      <w:bookmarkStart w:id="37" w:name="_Hlk45702405"/>
      <w:r>
        <w:rPr>
          <w:rFonts w:hint="eastAsia" w:ascii="宋体" w:hAnsi="宋体" w:cs="宋体"/>
          <w:b/>
          <w:bCs/>
          <w:color w:val="auto"/>
          <w:sz w:val="24"/>
          <w:highlight w:val="none"/>
        </w:rPr>
        <w:t>22. 首次响应文件的退回</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22.1在首次响应文件提交截止时间止提交响应文件的供应商不足3家时，采购代理机构将根据“广西政府采购云平台”的操作将电子版响应文件退回，除此之外采购人和采购代理机构对已提交的电子响应文件概不退回。</w:t>
      </w: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23. 截止时间后的撤回</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23.1供应商在首次响应文件提交截止时间后书面通知采购人、采购代理机构书面撤回响应文件的，将根据本须知正文17.4的规定不予退还其磋商保证金。</w:t>
      </w:r>
    </w:p>
    <w:bookmarkEnd w:id="37"/>
    <w:p>
      <w:pPr>
        <w:spacing w:line="360" w:lineRule="auto"/>
        <w:rPr>
          <w:rFonts w:ascii="宋体" w:hAnsi="宋体" w:cs="宋体"/>
          <w:color w:val="auto"/>
          <w:szCs w:val="21"/>
          <w:highlight w:val="none"/>
        </w:rPr>
      </w:pPr>
    </w:p>
    <w:p>
      <w:pPr>
        <w:spacing w:line="360" w:lineRule="auto"/>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四、评审及磋商</w:t>
      </w:r>
    </w:p>
    <w:p>
      <w:pPr>
        <w:spacing w:line="360" w:lineRule="auto"/>
        <w:ind w:firstLine="482" w:firstLineChars="200"/>
        <w:rPr>
          <w:rFonts w:ascii="宋体" w:hAnsi="宋体" w:cs="宋体"/>
          <w:b/>
          <w:bCs/>
          <w:color w:val="auto"/>
          <w:sz w:val="24"/>
          <w:highlight w:val="none"/>
        </w:rPr>
      </w:pP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24.磋商小组成立</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24.1磋商小组由采购人代表和评审专家共3人以上单数组成，具体人数见“供应商须知前附表”，其中评审专家人数不得少于磋商小组成员总数的2/3。采购人代表不得以评审专家身份参加本部门或者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5人以上单数组成。</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24.2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25.首次响应文件的开启</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25.1首次响应文件由磋商小组或者采购代理机构在“供应商须知前附表”规定的时间开启。</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25.2 响应文件解密：采购代理机构将在“供应商须知前附表”规定的时间通过电子交易平台组织响应文件开启，采购代理机构将依托电子交易平台发起开始解密指令，</w:t>
      </w:r>
      <w:r>
        <w:rPr>
          <w:rFonts w:hint="eastAsia" w:ascii="宋体" w:hAnsi="宋体" w:cs="宋体"/>
          <w:b/>
          <w:color w:val="auto"/>
          <w:szCs w:val="21"/>
          <w:highlight w:val="none"/>
        </w:rPr>
        <w:t>供应商的法定代表人或其委托代理人须携带加密时所用的CA锁按平台提示和采购文件的规定登录到“广西政府采购云平台”电子开标大厅签到并在发起解密指令之时起30分钟内完成对电子响应文件在线解密。</w:t>
      </w:r>
      <w:r>
        <w:rPr>
          <w:rFonts w:hint="eastAsia" w:ascii="宋体" w:hAnsi="宋体" w:cs="宋体"/>
          <w:b/>
          <w:bCs/>
          <w:color w:val="auto"/>
          <w:szCs w:val="21"/>
          <w:highlight w:val="none"/>
        </w:rPr>
        <w:t>响应文件未按时解密的，</w:t>
      </w:r>
      <w:r>
        <w:rPr>
          <w:rFonts w:hint="eastAsia" w:ascii="宋体" w:hAnsi="宋体" w:cs="宋体"/>
          <w:b/>
          <w:color w:val="auto"/>
          <w:szCs w:val="21"/>
          <w:highlight w:val="none"/>
        </w:rPr>
        <w:t>视为响应</w:t>
      </w:r>
      <w:r>
        <w:rPr>
          <w:rFonts w:hint="eastAsia" w:ascii="宋体" w:hAnsi="宋体" w:cs="宋体"/>
          <w:b/>
          <w:bCs/>
          <w:color w:val="auto"/>
          <w:szCs w:val="21"/>
          <w:highlight w:val="none"/>
        </w:rPr>
        <w:t>文件无效。</w:t>
      </w:r>
      <w:r>
        <w:rPr>
          <w:rFonts w:hint="eastAsia" w:ascii="宋体" w:hAnsi="宋体" w:cs="宋体"/>
          <w:color w:val="auto"/>
          <w:szCs w:val="21"/>
          <w:highlight w:val="none"/>
        </w:rPr>
        <w:t>（解密异常情况处理：详见本章26.2电子交易活动的中止。）</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25.3成功解密响应文件的供应商不足3家的，不得磋商。</w:t>
      </w: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26.评审程序、评审方法和评审标准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26.1磋商小组按照“第四章 评审程序、评审方法和评审标准”规定的方法、评审因素、标准和程序对响应文件进行评审。</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26.2电子交易活动的中止。采购过程中出现以下情形，导致电子交易平台无法正常运行，或者无法保证电子交易的公平、公正和安全时，采购机构可中止电子交易活动：</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 xml:space="preserve">（1）电子交易平台发生故障而无法登录访问的； </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（2）电子交易平台应用或数据库出现错误，不能进行正常操作的；</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（3）电子交易平台发现严重安全漏洞，有潜在泄密危险的；</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 xml:space="preserve">（4）病毒发作导致不能进行正常操作的； </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（4）其他无法保证电子交易的公平、公正和安全的情况。</w:t>
      </w:r>
    </w:p>
    <w:p>
      <w:pPr>
        <w:spacing w:line="400" w:lineRule="exact"/>
        <w:ind w:firstLine="420" w:firstLineChars="200"/>
        <w:rPr>
          <w:rFonts w:ascii="宋体" w:hAnsi="宋体" w:cs="宋体"/>
          <w:color w:val="auto"/>
          <w:szCs w:val="21"/>
          <w:highlight w:val="none"/>
        </w:rPr>
      </w:pPr>
      <w:r>
        <w:rPr>
          <w:rFonts w:hint="eastAsia" w:ascii="宋体" w:hAnsi="宋体" w:cs="宋体"/>
          <w:color w:val="auto"/>
          <w:highlight w:val="none"/>
        </w:rPr>
        <w:t>26.3出现以上情形，不影响采购公平、公正性的，采购代理机构可以待上述情形消除后继续组织电子交易活动；影响或可能影响采购公平、公正性的，经采购代理机构确认后，应当重新采购。</w:t>
      </w: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27.确定成交供应商及结果公告</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27.1</w:t>
      </w:r>
      <w:r>
        <w:rPr>
          <w:rFonts w:hint="eastAsia" w:ascii="宋体" w:hAnsi="宋体" w:cs="宋体"/>
          <w:color w:val="auto"/>
          <w:kern w:val="0"/>
          <w:szCs w:val="21"/>
          <w:highlight w:val="none"/>
        </w:rPr>
        <w:t xml:space="preserve"> </w:t>
      </w:r>
      <w:r>
        <w:rPr>
          <w:rFonts w:hint="eastAsia" w:ascii="宋体" w:hAnsi="宋体" w:cs="宋体"/>
          <w:color w:val="auto"/>
          <w:szCs w:val="21"/>
          <w:highlight w:val="none"/>
        </w:rPr>
        <w:t>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27.2采购代理机构应当在</w:t>
      </w:r>
      <w:r>
        <w:rPr>
          <w:rFonts w:hint="eastAsia" w:ascii="宋体" w:hAnsi="宋体" w:cs="宋体"/>
          <w:color w:val="auto"/>
          <w:kern w:val="0"/>
          <w:szCs w:val="21"/>
          <w:highlight w:val="none"/>
        </w:rPr>
        <w:t>成交</w:t>
      </w:r>
      <w:r>
        <w:rPr>
          <w:rFonts w:hint="eastAsia" w:ascii="宋体" w:hAnsi="宋体" w:cs="宋体"/>
          <w:color w:val="auto"/>
          <w:szCs w:val="21"/>
          <w:highlight w:val="none"/>
        </w:rPr>
        <w:t>供应商确定后2个工作日内，在省级以上财政部门指定的媒体上公告成交结果，同时向成交供应商发出成交通知书。</w:t>
      </w:r>
      <w:r>
        <w:rPr>
          <w:rFonts w:hint="eastAsia" w:ascii="宋体" w:hAnsi="宋体" w:cs="宋体"/>
          <w:b/>
          <w:color w:val="auto"/>
          <w:szCs w:val="21"/>
          <w:highlight w:val="none"/>
        </w:rPr>
        <w:t>采购人或者采购代理机构发出成交通知书前，应当对成交供应商信用进行查询，对列入失信被执行人、重大税收违法案件当事人名单、政府采购严重违法失信行为记录名单及其他不符合《中华人民共和国政府采购法》第二十二条规定条件的供应商，取消其成交资格，并确定排名第二的成交候选人为成交供应商。</w:t>
      </w:r>
      <w:r>
        <w:rPr>
          <w:rFonts w:hint="eastAsia" w:ascii="宋体" w:hAnsi="宋体" w:cs="宋体"/>
          <w:color w:val="auto"/>
          <w:szCs w:val="21"/>
          <w:highlight w:val="none"/>
        </w:rPr>
        <w:t>排名第二的成交候选人因上述规定的同样原因被取消成交资格的，采购人可以确定排名第三的成交候选人为成交供应商，以此类推。以上信息查询记录及相关证据与磋商文件一并保存。</w:t>
      </w:r>
      <w:bookmarkStart w:id="38" w:name="_Hlk66782294"/>
      <w:r>
        <w:rPr>
          <w:rFonts w:hint="eastAsia" w:ascii="宋体" w:hAnsi="宋体" w:cs="宋体"/>
          <w:color w:val="auto"/>
          <w:szCs w:val="21"/>
          <w:highlight w:val="none"/>
        </w:rPr>
        <w:t>成交供应商享受《政府采购促进中小企业发展管理办法》（财库〔2020〕46号）规定的中小企业扶持政策的，采购人、采购代理机构应当随成交结果公开成交供应商的《中小企业声明函》。</w:t>
      </w:r>
      <w:bookmarkEnd w:id="38"/>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27.3成交供应商拒绝签订政府采购合同（包括但不限于放弃成交、因不可抗力不能履行合同而放弃签订合同），采购人可以按照评审报告推荐的成交候选人名单排序，确定下一候选人为成交供应商，也可以重新开展政府采购活动。拒绝签订政府采购合同的成交供应商不得参加对该项目重新开展的采购活动。</w:t>
      </w: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28.履约保证金</w:t>
      </w:r>
    </w:p>
    <w:p>
      <w:pPr>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28.1 履约保证金的金额、提交方式、退付的时间和条件详见 “供应商须知前附表”。成交供应商未按规定提交履约保证金的，视为拒绝</w:t>
      </w:r>
      <w:r>
        <w:rPr>
          <w:rFonts w:hint="eastAsia" w:ascii="宋体" w:hAnsi="宋体" w:cs="宋体"/>
          <w:color w:val="auto"/>
          <w:highlight w:val="none"/>
        </w:rPr>
        <w:t>与采购人</w:t>
      </w:r>
      <w:r>
        <w:rPr>
          <w:rFonts w:hint="eastAsia" w:ascii="宋体" w:hAnsi="宋体" w:cs="宋体"/>
          <w:color w:val="auto"/>
          <w:szCs w:val="21"/>
          <w:highlight w:val="none"/>
        </w:rPr>
        <w:t>签订合同。</w:t>
      </w:r>
    </w:p>
    <w:p>
      <w:pPr>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28.2在履约保证金退还日期前，若成交供应商的开户名称、开户银行、帐号有变动的，请以书面形式通知履约保证金收取单位，否则由此产生的后果由成交供应商自行承担。</w:t>
      </w: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29.签订合同</w:t>
      </w:r>
    </w:p>
    <w:p>
      <w:pPr>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29.1成交供应商在收到成交通知书（书面或电子）后，应当在签订合同时向采购人出示相关证明材料，具体内容详见 “供应商须知前附表”，经采购人核验合格后方可签订合同（书面或电子）。如成交供应商为联合体的，联合体各方应当共同与采购人签订采购合同，就采购合同约定的事项对采购人承担连带责任。</w:t>
      </w:r>
    </w:p>
    <w:p>
      <w:pPr>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29.2 签订合同时间：按成交通知书规定的时间与采购人签订政府采购合同（最长不能超过25日）。</w:t>
      </w:r>
    </w:p>
    <w:p>
      <w:pPr>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29.3成交供应商拒绝与采购人签订合同的，按照本须知正文第27.3条的规定执行。</w:t>
      </w: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30.政府采购合同公告</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31. 询问、质疑和投诉</w:t>
      </w:r>
    </w:p>
    <w:p>
      <w:pPr>
        <w:pStyle w:val="9"/>
        <w:spacing w:line="360" w:lineRule="auto"/>
        <w:rPr>
          <w:rFonts w:ascii="宋体" w:hAnsi="宋体" w:cs="宋体"/>
          <w:color w:val="auto"/>
          <w:szCs w:val="21"/>
          <w:highlight w:val="none"/>
        </w:rPr>
      </w:pPr>
      <w:r>
        <w:rPr>
          <w:rFonts w:hint="eastAsia" w:ascii="宋体" w:hAnsi="宋体" w:cs="宋体"/>
          <w:color w:val="auto"/>
          <w:highlight w:val="none"/>
        </w:rPr>
        <w:t>31.1供应商对政府采购活动事项有疑问的，可以向采购人、采购代理机构提出询问，采购人或者采购代理机构应当在3个工作日内对供应商依法提出的询问作出答复，</w:t>
      </w:r>
      <w:r>
        <w:rPr>
          <w:rFonts w:hint="eastAsia" w:ascii="宋体" w:hAnsi="宋体" w:cs="宋体"/>
          <w:color w:val="auto"/>
          <w:szCs w:val="21"/>
          <w:highlight w:val="none"/>
        </w:rPr>
        <w:t>但答复的内容不得涉及商业秘密</w:t>
      </w:r>
      <w:r>
        <w:rPr>
          <w:rFonts w:hint="eastAsia" w:ascii="宋体" w:hAnsi="宋体" w:cs="宋体"/>
          <w:color w:val="auto"/>
          <w:highlight w:val="none"/>
        </w:rPr>
        <w:t>。</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31.2供应商认为磋商文件、采购过程或者成交结果使自己的合法权益受到损害的，应当在知道或者应知其权益受到损害之日起7个工作日内，以纸质书面形式向采购人、采购代理机构提出质疑，</w:t>
      </w:r>
      <w:r>
        <w:rPr>
          <w:rFonts w:hint="eastAsia" w:ascii="宋体" w:hAnsi="宋体" w:cs="宋体"/>
          <w:color w:val="auto"/>
          <w:highlight w:val="none"/>
          <w:shd w:val="clear" w:color="auto" w:fill="FFFFFF"/>
        </w:rPr>
        <w:t>接收质疑函的方式、联系部门、联系电话和通讯地址等信息详见</w:t>
      </w:r>
      <w:r>
        <w:rPr>
          <w:rFonts w:hint="eastAsia" w:ascii="宋体" w:hAnsi="宋体" w:cs="宋体"/>
          <w:color w:val="auto"/>
          <w:szCs w:val="21"/>
          <w:highlight w:val="none"/>
        </w:rPr>
        <w:t>“供应商须知前附表”</w:t>
      </w:r>
      <w:r>
        <w:rPr>
          <w:rFonts w:hint="eastAsia" w:ascii="宋体" w:hAnsi="宋体" w:cs="宋体"/>
          <w:color w:val="auto"/>
          <w:highlight w:val="none"/>
        </w:rPr>
        <w:t>。具体质疑起算时间如下：</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（1）对可以质疑的磋商文件提出质疑的，为收到磋商文件之日或者竞争性磋商公告期限届满之日；</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（2）对采购过程提出质疑的，为各采购程序环节结束之日；</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（3）对成交结果提出质疑的，为成交结果公告期限届满之日。</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31.3供应商提出的询问或者质疑超出采购人对采购代理机构委托授权范围的，采购代理机构应当告知供应商向采购人提出。政府采购评审专家应当配合采购人或者采购代理机构答复供应商的询问和质疑。</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31.4 供应商提出质疑应当提交质疑函和必要的证明材料，针对同一采购程序环节的质疑必须在法定质疑期内一次性提出。质疑函应当包括下列内容</w:t>
      </w:r>
      <w:r>
        <w:rPr>
          <w:rFonts w:hint="eastAsia" w:ascii="宋体" w:hAnsi="宋体" w:cs="宋体"/>
          <w:bCs/>
          <w:color w:val="auto"/>
          <w:highlight w:val="none"/>
        </w:rPr>
        <w:t>（质疑函格式后附）</w:t>
      </w:r>
      <w:r>
        <w:rPr>
          <w:rFonts w:hint="eastAsia" w:ascii="宋体" w:hAnsi="宋体" w:cs="宋体"/>
          <w:color w:val="auto"/>
          <w:highlight w:val="none"/>
        </w:rPr>
        <w:t>：</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（1）供应商的姓名或者名称、地址、邮编、联系人及联系电话；</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（2）质疑项目的名称、编号；</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（3）具体、明确的质疑事项和与质疑事项相关的请求；</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（4）事实依据；</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（5）必要的法律依据；</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（6）提出质疑的日期。</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供应商为自然人的，应当由本人签字；供应商为法人或者其他组织的，应当由法定代表人、主要负责人，或者其委托代理人签字或者盖章，并加盖公章。</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31.5采购人、采购代理机构认为供应商质疑不成立，或者成立但未对成交结果构成影响的，继续开展采购活动；认为供应商质疑成立且影响或者可能影响成交结果的，按照下列情况处理：</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（1）对采购文件提出的质疑，依法通过澄清或者修改可以继续开展采购活动的，澄清或者修改采购文件后继续开展采购活动；否则应当修改采购文件后重新开展采购活动。</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（2）对采购过程或者成交结果提出的质疑，合格供应商符合法定数量时，可以从合格的成交候选人中另行确定成交供应商的，应当依法另行确定成交供应商；否则应当重新开展采购活动。</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质疑答复导致成交结果改变的，采购人或者采购代理机构应当将有关情况书面报告本级财政部门。</w:t>
      </w:r>
    </w:p>
    <w:p>
      <w:pPr>
        <w:spacing w:line="360" w:lineRule="auto"/>
        <w:ind w:firstLine="420" w:firstLineChars="200"/>
        <w:rPr>
          <w:rFonts w:ascii="宋体" w:hAnsi="宋体" w:cs="宋体"/>
          <w:color w:val="auto"/>
          <w:szCs w:val="21"/>
          <w:highlight w:val="none"/>
        </w:rPr>
      </w:pPr>
      <w:r>
        <w:rPr>
          <w:rFonts w:hint="eastAsia" w:ascii="宋体" w:hAnsi="宋体" w:cs="宋体"/>
          <w:color w:val="auto"/>
          <w:highlight w:val="none"/>
        </w:rPr>
        <w:t>31.6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32.其他内容</w:t>
      </w:r>
    </w:p>
    <w:p>
      <w:pPr>
        <w:tabs>
          <w:tab w:val="left" w:pos="2835"/>
        </w:tabs>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32</w:t>
      </w:r>
      <w:r>
        <w:rPr>
          <w:rFonts w:hint="eastAsia" w:ascii="宋体" w:hAnsi="宋体" w:cs="宋体"/>
          <w:color w:val="auto"/>
          <w:szCs w:val="21"/>
          <w:highlight w:val="none"/>
        </w:rPr>
        <w:t>.1代理服务费：代理服务收取标准及缴费账户详见“供应商须知前附表”，供应商为联合体的，可以由联合体中的一方或者多方共同交纳代理服务费。</w:t>
      </w:r>
    </w:p>
    <w:p>
      <w:pPr>
        <w:tabs>
          <w:tab w:val="left" w:pos="2835"/>
        </w:tabs>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32.2</w:t>
      </w:r>
      <w:r>
        <w:rPr>
          <w:rFonts w:hint="eastAsia" w:ascii="宋体" w:hAnsi="宋体" w:cs="宋体"/>
          <w:color w:val="auto"/>
          <w:szCs w:val="21"/>
          <w:highlight w:val="none"/>
        </w:rPr>
        <w:t>代理服务费收费计算标准：</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2"/>
        <w:gridCol w:w="1659"/>
        <w:gridCol w:w="1532"/>
        <w:gridCol w:w="15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Borders>
              <w:tl2br w:val="single" w:color="auto" w:sz="4" w:space="0"/>
            </w:tcBorders>
            <w:noWrap w:val="0"/>
            <w:vAlign w:val="top"/>
          </w:tcPr>
          <w:p>
            <w:pPr>
              <w:spacing w:line="360" w:lineRule="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 xml:space="preserve">               </w:t>
            </w:r>
            <w:r>
              <w:rPr>
                <w:rFonts w:hint="eastAsia" w:ascii="宋体" w:hAnsi="宋体" w:cs="宋体"/>
                <w:color w:val="auto"/>
                <w:szCs w:val="21"/>
                <w:highlight w:val="none"/>
                <w:lang w:eastAsia="zh-CN"/>
              </w:rPr>
              <w:t>服务类型</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金额</w:t>
            </w:r>
          </w:p>
        </w:tc>
        <w:tc>
          <w:tcPr>
            <w:tcW w:w="1659" w:type="dxa"/>
            <w:noWrap w:val="0"/>
            <w:vAlign w:val="center"/>
          </w:tcPr>
          <w:p>
            <w:pPr>
              <w:spacing w:line="360" w:lineRule="auto"/>
              <w:ind w:firstLine="105" w:firstLineChars="50"/>
              <w:jc w:val="center"/>
              <w:rPr>
                <w:rFonts w:hint="eastAsia" w:ascii="宋体" w:hAnsi="宋体" w:cs="宋体"/>
                <w:color w:val="auto"/>
                <w:szCs w:val="21"/>
                <w:highlight w:val="none"/>
              </w:rPr>
            </w:pPr>
            <w:r>
              <w:rPr>
                <w:rFonts w:hint="eastAsia" w:ascii="宋体" w:hAnsi="宋体" w:cs="宋体"/>
                <w:color w:val="auto"/>
                <w:szCs w:val="21"/>
                <w:highlight w:val="none"/>
              </w:rPr>
              <w:t>货物类</w:t>
            </w:r>
          </w:p>
        </w:tc>
        <w:tc>
          <w:tcPr>
            <w:tcW w:w="1532" w:type="dxa"/>
            <w:noWrap w:val="0"/>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服务类</w:t>
            </w:r>
          </w:p>
        </w:tc>
        <w:tc>
          <w:tcPr>
            <w:tcW w:w="1546" w:type="dxa"/>
            <w:noWrap w:val="0"/>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工程类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noWrap w:val="0"/>
            <w:vAlign w:val="top"/>
          </w:tcPr>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100万元以下</w:t>
            </w:r>
          </w:p>
        </w:tc>
        <w:tc>
          <w:tcPr>
            <w:tcW w:w="1659" w:type="dxa"/>
            <w:noWrap w:val="0"/>
            <w:vAlign w:val="top"/>
          </w:tcPr>
          <w:p>
            <w:pPr>
              <w:spacing w:line="360" w:lineRule="auto"/>
              <w:rPr>
                <w:rFonts w:hint="eastAsia" w:ascii="宋体" w:hAnsi="宋体" w:cs="宋体"/>
                <w:color w:val="auto"/>
                <w:szCs w:val="21"/>
                <w:highlight w:val="none"/>
              </w:rPr>
            </w:pPr>
            <w:r>
              <w:rPr>
                <w:rFonts w:hint="eastAsia" w:ascii="宋体" w:hAnsi="宋体" w:cs="宋体"/>
                <w:color w:val="auto"/>
                <w:kern w:val="0"/>
                <w:szCs w:val="21"/>
                <w:highlight w:val="none"/>
              </w:rPr>
              <w:t xml:space="preserve">  1.5%                </w:t>
            </w:r>
          </w:p>
        </w:tc>
        <w:tc>
          <w:tcPr>
            <w:tcW w:w="1532" w:type="dxa"/>
            <w:noWrap w:val="0"/>
            <w:vAlign w:val="top"/>
          </w:tcPr>
          <w:p>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kern w:val="0"/>
                <w:szCs w:val="21"/>
                <w:highlight w:val="none"/>
              </w:rPr>
              <w:t>1.5%</w:t>
            </w:r>
          </w:p>
        </w:tc>
        <w:tc>
          <w:tcPr>
            <w:tcW w:w="1546" w:type="dxa"/>
            <w:noWrap w:val="0"/>
            <w:vAlign w:val="top"/>
          </w:tcPr>
          <w:p>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kern w:val="0"/>
                <w:szCs w:val="21"/>
                <w:highlight w:val="none"/>
              </w:rPr>
              <w:t xml:space="preserve">1.0%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noWrap w:val="0"/>
            <w:vAlign w:val="top"/>
          </w:tcPr>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100～500万元</w:t>
            </w:r>
          </w:p>
        </w:tc>
        <w:tc>
          <w:tcPr>
            <w:tcW w:w="1659" w:type="dxa"/>
            <w:noWrap w:val="0"/>
            <w:vAlign w:val="top"/>
          </w:tcPr>
          <w:p>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kern w:val="0"/>
                <w:szCs w:val="21"/>
                <w:highlight w:val="none"/>
              </w:rPr>
              <w:t xml:space="preserve">1.1%                 </w:t>
            </w:r>
          </w:p>
        </w:tc>
        <w:tc>
          <w:tcPr>
            <w:tcW w:w="1532" w:type="dxa"/>
            <w:noWrap w:val="0"/>
            <w:vAlign w:val="top"/>
          </w:tcPr>
          <w:p>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kern w:val="0"/>
                <w:szCs w:val="21"/>
                <w:highlight w:val="none"/>
              </w:rPr>
              <w:t>0.8%</w:t>
            </w:r>
          </w:p>
        </w:tc>
        <w:tc>
          <w:tcPr>
            <w:tcW w:w="1546" w:type="dxa"/>
            <w:noWrap w:val="0"/>
            <w:vAlign w:val="top"/>
          </w:tcPr>
          <w:p>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kern w:val="0"/>
                <w:szCs w:val="21"/>
                <w:highlight w:val="none"/>
              </w:rPr>
              <w:t xml:space="preserve">0.7%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noWrap w:val="0"/>
            <w:vAlign w:val="top"/>
          </w:tcPr>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500～1000万元</w:t>
            </w:r>
          </w:p>
        </w:tc>
        <w:tc>
          <w:tcPr>
            <w:tcW w:w="1659" w:type="dxa"/>
            <w:noWrap w:val="0"/>
            <w:vAlign w:val="top"/>
          </w:tcPr>
          <w:p>
            <w:pPr>
              <w:spacing w:line="360" w:lineRule="auto"/>
              <w:rPr>
                <w:rFonts w:hint="eastAsia" w:ascii="宋体" w:hAnsi="宋体" w:cs="宋体"/>
                <w:color w:val="auto"/>
                <w:szCs w:val="21"/>
                <w:highlight w:val="none"/>
              </w:rPr>
            </w:pPr>
            <w:r>
              <w:rPr>
                <w:rFonts w:hint="eastAsia" w:ascii="宋体" w:hAnsi="宋体" w:cs="宋体"/>
                <w:color w:val="auto"/>
                <w:kern w:val="0"/>
                <w:szCs w:val="21"/>
                <w:highlight w:val="none"/>
              </w:rPr>
              <w:t xml:space="preserve">  0.8%                </w:t>
            </w:r>
          </w:p>
        </w:tc>
        <w:tc>
          <w:tcPr>
            <w:tcW w:w="1532" w:type="dxa"/>
            <w:noWrap w:val="0"/>
            <w:vAlign w:val="top"/>
          </w:tcPr>
          <w:p>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kern w:val="0"/>
                <w:szCs w:val="21"/>
                <w:highlight w:val="none"/>
              </w:rPr>
              <w:t>0.45%</w:t>
            </w:r>
          </w:p>
        </w:tc>
        <w:tc>
          <w:tcPr>
            <w:tcW w:w="1546" w:type="dxa"/>
            <w:noWrap w:val="0"/>
            <w:vAlign w:val="top"/>
          </w:tcPr>
          <w:p>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kern w:val="0"/>
                <w:szCs w:val="21"/>
                <w:highlight w:val="none"/>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noWrap w:val="0"/>
            <w:vAlign w:val="top"/>
          </w:tcPr>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1000～5000万元</w:t>
            </w:r>
          </w:p>
        </w:tc>
        <w:tc>
          <w:tcPr>
            <w:tcW w:w="1659" w:type="dxa"/>
            <w:noWrap w:val="0"/>
            <w:vAlign w:val="top"/>
          </w:tcPr>
          <w:p>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kern w:val="0"/>
                <w:szCs w:val="21"/>
                <w:highlight w:val="none"/>
              </w:rPr>
              <w:t xml:space="preserve">0.5%                </w:t>
            </w:r>
          </w:p>
        </w:tc>
        <w:tc>
          <w:tcPr>
            <w:tcW w:w="1532" w:type="dxa"/>
            <w:noWrap w:val="0"/>
            <w:vAlign w:val="top"/>
          </w:tcPr>
          <w:p>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kern w:val="0"/>
                <w:szCs w:val="21"/>
                <w:highlight w:val="none"/>
              </w:rPr>
              <w:t>0.25%</w:t>
            </w:r>
          </w:p>
        </w:tc>
        <w:tc>
          <w:tcPr>
            <w:tcW w:w="1546" w:type="dxa"/>
            <w:noWrap w:val="0"/>
            <w:vAlign w:val="top"/>
          </w:tcPr>
          <w:p>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kern w:val="0"/>
                <w:szCs w:val="21"/>
                <w:highlight w:val="none"/>
              </w:rPr>
              <w:t xml:space="preserve">0.35%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noWrap w:val="0"/>
            <w:vAlign w:val="top"/>
          </w:tcPr>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5000万元～1亿元</w:t>
            </w:r>
          </w:p>
        </w:tc>
        <w:tc>
          <w:tcPr>
            <w:tcW w:w="1659" w:type="dxa"/>
            <w:noWrap w:val="0"/>
            <w:vAlign w:val="top"/>
          </w:tcPr>
          <w:p>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kern w:val="0"/>
                <w:szCs w:val="21"/>
                <w:highlight w:val="none"/>
              </w:rPr>
              <w:t xml:space="preserve">0.25%                 </w:t>
            </w:r>
          </w:p>
        </w:tc>
        <w:tc>
          <w:tcPr>
            <w:tcW w:w="1532" w:type="dxa"/>
            <w:noWrap w:val="0"/>
            <w:vAlign w:val="top"/>
          </w:tcPr>
          <w:p>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kern w:val="0"/>
                <w:szCs w:val="21"/>
                <w:highlight w:val="none"/>
              </w:rPr>
              <w:t>0.1%</w:t>
            </w:r>
          </w:p>
        </w:tc>
        <w:tc>
          <w:tcPr>
            <w:tcW w:w="1546" w:type="dxa"/>
            <w:noWrap w:val="0"/>
            <w:vAlign w:val="top"/>
          </w:tcPr>
          <w:p>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kern w:val="0"/>
                <w:szCs w:val="21"/>
                <w:highlight w:val="none"/>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noWrap w:val="0"/>
            <w:vAlign w:val="top"/>
          </w:tcPr>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1～5亿元</w:t>
            </w:r>
          </w:p>
        </w:tc>
        <w:tc>
          <w:tcPr>
            <w:tcW w:w="1659" w:type="dxa"/>
            <w:noWrap w:val="0"/>
            <w:vAlign w:val="top"/>
          </w:tcPr>
          <w:p>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szCs w:val="21"/>
                <w:highlight w:val="none"/>
              </w:rPr>
              <w:t>0.05%</w:t>
            </w:r>
          </w:p>
        </w:tc>
        <w:tc>
          <w:tcPr>
            <w:tcW w:w="1532" w:type="dxa"/>
            <w:noWrap w:val="0"/>
            <w:vAlign w:val="top"/>
          </w:tcPr>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  0.05%</w:t>
            </w:r>
          </w:p>
        </w:tc>
        <w:tc>
          <w:tcPr>
            <w:tcW w:w="1546" w:type="dxa"/>
            <w:noWrap w:val="0"/>
            <w:vAlign w:val="top"/>
          </w:tcPr>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  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noWrap w:val="0"/>
            <w:vAlign w:val="top"/>
          </w:tcPr>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5～10亿元</w:t>
            </w:r>
          </w:p>
        </w:tc>
        <w:tc>
          <w:tcPr>
            <w:tcW w:w="1659" w:type="dxa"/>
            <w:noWrap w:val="0"/>
            <w:vAlign w:val="top"/>
          </w:tcPr>
          <w:p>
            <w:pPr>
              <w:spacing w:line="360" w:lineRule="auto"/>
              <w:ind w:firstLine="105" w:firstLineChars="50"/>
              <w:rPr>
                <w:rFonts w:hint="eastAsia" w:ascii="宋体" w:hAnsi="宋体" w:cs="宋体"/>
                <w:color w:val="auto"/>
                <w:szCs w:val="21"/>
                <w:highlight w:val="none"/>
              </w:rPr>
            </w:pPr>
            <w:r>
              <w:rPr>
                <w:rFonts w:hint="eastAsia" w:ascii="宋体" w:hAnsi="宋体" w:cs="宋体"/>
                <w:color w:val="auto"/>
                <w:szCs w:val="21"/>
                <w:highlight w:val="none"/>
              </w:rPr>
              <w:t>0.035%</w:t>
            </w:r>
          </w:p>
        </w:tc>
        <w:tc>
          <w:tcPr>
            <w:tcW w:w="1532" w:type="dxa"/>
            <w:noWrap w:val="0"/>
            <w:vAlign w:val="top"/>
          </w:tcPr>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  0.035%</w:t>
            </w:r>
          </w:p>
        </w:tc>
        <w:tc>
          <w:tcPr>
            <w:tcW w:w="1546" w:type="dxa"/>
            <w:noWrap w:val="0"/>
            <w:vAlign w:val="top"/>
          </w:tcPr>
          <w:p>
            <w:pPr>
              <w:spacing w:line="360" w:lineRule="auto"/>
              <w:ind w:firstLine="105" w:firstLineChars="50"/>
              <w:rPr>
                <w:rFonts w:hint="eastAsia" w:ascii="宋体" w:hAnsi="宋体" w:cs="宋体"/>
                <w:color w:val="auto"/>
                <w:szCs w:val="21"/>
                <w:highlight w:val="none"/>
              </w:rPr>
            </w:pPr>
            <w:r>
              <w:rPr>
                <w:rFonts w:hint="eastAsia" w:ascii="宋体" w:hAnsi="宋体" w:cs="宋体"/>
                <w:color w:val="auto"/>
                <w:szCs w:val="21"/>
                <w:highlight w:val="none"/>
              </w:rPr>
              <w:t>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noWrap w:val="0"/>
            <w:vAlign w:val="top"/>
          </w:tcPr>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10～50亿元</w:t>
            </w:r>
          </w:p>
        </w:tc>
        <w:tc>
          <w:tcPr>
            <w:tcW w:w="1659" w:type="dxa"/>
            <w:noWrap w:val="0"/>
            <w:vAlign w:val="top"/>
          </w:tcPr>
          <w:p>
            <w:pPr>
              <w:spacing w:line="360" w:lineRule="auto"/>
              <w:ind w:firstLine="105" w:firstLineChars="50"/>
              <w:rPr>
                <w:rFonts w:hint="eastAsia" w:ascii="宋体" w:hAnsi="宋体" w:cs="宋体"/>
                <w:color w:val="auto"/>
                <w:szCs w:val="21"/>
                <w:highlight w:val="none"/>
              </w:rPr>
            </w:pPr>
            <w:r>
              <w:rPr>
                <w:rFonts w:hint="eastAsia" w:ascii="宋体" w:hAnsi="宋体" w:cs="宋体"/>
                <w:color w:val="auto"/>
                <w:szCs w:val="21"/>
                <w:highlight w:val="none"/>
              </w:rPr>
              <w:t>0.008%</w:t>
            </w:r>
          </w:p>
        </w:tc>
        <w:tc>
          <w:tcPr>
            <w:tcW w:w="1532" w:type="dxa"/>
            <w:noWrap w:val="0"/>
            <w:vAlign w:val="top"/>
          </w:tcPr>
          <w:p>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szCs w:val="21"/>
                <w:highlight w:val="none"/>
              </w:rPr>
              <w:t>0.008%</w:t>
            </w:r>
          </w:p>
        </w:tc>
        <w:tc>
          <w:tcPr>
            <w:tcW w:w="1546" w:type="dxa"/>
            <w:noWrap w:val="0"/>
            <w:vAlign w:val="top"/>
          </w:tcPr>
          <w:p>
            <w:pPr>
              <w:spacing w:line="360" w:lineRule="auto"/>
              <w:ind w:firstLine="105" w:firstLineChars="50"/>
              <w:rPr>
                <w:rFonts w:hint="eastAsia" w:ascii="宋体" w:hAnsi="宋体" w:cs="宋体"/>
                <w:color w:val="auto"/>
                <w:szCs w:val="21"/>
                <w:highlight w:val="none"/>
              </w:rPr>
            </w:pPr>
            <w:r>
              <w:rPr>
                <w:rFonts w:hint="eastAsia" w:ascii="宋体" w:hAnsi="宋体" w:cs="宋体"/>
                <w:color w:val="auto"/>
                <w:szCs w:val="21"/>
                <w:highlight w:val="none"/>
              </w:rPr>
              <w:t>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noWrap w:val="0"/>
            <w:vAlign w:val="top"/>
          </w:tcPr>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50～100亿元</w:t>
            </w:r>
          </w:p>
        </w:tc>
        <w:tc>
          <w:tcPr>
            <w:tcW w:w="1659" w:type="dxa"/>
            <w:noWrap w:val="0"/>
            <w:vAlign w:val="top"/>
          </w:tcPr>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 0.006%</w:t>
            </w:r>
          </w:p>
        </w:tc>
        <w:tc>
          <w:tcPr>
            <w:tcW w:w="1532" w:type="dxa"/>
            <w:noWrap w:val="0"/>
            <w:vAlign w:val="top"/>
          </w:tcPr>
          <w:p>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szCs w:val="21"/>
                <w:highlight w:val="none"/>
              </w:rPr>
              <w:t>0.006%</w:t>
            </w:r>
          </w:p>
        </w:tc>
        <w:tc>
          <w:tcPr>
            <w:tcW w:w="1546" w:type="dxa"/>
            <w:noWrap w:val="0"/>
            <w:vAlign w:val="top"/>
          </w:tcPr>
          <w:p>
            <w:pPr>
              <w:spacing w:line="360" w:lineRule="auto"/>
              <w:ind w:firstLine="105" w:firstLineChars="50"/>
              <w:rPr>
                <w:rFonts w:hint="eastAsia" w:ascii="宋体" w:hAnsi="宋体" w:cs="宋体"/>
                <w:color w:val="auto"/>
                <w:szCs w:val="21"/>
                <w:highlight w:val="none"/>
              </w:rPr>
            </w:pPr>
            <w:r>
              <w:rPr>
                <w:rFonts w:hint="eastAsia" w:ascii="宋体" w:hAnsi="宋体" w:cs="宋体"/>
                <w:color w:val="auto"/>
                <w:szCs w:val="21"/>
                <w:highlight w:val="none"/>
              </w:rPr>
              <w:t>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noWrap w:val="0"/>
            <w:vAlign w:val="top"/>
          </w:tcPr>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100亿以上</w:t>
            </w:r>
          </w:p>
        </w:tc>
        <w:tc>
          <w:tcPr>
            <w:tcW w:w="1659" w:type="dxa"/>
            <w:noWrap w:val="0"/>
            <w:vAlign w:val="top"/>
          </w:tcPr>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 0.004%</w:t>
            </w:r>
          </w:p>
        </w:tc>
        <w:tc>
          <w:tcPr>
            <w:tcW w:w="1532" w:type="dxa"/>
            <w:noWrap w:val="0"/>
            <w:vAlign w:val="top"/>
          </w:tcPr>
          <w:p>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szCs w:val="21"/>
                <w:highlight w:val="none"/>
              </w:rPr>
              <w:t>0.004%</w:t>
            </w:r>
          </w:p>
        </w:tc>
        <w:tc>
          <w:tcPr>
            <w:tcW w:w="1546" w:type="dxa"/>
            <w:noWrap w:val="0"/>
            <w:vAlign w:val="top"/>
          </w:tcPr>
          <w:p>
            <w:pPr>
              <w:spacing w:line="360" w:lineRule="auto"/>
              <w:ind w:firstLine="105" w:firstLineChars="50"/>
              <w:rPr>
                <w:rFonts w:hint="eastAsia" w:ascii="宋体" w:hAnsi="宋体" w:cs="宋体"/>
                <w:color w:val="auto"/>
                <w:szCs w:val="21"/>
                <w:highlight w:val="none"/>
              </w:rPr>
            </w:pPr>
            <w:r>
              <w:rPr>
                <w:rFonts w:hint="eastAsia" w:ascii="宋体" w:hAnsi="宋体" w:cs="宋体"/>
                <w:color w:val="auto"/>
                <w:szCs w:val="21"/>
                <w:highlight w:val="none"/>
              </w:rPr>
              <w:t>0.004%</w:t>
            </w:r>
          </w:p>
        </w:tc>
      </w:tr>
    </w:tbl>
    <w:p>
      <w:pPr>
        <w:spacing w:line="360" w:lineRule="auto"/>
        <w:ind w:firstLine="420" w:firstLineChars="200"/>
        <w:rPr>
          <w:rFonts w:ascii="宋体" w:hAnsi="宋体" w:cs="宋体"/>
          <w:color w:val="auto"/>
          <w:highlight w:val="none"/>
        </w:rPr>
      </w:pPr>
      <w:r>
        <w:rPr>
          <w:rFonts w:ascii="宋体" w:hAnsi="宋体" w:cs="宋体"/>
          <w:color w:val="auto"/>
          <w:highlight w:val="none"/>
        </w:rPr>
        <w:t>注：</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w:t>
      </w:r>
      <w:r>
        <w:rPr>
          <w:rFonts w:ascii="宋体" w:hAnsi="宋体" w:cs="宋体"/>
          <w:color w:val="auto"/>
          <w:highlight w:val="none"/>
        </w:rPr>
        <w:t>按本表</w:t>
      </w:r>
      <w:r>
        <w:rPr>
          <w:rFonts w:hint="eastAsia" w:ascii="宋体" w:hAnsi="宋体" w:cs="宋体"/>
          <w:color w:val="auto"/>
          <w:szCs w:val="21"/>
          <w:highlight w:val="none"/>
        </w:rPr>
        <w:t>金额</w:t>
      </w:r>
      <w:r>
        <w:rPr>
          <w:rFonts w:ascii="宋体" w:hAnsi="宋体" w:cs="宋体"/>
          <w:color w:val="auto"/>
          <w:highlight w:val="none"/>
        </w:rPr>
        <w:t>计算的收费为</w:t>
      </w:r>
      <w:r>
        <w:rPr>
          <w:rFonts w:hint="eastAsia" w:ascii="宋体" w:hAnsi="宋体" w:cs="宋体"/>
          <w:color w:val="auto"/>
          <w:highlight w:val="none"/>
        </w:rPr>
        <w:t>采购</w:t>
      </w:r>
      <w:r>
        <w:rPr>
          <w:rFonts w:ascii="宋体" w:hAnsi="宋体" w:cs="宋体"/>
          <w:color w:val="auto"/>
          <w:highlight w:val="none"/>
        </w:rPr>
        <w:t>代理的收费基准价格</w:t>
      </w:r>
      <w:r>
        <w:rPr>
          <w:rFonts w:hint="eastAsia" w:ascii="宋体" w:hAnsi="宋体" w:cs="宋体"/>
          <w:color w:val="auto"/>
          <w:highlight w:val="none"/>
        </w:rPr>
        <w:t>；</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（2）采购</w:t>
      </w:r>
      <w:r>
        <w:rPr>
          <w:rFonts w:ascii="宋体" w:hAnsi="宋体" w:cs="宋体"/>
          <w:color w:val="auto"/>
          <w:highlight w:val="none"/>
        </w:rPr>
        <w:t>代理收费按差额定率累进法计算。</w:t>
      </w:r>
    </w:p>
    <w:p>
      <w:pPr>
        <w:spacing w:line="360" w:lineRule="auto"/>
        <w:ind w:firstLine="420" w:firstLineChars="200"/>
        <w:rPr>
          <w:rFonts w:ascii="宋体" w:hAnsi="宋体" w:cs="宋体"/>
          <w:color w:val="auto"/>
          <w:highlight w:val="none"/>
        </w:rPr>
      </w:pPr>
      <w:r>
        <w:rPr>
          <w:rFonts w:ascii="宋体" w:hAnsi="宋体" w:cs="宋体"/>
          <w:color w:val="auto"/>
          <w:highlight w:val="none"/>
        </w:rPr>
        <w:t>例如：某</w:t>
      </w:r>
      <w:r>
        <w:rPr>
          <w:rFonts w:hint="eastAsia" w:ascii="宋体" w:hAnsi="宋体" w:cs="宋体"/>
          <w:color w:val="auto"/>
          <w:highlight w:val="none"/>
        </w:rPr>
        <w:t>服务采购</w:t>
      </w:r>
      <w:r>
        <w:rPr>
          <w:rFonts w:ascii="宋体" w:hAnsi="宋体" w:cs="宋体"/>
          <w:color w:val="auto"/>
          <w:highlight w:val="none"/>
        </w:rPr>
        <w:t>代理业务</w:t>
      </w:r>
      <w:r>
        <w:rPr>
          <w:rFonts w:hint="eastAsia" w:ascii="宋体" w:hAnsi="宋体" w:cs="宋体"/>
          <w:color w:val="auto"/>
          <w:highlight w:val="none"/>
        </w:rPr>
        <w:t>成交</w:t>
      </w:r>
      <w:r>
        <w:rPr>
          <w:rFonts w:ascii="宋体" w:hAnsi="宋体" w:cs="宋体"/>
          <w:color w:val="auto"/>
          <w:highlight w:val="none"/>
        </w:rPr>
        <w:t>金额</w:t>
      </w:r>
      <w:r>
        <w:rPr>
          <w:rFonts w:hint="eastAsia" w:ascii="宋体" w:hAnsi="宋体" w:cs="宋体"/>
          <w:color w:val="auto"/>
          <w:highlight w:val="none"/>
        </w:rPr>
        <w:t>或者暂定价</w:t>
      </w:r>
      <w:r>
        <w:rPr>
          <w:rFonts w:ascii="宋体" w:hAnsi="宋体" w:cs="宋体"/>
          <w:color w:val="auto"/>
          <w:highlight w:val="none"/>
        </w:rPr>
        <w:t>为150万元，计算</w:t>
      </w:r>
      <w:r>
        <w:rPr>
          <w:rFonts w:hint="eastAsia" w:ascii="宋体" w:hAnsi="宋体" w:cs="宋体"/>
          <w:color w:val="auto"/>
          <w:highlight w:val="none"/>
        </w:rPr>
        <w:t>采购</w:t>
      </w:r>
      <w:r>
        <w:rPr>
          <w:rFonts w:ascii="宋体" w:hAnsi="宋体" w:cs="宋体"/>
          <w:color w:val="auto"/>
          <w:highlight w:val="none"/>
        </w:rPr>
        <w:t>代理收费额如下：</w:t>
      </w:r>
    </w:p>
    <w:p>
      <w:pPr>
        <w:spacing w:line="360" w:lineRule="auto"/>
        <w:ind w:firstLine="420" w:firstLineChars="200"/>
        <w:rPr>
          <w:rFonts w:ascii="宋体" w:hAnsi="宋体" w:cs="宋体"/>
          <w:color w:val="auto"/>
          <w:highlight w:val="none"/>
        </w:rPr>
      </w:pPr>
      <w:r>
        <w:rPr>
          <w:rFonts w:ascii="宋体" w:hAnsi="宋体" w:cs="宋体"/>
          <w:color w:val="auto"/>
          <w:highlight w:val="none"/>
        </w:rPr>
        <w:t>100 万元 ×l.5 %＝ 1.5 万元</w:t>
      </w:r>
    </w:p>
    <w:p>
      <w:pPr>
        <w:spacing w:line="360" w:lineRule="auto"/>
        <w:ind w:firstLine="420" w:firstLineChars="200"/>
        <w:rPr>
          <w:rFonts w:ascii="宋体" w:hAnsi="宋体" w:cs="宋体"/>
          <w:color w:val="auto"/>
          <w:highlight w:val="none"/>
        </w:rPr>
      </w:pPr>
      <w:r>
        <w:rPr>
          <w:rFonts w:ascii="宋体" w:hAnsi="宋体" w:cs="宋体"/>
          <w:color w:val="auto"/>
          <w:highlight w:val="none"/>
        </w:rPr>
        <w:t>（ 150 － 100 ）万元 ×0.8%＝ 0.4万元</w:t>
      </w:r>
    </w:p>
    <w:p>
      <w:pPr>
        <w:spacing w:line="360" w:lineRule="auto"/>
        <w:ind w:firstLine="420" w:firstLineChars="200"/>
        <w:rPr>
          <w:rFonts w:ascii="宋体" w:hAnsi="宋体" w:cs="宋体"/>
          <w:color w:val="auto"/>
          <w:highlight w:val="none"/>
        </w:rPr>
      </w:pPr>
      <w:r>
        <w:rPr>
          <w:rFonts w:ascii="宋体" w:hAnsi="宋体" w:cs="宋体"/>
          <w:color w:val="auto"/>
          <w:highlight w:val="none"/>
        </w:rPr>
        <w:t>合计收费＝ 1.5 ＋ 0.4＝ 1.9 万元</w:t>
      </w:r>
    </w:p>
    <w:p>
      <w:pPr>
        <w:spacing w:line="360" w:lineRule="auto"/>
        <w:ind w:firstLine="420" w:firstLineChars="200"/>
        <w:rPr>
          <w:rFonts w:ascii="宋体" w:hAnsi="宋体" w:cs="宋体"/>
          <w:color w:val="auto"/>
          <w:kern w:val="0"/>
          <w:szCs w:val="21"/>
          <w:highlight w:val="none"/>
        </w:rPr>
      </w:pPr>
      <w:r>
        <w:rPr>
          <w:rFonts w:ascii="宋体" w:hAnsi="宋体" w:cs="宋体"/>
          <w:color w:val="auto"/>
          <w:szCs w:val="21"/>
          <w:highlight w:val="none"/>
        </w:rPr>
        <w:t>32</w:t>
      </w:r>
      <w:r>
        <w:rPr>
          <w:rFonts w:hint="eastAsia" w:ascii="宋体" w:hAnsi="宋体" w:cs="宋体"/>
          <w:color w:val="auto"/>
          <w:szCs w:val="21"/>
          <w:highlight w:val="none"/>
        </w:rPr>
        <w:t>.3</w:t>
      </w:r>
      <w:r>
        <w:rPr>
          <w:rFonts w:hint="eastAsia" w:ascii="宋体" w:hAnsi="宋体" w:cs="宋体"/>
          <w:color w:val="auto"/>
          <w:kern w:val="0"/>
          <w:szCs w:val="21"/>
          <w:highlight w:val="none"/>
        </w:rPr>
        <w:t>代理服务费交纳</w:t>
      </w:r>
      <w:r>
        <w:rPr>
          <w:rFonts w:ascii="宋体" w:hAnsi="宋体" w:cs="宋体"/>
          <w:color w:val="auto"/>
          <w:kern w:val="0"/>
          <w:szCs w:val="21"/>
          <w:highlight w:val="none"/>
        </w:rPr>
        <w:t>银行帐号信息</w:t>
      </w:r>
    </w:p>
    <w:p>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开户名称：广西国泰招标咨询有限公司南宁第五分公司</w:t>
      </w:r>
    </w:p>
    <w:p>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开户银行：广西北部湾银行股份有限公司南宁市云景支行</w:t>
      </w:r>
    </w:p>
    <w:p>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银行账号：805022302700001</w:t>
      </w: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33.需要补充的其他内容</w:t>
      </w:r>
    </w:p>
    <w:p>
      <w:pPr>
        <w:pStyle w:val="18"/>
        <w:spacing w:line="360" w:lineRule="auto"/>
        <w:ind w:firstLine="420" w:firstLineChars="200"/>
        <w:textAlignment w:val="center"/>
        <w:rPr>
          <w:rFonts w:hAnsi="宋体" w:cs="宋体"/>
          <w:color w:val="auto"/>
          <w:kern w:val="2"/>
          <w:sz w:val="21"/>
          <w:highlight w:val="none"/>
        </w:rPr>
      </w:pPr>
      <w:r>
        <w:rPr>
          <w:rFonts w:hint="eastAsia" w:hAnsi="宋体" w:cs="宋体"/>
          <w:color w:val="auto"/>
          <w:kern w:val="2"/>
          <w:sz w:val="21"/>
          <w:highlight w:val="none"/>
        </w:rPr>
        <w:t>33.1本磋商文件解释规则详见“供应商须知前附表”。</w:t>
      </w:r>
    </w:p>
    <w:p>
      <w:pPr>
        <w:pStyle w:val="18"/>
        <w:spacing w:line="360" w:lineRule="auto"/>
        <w:ind w:firstLine="420" w:firstLineChars="200"/>
        <w:textAlignment w:val="center"/>
        <w:rPr>
          <w:rFonts w:hAnsi="宋体" w:cs="宋体"/>
          <w:color w:val="auto"/>
          <w:kern w:val="2"/>
          <w:sz w:val="21"/>
          <w:highlight w:val="none"/>
        </w:rPr>
      </w:pPr>
      <w:r>
        <w:rPr>
          <w:rFonts w:hint="eastAsia" w:hAnsi="宋体" w:cs="宋体"/>
          <w:color w:val="auto"/>
          <w:kern w:val="2"/>
          <w:sz w:val="21"/>
          <w:highlight w:val="none"/>
        </w:rPr>
        <w:t>33.2 其他事项详见“供应商须知前附表”。</w:t>
      </w:r>
    </w:p>
    <w:p>
      <w:pPr>
        <w:pStyle w:val="18"/>
        <w:spacing w:line="360" w:lineRule="auto"/>
        <w:ind w:firstLine="420" w:firstLineChars="200"/>
        <w:textAlignment w:val="center"/>
        <w:rPr>
          <w:rFonts w:hAnsi="宋体" w:cs="宋体"/>
          <w:color w:val="auto"/>
          <w:kern w:val="2"/>
          <w:sz w:val="21"/>
          <w:highlight w:val="none"/>
        </w:rPr>
      </w:pPr>
      <w:r>
        <w:rPr>
          <w:rFonts w:hint="eastAsia" w:hAnsi="宋体" w:cs="宋体"/>
          <w:color w:val="auto"/>
          <w:kern w:val="2"/>
          <w:sz w:val="21"/>
          <w:highlight w:val="none"/>
        </w:rPr>
        <w:t>33.3本磋商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磋商文件规定的中小企业扶持政策：</w:t>
      </w:r>
    </w:p>
    <w:p>
      <w:pPr>
        <w:pStyle w:val="18"/>
        <w:spacing w:line="360" w:lineRule="auto"/>
        <w:ind w:firstLine="420" w:firstLineChars="200"/>
        <w:contextualSpacing/>
        <w:rPr>
          <w:rFonts w:hAnsi="宋体" w:cs="宋体"/>
          <w:color w:val="auto"/>
          <w:sz w:val="21"/>
          <w:highlight w:val="none"/>
        </w:rPr>
      </w:pPr>
      <w:r>
        <w:rPr>
          <w:rFonts w:hint="eastAsia" w:hAnsi="宋体" w:cs="宋体"/>
          <w:color w:val="auto"/>
          <w:sz w:val="21"/>
          <w:highlight w:val="none"/>
        </w:rPr>
        <w:t>（1）在货物采购项目中，货物由中小企业制造，即货物由中小企业生产且使用该中小企业商号或者注册商标，不对其中涉及的工程承建商和服务的承接商作出要求；</w:t>
      </w:r>
    </w:p>
    <w:p>
      <w:pPr>
        <w:pStyle w:val="18"/>
        <w:spacing w:line="360" w:lineRule="auto"/>
        <w:ind w:firstLine="420" w:firstLineChars="200"/>
        <w:contextualSpacing/>
        <w:rPr>
          <w:rFonts w:hAnsi="宋体" w:cs="宋体"/>
          <w:color w:val="auto"/>
          <w:sz w:val="21"/>
          <w:highlight w:val="none"/>
        </w:rPr>
      </w:pPr>
      <w:r>
        <w:rPr>
          <w:rFonts w:hint="eastAsia" w:hAnsi="宋体" w:cs="宋体"/>
          <w:color w:val="auto"/>
          <w:sz w:val="21"/>
          <w:highlight w:val="none"/>
        </w:rPr>
        <w:t>（2）在工程采购项目中，工程由中小企业承建，即工程施工单位为中小企业，不对其中涉及的货物的制造商和服务的承接商作出要求；</w:t>
      </w:r>
    </w:p>
    <w:p>
      <w:pPr>
        <w:pStyle w:val="18"/>
        <w:spacing w:line="360" w:lineRule="auto"/>
        <w:ind w:firstLine="420" w:firstLineChars="200"/>
        <w:contextualSpacing/>
        <w:rPr>
          <w:rFonts w:hAnsi="宋体" w:cs="宋体"/>
          <w:color w:val="auto"/>
          <w:sz w:val="21"/>
          <w:highlight w:val="none"/>
        </w:rPr>
      </w:pPr>
      <w:r>
        <w:rPr>
          <w:rFonts w:hint="eastAsia" w:hAnsi="宋体" w:cs="宋体"/>
          <w:color w:val="auto"/>
          <w:sz w:val="21"/>
          <w:highlight w:val="none"/>
        </w:rPr>
        <w:t>（3）在服务采购项目中，服务由中小企业承接，即提供服务的人员为中小企业依照《中华人民共和国劳动合同法》订立劳动合同的从业人员，不对其中涉及的货物的制造商和工程承建商作出要求。</w:t>
      </w:r>
    </w:p>
    <w:p>
      <w:pPr>
        <w:pStyle w:val="18"/>
        <w:spacing w:line="360" w:lineRule="auto"/>
        <w:ind w:firstLine="420" w:firstLineChars="200"/>
        <w:textAlignment w:val="center"/>
        <w:rPr>
          <w:rFonts w:hAnsi="宋体" w:cs="宋体"/>
          <w:color w:val="auto"/>
          <w:kern w:val="2"/>
          <w:sz w:val="21"/>
          <w:highlight w:val="none"/>
        </w:rPr>
      </w:pPr>
      <w:r>
        <w:rPr>
          <w:rFonts w:hint="eastAsia" w:hAnsi="宋体" w:cs="宋体"/>
          <w:color w:val="auto"/>
          <w:kern w:val="2"/>
          <w:sz w:val="21"/>
          <w:highlight w:val="none"/>
        </w:rPr>
        <w:t>在货物采购项目中，供应商提供的货物既有中小企业制造货物，也有大型企业制造货物的，不享受本磋商文件规定的中小企业扶持政策。以联合体形式参加政府采购活动，联合体各方均为中小企业的，联合体视同中小企业。其中，联合体各方均为小微企业的，联合体视同小微企业。</w:t>
      </w:r>
    </w:p>
    <w:p>
      <w:pPr>
        <w:pStyle w:val="18"/>
        <w:spacing w:line="360" w:lineRule="auto"/>
        <w:ind w:firstLine="420" w:firstLineChars="200"/>
        <w:textAlignment w:val="center"/>
        <w:rPr>
          <w:rFonts w:hAnsi="宋体" w:cs="宋体"/>
          <w:color w:val="auto"/>
          <w:kern w:val="2"/>
          <w:sz w:val="21"/>
          <w:highlight w:val="none"/>
        </w:rPr>
      </w:pPr>
      <w:r>
        <w:rPr>
          <w:rFonts w:hint="eastAsia" w:hAnsi="宋体" w:cs="宋体"/>
          <w:color w:val="auto"/>
          <w:kern w:val="2"/>
          <w:sz w:val="21"/>
          <w:highlight w:val="none"/>
        </w:rPr>
        <w:t>依据本磋商文件规定享受扶持政策获得政府采购合同的，小微企业不得将合同分包给大中型企业，中型企业不得将合同分包给大型企业。</w:t>
      </w:r>
    </w:p>
    <w:p>
      <w:pPr>
        <w:pStyle w:val="5"/>
        <w:spacing w:line="360" w:lineRule="auto"/>
        <w:rPr>
          <w:rFonts w:ascii="宋体" w:hAnsi="宋体" w:cs="宋体"/>
          <w:color w:val="auto"/>
          <w:highlight w:val="none"/>
        </w:rPr>
      </w:pPr>
      <w:bookmarkStart w:id="39" w:name="_Toc74323458"/>
      <w:r>
        <w:rPr>
          <w:rFonts w:hint="eastAsia" w:ascii="宋体" w:hAnsi="宋体" w:cs="宋体"/>
          <w:color w:val="auto"/>
          <w:highlight w:val="none"/>
        </w:rPr>
        <w:br w:type="page"/>
      </w:r>
      <w:r>
        <w:rPr>
          <w:rFonts w:hint="eastAsia" w:ascii="宋体" w:hAnsi="宋体" w:cs="宋体"/>
          <w:color w:val="auto"/>
          <w:highlight w:val="none"/>
        </w:rPr>
        <w:t>第三章 采购需求</w:t>
      </w:r>
      <w:bookmarkEnd w:id="39"/>
    </w:p>
    <w:p>
      <w:pPr>
        <w:spacing w:line="440" w:lineRule="exact"/>
        <w:jc w:val="center"/>
        <w:rPr>
          <w:rFonts w:ascii="宋体" w:hAnsi="宋体" w:cs="宋体"/>
          <w:b/>
          <w:color w:val="auto"/>
          <w:sz w:val="32"/>
          <w:szCs w:val="32"/>
          <w:highlight w:val="none"/>
        </w:rPr>
      </w:pPr>
    </w:p>
    <w:p>
      <w:pPr>
        <w:spacing w:line="360" w:lineRule="auto"/>
        <w:jc w:val="left"/>
        <w:rPr>
          <w:rFonts w:ascii="宋体" w:hAnsi="宋体" w:cs="宋体"/>
          <w:b/>
          <w:color w:val="auto"/>
          <w:szCs w:val="21"/>
          <w:highlight w:val="none"/>
        </w:rPr>
      </w:pPr>
      <w:r>
        <w:rPr>
          <w:rFonts w:hint="eastAsia" w:ascii="宋体" w:hAnsi="宋体" w:cs="宋体"/>
          <w:b/>
          <w:color w:val="auto"/>
          <w:szCs w:val="21"/>
          <w:highlight w:val="none"/>
        </w:rPr>
        <w:t>说明：</w:t>
      </w:r>
    </w:p>
    <w:p>
      <w:pPr>
        <w:spacing w:line="360" w:lineRule="exact"/>
        <w:ind w:left="-10" w:leftChars="-5" w:right="2" w:rightChars="1" w:firstLine="422" w:firstLineChars="200"/>
        <w:rPr>
          <w:rFonts w:ascii="宋体" w:hAnsi="宋体" w:cs="宋体"/>
          <w:b/>
          <w:bCs/>
          <w:color w:val="auto"/>
          <w:highlight w:val="none"/>
        </w:rPr>
      </w:pPr>
      <w:r>
        <w:rPr>
          <w:rFonts w:hint="eastAsia" w:ascii="宋体" w:hAnsi="宋体" w:cs="宋体"/>
          <w:b/>
          <w:bCs/>
          <w:color w:val="auto"/>
          <w:highlight w:val="none"/>
        </w:rPr>
        <w:t>1、采购需求中如出现品牌、型号或者生产厂家等均仅起参考作用，不属于指定品牌、型号或者生产厂家的情形，供应商可参照或者选用其他相当的品牌、型号或者生产供应商替代。但供应商的产品实质上应相当于或优于本需求中的技术要求。</w:t>
      </w:r>
    </w:p>
    <w:p>
      <w:pPr>
        <w:spacing w:line="360" w:lineRule="exact"/>
        <w:ind w:left="-10" w:leftChars="-5" w:right="2" w:rightChars="1" w:firstLine="422" w:firstLineChars="200"/>
        <w:rPr>
          <w:rFonts w:ascii="宋体" w:hAnsi="宋体" w:cs="宋体"/>
          <w:b/>
          <w:bCs/>
          <w:color w:val="auto"/>
          <w:highlight w:val="none"/>
        </w:rPr>
      </w:pPr>
      <w:r>
        <w:rPr>
          <w:rFonts w:hint="eastAsia" w:ascii="宋体" w:hAnsi="宋体" w:cs="宋体"/>
          <w:b/>
          <w:bCs/>
          <w:color w:val="auto"/>
          <w:highlight w:val="none"/>
        </w:rPr>
        <w:t>2、根据《财政部 发展改革委 生态环境部 市场监管总局关于调整优化节能产品、环境标志产品政府采购执行机制的通知》（财库〔2019〕9 号）和《关于印发节能产品政府采购品目清单的通知》（财库〔2019〕19 号）的规定，采购需求中如有货物产品，且货物产品属于节能产品政府采购品目清单内标注“★”的，供应商的竞标货物必须使用政府强制采购的节能产品，否则响应文件作无效响应处理。</w:t>
      </w:r>
    </w:p>
    <w:p>
      <w:pPr>
        <w:spacing w:line="360" w:lineRule="exact"/>
        <w:ind w:left="-10" w:leftChars="-5" w:right="2" w:rightChars="1" w:firstLine="422" w:firstLineChars="200"/>
        <w:rPr>
          <w:rFonts w:ascii="宋体" w:hAnsi="宋体" w:cs="宋体"/>
          <w:b/>
          <w:bCs/>
          <w:color w:val="auto"/>
          <w:highlight w:val="none"/>
        </w:rPr>
      </w:pPr>
      <w:r>
        <w:rPr>
          <w:rFonts w:hint="eastAsia" w:ascii="宋体" w:hAnsi="宋体" w:cs="宋体"/>
          <w:b/>
          <w:bCs/>
          <w:color w:val="auto"/>
          <w:highlight w:val="none"/>
        </w:rPr>
        <w:t>3、如供应商竞标产品存在侵犯他人的知识产权或者专利成果行为的，由供应商自行承担相应法律责任。</w:t>
      </w:r>
    </w:p>
    <w:p>
      <w:pPr>
        <w:spacing w:line="360" w:lineRule="exact"/>
        <w:ind w:left="-10" w:leftChars="-5" w:right="2" w:rightChars="1" w:firstLine="422" w:firstLineChars="200"/>
        <w:rPr>
          <w:rFonts w:ascii="宋体" w:hAnsi="宋体" w:cs="宋体"/>
          <w:b/>
          <w:bCs/>
          <w:color w:val="auto"/>
          <w:highlight w:val="none"/>
        </w:rPr>
      </w:pPr>
      <w:r>
        <w:rPr>
          <w:rFonts w:hint="eastAsia" w:ascii="宋体" w:hAnsi="宋体" w:cs="宋体"/>
          <w:b/>
          <w:bCs/>
          <w:color w:val="auto"/>
          <w:highlight w:val="none"/>
        </w:rPr>
        <w:t>4、“实质性要求”是指竞争性磋商文件中已经指明不满足则响应无效的条款，或者不能负偏离的条款，或者采购需求中带“▲”的条款。</w:t>
      </w:r>
    </w:p>
    <w:p>
      <w:pPr>
        <w:spacing w:line="360" w:lineRule="auto"/>
        <w:ind w:firstLine="310" w:firstLineChars="147"/>
        <w:jc w:val="left"/>
        <w:rPr>
          <w:rFonts w:hint="eastAsia" w:ascii="宋体" w:hAnsi="宋体" w:cs="宋体"/>
          <w:bCs/>
          <w:color w:val="auto"/>
          <w:szCs w:val="21"/>
          <w:highlight w:val="none"/>
          <w:u w:val="single"/>
        </w:rPr>
      </w:pPr>
      <w:bookmarkStart w:id="40" w:name="_Toc74323459"/>
      <w:r>
        <w:rPr>
          <w:rFonts w:hint="eastAsia" w:ascii="宋体" w:hAnsi="宋体" w:cs="宋体"/>
          <w:b/>
          <w:color w:val="auto"/>
          <w:szCs w:val="21"/>
          <w:highlight w:val="none"/>
        </w:rPr>
        <w:t>分标1</w:t>
      </w:r>
      <w:r>
        <w:rPr>
          <w:rFonts w:hint="eastAsia" w:ascii="宋体" w:hAnsi="宋体" w:cs="宋体"/>
          <w:b/>
          <w:color w:val="auto"/>
          <w:szCs w:val="21"/>
          <w:highlight w:val="none"/>
          <w:lang w:eastAsia="zh-CN"/>
        </w:rPr>
        <w:t>（数据底图绘制服务）</w:t>
      </w:r>
      <w:r>
        <w:rPr>
          <w:rFonts w:hint="eastAsia" w:ascii="宋体" w:hAnsi="宋体" w:cs="宋体"/>
          <w:b/>
          <w:color w:val="auto"/>
          <w:szCs w:val="21"/>
          <w:highlight w:val="none"/>
          <w:lang w:val="en-US" w:eastAsia="zh-CN"/>
        </w:rPr>
        <w:t xml:space="preserve">           </w:t>
      </w:r>
      <w:r>
        <w:rPr>
          <w:rFonts w:hint="eastAsia" w:ascii="宋体" w:hAnsi="宋体" w:cs="宋体"/>
          <w:b/>
          <w:color w:val="auto"/>
          <w:szCs w:val="21"/>
          <w:highlight w:val="none"/>
        </w:rPr>
        <w:t>采购预算：</w:t>
      </w:r>
      <w:r>
        <w:rPr>
          <w:rFonts w:hint="eastAsia" w:ascii="宋体" w:hAnsi="宋体" w:cs="宋体"/>
          <w:b/>
          <w:color w:val="auto"/>
          <w:szCs w:val="21"/>
          <w:highlight w:val="none"/>
          <w:u w:val="single"/>
        </w:rPr>
        <w:t>30.00万元</w:t>
      </w:r>
      <w:r>
        <w:rPr>
          <w:rFonts w:hint="eastAsia" w:ascii="宋体" w:hAnsi="宋体" w:cs="宋体"/>
          <w:b/>
          <w:color w:val="auto"/>
          <w:szCs w:val="21"/>
          <w:highlight w:val="none"/>
        </w:rPr>
        <w:t xml:space="preserve">      </w:t>
      </w:r>
    </w:p>
    <w:tbl>
      <w:tblPr>
        <w:tblStyle w:val="30"/>
        <w:tblW w:w="971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5"/>
        <w:gridCol w:w="1445"/>
        <w:gridCol w:w="68"/>
        <w:gridCol w:w="934"/>
        <w:gridCol w:w="1073"/>
        <w:gridCol w:w="55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7" w:hRule="atLeast"/>
          <w:jc w:val="center"/>
        </w:trPr>
        <w:tc>
          <w:tcPr>
            <w:tcW w:w="655" w:type="dxa"/>
            <w:vAlign w:val="center"/>
          </w:tcPr>
          <w:p>
            <w:pPr>
              <w:tabs>
                <w:tab w:val="left" w:pos="180"/>
                <w:tab w:val="left" w:pos="1620"/>
              </w:tabs>
              <w:spacing w:line="320" w:lineRule="exact"/>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1513" w:type="dxa"/>
            <w:gridSpan w:val="2"/>
            <w:vAlign w:val="center"/>
          </w:tcPr>
          <w:p>
            <w:pPr>
              <w:tabs>
                <w:tab w:val="left" w:pos="180"/>
                <w:tab w:val="left" w:pos="1620"/>
              </w:tabs>
              <w:spacing w:line="320" w:lineRule="exact"/>
              <w:jc w:val="center"/>
              <w:rPr>
                <w:rFonts w:ascii="宋体" w:hAnsi="宋体" w:cs="宋体"/>
                <w:color w:val="auto"/>
                <w:szCs w:val="21"/>
                <w:highlight w:val="none"/>
              </w:rPr>
            </w:pPr>
            <w:r>
              <w:rPr>
                <w:rFonts w:hint="eastAsia" w:ascii="宋体" w:hAnsi="宋体" w:cs="宋体"/>
                <w:color w:val="auto"/>
                <w:szCs w:val="21"/>
                <w:highlight w:val="none"/>
              </w:rPr>
              <w:t>标的的名称</w:t>
            </w:r>
          </w:p>
        </w:tc>
        <w:tc>
          <w:tcPr>
            <w:tcW w:w="934" w:type="dxa"/>
            <w:vAlign w:val="center"/>
          </w:tcPr>
          <w:p>
            <w:pPr>
              <w:tabs>
                <w:tab w:val="left" w:pos="180"/>
                <w:tab w:val="left" w:pos="1620"/>
              </w:tabs>
              <w:spacing w:line="320" w:lineRule="exact"/>
              <w:jc w:val="center"/>
              <w:rPr>
                <w:rFonts w:ascii="宋体" w:hAnsi="宋体" w:cs="宋体"/>
                <w:color w:val="auto"/>
                <w:szCs w:val="21"/>
                <w:highlight w:val="none"/>
              </w:rPr>
            </w:pPr>
            <w:r>
              <w:rPr>
                <w:rFonts w:hint="eastAsia" w:ascii="宋体" w:hAnsi="宋体" w:cs="宋体"/>
                <w:color w:val="auto"/>
                <w:szCs w:val="21"/>
                <w:highlight w:val="none"/>
              </w:rPr>
              <w:t>数量及单位</w:t>
            </w:r>
          </w:p>
        </w:tc>
        <w:tc>
          <w:tcPr>
            <w:tcW w:w="1073" w:type="dxa"/>
            <w:vAlign w:val="center"/>
          </w:tcPr>
          <w:p>
            <w:pPr>
              <w:tabs>
                <w:tab w:val="left" w:pos="180"/>
                <w:tab w:val="left" w:pos="1620"/>
              </w:tabs>
              <w:spacing w:line="320" w:lineRule="exact"/>
              <w:jc w:val="center"/>
              <w:rPr>
                <w:rFonts w:ascii="宋体" w:hAnsi="宋体" w:cs="宋体"/>
                <w:color w:val="auto"/>
                <w:szCs w:val="21"/>
                <w:highlight w:val="none"/>
              </w:rPr>
            </w:pPr>
            <w:r>
              <w:rPr>
                <w:rFonts w:hint="eastAsia" w:ascii="宋体" w:hAnsi="宋体" w:cs="宋体"/>
                <w:color w:val="auto"/>
                <w:szCs w:val="21"/>
                <w:highlight w:val="none"/>
              </w:rPr>
              <w:t>所属</w:t>
            </w:r>
          </w:p>
          <w:p>
            <w:pPr>
              <w:tabs>
                <w:tab w:val="left" w:pos="180"/>
                <w:tab w:val="left" w:pos="1620"/>
              </w:tabs>
              <w:spacing w:line="320" w:lineRule="exact"/>
              <w:jc w:val="center"/>
              <w:rPr>
                <w:rFonts w:ascii="宋体" w:hAnsi="宋体" w:cs="宋体"/>
                <w:color w:val="auto"/>
                <w:szCs w:val="21"/>
                <w:highlight w:val="none"/>
              </w:rPr>
            </w:pPr>
            <w:r>
              <w:rPr>
                <w:rFonts w:hint="eastAsia" w:ascii="宋体" w:hAnsi="宋体" w:cs="宋体"/>
                <w:color w:val="auto"/>
                <w:szCs w:val="21"/>
                <w:highlight w:val="none"/>
              </w:rPr>
              <w:t>行业</w:t>
            </w:r>
          </w:p>
        </w:tc>
        <w:tc>
          <w:tcPr>
            <w:tcW w:w="5539" w:type="dxa"/>
            <w:vAlign w:val="center"/>
          </w:tcPr>
          <w:p>
            <w:pPr>
              <w:tabs>
                <w:tab w:val="left" w:pos="180"/>
                <w:tab w:val="left" w:pos="1620"/>
              </w:tabs>
              <w:spacing w:line="320" w:lineRule="exact"/>
              <w:jc w:val="center"/>
              <w:rPr>
                <w:rFonts w:ascii="宋体" w:hAnsi="宋体" w:cs="宋体"/>
                <w:color w:val="auto"/>
                <w:szCs w:val="21"/>
                <w:highlight w:val="none"/>
              </w:rPr>
            </w:pPr>
            <w:r>
              <w:rPr>
                <w:rFonts w:hint="eastAsia" w:ascii="宋体" w:hAnsi="宋体" w:cs="宋体"/>
                <w:color w:val="auto"/>
                <w:szCs w:val="21"/>
                <w:highlight w:val="none"/>
                <w:lang w:eastAsia="zh-CN"/>
              </w:rPr>
              <w:t>技术</w:t>
            </w:r>
            <w:r>
              <w:rPr>
                <w:rFonts w:hint="eastAsia" w:ascii="宋体" w:hAnsi="宋体" w:cs="宋体"/>
                <w:color w:val="auto"/>
                <w:szCs w:val="21"/>
                <w:highlight w:val="none"/>
              </w:rPr>
              <w:t>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48" w:hRule="atLeast"/>
          <w:jc w:val="center"/>
        </w:trPr>
        <w:tc>
          <w:tcPr>
            <w:tcW w:w="655" w:type="dxa"/>
            <w:vAlign w:val="center"/>
          </w:tcPr>
          <w:p>
            <w:pPr>
              <w:tabs>
                <w:tab w:val="left" w:pos="180"/>
                <w:tab w:val="left" w:pos="1620"/>
              </w:tabs>
              <w:spacing w:line="360"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1513" w:type="dxa"/>
            <w:gridSpan w:val="2"/>
            <w:vAlign w:val="center"/>
          </w:tcPr>
          <w:p>
            <w:pPr>
              <w:tabs>
                <w:tab w:val="left" w:pos="180"/>
                <w:tab w:val="left" w:pos="1620"/>
              </w:tabs>
              <w:spacing w:line="360" w:lineRule="auto"/>
              <w:jc w:val="center"/>
              <w:rPr>
                <w:rFonts w:ascii="宋体" w:hAnsi="宋体" w:cs="宋体"/>
                <w:color w:val="auto"/>
                <w:szCs w:val="21"/>
                <w:highlight w:val="none"/>
              </w:rPr>
            </w:pPr>
            <w:r>
              <w:rPr>
                <w:rFonts w:hint="eastAsia" w:ascii="宋体" w:hAnsi="宋体" w:cs="宋体"/>
                <w:color w:val="auto"/>
                <w:szCs w:val="21"/>
                <w:highlight w:val="none"/>
              </w:rPr>
              <w:t>数据底图绘制服务</w:t>
            </w:r>
          </w:p>
        </w:tc>
        <w:tc>
          <w:tcPr>
            <w:tcW w:w="934" w:type="dxa"/>
            <w:vAlign w:val="center"/>
          </w:tcPr>
          <w:p>
            <w:pPr>
              <w:tabs>
                <w:tab w:val="left" w:pos="180"/>
                <w:tab w:val="left" w:pos="1620"/>
              </w:tabs>
              <w:spacing w:line="360" w:lineRule="auto"/>
              <w:jc w:val="center"/>
              <w:rPr>
                <w:rFonts w:ascii="宋体" w:hAnsi="宋体" w:cs="宋体"/>
                <w:color w:val="auto"/>
                <w:szCs w:val="21"/>
                <w:highlight w:val="none"/>
              </w:rPr>
            </w:pPr>
            <w:r>
              <w:rPr>
                <w:rFonts w:hint="eastAsia" w:ascii="宋体" w:hAnsi="宋体" w:cs="宋体"/>
                <w:color w:val="auto"/>
                <w:szCs w:val="21"/>
                <w:highlight w:val="none"/>
              </w:rPr>
              <w:t>1项</w:t>
            </w:r>
          </w:p>
        </w:tc>
        <w:tc>
          <w:tcPr>
            <w:tcW w:w="1073" w:type="dxa"/>
            <w:vAlign w:val="center"/>
          </w:tcPr>
          <w:p>
            <w:pPr>
              <w:tabs>
                <w:tab w:val="left" w:pos="180"/>
                <w:tab w:val="left" w:pos="1620"/>
              </w:tabs>
              <w:spacing w:line="360" w:lineRule="auto"/>
              <w:jc w:val="center"/>
              <w:rPr>
                <w:rFonts w:ascii="宋体" w:hAnsi="宋体" w:cs="宋体"/>
                <w:color w:val="auto"/>
                <w:szCs w:val="21"/>
                <w:highlight w:val="none"/>
              </w:rPr>
            </w:pPr>
            <w:r>
              <w:rPr>
                <w:rFonts w:hint="eastAsia" w:ascii="宋体" w:hAnsi="宋体" w:cs="宋体"/>
                <w:color w:val="auto"/>
                <w:szCs w:val="21"/>
                <w:highlight w:val="none"/>
              </w:rPr>
              <w:t>其他未列明行业</w:t>
            </w:r>
          </w:p>
        </w:tc>
        <w:tc>
          <w:tcPr>
            <w:tcW w:w="5539" w:type="dxa"/>
          </w:tcPr>
          <w:p>
            <w:pPr>
              <w:spacing w:line="520" w:lineRule="exact"/>
              <w:ind w:firstLine="422" w:firstLineChars="200"/>
              <w:outlineLvl w:val="0"/>
              <w:rPr>
                <w:rFonts w:ascii="宋体" w:hAnsi="宋体" w:cs="宋体"/>
                <w:b/>
                <w:color w:val="auto"/>
                <w:szCs w:val="21"/>
                <w:highlight w:val="none"/>
              </w:rPr>
            </w:pPr>
            <w:bookmarkStart w:id="41" w:name="_Toc173773577"/>
            <w:r>
              <w:rPr>
                <w:rFonts w:hint="eastAsia" w:ascii="宋体" w:hAnsi="宋体" w:cs="宋体"/>
                <w:b/>
                <w:color w:val="auto"/>
                <w:szCs w:val="21"/>
                <w:highlight w:val="none"/>
              </w:rPr>
              <w:t>一、项目总体目标</w:t>
            </w:r>
            <w:bookmarkEnd w:id="41"/>
          </w:p>
          <w:p>
            <w:pPr>
              <w:spacing w:line="5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针对耕地利用动态精准监测需求，项目以行政村范围作为基本单元，在广西14个地市中的41个县区，共选取具有代表性的106个行政村作为监测点，综合运用卫星遥感、无人机、人工智能等信息化手段，开展土地利用状况分类、农田边界提取等工作，实现106个监测点的农田地块边界等信息的准确获取及底图绘制；在此基础上，对全区23.76万平方公里的高程、坡度类型等矢量数据进行融合更新，实现各监测点地块农业资源属性的更新完善。 </w:t>
            </w:r>
          </w:p>
          <w:p>
            <w:pPr>
              <w:spacing w:line="520" w:lineRule="exact"/>
              <w:ind w:firstLine="422" w:firstLineChars="200"/>
              <w:outlineLvl w:val="0"/>
              <w:rPr>
                <w:rFonts w:ascii="宋体" w:hAnsi="宋体" w:cs="宋体"/>
                <w:b/>
                <w:color w:val="auto"/>
                <w:szCs w:val="21"/>
                <w:highlight w:val="none"/>
              </w:rPr>
            </w:pPr>
            <w:bookmarkStart w:id="42" w:name="_Toc173773578"/>
            <w:r>
              <w:rPr>
                <w:rFonts w:hint="eastAsia" w:ascii="宋体" w:hAnsi="宋体" w:cs="宋体"/>
                <w:b/>
                <w:color w:val="auto"/>
                <w:szCs w:val="21"/>
                <w:highlight w:val="none"/>
              </w:rPr>
              <w:t>二、项目服务内容</w:t>
            </w:r>
            <w:bookmarkEnd w:id="42"/>
            <w:r>
              <w:rPr>
                <w:rFonts w:hint="eastAsia" w:ascii="宋体" w:hAnsi="宋体" w:cs="宋体"/>
                <w:b/>
                <w:color w:val="auto"/>
                <w:szCs w:val="21"/>
                <w:highlight w:val="none"/>
              </w:rPr>
              <w:t>及要求</w:t>
            </w:r>
          </w:p>
          <w:p>
            <w:pPr>
              <w:spacing w:line="52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（1）监测点选址</w:t>
            </w:r>
          </w:p>
          <w:p>
            <w:pPr>
              <w:spacing w:line="5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以行政村范围作为监测点的基本单元，在满足至少一县一点的前提下，在全区14个地市中的41个县区，布设106个监测点。每个监测点在地形地貌、土壤类型和养分、作物类型、人口结构等多个方面需具有代表性，能够最大程度地代表监测点所在区县的整体情况。本项目监测点所涉及的市县如表2.1所示。</w:t>
            </w:r>
          </w:p>
          <w:p>
            <w:pPr>
              <w:spacing w:line="520" w:lineRule="exact"/>
              <w:ind w:firstLine="420" w:firstLineChars="200"/>
              <w:jc w:val="center"/>
              <w:rPr>
                <w:rFonts w:ascii="宋体" w:hAnsi="宋体" w:cs="宋体"/>
                <w:color w:val="auto"/>
                <w:szCs w:val="21"/>
                <w:highlight w:val="none"/>
              </w:rPr>
            </w:pPr>
            <w:r>
              <w:rPr>
                <w:rFonts w:hint="eastAsia" w:ascii="宋体" w:hAnsi="宋体" w:cs="宋体"/>
                <w:color w:val="auto"/>
                <w:szCs w:val="21"/>
                <w:highlight w:val="none"/>
              </w:rPr>
              <w:t>表2.1县（区）分布情况表</w:t>
            </w:r>
          </w:p>
          <w:tbl>
            <w:tblPr>
              <w:tblStyle w:val="30"/>
              <w:tblW w:w="5342" w:type="dxa"/>
              <w:tblInd w:w="-2" w:type="dxa"/>
              <w:tblLayout w:type="fixed"/>
              <w:tblCellMar>
                <w:top w:w="0" w:type="dxa"/>
                <w:left w:w="108" w:type="dxa"/>
                <w:bottom w:w="0" w:type="dxa"/>
                <w:right w:w="108" w:type="dxa"/>
              </w:tblCellMar>
            </w:tblPr>
            <w:tblGrid>
              <w:gridCol w:w="773"/>
              <w:gridCol w:w="1961"/>
              <w:gridCol w:w="877"/>
              <w:gridCol w:w="1731"/>
            </w:tblGrid>
            <w:tr>
              <w:tblPrEx>
                <w:tblCellMar>
                  <w:top w:w="0" w:type="dxa"/>
                  <w:left w:w="108" w:type="dxa"/>
                  <w:bottom w:w="0" w:type="dxa"/>
                  <w:right w:w="108" w:type="dxa"/>
                </w:tblCellMar>
              </w:tblPrEx>
              <w:trPr>
                <w:trHeight w:val="270" w:hRule="atLeast"/>
              </w:trPr>
              <w:tc>
                <w:tcPr>
                  <w:tcW w:w="77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市</w:t>
                  </w:r>
                </w:p>
              </w:tc>
              <w:tc>
                <w:tcPr>
                  <w:tcW w:w="196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县（区）</w:t>
                  </w:r>
                </w:p>
              </w:tc>
              <w:tc>
                <w:tcPr>
                  <w:tcW w:w="87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市</w:t>
                  </w:r>
                </w:p>
              </w:tc>
              <w:tc>
                <w:tcPr>
                  <w:tcW w:w="173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县（区）</w:t>
                  </w:r>
                </w:p>
              </w:tc>
            </w:tr>
            <w:tr>
              <w:tblPrEx>
                <w:tblCellMar>
                  <w:top w:w="0" w:type="dxa"/>
                  <w:left w:w="108" w:type="dxa"/>
                  <w:bottom w:w="0" w:type="dxa"/>
                  <w:right w:w="108" w:type="dxa"/>
                </w:tblCellMar>
              </w:tblPrEx>
              <w:trPr>
                <w:trHeight w:val="270" w:hRule="atLeast"/>
              </w:trPr>
              <w:tc>
                <w:tcPr>
                  <w:tcW w:w="773" w:type="dxa"/>
                  <w:vMerge w:val="restart"/>
                  <w:tcBorders>
                    <w:top w:val="nil"/>
                    <w:left w:val="single" w:color="auto" w:sz="4" w:space="0"/>
                    <w:right w:val="single" w:color="auto" w:sz="4" w:space="0"/>
                  </w:tcBorders>
                  <w:shd w:val="clear" w:color="auto" w:fill="auto"/>
                  <w:noWrap/>
                  <w:vAlign w:val="center"/>
                </w:tcPr>
                <w:p>
                  <w:pPr>
                    <w:widowControl/>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南宁</w:t>
                  </w:r>
                </w:p>
              </w:tc>
              <w:tc>
                <w:tcPr>
                  <w:tcW w:w="196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隆安县</w:t>
                  </w:r>
                </w:p>
              </w:tc>
              <w:tc>
                <w:tcPr>
                  <w:tcW w:w="877" w:type="dxa"/>
                  <w:vMerge w:val="restart"/>
                  <w:tcBorders>
                    <w:top w:val="nil"/>
                    <w:left w:val="nil"/>
                    <w:right w:val="single" w:color="auto" w:sz="4" w:space="0"/>
                  </w:tcBorders>
                  <w:shd w:val="clear" w:color="auto" w:fill="auto"/>
                  <w:noWrap/>
                  <w:vAlign w:val="center"/>
                </w:tcPr>
                <w:p>
                  <w:pPr>
                    <w:widowControl/>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柳州</w:t>
                  </w:r>
                </w:p>
              </w:tc>
              <w:tc>
                <w:tcPr>
                  <w:tcW w:w="173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鹿寨县</w:t>
                  </w:r>
                </w:p>
              </w:tc>
            </w:tr>
            <w:tr>
              <w:tblPrEx>
                <w:tblCellMar>
                  <w:top w:w="0" w:type="dxa"/>
                  <w:left w:w="108" w:type="dxa"/>
                  <w:bottom w:w="0" w:type="dxa"/>
                  <w:right w:w="108" w:type="dxa"/>
                </w:tblCellMar>
              </w:tblPrEx>
              <w:trPr>
                <w:trHeight w:val="285" w:hRule="atLeast"/>
              </w:trPr>
              <w:tc>
                <w:tcPr>
                  <w:tcW w:w="773" w:type="dxa"/>
                  <w:vMerge w:val="continue"/>
                  <w:tcBorders>
                    <w:left w:val="single" w:color="auto" w:sz="4" w:space="0"/>
                    <w:right w:val="single" w:color="auto" w:sz="4" w:space="0"/>
                  </w:tcBorders>
                  <w:shd w:val="clear" w:color="auto" w:fill="auto"/>
                  <w:noWrap/>
                  <w:vAlign w:val="center"/>
                </w:tcPr>
                <w:p>
                  <w:pPr>
                    <w:widowControl/>
                    <w:jc w:val="left"/>
                    <w:rPr>
                      <w:rFonts w:ascii="宋体" w:hAnsi="宋体" w:cs="宋体"/>
                      <w:color w:val="auto"/>
                      <w:kern w:val="0"/>
                      <w:sz w:val="21"/>
                      <w:szCs w:val="21"/>
                      <w:highlight w:val="none"/>
                    </w:rPr>
                  </w:pPr>
                </w:p>
              </w:tc>
              <w:tc>
                <w:tcPr>
                  <w:tcW w:w="196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马山县</w:t>
                  </w:r>
                </w:p>
              </w:tc>
              <w:tc>
                <w:tcPr>
                  <w:tcW w:w="877" w:type="dxa"/>
                  <w:vMerge w:val="continue"/>
                  <w:tcBorders>
                    <w:left w:val="nil"/>
                    <w:right w:val="single" w:color="auto" w:sz="4" w:space="0"/>
                  </w:tcBorders>
                  <w:shd w:val="clear" w:color="auto" w:fill="auto"/>
                  <w:noWrap/>
                  <w:vAlign w:val="center"/>
                </w:tcPr>
                <w:p>
                  <w:pPr>
                    <w:widowControl/>
                    <w:jc w:val="left"/>
                    <w:rPr>
                      <w:rFonts w:ascii="宋体" w:hAnsi="宋体" w:cs="宋体"/>
                      <w:color w:val="auto"/>
                      <w:kern w:val="0"/>
                      <w:sz w:val="21"/>
                      <w:szCs w:val="21"/>
                      <w:highlight w:val="none"/>
                    </w:rPr>
                  </w:pPr>
                </w:p>
              </w:tc>
              <w:tc>
                <w:tcPr>
                  <w:tcW w:w="173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融安县</w:t>
                  </w:r>
                </w:p>
              </w:tc>
            </w:tr>
            <w:tr>
              <w:tblPrEx>
                <w:tblCellMar>
                  <w:top w:w="0" w:type="dxa"/>
                  <w:left w:w="108" w:type="dxa"/>
                  <w:bottom w:w="0" w:type="dxa"/>
                  <w:right w:w="108" w:type="dxa"/>
                </w:tblCellMar>
              </w:tblPrEx>
              <w:trPr>
                <w:trHeight w:val="270" w:hRule="atLeast"/>
              </w:trPr>
              <w:tc>
                <w:tcPr>
                  <w:tcW w:w="773" w:type="dxa"/>
                  <w:vMerge w:val="continue"/>
                  <w:tcBorders>
                    <w:left w:val="single" w:color="auto" w:sz="4" w:space="0"/>
                    <w:right w:val="single" w:color="auto" w:sz="4" w:space="0"/>
                  </w:tcBorders>
                  <w:shd w:val="clear" w:color="auto" w:fill="auto"/>
                  <w:noWrap/>
                  <w:vAlign w:val="center"/>
                </w:tcPr>
                <w:p>
                  <w:pPr>
                    <w:widowControl/>
                    <w:jc w:val="left"/>
                    <w:rPr>
                      <w:rFonts w:ascii="宋体" w:hAnsi="宋体" w:cs="宋体"/>
                      <w:color w:val="auto"/>
                      <w:kern w:val="0"/>
                      <w:sz w:val="21"/>
                      <w:szCs w:val="21"/>
                      <w:highlight w:val="none"/>
                    </w:rPr>
                  </w:pPr>
                </w:p>
              </w:tc>
              <w:tc>
                <w:tcPr>
                  <w:tcW w:w="196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宾阳县</w:t>
                  </w:r>
                </w:p>
              </w:tc>
              <w:tc>
                <w:tcPr>
                  <w:tcW w:w="877" w:type="dxa"/>
                  <w:vMerge w:val="continue"/>
                  <w:tcBorders>
                    <w:left w:val="nil"/>
                    <w:right w:val="single" w:color="auto" w:sz="4" w:space="0"/>
                  </w:tcBorders>
                  <w:shd w:val="clear" w:color="auto" w:fill="auto"/>
                  <w:noWrap/>
                  <w:vAlign w:val="center"/>
                </w:tcPr>
                <w:p>
                  <w:pPr>
                    <w:widowControl/>
                    <w:jc w:val="left"/>
                    <w:rPr>
                      <w:rFonts w:ascii="宋体" w:hAnsi="宋体" w:cs="宋体"/>
                      <w:color w:val="auto"/>
                      <w:kern w:val="0"/>
                      <w:sz w:val="21"/>
                      <w:szCs w:val="21"/>
                      <w:highlight w:val="none"/>
                    </w:rPr>
                  </w:pPr>
                </w:p>
              </w:tc>
              <w:tc>
                <w:tcPr>
                  <w:tcW w:w="173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柳城县</w:t>
                  </w:r>
                </w:p>
              </w:tc>
            </w:tr>
            <w:tr>
              <w:tblPrEx>
                <w:tblCellMar>
                  <w:top w:w="0" w:type="dxa"/>
                  <w:left w:w="108" w:type="dxa"/>
                  <w:bottom w:w="0" w:type="dxa"/>
                  <w:right w:w="108" w:type="dxa"/>
                </w:tblCellMar>
              </w:tblPrEx>
              <w:trPr>
                <w:trHeight w:val="270" w:hRule="atLeast"/>
              </w:trPr>
              <w:tc>
                <w:tcPr>
                  <w:tcW w:w="773" w:type="dxa"/>
                  <w:vMerge w:val="continue"/>
                  <w:tcBorders>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auto"/>
                      <w:kern w:val="0"/>
                      <w:sz w:val="21"/>
                      <w:szCs w:val="21"/>
                      <w:highlight w:val="none"/>
                    </w:rPr>
                  </w:pPr>
                </w:p>
              </w:tc>
              <w:tc>
                <w:tcPr>
                  <w:tcW w:w="196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横州市</w:t>
                  </w:r>
                </w:p>
              </w:tc>
              <w:tc>
                <w:tcPr>
                  <w:tcW w:w="877" w:type="dxa"/>
                  <w:vMerge w:val="continue"/>
                  <w:tcBorders>
                    <w:left w:val="nil"/>
                    <w:bottom w:val="single" w:color="auto" w:sz="4" w:space="0"/>
                    <w:right w:val="single" w:color="auto" w:sz="4" w:space="0"/>
                  </w:tcBorders>
                  <w:shd w:val="clear" w:color="auto" w:fill="auto"/>
                  <w:noWrap/>
                  <w:vAlign w:val="center"/>
                </w:tcPr>
                <w:p>
                  <w:pPr>
                    <w:widowControl/>
                    <w:jc w:val="left"/>
                    <w:rPr>
                      <w:rFonts w:ascii="宋体" w:hAnsi="宋体" w:cs="宋体"/>
                      <w:color w:val="auto"/>
                      <w:kern w:val="0"/>
                      <w:sz w:val="21"/>
                      <w:szCs w:val="21"/>
                      <w:highlight w:val="none"/>
                    </w:rPr>
                  </w:pPr>
                </w:p>
              </w:tc>
              <w:tc>
                <w:tcPr>
                  <w:tcW w:w="173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三江侗族自治县</w:t>
                  </w:r>
                </w:p>
              </w:tc>
            </w:tr>
            <w:tr>
              <w:tblPrEx>
                <w:tblCellMar>
                  <w:top w:w="0" w:type="dxa"/>
                  <w:left w:w="108" w:type="dxa"/>
                  <w:bottom w:w="0" w:type="dxa"/>
                  <w:right w:w="108" w:type="dxa"/>
                </w:tblCellMar>
              </w:tblPrEx>
              <w:trPr>
                <w:trHeight w:val="285" w:hRule="atLeast"/>
              </w:trPr>
              <w:tc>
                <w:tcPr>
                  <w:tcW w:w="773" w:type="dxa"/>
                  <w:vMerge w:val="restart"/>
                  <w:tcBorders>
                    <w:top w:val="nil"/>
                    <w:left w:val="single" w:color="auto" w:sz="4" w:space="0"/>
                    <w:right w:val="single" w:color="auto" w:sz="4" w:space="0"/>
                  </w:tcBorders>
                  <w:shd w:val="clear" w:color="auto" w:fill="auto"/>
                  <w:noWrap/>
                  <w:vAlign w:val="center"/>
                </w:tcPr>
                <w:p>
                  <w:pPr>
                    <w:widowControl/>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桂林</w:t>
                  </w:r>
                </w:p>
              </w:tc>
              <w:tc>
                <w:tcPr>
                  <w:tcW w:w="196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临桂区</w:t>
                  </w:r>
                </w:p>
              </w:tc>
              <w:tc>
                <w:tcPr>
                  <w:tcW w:w="877" w:type="dxa"/>
                  <w:vMerge w:val="restart"/>
                  <w:tcBorders>
                    <w:top w:val="nil"/>
                    <w:left w:val="nil"/>
                    <w:right w:val="single" w:color="auto" w:sz="4" w:space="0"/>
                  </w:tcBorders>
                  <w:shd w:val="clear" w:color="auto" w:fill="auto"/>
                  <w:noWrap/>
                  <w:vAlign w:val="center"/>
                </w:tcPr>
                <w:p>
                  <w:pPr>
                    <w:widowControl/>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梧州</w:t>
                  </w:r>
                </w:p>
              </w:tc>
              <w:tc>
                <w:tcPr>
                  <w:tcW w:w="173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藤县</w:t>
                  </w:r>
                </w:p>
              </w:tc>
            </w:tr>
            <w:tr>
              <w:tblPrEx>
                <w:tblCellMar>
                  <w:top w:w="0" w:type="dxa"/>
                  <w:left w:w="108" w:type="dxa"/>
                  <w:bottom w:w="0" w:type="dxa"/>
                  <w:right w:w="108" w:type="dxa"/>
                </w:tblCellMar>
              </w:tblPrEx>
              <w:trPr>
                <w:trHeight w:val="285" w:hRule="atLeast"/>
              </w:trPr>
              <w:tc>
                <w:tcPr>
                  <w:tcW w:w="773" w:type="dxa"/>
                  <w:vMerge w:val="continue"/>
                  <w:tcBorders>
                    <w:left w:val="single" w:color="auto" w:sz="4" w:space="0"/>
                    <w:right w:val="single" w:color="auto" w:sz="4" w:space="0"/>
                  </w:tcBorders>
                  <w:shd w:val="clear" w:color="auto" w:fill="auto"/>
                  <w:noWrap/>
                  <w:vAlign w:val="center"/>
                </w:tcPr>
                <w:p>
                  <w:pPr>
                    <w:widowControl/>
                    <w:jc w:val="left"/>
                    <w:rPr>
                      <w:rFonts w:ascii="宋体" w:hAnsi="宋体" w:cs="宋体"/>
                      <w:color w:val="auto"/>
                      <w:kern w:val="0"/>
                      <w:sz w:val="21"/>
                      <w:szCs w:val="21"/>
                      <w:highlight w:val="none"/>
                    </w:rPr>
                  </w:pPr>
                </w:p>
              </w:tc>
              <w:tc>
                <w:tcPr>
                  <w:tcW w:w="196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全州县</w:t>
                  </w:r>
                </w:p>
              </w:tc>
              <w:tc>
                <w:tcPr>
                  <w:tcW w:w="877" w:type="dxa"/>
                  <w:vMerge w:val="continue"/>
                  <w:tcBorders>
                    <w:left w:val="nil"/>
                    <w:bottom w:val="single" w:color="auto" w:sz="4" w:space="0"/>
                    <w:right w:val="single" w:color="auto" w:sz="4" w:space="0"/>
                  </w:tcBorders>
                  <w:shd w:val="clear" w:color="auto" w:fill="auto"/>
                  <w:noWrap/>
                  <w:vAlign w:val="center"/>
                </w:tcPr>
                <w:p>
                  <w:pPr>
                    <w:widowControl/>
                    <w:jc w:val="left"/>
                    <w:rPr>
                      <w:rFonts w:ascii="宋体" w:hAnsi="宋体" w:cs="宋体"/>
                      <w:color w:val="auto"/>
                      <w:kern w:val="0"/>
                      <w:sz w:val="21"/>
                      <w:szCs w:val="21"/>
                      <w:highlight w:val="none"/>
                    </w:rPr>
                  </w:pPr>
                </w:p>
              </w:tc>
              <w:tc>
                <w:tcPr>
                  <w:tcW w:w="173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岑溪市</w:t>
                  </w:r>
                </w:p>
              </w:tc>
            </w:tr>
            <w:tr>
              <w:tblPrEx>
                <w:tblCellMar>
                  <w:top w:w="0" w:type="dxa"/>
                  <w:left w:w="108" w:type="dxa"/>
                  <w:bottom w:w="0" w:type="dxa"/>
                  <w:right w:w="108" w:type="dxa"/>
                </w:tblCellMar>
              </w:tblPrEx>
              <w:trPr>
                <w:trHeight w:val="270" w:hRule="atLeast"/>
              </w:trPr>
              <w:tc>
                <w:tcPr>
                  <w:tcW w:w="773" w:type="dxa"/>
                  <w:vMerge w:val="continue"/>
                  <w:tcBorders>
                    <w:left w:val="single" w:color="auto" w:sz="4" w:space="0"/>
                    <w:right w:val="single" w:color="auto" w:sz="4" w:space="0"/>
                  </w:tcBorders>
                  <w:shd w:val="clear" w:color="auto" w:fill="auto"/>
                  <w:noWrap/>
                  <w:vAlign w:val="center"/>
                </w:tcPr>
                <w:p>
                  <w:pPr>
                    <w:widowControl/>
                    <w:jc w:val="left"/>
                    <w:rPr>
                      <w:rFonts w:ascii="宋体" w:hAnsi="宋体" w:cs="宋体"/>
                      <w:color w:val="auto"/>
                      <w:kern w:val="0"/>
                      <w:sz w:val="21"/>
                      <w:szCs w:val="21"/>
                      <w:highlight w:val="none"/>
                    </w:rPr>
                  </w:pPr>
                </w:p>
              </w:tc>
              <w:tc>
                <w:tcPr>
                  <w:tcW w:w="196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资源县</w:t>
                  </w:r>
                </w:p>
              </w:tc>
              <w:tc>
                <w:tcPr>
                  <w:tcW w:w="87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防城港</w:t>
                  </w:r>
                </w:p>
              </w:tc>
              <w:tc>
                <w:tcPr>
                  <w:tcW w:w="173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上思县</w:t>
                  </w:r>
                </w:p>
              </w:tc>
            </w:tr>
            <w:tr>
              <w:tblPrEx>
                <w:tblCellMar>
                  <w:top w:w="0" w:type="dxa"/>
                  <w:left w:w="108" w:type="dxa"/>
                  <w:bottom w:w="0" w:type="dxa"/>
                  <w:right w:w="108" w:type="dxa"/>
                </w:tblCellMar>
              </w:tblPrEx>
              <w:trPr>
                <w:trHeight w:val="285" w:hRule="atLeast"/>
              </w:trPr>
              <w:tc>
                <w:tcPr>
                  <w:tcW w:w="773" w:type="dxa"/>
                  <w:vMerge w:val="continue"/>
                  <w:tcBorders>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auto"/>
                      <w:kern w:val="0"/>
                      <w:sz w:val="21"/>
                      <w:szCs w:val="21"/>
                      <w:highlight w:val="none"/>
                    </w:rPr>
                  </w:pPr>
                </w:p>
              </w:tc>
              <w:tc>
                <w:tcPr>
                  <w:tcW w:w="196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永福县</w:t>
                  </w:r>
                </w:p>
              </w:tc>
              <w:tc>
                <w:tcPr>
                  <w:tcW w:w="877" w:type="dxa"/>
                  <w:vMerge w:val="restart"/>
                  <w:tcBorders>
                    <w:top w:val="nil"/>
                    <w:left w:val="nil"/>
                    <w:right w:val="single" w:color="auto" w:sz="4" w:space="0"/>
                  </w:tcBorders>
                  <w:shd w:val="clear" w:color="auto" w:fill="auto"/>
                  <w:noWrap/>
                  <w:vAlign w:val="center"/>
                </w:tcPr>
                <w:p>
                  <w:pPr>
                    <w:widowControl/>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贵港</w:t>
                  </w:r>
                </w:p>
              </w:tc>
              <w:tc>
                <w:tcPr>
                  <w:tcW w:w="173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平南县</w:t>
                  </w:r>
                </w:p>
              </w:tc>
            </w:tr>
            <w:tr>
              <w:tblPrEx>
                <w:tblCellMar>
                  <w:top w:w="0" w:type="dxa"/>
                  <w:left w:w="108" w:type="dxa"/>
                  <w:bottom w:w="0" w:type="dxa"/>
                  <w:right w:w="108" w:type="dxa"/>
                </w:tblCellMar>
              </w:tblPrEx>
              <w:trPr>
                <w:trHeight w:val="285" w:hRule="atLeast"/>
              </w:trPr>
              <w:tc>
                <w:tcPr>
                  <w:tcW w:w="773" w:type="dxa"/>
                  <w:vMerge w:val="restart"/>
                  <w:tcBorders>
                    <w:top w:val="nil"/>
                    <w:left w:val="single" w:color="auto" w:sz="4" w:space="0"/>
                    <w:right w:val="single" w:color="auto" w:sz="4" w:space="0"/>
                  </w:tcBorders>
                  <w:shd w:val="clear" w:color="auto" w:fill="auto"/>
                  <w:noWrap/>
                  <w:vAlign w:val="center"/>
                </w:tcPr>
                <w:p>
                  <w:pPr>
                    <w:widowControl/>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北海</w:t>
                  </w:r>
                </w:p>
              </w:tc>
              <w:tc>
                <w:tcPr>
                  <w:tcW w:w="196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铁山港区</w:t>
                  </w:r>
                </w:p>
              </w:tc>
              <w:tc>
                <w:tcPr>
                  <w:tcW w:w="877" w:type="dxa"/>
                  <w:vMerge w:val="continue"/>
                  <w:tcBorders>
                    <w:left w:val="nil"/>
                    <w:bottom w:val="single" w:color="auto" w:sz="4" w:space="0"/>
                    <w:right w:val="single" w:color="auto" w:sz="4" w:space="0"/>
                  </w:tcBorders>
                  <w:shd w:val="clear" w:color="auto" w:fill="auto"/>
                  <w:noWrap/>
                  <w:vAlign w:val="center"/>
                </w:tcPr>
                <w:p>
                  <w:pPr>
                    <w:widowControl/>
                    <w:jc w:val="left"/>
                    <w:rPr>
                      <w:rFonts w:ascii="宋体" w:hAnsi="宋体" w:cs="宋体"/>
                      <w:color w:val="auto"/>
                      <w:kern w:val="0"/>
                      <w:sz w:val="21"/>
                      <w:szCs w:val="21"/>
                      <w:highlight w:val="none"/>
                    </w:rPr>
                  </w:pPr>
                </w:p>
              </w:tc>
              <w:tc>
                <w:tcPr>
                  <w:tcW w:w="173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桂平市</w:t>
                  </w:r>
                </w:p>
              </w:tc>
            </w:tr>
            <w:tr>
              <w:tblPrEx>
                <w:tblCellMar>
                  <w:top w:w="0" w:type="dxa"/>
                  <w:left w:w="108" w:type="dxa"/>
                  <w:bottom w:w="0" w:type="dxa"/>
                  <w:right w:w="108" w:type="dxa"/>
                </w:tblCellMar>
              </w:tblPrEx>
              <w:trPr>
                <w:trHeight w:val="270" w:hRule="atLeast"/>
              </w:trPr>
              <w:tc>
                <w:tcPr>
                  <w:tcW w:w="773" w:type="dxa"/>
                  <w:vMerge w:val="continue"/>
                  <w:tcBorders>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auto"/>
                      <w:kern w:val="0"/>
                      <w:sz w:val="21"/>
                      <w:szCs w:val="21"/>
                      <w:highlight w:val="none"/>
                    </w:rPr>
                  </w:pPr>
                </w:p>
              </w:tc>
              <w:tc>
                <w:tcPr>
                  <w:tcW w:w="196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合浦县</w:t>
                  </w:r>
                </w:p>
              </w:tc>
              <w:tc>
                <w:tcPr>
                  <w:tcW w:w="877" w:type="dxa"/>
                  <w:vMerge w:val="restart"/>
                  <w:tcBorders>
                    <w:top w:val="nil"/>
                    <w:left w:val="nil"/>
                    <w:right w:val="single" w:color="auto" w:sz="4" w:space="0"/>
                  </w:tcBorders>
                  <w:shd w:val="clear" w:color="auto" w:fill="auto"/>
                  <w:noWrap/>
                  <w:vAlign w:val="center"/>
                </w:tcPr>
                <w:p>
                  <w:pPr>
                    <w:widowControl/>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百色</w:t>
                  </w:r>
                </w:p>
              </w:tc>
              <w:tc>
                <w:tcPr>
                  <w:tcW w:w="173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田阳区</w:t>
                  </w:r>
                </w:p>
              </w:tc>
            </w:tr>
            <w:tr>
              <w:tblPrEx>
                <w:tblCellMar>
                  <w:top w:w="0" w:type="dxa"/>
                  <w:left w:w="108" w:type="dxa"/>
                  <w:bottom w:w="0" w:type="dxa"/>
                  <w:right w:w="108" w:type="dxa"/>
                </w:tblCellMar>
              </w:tblPrEx>
              <w:trPr>
                <w:trHeight w:val="285" w:hRule="atLeast"/>
              </w:trPr>
              <w:tc>
                <w:tcPr>
                  <w:tcW w:w="773" w:type="dxa"/>
                  <w:vMerge w:val="restart"/>
                  <w:tcBorders>
                    <w:top w:val="nil"/>
                    <w:left w:val="single" w:color="auto" w:sz="4" w:space="0"/>
                    <w:right w:val="single" w:color="auto" w:sz="4" w:space="0"/>
                  </w:tcBorders>
                  <w:shd w:val="clear" w:color="auto" w:fill="auto"/>
                  <w:noWrap/>
                  <w:vAlign w:val="center"/>
                </w:tcPr>
                <w:p>
                  <w:pPr>
                    <w:widowControl/>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钦州</w:t>
                  </w:r>
                </w:p>
              </w:tc>
              <w:tc>
                <w:tcPr>
                  <w:tcW w:w="196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灵山县</w:t>
                  </w:r>
                </w:p>
              </w:tc>
              <w:tc>
                <w:tcPr>
                  <w:tcW w:w="877" w:type="dxa"/>
                  <w:vMerge w:val="continue"/>
                  <w:tcBorders>
                    <w:left w:val="nil"/>
                    <w:right w:val="single" w:color="auto" w:sz="4" w:space="0"/>
                  </w:tcBorders>
                  <w:shd w:val="clear" w:color="auto" w:fill="auto"/>
                  <w:noWrap/>
                  <w:vAlign w:val="center"/>
                </w:tcPr>
                <w:p>
                  <w:pPr>
                    <w:widowControl/>
                    <w:jc w:val="left"/>
                    <w:rPr>
                      <w:rFonts w:ascii="宋体" w:hAnsi="宋体" w:cs="宋体"/>
                      <w:color w:val="auto"/>
                      <w:kern w:val="0"/>
                      <w:sz w:val="21"/>
                      <w:szCs w:val="21"/>
                      <w:highlight w:val="none"/>
                    </w:rPr>
                  </w:pPr>
                </w:p>
              </w:tc>
              <w:tc>
                <w:tcPr>
                  <w:tcW w:w="173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田东县</w:t>
                  </w:r>
                </w:p>
              </w:tc>
            </w:tr>
            <w:tr>
              <w:tblPrEx>
                <w:tblCellMar>
                  <w:top w:w="0" w:type="dxa"/>
                  <w:left w:w="108" w:type="dxa"/>
                  <w:bottom w:w="0" w:type="dxa"/>
                  <w:right w:w="108" w:type="dxa"/>
                </w:tblCellMar>
              </w:tblPrEx>
              <w:trPr>
                <w:trHeight w:val="285" w:hRule="atLeast"/>
              </w:trPr>
              <w:tc>
                <w:tcPr>
                  <w:tcW w:w="773" w:type="dxa"/>
                  <w:vMerge w:val="continue"/>
                  <w:tcBorders>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auto"/>
                      <w:kern w:val="0"/>
                      <w:sz w:val="21"/>
                      <w:szCs w:val="21"/>
                      <w:highlight w:val="none"/>
                    </w:rPr>
                  </w:pPr>
                </w:p>
              </w:tc>
              <w:tc>
                <w:tcPr>
                  <w:tcW w:w="196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浦北县</w:t>
                  </w:r>
                </w:p>
              </w:tc>
              <w:tc>
                <w:tcPr>
                  <w:tcW w:w="877" w:type="dxa"/>
                  <w:vMerge w:val="continue"/>
                  <w:tcBorders>
                    <w:left w:val="nil"/>
                    <w:right w:val="single" w:color="auto" w:sz="4" w:space="0"/>
                  </w:tcBorders>
                  <w:shd w:val="clear" w:color="auto" w:fill="auto"/>
                  <w:noWrap/>
                  <w:vAlign w:val="center"/>
                </w:tcPr>
                <w:p>
                  <w:pPr>
                    <w:widowControl/>
                    <w:jc w:val="left"/>
                    <w:rPr>
                      <w:rFonts w:ascii="宋体" w:hAnsi="宋体" w:cs="宋体"/>
                      <w:color w:val="auto"/>
                      <w:kern w:val="0"/>
                      <w:sz w:val="21"/>
                      <w:szCs w:val="21"/>
                      <w:highlight w:val="none"/>
                    </w:rPr>
                  </w:pPr>
                </w:p>
              </w:tc>
              <w:tc>
                <w:tcPr>
                  <w:tcW w:w="173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凌云县</w:t>
                  </w:r>
                </w:p>
              </w:tc>
            </w:tr>
            <w:tr>
              <w:tblPrEx>
                <w:tblCellMar>
                  <w:top w:w="0" w:type="dxa"/>
                  <w:left w:w="108" w:type="dxa"/>
                  <w:bottom w:w="0" w:type="dxa"/>
                  <w:right w:w="108" w:type="dxa"/>
                </w:tblCellMar>
              </w:tblPrEx>
              <w:trPr>
                <w:trHeight w:val="270" w:hRule="atLeast"/>
              </w:trPr>
              <w:tc>
                <w:tcPr>
                  <w:tcW w:w="773" w:type="dxa"/>
                  <w:vMerge w:val="restart"/>
                  <w:tcBorders>
                    <w:top w:val="nil"/>
                    <w:left w:val="single" w:color="auto" w:sz="4" w:space="0"/>
                    <w:right w:val="single" w:color="auto" w:sz="4" w:space="0"/>
                  </w:tcBorders>
                  <w:shd w:val="clear" w:color="auto" w:fill="auto"/>
                  <w:noWrap/>
                  <w:vAlign w:val="center"/>
                </w:tcPr>
                <w:p>
                  <w:pPr>
                    <w:widowControl/>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玉林</w:t>
                  </w:r>
                </w:p>
              </w:tc>
              <w:tc>
                <w:tcPr>
                  <w:tcW w:w="196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博白县</w:t>
                  </w:r>
                </w:p>
              </w:tc>
              <w:tc>
                <w:tcPr>
                  <w:tcW w:w="877" w:type="dxa"/>
                  <w:vMerge w:val="continue"/>
                  <w:tcBorders>
                    <w:left w:val="nil"/>
                    <w:right w:val="single" w:color="auto" w:sz="4" w:space="0"/>
                  </w:tcBorders>
                  <w:shd w:val="clear" w:color="auto" w:fill="auto"/>
                  <w:noWrap/>
                  <w:vAlign w:val="center"/>
                </w:tcPr>
                <w:p>
                  <w:pPr>
                    <w:widowControl/>
                    <w:jc w:val="left"/>
                    <w:rPr>
                      <w:rFonts w:ascii="宋体" w:hAnsi="宋体" w:cs="宋体"/>
                      <w:color w:val="auto"/>
                      <w:kern w:val="0"/>
                      <w:sz w:val="21"/>
                      <w:szCs w:val="21"/>
                      <w:highlight w:val="none"/>
                    </w:rPr>
                  </w:pPr>
                </w:p>
              </w:tc>
              <w:tc>
                <w:tcPr>
                  <w:tcW w:w="173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西林县</w:t>
                  </w:r>
                </w:p>
              </w:tc>
            </w:tr>
            <w:tr>
              <w:tblPrEx>
                <w:tblCellMar>
                  <w:top w:w="0" w:type="dxa"/>
                  <w:left w:w="108" w:type="dxa"/>
                  <w:bottom w:w="0" w:type="dxa"/>
                  <w:right w:w="108" w:type="dxa"/>
                </w:tblCellMar>
              </w:tblPrEx>
              <w:trPr>
                <w:trHeight w:val="270" w:hRule="atLeast"/>
              </w:trPr>
              <w:tc>
                <w:tcPr>
                  <w:tcW w:w="773" w:type="dxa"/>
                  <w:vMerge w:val="continue"/>
                  <w:tcBorders>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auto"/>
                      <w:kern w:val="0"/>
                      <w:sz w:val="21"/>
                      <w:szCs w:val="21"/>
                      <w:highlight w:val="none"/>
                    </w:rPr>
                  </w:pPr>
                </w:p>
              </w:tc>
              <w:tc>
                <w:tcPr>
                  <w:tcW w:w="196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北流市</w:t>
                  </w:r>
                </w:p>
              </w:tc>
              <w:tc>
                <w:tcPr>
                  <w:tcW w:w="877" w:type="dxa"/>
                  <w:vMerge w:val="continue"/>
                  <w:tcBorders>
                    <w:left w:val="nil"/>
                    <w:right w:val="single" w:color="auto" w:sz="4" w:space="0"/>
                  </w:tcBorders>
                  <w:shd w:val="clear" w:color="auto" w:fill="auto"/>
                  <w:noWrap/>
                  <w:vAlign w:val="center"/>
                </w:tcPr>
                <w:p>
                  <w:pPr>
                    <w:widowControl/>
                    <w:jc w:val="left"/>
                    <w:rPr>
                      <w:rFonts w:ascii="宋体" w:hAnsi="宋体" w:cs="宋体"/>
                      <w:color w:val="auto"/>
                      <w:kern w:val="0"/>
                      <w:sz w:val="21"/>
                      <w:szCs w:val="21"/>
                      <w:highlight w:val="none"/>
                    </w:rPr>
                  </w:pPr>
                </w:p>
              </w:tc>
              <w:tc>
                <w:tcPr>
                  <w:tcW w:w="173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靖西市</w:t>
                  </w:r>
                </w:p>
              </w:tc>
            </w:tr>
            <w:tr>
              <w:tblPrEx>
                <w:tblCellMar>
                  <w:top w:w="0" w:type="dxa"/>
                  <w:left w:w="108" w:type="dxa"/>
                  <w:bottom w:w="0" w:type="dxa"/>
                  <w:right w:w="108" w:type="dxa"/>
                </w:tblCellMar>
              </w:tblPrEx>
              <w:trPr>
                <w:trHeight w:val="285" w:hRule="atLeast"/>
              </w:trPr>
              <w:tc>
                <w:tcPr>
                  <w:tcW w:w="773" w:type="dxa"/>
                  <w:vMerge w:val="restart"/>
                  <w:tcBorders>
                    <w:top w:val="nil"/>
                    <w:left w:val="single" w:color="auto" w:sz="4" w:space="0"/>
                    <w:right w:val="single" w:color="auto" w:sz="4" w:space="0"/>
                  </w:tcBorders>
                  <w:shd w:val="clear" w:color="auto" w:fill="auto"/>
                  <w:noWrap/>
                  <w:vAlign w:val="center"/>
                </w:tcPr>
                <w:p>
                  <w:pPr>
                    <w:widowControl/>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贺州</w:t>
                  </w:r>
                </w:p>
              </w:tc>
              <w:tc>
                <w:tcPr>
                  <w:tcW w:w="196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八步区</w:t>
                  </w:r>
                </w:p>
              </w:tc>
              <w:tc>
                <w:tcPr>
                  <w:tcW w:w="877" w:type="dxa"/>
                  <w:vMerge w:val="continue"/>
                  <w:tcBorders>
                    <w:left w:val="nil"/>
                    <w:bottom w:val="single" w:color="auto" w:sz="4" w:space="0"/>
                    <w:right w:val="single" w:color="auto" w:sz="4" w:space="0"/>
                  </w:tcBorders>
                  <w:shd w:val="clear" w:color="auto" w:fill="auto"/>
                  <w:noWrap/>
                  <w:vAlign w:val="center"/>
                </w:tcPr>
                <w:p>
                  <w:pPr>
                    <w:widowControl/>
                    <w:jc w:val="left"/>
                    <w:rPr>
                      <w:rFonts w:ascii="宋体" w:hAnsi="宋体" w:cs="宋体"/>
                      <w:color w:val="auto"/>
                      <w:kern w:val="0"/>
                      <w:sz w:val="21"/>
                      <w:szCs w:val="21"/>
                      <w:highlight w:val="none"/>
                    </w:rPr>
                  </w:pPr>
                </w:p>
              </w:tc>
              <w:tc>
                <w:tcPr>
                  <w:tcW w:w="173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隆林各族自治县</w:t>
                  </w:r>
                </w:p>
              </w:tc>
            </w:tr>
            <w:tr>
              <w:tblPrEx>
                <w:tblCellMar>
                  <w:top w:w="0" w:type="dxa"/>
                  <w:left w:w="108" w:type="dxa"/>
                  <w:bottom w:w="0" w:type="dxa"/>
                  <w:right w:w="108" w:type="dxa"/>
                </w:tblCellMar>
              </w:tblPrEx>
              <w:trPr>
                <w:trHeight w:val="270" w:hRule="atLeast"/>
              </w:trPr>
              <w:tc>
                <w:tcPr>
                  <w:tcW w:w="773" w:type="dxa"/>
                  <w:vMerge w:val="continue"/>
                  <w:tcBorders>
                    <w:left w:val="single" w:color="auto" w:sz="4" w:space="0"/>
                    <w:right w:val="single" w:color="auto" w:sz="4" w:space="0"/>
                  </w:tcBorders>
                  <w:shd w:val="clear" w:color="auto" w:fill="auto"/>
                  <w:noWrap/>
                  <w:vAlign w:val="center"/>
                </w:tcPr>
                <w:p>
                  <w:pPr>
                    <w:widowControl/>
                    <w:jc w:val="left"/>
                    <w:rPr>
                      <w:rFonts w:ascii="宋体" w:hAnsi="宋体" w:cs="宋体"/>
                      <w:color w:val="auto"/>
                      <w:kern w:val="0"/>
                      <w:sz w:val="21"/>
                      <w:szCs w:val="21"/>
                      <w:highlight w:val="none"/>
                    </w:rPr>
                  </w:pPr>
                </w:p>
              </w:tc>
              <w:tc>
                <w:tcPr>
                  <w:tcW w:w="196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钟山县</w:t>
                  </w:r>
                </w:p>
              </w:tc>
              <w:tc>
                <w:tcPr>
                  <w:tcW w:w="877" w:type="dxa"/>
                  <w:vMerge w:val="restart"/>
                  <w:tcBorders>
                    <w:top w:val="nil"/>
                    <w:left w:val="nil"/>
                    <w:right w:val="single" w:color="auto" w:sz="4" w:space="0"/>
                  </w:tcBorders>
                  <w:shd w:val="clear" w:color="auto" w:fill="auto"/>
                  <w:noWrap/>
                  <w:vAlign w:val="center"/>
                </w:tcPr>
                <w:p>
                  <w:pPr>
                    <w:widowControl/>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来宾</w:t>
                  </w:r>
                </w:p>
              </w:tc>
              <w:tc>
                <w:tcPr>
                  <w:tcW w:w="173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兴宾区</w:t>
                  </w:r>
                </w:p>
              </w:tc>
            </w:tr>
            <w:tr>
              <w:tblPrEx>
                <w:tblCellMar>
                  <w:top w:w="0" w:type="dxa"/>
                  <w:left w:w="108" w:type="dxa"/>
                  <w:bottom w:w="0" w:type="dxa"/>
                  <w:right w:w="108" w:type="dxa"/>
                </w:tblCellMar>
              </w:tblPrEx>
              <w:trPr>
                <w:trHeight w:val="270" w:hRule="atLeast"/>
              </w:trPr>
              <w:tc>
                <w:tcPr>
                  <w:tcW w:w="773" w:type="dxa"/>
                  <w:vMerge w:val="continue"/>
                  <w:tcBorders>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auto"/>
                      <w:kern w:val="0"/>
                      <w:sz w:val="21"/>
                      <w:szCs w:val="21"/>
                      <w:highlight w:val="none"/>
                    </w:rPr>
                  </w:pPr>
                </w:p>
              </w:tc>
              <w:tc>
                <w:tcPr>
                  <w:tcW w:w="196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富川瑶族自治县</w:t>
                  </w:r>
                </w:p>
              </w:tc>
              <w:tc>
                <w:tcPr>
                  <w:tcW w:w="877" w:type="dxa"/>
                  <w:vMerge w:val="continue"/>
                  <w:tcBorders>
                    <w:left w:val="nil"/>
                    <w:bottom w:val="single" w:color="auto" w:sz="4" w:space="0"/>
                    <w:right w:val="single" w:color="auto" w:sz="4" w:space="0"/>
                  </w:tcBorders>
                  <w:shd w:val="clear" w:color="auto" w:fill="auto"/>
                  <w:noWrap/>
                  <w:vAlign w:val="center"/>
                </w:tcPr>
                <w:p>
                  <w:pPr>
                    <w:widowControl/>
                    <w:jc w:val="left"/>
                    <w:rPr>
                      <w:rFonts w:ascii="宋体" w:hAnsi="宋体" w:cs="宋体"/>
                      <w:color w:val="auto"/>
                      <w:kern w:val="0"/>
                      <w:sz w:val="21"/>
                      <w:szCs w:val="21"/>
                      <w:highlight w:val="none"/>
                    </w:rPr>
                  </w:pPr>
                </w:p>
              </w:tc>
              <w:tc>
                <w:tcPr>
                  <w:tcW w:w="173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象州县</w:t>
                  </w:r>
                </w:p>
              </w:tc>
            </w:tr>
            <w:tr>
              <w:tblPrEx>
                <w:tblCellMar>
                  <w:top w:w="0" w:type="dxa"/>
                  <w:left w:w="108" w:type="dxa"/>
                  <w:bottom w:w="0" w:type="dxa"/>
                  <w:right w:w="108" w:type="dxa"/>
                </w:tblCellMar>
              </w:tblPrEx>
              <w:trPr>
                <w:trHeight w:val="285" w:hRule="atLeast"/>
              </w:trPr>
              <w:tc>
                <w:tcPr>
                  <w:tcW w:w="773" w:type="dxa"/>
                  <w:vMerge w:val="restart"/>
                  <w:tcBorders>
                    <w:top w:val="nil"/>
                    <w:left w:val="single" w:color="auto" w:sz="4" w:space="0"/>
                    <w:right w:val="single" w:color="auto" w:sz="4" w:space="0"/>
                  </w:tcBorders>
                  <w:shd w:val="clear" w:color="auto" w:fill="auto"/>
                  <w:noWrap/>
                  <w:vAlign w:val="center"/>
                </w:tcPr>
                <w:p>
                  <w:pPr>
                    <w:widowControl/>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河池</w:t>
                  </w:r>
                </w:p>
              </w:tc>
              <w:tc>
                <w:tcPr>
                  <w:tcW w:w="196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宜州区</w:t>
                  </w:r>
                </w:p>
              </w:tc>
              <w:tc>
                <w:tcPr>
                  <w:tcW w:w="877" w:type="dxa"/>
                  <w:vMerge w:val="restart"/>
                  <w:tcBorders>
                    <w:top w:val="nil"/>
                    <w:left w:val="nil"/>
                    <w:right w:val="single" w:color="auto" w:sz="4" w:space="0"/>
                  </w:tcBorders>
                  <w:shd w:val="clear" w:color="auto" w:fill="auto"/>
                  <w:noWrap/>
                  <w:vAlign w:val="center"/>
                </w:tcPr>
                <w:p>
                  <w:pPr>
                    <w:widowControl/>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崇左</w:t>
                  </w:r>
                </w:p>
              </w:tc>
              <w:tc>
                <w:tcPr>
                  <w:tcW w:w="173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宁明县</w:t>
                  </w:r>
                </w:p>
              </w:tc>
            </w:tr>
            <w:tr>
              <w:tblPrEx>
                <w:tblCellMar>
                  <w:top w:w="0" w:type="dxa"/>
                  <w:left w:w="108" w:type="dxa"/>
                  <w:bottom w:w="0" w:type="dxa"/>
                  <w:right w:w="108" w:type="dxa"/>
                </w:tblCellMar>
              </w:tblPrEx>
              <w:trPr>
                <w:trHeight w:val="270" w:hRule="atLeast"/>
              </w:trPr>
              <w:tc>
                <w:tcPr>
                  <w:tcW w:w="773" w:type="dxa"/>
                  <w:vMerge w:val="continue"/>
                  <w:tcBorders>
                    <w:left w:val="single" w:color="auto" w:sz="4" w:space="0"/>
                    <w:right w:val="single" w:color="auto" w:sz="4" w:space="0"/>
                  </w:tcBorders>
                  <w:shd w:val="clear" w:color="auto" w:fill="auto"/>
                  <w:noWrap/>
                  <w:vAlign w:val="center"/>
                </w:tcPr>
                <w:p>
                  <w:pPr>
                    <w:widowControl/>
                    <w:jc w:val="left"/>
                    <w:rPr>
                      <w:rFonts w:ascii="宋体" w:hAnsi="宋体" w:cs="宋体"/>
                      <w:color w:val="auto"/>
                      <w:kern w:val="0"/>
                      <w:sz w:val="21"/>
                      <w:szCs w:val="21"/>
                      <w:highlight w:val="none"/>
                    </w:rPr>
                  </w:pPr>
                </w:p>
              </w:tc>
              <w:tc>
                <w:tcPr>
                  <w:tcW w:w="196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都安县</w:t>
                  </w:r>
                </w:p>
              </w:tc>
              <w:tc>
                <w:tcPr>
                  <w:tcW w:w="877" w:type="dxa"/>
                  <w:vMerge w:val="continue"/>
                  <w:tcBorders>
                    <w:left w:val="nil"/>
                    <w:right w:val="single" w:color="auto" w:sz="4" w:space="0"/>
                  </w:tcBorders>
                  <w:shd w:val="clear" w:color="auto" w:fill="auto"/>
                  <w:noWrap/>
                  <w:vAlign w:val="center"/>
                </w:tcPr>
                <w:p>
                  <w:pPr>
                    <w:widowControl/>
                    <w:jc w:val="left"/>
                    <w:rPr>
                      <w:rFonts w:ascii="宋体" w:hAnsi="宋体" w:cs="宋体"/>
                      <w:color w:val="auto"/>
                      <w:kern w:val="0"/>
                      <w:sz w:val="21"/>
                      <w:szCs w:val="21"/>
                      <w:highlight w:val="none"/>
                    </w:rPr>
                  </w:pPr>
                </w:p>
              </w:tc>
              <w:tc>
                <w:tcPr>
                  <w:tcW w:w="173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大新县</w:t>
                  </w:r>
                </w:p>
              </w:tc>
            </w:tr>
            <w:tr>
              <w:tblPrEx>
                <w:tblCellMar>
                  <w:top w:w="0" w:type="dxa"/>
                  <w:left w:w="108" w:type="dxa"/>
                  <w:bottom w:w="0" w:type="dxa"/>
                  <w:right w:w="108" w:type="dxa"/>
                </w:tblCellMar>
              </w:tblPrEx>
              <w:trPr>
                <w:trHeight w:val="270" w:hRule="atLeast"/>
              </w:trPr>
              <w:tc>
                <w:tcPr>
                  <w:tcW w:w="773" w:type="dxa"/>
                  <w:vMerge w:val="continue"/>
                  <w:tcBorders>
                    <w:left w:val="single" w:color="auto" w:sz="4" w:space="0"/>
                    <w:right w:val="single" w:color="auto" w:sz="4" w:space="0"/>
                  </w:tcBorders>
                  <w:shd w:val="clear" w:color="auto" w:fill="auto"/>
                  <w:noWrap/>
                  <w:vAlign w:val="center"/>
                </w:tcPr>
                <w:p>
                  <w:pPr>
                    <w:widowControl/>
                    <w:jc w:val="left"/>
                    <w:rPr>
                      <w:rFonts w:ascii="宋体" w:hAnsi="宋体" w:cs="宋体"/>
                      <w:color w:val="auto"/>
                      <w:kern w:val="0"/>
                      <w:sz w:val="21"/>
                      <w:szCs w:val="21"/>
                      <w:highlight w:val="none"/>
                    </w:rPr>
                  </w:pPr>
                </w:p>
              </w:tc>
              <w:tc>
                <w:tcPr>
                  <w:tcW w:w="196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罗城仫佬族自治县</w:t>
                  </w:r>
                </w:p>
              </w:tc>
              <w:tc>
                <w:tcPr>
                  <w:tcW w:w="877" w:type="dxa"/>
                  <w:vMerge w:val="continue"/>
                  <w:tcBorders>
                    <w:left w:val="nil"/>
                    <w:right w:val="single" w:color="auto" w:sz="4" w:space="0"/>
                  </w:tcBorders>
                  <w:shd w:val="clear" w:color="auto" w:fill="auto"/>
                  <w:noWrap/>
                  <w:vAlign w:val="center"/>
                </w:tcPr>
                <w:p>
                  <w:pPr>
                    <w:widowControl/>
                    <w:jc w:val="left"/>
                    <w:rPr>
                      <w:rFonts w:ascii="宋体" w:hAnsi="宋体" w:cs="宋体"/>
                      <w:color w:val="auto"/>
                      <w:kern w:val="0"/>
                      <w:sz w:val="21"/>
                      <w:szCs w:val="21"/>
                      <w:highlight w:val="none"/>
                    </w:rPr>
                  </w:pPr>
                </w:p>
              </w:tc>
              <w:tc>
                <w:tcPr>
                  <w:tcW w:w="173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天等县</w:t>
                  </w:r>
                </w:p>
              </w:tc>
            </w:tr>
            <w:tr>
              <w:tblPrEx>
                <w:tblCellMar>
                  <w:top w:w="0" w:type="dxa"/>
                  <w:left w:w="108" w:type="dxa"/>
                  <w:bottom w:w="0" w:type="dxa"/>
                  <w:right w:w="108" w:type="dxa"/>
                </w:tblCellMar>
              </w:tblPrEx>
              <w:trPr>
                <w:trHeight w:val="285" w:hRule="atLeast"/>
              </w:trPr>
              <w:tc>
                <w:tcPr>
                  <w:tcW w:w="773" w:type="dxa"/>
                  <w:vMerge w:val="continue"/>
                  <w:tcBorders>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auto"/>
                      <w:kern w:val="0"/>
                      <w:sz w:val="21"/>
                      <w:szCs w:val="21"/>
                      <w:highlight w:val="none"/>
                    </w:rPr>
                  </w:pPr>
                </w:p>
              </w:tc>
              <w:tc>
                <w:tcPr>
                  <w:tcW w:w="196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环江毛南族自治县</w:t>
                  </w:r>
                </w:p>
              </w:tc>
              <w:tc>
                <w:tcPr>
                  <w:tcW w:w="877" w:type="dxa"/>
                  <w:vMerge w:val="continue"/>
                  <w:tcBorders>
                    <w:left w:val="nil"/>
                    <w:bottom w:val="single" w:color="auto" w:sz="4" w:space="0"/>
                    <w:right w:val="single" w:color="auto" w:sz="4" w:space="0"/>
                  </w:tcBorders>
                  <w:shd w:val="clear" w:color="auto" w:fill="auto"/>
                  <w:noWrap/>
                  <w:vAlign w:val="center"/>
                </w:tcPr>
                <w:p>
                  <w:pPr>
                    <w:widowControl/>
                    <w:jc w:val="left"/>
                    <w:rPr>
                      <w:rFonts w:ascii="宋体" w:hAnsi="宋体" w:cs="宋体"/>
                      <w:color w:val="auto"/>
                      <w:kern w:val="0"/>
                      <w:sz w:val="21"/>
                      <w:szCs w:val="21"/>
                      <w:highlight w:val="none"/>
                    </w:rPr>
                  </w:pPr>
                </w:p>
              </w:tc>
              <w:tc>
                <w:tcPr>
                  <w:tcW w:w="173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auto"/>
                      <w:kern w:val="0"/>
                      <w:sz w:val="21"/>
                      <w:szCs w:val="21"/>
                      <w:highlight w:val="none"/>
                    </w:rPr>
                  </w:pPr>
                </w:p>
              </w:tc>
            </w:tr>
          </w:tbl>
          <w:p>
            <w:pPr>
              <w:spacing w:line="52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（2）耕地识别与地块边界提取</w:t>
            </w:r>
          </w:p>
          <w:p>
            <w:pPr>
              <w:spacing w:line="5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项目建立耕地、裸地、林地、草地、水域、园地、人工构筑物等地类样本库，利用高分辨率卫星遥感影像，借助机器学习方法构建分类识别模型，实现各监测点的耕地范围提取。</w:t>
            </w:r>
          </w:p>
          <w:p>
            <w:pPr>
              <w:spacing w:line="5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进一步，通过人工勾画方式制作农田地块边界的样本数据集，基于深度学习构建地块边界提取模型，对所有监测点耕地范围内的农田地块进行边缘提取和矢量化，并经人工核查完善后，按照相关测绘制图标准制作地块边界的数据底图。</w:t>
            </w:r>
          </w:p>
          <w:p>
            <w:pPr>
              <w:spacing w:line="520" w:lineRule="exact"/>
              <w:ind w:firstLine="422" w:firstLineChars="200"/>
              <w:rPr>
                <w:rFonts w:hint="eastAsia" w:ascii="宋体" w:hAnsi="宋体" w:cs="宋体"/>
                <w:b/>
                <w:bCs/>
                <w:color w:val="auto"/>
                <w:szCs w:val="21"/>
                <w:highlight w:val="none"/>
              </w:rPr>
            </w:pPr>
            <w:bookmarkStart w:id="43" w:name="_Toc173773580"/>
            <w:r>
              <w:rPr>
                <w:rFonts w:hint="eastAsia" w:ascii="宋体" w:hAnsi="宋体" w:cs="宋体"/>
                <w:b/>
                <w:bCs/>
                <w:color w:val="auto"/>
                <w:szCs w:val="21"/>
                <w:highlight w:val="none"/>
              </w:rPr>
              <w:t>三、</w:t>
            </w:r>
            <w:bookmarkEnd w:id="43"/>
            <w:r>
              <w:rPr>
                <w:rFonts w:hint="eastAsia" w:ascii="宋体" w:hAnsi="宋体" w:cs="宋体"/>
                <w:b/>
                <w:bCs/>
                <w:color w:val="auto"/>
                <w:szCs w:val="21"/>
                <w:highlight w:val="none"/>
              </w:rPr>
              <w:t>项目服务成果及要求</w:t>
            </w:r>
          </w:p>
          <w:p>
            <w:pPr>
              <w:spacing w:line="5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（1）对全区23.76万平方公里的高程、坡度类型等矢量数据进行融合更新，实现各监测点地块农业资源属性的更新完善。</w:t>
            </w:r>
          </w:p>
          <w:p>
            <w:pPr>
              <w:spacing w:line="5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（2）106个监测点耕地地块边界原始矢量数据1项。</w:t>
            </w:r>
          </w:p>
          <w:p>
            <w:pPr>
              <w:spacing w:line="5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（3）监测点耕地地块专题图1套。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714" w:type="dxa"/>
            <w:gridSpan w:val="6"/>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Cs w:val="21"/>
                <w:highlight w:val="none"/>
              </w:rPr>
            </w:pPr>
            <w:r>
              <w:rPr>
                <w:rFonts w:hint="eastAsia" w:ascii="宋体" w:hAnsi="宋体" w:cs="宋体"/>
                <w:b/>
                <w:color w:val="auto"/>
                <w:szCs w:val="21"/>
                <w:highlight w:val="none"/>
              </w:rPr>
              <w:t>商务要求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10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Cs w:val="21"/>
                <w:highlight w:val="none"/>
              </w:rPr>
            </w:pPr>
            <w:r>
              <w:rPr>
                <w:rFonts w:hint="eastAsia" w:ascii="宋体" w:hAnsi="宋体" w:cs="宋体"/>
                <w:b/>
                <w:bCs/>
                <w:color w:val="auto"/>
                <w:szCs w:val="21"/>
                <w:highlight w:val="none"/>
              </w:rPr>
              <w:t>▲</w:t>
            </w:r>
            <w:r>
              <w:rPr>
                <w:rFonts w:hint="eastAsia" w:ascii="宋体" w:hAnsi="宋体" w:cs="宋体"/>
                <w:bCs/>
                <w:color w:val="auto"/>
                <w:szCs w:val="21"/>
                <w:highlight w:val="none"/>
              </w:rPr>
              <w:t>磋商报价要求</w:t>
            </w:r>
          </w:p>
        </w:tc>
        <w:tc>
          <w:tcPr>
            <w:tcW w:w="7614"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rPr>
                <w:color w:val="auto"/>
                <w:highlight w:val="none"/>
              </w:rPr>
            </w:pPr>
            <w:r>
              <w:rPr>
                <w:rFonts w:hint="eastAsia" w:ascii="宋体" w:hAnsi="宋体" w:cs="宋体"/>
                <w:bCs/>
                <w:color w:val="auto"/>
                <w:szCs w:val="21"/>
                <w:highlight w:val="none"/>
              </w:rPr>
              <w:t>磋商报价</w:t>
            </w:r>
            <w:r>
              <w:rPr>
                <w:rFonts w:hint="eastAsia"/>
                <w:color w:val="auto"/>
                <w:highlight w:val="none"/>
              </w:rPr>
              <w:t>是履行合同的最终价格, 即满足全部采购需求所应提供的服务，包含但不限于服务价格、后续服务、技术支持、人员、差旅费、管理费、保险、税金和其他所有成本等一切费用，采购人不再另行支付额外费用。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10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cs="宋体"/>
                <w:b/>
                <w:color w:val="auto"/>
                <w:szCs w:val="21"/>
                <w:highlight w:val="none"/>
              </w:rPr>
            </w:pPr>
            <w:r>
              <w:rPr>
                <w:rFonts w:hint="eastAsia" w:ascii="宋体" w:hAnsi="宋体"/>
                <w:color w:val="auto"/>
                <w:szCs w:val="21"/>
                <w:highlight w:val="none"/>
              </w:rPr>
              <w:t>▲合同履约期限（提交服务时间）和地点</w:t>
            </w:r>
          </w:p>
        </w:tc>
        <w:tc>
          <w:tcPr>
            <w:tcW w:w="7614"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合同履约期限（提交服务时间）：2024年12月30日前。</w:t>
            </w:r>
          </w:p>
          <w:p>
            <w:pPr>
              <w:adjustRightInd w:val="0"/>
              <w:snapToGrid w:val="0"/>
              <w:spacing w:line="360" w:lineRule="exact"/>
              <w:rPr>
                <w:color w:val="auto"/>
                <w:highlight w:val="none"/>
              </w:rPr>
            </w:pPr>
            <w:r>
              <w:rPr>
                <w:rFonts w:hint="eastAsia" w:ascii="宋体" w:hAnsi="宋体"/>
                <w:color w:val="auto"/>
                <w:szCs w:val="21"/>
                <w:highlight w:val="none"/>
              </w:rPr>
              <w:t>2、地点：采购人指定地点。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6" w:hRule="atLeast"/>
          <w:jc w:val="center"/>
        </w:trPr>
        <w:tc>
          <w:tcPr>
            <w:tcW w:w="210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cs="宋体"/>
                <w:b/>
                <w:color w:val="auto"/>
                <w:szCs w:val="21"/>
                <w:highlight w:val="none"/>
              </w:rPr>
            </w:pPr>
            <w:r>
              <w:rPr>
                <w:rFonts w:hint="eastAsia" w:ascii="宋体" w:hAnsi="宋体"/>
                <w:color w:val="auto"/>
                <w:szCs w:val="21"/>
                <w:highlight w:val="none"/>
              </w:rPr>
              <w:t>售后服务要求</w:t>
            </w:r>
          </w:p>
        </w:tc>
        <w:tc>
          <w:tcPr>
            <w:tcW w:w="7614"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bCs/>
                <w:color w:val="auto"/>
                <w:szCs w:val="21"/>
                <w:highlight w:val="none"/>
              </w:rPr>
            </w:pPr>
            <w:r>
              <w:rPr>
                <w:rFonts w:hint="eastAsia"/>
                <w:color w:val="auto"/>
                <w:highlight w:val="none"/>
              </w:rPr>
              <w:t>成交供应商提交成果文件后，应保存成果文件及相关计算过程资料至少1年。在1年内项目负责人的电话应保持不变，如项目负责人有变化，应及时通知采购人，以便采购人在需要的时候能随时联系项目负责人，咨询、核实有关项目数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210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cs="宋体"/>
                <w:b/>
                <w:color w:val="auto"/>
                <w:szCs w:val="21"/>
                <w:highlight w:val="none"/>
              </w:rPr>
            </w:pPr>
            <w:r>
              <w:rPr>
                <w:rFonts w:hint="eastAsia" w:ascii="宋体" w:hAnsi="宋体"/>
                <w:color w:val="auto"/>
                <w:szCs w:val="21"/>
                <w:highlight w:val="none"/>
              </w:rPr>
              <w:t>▲验收标准</w:t>
            </w:r>
          </w:p>
        </w:tc>
        <w:tc>
          <w:tcPr>
            <w:tcW w:w="7614" w:type="dxa"/>
            <w:gridSpan w:val="4"/>
            <w:tcBorders>
              <w:top w:val="single" w:color="auto" w:sz="4" w:space="0"/>
              <w:left w:val="single" w:color="auto" w:sz="4" w:space="0"/>
              <w:bottom w:val="single" w:color="auto" w:sz="4" w:space="0"/>
              <w:right w:val="single" w:color="auto" w:sz="4" w:space="0"/>
            </w:tcBorders>
            <w:vAlign w:val="center"/>
          </w:tcPr>
          <w:p>
            <w:pPr>
              <w:tabs>
                <w:tab w:val="left" w:pos="180"/>
                <w:tab w:val="left" w:pos="1620"/>
              </w:tabs>
              <w:adjustRightInd w:val="0"/>
              <w:snapToGrid w:val="0"/>
              <w:spacing w:line="380" w:lineRule="exact"/>
              <w:rPr>
                <w:rFonts w:ascii="宋体" w:hAnsi="宋体" w:cs="宋体"/>
                <w:color w:val="auto"/>
                <w:szCs w:val="22"/>
                <w:highlight w:val="none"/>
              </w:rPr>
            </w:pPr>
            <w:r>
              <w:rPr>
                <w:rFonts w:hint="eastAsia"/>
                <w:color w:val="auto"/>
                <w:highlight w:val="none"/>
              </w:rPr>
              <w:t>符合现行国家相关标准、行业标准、地方标准或者其他标准、规范。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jc w:val="center"/>
        </w:trPr>
        <w:tc>
          <w:tcPr>
            <w:tcW w:w="210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cs="宋体"/>
                <w:color w:val="auto"/>
                <w:szCs w:val="21"/>
                <w:highlight w:val="none"/>
              </w:rPr>
            </w:pPr>
            <w:r>
              <w:rPr>
                <w:rFonts w:hint="eastAsia" w:ascii="宋体" w:hAnsi="宋体"/>
                <w:color w:val="auto"/>
                <w:szCs w:val="21"/>
                <w:highlight w:val="none"/>
              </w:rPr>
              <w:t>▲付款方式</w:t>
            </w:r>
          </w:p>
        </w:tc>
        <w:tc>
          <w:tcPr>
            <w:tcW w:w="7614"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ascii="宋体" w:hAnsi="宋体" w:cs="宋体"/>
                <w:bCs/>
                <w:color w:val="auto"/>
                <w:szCs w:val="22"/>
                <w:highlight w:val="none"/>
              </w:rPr>
            </w:pPr>
            <w:r>
              <w:rPr>
                <w:rFonts w:hint="eastAsia" w:ascii="宋体" w:hAnsi="宋体" w:cs="宋体"/>
                <w:bCs/>
                <w:color w:val="auto"/>
                <w:szCs w:val="22"/>
                <w:highlight w:val="none"/>
              </w:rPr>
              <w:t>签订合同后，采购人向成交供应商支付合同金额的40%；项目服务成果通过第三方机构评审或者采购人验收后，采购人向成交供应商支付合同金额的60%。成交供应商自收到合同款之日起5个工作日内开具发票给采购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10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olor w:val="auto"/>
                <w:szCs w:val="21"/>
                <w:highlight w:val="none"/>
              </w:rPr>
            </w:pPr>
            <w:r>
              <w:rPr>
                <w:rFonts w:hint="eastAsia" w:ascii="宋体" w:hAnsi="宋体"/>
                <w:color w:val="auto"/>
                <w:szCs w:val="21"/>
                <w:highlight w:val="none"/>
              </w:rPr>
              <w:t>其他要求</w:t>
            </w:r>
          </w:p>
        </w:tc>
        <w:tc>
          <w:tcPr>
            <w:tcW w:w="7614"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rPr>
                <w:color w:val="auto"/>
                <w:highlight w:val="none"/>
              </w:rPr>
            </w:pPr>
            <w:r>
              <w:rPr>
                <w:rFonts w:hint="eastAsia"/>
                <w:color w:val="auto"/>
                <w:highlight w:val="none"/>
              </w:rPr>
              <w:t>1、成果保密要求：成果所有权归采购人所有，成交供应商有义务对成果保密。</w:t>
            </w:r>
          </w:p>
          <w:p>
            <w:pPr>
              <w:spacing w:line="360" w:lineRule="exact"/>
              <w:rPr>
                <w:color w:val="auto"/>
                <w:highlight w:val="none"/>
              </w:rPr>
            </w:pPr>
            <w:r>
              <w:rPr>
                <w:rFonts w:hint="eastAsia"/>
                <w:color w:val="auto"/>
                <w:highlight w:val="none"/>
              </w:rPr>
              <w:t>2、质量保证期 1 年（自提交服务成果验收合格之日起计）</w:t>
            </w:r>
          </w:p>
        </w:tc>
      </w:tr>
    </w:tbl>
    <w:p>
      <w:pPr>
        <w:rPr>
          <w:rFonts w:hint="eastAsia" w:ascii="宋体" w:hAnsi="宋体" w:cs="宋体"/>
          <w:color w:val="auto"/>
          <w:highlight w:val="none"/>
        </w:rPr>
      </w:pPr>
      <w:r>
        <w:rPr>
          <w:rFonts w:hint="eastAsia" w:ascii="宋体" w:hAnsi="宋体" w:cs="宋体"/>
          <w:color w:val="auto"/>
          <w:highlight w:val="none"/>
        </w:rPr>
        <w:br w:type="page"/>
      </w:r>
    </w:p>
    <w:p>
      <w:pPr>
        <w:spacing w:line="360" w:lineRule="auto"/>
        <w:ind w:firstLine="310" w:firstLineChars="147"/>
        <w:jc w:val="left"/>
        <w:rPr>
          <w:rFonts w:ascii="宋体" w:hAnsi="宋体" w:cs="宋体"/>
          <w:bCs/>
          <w:color w:val="auto"/>
          <w:szCs w:val="21"/>
          <w:highlight w:val="none"/>
          <w:u w:val="single"/>
        </w:rPr>
      </w:pPr>
      <w:r>
        <w:rPr>
          <w:rFonts w:hint="eastAsia" w:ascii="宋体" w:hAnsi="宋体" w:cs="宋体"/>
          <w:b/>
          <w:color w:val="auto"/>
          <w:szCs w:val="21"/>
          <w:highlight w:val="none"/>
          <w:lang w:eastAsia="zh-CN"/>
        </w:rPr>
        <w:t>分标</w:t>
      </w:r>
      <w:r>
        <w:rPr>
          <w:rFonts w:hint="eastAsia" w:ascii="宋体" w:hAnsi="宋体" w:cs="宋体"/>
          <w:b/>
          <w:color w:val="auto"/>
          <w:szCs w:val="21"/>
          <w:highlight w:val="none"/>
          <w:lang w:val="en-US" w:eastAsia="zh-CN"/>
        </w:rPr>
        <w:t>2</w:t>
      </w:r>
      <w:r>
        <w:rPr>
          <w:rFonts w:hint="eastAsia" w:ascii="宋体" w:hAnsi="宋体" w:eastAsia="宋体" w:cs="宋体"/>
          <w:b/>
          <w:color w:val="auto"/>
          <w:szCs w:val="21"/>
          <w:highlight w:val="none"/>
          <w:lang w:val="en-US" w:eastAsia="zh-CN"/>
        </w:rPr>
        <w:t>[</w:t>
      </w:r>
      <w:r>
        <w:rPr>
          <w:rFonts w:hint="eastAsia" w:ascii="宋体" w:hAnsi="宋体" w:cs="宋体"/>
          <w:b/>
          <w:color w:val="auto"/>
          <w:szCs w:val="21"/>
          <w:highlight w:val="none"/>
          <w:lang w:val="en-US" w:eastAsia="zh-CN"/>
        </w:rPr>
        <w:t>广西农业信息化建设项目设计服务(智桂农平台、数字档案室系统)</w:t>
      </w:r>
      <w:r>
        <w:rPr>
          <w:rFonts w:hint="eastAsia" w:ascii="宋体" w:hAnsi="宋体" w:eastAsia="宋体" w:cs="宋体"/>
          <w:b/>
          <w:color w:val="auto"/>
          <w:szCs w:val="21"/>
          <w:highlight w:val="none"/>
          <w:lang w:val="en-US" w:eastAsia="zh-CN"/>
        </w:rPr>
        <w:t>]</w:t>
      </w:r>
      <w:r>
        <w:rPr>
          <w:rFonts w:hint="eastAsia" w:ascii="宋体" w:hAnsi="宋体" w:cs="宋体"/>
          <w:b/>
          <w:color w:val="auto"/>
          <w:szCs w:val="21"/>
          <w:highlight w:val="none"/>
          <w:lang w:val="en-US" w:eastAsia="zh-CN"/>
        </w:rPr>
        <w:t xml:space="preserve">   </w:t>
      </w:r>
      <w:r>
        <w:rPr>
          <w:rFonts w:hint="eastAsia" w:ascii="宋体" w:hAnsi="宋体" w:cs="宋体"/>
          <w:b/>
          <w:color w:val="auto"/>
          <w:szCs w:val="21"/>
          <w:highlight w:val="none"/>
        </w:rPr>
        <w:t>采购预算：</w:t>
      </w:r>
      <w:r>
        <w:rPr>
          <w:rFonts w:hint="eastAsia" w:ascii="宋体" w:hAnsi="宋体" w:cs="宋体"/>
          <w:b/>
          <w:color w:val="auto"/>
          <w:szCs w:val="21"/>
          <w:highlight w:val="none"/>
          <w:u w:val="single"/>
        </w:rPr>
        <w:t>46.71万元</w:t>
      </w:r>
      <w:r>
        <w:rPr>
          <w:rFonts w:hint="eastAsia" w:ascii="宋体" w:hAnsi="宋体" w:cs="宋体"/>
          <w:b/>
          <w:color w:val="auto"/>
          <w:szCs w:val="21"/>
          <w:highlight w:val="none"/>
        </w:rPr>
        <w:t xml:space="preserve">        </w:t>
      </w:r>
    </w:p>
    <w:tbl>
      <w:tblPr>
        <w:tblStyle w:val="30"/>
        <w:tblW w:w="971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5"/>
        <w:gridCol w:w="1445"/>
        <w:gridCol w:w="68"/>
        <w:gridCol w:w="934"/>
        <w:gridCol w:w="1073"/>
        <w:gridCol w:w="55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7" w:hRule="atLeast"/>
          <w:jc w:val="center"/>
        </w:trPr>
        <w:tc>
          <w:tcPr>
            <w:tcW w:w="655" w:type="dxa"/>
            <w:vAlign w:val="center"/>
          </w:tcPr>
          <w:p>
            <w:pPr>
              <w:tabs>
                <w:tab w:val="left" w:pos="180"/>
                <w:tab w:val="left" w:pos="1620"/>
              </w:tabs>
              <w:spacing w:line="320" w:lineRule="exact"/>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1513" w:type="dxa"/>
            <w:gridSpan w:val="2"/>
            <w:vAlign w:val="center"/>
          </w:tcPr>
          <w:p>
            <w:pPr>
              <w:tabs>
                <w:tab w:val="left" w:pos="180"/>
                <w:tab w:val="left" w:pos="1620"/>
              </w:tabs>
              <w:spacing w:line="320" w:lineRule="exact"/>
              <w:jc w:val="center"/>
              <w:rPr>
                <w:rFonts w:ascii="宋体" w:hAnsi="宋体" w:cs="宋体"/>
                <w:color w:val="auto"/>
                <w:szCs w:val="21"/>
                <w:highlight w:val="none"/>
              </w:rPr>
            </w:pPr>
            <w:r>
              <w:rPr>
                <w:rFonts w:hint="eastAsia" w:ascii="宋体" w:hAnsi="宋体" w:cs="宋体"/>
                <w:color w:val="auto"/>
                <w:szCs w:val="21"/>
                <w:highlight w:val="none"/>
              </w:rPr>
              <w:t>标的的名称</w:t>
            </w:r>
          </w:p>
        </w:tc>
        <w:tc>
          <w:tcPr>
            <w:tcW w:w="934" w:type="dxa"/>
            <w:vAlign w:val="center"/>
          </w:tcPr>
          <w:p>
            <w:pPr>
              <w:tabs>
                <w:tab w:val="left" w:pos="180"/>
                <w:tab w:val="left" w:pos="1620"/>
              </w:tabs>
              <w:spacing w:line="320" w:lineRule="exact"/>
              <w:jc w:val="center"/>
              <w:rPr>
                <w:rFonts w:ascii="宋体" w:hAnsi="宋体" w:cs="宋体"/>
                <w:color w:val="auto"/>
                <w:szCs w:val="21"/>
                <w:highlight w:val="none"/>
              </w:rPr>
            </w:pPr>
            <w:r>
              <w:rPr>
                <w:rFonts w:hint="eastAsia" w:ascii="宋体" w:hAnsi="宋体" w:cs="宋体"/>
                <w:color w:val="auto"/>
                <w:szCs w:val="21"/>
                <w:highlight w:val="none"/>
              </w:rPr>
              <w:t>数量及单位</w:t>
            </w:r>
          </w:p>
        </w:tc>
        <w:tc>
          <w:tcPr>
            <w:tcW w:w="1073" w:type="dxa"/>
            <w:vAlign w:val="center"/>
          </w:tcPr>
          <w:p>
            <w:pPr>
              <w:tabs>
                <w:tab w:val="left" w:pos="180"/>
                <w:tab w:val="left" w:pos="1620"/>
              </w:tabs>
              <w:spacing w:line="320" w:lineRule="exact"/>
              <w:jc w:val="center"/>
              <w:rPr>
                <w:rFonts w:ascii="宋体" w:hAnsi="宋体" w:cs="宋体"/>
                <w:color w:val="auto"/>
                <w:szCs w:val="21"/>
                <w:highlight w:val="none"/>
              </w:rPr>
            </w:pPr>
            <w:r>
              <w:rPr>
                <w:rFonts w:hint="eastAsia" w:ascii="宋体" w:hAnsi="宋体" w:cs="宋体"/>
                <w:color w:val="auto"/>
                <w:szCs w:val="21"/>
                <w:highlight w:val="none"/>
              </w:rPr>
              <w:t>所属</w:t>
            </w:r>
          </w:p>
          <w:p>
            <w:pPr>
              <w:tabs>
                <w:tab w:val="left" w:pos="180"/>
                <w:tab w:val="left" w:pos="1620"/>
              </w:tabs>
              <w:spacing w:line="320" w:lineRule="exact"/>
              <w:jc w:val="center"/>
              <w:rPr>
                <w:rFonts w:ascii="宋体" w:hAnsi="宋体" w:cs="宋体"/>
                <w:color w:val="auto"/>
                <w:szCs w:val="21"/>
                <w:highlight w:val="none"/>
              </w:rPr>
            </w:pPr>
            <w:r>
              <w:rPr>
                <w:rFonts w:hint="eastAsia" w:ascii="宋体" w:hAnsi="宋体" w:cs="宋体"/>
                <w:color w:val="auto"/>
                <w:szCs w:val="21"/>
                <w:highlight w:val="none"/>
              </w:rPr>
              <w:t>行业</w:t>
            </w:r>
          </w:p>
        </w:tc>
        <w:tc>
          <w:tcPr>
            <w:tcW w:w="5539" w:type="dxa"/>
            <w:vAlign w:val="center"/>
          </w:tcPr>
          <w:p>
            <w:pPr>
              <w:tabs>
                <w:tab w:val="left" w:pos="180"/>
                <w:tab w:val="left" w:pos="1620"/>
              </w:tabs>
              <w:spacing w:line="320" w:lineRule="exact"/>
              <w:jc w:val="center"/>
              <w:rPr>
                <w:rFonts w:ascii="宋体" w:hAnsi="宋体" w:cs="宋体"/>
                <w:color w:val="auto"/>
                <w:szCs w:val="21"/>
                <w:highlight w:val="none"/>
              </w:rPr>
            </w:pPr>
            <w:r>
              <w:rPr>
                <w:rFonts w:hint="eastAsia" w:ascii="宋体" w:hAnsi="宋体" w:cs="宋体"/>
                <w:color w:val="auto"/>
                <w:szCs w:val="21"/>
                <w:highlight w:val="none"/>
              </w:rPr>
              <w:t>技术要求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25" w:hRule="atLeast"/>
          <w:jc w:val="center"/>
        </w:trPr>
        <w:tc>
          <w:tcPr>
            <w:tcW w:w="655" w:type="dxa"/>
            <w:vAlign w:val="center"/>
          </w:tcPr>
          <w:p>
            <w:pPr>
              <w:tabs>
                <w:tab w:val="left" w:pos="180"/>
                <w:tab w:val="left" w:pos="1620"/>
              </w:tabs>
              <w:spacing w:line="360"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1513" w:type="dxa"/>
            <w:gridSpan w:val="2"/>
            <w:vAlign w:val="center"/>
          </w:tcPr>
          <w:p>
            <w:pPr>
              <w:tabs>
                <w:tab w:val="left" w:pos="180"/>
                <w:tab w:val="left" w:pos="1620"/>
              </w:tabs>
              <w:spacing w:line="360" w:lineRule="auto"/>
              <w:jc w:val="center"/>
              <w:rPr>
                <w:rFonts w:hint="eastAsia" w:ascii="宋体" w:hAnsi="宋体" w:eastAsia="宋体" w:cs="宋体"/>
                <w:color w:val="auto"/>
                <w:szCs w:val="21"/>
                <w:highlight w:val="none"/>
                <w:lang w:eastAsia="zh-CN"/>
              </w:rPr>
            </w:pPr>
            <w:r>
              <w:rPr>
                <w:rFonts w:hint="eastAsia" w:eastAsia="宋体"/>
                <w:color w:val="auto"/>
                <w:highlight w:val="none"/>
                <w:lang w:eastAsia="zh-CN"/>
              </w:rPr>
              <w:t>广西农业信息化建设项目设计服务(智桂农平台、数字档案室系统)</w:t>
            </w:r>
          </w:p>
        </w:tc>
        <w:tc>
          <w:tcPr>
            <w:tcW w:w="934" w:type="dxa"/>
            <w:vAlign w:val="center"/>
          </w:tcPr>
          <w:p>
            <w:pPr>
              <w:tabs>
                <w:tab w:val="left" w:pos="180"/>
                <w:tab w:val="left" w:pos="1620"/>
              </w:tabs>
              <w:spacing w:line="360" w:lineRule="auto"/>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1项</w:t>
            </w:r>
          </w:p>
        </w:tc>
        <w:tc>
          <w:tcPr>
            <w:tcW w:w="1073" w:type="dxa"/>
            <w:vAlign w:val="center"/>
          </w:tcPr>
          <w:p>
            <w:pPr>
              <w:tabs>
                <w:tab w:val="left" w:pos="180"/>
                <w:tab w:val="left" w:pos="1620"/>
              </w:tabs>
              <w:spacing w:line="360" w:lineRule="auto"/>
              <w:jc w:val="center"/>
              <w:rPr>
                <w:rFonts w:ascii="宋体" w:hAnsi="宋体" w:cs="宋体"/>
                <w:color w:val="auto"/>
                <w:szCs w:val="21"/>
                <w:highlight w:val="none"/>
              </w:rPr>
            </w:pPr>
            <w:r>
              <w:rPr>
                <w:rFonts w:hint="eastAsia" w:ascii="宋体" w:hAnsi="宋体" w:cs="宋体"/>
                <w:color w:val="auto"/>
                <w:szCs w:val="21"/>
                <w:highlight w:val="none"/>
              </w:rPr>
              <w:t>其他未列明行业</w:t>
            </w:r>
          </w:p>
        </w:tc>
        <w:tc>
          <w:tcPr>
            <w:tcW w:w="5539" w:type="dxa"/>
          </w:tcPr>
          <w:p>
            <w:pPr>
              <w:keepNext w:val="0"/>
              <w:keepLines w:val="0"/>
              <w:pageBreakBefore w:val="0"/>
              <w:numPr>
                <w:ilvl w:val="255"/>
                <w:numId w:val="0"/>
              </w:numPr>
              <w:kinsoku/>
              <w:wordWrap/>
              <w:overflowPunct/>
              <w:topLinePunct w:val="0"/>
              <w:autoSpaceDE/>
              <w:autoSpaceDN/>
              <w:bidi w:val="0"/>
              <w:adjustRightInd/>
              <w:spacing w:line="360"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项目概况</w:t>
            </w:r>
          </w:p>
          <w:p>
            <w:pPr>
              <w:keepNext w:val="0"/>
              <w:keepLines w:val="0"/>
              <w:pageBreakBefore w:val="0"/>
              <w:kinsoku/>
              <w:wordWrap/>
              <w:overflowPunct/>
              <w:topLinePunct w:val="0"/>
              <w:autoSpaceDE/>
              <w:autoSpaceDN/>
              <w:bidi w:val="0"/>
              <w:adjustRightInd/>
              <w:spacing w:line="360"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一、项目前期设计服务内容及要求</w:t>
            </w:r>
          </w:p>
          <w:p>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项目建设内容为智桂农平台、数字档案室系统等，供应商在开展前期设计工作过程中，应充分评估建设单位整体的信息化建设现状，为本项目建设提出具体的技术比选方案。设计成果以满足建设单位的建设需求以及通过审批部门审批为交付标准。</w:t>
            </w:r>
          </w:p>
          <w:p>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根据建设单位要求完成本次设计的需求分析工作，充分收集当前项目的建设现状等项目前期工作资料。通过分析和总结出项目背景，以及项目总体目标、建设任务、建设意义、必要性、经济效益和社会效益等。</w:t>
            </w:r>
          </w:p>
          <w:p>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研究和明确项目的建设思路，包括建设依据、建设思路、建设原则、建设目标、建设规模、建设内容等。分析并提出项目建设方案、总体投资估算等建议。</w:t>
            </w:r>
          </w:p>
          <w:p>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按照《关于印发国家政务信息化项目建设管理办法的通知》（国办发〔2019〕57号）和《广西政务信息化项目建设管理办法（试行）的通知》（桂政办发〔2021〕21号）规定的文档格式和编制要求编制设计文件，并根据采购人的要求，不断完善相关内容。</w:t>
            </w:r>
          </w:p>
          <w:p>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按照《广西壮族自治区本级政务信息化建设和运维项目预算支出标准的通知》（桂财建〔2023〕102号）及《广西壮族自治区工程建设其他费用定额》（桂建标〔2018〕37号）规定的概算格式和编制要求编制投资概算书、设备清单、软件开发工作量表等，并根据采购人的要求，不断完善相关内容。</w:t>
            </w:r>
          </w:p>
          <w:p>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按照国家相关信息化标准和归档规定的文档格式和内容要求编制设计方案，并根据采购人的要求，不断完善相关内容。</w:t>
            </w:r>
          </w:p>
          <w:p>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配合建设单位向评审机构进行项目申报、评审等相关工作。</w:t>
            </w:r>
          </w:p>
          <w:p>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配合建设单位组织项目的前期实施和技术交底。</w:t>
            </w:r>
          </w:p>
          <w:p>
            <w:pPr>
              <w:pStyle w:val="3"/>
              <w:keepNext w:val="0"/>
              <w:keepLines w:val="0"/>
              <w:pageBreakBefore w:val="0"/>
              <w:kinsoku/>
              <w:wordWrap/>
              <w:overflowPunct/>
              <w:topLinePunct w:val="0"/>
              <w:autoSpaceDE/>
              <w:autoSpaceDN/>
              <w:bidi w:val="0"/>
              <w:adjustRightInd/>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针对需要进行审批类的项目（如为民办实事类），还需配合建设单位向审批部门进行项目申报审批、配合建设单位按照国家、自治区有关要求开展提级论证工作。</w:t>
            </w:r>
          </w:p>
          <w:p>
            <w:pPr>
              <w:keepNext w:val="0"/>
              <w:keepLines w:val="0"/>
              <w:pageBreakBefore w:val="0"/>
              <w:kinsoku/>
              <w:wordWrap/>
              <w:overflowPunct/>
              <w:topLinePunct w:val="0"/>
              <w:autoSpaceDE/>
              <w:autoSpaceDN/>
              <w:bidi w:val="0"/>
              <w:adjustRightInd/>
              <w:spacing w:line="360" w:lineRule="auto"/>
              <w:ind w:firstLine="422" w:firstLineChars="200"/>
              <w:textAlignment w:val="auto"/>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rPr>
              <w:t>二、项目编制服务及技术要求（包括但不限于）</w:t>
            </w:r>
          </w:p>
          <w:p>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（一）总则</w:t>
            </w:r>
          </w:p>
          <w:p>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按照国内外领先的方法论进行，包括顶层设计方法理论、信息资源规划理论（IRP）、UML 建模设计等方法论，在对建设单位现状全面调研和梳理、评估的基础上，制定应用架构、技术架构、信息安全体系、运维体系等建设总体设计方案，为系统建设的实施提供科学化、规范化、可持续的方案指导，最终目的是做好项目设计，保证统一高效、资源整合、互联互通、信息共享目标的实现，以提升信息化建设的管理水平。</w:t>
            </w:r>
          </w:p>
          <w:p>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项目设计和分析应符合国家相关标准规范及国家政务信息化项目建设的要求，结合项目建设实际需求，从架构规划、功能需求、系统性能、系统配置等方面对项目进行规划设计。同时，要求项目建设方案科学，易于扩展，符合信息技术与管理的发展方向。</w:t>
            </w:r>
          </w:p>
          <w:p>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根据国家相关设计标准规范要求进行系统设计，描述系统的构成、分级与组成，设计系统的配置，对系统性能指标和测试要求等进行说明。</w:t>
            </w:r>
          </w:p>
          <w:p>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根据项目的建设内容，明确提出软硬件设备配置原则和系统软硬件配置设备清单，包括：设备及软件性能指标及参数、数量；提出国产化和自主品牌软硬件配置清单比例；分别列出各应用系统开发工作量测算表。</w:t>
            </w:r>
          </w:p>
          <w:p>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本设计要求提供的是最低限度的技术要求，并未对一切技术细节做出规定，也未充分引述有关标准和规范的条文，成交供应商应遵循可靠、先进、经济、实用、保密、环保、节能及可持续发展的原则，围绕项目建设单位的信息化建设统一规划，方案必须具有前瞻性和科学性，保证提供符合本设计的优质服务。</w:t>
            </w:r>
          </w:p>
          <w:p>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成交供应商运用的标准、规范和控制过程的程序应满足现行最新版本的国家标准和行业标准；如果遇到规范之间的相互冲突，除非采购人明确指定，否则按照更严格的标准执行。</w:t>
            </w:r>
          </w:p>
          <w:p>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采购人保留在签订合同前对本设计要求具有补充和修改的权利，成交供应商应认可及配合，如提出修改，具体事项由成交供应商与采购人另行商定。</w:t>
            </w:r>
          </w:p>
          <w:p>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合同签署后，采购人有权利按照合同、有关附件规定的条件和项目审批主管部门的要求，在建设的范围内，随时调整工作内容和工作范围。</w:t>
            </w:r>
          </w:p>
          <w:p>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除本采购文件外，采购人还将为成交供应商提供本项目的前期相关技术资料，成交供应商必须严格做好与本项目有关资料的保密工作，保密资料包括（但不限于）建设数据、设计需求、功能规划、招标设备配置清单等，均不得泄露给第三方。成交供应商有义务为采购人保守机密，并签订保密承诺。</w:t>
            </w:r>
          </w:p>
          <w:p>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成交供应商应对所编制内容提供后续的技术监督和指导。</w:t>
            </w:r>
          </w:p>
          <w:p>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（二）项目设计及编制要求（包括但不限于）</w:t>
            </w:r>
          </w:p>
          <w:p>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本项目服务成果应可作为后期具体子项目建设实施和招标的重要依据和指导文件，设计方案要求内容全面、合理可行。</w:t>
            </w:r>
          </w:p>
          <w:p>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在开展设计过程中，应充分了解采购人信息化现状，基于科学的方法论对项目涉及的应用建设需求进行收集，详细掌握当前国家和自治区的要求，做好本项目设计。</w:t>
            </w:r>
          </w:p>
          <w:p>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设计整体技术架构，充分利旧现有资源，根据项目建设实际需求规划服务器、存储、网络以及安全保障等资源。</w:t>
            </w:r>
          </w:p>
          <w:p>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结合现有的安全信任体系，对数据传输、管理、发布、使用等不同环节，设计由外到内、由局部到全面、多层次的、纵深的、有效地部署和配置全面安全解决方案，以达到最佳的安全互补状态，保证系统受到可靠、安全的保护。同时，对现有软硬件设备资源和信息安全整体环境进行全面检查评估，提出针对当前的运行状态所需要采取的相应对策。制定详细的安全防护方案。</w:t>
            </w:r>
          </w:p>
          <w:p>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从数据、技术和业务出发，制定系统建设标准规范，制定相关数据、技术和业务标准，为资源共享提供标准规范体系支撑。</w:t>
            </w:r>
          </w:p>
          <w:p>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在现有信息化的基础上，提出切实可行的建设的具体目标和任务，并制定实施策略。</w:t>
            </w:r>
          </w:p>
          <w:p>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总体设计应符合国家及自治区有关要求。同时，设计中引用、套用国家相关专业的设计规范、标准及新的相关专业的技术标准和要求时，应准确引用和套用。</w:t>
            </w:r>
          </w:p>
          <w:p>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设计采用新技术、新设备、新材料应说明其技术性能指标和相关要求。同时，应符合系统开放性、可维护性、支持快速迭代和演化、支持大负载响应的设计要求。</w:t>
            </w:r>
          </w:p>
          <w:p>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设计中所配置的设备和材料，必须是技术先进，性能可靠，安全适用，经济合理，扩容容易等特点的优质产品。</w:t>
            </w:r>
          </w:p>
          <w:p>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（三）项目概算编制要求（包括但不限于）</w:t>
            </w:r>
            <w:r>
              <w:rPr>
                <w:rFonts w:hint="eastAsia" w:ascii="宋体" w:hAnsi="宋体" w:eastAsia="宋体" w:cs="宋体"/>
                <w:color w:val="auto"/>
                <w:sz w:val="21"/>
                <w:szCs w:val="21"/>
                <w:highlight w:val="none"/>
                <w:lang w:eastAsia="zh-CN"/>
              </w:rPr>
              <w:t>：</w:t>
            </w:r>
          </w:p>
          <w:p>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项目投资概算编制包括项目的总概算和各项明细费用概算，概算要科学、合理。</w:t>
            </w:r>
          </w:p>
          <w:p>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概算编制依据：列举所依据的重要法律法规、文件、引用的国家标准和行业标准等名称及具体引用条款内容，并将其中必要的部分全文附后，作为报告的附件。包括概算编制的原则和依据；设备、软件的价格获取方式和确认途径；各种取费依据和标准等，并评价其合理性。</w:t>
            </w:r>
          </w:p>
          <w:p>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明确项目所需总投资及其构成，包括工程建设费用、工程建设其他费用和预备费。对投资概算总表中设备购置费内各分项及商业软件部分要提供“项目软硬件配置清单”，包括名称、参考型号、主要参数、数量、单价及其折扣率、部署地点等详细信息；对定制开发应用软件应根据实际需求按照软件工程的规范及要求初步测算各阶段所需工作量、不同类型的技术人员及其对应的人工费用。</w:t>
            </w:r>
          </w:p>
          <w:p>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结合项目具体情况，提出项目的资金筹措方案，并分项说明资金来源及使用计划。</w:t>
            </w:r>
          </w:p>
          <w:p>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结合系统运维方案，对系统建成后的年度运行经费进行估算，说明运行维护的经费来源和使用计划，提供运行维护的人员工资、相关待遇，系统运行所需备件、配件及电力耗损等费用预算。</w:t>
            </w:r>
          </w:p>
          <w:p>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所有概算表要提供可编辑的电子版本，所有相关数据需建立计算公式，分表与总表建立链接。同时，必须采用符合自治区住房城乡建设厅《关于公布2016年建设工程计价软件符合性测评合格名单的通知》（桂建价〔2016〕1号）文件要求的合格计价软件，并根据2016年《广西壮族自治区建设工程费用定额》要求套用各项设备、软件的定额，完成项目概算取费。</w:t>
            </w:r>
          </w:p>
          <w:p>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详细要求参照国家政务信息化项目初步设计方案和投资概算报告编制要求，并按照《广西壮族自治区本级政务信息化建设和运维项目预算支出标准的通知》（桂财建〔2023〕102号）及《广西壮族自治区工程建设其他费用定额》（桂建标〔2018〕37号）等现行相关规范、标准等规定进行概预算书编制。</w:t>
            </w:r>
          </w:p>
          <w:p>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（四）项目文件格式要求（包括但不限于）</w:t>
            </w:r>
            <w:r>
              <w:rPr>
                <w:rFonts w:hint="eastAsia" w:ascii="宋体" w:hAnsi="宋体" w:eastAsia="宋体" w:cs="宋体"/>
                <w:color w:val="auto"/>
                <w:sz w:val="21"/>
                <w:szCs w:val="21"/>
                <w:highlight w:val="none"/>
                <w:lang w:val="en-US" w:eastAsia="zh-CN"/>
              </w:rPr>
              <w:t>:</w:t>
            </w:r>
          </w:p>
          <w:p>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整体设计文本应格式一致、名称统一，避免出现不同设计人员的不同设计风格。</w:t>
            </w:r>
          </w:p>
          <w:p>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设计文件应按照国家标准和部颁（行业）设计规范要求的相关原则套用。设计文件的文字、名词、计量单位等，都应采用现行的国家标准和部颁（行业）标准。</w:t>
            </w:r>
          </w:p>
          <w:p>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设计文件的编印应符合规范化、标准化的要求，包括：设计说明书页张篇幅及各号图纸大小篇幅应符合国家标准规定尺寸；设计文件册的封面必须能表示出设计项目的全名、分册编号及工程名称。设计文件的分册由设计单位与建设单位协商后决定。</w:t>
            </w:r>
          </w:p>
          <w:p>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图纸要求采用Microsoft Visio 2007以上版本或AutoCAD 2007以上版本进行绘制；文档采用Microsoft Office 2007或WPS Office 2013及以上版本软件编制；计算要求采用国内外通行的商业软件，并最终形成具有公式关联计算关系的Microsoft Excel 2007或WPS表格2013及以上版本的电子表格。</w:t>
            </w:r>
          </w:p>
          <w:p>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设计文件的编制和装订应符合建设单位项目申报、归档保存要求。</w:t>
            </w:r>
          </w:p>
          <w:p>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（五）项目设计深度要求</w:t>
            </w:r>
          </w:p>
          <w:p>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设计文件的编制必须遵循所确定的内容、要求、基础资料及调研成果进行编制，充分结合项目实际情况，总体设计应采用国际先进成熟的技术架构，符合信息化发展趋势及相关技术和安全标准规范，设计深度应达到或高于行业内相关标准，能够满足采购人和项目审批主管部门的相关审查要求。</w:t>
            </w:r>
          </w:p>
          <w:p>
            <w:pPr>
              <w:keepNext w:val="0"/>
              <w:keepLines w:val="0"/>
              <w:pageBreakBefore w:val="0"/>
              <w:kinsoku/>
              <w:wordWrap/>
              <w:overflowPunct/>
              <w:topLinePunct w:val="0"/>
              <w:autoSpaceDE/>
              <w:autoSpaceDN/>
              <w:bidi w:val="0"/>
              <w:adjustRightInd/>
              <w:spacing w:line="360"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三、项目后续服务要求</w:t>
            </w:r>
          </w:p>
          <w:p>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设计成果交付后，成交供应商需协助建设单位向项目承建单位进行技术交底等技术服务，确保建设单位的思路及总体设计意图得到实施和落实。具体要求包括但不限于以下内容：</w:t>
            </w:r>
          </w:p>
          <w:p>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设计方案交底：（1）在项目建设实施过程中，对建设单位及项目承建单位进行技术交底，包括但不限于设计的设计思路、技术选型、产品功能特点、质量要求以及其他技术细节等；（2）解答建设单位及项目承建单位提出的对设计不清楚或不明确的疑问。</w:t>
            </w:r>
          </w:p>
          <w:p>
            <w:pPr>
              <w:keepNext w:val="0"/>
              <w:keepLines w:val="0"/>
              <w:pageBreakBefore w:val="0"/>
              <w:kinsoku/>
              <w:wordWrap/>
              <w:overflowPunct/>
              <w:topLinePunct w:val="0"/>
              <w:autoSpaceDE/>
              <w:autoSpaceDN/>
              <w:bidi w:val="0"/>
              <w:adjustRightInd/>
              <w:spacing w:line="360"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四、项目服务成果及交付要求</w:t>
            </w:r>
          </w:p>
          <w:p>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（一）项目服务成果</w:t>
            </w:r>
          </w:p>
          <w:p>
            <w:pPr>
              <w:pStyle w:val="21"/>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1.智桂农平台项目</w:t>
            </w:r>
          </w:p>
          <w:p>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（1）《智桂农平台密码应用方案》</w:t>
            </w:r>
          </w:p>
          <w:p>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（2）《智桂农平台项目建议书》</w:t>
            </w:r>
          </w:p>
          <w:p>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（3）《智桂农平台项目可行性研究报告》</w:t>
            </w:r>
          </w:p>
          <w:p>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（4）《智桂农平台项目初步设计方案和投资概算》</w:t>
            </w:r>
          </w:p>
          <w:p>
            <w:pPr>
              <w:pStyle w:val="21"/>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2.数字档案室项目</w:t>
            </w:r>
          </w:p>
          <w:p>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（1）《数字档案室系统密码应用方案》</w:t>
            </w:r>
          </w:p>
          <w:p>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（2）《数字档案室系统项目建议书》</w:t>
            </w:r>
          </w:p>
          <w:p>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（3）《数字档案室系统项目可行性研究报告》</w:t>
            </w:r>
          </w:p>
          <w:p>
            <w:pPr>
              <w:pStyle w:val="21"/>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若自治区审批部门有最新的要求，以自治区新的政策要求提供服务成果。</w:t>
            </w:r>
          </w:p>
          <w:p>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2．提交要求：</w:t>
            </w:r>
          </w:p>
          <w:p>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（1）成交供应商应在项目完成时，将本项目所有相关的技术文件，以及设计服务期间所需要制订的文档汇集成册交付采购人。</w:t>
            </w:r>
          </w:p>
          <w:p>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（2）所有的文件要求用中文书写或有完整的中文注释。</w:t>
            </w:r>
          </w:p>
          <w:p>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（3）本项目要求所有文档向建设单位提供纸质文档至少3 套，电子文档1 套。</w:t>
            </w:r>
          </w:p>
          <w:p>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（4）成交供应商应在</w:t>
            </w:r>
            <w:r>
              <w:rPr>
                <w:rFonts w:hint="eastAsia" w:ascii="宋体" w:hAnsi="宋体" w:cs="宋体"/>
                <w:color w:val="auto"/>
                <w:sz w:val="21"/>
                <w:szCs w:val="21"/>
                <w:highlight w:val="none"/>
                <w:lang w:eastAsia="zh-CN"/>
              </w:rPr>
              <w:t>成交</w:t>
            </w:r>
            <w:r>
              <w:rPr>
                <w:rFonts w:hint="eastAsia" w:ascii="宋体" w:hAnsi="宋体" w:eastAsia="宋体" w:cs="宋体"/>
                <w:color w:val="auto"/>
                <w:sz w:val="21"/>
                <w:szCs w:val="21"/>
                <w:highlight w:val="none"/>
              </w:rPr>
              <w:t>后与建设单位签订保密协议，承诺不将任何涉及本项目的信息向外界泄露，该保密义务在合同终止后继续有效。</w:t>
            </w:r>
          </w:p>
          <w:p>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（5）项目前期工作文档编制遵循自治区相关规定要求，能满足采购人和自治区项目审批主管部门的相关审查要求。</w:t>
            </w:r>
          </w:p>
          <w:p>
            <w:pPr>
              <w:keepNext w:val="0"/>
              <w:keepLines w:val="0"/>
              <w:pageBreakBefore w:val="0"/>
              <w:kinsoku/>
              <w:wordWrap/>
              <w:overflowPunct/>
              <w:topLinePunct w:val="0"/>
              <w:autoSpaceDE/>
              <w:autoSpaceDN/>
              <w:bidi w:val="0"/>
              <w:adjustRightInd/>
              <w:spacing w:line="360"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五、验收要求</w:t>
            </w:r>
          </w:p>
          <w:p>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（一）成交供应商必须在自签订合同之日起</w:t>
            </w:r>
            <w:r>
              <w:rPr>
                <w:rFonts w:hint="eastAsia" w:ascii="宋体" w:hAnsi="宋体" w:cs="宋体"/>
                <w:color w:val="auto"/>
                <w:sz w:val="21"/>
                <w:szCs w:val="21"/>
                <w:highlight w:val="none"/>
                <w:lang w:val="en-US" w:eastAsia="zh-CN"/>
              </w:rPr>
              <w:t>90</w:t>
            </w:r>
            <w:r>
              <w:rPr>
                <w:rFonts w:hint="eastAsia" w:ascii="宋体" w:hAnsi="宋体" w:eastAsia="宋体" w:cs="宋体"/>
                <w:color w:val="auto"/>
                <w:sz w:val="21"/>
                <w:szCs w:val="21"/>
                <w:highlight w:val="none"/>
              </w:rPr>
              <w:t>天内完成项目交付成果的编制及提交</w:t>
            </w:r>
            <w:r>
              <w:rPr>
                <w:rFonts w:hint="eastAsia" w:ascii="宋体" w:hAnsi="宋体" w:eastAsia="宋体" w:cs="宋体"/>
                <w:color w:val="auto"/>
                <w:sz w:val="21"/>
                <w:szCs w:val="21"/>
                <w:highlight w:val="none"/>
                <w:shd w:val="clear" w:color="auto" w:fill="FFFFFF"/>
              </w:rPr>
              <w:t>（不包括项目评审及审批时间）</w:t>
            </w:r>
            <w:r>
              <w:rPr>
                <w:rFonts w:hint="eastAsia" w:ascii="宋体" w:hAnsi="宋体" w:eastAsia="宋体" w:cs="宋体"/>
                <w:color w:val="auto"/>
                <w:sz w:val="21"/>
                <w:szCs w:val="21"/>
                <w:highlight w:val="none"/>
              </w:rPr>
              <w:t>。</w:t>
            </w:r>
          </w:p>
          <w:p>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（二）成交供应商在项目评审阶段，必须通过专家评审后的5-10个工作日内，按专家评审意见完成项目方案的相关修订，并递交质量合格的方案材料报相关部门。</w:t>
            </w:r>
          </w:p>
          <w:p>
            <w:pPr>
              <w:pStyle w:val="78"/>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textAlignment w:val="auto"/>
              <w:rPr>
                <w:rFonts w:ascii="宋体" w:hAnsi="宋体" w:cs="宋体"/>
                <w:color w:val="auto"/>
                <w:szCs w:val="21"/>
                <w:highlight w:val="none"/>
              </w:rPr>
            </w:pPr>
            <w:r>
              <w:rPr>
                <w:rFonts w:hint="eastAsia" w:ascii="宋体" w:hAnsi="宋体" w:eastAsia="宋体" w:cs="宋体"/>
                <w:color w:val="auto"/>
                <w:sz w:val="21"/>
                <w:szCs w:val="21"/>
                <w:highlight w:val="none"/>
              </w:rPr>
              <w:t>（三）在项目审批部门发文批复同意项目设计方案的5个工作日内，成交供应商需按照向采购人实际要求移交项目设计相关材料文档，包括但不限于全套文件及其电子文档，其中电子文档以只读光盘存储，且必须符合“电子文档格式”的技术要求，同时必须符合《国家电子政务工程建设项目档案管理暂行办法》的归档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714" w:type="dxa"/>
            <w:gridSpan w:val="6"/>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Cs w:val="21"/>
                <w:highlight w:val="none"/>
              </w:rPr>
            </w:pPr>
            <w:r>
              <w:rPr>
                <w:rFonts w:hint="eastAsia" w:ascii="宋体" w:hAnsi="宋体" w:cs="宋体"/>
                <w:b/>
                <w:color w:val="auto"/>
                <w:szCs w:val="21"/>
                <w:highlight w:val="none"/>
              </w:rPr>
              <w:t>商务要求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10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Cs w:val="21"/>
                <w:highlight w:val="none"/>
              </w:rPr>
            </w:pPr>
            <w:r>
              <w:rPr>
                <w:rFonts w:hint="eastAsia" w:ascii="宋体" w:hAnsi="宋体" w:cs="宋体"/>
                <w:b/>
                <w:bCs/>
                <w:color w:val="auto"/>
                <w:szCs w:val="21"/>
                <w:highlight w:val="none"/>
              </w:rPr>
              <w:t>▲</w:t>
            </w:r>
            <w:r>
              <w:rPr>
                <w:rFonts w:hint="eastAsia" w:ascii="宋体" w:hAnsi="宋体" w:cs="宋体"/>
                <w:bCs/>
                <w:color w:val="auto"/>
                <w:szCs w:val="21"/>
                <w:highlight w:val="none"/>
              </w:rPr>
              <w:t>磋商报价要求</w:t>
            </w:r>
          </w:p>
        </w:tc>
        <w:tc>
          <w:tcPr>
            <w:tcW w:w="7614" w:type="dxa"/>
            <w:gridSpan w:val="4"/>
            <w:tcBorders>
              <w:top w:val="single" w:color="auto" w:sz="4" w:space="0"/>
              <w:left w:val="single" w:color="auto" w:sz="4" w:space="0"/>
              <w:bottom w:val="single" w:color="auto" w:sz="4" w:space="0"/>
              <w:right w:val="single" w:color="auto" w:sz="4" w:space="0"/>
            </w:tcBorders>
            <w:vAlign w:val="center"/>
          </w:tcPr>
          <w:p>
            <w:pPr>
              <w:pStyle w:val="3"/>
              <w:rPr>
                <w:color w:val="auto"/>
                <w:highlight w:val="none"/>
              </w:rPr>
            </w:pPr>
            <w:r>
              <w:rPr>
                <w:rFonts w:hint="eastAsia" w:ascii="宋体" w:hAnsi="宋体" w:eastAsia="宋体" w:cs="宋体"/>
                <w:color w:val="auto"/>
                <w:kern w:val="2"/>
                <w:sz w:val="21"/>
                <w:szCs w:val="21"/>
                <w:highlight w:val="none"/>
                <w:lang w:val="en-US" w:eastAsia="zh-CN" w:bidi="ar-SA"/>
              </w:rPr>
              <w:t>本项目磋商报价为总额报价，即一次性报出本项目服务所需的所有费用，含技术服务、印刷费、派出工作人员的交通费、住宿费、伙食补助费、必要的保险费用和各项税金、其他有关的费用。本项目至服务期结束，采购人不另支付任何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10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cs="宋体"/>
                <w:b/>
                <w:color w:val="auto"/>
                <w:szCs w:val="21"/>
                <w:highlight w:val="none"/>
              </w:rPr>
            </w:pPr>
            <w:r>
              <w:rPr>
                <w:rFonts w:hint="eastAsia" w:ascii="宋体" w:hAnsi="宋体"/>
                <w:color w:val="auto"/>
                <w:szCs w:val="21"/>
                <w:highlight w:val="none"/>
              </w:rPr>
              <w:t>▲合同履约期限（提交服务成果时间）和地点</w:t>
            </w:r>
          </w:p>
        </w:tc>
        <w:tc>
          <w:tcPr>
            <w:tcW w:w="7614"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1、合同履约期限（提交服务成果时间）：</w:t>
            </w:r>
            <w:r>
              <w:rPr>
                <w:rFonts w:hint="eastAsia" w:ascii="宋体" w:hAnsi="宋体"/>
                <w:color w:val="auto"/>
                <w:szCs w:val="21"/>
                <w:highlight w:val="none"/>
              </w:rPr>
              <w:t>合同签订生效之日起</w:t>
            </w:r>
            <w:r>
              <w:rPr>
                <w:rFonts w:hint="eastAsia" w:ascii="宋体" w:hAnsi="宋体"/>
                <w:color w:val="auto"/>
                <w:szCs w:val="21"/>
                <w:highlight w:val="none"/>
                <w:lang w:val="en-US" w:eastAsia="zh-CN"/>
              </w:rPr>
              <w:t>90</w:t>
            </w:r>
            <w:r>
              <w:rPr>
                <w:rFonts w:hint="eastAsia" w:ascii="宋体" w:hAnsi="宋体"/>
                <w:color w:val="auto"/>
                <w:szCs w:val="21"/>
                <w:highlight w:val="none"/>
              </w:rPr>
              <w:t>日内</w:t>
            </w:r>
            <w:r>
              <w:rPr>
                <w:rFonts w:hint="eastAsia" w:ascii="宋体" w:hAnsi="宋体"/>
                <w:color w:val="auto"/>
                <w:szCs w:val="21"/>
                <w:highlight w:val="none"/>
                <w:lang w:eastAsia="zh-CN"/>
              </w:rPr>
              <w:t>提交服务成果</w:t>
            </w:r>
            <w:r>
              <w:rPr>
                <w:rFonts w:hint="eastAsia" w:ascii="宋体" w:hAnsi="宋体"/>
                <w:color w:val="auto"/>
                <w:szCs w:val="21"/>
                <w:highlight w:val="none"/>
              </w:rPr>
              <w:t>。</w:t>
            </w:r>
          </w:p>
          <w:p>
            <w:pPr>
              <w:adjustRightInd w:val="0"/>
              <w:snapToGrid w:val="0"/>
              <w:spacing w:line="360" w:lineRule="exact"/>
              <w:rPr>
                <w:rFonts w:hint="eastAsia" w:eastAsia="宋体"/>
                <w:color w:val="auto"/>
                <w:highlight w:val="none"/>
                <w:lang w:eastAsia="zh-CN"/>
              </w:rPr>
            </w:pPr>
            <w:r>
              <w:rPr>
                <w:rFonts w:hint="eastAsia" w:ascii="宋体" w:hAnsi="宋体"/>
                <w:color w:val="auto"/>
                <w:szCs w:val="21"/>
                <w:highlight w:val="none"/>
              </w:rPr>
              <w:t>2、地点：</w:t>
            </w:r>
            <w:r>
              <w:rPr>
                <w:rFonts w:hint="eastAsia" w:ascii="宋体" w:hAnsi="宋体"/>
                <w:color w:val="auto"/>
                <w:szCs w:val="21"/>
                <w:highlight w:val="none"/>
                <w:lang w:eastAsia="zh-CN"/>
              </w:rPr>
              <w:t>采购人指定地点。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210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cs="宋体"/>
                <w:b/>
                <w:color w:val="auto"/>
                <w:szCs w:val="21"/>
                <w:highlight w:val="none"/>
              </w:rPr>
            </w:pPr>
            <w:r>
              <w:rPr>
                <w:rFonts w:hint="eastAsia" w:ascii="宋体" w:hAnsi="宋体"/>
                <w:color w:val="auto"/>
                <w:szCs w:val="21"/>
                <w:highlight w:val="none"/>
              </w:rPr>
              <w:t>▲验收标准</w:t>
            </w:r>
          </w:p>
        </w:tc>
        <w:tc>
          <w:tcPr>
            <w:tcW w:w="7614" w:type="dxa"/>
            <w:gridSpan w:val="4"/>
            <w:tcBorders>
              <w:top w:val="single" w:color="auto" w:sz="4" w:space="0"/>
              <w:left w:val="single" w:color="auto" w:sz="4" w:space="0"/>
              <w:bottom w:val="single" w:color="auto" w:sz="4" w:space="0"/>
              <w:right w:val="single" w:color="auto" w:sz="4" w:space="0"/>
            </w:tcBorders>
            <w:vAlign w:val="center"/>
          </w:tcPr>
          <w:p>
            <w:pPr>
              <w:numPr>
                <w:ilvl w:val="0"/>
                <w:numId w:val="1"/>
              </w:numPr>
              <w:adjustRightInd w:val="0"/>
              <w:snapToGrid w:val="0"/>
              <w:spacing w:line="360" w:lineRule="exact"/>
              <w:jc w:val="left"/>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验收要求</w:t>
            </w:r>
          </w:p>
          <w:p>
            <w:pPr>
              <w:keepNext w:val="0"/>
              <w:keepLines w:val="0"/>
              <w:pageBreakBefore w:val="0"/>
              <w:kinsoku/>
              <w:wordWrap/>
              <w:overflowPunct/>
              <w:topLinePunct w:val="0"/>
              <w:autoSpaceDE/>
              <w:autoSpaceDN/>
              <w:bidi w:val="0"/>
              <w:adjustRightInd/>
              <w:spacing w:line="360" w:lineRule="auto"/>
              <w:jc w:val="left"/>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（1）成交供应商必须在自签订合同之日起</w:t>
            </w:r>
            <w:r>
              <w:rPr>
                <w:rFonts w:hint="eastAsia" w:cs="Times New Roman"/>
                <w:color w:val="auto"/>
                <w:kern w:val="2"/>
                <w:sz w:val="21"/>
                <w:szCs w:val="24"/>
                <w:highlight w:val="none"/>
                <w:lang w:val="en-US" w:eastAsia="zh-CN" w:bidi="ar-SA"/>
              </w:rPr>
              <w:t>90</w:t>
            </w:r>
            <w:r>
              <w:rPr>
                <w:rFonts w:hint="eastAsia" w:ascii="Times New Roman" w:hAnsi="Times New Roman" w:eastAsia="宋体" w:cs="Times New Roman"/>
                <w:color w:val="auto"/>
                <w:kern w:val="2"/>
                <w:sz w:val="21"/>
                <w:szCs w:val="24"/>
                <w:highlight w:val="none"/>
                <w:lang w:val="en-US" w:eastAsia="zh-CN" w:bidi="ar-SA"/>
              </w:rPr>
              <w:t>天内完成项目交付成果的编制及提交（不包括项目评审及审批时间）。</w:t>
            </w:r>
          </w:p>
          <w:p>
            <w:pPr>
              <w:keepNext w:val="0"/>
              <w:keepLines w:val="0"/>
              <w:pageBreakBefore w:val="0"/>
              <w:kinsoku/>
              <w:wordWrap/>
              <w:overflowPunct/>
              <w:topLinePunct w:val="0"/>
              <w:autoSpaceDE/>
              <w:autoSpaceDN/>
              <w:bidi w:val="0"/>
              <w:adjustRightInd/>
              <w:spacing w:line="360" w:lineRule="auto"/>
              <w:jc w:val="left"/>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（2）成交供应商在项目评审阶段，必须通过专家评审后的5-10个工作日内，按专家评审意见完成项目方案的相关修订，并递交质量合格的方案材料报相关部门。</w:t>
            </w:r>
          </w:p>
          <w:p>
            <w:pPr>
              <w:numPr>
                <w:ilvl w:val="0"/>
                <w:numId w:val="0"/>
              </w:numPr>
              <w:adjustRightInd w:val="0"/>
              <w:snapToGrid w:val="0"/>
              <w:spacing w:line="360" w:lineRule="exact"/>
              <w:jc w:val="left"/>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3）在项目审批部门发文批复同意项目设计方案的5个工作日内，成交供应商需按照向采购人实际要求移交项目设计相关材料文档，包括但不限于全套文件及其电子文档，其中电子文档以只读光盘存储，且必须符合“电子文档格式”的技术要求，同时必须符合《国家电子政务工程建设项目档案管理暂行办法》的归档要求。</w:t>
            </w:r>
          </w:p>
          <w:p>
            <w:pPr>
              <w:numPr>
                <w:ilvl w:val="0"/>
                <w:numId w:val="0"/>
              </w:numPr>
              <w:adjustRightInd w:val="0"/>
              <w:snapToGrid w:val="0"/>
              <w:spacing w:line="360" w:lineRule="exact"/>
              <w:jc w:val="left"/>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2、验收依据：本采购文件的相关要求；国家相关法律、法规、标准和规范等。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10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cs="宋体"/>
                <w:color w:val="auto"/>
                <w:szCs w:val="21"/>
                <w:highlight w:val="none"/>
              </w:rPr>
            </w:pPr>
            <w:r>
              <w:rPr>
                <w:rFonts w:hint="eastAsia" w:ascii="宋体" w:hAnsi="宋体"/>
                <w:color w:val="auto"/>
                <w:szCs w:val="21"/>
                <w:highlight w:val="none"/>
              </w:rPr>
              <w:t>▲付款方式</w:t>
            </w:r>
          </w:p>
        </w:tc>
        <w:tc>
          <w:tcPr>
            <w:tcW w:w="7614"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ascii="宋体" w:hAnsi="宋体" w:cs="宋体"/>
                <w:bCs/>
                <w:color w:val="auto"/>
                <w:szCs w:val="22"/>
                <w:highlight w:val="none"/>
              </w:rPr>
            </w:pPr>
            <w:r>
              <w:rPr>
                <w:rFonts w:hint="eastAsia" w:ascii="宋体" w:hAnsi="宋体" w:cs="宋体"/>
                <w:bCs/>
                <w:color w:val="auto"/>
                <w:szCs w:val="22"/>
                <w:highlight w:val="none"/>
              </w:rPr>
              <w:t>签订合同后，采购人向成交供应商支付合同金额的40%；项目服务成果通过第三方机构评审或者采购人验收后，采购人向成交供应商支付合同金额的60%。</w:t>
            </w:r>
            <w:r>
              <w:rPr>
                <w:rFonts w:hint="eastAsia" w:ascii="宋体" w:hAnsi="宋体" w:cs="宋体"/>
                <w:bCs/>
                <w:color w:val="auto"/>
                <w:szCs w:val="22"/>
                <w:highlight w:val="none"/>
                <w:lang w:eastAsia="zh-CN"/>
              </w:rPr>
              <w:t>成交</w:t>
            </w:r>
            <w:r>
              <w:rPr>
                <w:rFonts w:hint="eastAsia" w:ascii="宋体" w:hAnsi="宋体" w:cs="宋体"/>
                <w:bCs/>
                <w:color w:val="auto"/>
                <w:szCs w:val="22"/>
                <w:highlight w:val="none"/>
              </w:rPr>
              <w:t>供应商自收到合同款之日起5个工作日内开具发票给采购人。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100" w:type="dxa"/>
            <w:gridSpan w:val="2"/>
            <w:tcBorders>
              <w:top w:val="single" w:color="auto" w:sz="4" w:space="0"/>
              <w:left w:val="single" w:color="auto" w:sz="4" w:space="0"/>
              <w:bottom w:val="single" w:color="auto" w:sz="4" w:space="0"/>
              <w:right w:val="single" w:color="auto" w:sz="4" w:space="0"/>
            </w:tcBorders>
            <w:vAlign w:val="center"/>
          </w:tcPr>
          <w:p>
            <w:pPr>
              <w:numPr>
                <w:ilvl w:val="0"/>
                <w:numId w:val="0"/>
              </w:numPr>
              <w:adjustRightInd w:val="0"/>
              <w:snapToGrid w:val="0"/>
              <w:spacing w:line="360" w:lineRule="exact"/>
              <w:jc w:val="center"/>
              <w:rPr>
                <w:rFonts w:hint="eastAsia" w:ascii="Times New Roman" w:hAnsi="Times New Roman" w:eastAsia="宋体" w:cs="Times New Roman"/>
                <w:color w:val="auto"/>
                <w:kern w:val="2"/>
                <w:sz w:val="21"/>
                <w:szCs w:val="24"/>
                <w:highlight w:val="none"/>
                <w:lang w:val="en-US" w:eastAsia="zh-CN" w:bidi="ar-SA"/>
              </w:rPr>
            </w:pPr>
            <w:r>
              <w:rPr>
                <w:rFonts w:hint="eastAsia" w:ascii="宋体" w:hAnsi="宋体"/>
                <w:color w:val="auto"/>
                <w:szCs w:val="21"/>
                <w:highlight w:val="none"/>
              </w:rPr>
              <w:t>▲</w:t>
            </w:r>
            <w:r>
              <w:rPr>
                <w:rFonts w:hint="eastAsia" w:ascii="Times New Roman" w:hAnsi="Times New Roman" w:eastAsia="宋体" w:cs="Times New Roman"/>
                <w:color w:val="auto"/>
                <w:kern w:val="2"/>
                <w:sz w:val="21"/>
                <w:szCs w:val="24"/>
                <w:highlight w:val="none"/>
                <w:lang w:val="en-US" w:eastAsia="zh-CN" w:bidi="ar-SA"/>
              </w:rPr>
              <w:t>质量保证期及售后服务保障响应时间要求</w:t>
            </w:r>
          </w:p>
        </w:tc>
        <w:tc>
          <w:tcPr>
            <w:tcW w:w="7614" w:type="dxa"/>
            <w:gridSpan w:val="4"/>
            <w:tcBorders>
              <w:top w:val="single" w:color="auto" w:sz="4" w:space="0"/>
              <w:left w:val="single" w:color="auto" w:sz="4" w:space="0"/>
              <w:bottom w:val="single" w:color="auto" w:sz="4" w:space="0"/>
              <w:right w:val="single" w:color="auto" w:sz="4" w:space="0"/>
            </w:tcBorders>
            <w:vAlign w:val="center"/>
          </w:tcPr>
          <w:p>
            <w:pPr>
              <w:numPr>
                <w:ilvl w:val="0"/>
                <w:numId w:val="0"/>
              </w:numPr>
              <w:adjustRightInd w:val="0"/>
              <w:snapToGrid w:val="0"/>
              <w:spacing w:line="360" w:lineRule="exact"/>
              <w:jc w:val="left"/>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1、质量保证期：自提交服务成果完毕并验收合格之日起计不少于1年。</w:t>
            </w:r>
          </w:p>
          <w:p>
            <w:pPr>
              <w:numPr>
                <w:ilvl w:val="0"/>
                <w:numId w:val="0"/>
              </w:numPr>
              <w:adjustRightInd w:val="0"/>
              <w:snapToGrid w:val="0"/>
              <w:spacing w:line="360" w:lineRule="exact"/>
              <w:jc w:val="left"/>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2、处理问题响应时间：接到采购人处理问题通知后1小时内到达采购人指定现场。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10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color w:val="auto"/>
                <w:szCs w:val="21"/>
                <w:highlight w:val="none"/>
              </w:rPr>
            </w:pPr>
            <w:r>
              <w:rPr>
                <w:rFonts w:hint="eastAsia" w:ascii="宋体" w:hAnsi="宋体"/>
                <w:color w:val="auto"/>
                <w:szCs w:val="21"/>
                <w:highlight w:val="none"/>
              </w:rPr>
              <w:t>其他要求</w:t>
            </w:r>
          </w:p>
        </w:tc>
        <w:tc>
          <w:tcPr>
            <w:tcW w:w="7614" w:type="dxa"/>
            <w:gridSpan w:val="4"/>
            <w:tcBorders>
              <w:top w:val="single" w:color="auto" w:sz="4" w:space="0"/>
              <w:left w:val="single" w:color="auto" w:sz="4" w:space="0"/>
              <w:bottom w:val="single" w:color="auto" w:sz="4" w:space="0"/>
              <w:right w:val="single" w:color="auto" w:sz="4" w:space="0"/>
            </w:tcBorders>
            <w:vAlign w:val="center"/>
          </w:tcPr>
          <w:p>
            <w:pPr>
              <w:numPr>
                <w:ilvl w:val="0"/>
                <w:numId w:val="0"/>
              </w:numPr>
              <w:adjustRightInd w:val="0"/>
              <w:snapToGrid w:val="0"/>
              <w:spacing w:line="360" w:lineRule="exac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w:t>
            </w:r>
            <w:r>
              <w:rPr>
                <w:rFonts w:hint="eastAsia" w:ascii="宋体" w:hAnsi="宋体"/>
                <w:color w:val="auto"/>
                <w:szCs w:val="21"/>
                <w:highlight w:val="none"/>
              </w:rPr>
              <w:t>需指派专人担任服务期</w:t>
            </w:r>
            <w:r>
              <w:rPr>
                <w:rFonts w:hint="eastAsia" w:ascii="宋体" w:hAnsi="宋体"/>
                <w:color w:val="auto"/>
                <w:szCs w:val="21"/>
                <w:highlight w:val="none"/>
                <w:lang w:eastAsia="zh-CN"/>
              </w:rPr>
              <w:t>内</w:t>
            </w:r>
            <w:r>
              <w:rPr>
                <w:rFonts w:hint="eastAsia" w:ascii="宋体" w:hAnsi="宋体"/>
                <w:color w:val="auto"/>
                <w:szCs w:val="21"/>
                <w:highlight w:val="none"/>
              </w:rPr>
              <w:t>的管理及技术负责人，管理及技术负责人应能与采购</w:t>
            </w:r>
            <w:r>
              <w:rPr>
                <w:rFonts w:hint="eastAsia" w:ascii="宋体" w:hAnsi="宋体"/>
                <w:color w:val="auto"/>
                <w:szCs w:val="21"/>
                <w:highlight w:val="none"/>
                <w:lang w:eastAsia="zh-CN"/>
              </w:rPr>
              <w:t>人</w:t>
            </w:r>
            <w:r>
              <w:rPr>
                <w:rFonts w:hint="eastAsia" w:ascii="宋体" w:hAnsi="宋体"/>
                <w:color w:val="auto"/>
                <w:szCs w:val="21"/>
                <w:highlight w:val="none"/>
              </w:rPr>
              <w:t>有效沟通，确保项目质量并承担相应责任。</w:t>
            </w:r>
          </w:p>
          <w:p>
            <w:pPr>
              <w:numPr>
                <w:ilvl w:val="0"/>
                <w:numId w:val="0"/>
              </w:numPr>
              <w:adjustRightInd w:val="0"/>
              <w:snapToGrid w:val="0"/>
              <w:spacing w:line="360" w:lineRule="exact"/>
              <w:rPr>
                <w:rFonts w:hint="eastAsia"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eastAsia="zh-CN"/>
              </w:rPr>
              <w:t>、成交</w:t>
            </w:r>
            <w:r>
              <w:rPr>
                <w:rFonts w:hint="eastAsia" w:ascii="宋体" w:hAnsi="宋体"/>
                <w:color w:val="auto"/>
                <w:szCs w:val="21"/>
                <w:highlight w:val="none"/>
              </w:rPr>
              <w:t>供应商在</w:t>
            </w:r>
            <w:r>
              <w:rPr>
                <w:rFonts w:hint="eastAsia" w:ascii="宋体" w:hAnsi="宋体"/>
                <w:color w:val="auto"/>
                <w:szCs w:val="21"/>
                <w:highlight w:val="none"/>
                <w:lang w:eastAsia="zh-CN"/>
              </w:rPr>
              <w:t>成交</w:t>
            </w:r>
            <w:r>
              <w:rPr>
                <w:rFonts w:hint="eastAsia" w:ascii="宋体" w:hAnsi="宋体"/>
                <w:color w:val="auto"/>
                <w:szCs w:val="21"/>
                <w:highlight w:val="none"/>
              </w:rPr>
              <w:t>后应积极主动地与采购人联系，落实具体事宜，安排充足的人员在规定的时间内完成编制工作。</w:t>
            </w:r>
          </w:p>
          <w:p>
            <w:pPr>
              <w:numPr>
                <w:ilvl w:val="0"/>
                <w:numId w:val="0"/>
              </w:numPr>
              <w:adjustRightInd w:val="0"/>
              <w:snapToGrid w:val="0"/>
              <w:spacing w:line="360" w:lineRule="exact"/>
              <w:rPr>
                <w:rFonts w:hint="eastAsia" w:ascii="宋体" w:hAnsi="宋体"/>
                <w:color w:val="auto"/>
                <w:szCs w:val="21"/>
                <w:highlight w:val="none"/>
              </w:rPr>
            </w:pPr>
            <w:r>
              <w:rPr>
                <w:rFonts w:hint="eastAsia" w:ascii="宋体" w:hAnsi="宋体"/>
                <w:color w:val="auto"/>
                <w:szCs w:val="21"/>
                <w:highlight w:val="none"/>
              </w:rPr>
              <w:t>3</w:t>
            </w:r>
            <w:r>
              <w:rPr>
                <w:rFonts w:hint="eastAsia" w:ascii="宋体" w:hAnsi="宋体"/>
                <w:color w:val="auto"/>
                <w:szCs w:val="21"/>
                <w:highlight w:val="none"/>
                <w:lang w:eastAsia="zh-CN"/>
              </w:rPr>
              <w:t>、成交</w:t>
            </w:r>
            <w:r>
              <w:rPr>
                <w:rFonts w:hint="eastAsia" w:ascii="宋体" w:hAnsi="宋体"/>
                <w:color w:val="auto"/>
                <w:szCs w:val="21"/>
                <w:highlight w:val="none"/>
              </w:rPr>
              <w:t>供应商不得将采购人委托的项目任何内容透露给除采购人以外的任何人。如发现</w:t>
            </w:r>
            <w:r>
              <w:rPr>
                <w:rFonts w:hint="eastAsia" w:ascii="宋体" w:hAnsi="宋体"/>
                <w:color w:val="auto"/>
                <w:szCs w:val="21"/>
                <w:highlight w:val="none"/>
                <w:lang w:eastAsia="zh-CN"/>
              </w:rPr>
              <w:t>成交</w:t>
            </w:r>
            <w:r>
              <w:rPr>
                <w:rFonts w:hint="eastAsia" w:ascii="宋体" w:hAnsi="宋体"/>
                <w:color w:val="auto"/>
                <w:szCs w:val="21"/>
                <w:highlight w:val="none"/>
              </w:rPr>
              <w:t>供应商有违规情况并经查实的，采购人有权终止合同并追究</w:t>
            </w:r>
            <w:r>
              <w:rPr>
                <w:rFonts w:hint="eastAsia" w:ascii="宋体" w:hAnsi="宋体"/>
                <w:color w:val="auto"/>
                <w:szCs w:val="21"/>
                <w:highlight w:val="none"/>
                <w:lang w:eastAsia="zh-CN"/>
              </w:rPr>
              <w:t>成交</w:t>
            </w:r>
            <w:r>
              <w:rPr>
                <w:rFonts w:hint="eastAsia" w:ascii="宋体" w:hAnsi="宋体"/>
                <w:color w:val="auto"/>
                <w:szCs w:val="21"/>
                <w:highlight w:val="none"/>
              </w:rPr>
              <w:t>供应商违约责任。</w:t>
            </w:r>
          </w:p>
          <w:p>
            <w:pPr>
              <w:numPr>
                <w:ilvl w:val="0"/>
                <w:numId w:val="0"/>
              </w:numPr>
              <w:adjustRightInd w:val="0"/>
              <w:snapToGrid w:val="0"/>
              <w:spacing w:line="360" w:lineRule="exact"/>
              <w:rPr>
                <w:rFonts w:hint="eastAsia" w:ascii="宋体" w:hAnsi="宋体"/>
                <w:color w:val="auto"/>
                <w:szCs w:val="21"/>
                <w:highlight w:val="none"/>
              </w:rPr>
            </w:pPr>
            <w:r>
              <w:rPr>
                <w:rFonts w:hint="eastAsia" w:ascii="宋体" w:hAnsi="宋体"/>
                <w:color w:val="auto"/>
                <w:szCs w:val="21"/>
                <w:highlight w:val="none"/>
              </w:rPr>
              <w:t>4</w:t>
            </w:r>
            <w:r>
              <w:rPr>
                <w:rFonts w:hint="eastAsia" w:ascii="宋体" w:hAnsi="宋体"/>
                <w:color w:val="auto"/>
                <w:szCs w:val="21"/>
                <w:highlight w:val="none"/>
                <w:lang w:eastAsia="zh-CN"/>
              </w:rPr>
              <w:t>、</w:t>
            </w:r>
            <w:r>
              <w:rPr>
                <w:rFonts w:hint="eastAsia" w:ascii="宋体" w:hAnsi="宋体"/>
                <w:color w:val="auto"/>
                <w:szCs w:val="21"/>
                <w:highlight w:val="none"/>
              </w:rPr>
              <w:t>合同有效期内，采购人认为</w:t>
            </w:r>
            <w:r>
              <w:rPr>
                <w:rFonts w:hint="eastAsia" w:ascii="宋体" w:hAnsi="宋体"/>
                <w:color w:val="auto"/>
                <w:szCs w:val="21"/>
                <w:highlight w:val="none"/>
                <w:lang w:eastAsia="zh-CN"/>
              </w:rPr>
              <w:t>成交</w:t>
            </w:r>
            <w:r>
              <w:rPr>
                <w:rFonts w:hint="eastAsia" w:ascii="宋体" w:hAnsi="宋体"/>
                <w:color w:val="auto"/>
                <w:szCs w:val="21"/>
                <w:highlight w:val="none"/>
              </w:rPr>
              <w:t>供应商实际投入的编制人员不足以满足编制任务需要或认为编制人员不称职时，可向</w:t>
            </w:r>
            <w:r>
              <w:rPr>
                <w:rFonts w:hint="eastAsia" w:ascii="宋体" w:hAnsi="宋体"/>
                <w:color w:val="auto"/>
                <w:szCs w:val="21"/>
                <w:highlight w:val="none"/>
                <w:lang w:eastAsia="zh-CN"/>
              </w:rPr>
              <w:t>成交</w:t>
            </w:r>
            <w:r>
              <w:rPr>
                <w:rFonts w:hint="eastAsia" w:ascii="宋体" w:hAnsi="宋体"/>
                <w:color w:val="auto"/>
                <w:szCs w:val="21"/>
                <w:highlight w:val="none"/>
              </w:rPr>
              <w:t>供应商发出要求增加或更换(必要时可指定)编制人员的通知，</w:t>
            </w:r>
            <w:r>
              <w:rPr>
                <w:rFonts w:hint="eastAsia" w:ascii="宋体" w:hAnsi="宋体"/>
                <w:color w:val="auto"/>
                <w:szCs w:val="21"/>
                <w:highlight w:val="none"/>
                <w:lang w:eastAsia="zh-CN"/>
              </w:rPr>
              <w:t>成交</w:t>
            </w:r>
            <w:r>
              <w:rPr>
                <w:rFonts w:hint="eastAsia" w:ascii="宋体" w:hAnsi="宋体"/>
                <w:color w:val="auto"/>
                <w:szCs w:val="21"/>
                <w:highlight w:val="none"/>
              </w:rPr>
              <w:t>供应商在收到通知后的5天内应增加或更换相应的编制人员，由此产生的费用由</w:t>
            </w:r>
            <w:r>
              <w:rPr>
                <w:rFonts w:hint="eastAsia" w:ascii="宋体" w:hAnsi="宋体"/>
                <w:color w:val="auto"/>
                <w:szCs w:val="21"/>
                <w:highlight w:val="none"/>
                <w:lang w:eastAsia="zh-CN"/>
              </w:rPr>
              <w:t>成交</w:t>
            </w:r>
            <w:r>
              <w:rPr>
                <w:rFonts w:hint="eastAsia" w:ascii="宋体" w:hAnsi="宋体"/>
                <w:color w:val="auto"/>
                <w:szCs w:val="21"/>
                <w:highlight w:val="none"/>
              </w:rPr>
              <w:t>供应商自行承担。</w:t>
            </w:r>
          </w:p>
          <w:p>
            <w:pPr>
              <w:numPr>
                <w:ilvl w:val="0"/>
                <w:numId w:val="0"/>
              </w:numPr>
              <w:adjustRightInd w:val="0"/>
              <w:snapToGrid w:val="0"/>
              <w:spacing w:line="360" w:lineRule="exact"/>
              <w:rPr>
                <w:rFonts w:hint="eastAsia" w:ascii="宋体" w:hAnsi="宋体"/>
                <w:color w:val="auto"/>
                <w:szCs w:val="21"/>
                <w:highlight w:val="none"/>
              </w:rPr>
            </w:pPr>
            <w:r>
              <w:rPr>
                <w:rFonts w:hint="eastAsia" w:ascii="宋体" w:hAnsi="宋体"/>
                <w:color w:val="auto"/>
                <w:szCs w:val="21"/>
                <w:highlight w:val="none"/>
              </w:rPr>
              <w:t>5</w:t>
            </w:r>
            <w:r>
              <w:rPr>
                <w:rFonts w:hint="eastAsia" w:ascii="宋体" w:hAnsi="宋体"/>
                <w:color w:val="auto"/>
                <w:szCs w:val="21"/>
                <w:highlight w:val="none"/>
                <w:lang w:eastAsia="zh-CN"/>
              </w:rPr>
              <w:t>、成交</w:t>
            </w:r>
            <w:r>
              <w:rPr>
                <w:rFonts w:hint="eastAsia" w:ascii="宋体" w:hAnsi="宋体"/>
                <w:color w:val="auto"/>
                <w:szCs w:val="21"/>
                <w:highlight w:val="none"/>
              </w:rPr>
              <w:t>供应商，在签订合同前须签订由采购人印制的《社会中介机构廉洁从业承诺书》。</w:t>
            </w:r>
          </w:p>
          <w:p>
            <w:pPr>
              <w:numPr>
                <w:ilvl w:val="0"/>
                <w:numId w:val="0"/>
              </w:numPr>
              <w:adjustRightInd w:val="0"/>
              <w:snapToGrid w:val="0"/>
              <w:spacing w:line="360" w:lineRule="exact"/>
              <w:rPr>
                <w:rFonts w:hint="eastAsia" w:ascii="宋体" w:hAnsi="宋体"/>
                <w:color w:val="auto"/>
                <w:szCs w:val="21"/>
                <w:highlight w:val="none"/>
              </w:rPr>
            </w:pPr>
            <w:r>
              <w:rPr>
                <w:rFonts w:hint="eastAsia" w:ascii="宋体" w:hAnsi="宋体"/>
                <w:color w:val="auto"/>
                <w:szCs w:val="21"/>
                <w:highlight w:val="none"/>
              </w:rPr>
              <w:t>6</w:t>
            </w:r>
            <w:r>
              <w:rPr>
                <w:rFonts w:hint="eastAsia" w:ascii="宋体" w:hAnsi="宋体"/>
                <w:color w:val="auto"/>
                <w:szCs w:val="21"/>
                <w:highlight w:val="none"/>
                <w:lang w:eastAsia="zh-CN"/>
              </w:rPr>
              <w:t>、</w:t>
            </w:r>
            <w:r>
              <w:rPr>
                <w:rFonts w:hint="eastAsia" w:ascii="宋体" w:hAnsi="宋体"/>
                <w:color w:val="auto"/>
                <w:szCs w:val="21"/>
                <w:highlight w:val="none"/>
              </w:rPr>
              <w:t>合同期内，</w:t>
            </w:r>
            <w:r>
              <w:rPr>
                <w:rFonts w:hint="eastAsia" w:ascii="宋体" w:hAnsi="宋体"/>
                <w:color w:val="auto"/>
                <w:szCs w:val="21"/>
                <w:highlight w:val="none"/>
                <w:lang w:eastAsia="zh-CN"/>
              </w:rPr>
              <w:t>成交</w:t>
            </w:r>
            <w:r>
              <w:rPr>
                <w:rFonts w:hint="eastAsia" w:ascii="宋体" w:hAnsi="宋体"/>
                <w:color w:val="auto"/>
                <w:szCs w:val="21"/>
                <w:highlight w:val="none"/>
              </w:rPr>
              <w:t>供应商出现违反廉洁从业规定时，采购人将实行一票否决，终止合同并追究</w:t>
            </w:r>
            <w:r>
              <w:rPr>
                <w:rFonts w:hint="eastAsia" w:ascii="宋体" w:hAnsi="宋体"/>
                <w:color w:val="auto"/>
                <w:szCs w:val="21"/>
                <w:highlight w:val="none"/>
                <w:lang w:eastAsia="zh-CN"/>
              </w:rPr>
              <w:t>成交</w:t>
            </w:r>
            <w:r>
              <w:rPr>
                <w:rFonts w:hint="eastAsia" w:ascii="宋体" w:hAnsi="宋体"/>
                <w:color w:val="auto"/>
                <w:szCs w:val="21"/>
                <w:highlight w:val="none"/>
              </w:rPr>
              <w:t>供应商相关责任。</w:t>
            </w:r>
          </w:p>
          <w:p>
            <w:pPr>
              <w:numPr>
                <w:ilvl w:val="0"/>
                <w:numId w:val="0"/>
              </w:numPr>
              <w:adjustRightInd w:val="0"/>
              <w:snapToGrid w:val="0"/>
              <w:spacing w:line="360" w:lineRule="exact"/>
              <w:rPr>
                <w:rFonts w:hint="eastAsia" w:ascii="宋体" w:hAnsi="宋体"/>
                <w:color w:val="auto"/>
                <w:szCs w:val="21"/>
                <w:highlight w:val="none"/>
              </w:rPr>
            </w:pPr>
            <w:r>
              <w:rPr>
                <w:rFonts w:hint="eastAsia" w:ascii="宋体" w:hAnsi="宋体"/>
                <w:color w:val="auto"/>
                <w:szCs w:val="21"/>
                <w:highlight w:val="none"/>
              </w:rPr>
              <w:t>7</w:t>
            </w:r>
            <w:r>
              <w:rPr>
                <w:rFonts w:hint="eastAsia" w:ascii="宋体" w:hAnsi="宋体"/>
                <w:color w:val="auto"/>
                <w:szCs w:val="21"/>
                <w:highlight w:val="none"/>
                <w:lang w:eastAsia="zh-CN"/>
              </w:rPr>
              <w:t>、</w:t>
            </w:r>
            <w:r>
              <w:rPr>
                <w:rFonts w:hint="eastAsia" w:ascii="宋体" w:hAnsi="宋体"/>
                <w:color w:val="auto"/>
                <w:szCs w:val="21"/>
                <w:highlight w:val="none"/>
              </w:rPr>
              <w:t>采购人认为有必要时，可以约谈、询问</w:t>
            </w:r>
            <w:r>
              <w:rPr>
                <w:rFonts w:hint="eastAsia" w:ascii="宋体" w:hAnsi="宋体"/>
                <w:color w:val="auto"/>
                <w:szCs w:val="21"/>
                <w:highlight w:val="none"/>
                <w:lang w:eastAsia="zh-CN"/>
              </w:rPr>
              <w:t>成交</w:t>
            </w:r>
            <w:r>
              <w:rPr>
                <w:rFonts w:hint="eastAsia" w:ascii="宋体" w:hAnsi="宋体"/>
                <w:color w:val="auto"/>
                <w:szCs w:val="21"/>
                <w:highlight w:val="none"/>
              </w:rPr>
              <w:t>供应商的法人代表及相关负责人，</w:t>
            </w:r>
            <w:r>
              <w:rPr>
                <w:rFonts w:hint="eastAsia" w:ascii="宋体" w:hAnsi="宋体"/>
                <w:color w:val="auto"/>
                <w:szCs w:val="21"/>
                <w:highlight w:val="none"/>
                <w:lang w:eastAsia="zh-CN"/>
              </w:rPr>
              <w:t>成交</w:t>
            </w:r>
            <w:r>
              <w:rPr>
                <w:rFonts w:hint="eastAsia" w:ascii="宋体" w:hAnsi="宋体"/>
                <w:color w:val="auto"/>
                <w:szCs w:val="21"/>
                <w:highlight w:val="none"/>
              </w:rPr>
              <w:t>供应商不得拒绝。</w:t>
            </w:r>
          </w:p>
          <w:p>
            <w:pPr>
              <w:numPr>
                <w:ilvl w:val="0"/>
                <w:numId w:val="0"/>
              </w:numPr>
              <w:adjustRightInd w:val="0"/>
              <w:snapToGrid w:val="0"/>
              <w:spacing w:line="360" w:lineRule="exact"/>
              <w:rPr>
                <w:rFonts w:hint="eastAsia" w:ascii="宋体" w:hAnsi="宋体"/>
                <w:color w:val="auto"/>
                <w:szCs w:val="21"/>
                <w:highlight w:val="none"/>
              </w:rPr>
            </w:pPr>
            <w:r>
              <w:rPr>
                <w:rFonts w:hint="eastAsia" w:ascii="宋体" w:hAnsi="宋体"/>
                <w:color w:val="auto"/>
                <w:szCs w:val="21"/>
                <w:highlight w:val="none"/>
              </w:rPr>
              <w:t>8</w:t>
            </w:r>
            <w:r>
              <w:rPr>
                <w:rFonts w:hint="eastAsia" w:ascii="宋体" w:hAnsi="宋体"/>
                <w:color w:val="auto"/>
                <w:szCs w:val="21"/>
                <w:highlight w:val="none"/>
                <w:lang w:eastAsia="zh-CN"/>
              </w:rPr>
              <w:t>、成交</w:t>
            </w:r>
            <w:r>
              <w:rPr>
                <w:rFonts w:hint="eastAsia" w:ascii="宋体" w:hAnsi="宋体"/>
                <w:color w:val="auto"/>
                <w:szCs w:val="21"/>
                <w:highlight w:val="none"/>
              </w:rPr>
              <w:t>供应商参与该项目的设计(咨询)服务后，不得再参加该项目施工相关业务。</w:t>
            </w:r>
          </w:p>
          <w:p>
            <w:pPr>
              <w:numPr>
                <w:ilvl w:val="0"/>
                <w:numId w:val="0"/>
              </w:numPr>
              <w:adjustRightInd w:val="0"/>
              <w:snapToGrid w:val="0"/>
              <w:spacing w:line="360" w:lineRule="exact"/>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9、本项目成果及其相关知识产权权利归采购人所有。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10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 w:hAnsi="仿宋" w:eastAsia="仿宋" w:cs="仿宋"/>
                <w:color w:val="auto"/>
                <w:sz w:val="24"/>
                <w:highlight w:val="none"/>
              </w:rPr>
            </w:pPr>
            <w:r>
              <w:rPr>
                <w:rFonts w:hint="eastAsia" w:ascii="宋体" w:hAnsi="宋体"/>
                <w:color w:val="auto"/>
                <w:szCs w:val="21"/>
                <w:highlight w:val="none"/>
              </w:rPr>
              <w:t>▲服务保密要求</w:t>
            </w:r>
          </w:p>
        </w:tc>
        <w:tc>
          <w:tcPr>
            <w:tcW w:w="7614" w:type="dxa"/>
            <w:gridSpan w:val="4"/>
            <w:tcBorders>
              <w:top w:val="single" w:color="auto" w:sz="4" w:space="0"/>
              <w:left w:val="single" w:color="auto" w:sz="4" w:space="0"/>
              <w:bottom w:val="single" w:color="auto" w:sz="4" w:space="0"/>
              <w:right w:val="single" w:color="auto" w:sz="4" w:space="0"/>
            </w:tcBorders>
            <w:vAlign w:val="center"/>
          </w:tcPr>
          <w:p>
            <w:pPr>
              <w:numPr>
                <w:ilvl w:val="0"/>
                <w:numId w:val="0"/>
              </w:numPr>
              <w:adjustRightInd w:val="0"/>
              <w:snapToGrid w:val="0"/>
              <w:spacing w:line="360" w:lineRule="exact"/>
              <w:ind w:left="0" w:leftChars="0" w:firstLine="0" w:firstLineChars="0"/>
              <w:rPr>
                <w:rFonts w:hint="eastAsia" w:ascii="仿宋" w:hAnsi="仿宋" w:eastAsia="仿宋" w:cs="仿宋"/>
                <w:color w:val="auto"/>
                <w:sz w:val="24"/>
                <w:highlight w:val="none"/>
              </w:rPr>
            </w:pPr>
            <w:r>
              <w:rPr>
                <w:rFonts w:hint="eastAsia" w:ascii="宋体" w:hAnsi="宋体" w:eastAsia="宋体" w:cs="宋体"/>
                <w:color w:val="auto"/>
                <w:sz w:val="21"/>
                <w:szCs w:val="21"/>
                <w:highlight w:val="none"/>
              </w:rPr>
              <w:t>成交供应商应在</w:t>
            </w:r>
            <w:r>
              <w:rPr>
                <w:rFonts w:hint="eastAsia" w:ascii="宋体" w:hAnsi="宋体" w:cs="宋体"/>
                <w:color w:val="auto"/>
                <w:sz w:val="21"/>
                <w:szCs w:val="21"/>
                <w:highlight w:val="none"/>
                <w:lang w:eastAsia="zh-CN"/>
              </w:rPr>
              <w:t>成交</w:t>
            </w:r>
            <w:r>
              <w:rPr>
                <w:rFonts w:hint="eastAsia" w:ascii="宋体" w:hAnsi="宋体" w:eastAsia="宋体" w:cs="宋体"/>
                <w:color w:val="auto"/>
                <w:sz w:val="21"/>
                <w:szCs w:val="21"/>
                <w:highlight w:val="none"/>
              </w:rPr>
              <w:t>后与建设单位签订保密协议，承诺不将任何涉及本项目的信息向外界泄露，该保密义务在合同终止后继续有效。</w:t>
            </w:r>
          </w:p>
        </w:tc>
      </w:tr>
    </w:tbl>
    <w:p>
      <w:pPr>
        <w:rPr>
          <w:rFonts w:hint="eastAsia" w:ascii="宋体" w:hAnsi="宋体" w:cs="宋体"/>
          <w:color w:val="auto"/>
          <w:highlight w:val="none"/>
        </w:rPr>
      </w:pPr>
    </w:p>
    <w:p>
      <w:pPr>
        <w:rPr>
          <w:rFonts w:hint="eastAsia" w:ascii="宋体" w:hAnsi="宋体" w:cs="宋体"/>
          <w:color w:val="auto"/>
          <w:highlight w:val="none"/>
        </w:rPr>
      </w:pPr>
    </w:p>
    <w:p>
      <w:pPr>
        <w:spacing w:line="360" w:lineRule="auto"/>
        <w:jc w:val="left"/>
        <w:rPr>
          <w:rFonts w:ascii="宋体" w:hAnsi="宋体" w:cs="宋体"/>
          <w:bCs/>
          <w:color w:val="auto"/>
          <w:szCs w:val="21"/>
          <w:highlight w:val="none"/>
          <w:u w:val="single"/>
        </w:rPr>
      </w:pPr>
      <w:r>
        <w:rPr>
          <w:rFonts w:hint="eastAsia" w:ascii="宋体" w:hAnsi="宋体" w:cs="宋体"/>
          <w:b/>
          <w:color w:val="auto"/>
          <w:szCs w:val="21"/>
          <w:highlight w:val="none"/>
        </w:rPr>
        <w:t>分标3</w:t>
      </w:r>
      <w:r>
        <w:rPr>
          <w:rFonts w:hint="eastAsia" w:ascii="宋体" w:hAnsi="宋体" w:eastAsia="宋体" w:cs="宋体"/>
          <w:b/>
          <w:color w:val="auto"/>
          <w:szCs w:val="21"/>
          <w:highlight w:val="none"/>
          <w:lang w:eastAsia="zh-CN"/>
        </w:rPr>
        <w:t>[</w:t>
      </w:r>
      <w:r>
        <w:rPr>
          <w:rFonts w:hint="eastAsia" w:ascii="宋体" w:hAnsi="宋体" w:cs="宋体"/>
          <w:b/>
          <w:color w:val="auto"/>
          <w:szCs w:val="21"/>
          <w:highlight w:val="none"/>
          <w:lang w:val="en-US" w:eastAsia="zh-CN"/>
        </w:rPr>
        <w:t>广西农业信息化建设项目设计服务(农情固定观察点、信息化运维设计服务)</w:t>
      </w:r>
      <w:r>
        <w:rPr>
          <w:rFonts w:hint="eastAsia" w:ascii="宋体" w:hAnsi="宋体" w:eastAsia="宋体" w:cs="宋体"/>
          <w:b/>
          <w:color w:val="auto"/>
          <w:szCs w:val="21"/>
          <w:highlight w:val="none"/>
          <w:lang w:val="en-US" w:eastAsia="zh-CN"/>
        </w:rPr>
        <w:t xml:space="preserve">] </w:t>
      </w:r>
      <w:r>
        <w:rPr>
          <w:rFonts w:hint="eastAsia" w:ascii="宋体" w:hAnsi="宋体" w:cs="宋体"/>
          <w:b/>
          <w:color w:val="auto"/>
          <w:szCs w:val="21"/>
          <w:highlight w:val="none"/>
        </w:rPr>
        <w:t>采购预算：</w:t>
      </w:r>
      <w:r>
        <w:rPr>
          <w:rFonts w:hint="eastAsia" w:ascii="宋体" w:hAnsi="宋体" w:cs="宋体"/>
          <w:b/>
          <w:color w:val="auto"/>
          <w:szCs w:val="21"/>
          <w:highlight w:val="none"/>
          <w:u w:val="single"/>
        </w:rPr>
        <w:t>13.29万元</w:t>
      </w:r>
      <w:r>
        <w:rPr>
          <w:rFonts w:hint="eastAsia" w:ascii="宋体" w:hAnsi="宋体" w:cs="宋体"/>
          <w:b/>
          <w:color w:val="auto"/>
          <w:szCs w:val="21"/>
          <w:highlight w:val="none"/>
        </w:rPr>
        <w:t xml:space="preserve">        </w:t>
      </w:r>
    </w:p>
    <w:tbl>
      <w:tblPr>
        <w:tblStyle w:val="30"/>
        <w:tblW w:w="971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5"/>
        <w:gridCol w:w="1445"/>
        <w:gridCol w:w="68"/>
        <w:gridCol w:w="934"/>
        <w:gridCol w:w="1073"/>
        <w:gridCol w:w="55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7" w:hRule="atLeast"/>
          <w:jc w:val="center"/>
        </w:trPr>
        <w:tc>
          <w:tcPr>
            <w:tcW w:w="655" w:type="dxa"/>
            <w:vAlign w:val="center"/>
          </w:tcPr>
          <w:p>
            <w:pPr>
              <w:tabs>
                <w:tab w:val="left" w:pos="180"/>
                <w:tab w:val="left" w:pos="1620"/>
              </w:tabs>
              <w:spacing w:line="320" w:lineRule="exact"/>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1513" w:type="dxa"/>
            <w:gridSpan w:val="2"/>
            <w:vAlign w:val="center"/>
          </w:tcPr>
          <w:p>
            <w:pPr>
              <w:tabs>
                <w:tab w:val="left" w:pos="180"/>
                <w:tab w:val="left" w:pos="1620"/>
              </w:tabs>
              <w:spacing w:line="320" w:lineRule="exact"/>
              <w:jc w:val="center"/>
              <w:rPr>
                <w:rFonts w:ascii="宋体" w:hAnsi="宋体" w:cs="宋体"/>
                <w:color w:val="auto"/>
                <w:szCs w:val="21"/>
                <w:highlight w:val="none"/>
              </w:rPr>
            </w:pPr>
            <w:r>
              <w:rPr>
                <w:rFonts w:hint="eastAsia" w:ascii="宋体" w:hAnsi="宋体" w:cs="宋体"/>
                <w:color w:val="auto"/>
                <w:szCs w:val="21"/>
                <w:highlight w:val="none"/>
              </w:rPr>
              <w:t>标的的名称</w:t>
            </w:r>
          </w:p>
        </w:tc>
        <w:tc>
          <w:tcPr>
            <w:tcW w:w="934" w:type="dxa"/>
            <w:vAlign w:val="center"/>
          </w:tcPr>
          <w:p>
            <w:pPr>
              <w:tabs>
                <w:tab w:val="left" w:pos="180"/>
                <w:tab w:val="left" w:pos="1620"/>
              </w:tabs>
              <w:spacing w:line="320" w:lineRule="exact"/>
              <w:jc w:val="center"/>
              <w:rPr>
                <w:rFonts w:ascii="宋体" w:hAnsi="宋体" w:cs="宋体"/>
                <w:color w:val="auto"/>
                <w:szCs w:val="21"/>
                <w:highlight w:val="none"/>
              </w:rPr>
            </w:pPr>
            <w:r>
              <w:rPr>
                <w:rFonts w:hint="eastAsia" w:ascii="宋体" w:hAnsi="宋体" w:cs="宋体"/>
                <w:color w:val="auto"/>
                <w:szCs w:val="21"/>
                <w:highlight w:val="none"/>
              </w:rPr>
              <w:t>数量及单位</w:t>
            </w:r>
          </w:p>
        </w:tc>
        <w:tc>
          <w:tcPr>
            <w:tcW w:w="1073" w:type="dxa"/>
            <w:vAlign w:val="center"/>
          </w:tcPr>
          <w:p>
            <w:pPr>
              <w:tabs>
                <w:tab w:val="left" w:pos="180"/>
                <w:tab w:val="left" w:pos="1620"/>
              </w:tabs>
              <w:spacing w:line="320" w:lineRule="exact"/>
              <w:jc w:val="center"/>
              <w:rPr>
                <w:rFonts w:ascii="宋体" w:hAnsi="宋体" w:cs="宋体"/>
                <w:color w:val="auto"/>
                <w:szCs w:val="21"/>
                <w:highlight w:val="none"/>
              </w:rPr>
            </w:pPr>
            <w:r>
              <w:rPr>
                <w:rFonts w:hint="eastAsia" w:ascii="宋体" w:hAnsi="宋体" w:cs="宋体"/>
                <w:color w:val="auto"/>
                <w:szCs w:val="21"/>
                <w:highlight w:val="none"/>
              </w:rPr>
              <w:t>所属</w:t>
            </w:r>
          </w:p>
          <w:p>
            <w:pPr>
              <w:tabs>
                <w:tab w:val="left" w:pos="180"/>
                <w:tab w:val="left" w:pos="1620"/>
              </w:tabs>
              <w:spacing w:line="320" w:lineRule="exact"/>
              <w:jc w:val="center"/>
              <w:rPr>
                <w:rFonts w:ascii="宋体" w:hAnsi="宋体" w:cs="宋体"/>
                <w:color w:val="auto"/>
                <w:szCs w:val="21"/>
                <w:highlight w:val="none"/>
              </w:rPr>
            </w:pPr>
            <w:r>
              <w:rPr>
                <w:rFonts w:hint="eastAsia" w:ascii="宋体" w:hAnsi="宋体" w:cs="宋体"/>
                <w:color w:val="auto"/>
                <w:szCs w:val="21"/>
                <w:highlight w:val="none"/>
              </w:rPr>
              <w:t>行业</w:t>
            </w:r>
          </w:p>
        </w:tc>
        <w:tc>
          <w:tcPr>
            <w:tcW w:w="5539" w:type="dxa"/>
            <w:vAlign w:val="center"/>
          </w:tcPr>
          <w:p>
            <w:pPr>
              <w:tabs>
                <w:tab w:val="left" w:pos="180"/>
                <w:tab w:val="left" w:pos="1620"/>
              </w:tabs>
              <w:spacing w:line="320" w:lineRule="exact"/>
              <w:jc w:val="center"/>
              <w:rPr>
                <w:rFonts w:ascii="宋体" w:hAnsi="宋体" w:cs="宋体"/>
                <w:color w:val="auto"/>
                <w:szCs w:val="21"/>
                <w:highlight w:val="none"/>
              </w:rPr>
            </w:pPr>
            <w:r>
              <w:rPr>
                <w:rFonts w:hint="eastAsia" w:ascii="宋体" w:hAnsi="宋体" w:cs="宋体"/>
                <w:color w:val="auto"/>
                <w:szCs w:val="21"/>
                <w:highlight w:val="none"/>
              </w:rPr>
              <w:t>技术要求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5" w:hRule="atLeast"/>
          <w:jc w:val="center"/>
        </w:trPr>
        <w:tc>
          <w:tcPr>
            <w:tcW w:w="655" w:type="dxa"/>
            <w:vAlign w:val="center"/>
          </w:tcPr>
          <w:p>
            <w:pPr>
              <w:tabs>
                <w:tab w:val="left" w:pos="180"/>
                <w:tab w:val="left" w:pos="1620"/>
              </w:tabs>
              <w:spacing w:line="360"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1513" w:type="dxa"/>
            <w:gridSpan w:val="2"/>
            <w:vAlign w:val="center"/>
          </w:tcPr>
          <w:p>
            <w:pPr>
              <w:tabs>
                <w:tab w:val="left" w:pos="180"/>
                <w:tab w:val="left" w:pos="1620"/>
              </w:tabs>
              <w:spacing w:line="360" w:lineRule="auto"/>
              <w:jc w:val="center"/>
              <w:rPr>
                <w:rFonts w:ascii="宋体" w:hAnsi="宋体" w:cs="宋体"/>
                <w:color w:val="auto"/>
                <w:szCs w:val="21"/>
                <w:highlight w:val="none"/>
              </w:rPr>
            </w:pPr>
            <w:r>
              <w:rPr>
                <w:rFonts w:hint="eastAsia" w:ascii="宋体" w:hAnsi="宋体" w:cs="宋体"/>
                <w:color w:val="auto"/>
                <w:szCs w:val="21"/>
                <w:highlight w:val="none"/>
              </w:rPr>
              <w:t>广西农业信息化建设项目设计服务(农情固定观察点、信息化运维设计服务)</w:t>
            </w:r>
          </w:p>
        </w:tc>
        <w:tc>
          <w:tcPr>
            <w:tcW w:w="934" w:type="dxa"/>
            <w:vAlign w:val="center"/>
          </w:tcPr>
          <w:p>
            <w:pPr>
              <w:tabs>
                <w:tab w:val="left" w:pos="180"/>
                <w:tab w:val="left" w:pos="1620"/>
              </w:tabs>
              <w:spacing w:line="360" w:lineRule="auto"/>
              <w:jc w:val="center"/>
              <w:rPr>
                <w:rFonts w:ascii="宋体" w:hAnsi="宋体" w:cs="宋体"/>
                <w:color w:val="auto"/>
                <w:szCs w:val="21"/>
                <w:highlight w:val="none"/>
              </w:rPr>
            </w:pPr>
            <w:r>
              <w:rPr>
                <w:rFonts w:hint="eastAsia" w:ascii="宋体" w:hAnsi="宋体" w:cs="宋体"/>
                <w:color w:val="auto"/>
                <w:szCs w:val="21"/>
                <w:highlight w:val="none"/>
              </w:rPr>
              <w:t>1项</w:t>
            </w:r>
          </w:p>
        </w:tc>
        <w:tc>
          <w:tcPr>
            <w:tcW w:w="1073" w:type="dxa"/>
            <w:vAlign w:val="center"/>
          </w:tcPr>
          <w:p>
            <w:pPr>
              <w:tabs>
                <w:tab w:val="left" w:pos="180"/>
                <w:tab w:val="left" w:pos="1620"/>
              </w:tabs>
              <w:spacing w:line="360" w:lineRule="auto"/>
              <w:jc w:val="center"/>
              <w:rPr>
                <w:rFonts w:ascii="宋体" w:hAnsi="宋体" w:cs="宋体"/>
                <w:color w:val="auto"/>
                <w:szCs w:val="21"/>
                <w:highlight w:val="none"/>
              </w:rPr>
            </w:pPr>
            <w:r>
              <w:rPr>
                <w:rFonts w:hint="eastAsia" w:ascii="宋体" w:hAnsi="宋体" w:cs="宋体"/>
                <w:color w:val="auto"/>
                <w:szCs w:val="21"/>
                <w:highlight w:val="none"/>
              </w:rPr>
              <w:t>其他未列明行业</w:t>
            </w:r>
          </w:p>
        </w:tc>
        <w:tc>
          <w:tcPr>
            <w:tcW w:w="5539" w:type="dxa"/>
          </w:tcPr>
          <w:p>
            <w:pPr>
              <w:spacing w:line="360" w:lineRule="auto"/>
              <w:ind w:firstLine="422" w:firstLineChars="200"/>
              <w:rPr>
                <w:b/>
                <w:bCs/>
                <w:color w:val="auto"/>
                <w:highlight w:val="none"/>
              </w:rPr>
            </w:pPr>
            <w:r>
              <w:rPr>
                <w:rFonts w:hint="eastAsia"/>
                <w:b/>
                <w:bCs/>
                <w:color w:val="auto"/>
                <w:highlight w:val="none"/>
              </w:rPr>
              <w:t>一、项目背景</w:t>
            </w:r>
          </w:p>
          <w:p>
            <w:pPr>
              <w:spacing w:line="360" w:lineRule="auto"/>
              <w:ind w:firstLine="422" w:firstLineChars="200"/>
              <w:rPr>
                <w:color w:val="auto"/>
                <w:highlight w:val="none"/>
              </w:rPr>
            </w:pPr>
            <w:r>
              <w:rPr>
                <w:rFonts w:hint="eastAsia"/>
                <w:b/>
                <w:bCs/>
                <w:color w:val="auto"/>
                <w:highlight w:val="none"/>
              </w:rPr>
              <w:t>广西农业信息中心2025年度信息化运维服务项目：</w:t>
            </w:r>
            <w:r>
              <w:rPr>
                <w:rFonts w:hint="eastAsia"/>
                <w:color w:val="auto"/>
                <w:highlight w:val="none"/>
              </w:rPr>
              <w:t>随着信息技术的迅猛发展和农业管理数字化发展的深入推进，广西农业厅现有的信息化设施已成为推动农业现代化治理体系和治理能力现代化的重要支撑。2025年度信息化运维服务项目在农业厅政务信息化规划中占据核心地位，是确保数字农业信息化系统稳定运行、数据安全可控、业务流程高效顺畅的基础性工程。目前农业厅现有信息化基础设施及应用系统使用至今已在农业管理各项业务中占据重要支撑地位，是广西农业管理、农业发展、数据管理的必要工具。为了实现农业信息化设施的可持续性利用，开展信息应用运维管理是必不可少的。</w:t>
            </w:r>
          </w:p>
          <w:p>
            <w:pPr>
              <w:spacing w:line="360" w:lineRule="auto"/>
              <w:ind w:firstLine="422" w:firstLineChars="200"/>
              <w:rPr>
                <w:color w:val="auto"/>
                <w:highlight w:val="none"/>
              </w:rPr>
            </w:pPr>
            <w:r>
              <w:rPr>
                <w:rFonts w:hint="eastAsia"/>
                <w:b/>
                <w:bCs/>
                <w:color w:val="auto"/>
                <w:highlight w:val="none"/>
              </w:rPr>
              <w:t>广西农情固定观察点信息管理平台：</w:t>
            </w:r>
            <w:r>
              <w:rPr>
                <w:rFonts w:hint="eastAsia"/>
                <w:color w:val="auto"/>
                <w:highlight w:val="none"/>
              </w:rPr>
              <w:t>全国农村固定观察点调查体系是根据中央有关要求建立的农村社会经济典型调查系统。历经30年运行至今，已经成为集常规调查、专项调查、动态监测和分析研究于一体的重要农村调查体系。为顺应全面实施新形势新任务下农业和粮食生产发展的战略要求，满足广西农业生产科学辅助决策需求。利用农情固定观察点了解不同村庄和农户农业和粮食生产的动态，通过观察点长期连续调查，从各个方面的发展和对比中进行有连续性的综合研究，为制定农业生产政策提供依据。</w:t>
            </w:r>
          </w:p>
          <w:p>
            <w:pPr>
              <w:spacing w:line="360" w:lineRule="auto"/>
              <w:ind w:firstLine="422" w:firstLineChars="200"/>
              <w:rPr>
                <w:b/>
                <w:bCs/>
                <w:color w:val="auto"/>
                <w:highlight w:val="none"/>
              </w:rPr>
            </w:pPr>
            <w:r>
              <w:rPr>
                <w:rFonts w:hint="eastAsia"/>
                <w:b/>
                <w:bCs/>
                <w:color w:val="auto"/>
                <w:highlight w:val="none"/>
              </w:rPr>
              <w:t>二、设计(咨询)服务内容及要求</w:t>
            </w:r>
          </w:p>
          <w:p>
            <w:pPr>
              <w:spacing w:line="360" w:lineRule="auto"/>
              <w:ind w:firstLine="422" w:firstLineChars="200"/>
              <w:rPr>
                <w:b/>
                <w:bCs/>
                <w:color w:val="auto"/>
                <w:highlight w:val="none"/>
              </w:rPr>
            </w:pPr>
            <w:r>
              <w:rPr>
                <w:rFonts w:hint="eastAsia"/>
                <w:b/>
                <w:bCs/>
                <w:color w:val="auto"/>
                <w:highlight w:val="none"/>
              </w:rPr>
              <w:t>1、项目需求分析</w:t>
            </w:r>
          </w:p>
          <w:p>
            <w:pPr>
              <w:spacing w:line="360" w:lineRule="auto"/>
              <w:ind w:firstLine="420" w:firstLineChars="200"/>
              <w:rPr>
                <w:color w:val="auto"/>
                <w:highlight w:val="none"/>
              </w:rPr>
            </w:pPr>
            <w:r>
              <w:rPr>
                <w:rFonts w:hint="eastAsia"/>
                <w:color w:val="auto"/>
                <w:highlight w:val="none"/>
              </w:rPr>
              <w:t>根据接收到的工作任务，分析项目涉及的使用部门，协助采购人组织开展该项目需求调研及现有信息化建设情况，组织开展项目现场实际勘察及设计工作，熟悉和梳理现场情况，深入业务现状及当前信息化情况，掌握当前项目信息化建设的服务器、存储、网络及安全保障、数据服务、视频建设等基础设施建设情况，总结采购人现有信息化现状。</w:t>
            </w:r>
          </w:p>
          <w:p>
            <w:pPr>
              <w:spacing w:line="360" w:lineRule="auto"/>
              <w:ind w:firstLine="420" w:firstLineChars="200"/>
              <w:rPr>
                <w:color w:val="auto"/>
                <w:highlight w:val="none"/>
              </w:rPr>
            </w:pPr>
            <w:r>
              <w:rPr>
                <w:rFonts w:hint="eastAsia"/>
                <w:color w:val="auto"/>
                <w:highlight w:val="none"/>
              </w:rPr>
              <w:t>根据前期调研情况，调研及学习其它地区同类信息化项目建设经验，分析采购人在该项目中业务、数据、设施、应用等需求，并与各个使用部门开展深入讨论和交流，汇总编制成业务与信息化建设现状说明并与相关部门进行需求确认，并形成初步需求分析报告。</w:t>
            </w:r>
          </w:p>
          <w:p>
            <w:pPr>
              <w:spacing w:line="360" w:lineRule="auto"/>
              <w:ind w:firstLine="422" w:firstLineChars="200"/>
              <w:rPr>
                <w:b/>
                <w:bCs/>
                <w:color w:val="auto"/>
                <w:highlight w:val="none"/>
              </w:rPr>
            </w:pPr>
            <w:r>
              <w:rPr>
                <w:rFonts w:hint="eastAsia"/>
                <w:b/>
                <w:bCs/>
                <w:color w:val="auto"/>
                <w:highlight w:val="none"/>
              </w:rPr>
              <w:t>2、方案汇编服务</w:t>
            </w:r>
          </w:p>
          <w:p>
            <w:pPr>
              <w:spacing w:line="360" w:lineRule="auto"/>
              <w:ind w:firstLine="420" w:firstLineChars="200"/>
              <w:rPr>
                <w:color w:val="auto"/>
                <w:highlight w:val="none"/>
              </w:rPr>
            </w:pPr>
            <w:r>
              <w:rPr>
                <w:rFonts w:hint="eastAsia"/>
                <w:color w:val="auto"/>
                <w:highlight w:val="none"/>
              </w:rPr>
              <w:t>(1)广西农业信息中心2025年度信息化运维服务项目技术方案编制：供应商根据现状调研成果编制各项运维服务内容及其他相关服务内容，梳理形成采购人具体建设方案，包括原系统现状、功能内容、运维内容、运维工作量、运维投资、采购合同等。</w:t>
            </w:r>
          </w:p>
          <w:p>
            <w:pPr>
              <w:spacing w:line="360" w:lineRule="auto"/>
              <w:ind w:firstLine="420" w:firstLineChars="200"/>
              <w:rPr>
                <w:color w:val="auto"/>
                <w:highlight w:val="none"/>
              </w:rPr>
            </w:pPr>
            <w:r>
              <w:rPr>
                <w:rFonts w:hint="eastAsia"/>
                <w:color w:val="auto"/>
                <w:highlight w:val="none"/>
              </w:rPr>
              <w:t>（2）广西农情固定观察点信息管理平台技术方案编制：供应商根据调研成果及需求分析结果，梳理规划采购人具体建设方案，包括总体框架、逻辑架构、安全体系、数据架构、应用功能，根据采购人、厂家、集成商提供的材料汇编成项目技术方案。</w:t>
            </w:r>
          </w:p>
          <w:p>
            <w:pPr>
              <w:spacing w:line="360" w:lineRule="auto"/>
              <w:ind w:firstLine="420" w:firstLineChars="200"/>
              <w:rPr>
                <w:color w:val="auto"/>
                <w:highlight w:val="none"/>
              </w:rPr>
            </w:pPr>
            <w:r>
              <w:rPr>
                <w:rFonts w:hint="eastAsia"/>
                <w:color w:val="auto"/>
                <w:highlight w:val="none"/>
              </w:rPr>
              <w:t>(3)项目设计图纸编制：供应商根据现场勘察调研结果，根据住建部关于初步设计编制深度要求进行编制项目图纸设计。</w:t>
            </w:r>
          </w:p>
          <w:p>
            <w:pPr>
              <w:spacing w:line="360" w:lineRule="auto"/>
              <w:ind w:firstLine="422" w:firstLineChars="200"/>
              <w:rPr>
                <w:b/>
                <w:bCs/>
                <w:color w:val="auto"/>
                <w:highlight w:val="none"/>
              </w:rPr>
            </w:pPr>
            <w:r>
              <w:rPr>
                <w:rFonts w:hint="eastAsia"/>
                <w:b/>
                <w:bCs/>
                <w:color w:val="auto"/>
                <w:highlight w:val="none"/>
              </w:rPr>
              <w:t>3、外部审批服务</w:t>
            </w:r>
          </w:p>
          <w:p>
            <w:pPr>
              <w:spacing w:line="360" w:lineRule="auto"/>
              <w:ind w:firstLine="420" w:firstLineChars="200"/>
              <w:rPr>
                <w:color w:val="auto"/>
                <w:highlight w:val="none"/>
              </w:rPr>
            </w:pPr>
            <w:r>
              <w:rPr>
                <w:rFonts w:hint="eastAsia"/>
                <w:color w:val="auto"/>
                <w:highlight w:val="none"/>
              </w:rPr>
              <w:t>包括项目信息安全等级保护预定级编制、项目设计及编制服务、项目评估服务、项目申报服务等内容，具体如下：</w:t>
            </w:r>
          </w:p>
          <w:p>
            <w:pPr>
              <w:spacing w:line="360" w:lineRule="auto"/>
              <w:ind w:firstLine="420" w:firstLineChars="200"/>
              <w:rPr>
                <w:color w:val="auto"/>
                <w:highlight w:val="none"/>
              </w:rPr>
            </w:pPr>
            <w:r>
              <w:rPr>
                <w:rFonts w:hint="eastAsia"/>
                <w:color w:val="auto"/>
                <w:highlight w:val="none"/>
              </w:rPr>
              <w:t>(1)项目信息安全等级保护预定级编制服务（运维项目不涉及）</w:t>
            </w:r>
          </w:p>
          <w:p>
            <w:pPr>
              <w:spacing w:line="360" w:lineRule="auto"/>
              <w:ind w:firstLine="420" w:firstLineChars="200"/>
              <w:rPr>
                <w:color w:val="auto"/>
                <w:highlight w:val="none"/>
              </w:rPr>
            </w:pPr>
            <w:r>
              <w:rPr>
                <w:rFonts w:hint="eastAsia"/>
                <w:color w:val="auto"/>
                <w:highlight w:val="none"/>
              </w:rPr>
              <w:t>供应商根据《信息安全等级保护管理办法》(公通字〔2007〕43号)、《关于开展全国重要信息系统安全等级保护定级工作的通知》(公信安[2007]861号)和《信息系统安全保护等级定级指南》(GB/T22240-2020)等文件规定，结合项目建设情况编写网络安全等级保护预定级报告及申请文件，完成项目网络安全等级保护预定级申报工作。</w:t>
            </w:r>
          </w:p>
          <w:p>
            <w:pPr>
              <w:spacing w:line="360" w:lineRule="auto"/>
              <w:ind w:firstLine="420" w:firstLineChars="200"/>
              <w:rPr>
                <w:color w:val="auto"/>
                <w:highlight w:val="none"/>
              </w:rPr>
            </w:pPr>
            <w:r>
              <w:rPr>
                <w:rFonts w:hint="eastAsia"/>
                <w:color w:val="auto"/>
                <w:highlight w:val="none"/>
              </w:rPr>
              <w:t>(2)项目设计及编制服务</w:t>
            </w:r>
          </w:p>
          <w:p>
            <w:pPr>
              <w:spacing w:line="360" w:lineRule="auto"/>
              <w:ind w:firstLine="420" w:firstLineChars="200"/>
              <w:rPr>
                <w:color w:val="auto"/>
                <w:highlight w:val="none"/>
              </w:rPr>
            </w:pPr>
            <w:r>
              <w:rPr>
                <w:rFonts w:hint="eastAsia"/>
                <w:color w:val="auto"/>
                <w:highlight w:val="none"/>
              </w:rPr>
              <w:t>供应商根据经过内部立项论证的方案及材料，根据自治区大数据发展局审批要求，对项目初步需求分析报告进行需求细化调研及分析，按照《关于印发国家政务信息化项目建设管理办法的通知》(国办发〔2019〕57号)和《关于印发广西政务信息化项目建设管理办法(试行)的通知》(桂政办发〔2021〕21号)以及自治区大数据发展局关于电子政务信息化项目编制要求，编制项目建设方案。</w:t>
            </w:r>
          </w:p>
          <w:p>
            <w:pPr>
              <w:spacing w:line="360" w:lineRule="auto"/>
              <w:ind w:firstLine="420" w:firstLineChars="200"/>
              <w:rPr>
                <w:color w:val="auto"/>
                <w:highlight w:val="none"/>
              </w:rPr>
            </w:pPr>
            <w:r>
              <w:rPr>
                <w:rFonts w:hint="eastAsia"/>
                <w:color w:val="auto"/>
                <w:highlight w:val="none"/>
              </w:rPr>
              <w:t>供应商按照自治区住房城乡建设厅关于颁发2018年《广西壮族自治区工程建设其他费用定额》的通知(桂建标〔2018〕37号)规定的概算格式和编制要求编制投资概算书、设备清单、软件开发工作量表、运维服务细则、运维服务费用等，并根据业主单位的要求，不断完善相关内容。</w:t>
            </w:r>
          </w:p>
          <w:p>
            <w:pPr>
              <w:spacing w:line="360" w:lineRule="auto"/>
              <w:ind w:firstLine="420" w:firstLineChars="200"/>
              <w:rPr>
                <w:color w:val="auto"/>
                <w:highlight w:val="none"/>
              </w:rPr>
            </w:pPr>
            <w:r>
              <w:rPr>
                <w:rFonts w:hint="eastAsia"/>
                <w:color w:val="auto"/>
                <w:highlight w:val="none"/>
              </w:rPr>
              <w:t>供应商提供的项目建设方案的编制必须遵循所确定的内容、要求、基础资料及调研成果进行编制，确保成果能够满足业主单位和项目审批主管部门的相关审查要求，并保证设计通过。</w:t>
            </w:r>
          </w:p>
          <w:p>
            <w:pPr>
              <w:spacing w:line="360" w:lineRule="auto"/>
              <w:ind w:firstLine="420" w:firstLineChars="200"/>
              <w:rPr>
                <w:color w:val="auto"/>
                <w:highlight w:val="none"/>
              </w:rPr>
            </w:pPr>
            <w:r>
              <w:rPr>
                <w:rFonts w:hint="eastAsia"/>
                <w:color w:val="auto"/>
                <w:highlight w:val="none"/>
              </w:rPr>
              <w:t>(3)项目评估服务（运维项目不涉及）</w:t>
            </w:r>
          </w:p>
          <w:p>
            <w:pPr>
              <w:spacing w:line="360" w:lineRule="auto"/>
              <w:ind w:firstLine="420" w:firstLineChars="200"/>
              <w:rPr>
                <w:color w:val="auto"/>
                <w:highlight w:val="none"/>
              </w:rPr>
            </w:pPr>
            <w:r>
              <w:rPr>
                <w:rFonts w:hint="eastAsia"/>
                <w:color w:val="auto"/>
                <w:highlight w:val="none"/>
              </w:rPr>
              <w:t>负责设计的公司，需编制评估汇报PPT，协助采购人开展专家评估工作；根据项目建设方案评估要求，进行现场汇报、答疑。</w:t>
            </w:r>
          </w:p>
          <w:p>
            <w:pPr>
              <w:spacing w:line="360" w:lineRule="auto"/>
              <w:ind w:firstLine="420" w:firstLineChars="200"/>
              <w:rPr>
                <w:color w:val="auto"/>
                <w:highlight w:val="none"/>
              </w:rPr>
            </w:pPr>
            <w:r>
              <w:rPr>
                <w:rFonts w:hint="eastAsia"/>
                <w:color w:val="auto"/>
                <w:highlight w:val="none"/>
              </w:rPr>
              <w:t>根据评估专家意见，修改项目建设方案；根据修改成果，形成评估专家意见执行情况说明。</w:t>
            </w:r>
          </w:p>
          <w:p>
            <w:pPr>
              <w:spacing w:line="360" w:lineRule="auto"/>
              <w:ind w:firstLine="420" w:firstLineChars="200"/>
              <w:rPr>
                <w:color w:val="auto"/>
                <w:highlight w:val="none"/>
              </w:rPr>
            </w:pPr>
            <w:r>
              <w:rPr>
                <w:rFonts w:hint="eastAsia"/>
                <w:color w:val="auto"/>
                <w:highlight w:val="none"/>
              </w:rPr>
              <w:t>负责评估的公司，需组织项目评估论证，包括制定会议议程、通知相关部门及专家参会、会务组织、复核修订后方案、编写项目评估报告等工作。</w:t>
            </w:r>
          </w:p>
          <w:p>
            <w:pPr>
              <w:spacing w:line="360" w:lineRule="auto"/>
              <w:ind w:firstLine="420" w:firstLineChars="200"/>
              <w:rPr>
                <w:color w:val="auto"/>
                <w:highlight w:val="none"/>
              </w:rPr>
            </w:pPr>
            <w:r>
              <w:rPr>
                <w:rFonts w:hint="eastAsia"/>
                <w:color w:val="auto"/>
                <w:highlight w:val="none"/>
              </w:rPr>
              <w:t>(4)项目申报审批服务（运维项目不涉及）</w:t>
            </w:r>
          </w:p>
          <w:p>
            <w:pPr>
              <w:spacing w:line="360" w:lineRule="auto"/>
              <w:ind w:firstLine="420" w:firstLineChars="200"/>
              <w:rPr>
                <w:color w:val="auto"/>
                <w:highlight w:val="none"/>
              </w:rPr>
            </w:pPr>
            <w:r>
              <w:rPr>
                <w:rFonts w:hint="eastAsia"/>
                <w:color w:val="auto"/>
                <w:highlight w:val="none"/>
              </w:rPr>
              <w:t>供应商编制项目建设方案申报材料，协助采购人通过广西投资项目在线审批监管平台申请项目代码，项目代码批复后，通过自治区综合办公平台提交自治区大数据发展局进行项目申报。</w:t>
            </w:r>
          </w:p>
          <w:p>
            <w:pPr>
              <w:spacing w:line="360" w:lineRule="auto"/>
              <w:ind w:firstLine="422" w:firstLineChars="200"/>
              <w:rPr>
                <w:b/>
                <w:bCs/>
                <w:color w:val="auto"/>
                <w:highlight w:val="none"/>
              </w:rPr>
            </w:pPr>
            <w:r>
              <w:rPr>
                <w:rFonts w:hint="eastAsia"/>
                <w:b/>
                <w:bCs/>
                <w:color w:val="auto"/>
                <w:highlight w:val="none"/>
              </w:rPr>
              <w:t>4、采购需求编制服务</w:t>
            </w:r>
          </w:p>
          <w:p>
            <w:pPr>
              <w:spacing w:line="360" w:lineRule="auto"/>
              <w:ind w:firstLine="420" w:firstLineChars="200"/>
              <w:rPr>
                <w:color w:val="auto"/>
                <w:highlight w:val="none"/>
              </w:rPr>
            </w:pPr>
            <w:r>
              <w:rPr>
                <w:rFonts w:hint="eastAsia"/>
                <w:color w:val="auto"/>
                <w:highlight w:val="none"/>
              </w:rPr>
              <w:t>供应商在项目完成验收后，应协助采购人按照最终版的方案编制项目采购需求，包</w:t>
            </w:r>
            <w:bookmarkStart w:id="44" w:name="_Hlk118034881"/>
            <w:r>
              <w:rPr>
                <w:rFonts w:hint="eastAsia"/>
                <w:color w:val="auto"/>
                <w:highlight w:val="none"/>
              </w:rPr>
              <w:t>括项目资格条款、具体采购参数、数量、预算等内容。</w:t>
            </w:r>
          </w:p>
          <w:p>
            <w:pPr>
              <w:spacing w:line="360" w:lineRule="auto"/>
              <w:ind w:firstLine="422" w:firstLineChars="200"/>
              <w:rPr>
                <w:b/>
                <w:bCs/>
                <w:color w:val="auto"/>
                <w:highlight w:val="none"/>
              </w:rPr>
            </w:pPr>
            <w:r>
              <w:rPr>
                <w:rFonts w:hint="eastAsia"/>
                <w:b/>
                <w:bCs/>
                <w:color w:val="auto"/>
                <w:highlight w:val="none"/>
              </w:rPr>
              <w:t>三、服务供应商其他服务内容</w:t>
            </w:r>
          </w:p>
          <w:p>
            <w:pPr>
              <w:spacing w:line="360" w:lineRule="auto"/>
              <w:ind w:firstLine="422" w:firstLineChars="200"/>
              <w:rPr>
                <w:b/>
                <w:bCs/>
                <w:color w:val="auto"/>
                <w:highlight w:val="none"/>
              </w:rPr>
            </w:pPr>
            <w:r>
              <w:rPr>
                <w:rFonts w:hint="eastAsia"/>
                <w:b/>
                <w:bCs/>
                <w:color w:val="auto"/>
                <w:highlight w:val="none"/>
              </w:rPr>
              <w:t>1、项目管理服务</w:t>
            </w:r>
          </w:p>
          <w:p>
            <w:pPr>
              <w:spacing w:line="360" w:lineRule="auto"/>
              <w:ind w:firstLine="420" w:firstLineChars="200"/>
              <w:rPr>
                <w:color w:val="auto"/>
                <w:highlight w:val="none"/>
              </w:rPr>
            </w:pPr>
            <w:r>
              <w:rPr>
                <w:rFonts w:hint="eastAsia"/>
                <w:color w:val="auto"/>
                <w:highlight w:val="none"/>
              </w:rPr>
              <w:t>供应商配合采购人组织工作专班，制定详细的工作计划，对各项工作进行详细分工，并协助组织各处室开展需求调研；根据采购人现行的信息化项目管理规范，协助采购人梳理标准化管理工作流程，为后续项目推进提供标准化指南。</w:t>
            </w:r>
          </w:p>
          <w:p>
            <w:pPr>
              <w:spacing w:line="360" w:lineRule="auto"/>
              <w:ind w:firstLine="422" w:firstLineChars="200"/>
              <w:rPr>
                <w:b/>
                <w:bCs/>
                <w:color w:val="auto"/>
                <w:highlight w:val="none"/>
              </w:rPr>
            </w:pPr>
            <w:r>
              <w:rPr>
                <w:rFonts w:hint="eastAsia"/>
                <w:b/>
                <w:bCs/>
                <w:color w:val="auto"/>
                <w:highlight w:val="none"/>
              </w:rPr>
              <w:t>2、项目分类咨询</w:t>
            </w:r>
          </w:p>
          <w:p>
            <w:pPr>
              <w:spacing w:line="360" w:lineRule="auto"/>
              <w:ind w:firstLine="420" w:firstLineChars="200"/>
              <w:rPr>
                <w:color w:val="auto"/>
                <w:highlight w:val="none"/>
              </w:rPr>
            </w:pPr>
            <w:r>
              <w:rPr>
                <w:rFonts w:hint="eastAsia"/>
                <w:color w:val="auto"/>
                <w:highlight w:val="none"/>
              </w:rPr>
              <w:t>供应商在接收到采购人下达的工作任务时，根据《关于印发广西政务信息化项目建设管理办法(试行)的通知》(桂政办发〔2021〕21号)、《关于公布广西政府集中采购目录及标准(2020年版)的通知》(桂财采〔2019〕72号)等国家及自治区文件对需要建设的项目进行分类，并配合采购人与自治区</w:t>
            </w:r>
            <w:r>
              <w:rPr>
                <w:rFonts w:hint="eastAsia"/>
                <w:color w:val="auto"/>
                <w:highlight w:val="none"/>
                <w:lang w:val="en-US" w:eastAsia="zh-CN"/>
              </w:rPr>
              <w:t>大数据发展局</w:t>
            </w:r>
            <w:r>
              <w:rPr>
                <w:rFonts w:hint="eastAsia"/>
                <w:color w:val="auto"/>
                <w:highlight w:val="none"/>
              </w:rPr>
              <w:t>、财政厅沟通，明确需要开展前期工作审批类项目和非审批类项目，为项目下一步推进提供基础。</w:t>
            </w:r>
          </w:p>
          <w:p>
            <w:pPr>
              <w:spacing w:line="360" w:lineRule="auto"/>
              <w:ind w:firstLine="422" w:firstLineChars="200"/>
              <w:rPr>
                <w:b/>
                <w:bCs/>
                <w:color w:val="auto"/>
                <w:highlight w:val="none"/>
              </w:rPr>
            </w:pPr>
            <w:r>
              <w:rPr>
                <w:rFonts w:hint="eastAsia"/>
                <w:b/>
                <w:bCs/>
                <w:color w:val="auto"/>
                <w:highlight w:val="none"/>
              </w:rPr>
              <w:t>四、服务供应商其他服务要求</w:t>
            </w:r>
          </w:p>
          <w:p>
            <w:pPr>
              <w:spacing w:line="360" w:lineRule="auto"/>
              <w:ind w:firstLine="420" w:firstLineChars="200"/>
              <w:rPr>
                <w:color w:val="auto"/>
                <w:highlight w:val="none"/>
              </w:rPr>
            </w:pPr>
            <w:r>
              <w:rPr>
                <w:rFonts w:hint="eastAsia"/>
                <w:color w:val="auto"/>
                <w:highlight w:val="none"/>
              </w:rPr>
              <w:t>按照采购人下达的项目任务书，针对审批类项目，按照要求开展项目调研、编制、修改项目建设方案，并参与项目评审会、按照评估会议意见修改对应项目的具体内容，配合采购人开展项目申报审批、财评等工作。</w:t>
            </w:r>
          </w:p>
          <w:p>
            <w:pPr>
              <w:spacing w:line="360" w:lineRule="auto"/>
              <w:ind w:firstLine="420" w:firstLineChars="200"/>
              <w:rPr>
                <w:rFonts w:hint="eastAsia"/>
                <w:color w:val="auto"/>
                <w:highlight w:val="none"/>
              </w:rPr>
            </w:pPr>
            <w:r>
              <w:rPr>
                <w:rFonts w:hint="eastAsia"/>
                <w:color w:val="auto"/>
                <w:highlight w:val="none"/>
              </w:rPr>
              <w:t>针对运维服务项目，将根据采购人需求进行现有信息化设施现状调研，编制、修改运维项目建设方案，并参与项目内部评审会，由采购人确定后配合开展项目财评工作。</w:t>
            </w:r>
            <w:bookmarkEnd w:id="44"/>
          </w:p>
          <w:p>
            <w:pPr>
              <w:spacing w:line="360" w:lineRule="auto"/>
              <w:ind w:firstLine="420" w:firstLineChars="200"/>
              <w:rPr>
                <w:rFonts w:hint="eastAsia"/>
                <w:color w:val="auto"/>
                <w:highlight w:val="none"/>
              </w:rPr>
            </w:pPr>
            <w:r>
              <w:rPr>
                <w:rFonts w:hint="eastAsia"/>
                <w:color w:val="auto"/>
                <w:highlight w:val="none"/>
                <w:lang w:val="en-US" w:eastAsia="zh-CN"/>
              </w:rPr>
              <w:t>五</w:t>
            </w:r>
            <w:r>
              <w:rPr>
                <w:rFonts w:hint="eastAsia"/>
                <w:color w:val="auto"/>
                <w:highlight w:val="none"/>
              </w:rPr>
              <w:t>、项目服务成果及交付要求</w:t>
            </w:r>
          </w:p>
          <w:p>
            <w:pPr>
              <w:spacing w:line="360" w:lineRule="auto"/>
              <w:ind w:firstLine="420" w:firstLineChars="200"/>
              <w:rPr>
                <w:rFonts w:hint="eastAsia" w:eastAsia="宋体"/>
                <w:color w:val="auto"/>
                <w:highlight w:val="none"/>
                <w:lang w:val="en-US" w:eastAsia="zh-CN"/>
              </w:rPr>
            </w:pPr>
            <w:r>
              <w:rPr>
                <w:rFonts w:hint="eastAsia"/>
                <w:color w:val="auto"/>
                <w:highlight w:val="none"/>
                <w:lang w:val="en-US" w:eastAsia="zh-CN"/>
              </w:rPr>
              <w:t>1</w:t>
            </w:r>
            <w:r>
              <w:rPr>
                <w:rFonts w:hint="eastAsia"/>
                <w:color w:val="auto"/>
                <w:highlight w:val="none"/>
              </w:rPr>
              <w:t>．项目服务成果</w:t>
            </w:r>
            <w:r>
              <w:rPr>
                <w:rFonts w:hint="eastAsia"/>
                <w:color w:val="auto"/>
                <w:highlight w:val="none"/>
                <w:lang w:eastAsia="zh-CN"/>
              </w:rPr>
              <w:t>：</w:t>
            </w:r>
          </w:p>
          <w:p>
            <w:pPr>
              <w:spacing w:line="360" w:lineRule="auto"/>
              <w:ind w:firstLine="420" w:firstLineChars="200"/>
              <w:rPr>
                <w:rFonts w:hint="eastAsia"/>
                <w:color w:val="auto"/>
                <w:highlight w:val="none"/>
              </w:rPr>
            </w:pPr>
            <w:r>
              <w:rPr>
                <w:rFonts w:hint="eastAsia"/>
                <w:color w:val="auto"/>
                <w:highlight w:val="none"/>
              </w:rPr>
              <w:t>（1）审批类项目成果：按照桂政办发〔2021〕21号要求，以及自治区大数据发展局关于自治区电子政务信息化项目编制管理要求，编制项目建设方案；也可由采购人决定按项目投资规模要求编制项目建议书、项目可行性研究报告、项目初步设计方案和投资概算。</w:t>
            </w:r>
          </w:p>
          <w:p>
            <w:pPr>
              <w:spacing w:line="360" w:lineRule="auto"/>
              <w:ind w:firstLine="420" w:firstLineChars="200"/>
              <w:rPr>
                <w:rFonts w:hint="eastAsia"/>
                <w:color w:val="auto"/>
                <w:highlight w:val="none"/>
              </w:rPr>
            </w:pPr>
            <w:r>
              <w:rPr>
                <w:rFonts w:hint="eastAsia"/>
                <w:color w:val="auto"/>
                <w:highlight w:val="none"/>
              </w:rPr>
              <w:t>（2）非审批类项目成果：提供项目建设方案、项目造价审核服务。</w:t>
            </w:r>
          </w:p>
          <w:p>
            <w:pPr>
              <w:spacing w:line="360" w:lineRule="auto"/>
              <w:ind w:firstLine="420" w:firstLineChars="200"/>
              <w:rPr>
                <w:rFonts w:hint="eastAsia"/>
                <w:color w:val="auto"/>
                <w:highlight w:val="none"/>
              </w:rPr>
            </w:pPr>
            <w:r>
              <w:rPr>
                <w:rFonts w:hint="eastAsia"/>
                <w:color w:val="auto"/>
                <w:highlight w:val="none"/>
              </w:rPr>
              <w:t>若自治区审批部门有最新的要求，以自治区新的政策要求提供服务成果。</w:t>
            </w:r>
          </w:p>
          <w:p>
            <w:pPr>
              <w:spacing w:line="360" w:lineRule="auto"/>
              <w:ind w:firstLine="420" w:firstLineChars="200"/>
              <w:rPr>
                <w:rFonts w:hint="eastAsia"/>
                <w:color w:val="auto"/>
                <w:highlight w:val="none"/>
              </w:rPr>
            </w:pPr>
            <w:r>
              <w:rPr>
                <w:rFonts w:hint="eastAsia"/>
                <w:color w:val="auto"/>
                <w:highlight w:val="none"/>
              </w:rPr>
              <w:t>2．</w:t>
            </w:r>
            <w:r>
              <w:rPr>
                <w:rFonts w:hint="eastAsia"/>
                <w:color w:val="auto"/>
                <w:highlight w:val="none"/>
                <w:lang w:val="en-US" w:eastAsia="zh-CN"/>
              </w:rPr>
              <w:t>交付</w:t>
            </w:r>
            <w:r>
              <w:rPr>
                <w:rFonts w:hint="eastAsia"/>
                <w:color w:val="auto"/>
                <w:highlight w:val="none"/>
              </w:rPr>
              <w:t>要求：</w:t>
            </w:r>
          </w:p>
          <w:p>
            <w:pPr>
              <w:spacing w:line="360" w:lineRule="auto"/>
              <w:ind w:firstLine="420" w:firstLineChars="200"/>
              <w:rPr>
                <w:rFonts w:hint="eastAsia"/>
                <w:color w:val="auto"/>
                <w:highlight w:val="none"/>
              </w:rPr>
            </w:pPr>
            <w:r>
              <w:rPr>
                <w:rFonts w:hint="eastAsia"/>
                <w:color w:val="auto"/>
                <w:highlight w:val="none"/>
              </w:rPr>
              <w:t>（1）成交供应商应在项目完成时，将本项目所有相关的技术文件，以及设计服务期间所需要制订的文档汇集成册交付采购人。</w:t>
            </w:r>
          </w:p>
          <w:p>
            <w:pPr>
              <w:spacing w:line="360" w:lineRule="auto"/>
              <w:ind w:firstLine="420" w:firstLineChars="200"/>
              <w:rPr>
                <w:rFonts w:hint="eastAsia"/>
                <w:color w:val="auto"/>
                <w:highlight w:val="none"/>
              </w:rPr>
            </w:pPr>
            <w:r>
              <w:rPr>
                <w:rFonts w:hint="eastAsia"/>
                <w:color w:val="auto"/>
                <w:highlight w:val="none"/>
              </w:rPr>
              <w:t>（2）所有的文件要求用中文书写或有完整的中文注释。</w:t>
            </w:r>
          </w:p>
          <w:p>
            <w:pPr>
              <w:spacing w:line="360" w:lineRule="auto"/>
              <w:ind w:firstLine="420" w:firstLineChars="200"/>
              <w:rPr>
                <w:rFonts w:hint="eastAsia"/>
                <w:color w:val="auto"/>
                <w:highlight w:val="none"/>
              </w:rPr>
            </w:pPr>
            <w:r>
              <w:rPr>
                <w:rFonts w:hint="eastAsia"/>
                <w:color w:val="auto"/>
                <w:highlight w:val="none"/>
              </w:rPr>
              <w:t>（3）本项目要求所有文档向建设单位提供纸质文档至少3 套，电子文档1 套。</w:t>
            </w:r>
          </w:p>
          <w:p>
            <w:pPr>
              <w:spacing w:line="360" w:lineRule="auto"/>
              <w:ind w:firstLine="420" w:firstLineChars="200"/>
              <w:rPr>
                <w:rFonts w:hint="eastAsia"/>
                <w:color w:val="auto"/>
                <w:highlight w:val="none"/>
              </w:rPr>
            </w:pPr>
            <w:r>
              <w:rPr>
                <w:rFonts w:hint="eastAsia"/>
                <w:color w:val="auto"/>
                <w:highlight w:val="none"/>
              </w:rPr>
              <w:t>（4）项目前期工作文档编制遵循自治区相关规定要求，能满足采购人和自治区项目审批主管部门的相关审查要求。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714" w:type="dxa"/>
            <w:gridSpan w:val="6"/>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Cs w:val="21"/>
                <w:highlight w:val="none"/>
              </w:rPr>
            </w:pPr>
            <w:r>
              <w:rPr>
                <w:rFonts w:hint="eastAsia" w:ascii="宋体" w:hAnsi="宋体" w:cs="宋体"/>
                <w:b/>
                <w:color w:val="auto"/>
                <w:szCs w:val="21"/>
                <w:highlight w:val="none"/>
              </w:rPr>
              <w:t>商务要求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5" w:hRule="atLeast"/>
          <w:jc w:val="center"/>
        </w:trPr>
        <w:tc>
          <w:tcPr>
            <w:tcW w:w="210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Cs w:val="21"/>
                <w:highlight w:val="none"/>
              </w:rPr>
            </w:pPr>
            <w:r>
              <w:rPr>
                <w:rFonts w:hint="eastAsia" w:ascii="宋体" w:hAnsi="宋体" w:cs="宋体"/>
                <w:b/>
                <w:bCs/>
                <w:color w:val="auto"/>
                <w:szCs w:val="21"/>
                <w:highlight w:val="none"/>
              </w:rPr>
              <w:t>▲</w:t>
            </w:r>
            <w:r>
              <w:rPr>
                <w:rFonts w:hint="eastAsia" w:ascii="宋体" w:hAnsi="宋体" w:cs="宋体"/>
                <w:bCs/>
                <w:color w:val="auto"/>
                <w:szCs w:val="21"/>
                <w:highlight w:val="none"/>
              </w:rPr>
              <w:t>磋商报价要求</w:t>
            </w:r>
          </w:p>
        </w:tc>
        <w:tc>
          <w:tcPr>
            <w:tcW w:w="7614" w:type="dxa"/>
            <w:gridSpan w:val="4"/>
            <w:tcBorders>
              <w:top w:val="single" w:color="auto" w:sz="4" w:space="0"/>
              <w:left w:val="single" w:color="auto" w:sz="4" w:space="0"/>
              <w:bottom w:val="single" w:color="auto" w:sz="4" w:space="0"/>
              <w:right w:val="single" w:color="auto" w:sz="4" w:space="0"/>
            </w:tcBorders>
            <w:vAlign w:val="center"/>
          </w:tcPr>
          <w:p>
            <w:pPr>
              <w:pStyle w:val="3"/>
              <w:rPr>
                <w:color w:val="auto"/>
                <w:highlight w:val="none"/>
              </w:rPr>
            </w:pPr>
            <w:r>
              <w:rPr>
                <w:rFonts w:hint="eastAsia" w:ascii="宋体" w:hAnsi="宋体" w:cs="宋体"/>
                <w:color w:val="auto"/>
                <w:szCs w:val="21"/>
                <w:highlight w:val="none"/>
              </w:rPr>
              <w:t>本项目磋商报价为总额报价，即一次性报出本项目服务所需的所有费用，含技术服务、印刷费、派出工作人员的交通费、住宿费、伙食补助费、必要的保险费用和各项税金、其他有关的费用。本项目至服务期结束，采购人不另支付任何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10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cs="宋体"/>
                <w:b/>
                <w:color w:val="auto"/>
                <w:szCs w:val="21"/>
                <w:highlight w:val="none"/>
              </w:rPr>
            </w:pPr>
            <w:r>
              <w:rPr>
                <w:rFonts w:hint="eastAsia" w:ascii="宋体" w:hAnsi="宋体"/>
                <w:color w:val="auto"/>
                <w:szCs w:val="21"/>
                <w:highlight w:val="none"/>
              </w:rPr>
              <w:t>▲合同履约期限（提交服务成果时间）和地点</w:t>
            </w:r>
          </w:p>
        </w:tc>
        <w:tc>
          <w:tcPr>
            <w:tcW w:w="7614"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ascii="宋体" w:hAnsi="宋体"/>
                <w:color w:val="auto"/>
                <w:szCs w:val="21"/>
                <w:highlight w:val="none"/>
              </w:rPr>
            </w:pPr>
            <w:r>
              <w:rPr>
                <w:rFonts w:hint="eastAsia" w:ascii="宋体" w:hAnsi="宋体"/>
                <w:color w:val="auto"/>
                <w:szCs w:val="21"/>
                <w:highlight w:val="none"/>
              </w:rPr>
              <w:t>1、合同履约期限（提交服务成果时间）：合同签订生效之日起</w:t>
            </w:r>
            <w:r>
              <w:rPr>
                <w:rFonts w:hint="eastAsia" w:ascii="宋体" w:hAnsi="宋体"/>
                <w:color w:val="auto"/>
                <w:szCs w:val="21"/>
                <w:highlight w:val="none"/>
                <w:lang w:val="en-US" w:eastAsia="zh-CN"/>
              </w:rPr>
              <w:t>90</w:t>
            </w:r>
            <w:r>
              <w:rPr>
                <w:rFonts w:hint="eastAsia" w:ascii="宋体" w:hAnsi="宋体"/>
                <w:color w:val="auto"/>
                <w:szCs w:val="21"/>
                <w:highlight w:val="none"/>
              </w:rPr>
              <w:t>日内</w:t>
            </w:r>
            <w:r>
              <w:rPr>
                <w:rFonts w:hint="eastAsia" w:ascii="宋体" w:hAnsi="宋体"/>
                <w:color w:val="auto"/>
                <w:szCs w:val="21"/>
                <w:highlight w:val="none"/>
                <w:lang w:eastAsia="zh-CN"/>
              </w:rPr>
              <w:t>提交服务成果</w:t>
            </w:r>
            <w:r>
              <w:rPr>
                <w:rFonts w:hint="eastAsia" w:ascii="宋体" w:hAnsi="宋体"/>
                <w:color w:val="auto"/>
                <w:szCs w:val="21"/>
                <w:highlight w:val="none"/>
              </w:rPr>
              <w:t>。</w:t>
            </w:r>
          </w:p>
          <w:p>
            <w:pPr>
              <w:adjustRightInd w:val="0"/>
              <w:snapToGrid w:val="0"/>
              <w:spacing w:line="360" w:lineRule="exact"/>
              <w:rPr>
                <w:color w:val="auto"/>
                <w:highlight w:val="none"/>
              </w:rPr>
            </w:pPr>
            <w:r>
              <w:rPr>
                <w:rFonts w:hint="eastAsia" w:ascii="宋体" w:hAnsi="宋体"/>
                <w:color w:val="auto"/>
                <w:szCs w:val="21"/>
                <w:highlight w:val="none"/>
              </w:rPr>
              <w:t>2、地点：采购人</w:t>
            </w:r>
            <w:r>
              <w:rPr>
                <w:rFonts w:hint="eastAsia" w:ascii="宋体" w:hAnsi="宋体"/>
                <w:color w:val="auto"/>
                <w:szCs w:val="21"/>
                <w:highlight w:val="none"/>
                <w:lang w:val="en-US" w:eastAsia="zh-CN"/>
              </w:rPr>
              <w:t>指定地点</w:t>
            </w:r>
            <w:r>
              <w:rPr>
                <w:rFonts w:hint="eastAsia" w:ascii="宋体" w:hAnsi="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10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color w:val="auto"/>
                <w:szCs w:val="21"/>
                <w:highlight w:val="none"/>
              </w:rPr>
            </w:pPr>
            <w:r>
              <w:rPr>
                <w:rFonts w:hint="eastAsia" w:ascii="宋体" w:hAnsi="宋体"/>
                <w:color w:val="auto"/>
                <w:szCs w:val="21"/>
                <w:highlight w:val="none"/>
              </w:rPr>
              <w:t>▲质量保证期及售后服务保障响应时间要求</w:t>
            </w:r>
          </w:p>
        </w:tc>
        <w:tc>
          <w:tcPr>
            <w:tcW w:w="7614"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ascii="宋体" w:hAnsi="宋体"/>
                <w:color w:val="auto"/>
                <w:szCs w:val="21"/>
                <w:highlight w:val="none"/>
              </w:rPr>
            </w:pPr>
            <w:r>
              <w:rPr>
                <w:rFonts w:hint="eastAsia" w:ascii="宋体" w:hAnsi="宋体"/>
                <w:color w:val="auto"/>
                <w:szCs w:val="21"/>
                <w:highlight w:val="none"/>
              </w:rPr>
              <w:t>1、质量保证期：自提交服务成果完毕并验收合格之日起计不少于1年。</w:t>
            </w:r>
          </w:p>
          <w:p>
            <w:pPr>
              <w:adjustRightInd w:val="0"/>
              <w:snapToGrid w:val="0"/>
              <w:spacing w:line="360" w:lineRule="exact"/>
              <w:rPr>
                <w:rFonts w:ascii="宋体" w:hAnsi="宋体"/>
                <w:color w:val="auto"/>
                <w:szCs w:val="21"/>
                <w:highlight w:val="none"/>
              </w:rPr>
            </w:pPr>
            <w:r>
              <w:rPr>
                <w:rFonts w:hint="eastAsia" w:ascii="宋体" w:hAnsi="宋体"/>
                <w:color w:val="auto"/>
                <w:szCs w:val="21"/>
                <w:highlight w:val="none"/>
              </w:rPr>
              <w:t>2、处理问题响应时间：接到采购人处理问题通知后1小时内到达采购人指定现场。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6" w:hRule="atLeast"/>
          <w:jc w:val="center"/>
        </w:trPr>
        <w:tc>
          <w:tcPr>
            <w:tcW w:w="210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cs="宋体"/>
                <w:b/>
                <w:color w:val="auto"/>
                <w:szCs w:val="21"/>
                <w:highlight w:val="none"/>
              </w:rPr>
            </w:pPr>
            <w:r>
              <w:rPr>
                <w:rFonts w:hint="eastAsia" w:ascii="宋体" w:hAnsi="宋体"/>
                <w:color w:val="auto"/>
                <w:szCs w:val="21"/>
                <w:highlight w:val="none"/>
              </w:rPr>
              <w:t>后续服务要求</w:t>
            </w:r>
          </w:p>
        </w:tc>
        <w:tc>
          <w:tcPr>
            <w:tcW w:w="7614"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ascii="宋体" w:hAnsi="宋体"/>
                <w:color w:val="auto"/>
                <w:szCs w:val="21"/>
                <w:highlight w:val="none"/>
              </w:rPr>
            </w:pPr>
            <w:r>
              <w:rPr>
                <w:rFonts w:hint="eastAsia" w:ascii="宋体" w:hAnsi="宋体"/>
                <w:color w:val="auto"/>
                <w:szCs w:val="21"/>
                <w:highlight w:val="none"/>
              </w:rPr>
              <w:t>设计服务成果交付后，</w:t>
            </w:r>
            <w:r>
              <w:rPr>
                <w:rFonts w:hint="eastAsia" w:ascii="宋体" w:hAnsi="宋体"/>
                <w:color w:val="auto"/>
                <w:szCs w:val="21"/>
                <w:highlight w:val="none"/>
                <w:lang w:eastAsia="zh-CN"/>
              </w:rPr>
              <w:t>成交供应商</w:t>
            </w:r>
            <w:r>
              <w:rPr>
                <w:rFonts w:hint="eastAsia" w:ascii="宋体" w:hAnsi="宋体"/>
                <w:color w:val="auto"/>
                <w:szCs w:val="21"/>
                <w:highlight w:val="none"/>
              </w:rPr>
              <w:t>需跟进所负责项目设计中所有项目建设全过程，为采购人提供协助设计方案交底、技术评审、技术分析等技术服务，并参与相关工作，确保采购人的思路及总体设计意图得到落实。具体要求包括于以下内容：</w:t>
            </w:r>
          </w:p>
          <w:p>
            <w:pPr>
              <w:adjustRightInd w:val="0"/>
              <w:snapToGrid w:val="0"/>
              <w:spacing w:line="360" w:lineRule="exact"/>
              <w:rPr>
                <w:rFonts w:ascii="宋体" w:hAnsi="宋体"/>
                <w:color w:val="auto"/>
                <w:szCs w:val="21"/>
                <w:highlight w:val="none"/>
              </w:rPr>
            </w:pPr>
            <w:r>
              <w:rPr>
                <w:rFonts w:hint="eastAsia" w:ascii="宋体" w:hAnsi="宋体"/>
                <w:color w:val="auto"/>
                <w:szCs w:val="21"/>
                <w:highlight w:val="none"/>
              </w:rPr>
              <w:t>1、设计方案交底：(1)在项目建设实施过程中，对采购人及项目承建单位进行技术交底，包括但不限于设计思路、技术选型、产品功能特点、质量要求以及其他技术细节等；(2)解答采购人及项目承建单位提出的对设计不清楚或不明确的疑问，并要求投标时提供咨询相关接口人及联系方式。</w:t>
            </w:r>
          </w:p>
          <w:p>
            <w:pPr>
              <w:adjustRightInd w:val="0"/>
              <w:snapToGrid w:val="0"/>
              <w:spacing w:line="360" w:lineRule="exact"/>
              <w:rPr>
                <w:rFonts w:ascii="宋体" w:hAnsi="宋体"/>
                <w:color w:val="auto"/>
                <w:szCs w:val="21"/>
                <w:highlight w:val="none"/>
              </w:rPr>
            </w:pPr>
            <w:r>
              <w:rPr>
                <w:rFonts w:hint="eastAsia" w:ascii="宋体" w:hAnsi="宋体"/>
                <w:color w:val="auto"/>
                <w:szCs w:val="21"/>
                <w:highlight w:val="none"/>
              </w:rPr>
              <w:t>2、技术评审：根据项目建设情况和实际情况，</w:t>
            </w:r>
            <w:r>
              <w:rPr>
                <w:rFonts w:hint="eastAsia" w:ascii="宋体" w:hAnsi="宋体"/>
                <w:color w:val="auto"/>
                <w:szCs w:val="21"/>
                <w:highlight w:val="none"/>
                <w:lang w:eastAsia="zh-CN"/>
              </w:rPr>
              <w:t>成交供应商</w:t>
            </w:r>
            <w:r>
              <w:rPr>
                <w:rFonts w:hint="eastAsia" w:ascii="宋体" w:hAnsi="宋体"/>
                <w:color w:val="auto"/>
                <w:szCs w:val="21"/>
                <w:highlight w:val="none"/>
              </w:rPr>
              <w:t>参与所负责项目实施过程重要里程牌的评审和验证，及时提交评审意见给采购人。</w:t>
            </w:r>
          </w:p>
          <w:p>
            <w:pPr>
              <w:adjustRightInd w:val="0"/>
              <w:snapToGrid w:val="0"/>
              <w:spacing w:line="360" w:lineRule="exact"/>
              <w:rPr>
                <w:rFonts w:ascii="宋体" w:hAnsi="宋体" w:cs="宋体"/>
                <w:bCs/>
                <w:color w:val="auto"/>
                <w:szCs w:val="21"/>
                <w:highlight w:val="none"/>
              </w:rPr>
            </w:pPr>
            <w:r>
              <w:rPr>
                <w:rFonts w:hint="eastAsia" w:ascii="宋体" w:hAnsi="宋体"/>
                <w:color w:val="auto"/>
                <w:szCs w:val="21"/>
                <w:highlight w:val="none"/>
              </w:rPr>
              <w:t>3、技术分析：实施过程中发生了质量事故或形成质量隐患时，由承建单位组织有关方参加技术分析，成交供应商应派负责人参加，并提出分析意见。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210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cs="宋体"/>
                <w:b/>
                <w:color w:val="auto"/>
                <w:szCs w:val="21"/>
                <w:highlight w:val="none"/>
              </w:rPr>
            </w:pPr>
            <w:r>
              <w:rPr>
                <w:rFonts w:hint="eastAsia" w:ascii="宋体" w:hAnsi="宋体"/>
                <w:color w:val="auto"/>
                <w:szCs w:val="21"/>
                <w:highlight w:val="none"/>
              </w:rPr>
              <w:t>验收标准</w:t>
            </w:r>
          </w:p>
        </w:tc>
        <w:tc>
          <w:tcPr>
            <w:tcW w:w="7614"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ascii="宋体" w:hAnsi="宋体"/>
                <w:color w:val="auto"/>
                <w:szCs w:val="21"/>
                <w:highlight w:val="none"/>
              </w:rPr>
            </w:pPr>
            <w:r>
              <w:rPr>
                <w:rFonts w:hint="eastAsia" w:ascii="宋体" w:hAnsi="宋体"/>
                <w:color w:val="auto"/>
                <w:szCs w:val="21"/>
                <w:highlight w:val="none"/>
              </w:rPr>
              <w:t>1、成交供应商必须在接受任务之日起，5个工作日内与采购人确定该任务服务成果提交相关时间。</w:t>
            </w:r>
          </w:p>
          <w:p>
            <w:pPr>
              <w:adjustRightInd w:val="0"/>
              <w:snapToGrid w:val="0"/>
              <w:spacing w:line="360" w:lineRule="exact"/>
              <w:rPr>
                <w:rFonts w:ascii="宋体" w:hAnsi="宋体"/>
                <w:color w:val="auto"/>
                <w:szCs w:val="21"/>
                <w:highlight w:val="none"/>
              </w:rPr>
            </w:pPr>
            <w:r>
              <w:rPr>
                <w:rFonts w:hint="eastAsia" w:ascii="宋体" w:hAnsi="宋体"/>
                <w:color w:val="auto"/>
                <w:szCs w:val="21"/>
                <w:highlight w:val="none"/>
              </w:rPr>
              <w:t>2、针对审批类项目：</w:t>
            </w:r>
          </w:p>
          <w:p>
            <w:pPr>
              <w:adjustRightInd w:val="0"/>
              <w:snapToGrid w:val="0"/>
              <w:spacing w:line="360" w:lineRule="exact"/>
              <w:rPr>
                <w:rFonts w:ascii="宋体" w:hAnsi="宋体"/>
                <w:color w:val="auto"/>
                <w:szCs w:val="21"/>
                <w:highlight w:val="none"/>
              </w:rPr>
            </w:pPr>
            <w:r>
              <w:rPr>
                <w:rFonts w:hint="eastAsia" w:ascii="宋体" w:hAnsi="宋体"/>
                <w:color w:val="auto"/>
                <w:szCs w:val="21"/>
                <w:highlight w:val="none"/>
              </w:rPr>
              <w:t>(1)成交供应商在项目评审阶段，必须通过专家评审后的3个工作日内，按专家评审意见完成项目方案的相关修订，并递交质量合格的报告报相关部门。</w:t>
            </w:r>
          </w:p>
          <w:p>
            <w:pPr>
              <w:adjustRightInd w:val="0"/>
              <w:snapToGrid w:val="0"/>
              <w:spacing w:line="360" w:lineRule="exact"/>
              <w:rPr>
                <w:rFonts w:ascii="宋体" w:hAnsi="宋体"/>
                <w:color w:val="auto"/>
                <w:szCs w:val="21"/>
                <w:highlight w:val="none"/>
              </w:rPr>
            </w:pPr>
            <w:r>
              <w:rPr>
                <w:rFonts w:hint="eastAsia" w:ascii="宋体" w:hAnsi="宋体"/>
                <w:color w:val="auto"/>
                <w:szCs w:val="21"/>
                <w:highlight w:val="none"/>
              </w:rPr>
              <w:t>(2)在项目审批部门发文批复同意项目前期工作成果的3个工作日内，成交供应商必须向采购人移交项目设计相关报告文档一式叁份，包括但不限于全套文件及其电子文档，其中电子文档以只读光盘存储，且必须符合“电子文档格式”的技术要求，同时必须符合《国家电子政务工程建设项目档案管理暂行办法》的归档要求。</w:t>
            </w:r>
          </w:p>
          <w:p>
            <w:pPr>
              <w:adjustRightInd w:val="0"/>
              <w:snapToGrid w:val="0"/>
              <w:spacing w:line="360" w:lineRule="exact"/>
              <w:rPr>
                <w:rFonts w:ascii="宋体" w:hAnsi="宋体"/>
                <w:color w:val="auto"/>
                <w:szCs w:val="21"/>
                <w:highlight w:val="none"/>
              </w:rPr>
            </w:pPr>
            <w:r>
              <w:rPr>
                <w:rFonts w:hint="eastAsia" w:ascii="宋体" w:hAnsi="宋体"/>
                <w:color w:val="auto"/>
                <w:szCs w:val="21"/>
                <w:highlight w:val="none"/>
              </w:rPr>
              <w:t>3、针对非审批类项目：成交供应商在完成财政投资评审或者采购人组织的第三方专家论证后3个工作日，向采购人移交项目相关文档一式叁份，包括不限于全套文件及其电子文档，其中电子文档以只读光盘存储，且必须符合“电子文档格式”的技术要求。</w:t>
            </w:r>
          </w:p>
          <w:p>
            <w:pPr>
              <w:adjustRightInd w:val="0"/>
              <w:snapToGrid w:val="0"/>
              <w:spacing w:line="360" w:lineRule="exact"/>
              <w:rPr>
                <w:rFonts w:ascii="宋体" w:hAnsi="宋体"/>
                <w:color w:val="auto"/>
                <w:szCs w:val="21"/>
                <w:highlight w:val="none"/>
              </w:rPr>
            </w:pPr>
            <w:r>
              <w:rPr>
                <w:rFonts w:hint="eastAsia" w:ascii="宋体" w:hAnsi="宋体"/>
                <w:color w:val="auto"/>
                <w:szCs w:val="21"/>
                <w:highlight w:val="none"/>
              </w:rPr>
              <w:t>4、验收依据：本采购文件的相关要求；国家相关法律、法规、标准和规范等。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210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cs="宋体"/>
                <w:color w:val="auto"/>
                <w:szCs w:val="21"/>
                <w:highlight w:val="none"/>
              </w:rPr>
            </w:pPr>
            <w:r>
              <w:rPr>
                <w:rFonts w:hint="eastAsia" w:ascii="宋体" w:hAnsi="宋体"/>
                <w:color w:val="auto"/>
                <w:szCs w:val="21"/>
                <w:highlight w:val="none"/>
              </w:rPr>
              <w:t>▲付款方式</w:t>
            </w:r>
          </w:p>
        </w:tc>
        <w:tc>
          <w:tcPr>
            <w:tcW w:w="7614"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ascii="宋体" w:hAnsi="宋体" w:cs="宋体"/>
                <w:bCs/>
                <w:color w:val="auto"/>
                <w:szCs w:val="22"/>
                <w:highlight w:val="none"/>
              </w:rPr>
            </w:pPr>
            <w:r>
              <w:rPr>
                <w:rFonts w:hint="eastAsia" w:ascii="宋体" w:hAnsi="宋体" w:cs="宋体"/>
                <w:bCs/>
                <w:color w:val="auto"/>
                <w:szCs w:val="22"/>
                <w:highlight w:val="none"/>
              </w:rPr>
              <w:t>签订合同后，采购人向成交供应商支付合同金额的40%；项目服务成果通过第三方机构评审或者采购人验收后，采购人向成交供应商支付合同金额的60%。</w:t>
            </w:r>
            <w:r>
              <w:rPr>
                <w:rFonts w:hint="eastAsia" w:ascii="宋体" w:hAnsi="宋体" w:cs="宋体"/>
                <w:bCs/>
                <w:color w:val="auto"/>
                <w:szCs w:val="22"/>
                <w:highlight w:val="none"/>
                <w:lang w:eastAsia="zh-CN"/>
              </w:rPr>
              <w:t>成交</w:t>
            </w:r>
            <w:r>
              <w:rPr>
                <w:rFonts w:hint="eastAsia" w:ascii="宋体" w:hAnsi="宋体" w:cs="宋体"/>
                <w:bCs/>
                <w:color w:val="auto"/>
                <w:szCs w:val="22"/>
                <w:highlight w:val="none"/>
              </w:rPr>
              <w:t>供应商自收到合同款之日起5个工作日内开具发票给采购人。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10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olor w:val="auto"/>
                <w:szCs w:val="21"/>
                <w:highlight w:val="none"/>
              </w:rPr>
            </w:pPr>
            <w:r>
              <w:rPr>
                <w:rFonts w:hint="eastAsia" w:ascii="宋体" w:hAnsi="宋体"/>
                <w:color w:val="auto"/>
                <w:szCs w:val="21"/>
                <w:highlight w:val="none"/>
              </w:rPr>
              <w:t>其他要求</w:t>
            </w:r>
          </w:p>
        </w:tc>
        <w:tc>
          <w:tcPr>
            <w:tcW w:w="7614"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ascii="宋体" w:hAnsi="宋体"/>
                <w:color w:val="auto"/>
                <w:szCs w:val="21"/>
                <w:highlight w:val="none"/>
              </w:rPr>
            </w:pPr>
            <w:r>
              <w:rPr>
                <w:rFonts w:hint="eastAsia" w:ascii="宋体" w:hAnsi="宋体"/>
                <w:color w:val="auto"/>
                <w:szCs w:val="21"/>
                <w:highlight w:val="none"/>
              </w:rPr>
              <w:t>1、需指派专人担任服务期内的管理及技术负责人，管理及技术负责人应能与采购人有效沟通，确保项目质量并承担相应责任。</w:t>
            </w:r>
          </w:p>
          <w:p>
            <w:pPr>
              <w:adjustRightInd w:val="0"/>
              <w:snapToGrid w:val="0"/>
              <w:spacing w:line="360" w:lineRule="exact"/>
              <w:rPr>
                <w:rFonts w:ascii="宋体" w:hAnsi="宋体"/>
                <w:color w:val="auto"/>
                <w:szCs w:val="21"/>
                <w:highlight w:val="none"/>
              </w:rPr>
            </w:pPr>
            <w:r>
              <w:rPr>
                <w:rFonts w:hint="eastAsia" w:ascii="宋体" w:hAnsi="宋体"/>
                <w:color w:val="auto"/>
                <w:szCs w:val="21"/>
                <w:highlight w:val="none"/>
              </w:rPr>
              <w:t>2、成交供应商在成交后应积极主动地与采购人联系，落实具体事宜，安排充足的人员在规定的时间内完成编制工作。</w:t>
            </w:r>
          </w:p>
          <w:p>
            <w:pPr>
              <w:adjustRightInd w:val="0"/>
              <w:snapToGrid w:val="0"/>
              <w:spacing w:line="360" w:lineRule="exact"/>
              <w:rPr>
                <w:rFonts w:ascii="宋体" w:hAnsi="宋体"/>
                <w:color w:val="auto"/>
                <w:szCs w:val="21"/>
                <w:highlight w:val="none"/>
              </w:rPr>
            </w:pPr>
            <w:r>
              <w:rPr>
                <w:rFonts w:hint="eastAsia" w:ascii="宋体" w:hAnsi="宋体"/>
                <w:color w:val="auto"/>
                <w:szCs w:val="21"/>
                <w:highlight w:val="none"/>
              </w:rPr>
              <w:t>3、成交供应商不得将采购人委托的项目任何内容透露给除采购人以外的任何人。如发现成交供应商有违规情况并经查实的，采购人有权终止合同并追究成交供应商违约责任。</w:t>
            </w:r>
          </w:p>
          <w:p>
            <w:pPr>
              <w:adjustRightInd w:val="0"/>
              <w:snapToGrid w:val="0"/>
              <w:spacing w:line="360" w:lineRule="exact"/>
              <w:rPr>
                <w:rFonts w:ascii="宋体" w:hAnsi="宋体"/>
                <w:color w:val="auto"/>
                <w:szCs w:val="21"/>
                <w:highlight w:val="none"/>
              </w:rPr>
            </w:pPr>
            <w:r>
              <w:rPr>
                <w:rFonts w:hint="eastAsia" w:ascii="宋体" w:hAnsi="宋体"/>
                <w:color w:val="auto"/>
                <w:szCs w:val="21"/>
                <w:highlight w:val="none"/>
              </w:rPr>
              <w:t>4、合同有效期内，采购人认为成交供应商实际投入的编制人员不足以满足编制任务需要或认为编制人员不称职时，可向成交供应商发出要求增加或更换(必要时可指定)编制人员的通知，成交供应商在收到通知后的5天内应增加或更换相应的编制人员，由此产生的费用由成交供应商自行承担。</w:t>
            </w:r>
          </w:p>
          <w:p>
            <w:pPr>
              <w:adjustRightInd w:val="0"/>
              <w:snapToGrid w:val="0"/>
              <w:spacing w:line="360" w:lineRule="exact"/>
              <w:rPr>
                <w:rFonts w:ascii="宋体" w:hAnsi="宋体"/>
                <w:color w:val="auto"/>
                <w:szCs w:val="21"/>
                <w:highlight w:val="none"/>
              </w:rPr>
            </w:pPr>
            <w:r>
              <w:rPr>
                <w:rFonts w:hint="eastAsia" w:ascii="宋体" w:hAnsi="宋体"/>
                <w:color w:val="auto"/>
                <w:szCs w:val="21"/>
                <w:highlight w:val="none"/>
              </w:rPr>
              <w:t>5、成交供应商，在签订合同前须签订由采购人印制的《社会中介机构廉洁从业承诺书》。</w:t>
            </w:r>
          </w:p>
          <w:p>
            <w:pPr>
              <w:adjustRightInd w:val="0"/>
              <w:snapToGrid w:val="0"/>
              <w:spacing w:line="360" w:lineRule="exact"/>
              <w:rPr>
                <w:rFonts w:ascii="宋体" w:hAnsi="宋体"/>
                <w:color w:val="auto"/>
                <w:szCs w:val="21"/>
                <w:highlight w:val="none"/>
              </w:rPr>
            </w:pPr>
            <w:r>
              <w:rPr>
                <w:rFonts w:hint="eastAsia" w:ascii="宋体" w:hAnsi="宋体"/>
                <w:color w:val="auto"/>
                <w:szCs w:val="21"/>
                <w:highlight w:val="none"/>
              </w:rPr>
              <w:t>6、合同期内，成交供应商出现违反廉洁从业规定时，采购人将实行一票否决，终止合同并追究成交供应商相关责任。</w:t>
            </w:r>
          </w:p>
          <w:p>
            <w:pPr>
              <w:adjustRightInd w:val="0"/>
              <w:snapToGrid w:val="0"/>
              <w:spacing w:line="360" w:lineRule="exact"/>
              <w:rPr>
                <w:rFonts w:ascii="宋体" w:hAnsi="宋体"/>
                <w:color w:val="auto"/>
                <w:szCs w:val="21"/>
                <w:highlight w:val="none"/>
              </w:rPr>
            </w:pPr>
            <w:r>
              <w:rPr>
                <w:rFonts w:hint="eastAsia" w:ascii="宋体" w:hAnsi="宋体"/>
                <w:color w:val="auto"/>
                <w:szCs w:val="21"/>
                <w:highlight w:val="none"/>
              </w:rPr>
              <w:t>7、采购人认为有必要时，可以约谈、询问成交供应商的法人代表及相关负责人，成交供应商不得拒绝。</w:t>
            </w:r>
          </w:p>
          <w:p>
            <w:pPr>
              <w:adjustRightInd w:val="0"/>
              <w:snapToGrid w:val="0"/>
              <w:spacing w:line="360" w:lineRule="exact"/>
              <w:rPr>
                <w:rFonts w:ascii="宋体" w:hAnsi="宋体"/>
                <w:color w:val="auto"/>
                <w:szCs w:val="21"/>
                <w:highlight w:val="none"/>
              </w:rPr>
            </w:pPr>
            <w:r>
              <w:rPr>
                <w:rFonts w:hint="eastAsia" w:ascii="宋体" w:hAnsi="宋体"/>
                <w:color w:val="auto"/>
                <w:szCs w:val="21"/>
                <w:highlight w:val="none"/>
              </w:rPr>
              <w:t>8、成交供应商参与该项目的设计(咨询)服务后，不得再参加该项目施工相关业务。</w:t>
            </w:r>
          </w:p>
          <w:p>
            <w:pPr>
              <w:adjustRightInd w:val="0"/>
              <w:snapToGrid w:val="0"/>
              <w:spacing w:line="360" w:lineRule="exact"/>
              <w:rPr>
                <w:rFonts w:ascii="宋体" w:hAnsi="宋体"/>
                <w:color w:val="auto"/>
                <w:szCs w:val="21"/>
                <w:highlight w:val="none"/>
              </w:rPr>
            </w:pPr>
            <w:r>
              <w:rPr>
                <w:rFonts w:hint="eastAsia" w:ascii="宋体" w:hAnsi="宋体"/>
                <w:color w:val="auto"/>
                <w:szCs w:val="21"/>
                <w:highlight w:val="none"/>
              </w:rPr>
              <w:t>9、本项目成果及其相关知识产权权利归采购人所有。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10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olor w:val="auto"/>
                <w:szCs w:val="21"/>
                <w:highlight w:val="none"/>
              </w:rPr>
            </w:pPr>
            <w:r>
              <w:rPr>
                <w:rFonts w:hint="eastAsia" w:ascii="宋体" w:hAnsi="宋体"/>
                <w:color w:val="auto"/>
                <w:szCs w:val="21"/>
                <w:highlight w:val="none"/>
              </w:rPr>
              <w:t>▲服务保密要求</w:t>
            </w:r>
          </w:p>
        </w:tc>
        <w:tc>
          <w:tcPr>
            <w:tcW w:w="7614"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ascii="宋体" w:hAnsi="宋体"/>
                <w:color w:val="auto"/>
                <w:szCs w:val="21"/>
                <w:highlight w:val="none"/>
              </w:rPr>
            </w:pPr>
            <w:r>
              <w:rPr>
                <w:rFonts w:hint="eastAsia" w:ascii="宋体" w:hAnsi="宋体"/>
                <w:color w:val="auto"/>
                <w:szCs w:val="21"/>
                <w:highlight w:val="none"/>
              </w:rPr>
              <w:t>供应商应在成交后与采购人签订保密协议，承诺不将任何涉及本项目的信息向外界泄露，该保密义务在合同终止后继续有效。</w:t>
            </w:r>
          </w:p>
        </w:tc>
      </w:tr>
    </w:tbl>
    <w:p>
      <w:pPr>
        <w:rPr>
          <w:rFonts w:hint="eastAsia" w:ascii="宋体" w:hAnsi="宋体" w:cs="宋体"/>
          <w:color w:val="auto"/>
          <w:highlight w:val="none"/>
        </w:rPr>
      </w:pPr>
      <w:r>
        <w:rPr>
          <w:rFonts w:hint="eastAsia" w:ascii="宋体" w:hAnsi="宋体" w:cs="宋体"/>
          <w:color w:val="auto"/>
          <w:highlight w:val="none"/>
        </w:rPr>
        <w:br w:type="page"/>
      </w:r>
    </w:p>
    <w:p>
      <w:pPr>
        <w:spacing w:line="360" w:lineRule="auto"/>
        <w:ind w:firstLine="310" w:firstLineChars="147"/>
        <w:jc w:val="left"/>
        <w:rPr>
          <w:rFonts w:ascii="宋体" w:hAnsi="宋体" w:cs="宋体"/>
          <w:bCs/>
          <w:color w:val="auto"/>
          <w:szCs w:val="21"/>
          <w:highlight w:val="none"/>
          <w:u w:val="single"/>
        </w:rPr>
      </w:pPr>
      <w:r>
        <w:rPr>
          <w:rFonts w:hint="eastAsia" w:ascii="宋体" w:hAnsi="宋体" w:cs="宋体"/>
          <w:b/>
          <w:color w:val="auto"/>
          <w:szCs w:val="21"/>
          <w:highlight w:val="none"/>
          <w:lang w:eastAsia="zh-CN"/>
        </w:rPr>
        <w:t>分标</w:t>
      </w:r>
      <w:r>
        <w:rPr>
          <w:rFonts w:hint="eastAsia" w:ascii="宋体" w:hAnsi="宋体" w:cs="宋体"/>
          <w:b/>
          <w:color w:val="auto"/>
          <w:szCs w:val="21"/>
          <w:highlight w:val="none"/>
          <w:lang w:val="en-US" w:eastAsia="zh-CN"/>
        </w:rPr>
        <w:t>4（</w:t>
      </w:r>
      <w:r>
        <w:rPr>
          <w:rFonts w:hint="default" w:ascii="宋体" w:hAnsi="宋体" w:cs="宋体"/>
          <w:b/>
          <w:color w:val="auto"/>
          <w:szCs w:val="21"/>
          <w:highlight w:val="none"/>
          <w:lang w:eastAsia="zh-CN"/>
        </w:rPr>
        <w:t>农情调度创新发展课题研究</w:t>
      </w:r>
      <w:r>
        <w:rPr>
          <w:rFonts w:hint="eastAsia" w:ascii="宋体" w:hAnsi="宋体" w:cs="宋体"/>
          <w:b/>
          <w:color w:val="auto"/>
          <w:szCs w:val="21"/>
          <w:highlight w:val="none"/>
          <w:lang w:val="en-US" w:eastAsia="zh-CN"/>
        </w:rPr>
        <w:t xml:space="preserve">）              </w:t>
      </w:r>
      <w:r>
        <w:rPr>
          <w:rFonts w:hint="eastAsia" w:ascii="宋体" w:hAnsi="宋体" w:cs="宋体"/>
          <w:b/>
          <w:color w:val="auto"/>
          <w:szCs w:val="21"/>
          <w:highlight w:val="none"/>
        </w:rPr>
        <w:t>采购预算：</w:t>
      </w:r>
      <w:r>
        <w:rPr>
          <w:rFonts w:hint="eastAsia" w:ascii="宋体" w:hAnsi="宋体" w:cs="宋体"/>
          <w:b/>
          <w:color w:val="auto"/>
          <w:szCs w:val="21"/>
          <w:highlight w:val="none"/>
          <w:u w:val="single"/>
          <w:lang w:val="en-US" w:eastAsia="zh-CN"/>
        </w:rPr>
        <w:t>20</w:t>
      </w:r>
      <w:r>
        <w:rPr>
          <w:rFonts w:hint="eastAsia" w:ascii="宋体" w:hAnsi="宋体" w:cs="宋体"/>
          <w:b/>
          <w:color w:val="auto"/>
          <w:szCs w:val="21"/>
          <w:highlight w:val="none"/>
          <w:u w:val="single"/>
        </w:rPr>
        <w:t>万元</w:t>
      </w:r>
      <w:r>
        <w:rPr>
          <w:rFonts w:hint="eastAsia" w:ascii="宋体" w:hAnsi="宋体" w:cs="宋体"/>
          <w:b/>
          <w:color w:val="auto"/>
          <w:szCs w:val="21"/>
          <w:highlight w:val="none"/>
        </w:rPr>
        <w:t xml:space="preserve">        </w:t>
      </w:r>
    </w:p>
    <w:tbl>
      <w:tblPr>
        <w:tblStyle w:val="30"/>
        <w:tblW w:w="895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03"/>
        <w:gridCol w:w="974"/>
        <w:gridCol w:w="421"/>
        <w:gridCol w:w="861"/>
        <w:gridCol w:w="614"/>
        <w:gridCol w:w="54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7" w:hRule="atLeast"/>
          <w:jc w:val="center"/>
        </w:trPr>
        <w:tc>
          <w:tcPr>
            <w:tcW w:w="603" w:type="dxa"/>
            <w:vAlign w:val="center"/>
          </w:tcPr>
          <w:p>
            <w:pPr>
              <w:tabs>
                <w:tab w:val="left" w:pos="180"/>
                <w:tab w:val="left" w:pos="1620"/>
              </w:tabs>
              <w:spacing w:line="320" w:lineRule="exact"/>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1395" w:type="dxa"/>
            <w:gridSpan w:val="2"/>
            <w:vAlign w:val="center"/>
          </w:tcPr>
          <w:p>
            <w:pPr>
              <w:tabs>
                <w:tab w:val="left" w:pos="180"/>
                <w:tab w:val="left" w:pos="1620"/>
              </w:tabs>
              <w:spacing w:line="320" w:lineRule="exact"/>
              <w:jc w:val="center"/>
              <w:rPr>
                <w:rFonts w:ascii="宋体" w:hAnsi="宋体" w:cs="宋体"/>
                <w:color w:val="auto"/>
                <w:szCs w:val="21"/>
                <w:highlight w:val="none"/>
              </w:rPr>
            </w:pPr>
            <w:r>
              <w:rPr>
                <w:rFonts w:hint="eastAsia" w:ascii="宋体" w:hAnsi="宋体" w:cs="宋体"/>
                <w:color w:val="auto"/>
                <w:szCs w:val="21"/>
                <w:highlight w:val="none"/>
              </w:rPr>
              <w:t>标的名称</w:t>
            </w:r>
          </w:p>
        </w:tc>
        <w:tc>
          <w:tcPr>
            <w:tcW w:w="861" w:type="dxa"/>
            <w:vAlign w:val="center"/>
          </w:tcPr>
          <w:p>
            <w:pPr>
              <w:tabs>
                <w:tab w:val="left" w:pos="180"/>
                <w:tab w:val="left" w:pos="1620"/>
              </w:tabs>
              <w:spacing w:line="320" w:lineRule="exact"/>
              <w:jc w:val="center"/>
              <w:rPr>
                <w:rFonts w:ascii="宋体" w:hAnsi="宋体" w:cs="宋体"/>
                <w:color w:val="auto"/>
                <w:szCs w:val="21"/>
                <w:highlight w:val="none"/>
              </w:rPr>
            </w:pPr>
            <w:r>
              <w:rPr>
                <w:rFonts w:hint="eastAsia" w:ascii="宋体" w:hAnsi="宋体" w:cs="宋体"/>
                <w:color w:val="auto"/>
                <w:szCs w:val="21"/>
                <w:highlight w:val="none"/>
              </w:rPr>
              <w:t>数量及单位</w:t>
            </w:r>
          </w:p>
        </w:tc>
        <w:tc>
          <w:tcPr>
            <w:tcW w:w="614" w:type="dxa"/>
            <w:vAlign w:val="center"/>
          </w:tcPr>
          <w:p>
            <w:pPr>
              <w:tabs>
                <w:tab w:val="left" w:pos="180"/>
                <w:tab w:val="left" w:pos="1620"/>
              </w:tabs>
              <w:spacing w:line="320" w:lineRule="exact"/>
              <w:jc w:val="center"/>
              <w:rPr>
                <w:rFonts w:ascii="宋体" w:hAnsi="宋体" w:cs="宋体"/>
                <w:color w:val="auto"/>
                <w:szCs w:val="21"/>
                <w:highlight w:val="none"/>
              </w:rPr>
            </w:pPr>
            <w:r>
              <w:rPr>
                <w:rFonts w:hint="eastAsia" w:ascii="宋体" w:hAnsi="宋体" w:cs="宋体"/>
                <w:color w:val="auto"/>
                <w:szCs w:val="21"/>
                <w:highlight w:val="none"/>
              </w:rPr>
              <w:t>所属</w:t>
            </w:r>
          </w:p>
          <w:p>
            <w:pPr>
              <w:tabs>
                <w:tab w:val="left" w:pos="180"/>
                <w:tab w:val="left" w:pos="1620"/>
              </w:tabs>
              <w:spacing w:line="320" w:lineRule="exact"/>
              <w:jc w:val="center"/>
              <w:rPr>
                <w:rFonts w:ascii="宋体" w:hAnsi="宋体" w:cs="宋体"/>
                <w:color w:val="auto"/>
                <w:szCs w:val="21"/>
                <w:highlight w:val="none"/>
              </w:rPr>
            </w:pPr>
            <w:r>
              <w:rPr>
                <w:rFonts w:hint="eastAsia" w:ascii="宋体" w:hAnsi="宋体" w:cs="宋体"/>
                <w:color w:val="auto"/>
                <w:szCs w:val="21"/>
                <w:highlight w:val="none"/>
              </w:rPr>
              <w:t>行业</w:t>
            </w:r>
          </w:p>
        </w:tc>
        <w:tc>
          <w:tcPr>
            <w:tcW w:w="5485" w:type="dxa"/>
            <w:vAlign w:val="center"/>
          </w:tcPr>
          <w:p>
            <w:pPr>
              <w:tabs>
                <w:tab w:val="left" w:pos="180"/>
                <w:tab w:val="left" w:pos="1620"/>
              </w:tabs>
              <w:spacing w:line="320" w:lineRule="exact"/>
              <w:jc w:val="center"/>
              <w:rPr>
                <w:rFonts w:ascii="宋体" w:hAnsi="宋体" w:cs="宋体"/>
                <w:color w:val="auto"/>
                <w:szCs w:val="21"/>
                <w:highlight w:val="none"/>
              </w:rPr>
            </w:pPr>
            <w:r>
              <w:rPr>
                <w:rFonts w:hint="eastAsia" w:ascii="宋体" w:hAnsi="宋体" w:cs="宋体"/>
                <w:color w:val="auto"/>
                <w:szCs w:val="21"/>
                <w:highlight w:val="none"/>
              </w:rPr>
              <w:t>技术要求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603" w:type="dxa"/>
            <w:vAlign w:val="center"/>
          </w:tcPr>
          <w:p>
            <w:pPr>
              <w:tabs>
                <w:tab w:val="left" w:pos="180"/>
                <w:tab w:val="left" w:pos="1620"/>
              </w:tabs>
              <w:spacing w:line="360"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1395" w:type="dxa"/>
            <w:gridSpan w:val="2"/>
            <w:vAlign w:val="center"/>
          </w:tcPr>
          <w:p>
            <w:pPr>
              <w:tabs>
                <w:tab w:val="left" w:pos="180"/>
                <w:tab w:val="left" w:pos="1620"/>
              </w:tabs>
              <w:spacing w:line="360" w:lineRule="auto"/>
              <w:jc w:val="center"/>
              <w:rPr>
                <w:rFonts w:hint="default" w:cs="宋体" w:asciiTheme="minorAscii" w:hAnsiTheme="minorAscii"/>
                <w:color w:val="auto"/>
                <w:szCs w:val="21"/>
                <w:highlight w:val="none"/>
              </w:rPr>
            </w:pPr>
            <w:r>
              <w:rPr>
                <w:rFonts w:hint="default" w:cs="宋体" w:asciiTheme="minorAscii" w:hAnsiTheme="minorAscii"/>
                <w:color w:val="auto"/>
                <w:szCs w:val="21"/>
                <w:highlight w:val="none"/>
              </w:rPr>
              <w:t>农情调度创新发展课题研究</w:t>
            </w:r>
          </w:p>
        </w:tc>
        <w:tc>
          <w:tcPr>
            <w:tcW w:w="861" w:type="dxa"/>
            <w:vAlign w:val="center"/>
          </w:tcPr>
          <w:p>
            <w:pPr>
              <w:tabs>
                <w:tab w:val="left" w:pos="180"/>
                <w:tab w:val="left" w:pos="1620"/>
              </w:tabs>
              <w:spacing w:line="360" w:lineRule="auto"/>
              <w:jc w:val="center"/>
              <w:rPr>
                <w:rFonts w:hint="default" w:cs="宋体" w:asciiTheme="minorAscii" w:hAnsiTheme="minorAscii"/>
                <w:color w:val="auto"/>
                <w:szCs w:val="21"/>
                <w:highlight w:val="none"/>
              </w:rPr>
            </w:pPr>
            <w:r>
              <w:rPr>
                <w:rFonts w:hint="default" w:cs="宋体" w:asciiTheme="minorAscii" w:hAnsiTheme="minorAscii"/>
                <w:color w:val="auto"/>
                <w:szCs w:val="21"/>
                <w:highlight w:val="none"/>
              </w:rPr>
              <w:t>1项</w:t>
            </w:r>
          </w:p>
        </w:tc>
        <w:tc>
          <w:tcPr>
            <w:tcW w:w="614" w:type="dxa"/>
            <w:vAlign w:val="center"/>
          </w:tcPr>
          <w:p>
            <w:pPr>
              <w:tabs>
                <w:tab w:val="left" w:pos="180"/>
                <w:tab w:val="left" w:pos="1620"/>
              </w:tabs>
              <w:spacing w:line="360" w:lineRule="auto"/>
              <w:jc w:val="center"/>
              <w:rPr>
                <w:rFonts w:hint="default" w:cs="宋体" w:asciiTheme="minorAscii" w:hAnsiTheme="minorAscii"/>
                <w:color w:val="auto"/>
                <w:szCs w:val="21"/>
                <w:highlight w:val="none"/>
              </w:rPr>
            </w:pPr>
            <w:r>
              <w:rPr>
                <w:rFonts w:hint="default" w:cs="宋体" w:asciiTheme="minorAscii" w:hAnsiTheme="minorAscii"/>
                <w:color w:val="auto"/>
                <w:szCs w:val="21"/>
                <w:highlight w:val="none"/>
              </w:rPr>
              <w:t>其他未列明行业</w:t>
            </w:r>
          </w:p>
        </w:tc>
        <w:tc>
          <w:tcPr>
            <w:tcW w:w="5485" w:type="dxa"/>
          </w:tcPr>
          <w:p>
            <w:pPr>
              <w:numPr>
                <w:ilvl w:val="0"/>
                <w:numId w:val="2"/>
              </w:numPr>
              <w:spacing w:line="360" w:lineRule="auto"/>
              <w:rPr>
                <w:rFonts w:hint="default" w:cs="宋体" w:asciiTheme="minorAscii" w:hAnsiTheme="minorAscii"/>
                <w:b/>
                <w:bCs/>
                <w:color w:val="auto"/>
                <w:szCs w:val="21"/>
                <w:highlight w:val="none"/>
              </w:rPr>
            </w:pPr>
            <w:r>
              <w:rPr>
                <w:rFonts w:hint="default" w:cs="宋体" w:asciiTheme="minorAscii" w:hAnsiTheme="minorAscii"/>
                <w:b/>
                <w:bCs/>
                <w:color w:val="auto"/>
                <w:szCs w:val="21"/>
                <w:highlight w:val="none"/>
              </w:rPr>
              <w:t>课题内容</w:t>
            </w:r>
          </w:p>
          <w:p>
            <w:pPr>
              <w:pStyle w:val="9"/>
              <w:spacing w:line="360" w:lineRule="auto"/>
              <w:ind w:firstLine="420" w:firstLineChars="200"/>
              <w:rPr>
                <w:rFonts w:hint="default" w:asciiTheme="minorAscii" w:hAnsiTheme="minorAscii"/>
                <w:color w:val="auto"/>
                <w:highlight w:val="none"/>
              </w:rPr>
            </w:pPr>
            <w:r>
              <w:rPr>
                <w:rFonts w:hint="default" w:asciiTheme="minorAscii" w:hAnsiTheme="minorAscii"/>
                <w:color w:val="auto"/>
                <w:highlight w:val="none"/>
                <w:lang w:val="en-US" w:eastAsia="zh-CN"/>
              </w:rPr>
              <w:t>基于广西农情调度体系现状调查分析，</w:t>
            </w:r>
            <w:r>
              <w:rPr>
                <w:rFonts w:hint="default" w:asciiTheme="minorAscii" w:hAnsiTheme="minorAscii"/>
                <w:color w:val="auto"/>
                <w:highlight w:val="none"/>
              </w:rPr>
              <w:t>开展农情调度新技术、新模式应用课题研究，提出系统工程、信息管理系统、决策支持系统、新型农业经营主体参与等新技术、新模式应用在农情调度的实现路径和对策措施，并且对建设高质量农情采集队伍提出新思路，形成研究报告，为农情调度创新发展提供科学依据。</w:t>
            </w:r>
          </w:p>
          <w:p>
            <w:pPr>
              <w:pStyle w:val="9"/>
              <w:numPr>
                <w:ilvl w:val="0"/>
                <w:numId w:val="2"/>
              </w:numPr>
              <w:spacing w:line="360" w:lineRule="auto"/>
              <w:ind w:firstLine="0"/>
              <w:rPr>
                <w:rFonts w:hint="default" w:asciiTheme="minorAscii" w:hAnsiTheme="minorAscii"/>
                <w:b/>
                <w:bCs/>
                <w:color w:val="auto"/>
                <w:highlight w:val="none"/>
              </w:rPr>
            </w:pPr>
            <w:r>
              <w:rPr>
                <w:rFonts w:hint="default" w:asciiTheme="minorAscii" w:hAnsiTheme="minorAscii"/>
                <w:b/>
                <w:bCs/>
                <w:color w:val="auto"/>
                <w:highlight w:val="none"/>
              </w:rPr>
              <w:t>服务范围</w:t>
            </w:r>
          </w:p>
          <w:p>
            <w:pPr>
              <w:pStyle w:val="9"/>
              <w:spacing w:line="360" w:lineRule="auto"/>
              <w:ind w:firstLine="420" w:firstLineChars="200"/>
              <w:rPr>
                <w:rFonts w:hint="default" w:asciiTheme="minorAscii" w:hAnsiTheme="minorAscii"/>
                <w:color w:val="auto"/>
                <w:highlight w:val="none"/>
              </w:rPr>
            </w:pPr>
            <w:r>
              <w:rPr>
                <w:rFonts w:hint="default" w:asciiTheme="minorAscii" w:hAnsiTheme="minorAscii"/>
                <w:color w:val="auto"/>
                <w:highlight w:val="none"/>
                <w:lang w:eastAsia="zh-CN"/>
              </w:rPr>
              <w:t>采购人</w:t>
            </w:r>
            <w:r>
              <w:rPr>
                <w:rFonts w:hint="default" w:asciiTheme="minorAscii" w:hAnsiTheme="minorAscii"/>
                <w:color w:val="auto"/>
                <w:highlight w:val="none"/>
              </w:rPr>
              <w:t>聘请</w:t>
            </w:r>
            <w:r>
              <w:rPr>
                <w:rFonts w:hint="default" w:asciiTheme="minorAscii" w:hAnsiTheme="minorAscii"/>
                <w:color w:val="auto"/>
                <w:highlight w:val="none"/>
                <w:lang w:eastAsia="zh-CN"/>
              </w:rPr>
              <w:t>供应商</w:t>
            </w:r>
            <w:r>
              <w:rPr>
                <w:rFonts w:hint="default" w:asciiTheme="minorAscii" w:hAnsiTheme="minorAscii"/>
                <w:color w:val="auto"/>
                <w:highlight w:val="none"/>
              </w:rPr>
              <w:t>提供以下服务：</w:t>
            </w:r>
          </w:p>
          <w:p>
            <w:pPr>
              <w:pStyle w:val="9"/>
              <w:spacing w:line="360" w:lineRule="auto"/>
              <w:ind w:firstLine="420" w:firstLineChars="200"/>
              <w:rPr>
                <w:rFonts w:hint="default" w:asciiTheme="minorAscii" w:hAnsiTheme="minorAscii"/>
                <w:color w:val="auto"/>
                <w:highlight w:val="none"/>
              </w:rPr>
            </w:pPr>
            <w:r>
              <w:rPr>
                <w:rFonts w:hint="default" w:asciiTheme="minorAscii" w:hAnsiTheme="minorAscii"/>
                <w:color w:val="auto"/>
                <w:highlight w:val="none"/>
              </w:rPr>
              <w:t>（一）完成《新常态下广西农情调度信息化现状及实现新突破的思考》编写，内容包括但不限于：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eastAsia="宋体" w:cs="宋体" w:asciiTheme="minorAscii" w:hAnsiTheme="minorAscii"/>
                <w:bCs/>
                <w:color w:val="auto"/>
                <w:szCs w:val="21"/>
                <w:highlight w:val="none"/>
                <w:lang w:val="en-US" w:eastAsia="zh-CN"/>
              </w:rPr>
            </w:pPr>
            <w:r>
              <w:rPr>
                <w:rFonts w:hint="default" w:cs="宋体" w:asciiTheme="minorAscii" w:hAnsiTheme="minorAscii"/>
                <w:bCs/>
                <w:color w:val="auto"/>
                <w:szCs w:val="21"/>
                <w:highlight w:val="none"/>
                <w:lang w:val="en-US" w:eastAsia="zh-CN"/>
              </w:rPr>
              <w:t>1、深入基层，对</w:t>
            </w:r>
            <w:r>
              <w:rPr>
                <w:rFonts w:hint="default" w:asciiTheme="minorAscii" w:hAnsiTheme="minorAscii"/>
                <w:color w:val="auto"/>
                <w:highlight w:val="none"/>
              </w:rPr>
              <w:t>广西农情调度信息化现状</w:t>
            </w:r>
            <w:r>
              <w:rPr>
                <w:rFonts w:hint="default" w:asciiTheme="minorAscii" w:hAnsiTheme="minorAscii"/>
                <w:color w:val="auto"/>
                <w:highlight w:val="none"/>
                <w:lang w:eastAsia="zh-CN"/>
              </w:rPr>
              <w:t>进行调研。</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cs="宋体" w:asciiTheme="minorAscii" w:hAnsiTheme="minorAscii"/>
                <w:bCs/>
                <w:color w:val="auto"/>
                <w:szCs w:val="21"/>
                <w:highlight w:val="none"/>
              </w:rPr>
            </w:pPr>
            <w:r>
              <w:rPr>
                <w:rFonts w:hint="default" w:cs="宋体" w:asciiTheme="minorAscii" w:hAnsiTheme="minorAscii"/>
                <w:bCs/>
                <w:color w:val="auto"/>
                <w:szCs w:val="21"/>
                <w:highlight w:val="none"/>
                <w:lang w:val="en-US" w:eastAsia="zh-CN"/>
              </w:rPr>
              <w:t>2、在调研基础上，</w:t>
            </w:r>
            <w:r>
              <w:rPr>
                <w:rFonts w:hint="default" w:cs="宋体" w:asciiTheme="minorAscii" w:hAnsiTheme="minorAscii"/>
                <w:bCs/>
                <w:color w:val="auto"/>
                <w:szCs w:val="21"/>
                <w:highlight w:val="none"/>
              </w:rPr>
              <w:t>梳理全国、广西农情调度信息化建设（数字农情）发展现状。主要描述数字农情对参谋决策的促进作用，数字农情建设发展的典型经验、亮点工作及成效，包括但不限于思路目标、主要举措和具体做法、模式等。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cs="宋体" w:asciiTheme="minorAscii" w:hAnsiTheme="minorAscii"/>
                <w:bCs/>
                <w:color w:val="auto"/>
                <w:szCs w:val="21"/>
                <w:highlight w:val="none"/>
              </w:rPr>
            </w:pPr>
            <w:r>
              <w:rPr>
                <w:rFonts w:hint="default" w:cs="宋体" w:asciiTheme="minorAscii" w:hAnsiTheme="minorAscii"/>
                <w:bCs/>
                <w:color w:val="auto"/>
                <w:szCs w:val="21"/>
                <w:highlight w:val="none"/>
                <w:lang w:val="en-US" w:eastAsia="zh-CN"/>
              </w:rPr>
              <w:t>3、</w:t>
            </w:r>
            <w:r>
              <w:rPr>
                <w:rFonts w:hint="default" w:cs="宋体" w:asciiTheme="minorAscii" w:hAnsiTheme="minorAscii"/>
                <w:bCs/>
                <w:color w:val="auto"/>
                <w:szCs w:val="21"/>
                <w:highlight w:val="none"/>
              </w:rPr>
              <w:t>分析广西数字农情的发展趋势。从数字化转型、数据要素价值释放、新质生产力发展等方向分析数字农情最新发展趋势及问题瓶颈。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cs="宋体" w:asciiTheme="minorAscii" w:hAnsiTheme="minorAscii"/>
                <w:bCs/>
                <w:color w:val="auto"/>
                <w:szCs w:val="21"/>
                <w:highlight w:val="none"/>
              </w:rPr>
            </w:pPr>
            <w:r>
              <w:rPr>
                <w:rFonts w:hint="default" w:cs="宋体" w:asciiTheme="minorAscii" w:hAnsiTheme="minorAscii"/>
                <w:bCs/>
                <w:color w:val="auto"/>
                <w:szCs w:val="21"/>
                <w:highlight w:val="none"/>
                <w:lang w:val="en-US" w:eastAsia="zh-CN"/>
              </w:rPr>
              <w:t>4、</w:t>
            </w:r>
            <w:r>
              <w:rPr>
                <w:rFonts w:hint="default" w:cs="宋体" w:asciiTheme="minorAscii" w:hAnsiTheme="minorAscii"/>
                <w:bCs/>
                <w:color w:val="auto"/>
                <w:szCs w:val="21"/>
                <w:highlight w:val="none"/>
              </w:rPr>
              <w:t>分析广西数字农情未来发展重点和方向。从农情数字资源整合、农情数据分析助力参谋决策、大数据模型等方面，研究广西数字农情未来发展重点和方向。</w:t>
            </w:r>
          </w:p>
          <w:p>
            <w:pPr>
              <w:pStyle w:val="9"/>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cs="宋体" w:asciiTheme="minorAscii" w:hAnsiTheme="minorAscii"/>
                <w:bCs/>
                <w:color w:val="auto"/>
                <w:szCs w:val="21"/>
                <w:highlight w:val="none"/>
              </w:rPr>
            </w:pPr>
            <w:r>
              <w:rPr>
                <w:rFonts w:hint="default" w:cs="宋体" w:asciiTheme="minorAscii" w:hAnsiTheme="minorAscii"/>
                <w:bCs/>
                <w:color w:val="auto"/>
                <w:szCs w:val="21"/>
                <w:highlight w:val="none"/>
                <w:lang w:val="en-US" w:eastAsia="zh-CN"/>
              </w:rPr>
              <w:t>5、</w:t>
            </w:r>
            <w:r>
              <w:rPr>
                <w:rFonts w:hint="default" w:cs="宋体" w:asciiTheme="minorAscii" w:hAnsiTheme="minorAscii"/>
                <w:bCs/>
                <w:color w:val="auto"/>
                <w:szCs w:val="21"/>
                <w:highlight w:val="none"/>
              </w:rPr>
              <w:t>阐述数字农情提高农情信息质量的对策建议。结合当前数字农情建设的工作实际、农情信息工作中存在的问题、数字农情发展趋势及未来发展重点和方向，提出可行的对策建议。</w:t>
            </w:r>
          </w:p>
          <w:p>
            <w:pPr>
              <w:pStyle w:val="9"/>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inorAscii" w:hAnsiTheme="minorAscii"/>
                <w:color w:val="auto"/>
                <w:highlight w:val="none"/>
              </w:rPr>
            </w:pPr>
            <w:r>
              <w:rPr>
                <w:rFonts w:hint="default" w:asciiTheme="minorAscii" w:hAnsiTheme="minorAscii"/>
                <w:color w:val="auto"/>
                <w:highlight w:val="none"/>
              </w:rPr>
              <w:t>（二）完成《新时代广西农情信息工作瓶颈及突破方式研究》编写，内容包括但不限于：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eastAsia="宋体" w:cs="宋体" w:asciiTheme="minorAscii" w:hAnsiTheme="minorAscii"/>
                <w:bCs/>
                <w:color w:val="auto"/>
                <w:szCs w:val="21"/>
                <w:highlight w:val="none"/>
                <w:lang w:val="en-US" w:eastAsia="zh-CN"/>
              </w:rPr>
            </w:pPr>
            <w:r>
              <w:rPr>
                <w:rFonts w:hint="default" w:cs="宋体" w:asciiTheme="minorAscii" w:hAnsiTheme="minorAscii"/>
                <w:bCs/>
                <w:color w:val="auto"/>
                <w:szCs w:val="21"/>
                <w:highlight w:val="none"/>
                <w:lang w:val="en-US" w:eastAsia="zh-CN"/>
              </w:rPr>
              <w:t>1、对全区14个市、112个县（市、区）的农情信息工作</w:t>
            </w:r>
            <w:r>
              <w:rPr>
                <w:rFonts w:hint="default" w:asciiTheme="minorAscii" w:hAnsiTheme="minorAscii"/>
                <w:color w:val="auto"/>
                <w:highlight w:val="none"/>
                <w:lang w:eastAsia="zh-CN"/>
              </w:rPr>
              <w:t>进行调研。</w:t>
            </w:r>
          </w:p>
          <w:p>
            <w:pPr>
              <w:pStyle w:val="9"/>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inorAscii" w:hAnsiTheme="minorAscii"/>
                <w:color w:val="auto"/>
                <w:highlight w:val="none"/>
              </w:rPr>
            </w:pPr>
            <w:r>
              <w:rPr>
                <w:rFonts w:hint="default" w:asciiTheme="minorAscii" w:hAnsiTheme="minorAscii"/>
                <w:color w:val="auto"/>
                <w:highlight w:val="none"/>
                <w:lang w:val="en-US" w:eastAsia="zh-CN"/>
              </w:rPr>
              <w:t>2</w:t>
            </w:r>
            <w:r>
              <w:rPr>
                <w:rFonts w:hint="default" w:asciiTheme="minorAscii" w:hAnsiTheme="minorAscii"/>
                <w:color w:val="auto"/>
                <w:highlight w:val="none"/>
              </w:rPr>
              <w:t>、</w:t>
            </w:r>
            <w:r>
              <w:rPr>
                <w:rFonts w:hint="default" w:asciiTheme="minorAscii" w:hAnsiTheme="minorAscii"/>
                <w:color w:val="auto"/>
                <w:highlight w:val="none"/>
                <w:lang w:eastAsia="zh-CN"/>
              </w:rPr>
              <w:t>在调研基础上，</w:t>
            </w:r>
            <w:r>
              <w:rPr>
                <w:rFonts w:hint="default" w:asciiTheme="minorAscii" w:hAnsiTheme="minorAscii"/>
                <w:color w:val="auto"/>
                <w:highlight w:val="none"/>
              </w:rPr>
              <w:t>梳理广西农情信息工作现状。围绕农情调度体系、农情调度任务、农情工作成效等维度分析广西农情信息工作的现状。</w:t>
            </w:r>
          </w:p>
          <w:p>
            <w:pPr>
              <w:pStyle w:val="9"/>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inorAscii" w:hAnsiTheme="minorAscii"/>
                <w:color w:val="auto"/>
                <w:highlight w:val="none"/>
              </w:rPr>
            </w:pPr>
            <w:r>
              <w:rPr>
                <w:rFonts w:hint="default" w:asciiTheme="minorAscii" w:hAnsiTheme="minorAscii"/>
                <w:color w:val="auto"/>
                <w:highlight w:val="none"/>
                <w:lang w:val="en-US" w:eastAsia="zh-CN"/>
              </w:rPr>
              <w:t>3</w:t>
            </w:r>
            <w:r>
              <w:rPr>
                <w:rFonts w:hint="default" w:asciiTheme="minorAscii" w:hAnsiTheme="minorAscii"/>
                <w:color w:val="auto"/>
                <w:highlight w:val="none"/>
              </w:rPr>
              <w:t>、分析广西农情信息工作发展趋势及问题瓶颈。综合分析队伍建设、工作方式和农情信息内容质量等方面存在的瓶颈。</w:t>
            </w:r>
          </w:p>
          <w:p>
            <w:pPr>
              <w:pStyle w:val="9"/>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inorAscii" w:hAnsiTheme="minorAscii"/>
                <w:color w:val="auto"/>
                <w:highlight w:val="none"/>
              </w:rPr>
            </w:pPr>
            <w:r>
              <w:rPr>
                <w:rFonts w:hint="default" w:asciiTheme="minorAscii" w:hAnsiTheme="minorAscii"/>
                <w:color w:val="auto"/>
                <w:highlight w:val="none"/>
                <w:lang w:val="en-US" w:eastAsia="zh-CN"/>
              </w:rPr>
              <w:t>4</w:t>
            </w:r>
            <w:r>
              <w:rPr>
                <w:rFonts w:hint="default" w:asciiTheme="minorAscii" w:hAnsiTheme="minorAscii"/>
                <w:color w:val="auto"/>
                <w:highlight w:val="none"/>
              </w:rPr>
              <w:t>、提出促进广西农情信息工作的意见建议。提出通过加强组织领导、强化队伍建设、建立专家队伍会商制度、加强业务培训、创新调度方式和完善实绩考评机制等方式实现突破性发展的思考与建议。</w:t>
            </w:r>
          </w:p>
          <w:p>
            <w:pPr>
              <w:pStyle w:val="9"/>
              <w:spacing w:line="360" w:lineRule="auto"/>
              <w:ind w:firstLine="0"/>
              <w:rPr>
                <w:rFonts w:hint="default" w:asciiTheme="minorAscii" w:hAnsiTheme="minorAscii"/>
                <w:b/>
                <w:bCs/>
                <w:color w:val="auto"/>
                <w:highlight w:val="none"/>
              </w:rPr>
            </w:pPr>
            <w:r>
              <w:rPr>
                <w:rFonts w:hint="default" w:asciiTheme="minorAscii" w:hAnsiTheme="minorAscii"/>
                <w:b/>
                <w:bCs/>
                <w:color w:val="auto"/>
                <w:highlight w:val="none"/>
              </w:rPr>
              <w:t>三、成果要求</w:t>
            </w:r>
          </w:p>
          <w:p>
            <w:pPr>
              <w:pStyle w:val="9"/>
              <w:spacing w:line="360" w:lineRule="auto"/>
              <w:ind w:firstLine="420" w:firstLineChars="200"/>
              <w:rPr>
                <w:rFonts w:hint="default" w:asciiTheme="minorAscii" w:hAnsiTheme="minorAscii"/>
                <w:color w:val="auto"/>
                <w:highlight w:val="none"/>
              </w:rPr>
            </w:pPr>
            <w:r>
              <w:rPr>
                <w:rFonts w:hint="default" w:asciiTheme="minorAscii" w:hAnsiTheme="minorAscii"/>
                <w:color w:val="auto"/>
                <w:highlight w:val="none"/>
              </w:rPr>
              <w:t>研究报告采用PDF和WORD格式文件，纸质版文本1份，电子文档1份；课题研究报告（不少于10000字），报告简版（约5000字）。</w:t>
            </w:r>
          </w:p>
          <w:p>
            <w:pPr>
              <w:pStyle w:val="9"/>
              <w:spacing w:line="360" w:lineRule="auto"/>
              <w:ind w:firstLine="0"/>
              <w:rPr>
                <w:rFonts w:hint="default" w:asciiTheme="minorAscii" w:hAnsiTheme="minorAscii"/>
                <w:b/>
                <w:bCs/>
                <w:color w:val="auto"/>
                <w:highlight w:val="none"/>
              </w:rPr>
            </w:pPr>
            <w:r>
              <w:rPr>
                <w:rFonts w:hint="default" w:asciiTheme="minorAscii" w:hAnsiTheme="minorAscii"/>
                <w:b/>
                <w:bCs/>
                <w:color w:val="auto"/>
                <w:highlight w:val="none"/>
              </w:rPr>
              <w:t>四、人员要求</w:t>
            </w:r>
          </w:p>
          <w:p>
            <w:pPr>
              <w:pStyle w:val="37"/>
              <w:keepNext w:val="0"/>
              <w:keepLines w:val="0"/>
              <w:pageBreakBefore w:val="0"/>
              <w:widowControl w:val="0"/>
              <w:kinsoku/>
              <w:wordWrap/>
              <w:overflowPunct/>
              <w:topLinePunct w:val="0"/>
              <w:autoSpaceDE w:val="0"/>
              <w:autoSpaceDN w:val="0"/>
              <w:bidi w:val="0"/>
              <w:adjustRightInd w:val="0"/>
              <w:snapToGrid/>
              <w:spacing w:line="480" w:lineRule="exact"/>
              <w:ind w:firstLine="480" w:firstLineChars="200"/>
              <w:textAlignment w:val="auto"/>
              <w:rPr>
                <w:rFonts w:hint="eastAsia" w:ascii="宋体" w:hAnsi="宋体" w:eastAsia="宋体" w:cs="宋体"/>
                <w:b w:val="0"/>
                <w:bCs/>
                <w:color w:val="auto"/>
                <w:sz w:val="21"/>
                <w:szCs w:val="21"/>
                <w:highlight w:val="none"/>
                <w:lang w:eastAsia="zh-CN"/>
              </w:rPr>
            </w:pPr>
            <w:r>
              <w:rPr>
                <w:rFonts w:hint="eastAsia"/>
                <w:color w:val="auto"/>
                <w:highlight w:val="none"/>
              </w:rPr>
              <w:t>▲</w:t>
            </w:r>
            <w:r>
              <w:rPr>
                <w:rFonts w:hint="eastAsia" w:ascii="宋体" w:hAnsi="宋体" w:eastAsia="宋体" w:cs="宋体"/>
                <w:b w:val="0"/>
                <w:bCs/>
                <w:color w:val="auto"/>
                <w:sz w:val="21"/>
                <w:szCs w:val="21"/>
                <w:highlight w:val="none"/>
                <w:lang w:val="en-US" w:eastAsia="zh-CN"/>
              </w:rPr>
              <w:t>课题组成员数量</w:t>
            </w:r>
            <w:r>
              <w:rPr>
                <w:rFonts w:hint="eastAsia" w:ascii="宋体" w:hAnsi="宋体" w:eastAsia="宋体" w:cs="宋体"/>
                <w:b w:val="0"/>
                <w:bCs/>
                <w:color w:val="auto"/>
                <w:sz w:val="21"/>
                <w:szCs w:val="21"/>
                <w:highlight w:val="none"/>
                <w:lang w:eastAsia="zh-CN"/>
              </w:rPr>
              <w:t>不少于</w:t>
            </w:r>
            <w:r>
              <w:rPr>
                <w:rFonts w:hint="eastAsia" w:hAnsi="宋体" w:eastAsia="宋体" w:cs="宋体"/>
                <w:b w:val="0"/>
                <w:bCs/>
                <w:color w:val="auto"/>
                <w:sz w:val="21"/>
                <w:szCs w:val="21"/>
                <w:highlight w:val="none"/>
                <w:lang w:val="en-US" w:eastAsia="zh-CN"/>
              </w:rPr>
              <w:t>5</w:t>
            </w:r>
            <w:r>
              <w:rPr>
                <w:rFonts w:hint="eastAsia" w:ascii="宋体" w:hAnsi="宋体" w:eastAsia="宋体" w:cs="宋体"/>
                <w:b w:val="0"/>
                <w:bCs/>
                <w:color w:val="auto"/>
                <w:sz w:val="21"/>
                <w:szCs w:val="21"/>
                <w:highlight w:val="none"/>
                <w:lang w:eastAsia="zh-CN"/>
              </w:rPr>
              <w:t>人，其中</w:t>
            </w:r>
            <w:r>
              <w:rPr>
                <w:rFonts w:hint="eastAsia" w:ascii="宋体" w:hAnsi="宋体" w:eastAsia="宋体" w:cs="宋体"/>
                <w:b w:val="0"/>
                <w:bCs/>
                <w:color w:val="auto"/>
                <w:sz w:val="21"/>
                <w:szCs w:val="21"/>
                <w:highlight w:val="none"/>
                <w:lang w:val="en-US" w:eastAsia="zh-CN"/>
              </w:rPr>
              <w:t>至少有1人有高级及以上职称。（</w:t>
            </w:r>
            <w:r>
              <w:rPr>
                <w:rFonts w:hint="eastAsia" w:ascii="宋体" w:hAnsi="宋体" w:eastAsia="宋体" w:cs="宋体"/>
                <w:b w:val="0"/>
                <w:bCs/>
                <w:color w:val="auto"/>
                <w:sz w:val="21"/>
                <w:szCs w:val="21"/>
                <w:highlight w:val="none"/>
                <w:lang w:eastAsia="zh-CN"/>
              </w:rPr>
              <w:t>供应商必须在响应文件中提供相关证书材料复印件并加盖供应商公章，否则磋商响应无效。）</w:t>
            </w:r>
          </w:p>
          <w:p>
            <w:pPr>
              <w:pStyle w:val="9"/>
              <w:spacing w:line="360" w:lineRule="auto"/>
              <w:ind w:firstLine="0"/>
              <w:rPr>
                <w:rFonts w:hint="default" w:asciiTheme="minorAscii" w:hAnsiTheme="minorAscii"/>
                <w:b/>
                <w:bCs/>
                <w:color w:val="auto"/>
                <w:highlight w:val="none"/>
              </w:rPr>
            </w:pPr>
            <w:r>
              <w:rPr>
                <w:rFonts w:hint="default" w:asciiTheme="minorAscii" w:hAnsiTheme="minorAscii"/>
                <w:b/>
                <w:bCs/>
                <w:color w:val="auto"/>
                <w:highlight w:val="none"/>
              </w:rPr>
              <w:t>五、成果交付时间</w:t>
            </w:r>
          </w:p>
          <w:p>
            <w:pPr>
              <w:pStyle w:val="9"/>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inorAscii" w:hAnsiTheme="minorAscii"/>
                <w:color w:val="auto"/>
                <w:highlight w:val="none"/>
              </w:rPr>
            </w:pPr>
            <w:r>
              <w:rPr>
                <w:rFonts w:hint="default" w:asciiTheme="minorAscii" w:hAnsiTheme="minorAscii"/>
                <w:color w:val="auto"/>
                <w:highlight w:val="none"/>
              </w:rPr>
              <w:t>1、2024年10月30日前，供应商应编制形成《新常态下广西农情调度信息化现状及实现新突破的思考》《新时代广西农情信息工作瓶颈及突破方式研究》成果初稿，提交采购人研究并反馈意见。</w:t>
            </w:r>
          </w:p>
          <w:p>
            <w:pPr>
              <w:pStyle w:val="9"/>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inorAscii" w:hAnsiTheme="minorAscii"/>
                <w:color w:val="auto"/>
                <w:highlight w:val="none"/>
              </w:rPr>
            </w:pPr>
            <w:r>
              <w:rPr>
                <w:rFonts w:hint="default" w:asciiTheme="minorAscii" w:hAnsiTheme="minorAscii"/>
                <w:color w:val="auto"/>
                <w:highlight w:val="none"/>
              </w:rPr>
              <w:t>2、2024年11月15日前，供应商应根据采购人反馈意见持续修改课题成果，提交采购人研究并反馈意见。</w:t>
            </w:r>
          </w:p>
          <w:p>
            <w:pPr>
              <w:pStyle w:val="9"/>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inorAscii" w:hAnsiTheme="minorAscii"/>
                <w:color w:val="auto"/>
                <w:highlight w:val="none"/>
              </w:rPr>
            </w:pPr>
            <w:r>
              <w:rPr>
                <w:rFonts w:hint="default" w:asciiTheme="minorAscii" w:hAnsiTheme="minorAscii"/>
                <w:color w:val="auto"/>
                <w:highlight w:val="none"/>
              </w:rPr>
              <w:t>3、2024年11月30日前，供应商应编制完成课题成果终稿，按照采购人反馈意见修改完善。</w:t>
            </w:r>
          </w:p>
          <w:p>
            <w:pPr>
              <w:pStyle w:val="9"/>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eastAsia="宋体" w:asciiTheme="minorAscii" w:hAnsiTheme="minorAscii"/>
                <w:color w:val="auto"/>
                <w:highlight w:val="none"/>
                <w:lang w:val="en-US" w:eastAsia="zh-CN"/>
              </w:rPr>
            </w:pPr>
            <w:r>
              <w:rPr>
                <w:rFonts w:hint="default" w:asciiTheme="minorAscii" w:hAnsiTheme="minorAscii"/>
                <w:color w:val="auto"/>
                <w:highlight w:val="none"/>
              </w:rPr>
              <w:t>4、2024年12月15日前，供应商应根据验收后意见和采购人反馈修改完善的课题成果，形成符合采购人认可的终稿并按照合同成果格式要求提交至采购人，课题成果要达到在国内核心期刊发表水平，并通过项目验收。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2" w:hRule="atLeast"/>
          <w:jc w:val="center"/>
        </w:trPr>
        <w:tc>
          <w:tcPr>
            <w:tcW w:w="8958" w:type="dxa"/>
            <w:gridSpan w:val="6"/>
            <w:vAlign w:val="center"/>
          </w:tcPr>
          <w:p>
            <w:pPr>
              <w:pStyle w:val="9"/>
              <w:spacing w:line="360" w:lineRule="auto"/>
              <w:ind w:firstLine="0"/>
              <w:rPr>
                <w:rFonts w:hint="default" w:eastAsia="宋体" w:asciiTheme="minorAscii" w:hAnsiTheme="minorAscii"/>
                <w:color w:val="auto"/>
                <w:highlight w:val="none"/>
                <w:lang w:val="en-US" w:eastAsia="zh-CN"/>
              </w:rPr>
            </w:pPr>
            <w:r>
              <w:rPr>
                <w:rFonts w:hint="eastAsia" w:eastAsia="宋体" w:asciiTheme="minorAscii" w:hAnsiTheme="minorAscii"/>
                <w:b/>
                <w:bCs/>
                <w:color w:val="auto"/>
                <w:highlight w:val="none"/>
                <w:lang w:val="en-US" w:eastAsia="zh-CN"/>
              </w:rPr>
              <w:t>商务要求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16" w:hRule="atLeast"/>
          <w:jc w:val="center"/>
        </w:trPr>
        <w:tc>
          <w:tcPr>
            <w:tcW w:w="1577" w:type="dxa"/>
            <w:gridSpan w:val="2"/>
            <w:vAlign w:val="center"/>
          </w:tcPr>
          <w:p>
            <w:pPr>
              <w:pStyle w:val="9"/>
              <w:ind w:firstLine="0"/>
              <w:rPr>
                <w:rFonts w:hint="default" w:eastAsia="宋体"/>
                <w:color w:val="auto"/>
                <w:highlight w:val="none"/>
                <w:lang w:val="en-US" w:eastAsia="zh-CN"/>
              </w:rPr>
            </w:pPr>
            <w:r>
              <w:rPr>
                <w:rFonts w:hint="eastAsia" w:ascii="宋体" w:hAnsi="宋体"/>
                <w:color w:val="auto"/>
                <w:szCs w:val="21"/>
                <w:highlight w:val="none"/>
              </w:rPr>
              <w:t>▲</w:t>
            </w:r>
            <w:r>
              <w:rPr>
                <w:rFonts w:hint="eastAsia"/>
                <w:color w:val="auto"/>
                <w:highlight w:val="none"/>
                <w:lang w:val="en-US" w:eastAsia="zh-CN"/>
              </w:rPr>
              <w:t>磋商报价</w:t>
            </w:r>
          </w:p>
        </w:tc>
        <w:tc>
          <w:tcPr>
            <w:tcW w:w="7381" w:type="dxa"/>
            <w:gridSpan w:val="4"/>
            <w:vAlign w:val="center"/>
          </w:tcPr>
          <w:p>
            <w:pPr>
              <w:pStyle w:val="9"/>
              <w:spacing w:line="360" w:lineRule="auto"/>
              <w:ind w:firstLine="0"/>
              <w:rPr>
                <w:rFonts w:hint="default" w:eastAsia="宋体" w:asciiTheme="minorAscii" w:hAnsiTheme="minorAscii"/>
                <w:color w:val="auto"/>
                <w:highlight w:val="none"/>
                <w:lang w:val="en-US" w:eastAsia="zh-CN"/>
              </w:rPr>
            </w:pPr>
            <w:r>
              <w:rPr>
                <w:rFonts w:hint="default" w:cs="宋体" w:asciiTheme="minorAscii" w:hAnsiTheme="minorAscii"/>
                <w:bCs/>
                <w:color w:val="auto"/>
                <w:szCs w:val="21"/>
                <w:highlight w:val="none"/>
              </w:rPr>
              <w:t>磋商报价</w:t>
            </w:r>
            <w:r>
              <w:rPr>
                <w:rFonts w:hint="default" w:asciiTheme="minorAscii" w:hAnsiTheme="minorAscii"/>
                <w:color w:val="auto"/>
                <w:highlight w:val="none"/>
              </w:rPr>
              <w:t>是履行合同的最终价格, 即满足全部采购需求所应提供的服务，包含但不限于</w:t>
            </w:r>
            <w:r>
              <w:rPr>
                <w:rFonts w:hint="default" w:eastAsia="宋体" w:asciiTheme="minorAscii" w:hAnsiTheme="minorAscii"/>
                <w:color w:val="auto"/>
                <w:highlight w:val="none"/>
                <w:lang w:val="en-US" w:eastAsia="zh-CN"/>
              </w:rPr>
              <w:t>资料收集、调研考察、策划、劳务、管理、协调、校对、印刷、验收</w:t>
            </w:r>
            <w:r>
              <w:rPr>
                <w:rFonts w:hint="default" w:asciiTheme="minorAscii" w:hAnsiTheme="minorAscii"/>
                <w:color w:val="auto"/>
                <w:highlight w:val="none"/>
                <w:lang w:val="en-US" w:eastAsia="zh-CN"/>
              </w:rPr>
              <w:t>、</w:t>
            </w:r>
            <w:r>
              <w:rPr>
                <w:rFonts w:hint="default" w:eastAsia="宋体" w:asciiTheme="minorAscii" w:hAnsiTheme="minorAscii"/>
                <w:color w:val="auto"/>
                <w:highlight w:val="none"/>
                <w:lang w:val="en-US" w:eastAsia="zh-CN"/>
              </w:rPr>
              <w:t>技术支持、</w:t>
            </w:r>
            <w:r>
              <w:rPr>
                <w:rFonts w:hint="default" w:asciiTheme="minorAscii" w:hAnsiTheme="minorAscii"/>
                <w:color w:val="auto"/>
                <w:highlight w:val="none"/>
              </w:rPr>
              <w:t>后续服务人员、差旅费、保险、税金和其他所有成本等一切费用，采购人</w:t>
            </w:r>
            <w:r>
              <w:rPr>
                <w:rFonts w:hint="default" w:asciiTheme="minorAscii" w:hAnsiTheme="minorAscii"/>
                <w:color w:val="auto"/>
                <w:highlight w:val="none"/>
                <w:lang w:eastAsia="zh-CN"/>
              </w:rPr>
              <w:t>不再另行支付额外费用</w:t>
            </w:r>
            <w:r>
              <w:rPr>
                <w:rFonts w:hint="default" w:asciiTheme="minorAscii" w:hAnsiTheme="minorAscii"/>
                <w:color w:val="auto"/>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37" w:hRule="atLeast"/>
          <w:jc w:val="center"/>
        </w:trPr>
        <w:tc>
          <w:tcPr>
            <w:tcW w:w="1577" w:type="dxa"/>
            <w:gridSpan w:val="2"/>
            <w:vAlign w:val="center"/>
          </w:tcPr>
          <w:p>
            <w:pPr>
              <w:pStyle w:val="9"/>
              <w:ind w:firstLine="0"/>
              <w:jc w:val="center"/>
              <w:rPr>
                <w:rFonts w:hint="eastAsia"/>
                <w:color w:val="auto"/>
                <w:highlight w:val="none"/>
                <w:lang w:val="en-US" w:eastAsia="zh-CN"/>
              </w:rPr>
            </w:pPr>
            <w:r>
              <w:rPr>
                <w:rFonts w:hint="eastAsia" w:ascii="宋体" w:hAnsi="宋体"/>
                <w:color w:val="auto"/>
                <w:szCs w:val="21"/>
                <w:highlight w:val="none"/>
              </w:rPr>
              <w:t>▲</w:t>
            </w:r>
            <w:r>
              <w:rPr>
                <w:rFonts w:hint="eastAsia"/>
                <w:color w:val="auto"/>
                <w:highlight w:val="none"/>
                <w:lang w:val="en-US" w:eastAsia="zh-CN"/>
              </w:rPr>
              <w:t>合同履约期限（成果交付时间）</w:t>
            </w:r>
          </w:p>
        </w:tc>
        <w:tc>
          <w:tcPr>
            <w:tcW w:w="7381" w:type="dxa"/>
            <w:gridSpan w:val="4"/>
            <w:vAlign w:val="center"/>
          </w:tcPr>
          <w:p>
            <w:pPr>
              <w:pStyle w:val="9"/>
              <w:numPr>
                <w:ilvl w:val="0"/>
                <w:numId w:val="0"/>
              </w:numPr>
              <w:spacing w:line="360" w:lineRule="auto"/>
              <w:ind w:firstLine="0" w:firstLineChars="0"/>
              <w:rPr>
                <w:rFonts w:hint="default" w:asciiTheme="minorAscii" w:hAnsiTheme="minorAscii"/>
                <w:color w:val="auto"/>
                <w:highlight w:val="none"/>
              </w:rPr>
            </w:pPr>
            <w:r>
              <w:rPr>
                <w:rFonts w:hint="default" w:eastAsia="宋体" w:cs="Times New Roman" w:asciiTheme="minorAscii" w:hAnsiTheme="minorAscii"/>
                <w:color w:val="auto"/>
                <w:kern w:val="2"/>
                <w:sz w:val="21"/>
                <w:szCs w:val="20"/>
                <w:highlight w:val="none"/>
                <w:lang w:val="en-US" w:eastAsia="zh-CN" w:bidi="ar-SA"/>
              </w:rPr>
              <w:t>1、</w:t>
            </w:r>
            <w:r>
              <w:rPr>
                <w:rFonts w:hint="default" w:asciiTheme="minorAscii" w:hAnsiTheme="minorAscii"/>
                <w:color w:val="auto"/>
                <w:highlight w:val="none"/>
                <w:lang w:val="en-US" w:eastAsia="zh-CN"/>
              </w:rPr>
              <w:t>合同履约期限（成果交付时间）：</w:t>
            </w:r>
            <w:r>
              <w:rPr>
                <w:rFonts w:hint="default" w:asciiTheme="minorAscii" w:hAnsiTheme="minorAscii"/>
                <w:color w:val="auto"/>
                <w:highlight w:val="none"/>
              </w:rPr>
              <w:t>2024年10月30日前，供应商应编制形成《新常态下广西农情调度信息化现状及实现新突破的思考》《新时代广西农情信息工作瓶颈及突破方式研究》成果初稿，提交采购人研究并反馈意见</w:t>
            </w:r>
            <w:r>
              <w:rPr>
                <w:rFonts w:hint="eastAsia" w:asciiTheme="minorAscii" w:hAnsiTheme="minorAscii"/>
                <w:color w:val="auto"/>
                <w:highlight w:val="none"/>
                <w:lang w:eastAsia="zh-CN"/>
              </w:rPr>
              <w:t>；</w:t>
            </w:r>
            <w:r>
              <w:rPr>
                <w:rFonts w:hint="default" w:asciiTheme="minorAscii" w:hAnsiTheme="minorAscii"/>
                <w:color w:val="auto"/>
                <w:highlight w:val="none"/>
              </w:rPr>
              <w:t>2024年11月15日前，供应商应根据采购人反馈意见持续修改课题成果，提交采购人研究并反馈意见</w:t>
            </w:r>
            <w:r>
              <w:rPr>
                <w:rFonts w:hint="eastAsia" w:asciiTheme="minorAscii" w:hAnsiTheme="minorAscii"/>
                <w:color w:val="auto"/>
                <w:highlight w:val="none"/>
                <w:lang w:eastAsia="zh-CN"/>
              </w:rPr>
              <w:t>；</w:t>
            </w:r>
            <w:r>
              <w:rPr>
                <w:rFonts w:hint="default" w:asciiTheme="minorAscii" w:hAnsiTheme="minorAscii"/>
                <w:color w:val="auto"/>
                <w:highlight w:val="none"/>
              </w:rPr>
              <w:t>2024年11月30日前，供应商应编制完成课题成果终稿，按照采购人反馈意见修改完善</w:t>
            </w:r>
            <w:r>
              <w:rPr>
                <w:rFonts w:hint="eastAsia" w:asciiTheme="minorAscii" w:hAnsiTheme="minorAscii"/>
                <w:color w:val="auto"/>
                <w:highlight w:val="none"/>
                <w:lang w:eastAsia="zh-CN"/>
              </w:rPr>
              <w:t>；</w:t>
            </w:r>
            <w:r>
              <w:rPr>
                <w:rFonts w:hint="default" w:asciiTheme="minorAscii" w:hAnsiTheme="minorAscii"/>
                <w:color w:val="auto"/>
                <w:highlight w:val="none"/>
              </w:rPr>
              <w:t>2024年12月15日前，供应商应根据验收后意见和采购人反馈修改完善的课题成果，形成符合采购人认可的终稿并按照合同成果格式要求提交至采购人，课题成果要达到在国内核心期刊发表水平，并通过项目验收。</w:t>
            </w:r>
          </w:p>
          <w:p>
            <w:pPr>
              <w:pStyle w:val="9"/>
              <w:numPr>
                <w:ilvl w:val="0"/>
                <w:numId w:val="0"/>
              </w:numPr>
              <w:spacing w:line="360" w:lineRule="auto"/>
              <w:rPr>
                <w:rFonts w:hint="eastAsia" w:eastAsia="宋体" w:asciiTheme="minorAscii" w:hAnsiTheme="minorAscii"/>
                <w:color w:val="auto"/>
                <w:highlight w:val="none"/>
                <w:lang w:val="en-US" w:eastAsia="zh-CN"/>
              </w:rPr>
            </w:pPr>
            <w:r>
              <w:rPr>
                <w:rFonts w:hint="eastAsia" w:asciiTheme="minorAscii" w:hAnsiTheme="minorAscii"/>
                <w:color w:val="auto"/>
                <w:highlight w:val="none"/>
                <w:lang w:val="en-US" w:eastAsia="zh-CN"/>
              </w:rPr>
              <w:t>2、成果交付地点：采购人指定地点。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2" w:hRule="atLeast"/>
          <w:jc w:val="center"/>
        </w:trPr>
        <w:tc>
          <w:tcPr>
            <w:tcW w:w="1577" w:type="dxa"/>
            <w:gridSpan w:val="2"/>
            <w:vAlign w:val="center"/>
          </w:tcPr>
          <w:p>
            <w:pPr>
              <w:pStyle w:val="9"/>
              <w:ind w:firstLine="0"/>
              <w:jc w:val="center"/>
              <w:rPr>
                <w:rFonts w:hint="eastAsia"/>
                <w:color w:val="auto"/>
                <w:highlight w:val="none"/>
                <w:lang w:val="en-US" w:eastAsia="zh-CN"/>
              </w:rPr>
            </w:pPr>
            <w:r>
              <w:rPr>
                <w:rFonts w:hint="eastAsia" w:ascii="宋体" w:hAnsi="宋体"/>
                <w:color w:val="auto"/>
                <w:szCs w:val="21"/>
                <w:highlight w:val="none"/>
              </w:rPr>
              <w:t>▲付款方式</w:t>
            </w:r>
          </w:p>
        </w:tc>
        <w:tc>
          <w:tcPr>
            <w:tcW w:w="7381" w:type="dxa"/>
            <w:gridSpan w:val="4"/>
            <w:vAlign w:val="center"/>
          </w:tcPr>
          <w:p>
            <w:pPr>
              <w:pStyle w:val="9"/>
              <w:spacing w:line="360" w:lineRule="auto"/>
              <w:ind w:firstLine="0"/>
              <w:rPr>
                <w:rFonts w:hint="default" w:eastAsia="宋体" w:asciiTheme="minorAscii" w:hAnsiTheme="minorAscii"/>
                <w:color w:val="auto"/>
                <w:highlight w:val="none"/>
                <w:lang w:val="en-US" w:eastAsia="zh-CN"/>
              </w:rPr>
            </w:pPr>
            <w:r>
              <w:rPr>
                <w:rFonts w:hint="eastAsia"/>
                <w:color w:val="auto"/>
                <w:highlight w:val="none"/>
                <w:lang w:eastAsia="zh-CN"/>
              </w:rPr>
              <w:t>自签订合同后</w:t>
            </w:r>
            <w:r>
              <w:rPr>
                <w:rFonts w:hint="eastAsia"/>
                <w:color w:val="auto"/>
                <w:highlight w:val="none"/>
                <w:lang w:val="en-US" w:eastAsia="zh-CN"/>
              </w:rPr>
              <w:t>10个工作日内，采购人支付40%的合同款给成交供应商；供应商形成《新常态下广西农情调度信息化现状及实现新突破的思考》《新时代广西农情信息工作瓶颈及突破方式研究》成果初稿后，采购人支付剩余合同款的20%给成交供应商；供应商形成成果终稿后（</w:t>
            </w:r>
            <w:r>
              <w:rPr>
                <w:rFonts w:hint="default" w:cs="宋体" w:asciiTheme="minorAscii" w:hAnsiTheme="minorAscii"/>
                <w:bCs/>
                <w:color w:val="auto"/>
                <w:szCs w:val="21"/>
                <w:highlight w:val="none"/>
                <w:lang w:val="en-US" w:eastAsia="zh-CN"/>
              </w:rPr>
              <w:t>达到在国内核心期刊发表水平，</w:t>
            </w:r>
            <w:r>
              <w:rPr>
                <w:rFonts w:hint="default" w:asciiTheme="minorAscii" w:hAnsiTheme="minorAscii"/>
                <w:color w:val="auto"/>
                <w:highlight w:val="none"/>
              </w:rPr>
              <w:t>并通过项目验收</w:t>
            </w:r>
            <w:r>
              <w:rPr>
                <w:rFonts w:hint="eastAsia"/>
                <w:color w:val="auto"/>
                <w:highlight w:val="none"/>
                <w:lang w:val="en-US" w:eastAsia="zh-CN"/>
              </w:rPr>
              <w:t>），采购人支付剩余20%合同款给成交供应商。成交供应商自每次收到合同款之日起3个工作日内开具合法的发票给采购人。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jc w:val="center"/>
        </w:trPr>
        <w:tc>
          <w:tcPr>
            <w:tcW w:w="1577" w:type="dxa"/>
            <w:gridSpan w:val="2"/>
            <w:vAlign w:val="center"/>
          </w:tcPr>
          <w:p>
            <w:pPr>
              <w:pStyle w:val="9"/>
              <w:ind w:firstLine="0"/>
              <w:jc w:val="center"/>
              <w:rPr>
                <w:rFonts w:hint="eastAsia"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eastAsia="zh-CN"/>
              </w:rPr>
              <w:t>售后服务要求</w:t>
            </w:r>
          </w:p>
        </w:tc>
        <w:tc>
          <w:tcPr>
            <w:tcW w:w="7381" w:type="dxa"/>
            <w:gridSpan w:val="4"/>
            <w:vAlign w:val="center"/>
          </w:tcPr>
          <w:p>
            <w:pPr>
              <w:pStyle w:val="9"/>
              <w:spacing w:line="360" w:lineRule="auto"/>
              <w:ind w:firstLine="0"/>
              <w:rPr>
                <w:rFonts w:hint="default" w:asciiTheme="minorAscii" w:hAnsiTheme="minorAscii"/>
                <w:color w:val="auto"/>
                <w:highlight w:val="none"/>
                <w:lang w:val="en-US" w:eastAsia="zh-CN"/>
              </w:rPr>
            </w:pPr>
            <w:r>
              <w:rPr>
                <w:rFonts w:hint="default" w:asciiTheme="minorAscii" w:hAnsiTheme="minorAscii"/>
                <w:color w:val="auto"/>
                <w:highlight w:val="none"/>
                <w:lang w:val="en-US" w:eastAsia="zh-CN"/>
              </w:rPr>
              <w:t>1、后续服务期：自提交服务成果并验收合格之日起计一年，服务期内成交供应商须按采购人要求提供相应的咨询服务。</w:t>
            </w:r>
          </w:p>
          <w:p>
            <w:pPr>
              <w:pStyle w:val="9"/>
              <w:spacing w:line="360" w:lineRule="auto"/>
              <w:ind w:firstLine="0"/>
              <w:rPr>
                <w:rFonts w:hint="default" w:asciiTheme="minorAscii" w:hAnsiTheme="minorAscii"/>
                <w:color w:val="auto"/>
                <w:highlight w:val="none"/>
                <w:lang w:val="en-US" w:eastAsia="zh-CN"/>
              </w:rPr>
            </w:pPr>
            <w:r>
              <w:rPr>
                <w:rFonts w:hint="default" w:asciiTheme="minorAscii" w:hAnsiTheme="minorAscii"/>
                <w:color w:val="auto"/>
                <w:highlight w:val="none"/>
                <w:lang w:val="en-US" w:eastAsia="zh-CN"/>
              </w:rPr>
              <w:t>2、处理问题响应时间：接到采购人处理问题通知后,1小时内给予电话或文件答复。</w:t>
            </w:r>
          </w:p>
          <w:p>
            <w:pPr>
              <w:pStyle w:val="9"/>
              <w:spacing w:line="360" w:lineRule="auto"/>
              <w:ind w:firstLine="0"/>
              <w:rPr>
                <w:rFonts w:hint="default" w:asciiTheme="minorAscii" w:hAnsiTheme="minorAscii"/>
                <w:color w:val="auto"/>
                <w:highlight w:val="none"/>
                <w:lang w:val="en-US" w:eastAsia="zh-CN"/>
              </w:rPr>
            </w:pPr>
            <w:r>
              <w:rPr>
                <w:rFonts w:hint="default" w:asciiTheme="minorAscii" w:hAnsiTheme="minorAscii"/>
                <w:color w:val="auto"/>
                <w:highlight w:val="none"/>
                <w:lang w:val="en-US" w:eastAsia="zh-CN"/>
              </w:rPr>
              <w:t>3、其他：根据评审会、工作对接会、协调会等意见相应修改完善项目内容。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57" w:hRule="atLeast"/>
          <w:jc w:val="center"/>
        </w:trPr>
        <w:tc>
          <w:tcPr>
            <w:tcW w:w="1577" w:type="dxa"/>
            <w:gridSpan w:val="2"/>
            <w:vAlign w:val="center"/>
          </w:tcPr>
          <w:p>
            <w:pPr>
              <w:pStyle w:val="9"/>
              <w:ind w:firstLine="0"/>
              <w:jc w:val="center"/>
              <w:rPr>
                <w:rFonts w:hint="eastAsia" w:ascii="宋体" w:hAnsi="宋体"/>
                <w:color w:val="auto"/>
                <w:szCs w:val="21"/>
                <w:highlight w:val="none"/>
                <w:lang w:eastAsia="zh-CN"/>
              </w:rPr>
            </w:pPr>
            <w:r>
              <w:rPr>
                <w:rFonts w:hint="eastAsia" w:ascii="宋体" w:hAnsi="宋体"/>
                <w:color w:val="auto"/>
                <w:szCs w:val="21"/>
                <w:highlight w:val="none"/>
                <w:lang w:eastAsia="zh-CN"/>
              </w:rPr>
              <w:t>其他</w:t>
            </w:r>
          </w:p>
        </w:tc>
        <w:tc>
          <w:tcPr>
            <w:tcW w:w="7381" w:type="dxa"/>
            <w:gridSpan w:val="4"/>
            <w:vAlign w:val="center"/>
          </w:tcPr>
          <w:p>
            <w:pPr>
              <w:keepNext w:val="0"/>
              <w:keepLines w:val="0"/>
              <w:widowControl/>
              <w:suppressLineNumbers w:val="0"/>
              <w:spacing w:line="360" w:lineRule="auto"/>
              <w:jc w:val="left"/>
              <w:rPr>
                <w:rFonts w:hint="default" w:eastAsia="宋体" w:cs="Times New Roman" w:asciiTheme="minorAscii" w:hAnsiTheme="minorAscii"/>
                <w:color w:val="auto"/>
                <w:kern w:val="2"/>
                <w:sz w:val="21"/>
                <w:szCs w:val="20"/>
                <w:highlight w:val="none"/>
                <w:lang w:val="en-US" w:eastAsia="zh-CN" w:bidi="ar-SA"/>
              </w:rPr>
            </w:pPr>
            <w:r>
              <w:rPr>
                <w:rFonts w:hint="eastAsia" w:eastAsia="宋体" w:cs="Times New Roman" w:asciiTheme="minorAscii" w:hAnsiTheme="minorAscii"/>
                <w:color w:val="auto"/>
                <w:kern w:val="2"/>
                <w:sz w:val="21"/>
                <w:szCs w:val="20"/>
                <w:highlight w:val="none"/>
                <w:lang w:val="en-US" w:eastAsia="zh-CN" w:bidi="ar-SA"/>
              </w:rPr>
              <w:t xml:space="preserve">1、课题研究服务成果版权归采购人所有。 </w:t>
            </w:r>
          </w:p>
          <w:p>
            <w:pPr>
              <w:keepNext w:val="0"/>
              <w:keepLines w:val="0"/>
              <w:widowControl/>
              <w:suppressLineNumbers w:val="0"/>
              <w:spacing w:line="360" w:lineRule="auto"/>
              <w:jc w:val="left"/>
              <w:rPr>
                <w:rFonts w:hint="default" w:eastAsia="宋体" w:cs="Times New Roman" w:asciiTheme="minorAscii" w:hAnsiTheme="minorAscii"/>
                <w:color w:val="auto"/>
                <w:kern w:val="2"/>
                <w:sz w:val="21"/>
                <w:szCs w:val="20"/>
                <w:highlight w:val="none"/>
                <w:lang w:val="en-US" w:eastAsia="zh-CN" w:bidi="ar-SA"/>
              </w:rPr>
            </w:pPr>
            <w:r>
              <w:rPr>
                <w:rFonts w:hint="eastAsia" w:eastAsia="宋体" w:cs="Times New Roman" w:asciiTheme="minorAscii" w:hAnsiTheme="minorAscii"/>
                <w:color w:val="auto"/>
                <w:kern w:val="2"/>
                <w:sz w:val="21"/>
                <w:szCs w:val="20"/>
                <w:highlight w:val="none"/>
                <w:lang w:val="en-US" w:eastAsia="zh-CN" w:bidi="ar-SA"/>
              </w:rPr>
              <w:t xml:space="preserve">2、涉及保密事项的，成交供应商应严格保密，未经采购人同意，不得扩散，因泄露造成采购人利益受损的，除按损价赔偿外还追究其法律责任。 </w:t>
            </w:r>
          </w:p>
          <w:p>
            <w:pPr>
              <w:keepNext w:val="0"/>
              <w:keepLines w:val="0"/>
              <w:widowControl/>
              <w:suppressLineNumbers w:val="0"/>
              <w:spacing w:line="360" w:lineRule="auto"/>
              <w:jc w:val="left"/>
              <w:rPr>
                <w:rFonts w:hint="default" w:asciiTheme="minorAscii" w:hAnsiTheme="minorAscii"/>
                <w:color w:val="auto"/>
                <w:highlight w:val="none"/>
                <w:lang w:val="en-US" w:eastAsia="zh-CN"/>
              </w:rPr>
            </w:pPr>
            <w:r>
              <w:rPr>
                <w:rFonts w:hint="eastAsia" w:eastAsia="宋体" w:cs="Times New Roman" w:asciiTheme="minorAscii" w:hAnsiTheme="minorAscii"/>
                <w:color w:val="auto"/>
                <w:kern w:val="2"/>
                <w:sz w:val="21"/>
                <w:szCs w:val="20"/>
                <w:highlight w:val="none"/>
                <w:lang w:val="en-US" w:eastAsia="zh-CN" w:bidi="ar-SA"/>
              </w:rPr>
              <w:t>3、成交供应商应保证针对本项目的服务所涉及到的知识产权和所提供的相关技术资料是合法取得，或享有完整的知识产权，不会因为采购人的使用而被责令停止使用、追偿或要求赔偿损失，如出现此情况，一切经济和法律责任均由成交人承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4" w:hRule="atLeast"/>
          <w:jc w:val="center"/>
        </w:trPr>
        <w:tc>
          <w:tcPr>
            <w:tcW w:w="1577" w:type="dxa"/>
            <w:gridSpan w:val="2"/>
            <w:vAlign w:val="center"/>
          </w:tcPr>
          <w:p>
            <w:pPr>
              <w:pStyle w:val="9"/>
              <w:ind w:firstLine="0"/>
              <w:jc w:val="center"/>
              <w:rPr>
                <w:rFonts w:hint="eastAsia" w:ascii="宋体" w:hAnsi="宋体"/>
                <w:color w:val="auto"/>
                <w:szCs w:val="21"/>
                <w:highlight w:val="none"/>
                <w:lang w:eastAsia="zh-CN"/>
              </w:rPr>
            </w:pPr>
            <w:r>
              <w:rPr>
                <w:rFonts w:hint="eastAsia" w:ascii="宋体" w:hAnsi="宋体"/>
                <w:color w:val="auto"/>
                <w:szCs w:val="21"/>
                <w:highlight w:val="none"/>
                <w:lang w:val="en-US" w:eastAsia="zh-CN"/>
              </w:rPr>
              <w:t>验收相关注意事项</w:t>
            </w:r>
          </w:p>
          <w:p>
            <w:pPr>
              <w:pStyle w:val="9"/>
              <w:ind w:firstLine="0"/>
              <w:rPr>
                <w:rFonts w:hint="eastAsia" w:ascii="宋体" w:hAnsi="宋体"/>
                <w:color w:val="auto"/>
                <w:szCs w:val="21"/>
                <w:highlight w:val="none"/>
                <w:lang w:eastAsia="zh-CN"/>
              </w:rPr>
            </w:pPr>
          </w:p>
        </w:tc>
        <w:tc>
          <w:tcPr>
            <w:tcW w:w="7381" w:type="dxa"/>
            <w:gridSpan w:val="4"/>
            <w:vAlign w:val="center"/>
          </w:tcPr>
          <w:p>
            <w:pPr>
              <w:keepNext w:val="0"/>
              <w:keepLines w:val="0"/>
              <w:widowControl/>
              <w:suppressLineNumbers w:val="0"/>
              <w:spacing w:line="360" w:lineRule="auto"/>
              <w:jc w:val="left"/>
              <w:rPr>
                <w:rFonts w:hint="eastAsia" w:eastAsia="宋体" w:cs="Times New Roman" w:asciiTheme="minorAscii" w:hAnsiTheme="minorAscii"/>
                <w:color w:val="auto"/>
                <w:kern w:val="2"/>
                <w:sz w:val="21"/>
                <w:szCs w:val="20"/>
                <w:highlight w:val="none"/>
                <w:lang w:val="en-US" w:eastAsia="zh-CN" w:bidi="ar-SA"/>
              </w:rPr>
            </w:pPr>
            <w:r>
              <w:rPr>
                <w:rFonts w:hint="eastAsia" w:ascii="Times New Roman" w:hAnsi="Times New Roman" w:cs="Times New Roman"/>
                <w:color w:val="auto"/>
                <w:kern w:val="0"/>
                <w:sz w:val="20"/>
                <w:szCs w:val="20"/>
                <w:highlight w:val="none"/>
                <w:lang w:val="en-US" w:eastAsia="zh-CN" w:bidi="ar"/>
              </w:rPr>
              <w:t>1</w:t>
            </w:r>
            <w:r>
              <w:rPr>
                <w:rFonts w:hint="eastAsia" w:eastAsia="宋体" w:cs="Times New Roman" w:asciiTheme="minorAscii" w:hAnsiTheme="minorAscii"/>
                <w:color w:val="auto"/>
                <w:kern w:val="2"/>
                <w:sz w:val="21"/>
                <w:szCs w:val="20"/>
                <w:highlight w:val="none"/>
                <w:lang w:val="en-US" w:eastAsia="zh-CN" w:bidi="ar-SA"/>
              </w:rPr>
              <w:t xml:space="preserve">、成交供应商应按采购文件规定的服务内容、技术要求、质量标准向采购人提供无瑕疵的服务成果；成交人对提交的最终服务成果质量负责。 </w:t>
            </w:r>
          </w:p>
          <w:p>
            <w:pPr>
              <w:keepNext w:val="0"/>
              <w:keepLines w:val="0"/>
              <w:widowControl/>
              <w:suppressLineNumbers w:val="0"/>
              <w:spacing w:line="360" w:lineRule="auto"/>
              <w:jc w:val="left"/>
              <w:rPr>
                <w:rFonts w:hint="eastAsia" w:eastAsia="宋体" w:cs="Times New Roman" w:asciiTheme="minorAscii" w:hAnsiTheme="minorAscii"/>
                <w:color w:val="auto"/>
                <w:kern w:val="2"/>
                <w:sz w:val="21"/>
                <w:szCs w:val="20"/>
                <w:highlight w:val="none"/>
                <w:lang w:val="en-US" w:eastAsia="zh-CN" w:bidi="ar-SA"/>
              </w:rPr>
            </w:pPr>
            <w:r>
              <w:rPr>
                <w:rFonts w:hint="eastAsia" w:eastAsia="宋体" w:cs="Times New Roman" w:asciiTheme="minorAscii" w:hAnsiTheme="minorAscii"/>
                <w:color w:val="auto"/>
                <w:kern w:val="2"/>
                <w:sz w:val="21"/>
                <w:szCs w:val="20"/>
                <w:highlight w:val="none"/>
                <w:lang w:val="en-US" w:eastAsia="zh-CN" w:bidi="ar-SA"/>
              </w:rPr>
              <w:t xml:space="preserve">2、项目验收时由采购人对照采购文件、成交供应商的响应文件等相应内容及要求全面核对检验，如不符合采购文件的服务内容及要求，或者提供虚假承诺的，按相关规定综止合同及进行违约处理，成交供应商承担所有责任和费用，造成采购人利益损失的还须赔偿，且采购人保留进一步追究责任的权利。 </w:t>
            </w:r>
          </w:p>
          <w:p>
            <w:pPr>
              <w:keepNext w:val="0"/>
              <w:keepLines w:val="0"/>
              <w:widowControl/>
              <w:suppressLineNumbers w:val="0"/>
              <w:spacing w:line="360" w:lineRule="auto"/>
              <w:jc w:val="left"/>
              <w:rPr>
                <w:rFonts w:hint="eastAsia" w:eastAsia="宋体" w:cs="Times New Roman" w:asciiTheme="minorAscii" w:hAnsiTheme="minorAscii"/>
                <w:color w:val="auto"/>
                <w:kern w:val="2"/>
                <w:sz w:val="21"/>
                <w:szCs w:val="20"/>
                <w:highlight w:val="none"/>
                <w:lang w:val="en-US" w:eastAsia="zh-CN" w:bidi="ar-SA"/>
              </w:rPr>
            </w:pPr>
            <w:r>
              <w:rPr>
                <w:rFonts w:hint="eastAsia" w:eastAsia="宋体" w:cs="Times New Roman" w:asciiTheme="minorAscii" w:hAnsiTheme="minorAscii"/>
                <w:color w:val="auto"/>
                <w:kern w:val="2"/>
                <w:sz w:val="21"/>
                <w:szCs w:val="20"/>
                <w:highlight w:val="none"/>
                <w:lang w:val="en-US" w:eastAsia="zh-CN" w:bidi="ar-SA"/>
              </w:rPr>
              <w:t xml:space="preserve">3、由采购人组成验收小组对本项目服务成果进行验收。未通过验收的，成交供应商必须根据验收小组的意见和建议，在规定的时间内进行修改、补充和完善。成交供应商无正当理由拒不改正的，视为违约，并按相关约定处理。 </w:t>
            </w:r>
          </w:p>
          <w:p>
            <w:pPr>
              <w:keepNext w:val="0"/>
              <w:keepLines w:val="0"/>
              <w:widowControl/>
              <w:suppressLineNumbers w:val="0"/>
              <w:spacing w:line="360" w:lineRule="auto"/>
              <w:jc w:val="left"/>
              <w:rPr>
                <w:rFonts w:hint="eastAsia" w:ascii="宋体" w:hAnsi="宋体" w:eastAsia="宋体" w:cs="宋体"/>
                <w:color w:val="auto"/>
                <w:kern w:val="0"/>
                <w:sz w:val="20"/>
                <w:szCs w:val="20"/>
                <w:highlight w:val="none"/>
                <w:lang w:val="en-US" w:eastAsia="zh-CN" w:bidi="ar"/>
              </w:rPr>
            </w:pPr>
            <w:r>
              <w:rPr>
                <w:rFonts w:hint="eastAsia" w:eastAsia="宋体" w:cs="Times New Roman" w:asciiTheme="minorAscii" w:hAnsiTheme="minorAscii"/>
                <w:color w:val="auto"/>
                <w:kern w:val="2"/>
                <w:sz w:val="21"/>
                <w:szCs w:val="20"/>
                <w:highlight w:val="none"/>
                <w:lang w:val="en-US" w:eastAsia="zh-CN" w:bidi="ar-SA"/>
              </w:rPr>
              <w:t>4、验收过程中，如产生费用由成交供应商承担。</w:t>
            </w:r>
          </w:p>
        </w:tc>
      </w:tr>
    </w:tbl>
    <w:p>
      <w:pPr>
        <w:rPr>
          <w:rFonts w:hint="eastAsia" w:ascii="宋体" w:hAnsi="宋体" w:cs="宋体"/>
          <w:color w:val="auto"/>
          <w:highlight w:val="none"/>
        </w:rPr>
      </w:pPr>
      <w:r>
        <w:rPr>
          <w:rFonts w:hint="eastAsia" w:ascii="宋体" w:hAnsi="宋体" w:cs="宋体"/>
          <w:color w:val="auto"/>
          <w:highlight w:val="none"/>
        </w:rPr>
        <w:br w:type="page"/>
      </w:r>
    </w:p>
    <w:p>
      <w:pPr>
        <w:spacing w:line="360" w:lineRule="auto"/>
        <w:ind w:firstLine="310" w:firstLineChars="147"/>
        <w:jc w:val="left"/>
        <w:rPr>
          <w:rFonts w:ascii="宋体" w:hAnsi="宋体" w:cs="宋体"/>
          <w:bCs/>
          <w:color w:val="auto"/>
          <w:szCs w:val="21"/>
          <w:highlight w:val="none"/>
          <w:u w:val="single"/>
        </w:rPr>
      </w:pPr>
      <w:r>
        <w:rPr>
          <w:rFonts w:hint="eastAsia" w:ascii="宋体" w:hAnsi="宋体" w:cs="宋体"/>
          <w:b/>
          <w:color w:val="auto"/>
          <w:szCs w:val="21"/>
          <w:highlight w:val="none"/>
          <w:lang w:eastAsia="zh-CN"/>
        </w:rPr>
        <w:t>分标</w:t>
      </w:r>
      <w:r>
        <w:rPr>
          <w:rFonts w:hint="eastAsia" w:ascii="宋体" w:hAnsi="宋体" w:cs="宋体"/>
          <w:b/>
          <w:color w:val="auto"/>
          <w:szCs w:val="21"/>
          <w:highlight w:val="none"/>
          <w:lang w:val="en-US" w:eastAsia="zh-CN"/>
        </w:rPr>
        <w:t>5（</w:t>
      </w:r>
      <w:r>
        <w:rPr>
          <w:rFonts w:hint="eastAsia" w:eastAsia="宋体"/>
          <w:color w:val="auto"/>
          <w:highlight w:val="none"/>
          <w:lang w:eastAsia="zh-CN"/>
        </w:rPr>
        <w:t>广西“三农”网络舆情应对课题研究</w:t>
      </w:r>
      <w:r>
        <w:rPr>
          <w:rFonts w:hint="eastAsia" w:ascii="宋体" w:hAnsi="宋体" w:cs="宋体"/>
          <w:b/>
          <w:color w:val="auto"/>
          <w:szCs w:val="21"/>
          <w:highlight w:val="none"/>
          <w:lang w:val="en-US" w:eastAsia="zh-CN"/>
        </w:rPr>
        <w:t xml:space="preserve">）    </w:t>
      </w:r>
      <w:r>
        <w:rPr>
          <w:rFonts w:hint="eastAsia" w:ascii="宋体" w:hAnsi="宋体" w:cs="宋体"/>
          <w:b/>
          <w:color w:val="auto"/>
          <w:szCs w:val="21"/>
          <w:highlight w:val="none"/>
        </w:rPr>
        <w:t>采购预算：</w:t>
      </w:r>
      <w:r>
        <w:rPr>
          <w:rFonts w:hint="eastAsia" w:ascii="宋体" w:hAnsi="宋体" w:cs="宋体"/>
          <w:bCs/>
          <w:color w:val="auto"/>
          <w:szCs w:val="21"/>
          <w:highlight w:val="none"/>
          <w:u w:val="single"/>
        </w:rPr>
        <w:t xml:space="preserve"> </w:t>
      </w:r>
      <w:r>
        <w:rPr>
          <w:rFonts w:hint="eastAsia" w:ascii="宋体" w:hAnsi="宋体" w:cs="宋体"/>
          <w:b/>
          <w:color w:val="auto"/>
          <w:szCs w:val="21"/>
          <w:highlight w:val="none"/>
          <w:u w:val="single"/>
          <w:lang w:val="en-US" w:eastAsia="zh-CN"/>
        </w:rPr>
        <w:t>20.00</w:t>
      </w:r>
      <w:r>
        <w:rPr>
          <w:rFonts w:hint="eastAsia" w:ascii="宋体" w:hAnsi="宋体" w:cs="宋体"/>
          <w:b/>
          <w:color w:val="auto"/>
          <w:szCs w:val="21"/>
          <w:highlight w:val="none"/>
          <w:u w:val="single"/>
        </w:rPr>
        <w:t>万元</w:t>
      </w:r>
      <w:r>
        <w:rPr>
          <w:rFonts w:hint="eastAsia" w:ascii="宋体" w:hAnsi="宋体" w:cs="宋体"/>
          <w:b/>
          <w:color w:val="auto"/>
          <w:szCs w:val="21"/>
          <w:highlight w:val="none"/>
        </w:rPr>
        <w:t xml:space="preserve">        </w:t>
      </w:r>
    </w:p>
    <w:tbl>
      <w:tblPr>
        <w:tblStyle w:val="30"/>
        <w:tblW w:w="971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5"/>
        <w:gridCol w:w="1445"/>
        <w:gridCol w:w="68"/>
        <w:gridCol w:w="934"/>
        <w:gridCol w:w="1073"/>
        <w:gridCol w:w="55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7" w:hRule="atLeast"/>
          <w:jc w:val="center"/>
        </w:trPr>
        <w:tc>
          <w:tcPr>
            <w:tcW w:w="655" w:type="dxa"/>
            <w:vAlign w:val="center"/>
          </w:tcPr>
          <w:p>
            <w:pPr>
              <w:tabs>
                <w:tab w:val="left" w:pos="180"/>
                <w:tab w:val="left" w:pos="1620"/>
              </w:tabs>
              <w:spacing w:line="320" w:lineRule="exact"/>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1513" w:type="dxa"/>
            <w:gridSpan w:val="2"/>
            <w:vAlign w:val="center"/>
          </w:tcPr>
          <w:p>
            <w:pPr>
              <w:tabs>
                <w:tab w:val="left" w:pos="180"/>
                <w:tab w:val="left" w:pos="1620"/>
              </w:tabs>
              <w:spacing w:line="320" w:lineRule="exact"/>
              <w:jc w:val="center"/>
              <w:rPr>
                <w:rFonts w:ascii="宋体" w:hAnsi="宋体" w:cs="宋体"/>
                <w:color w:val="auto"/>
                <w:szCs w:val="21"/>
                <w:highlight w:val="none"/>
              </w:rPr>
            </w:pPr>
            <w:r>
              <w:rPr>
                <w:rFonts w:hint="eastAsia" w:ascii="宋体" w:hAnsi="宋体" w:cs="宋体"/>
                <w:color w:val="auto"/>
                <w:szCs w:val="21"/>
                <w:highlight w:val="none"/>
              </w:rPr>
              <w:t>标的的名称</w:t>
            </w:r>
          </w:p>
        </w:tc>
        <w:tc>
          <w:tcPr>
            <w:tcW w:w="934" w:type="dxa"/>
            <w:vAlign w:val="center"/>
          </w:tcPr>
          <w:p>
            <w:pPr>
              <w:tabs>
                <w:tab w:val="left" w:pos="180"/>
                <w:tab w:val="left" w:pos="1620"/>
              </w:tabs>
              <w:spacing w:line="320" w:lineRule="exact"/>
              <w:jc w:val="center"/>
              <w:rPr>
                <w:rFonts w:ascii="宋体" w:hAnsi="宋体" w:cs="宋体"/>
                <w:color w:val="auto"/>
                <w:szCs w:val="21"/>
                <w:highlight w:val="none"/>
              </w:rPr>
            </w:pPr>
            <w:r>
              <w:rPr>
                <w:rFonts w:hint="eastAsia" w:ascii="宋体" w:hAnsi="宋体" w:cs="宋体"/>
                <w:color w:val="auto"/>
                <w:szCs w:val="21"/>
                <w:highlight w:val="none"/>
              </w:rPr>
              <w:t>数量及单位</w:t>
            </w:r>
          </w:p>
        </w:tc>
        <w:tc>
          <w:tcPr>
            <w:tcW w:w="1073" w:type="dxa"/>
            <w:vAlign w:val="center"/>
          </w:tcPr>
          <w:p>
            <w:pPr>
              <w:tabs>
                <w:tab w:val="left" w:pos="180"/>
                <w:tab w:val="left" w:pos="1620"/>
              </w:tabs>
              <w:spacing w:line="320" w:lineRule="exact"/>
              <w:jc w:val="center"/>
              <w:rPr>
                <w:rFonts w:ascii="宋体" w:hAnsi="宋体" w:cs="宋体"/>
                <w:color w:val="auto"/>
                <w:szCs w:val="21"/>
                <w:highlight w:val="none"/>
              </w:rPr>
            </w:pPr>
            <w:r>
              <w:rPr>
                <w:rFonts w:hint="eastAsia" w:ascii="宋体" w:hAnsi="宋体" w:cs="宋体"/>
                <w:color w:val="auto"/>
                <w:szCs w:val="21"/>
                <w:highlight w:val="none"/>
              </w:rPr>
              <w:t>所属</w:t>
            </w:r>
          </w:p>
          <w:p>
            <w:pPr>
              <w:tabs>
                <w:tab w:val="left" w:pos="180"/>
                <w:tab w:val="left" w:pos="1620"/>
              </w:tabs>
              <w:spacing w:line="320" w:lineRule="exact"/>
              <w:jc w:val="center"/>
              <w:rPr>
                <w:rFonts w:ascii="宋体" w:hAnsi="宋体" w:cs="宋体"/>
                <w:color w:val="auto"/>
                <w:szCs w:val="21"/>
                <w:highlight w:val="none"/>
              </w:rPr>
            </w:pPr>
            <w:r>
              <w:rPr>
                <w:rFonts w:hint="eastAsia" w:ascii="宋体" w:hAnsi="宋体" w:cs="宋体"/>
                <w:color w:val="auto"/>
                <w:szCs w:val="21"/>
                <w:highlight w:val="none"/>
              </w:rPr>
              <w:t>行业</w:t>
            </w:r>
          </w:p>
        </w:tc>
        <w:tc>
          <w:tcPr>
            <w:tcW w:w="5539" w:type="dxa"/>
            <w:vAlign w:val="center"/>
          </w:tcPr>
          <w:p>
            <w:pPr>
              <w:tabs>
                <w:tab w:val="left" w:pos="180"/>
                <w:tab w:val="left" w:pos="1620"/>
              </w:tabs>
              <w:spacing w:line="320" w:lineRule="exact"/>
              <w:jc w:val="center"/>
              <w:rPr>
                <w:rFonts w:ascii="宋体" w:hAnsi="宋体" w:cs="宋体"/>
                <w:color w:val="auto"/>
                <w:szCs w:val="21"/>
                <w:highlight w:val="none"/>
              </w:rPr>
            </w:pPr>
            <w:r>
              <w:rPr>
                <w:rFonts w:hint="eastAsia" w:ascii="宋体" w:hAnsi="宋体" w:cs="宋体"/>
                <w:color w:val="auto"/>
                <w:szCs w:val="21"/>
                <w:highlight w:val="none"/>
              </w:rPr>
              <w:t>技术要求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25" w:hRule="atLeast"/>
          <w:jc w:val="center"/>
        </w:trPr>
        <w:tc>
          <w:tcPr>
            <w:tcW w:w="655" w:type="dxa"/>
            <w:vAlign w:val="center"/>
          </w:tcPr>
          <w:p>
            <w:pPr>
              <w:tabs>
                <w:tab w:val="left" w:pos="180"/>
                <w:tab w:val="left" w:pos="1620"/>
              </w:tabs>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513" w:type="dxa"/>
            <w:gridSpan w:val="2"/>
            <w:vAlign w:val="center"/>
          </w:tcPr>
          <w:p>
            <w:pPr>
              <w:tabs>
                <w:tab w:val="left" w:pos="180"/>
                <w:tab w:val="left" w:pos="1620"/>
              </w:tabs>
              <w:spacing w:line="360" w:lineRule="auto"/>
              <w:jc w:val="center"/>
              <w:rPr>
                <w:rFonts w:hint="eastAsia" w:ascii="宋体" w:hAnsi="宋体" w:eastAsia="宋体" w:cs="宋体"/>
                <w:color w:val="auto"/>
                <w:sz w:val="21"/>
                <w:szCs w:val="21"/>
                <w:highlight w:val="none"/>
                <w:lang w:eastAsia="zh-CN"/>
              </w:rPr>
            </w:pPr>
            <w:r>
              <w:rPr>
                <w:rFonts w:hint="eastAsia" w:ascii="Calibri" w:hAnsi="Calibri" w:eastAsia="宋体" w:cs="Times New Roman"/>
                <w:b/>
                <w:color w:val="auto"/>
                <w:szCs w:val="22"/>
                <w:highlight w:val="none"/>
                <w:lang w:eastAsia="zh-CN"/>
              </w:rPr>
              <w:t>广西“三农”网络舆情应对课题研究</w:t>
            </w:r>
          </w:p>
        </w:tc>
        <w:tc>
          <w:tcPr>
            <w:tcW w:w="934" w:type="dxa"/>
            <w:vAlign w:val="center"/>
          </w:tcPr>
          <w:p>
            <w:pPr>
              <w:tabs>
                <w:tab w:val="left" w:pos="180"/>
                <w:tab w:val="left" w:pos="1620"/>
              </w:tabs>
              <w:spacing w:line="360" w:lineRule="auto"/>
              <w:jc w:val="center"/>
              <w:rPr>
                <w:rFonts w:hint="eastAsia" w:ascii="宋体" w:hAnsi="宋体" w:eastAsia="宋体" w:cs="宋体"/>
                <w:color w:val="auto"/>
                <w:sz w:val="21"/>
                <w:szCs w:val="21"/>
                <w:highlight w:val="none"/>
                <w:lang w:eastAsia="zh-CN"/>
              </w:rPr>
            </w:pPr>
            <w:r>
              <w:rPr>
                <w:rFonts w:hint="default" w:cs="宋体" w:asciiTheme="minorAscii" w:hAnsiTheme="minorAscii"/>
                <w:color w:val="auto"/>
                <w:szCs w:val="21"/>
                <w:highlight w:val="none"/>
              </w:rPr>
              <w:t>1项</w:t>
            </w:r>
          </w:p>
        </w:tc>
        <w:tc>
          <w:tcPr>
            <w:tcW w:w="1073" w:type="dxa"/>
            <w:vAlign w:val="center"/>
          </w:tcPr>
          <w:p>
            <w:pPr>
              <w:tabs>
                <w:tab w:val="left" w:pos="180"/>
                <w:tab w:val="left" w:pos="1620"/>
              </w:tabs>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其他未列明行业</w:t>
            </w:r>
          </w:p>
        </w:tc>
        <w:tc>
          <w:tcPr>
            <w:tcW w:w="5539" w:type="dxa"/>
          </w:tcPr>
          <w:p>
            <w:pPr>
              <w:numPr>
                <w:ilvl w:val="0"/>
                <w:numId w:val="3"/>
              </w:numPr>
              <w:spacing w:line="360" w:lineRule="auto"/>
              <w:rPr>
                <w:rFonts w:hint="default" w:cs="宋体" w:asciiTheme="minorAscii" w:hAnsiTheme="minorAscii"/>
                <w:b/>
                <w:bCs/>
                <w:color w:val="auto"/>
                <w:szCs w:val="21"/>
                <w:highlight w:val="none"/>
              </w:rPr>
            </w:pPr>
            <w:r>
              <w:rPr>
                <w:rFonts w:hint="default" w:cs="宋体" w:asciiTheme="minorAscii" w:hAnsiTheme="minorAscii"/>
                <w:b/>
                <w:bCs/>
                <w:color w:val="auto"/>
                <w:szCs w:val="21"/>
                <w:highlight w:val="none"/>
              </w:rPr>
              <w:t>课题内容</w:t>
            </w:r>
          </w:p>
          <w:p>
            <w:pPr>
              <w:pStyle w:val="9"/>
              <w:spacing w:line="360" w:lineRule="auto"/>
              <w:ind w:firstLine="420" w:firstLineChars="200"/>
              <w:rPr>
                <w:rFonts w:hint="default" w:cs="Times New Roman" w:asciiTheme="minorAscii" w:hAnsiTheme="minorAscii"/>
                <w:color w:val="auto"/>
                <w:highlight w:val="none"/>
                <w:lang w:val="en-US" w:eastAsia="zh-CN"/>
              </w:rPr>
            </w:pPr>
            <w:r>
              <w:rPr>
                <w:rFonts w:hint="eastAsia" w:cs="Times New Roman" w:asciiTheme="minorAscii" w:hAnsiTheme="minorAscii"/>
                <w:color w:val="auto"/>
                <w:highlight w:val="none"/>
                <w:lang w:val="en-US" w:eastAsia="zh-CN"/>
              </w:rPr>
              <w:t>基于近年来对广西涉农网络舆情监测和应对处置调研，开展广西“三农”网络舆情应对课题研究，结合全区涉农舆情现状特点、探究发现和识别潜在风险点，提出广西“三农”重大舆情应对处置方案。探索研究构建“三农”舆情能力体系的构成要素，有针对性地提出加强能力建设的重点与措施，并对网评员队伍提出合理的工作机制建议。形成研究报告，为广西“三农”舆情应对处置和能力建设提供科学依据。</w:t>
            </w:r>
          </w:p>
          <w:p>
            <w:pPr>
              <w:pStyle w:val="9"/>
              <w:numPr>
                <w:ilvl w:val="0"/>
                <w:numId w:val="3"/>
              </w:numPr>
              <w:spacing w:line="360" w:lineRule="auto"/>
              <w:ind w:firstLine="0"/>
              <w:rPr>
                <w:rFonts w:hint="default" w:asciiTheme="minorAscii" w:hAnsiTheme="minorAscii"/>
                <w:b/>
                <w:bCs/>
                <w:color w:val="auto"/>
                <w:highlight w:val="none"/>
              </w:rPr>
            </w:pPr>
            <w:r>
              <w:rPr>
                <w:rFonts w:hint="default" w:asciiTheme="minorAscii" w:hAnsiTheme="minorAscii"/>
                <w:b/>
                <w:bCs/>
                <w:color w:val="auto"/>
                <w:highlight w:val="none"/>
              </w:rPr>
              <w:t>服务范围</w:t>
            </w:r>
          </w:p>
          <w:p>
            <w:pPr>
              <w:pStyle w:val="9"/>
              <w:spacing w:line="360" w:lineRule="auto"/>
              <w:ind w:firstLine="420" w:firstLineChars="200"/>
              <w:rPr>
                <w:rFonts w:hint="default" w:asciiTheme="minorAscii" w:hAnsiTheme="minorAscii"/>
                <w:color w:val="auto"/>
                <w:highlight w:val="none"/>
              </w:rPr>
            </w:pPr>
            <w:r>
              <w:rPr>
                <w:rFonts w:hint="default" w:asciiTheme="minorAscii" w:hAnsiTheme="minorAscii"/>
                <w:color w:val="auto"/>
                <w:highlight w:val="none"/>
                <w:lang w:eastAsia="zh-CN"/>
              </w:rPr>
              <w:t>采购人</w:t>
            </w:r>
            <w:r>
              <w:rPr>
                <w:rFonts w:hint="default" w:asciiTheme="minorAscii" w:hAnsiTheme="minorAscii"/>
                <w:color w:val="auto"/>
                <w:highlight w:val="none"/>
              </w:rPr>
              <w:t>聘请</w:t>
            </w:r>
            <w:r>
              <w:rPr>
                <w:rFonts w:hint="default" w:asciiTheme="minorAscii" w:hAnsiTheme="minorAscii"/>
                <w:color w:val="auto"/>
                <w:highlight w:val="none"/>
                <w:lang w:eastAsia="zh-CN"/>
              </w:rPr>
              <w:t>供应商</w:t>
            </w:r>
            <w:r>
              <w:rPr>
                <w:rFonts w:hint="default" w:asciiTheme="minorAscii" w:hAnsiTheme="minorAscii"/>
                <w:color w:val="auto"/>
                <w:highlight w:val="none"/>
              </w:rPr>
              <w:t>提供以下服务：</w:t>
            </w:r>
          </w:p>
          <w:p>
            <w:pPr>
              <w:pStyle w:val="9"/>
              <w:spacing w:line="360" w:lineRule="auto"/>
              <w:ind w:firstLine="420" w:firstLineChars="200"/>
              <w:rPr>
                <w:rFonts w:hint="default" w:asciiTheme="minorAscii" w:hAnsiTheme="minorAscii"/>
                <w:color w:val="auto"/>
                <w:highlight w:val="none"/>
              </w:rPr>
            </w:pPr>
            <w:r>
              <w:rPr>
                <w:rFonts w:hint="default" w:asciiTheme="minorAscii" w:hAnsiTheme="minorAscii"/>
                <w:color w:val="auto"/>
                <w:highlight w:val="none"/>
              </w:rPr>
              <w:t>（一）完成《</w:t>
            </w:r>
            <w:r>
              <w:rPr>
                <w:rFonts w:hint="eastAsia" w:asciiTheme="minorAscii" w:hAnsiTheme="minorAscii"/>
                <w:color w:val="auto"/>
                <w:highlight w:val="none"/>
                <w:lang w:val="en-US" w:eastAsia="zh-CN"/>
              </w:rPr>
              <w:t>广西“三农”重大舆情处置方案</w:t>
            </w:r>
            <w:r>
              <w:rPr>
                <w:rFonts w:hint="default" w:asciiTheme="minorAscii" w:hAnsiTheme="minorAscii"/>
                <w:color w:val="auto"/>
                <w:highlight w:val="none"/>
              </w:rPr>
              <w:t>》编写，内容包括但不限于：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eastAsia="宋体" w:cs="宋体" w:asciiTheme="minorAscii" w:hAnsiTheme="minorAscii"/>
                <w:bCs/>
                <w:color w:val="auto"/>
                <w:szCs w:val="21"/>
                <w:highlight w:val="none"/>
                <w:lang w:val="en-US" w:eastAsia="zh-CN"/>
              </w:rPr>
            </w:pPr>
            <w:r>
              <w:rPr>
                <w:rFonts w:hint="default" w:cs="宋体" w:asciiTheme="minorAscii" w:hAnsiTheme="minorAscii"/>
                <w:bCs/>
                <w:color w:val="auto"/>
                <w:szCs w:val="21"/>
                <w:highlight w:val="none"/>
                <w:lang w:val="en-US" w:eastAsia="zh-CN"/>
              </w:rPr>
              <w:t>1、</w:t>
            </w:r>
            <w:r>
              <w:rPr>
                <w:rFonts w:hint="eastAsia" w:cs="宋体" w:asciiTheme="minorAscii" w:hAnsiTheme="minorAscii"/>
                <w:bCs/>
                <w:color w:val="auto"/>
                <w:szCs w:val="21"/>
                <w:highlight w:val="none"/>
                <w:lang w:val="en-US" w:eastAsia="zh-CN"/>
              </w:rPr>
              <w:t>对近年来广西涉农网络舆情监测和应对理念、方法、措施等</w:t>
            </w:r>
            <w:r>
              <w:rPr>
                <w:rFonts w:hint="default" w:asciiTheme="minorAscii" w:hAnsiTheme="minorAscii"/>
                <w:color w:val="auto"/>
                <w:highlight w:val="none"/>
                <w:lang w:eastAsia="zh-CN"/>
              </w:rPr>
              <w:t>进行调研。</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cs="宋体" w:asciiTheme="minorAscii" w:hAnsiTheme="minorAscii"/>
                <w:bCs/>
                <w:color w:val="auto"/>
                <w:szCs w:val="21"/>
                <w:highlight w:val="none"/>
              </w:rPr>
            </w:pPr>
            <w:r>
              <w:rPr>
                <w:rFonts w:hint="default" w:cs="宋体" w:asciiTheme="minorAscii" w:hAnsiTheme="minorAscii"/>
                <w:bCs/>
                <w:color w:val="auto"/>
                <w:szCs w:val="21"/>
                <w:highlight w:val="none"/>
                <w:lang w:val="en-US" w:eastAsia="zh-CN"/>
              </w:rPr>
              <w:t>2、在调研基础上，</w:t>
            </w:r>
            <w:r>
              <w:rPr>
                <w:rFonts w:hint="eastAsia" w:cs="宋体" w:asciiTheme="minorAscii" w:hAnsiTheme="minorAscii"/>
                <w:bCs/>
                <w:color w:val="auto"/>
                <w:szCs w:val="21"/>
                <w:highlight w:val="none"/>
                <w:lang w:val="en-US" w:eastAsia="zh-CN"/>
              </w:rPr>
              <w:t>梳理分析广西涉农舆情的传播热度、传播主体、传播渠道、年度走势、话题分类等，总结广西“三农”舆论态势总体特点。基于未来一段时期内广西“三农”发展的目标和重点，结合当前全区涉农舆情的现状，探究发现和识别潜在的舆情风险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s="宋体" w:asciiTheme="minorAscii" w:hAnsiTheme="minorAscii"/>
                <w:bCs/>
                <w:color w:val="auto"/>
                <w:szCs w:val="21"/>
                <w:highlight w:val="none"/>
                <w:lang w:val="en-US" w:eastAsia="zh-CN"/>
              </w:rPr>
            </w:pPr>
            <w:r>
              <w:rPr>
                <w:rFonts w:hint="default" w:cs="宋体" w:asciiTheme="minorAscii" w:hAnsiTheme="minorAscii"/>
                <w:bCs/>
                <w:color w:val="auto"/>
                <w:szCs w:val="21"/>
                <w:highlight w:val="none"/>
                <w:lang w:val="en-US" w:eastAsia="zh-CN"/>
              </w:rPr>
              <w:t>3、</w:t>
            </w:r>
            <w:r>
              <w:rPr>
                <w:rFonts w:hint="eastAsia" w:cs="宋体" w:asciiTheme="minorAscii" w:hAnsiTheme="minorAscii"/>
                <w:bCs/>
                <w:color w:val="auto"/>
                <w:szCs w:val="21"/>
                <w:highlight w:val="none"/>
                <w:lang w:val="en-US" w:eastAsia="zh-CN"/>
              </w:rPr>
              <w:t>选择近年来农业农村部、其他省份，重点是广西“三农”领域具有代表性的舆情事件，回溯事件舆情形成、爆发、高峰、反复、消散的过程，深度剖析，审视各级涉农政府部门事业单位为代表的舆情主体在应对和处置突发重大舆情事件中的表现，总结舆情应对的得与失，并提炼形成有效应对舆情的规律性认识。</w:t>
            </w:r>
          </w:p>
          <w:p>
            <w:pPr>
              <w:pStyle w:val="9"/>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cs="宋体" w:asciiTheme="minorAscii" w:hAnsiTheme="minorAscii"/>
                <w:bCs/>
                <w:color w:val="auto"/>
                <w:szCs w:val="21"/>
                <w:highlight w:val="none"/>
                <w:lang w:val="en-US"/>
              </w:rPr>
            </w:pPr>
            <w:r>
              <w:rPr>
                <w:rFonts w:hint="eastAsia" w:cs="宋体" w:asciiTheme="minorAscii" w:hAnsiTheme="minorAscii"/>
                <w:bCs/>
                <w:color w:val="auto"/>
                <w:szCs w:val="21"/>
                <w:highlight w:val="none"/>
                <w:lang w:val="en-US" w:eastAsia="zh-CN"/>
              </w:rPr>
              <w:t>4</w:t>
            </w:r>
            <w:r>
              <w:rPr>
                <w:rFonts w:hint="default" w:cs="宋体" w:asciiTheme="minorAscii" w:hAnsiTheme="minorAscii"/>
                <w:bCs/>
                <w:color w:val="auto"/>
                <w:szCs w:val="21"/>
                <w:highlight w:val="none"/>
                <w:lang w:val="en-US" w:eastAsia="zh-CN"/>
              </w:rPr>
              <w:t>、</w:t>
            </w:r>
            <w:r>
              <w:rPr>
                <w:rFonts w:hint="default" w:cs="宋体" w:asciiTheme="minorAscii" w:hAnsiTheme="minorAscii"/>
                <w:bCs/>
                <w:color w:val="auto"/>
                <w:szCs w:val="21"/>
                <w:highlight w:val="none"/>
              </w:rPr>
              <w:t>阐述</w:t>
            </w:r>
            <w:r>
              <w:rPr>
                <w:rFonts w:hint="eastAsia" w:cs="宋体" w:asciiTheme="minorAscii" w:hAnsiTheme="minorAscii"/>
                <w:bCs/>
                <w:color w:val="auto"/>
                <w:szCs w:val="21"/>
                <w:highlight w:val="none"/>
                <w:lang w:val="en-US" w:eastAsia="zh-CN"/>
              </w:rPr>
              <w:t>广西“三农”重大舆情应对思路方法、</w:t>
            </w:r>
            <w:r>
              <w:rPr>
                <w:rFonts w:hint="default" w:cs="宋体" w:asciiTheme="minorAscii" w:hAnsiTheme="minorAscii"/>
                <w:bCs/>
                <w:color w:val="auto"/>
                <w:szCs w:val="21"/>
                <w:highlight w:val="none"/>
              </w:rPr>
              <w:t>对策建议。</w:t>
            </w:r>
            <w:r>
              <w:rPr>
                <w:rFonts w:hint="eastAsia" w:cs="宋体" w:asciiTheme="minorAscii" w:hAnsiTheme="minorAscii"/>
                <w:bCs/>
                <w:color w:val="auto"/>
                <w:szCs w:val="21"/>
                <w:highlight w:val="none"/>
                <w:lang w:val="en-US" w:eastAsia="zh-CN"/>
              </w:rPr>
              <w:t>包括但不限于</w:t>
            </w:r>
            <w:r>
              <w:rPr>
                <w:rFonts w:hint="eastAsia" w:asciiTheme="minorAscii" w:hAnsiTheme="minorAscii"/>
                <w:color w:val="auto"/>
                <w:highlight w:val="none"/>
                <w:lang w:val="en-US" w:eastAsia="zh-CN"/>
              </w:rPr>
              <w:t>优化提升网络舆情监测预警系统、建立舆情应对专家库、舆情应对工作机制等，形成科学合理的、可操作的重大舆情应对方案。</w:t>
            </w:r>
          </w:p>
          <w:p>
            <w:pPr>
              <w:pStyle w:val="9"/>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inorAscii" w:hAnsiTheme="minorAscii"/>
                <w:color w:val="auto"/>
                <w:highlight w:val="none"/>
              </w:rPr>
            </w:pPr>
            <w:r>
              <w:rPr>
                <w:rFonts w:hint="default" w:asciiTheme="minorAscii" w:hAnsiTheme="minorAscii"/>
                <w:color w:val="auto"/>
                <w:highlight w:val="none"/>
              </w:rPr>
              <w:t>（二）完成《</w:t>
            </w:r>
            <w:r>
              <w:rPr>
                <w:rFonts w:hint="eastAsia" w:eastAsia="宋体" w:cs="宋体" w:asciiTheme="minorAscii" w:hAnsiTheme="minorAscii"/>
                <w:bCs/>
                <w:color w:val="auto"/>
                <w:kern w:val="2"/>
                <w:sz w:val="21"/>
                <w:szCs w:val="21"/>
                <w:highlight w:val="none"/>
                <w:lang w:val="en-US" w:eastAsia="zh-CN" w:bidi="ar-SA"/>
              </w:rPr>
              <w:t>提升广西“三农”舆情能力建设报告</w:t>
            </w:r>
            <w:r>
              <w:rPr>
                <w:rFonts w:hint="default" w:eastAsia="宋体" w:cs="宋体" w:asciiTheme="minorAscii" w:hAnsiTheme="minorAscii"/>
                <w:bCs/>
                <w:color w:val="auto"/>
                <w:kern w:val="2"/>
                <w:sz w:val="21"/>
                <w:szCs w:val="21"/>
                <w:highlight w:val="none"/>
                <w:lang w:val="en-US" w:eastAsia="zh-CN" w:bidi="ar-SA"/>
              </w:rPr>
              <w:t>》</w:t>
            </w:r>
            <w:r>
              <w:rPr>
                <w:rFonts w:hint="default" w:asciiTheme="minorAscii" w:hAnsiTheme="minorAscii"/>
                <w:color w:val="auto"/>
                <w:highlight w:val="none"/>
              </w:rPr>
              <w:t>编写，</w:t>
            </w:r>
            <w:r>
              <w:rPr>
                <w:rFonts w:hint="eastAsia" w:asciiTheme="minorAscii" w:hAnsiTheme="minorAscii"/>
                <w:color w:val="auto"/>
                <w:highlight w:val="none"/>
                <w:lang w:val="en-US" w:eastAsia="zh-CN"/>
              </w:rPr>
              <w:t>内容</w:t>
            </w:r>
            <w:r>
              <w:rPr>
                <w:rFonts w:hint="default" w:asciiTheme="minorAscii" w:hAnsiTheme="minorAscii"/>
                <w:color w:val="auto"/>
                <w:highlight w:val="none"/>
              </w:rPr>
              <w:t>包括但不限于：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eastAsia="宋体" w:cs="宋体" w:asciiTheme="minorAscii" w:hAnsiTheme="minorAscii"/>
                <w:bCs/>
                <w:color w:val="auto"/>
                <w:szCs w:val="21"/>
                <w:highlight w:val="none"/>
                <w:lang w:val="en-US" w:eastAsia="zh-CN"/>
              </w:rPr>
            </w:pPr>
            <w:r>
              <w:rPr>
                <w:rFonts w:hint="default" w:cs="宋体" w:asciiTheme="minorAscii" w:hAnsiTheme="minorAscii"/>
                <w:bCs/>
                <w:color w:val="auto"/>
                <w:szCs w:val="21"/>
                <w:highlight w:val="none"/>
                <w:lang w:val="en-US" w:eastAsia="zh-CN"/>
              </w:rPr>
              <w:t>1、</w:t>
            </w:r>
            <w:r>
              <w:rPr>
                <w:rFonts w:hint="eastAsia" w:cs="宋体" w:asciiTheme="minorAscii" w:hAnsiTheme="minorAscii"/>
                <w:bCs/>
                <w:color w:val="auto"/>
                <w:szCs w:val="21"/>
                <w:highlight w:val="none"/>
                <w:lang w:val="en-US" w:eastAsia="zh-CN"/>
              </w:rPr>
              <w:t>对广西农业农村厅及市县农业农村部门舆情工作基础进行调研</w:t>
            </w:r>
            <w:r>
              <w:rPr>
                <w:rFonts w:hint="default" w:asciiTheme="minorAscii" w:hAnsiTheme="minorAscii"/>
                <w:color w:val="auto"/>
                <w:highlight w:val="none"/>
                <w:lang w:eastAsia="zh-CN"/>
              </w:rPr>
              <w:t>。</w:t>
            </w:r>
          </w:p>
          <w:p>
            <w:pPr>
              <w:pStyle w:val="9"/>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Ascii" w:hAnsiTheme="minorAscii"/>
                <w:color w:val="auto"/>
                <w:highlight w:val="none"/>
                <w:lang w:val="en-US" w:eastAsia="zh-CN"/>
              </w:rPr>
            </w:pPr>
            <w:r>
              <w:rPr>
                <w:rFonts w:hint="default" w:asciiTheme="minorAscii" w:hAnsiTheme="minorAscii"/>
                <w:color w:val="auto"/>
                <w:highlight w:val="none"/>
                <w:lang w:val="en-US" w:eastAsia="zh-CN"/>
              </w:rPr>
              <w:t>2</w:t>
            </w:r>
            <w:r>
              <w:rPr>
                <w:rFonts w:hint="default" w:asciiTheme="minorAscii" w:hAnsiTheme="minorAscii"/>
                <w:color w:val="auto"/>
                <w:highlight w:val="none"/>
              </w:rPr>
              <w:t>、</w:t>
            </w:r>
            <w:r>
              <w:rPr>
                <w:rFonts w:hint="eastAsia" w:eastAsia="宋体" w:cs="宋体" w:asciiTheme="minorAscii" w:hAnsiTheme="minorAscii"/>
                <w:bCs/>
                <w:color w:val="auto"/>
                <w:kern w:val="2"/>
                <w:sz w:val="21"/>
                <w:szCs w:val="21"/>
                <w:highlight w:val="none"/>
                <w:lang w:val="en-US" w:eastAsia="zh-CN" w:bidi="ar-SA"/>
              </w:rPr>
              <w:t>研究建立健全广西“三农”网络舆情应对的工作机制。</w:t>
            </w:r>
            <w:r>
              <w:rPr>
                <w:rFonts w:hint="eastAsia" w:asciiTheme="minorAscii" w:hAnsiTheme="minorAscii"/>
                <w:color w:val="auto"/>
                <w:highlight w:val="none"/>
                <w:lang w:val="en-US" w:eastAsia="zh-CN"/>
              </w:rPr>
              <w:t>根据广西“三农”网络舆情的特点，针对政府应对的痛点和风险点，从舆情事件管理全流程入手，根据全区涉农舆情职能管理体系，设计“三农”网络舆情应对的工作框架。制定应急预案，明确应对网络舆情突发事件的流程、措施和责任分工；提出反馈评估方案，在舆情应对结束后，对整个应对过程进行评估和反馈，对应对策略的有效性进行评估，总结经验教训，发现问题和不足，并提出改进措施和建议，促进应对机制的持续改进和优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inorAscii" w:hAnsiTheme="minorAscii"/>
                <w:color w:val="auto"/>
                <w:highlight w:val="none"/>
              </w:rPr>
            </w:pPr>
            <w:r>
              <w:rPr>
                <w:rFonts w:hint="default" w:cs="宋体" w:asciiTheme="minorAscii" w:hAnsiTheme="minorAscii"/>
                <w:bCs/>
                <w:color w:val="auto"/>
                <w:szCs w:val="21"/>
                <w:highlight w:val="none"/>
                <w:lang w:val="en-US" w:eastAsia="zh-CN"/>
              </w:rPr>
              <w:t>3、</w:t>
            </w:r>
            <w:r>
              <w:rPr>
                <w:rFonts w:hint="eastAsia" w:cs="宋体" w:asciiTheme="minorAscii" w:hAnsiTheme="minorAscii"/>
                <w:bCs/>
                <w:color w:val="auto"/>
                <w:szCs w:val="21"/>
                <w:highlight w:val="none"/>
                <w:lang w:val="en-US" w:eastAsia="zh-CN"/>
              </w:rPr>
              <w:t>研究构建广西“三农”舆论引导网评工作机制。研究构建舆情事件舆论引导区市县三级网评员体系组织架构，明确主要目标、工作职责等，建立管理体系，包括任务发放、专业培训、效果评估、激励机制等，研究构建网评员工作机制与流程。</w:t>
            </w:r>
          </w:p>
          <w:p>
            <w:pPr>
              <w:pStyle w:val="9"/>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Ascii" w:hAnsiTheme="minorAscii"/>
                <w:color w:val="auto"/>
                <w:highlight w:val="none"/>
                <w:lang w:val="en-US" w:eastAsia="zh-CN"/>
              </w:rPr>
            </w:pPr>
            <w:r>
              <w:rPr>
                <w:rFonts w:hint="default" w:asciiTheme="minorAscii" w:hAnsiTheme="minorAscii"/>
                <w:color w:val="auto"/>
                <w:highlight w:val="none"/>
                <w:lang w:val="en-US" w:eastAsia="zh-CN"/>
              </w:rPr>
              <w:t>4、</w:t>
            </w:r>
            <w:r>
              <w:rPr>
                <w:rFonts w:hint="eastAsia" w:asciiTheme="minorAscii" w:hAnsiTheme="minorAscii"/>
                <w:color w:val="auto"/>
                <w:highlight w:val="none"/>
                <w:lang w:val="en-US" w:eastAsia="zh-CN"/>
              </w:rPr>
              <w:t>研究构建广西“三农”舆情能力体系。基于广西“三农”网络舆情传播特点及热点事件舆情应对案例的成败经验分析，探索研究构建“三农”舆情能力体系的构成要素，并分析广西在每一要素方面的成绩与不足、长项与短板，进而有针对性地提出加强能力建设的重点与措施。</w:t>
            </w:r>
          </w:p>
          <w:p>
            <w:pPr>
              <w:pStyle w:val="9"/>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default" w:asciiTheme="minorAscii" w:hAnsiTheme="minorAscii"/>
                <w:color w:val="auto"/>
                <w:highlight w:val="none"/>
              </w:rPr>
            </w:pPr>
            <w:r>
              <w:rPr>
                <w:rFonts w:hint="eastAsia" w:asciiTheme="minorAscii" w:hAnsiTheme="minorAscii"/>
                <w:color w:val="auto"/>
                <w:highlight w:val="none"/>
                <w:lang w:val="en-US" w:eastAsia="zh-CN"/>
              </w:rPr>
              <w:t>5、</w:t>
            </w:r>
            <w:r>
              <w:rPr>
                <w:rFonts w:hint="default" w:asciiTheme="minorAscii" w:hAnsiTheme="minorAscii"/>
                <w:color w:val="auto"/>
                <w:highlight w:val="none"/>
              </w:rPr>
              <w:t>提出</w:t>
            </w:r>
            <w:r>
              <w:rPr>
                <w:rFonts w:hint="eastAsia" w:asciiTheme="minorAscii" w:hAnsiTheme="minorAscii"/>
                <w:color w:val="auto"/>
                <w:highlight w:val="none"/>
                <w:lang w:val="en-US" w:eastAsia="zh-CN"/>
              </w:rPr>
              <w:t>提升</w:t>
            </w:r>
            <w:r>
              <w:rPr>
                <w:rFonts w:hint="default" w:asciiTheme="minorAscii" w:hAnsiTheme="minorAscii"/>
                <w:color w:val="auto"/>
                <w:highlight w:val="none"/>
              </w:rPr>
              <w:t>广西</w:t>
            </w:r>
            <w:r>
              <w:rPr>
                <w:rFonts w:hint="eastAsia" w:asciiTheme="minorAscii" w:hAnsiTheme="minorAscii"/>
                <w:color w:val="auto"/>
                <w:highlight w:val="none"/>
                <w:lang w:eastAsia="zh-CN"/>
              </w:rPr>
              <w:t>“</w:t>
            </w:r>
            <w:r>
              <w:rPr>
                <w:rFonts w:hint="eastAsia" w:asciiTheme="minorAscii" w:hAnsiTheme="minorAscii"/>
                <w:color w:val="auto"/>
                <w:highlight w:val="none"/>
                <w:lang w:val="en-US" w:eastAsia="zh-CN"/>
              </w:rPr>
              <w:t>三农</w:t>
            </w:r>
            <w:r>
              <w:rPr>
                <w:rFonts w:hint="eastAsia" w:asciiTheme="minorAscii" w:hAnsiTheme="minorAscii"/>
                <w:color w:val="auto"/>
                <w:highlight w:val="none"/>
                <w:lang w:eastAsia="zh-CN"/>
              </w:rPr>
              <w:t>”</w:t>
            </w:r>
            <w:r>
              <w:rPr>
                <w:rFonts w:hint="eastAsia" w:asciiTheme="minorAscii" w:hAnsiTheme="minorAscii"/>
                <w:color w:val="auto"/>
                <w:highlight w:val="none"/>
                <w:lang w:val="en-US" w:eastAsia="zh-CN"/>
              </w:rPr>
              <w:t>舆情能力建设的意见建议。</w:t>
            </w:r>
            <w:r>
              <w:rPr>
                <w:rFonts w:hint="default" w:asciiTheme="minorAscii" w:hAnsiTheme="minorAscii"/>
                <w:color w:val="auto"/>
                <w:highlight w:val="none"/>
              </w:rPr>
              <w:t>通过加强组织领导、强化</w:t>
            </w:r>
            <w:r>
              <w:rPr>
                <w:rFonts w:hint="eastAsia" w:asciiTheme="minorAscii" w:hAnsiTheme="minorAscii"/>
                <w:color w:val="auto"/>
                <w:highlight w:val="none"/>
                <w:lang w:eastAsia="zh-CN"/>
              </w:rPr>
              <w:t>体系</w:t>
            </w:r>
            <w:r>
              <w:rPr>
                <w:rFonts w:hint="default" w:asciiTheme="minorAscii" w:hAnsiTheme="minorAscii"/>
                <w:color w:val="auto"/>
                <w:highlight w:val="none"/>
              </w:rPr>
              <w:t>建设</w:t>
            </w:r>
            <w:r>
              <w:rPr>
                <w:rFonts w:hint="eastAsia" w:asciiTheme="minorAscii" w:hAnsiTheme="minorAscii"/>
                <w:color w:val="auto"/>
                <w:highlight w:val="none"/>
                <w:lang w:eastAsia="zh-CN"/>
              </w:rPr>
              <w:t>和专业培训</w:t>
            </w:r>
            <w:r>
              <w:rPr>
                <w:rFonts w:hint="default" w:asciiTheme="minorAscii" w:hAnsiTheme="minorAscii"/>
                <w:color w:val="auto"/>
                <w:highlight w:val="none"/>
              </w:rPr>
              <w:t>、</w:t>
            </w:r>
            <w:r>
              <w:rPr>
                <w:rFonts w:hint="eastAsia" w:asciiTheme="minorAscii" w:hAnsiTheme="minorAscii"/>
                <w:color w:val="auto"/>
                <w:highlight w:val="none"/>
                <w:lang w:eastAsia="zh-CN"/>
              </w:rPr>
              <w:t>完善舆情监测研判和应对工作机制、提升舆情监测分析技术支撑能力</w:t>
            </w:r>
            <w:r>
              <w:rPr>
                <w:rFonts w:hint="default" w:asciiTheme="minorAscii" w:hAnsiTheme="minorAscii"/>
                <w:color w:val="auto"/>
                <w:highlight w:val="none"/>
              </w:rPr>
              <w:t>等方式实现</w:t>
            </w:r>
            <w:r>
              <w:rPr>
                <w:rFonts w:hint="eastAsia" w:asciiTheme="minorAscii" w:hAnsiTheme="minorAscii"/>
                <w:color w:val="auto"/>
                <w:highlight w:val="none"/>
                <w:lang w:val="en-US" w:eastAsia="zh-CN"/>
              </w:rPr>
              <w:t>广西“三农”舆情能力整体性提升</w:t>
            </w:r>
            <w:r>
              <w:rPr>
                <w:rFonts w:hint="default" w:asciiTheme="minorAscii" w:hAnsiTheme="minorAscii"/>
                <w:color w:val="auto"/>
                <w:highlight w:val="none"/>
              </w:rPr>
              <w:t>。</w:t>
            </w:r>
          </w:p>
          <w:p>
            <w:pPr>
              <w:pStyle w:val="9"/>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Theme="minorAscii" w:hAnsiTheme="minorAscii"/>
                <w:color w:val="auto"/>
                <w:highlight w:val="none"/>
                <w:lang w:val="en-US" w:eastAsia="zh-CN"/>
              </w:rPr>
            </w:pPr>
            <w:r>
              <w:rPr>
                <w:rFonts w:hint="eastAsia" w:asciiTheme="minorAscii" w:hAnsiTheme="minorAscii"/>
                <w:color w:val="auto"/>
                <w:highlight w:val="none"/>
                <w:lang w:eastAsia="zh-CN"/>
              </w:rPr>
              <w:t>（</w:t>
            </w:r>
            <w:r>
              <w:rPr>
                <w:rFonts w:hint="eastAsia" w:asciiTheme="minorAscii" w:hAnsiTheme="minorAscii"/>
                <w:color w:val="auto"/>
                <w:highlight w:val="none"/>
                <w:lang w:val="en-US" w:eastAsia="zh-CN"/>
              </w:rPr>
              <w:t>三</w:t>
            </w:r>
            <w:r>
              <w:rPr>
                <w:rFonts w:hint="eastAsia" w:asciiTheme="minorAscii" w:hAnsiTheme="minorAscii"/>
                <w:color w:val="auto"/>
                <w:highlight w:val="none"/>
                <w:lang w:eastAsia="zh-CN"/>
              </w:rPr>
              <w:t>）</w:t>
            </w:r>
            <w:r>
              <w:rPr>
                <w:rFonts w:hint="eastAsia" w:asciiTheme="minorAscii" w:hAnsiTheme="minorAscii"/>
                <w:color w:val="auto"/>
                <w:highlight w:val="none"/>
                <w:lang w:val="en-US" w:eastAsia="zh-CN"/>
              </w:rPr>
              <w:t>完成《决策参考报告》编写。</w:t>
            </w:r>
          </w:p>
          <w:p>
            <w:pPr>
              <w:pStyle w:val="9"/>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default" w:asciiTheme="minorAscii" w:hAnsiTheme="minorAscii"/>
                <w:color w:val="auto"/>
                <w:highlight w:val="none"/>
                <w:lang w:val="en-US" w:eastAsia="zh-CN"/>
              </w:rPr>
            </w:pPr>
            <w:r>
              <w:rPr>
                <w:rFonts w:hint="eastAsia" w:asciiTheme="minorAscii" w:hAnsiTheme="minorAscii"/>
                <w:color w:val="auto"/>
                <w:highlight w:val="none"/>
                <w:lang w:val="en-US" w:eastAsia="zh-CN"/>
              </w:rPr>
              <w:t>以</w:t>
            </w:r>
            <w:r>
              <w:rPr>
                <w:rFonts w:hint="default" w:asciiTheme="minorAscii" w:hAnsiTheme="minorAscii"/>
                <w:color w:val="auto"/>
                <w:highlight w:val="none"/>
              </w:rPr>
              <w:t>《</w:t>
            </w:r>
            <w:r>
              <w:rPr>
                <w:rFonts w:hint="eastAsia" w:eastAsia="宋体" w:cs="宋体" w:asciiTheme="minorAscii" w:hAnsiTheme="minorAscii"/>
                <w:bCs/>
                <w:color w:val="auto"/>
                <w:kern w:val="2"/>
                <w:sz w:val="21"/>
                <w:szCs w:val="21"/>
                <w:highlight w:val="none"/>
                <w:lang w:val="en-US" w:eastAsia="zh-CN" w:bidi="ar-SA"/>
              </w:rPr>
              <w:t>提升广西“三农”舆情能力建设报告</w:t>
            </w:r>
            <w:r>
              <w:rPr>
                <w:rFonts w:hint="default" w:asciiTheme="minorAscii" w:hAnsiTheme="minorAscii"/>
                <w:color w:val="auto"/>
                <w:highlight w:val="none"/>
              </w:rPr>
              <w:t>》</w:t>
            </w:r>
            <w:r>
              <w:rPr>
                <w:rFonts w:hint="eastAsia" w:asciiTheme="minorAscii" w:hAnsiTheme="minorAscii"/>
                <w:color w:val="auto"/>
                <w:highlight w:val="none"/>
                <w:lang w:val="en-US" w:eastAsia="zh-CN"/>
              </w:rPr>
              <w:t>为基础，精简成供决策参考的报告。</w:t>
            </w:r>
          </w:p>
          <w:p>
            <w:pPr>
              <w:pStyle w:val="9"/>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default" w:asciiTheme="minorAscii" w:hAnsiTheme="minorAscii"/>
                <w:b/>
                <w:bCs/>
                <w:color w:val="auto"/>
                <w:highlight w:val="none"/>
              </w:rPr>
            </w:pPr>
            <w:r>
              <w:rPr>
                <w:rFonts w:hint="default" w:asciiTheme="minorAscii" w:hAnsiTheme="minorAscii"/>
                <w:b/>
                <w:bCs/>
                <w:color w:val="auto"/>
                <w:highlight w:val="none"/>
              </w:rPr>
              <w:t>三、成果要求</w:t>
            </w:r>
          </w:p>
          <w:p>
            <w:pPr>
              <w:pStyle w:val="9"/>
              <w:spacing w:line="360" w:lineRule="auto"/>
              <w:ind w:firstLine="420" w:firstLineChars="200"/>
              <w:rPr>
                <w:rFonts w:hint="default" w:asciiTheme="minorAscii" w:hAnsiTheme="minorAscii"/>
                <w:color w:val="auto"/>
                <w:highlight w:val="none"/>
              </w:rPr>
            </w:pPr>
            <w:r>
              <w:rPr>
                <w:rFonts w:hint="default" w:asciiTheme="minorAscii" w:hAnsiTheme="minorAscii"/>
                <w:color w:val="auto"/>
                <w:highlight w:val="none"/>
              </w:rPr>
              <w:t>研究报告采用PDF和WORD格式文件，纸质版文本1份，电子文档1份；课题研究报告（不少于10000字），报告简版（约5000字）。</w:t>
            </w:r>
          </w:p>
          <w:p>
            <w:pPr>
              <w:pStyle w:val="9"/>
              <w:spacing w:line="360" w:lineRule="auto"/>
              <w:ind w:firstLine="0"/>
              <w:rPr>
                <w:rFonts w:hint="default" w:asciiTheme="minorAscii" w:hAnsiTheme="minorAscii"/>
                <w:b/>
                <w:bCs/>
                <w:color w:val="auto"/>
                <w:highlight w:val="none"/>
              </w:rPr>
            </w:pPr>
            <w:r>
              <w:rPr>
                <w:rFonts w:hint="default" w:asciiTheme="minorAscii" w:hAnsiTheme="minorAscii"/>
                <w:b/>
                <w:bCs/>
                <w:color w:val="auto"/>
                <w:highlight w:val="none"/>
              </w:rPr>
              <w:t>四、人员要求</w:t>
            </w:r>
          </w:p>
          <w:p>
            <w:pPr>
              <w:pStyle w:val="9"/>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Ascii" w:hAnsiTheme="minorAscii"/>
                <w:color w:val="auto"/>
                <w:highlight w:val="none"/>
                <w:lang w:val="en-US" w:eastAsia="zh-CN"/>
              </w:rPr>
            </w:pPr>
            <w:r>
              <w:rPr>
                <w:rFonts w:hint="eastAsia" w:asciiTheme="minorAscii" w:hAnsiTheme="minorAscii"/>
                <w:color w:val="auto"/>
                <w:highlight w:val="none"/>
                <w:lang w:val="en-US" w:eastAsia="zh-CN"/>
              </w:rPr>
              <w:t>▲课题组成员数量不少于5人，并具有涉农舆情研究课题研究经验或舆情分析师资格。（供应商必须在响应文件中提供相关证书材料复印件并加盖供应商公章，否则磋商响应无效。）</w:t>
            </w:r>
          </w:p>
          <w:p>
            <w:pPr>
              <w:pStyle w:val="9"/>
              <w:spacing w:line="360" w:lineRule="auto"/>
              <w:ind w:firstLine="0"/>
              <w:rPr>
                <w:rFonts w:hint="default" w:asciiTheme="minorAscii" w:hAnsiTheme="minorAscii"/>
                <w:b/>
                <w:bCs/>
                <w:color w:val="auto"/>
                <w:highlight w:val="none"/>
              </w:rPr>
            </w:pPr>
            <w:r>
              <w:rPr>
                <w:rFonts w:hint="default" w:asciiTheme="minorAscii" w:hAnsiTheme="minorAscii"/>
                <w:b/>
                <w:bCs/>
                <w:color w:val="auto"/>
                <w:highlight w:val="none"/>
              </w:rPr>
              <w:t>五、成果交付时间</w:t>
            </w:r>
          </w:p>
          <w:p>
            <w:pPr>
              <w:pStyle w:val="9"/>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inorAscii" w:hAnsiTheme="minorAscii"/>
                <w:color w:val="auto"/>
                <w:highlight w:val="none"/>
              </w:rPr>
            </w:pPr>
            <w:r>
              <w:rPr>
                <w:rFonts w:hint="default" w:asciiTheme="minorAscii" w:hAnsiTheme="minorAscii"/>
                <w:color w:val="auto"/>
                <w:highlight w:val="none"/>
              </w:rPr>
              <w:t>1、</w:t>
            </w:r>
            <w:r>
              <w:rPr>
                <w:rFonts w:hint="eastAsia" w:asciiTheme="minorAscii" w:hAnsiTheme="minorAscii"/>
                <w:color w:val="auto"/>
                <w:highlight w:val="none"/>
                <w:lang w:val="en-US" w:eastAsia="zh-CN"/>
              </w:rPr>
              <w:t>自合同签订之日起9个月</w:t>
            </w:r>
            <w:r>
              <w:rPr>
                <w:rFonts w:hint="default" w:asciiTheme="minorAscii" w:hAnsiTheme="minorAscii"/>
                <w:color w:val="auto"/>
                <w:highlight w:val="none"/>
              </w:rPr>
              <w:t>，</w:t>
            </w:r>
            <w:r>
              <w:rPr>
                <w:rFonts w:hint="default" w:asciiTheme="minorAscii" w:hAnsiTheme="minorAscii"/>
                <w:color w:val="auto"/>
                <w:highlight w:val="none"/>
                <w:lang w:eastAsia="zh-CN"/>
              </w:rPr>
              <w:t>供应商</w:t>
            </w:r>
            <w:r>
              <w:rPr>
                <w:rFonts w:hint="default" w:asciiTheme="minorAscii" w:hAnsiTheme="minorAscii"/>
                <w:color w:val="auto"/>
                <w:highlight w:val="none"/>
              </w:rPr>
              <w:t>应编制形成《</w:t>
            </w:r>
            <w:r>
              <w:rPr>
                <w:rFonts w:hint="eastAsia" w:asciiTheme="minorAscii" w:hAnsiTheme="minorAscii"/>
                <w:color w:val="auto"/>
                <w:highlight w:val="none"/>
                <w:lang w:val="en-US" w:eastAsia="zh-CN"/>
              </w:rPr>
              <w:t>广西“三农”重大舆情处置方案</w:t>
            </w:r>
            <w:r>
              <w:rPr>
                <w:rFonts w:hint="eastAsia" w:ascii="宋体" w:hAnsi="宋体" w:eastAsia="宋体" w:cs="宋体"/>
                <w:color w:val="auto"/>
                <w:highlight w:val="none"/>
              </w:rPr>
              <w:t>》</w:t>
            </w:r>
            <w:r>
              <w:rPr>
                <w:rFonts w:hint="eastAsia" w:ascii="宋体" w:hAnsi="宋体" w:cs="宋体"/>
                <w:color w:val="auto"/>
                <w:highlight w:val="none"/>
                <w:lang w:eastAsia="zh-CN"/>
              </w:rPr>
              <w:t>、</w:t>
            </w:r>
            <w:r>
              <w:rPr>
                <w:rFonts w:hint="default" w:asciiTheme="minorAscii" w:hAnsiTheme="minorAscii"/>
                <w:color w:val="auto"/>
                <w:highlight w:val="none"/>
              </w:rPr>
              <w:t>《</w:t>
            </w:r>
            <w:r>
              <w:rPr>
                <w:rFonts w:hint="eastAsia" w:eastAsia="宋体" w:cs="宋体" w:asciiTheme="minorAscii" w:hAnsiTheme="minorAscii"/>
                <w:bCs/>
                <w:color w:val="auto"/>
                <w:kern w:val="2"/>
                <w:sz w:val="21"/>
                <w:szCs w:val="21"/>
                <w:highlight w:val="none"/>
                <w:lang w:val="en-US" w:eastAsia="zh-CN" w:bidi="ar-SA"/>
              </w:rPr>
              <w:t>提升广西“三农”舆情能力建设报告</w:t>
            </w:r>
            <w:r>
              <w:rPr>
                <w:rFonts w:hint="default" w:asciiTheme="minorAscii" w:hAnsiTheme="minorAscii"/>
                <w:color w:val="auto"/>
                <w:highlight w:val="none"/>
              </w:rPr>
              <w:t>》成果初稿，提交</w:t>
            </w:r>
            <w:r>
              <w:rPr>
                <w:rFonts w:hint="default" w:asciiTheme="minorAscii" w:hAnsiTheme="minorAscii"/>
                <w:color w:val="auto"/>
                <w:highlight w:val="none"/>
                <w:lang w:eastAsia="zh-CN"/>
              </w:rPr>
              <w:t>采购人</w:t>
            </w:r>
            <w:r>
              <w:rPr>
                <w:rFonts w:hint="default" w:asciiTheme="minorAscii" w:hAnsiTheme="minorAscii"/>
                <w:color w:val="auto"/>
                <w:highlight w:val="none"/>
              </w:rPr>
              <w:t>研究并反馈意见。</w:t>
            </w:r>
          </w:p>
          <w:p>
            <w:pPr>
              <w:pStyle w:val="9"/>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eastAsia="宋体" w:asciiTheme="minorAscii" w:hAnsiTheme="minorAscii"/>
                <w:color w:val="auto"/>
                <w:highlight w:val="none"/>
                <w:lang w:val="en-US" w:eastAsia="zh-CN"/>
              </w:rPr>
            </w:pPr>
            <w:r>
              <w:rPr>
                <w:rFonts w:hint="eastAsia" w:asciiTheme="minorAscii" w:hAnsiTheme="minorAscii"/>
                <w:color w:val="auto"/>
                <w:highlight w:val="none"/>
                <w:lang w:val="en-US" w:eastAsia="zh-CN"/>
              </w:rPr>
              <w:t>2</w:t>
            </w:r>
            <w:r>
              <w:rPr>
                <w:rFonts w:hint="default" w:asciiTheme="minorAscii" w:hAnsiTheme="minorAscii"/>
                <w:color w:val="auto"/>
                <w:highlight w:val="none"/>
              </w:rPr>
              <w:t>、</w:t>
            </w:r>
            <w:r>
              <w:rPr>
                <w:rFonts w:hint="eastAsia" w:asciiTheme="minorAscii" w:hAnsiTheme="minorAscii"/>
                <w:color w:val="auto"/>
                <w:highlight w:val="none"/>
                <w:lang w:val="en-US" w:eastAsia="zh-CN"/>
              </w:rPr>
              <w:t>自合同签订之日起10个月</w:t>
            </w:r>
            <w:r>
              <w:rPr>
                <w:rFonts w:hint="default" w:asciiTheme="minorAscii" w:hAnsiTheme="minorAscii"/>
                <w:color w:val="auto"/>
                <w:highlight w:val="none"/>
              </w:rPr>
              <w:t>，</w:t>
            </w:r>
            <w:r>
              <w:rPr>
                <w:rFonts w:hint="default" w:asciiTheme="minorAscii" w:hAnsiTheme="minorAscii"/>
                <w:color w:val="auto"/>
                <w:highlight w:val="none"/>
                <w:lang w:eastAsia="zh-CN"/>
              </w:rPr>
              <w:t>供应商</w:t>
            </w:r>
            <w:r>
              <w:rPr>
                <w:rFonts w:hint="default" w:asciiTheme="minorAscii" w:hAnsiTheme="minorAscii"/>
                <w:color w:val="auto"/>
                <w:highlight w:val="none"/>
              </w:rPr>
              <w:t>应根据</w:t>
            </w:r>
            <w:r>
              <w:rPr>
                <w:rFonts w:hint="eastAsia" w:asciiTheme="minorAscii" w:hAnsiTheme="minorAscii"/>
                <w:color w:val="auto"/>
                <w:highlight w:val="none"/>
                <w:lang w:val="en-US" w:eastAsia="zh-CN"/>
              </w:rPr>
              <w:t>采购人修改意见修改完善后再次提交采购人研究并反馈意见。</w:t>
            </w:r>
          </w:p>
          <w:p>
            <w:pPr>
              <w:pStyle w:val="3"/>
              <w:tabs>
                <w:tab w:val="left" w:pos="2020"/>
                <w:tab w:val="center" w:pos="4535"/>
              </w:tabs>
              <w:snapToGrid w:val="0"/>
              <w:spacing w:line="360" w:lineRule="auto"/>
              <w:ind w:firstLine="420" w:firstLineChars="200"/>
              <w:rPr>
                <w:rFonts w:hint="eastAsia" w:ascii="宋体" w:hAnsi="宋体" w:eastAsia="宋体" w:cs="宋体"/>
                <w:color w:val="auto"/>
                <w:sz w:val="21"/>
                <w:szCs w:val="21"/>
                <w:highlight w:val="none"/>
              </w:rPr>
            </w:pPr>
            <w:r>
              <w:rPr>
                <w:rFonts w:hint="eastAsia" w:asciiTheme="minorAscii" w:hAnsiTheme="minorAscii"/>
                <w:color w:val="auto"/>
                <w:highlight w:val="none"/>
                <w:lang w:val="en-US" w:eastAsia="zh-CN"/>
              </w:rPr>
              <w:t>3、自合同签订之日起12个月，供应商应编制形成《广西“三农”重大舆情处置方案</w:t>
            </w:r>
            <w:r>
              <w:rPr>
                <w:rFonts w:hint="eastAsia" w:ascii="宋体" w:hAnsi="宋体" w:eastAsia="宋体" w:cs="宋体"/>
                <w:color w:val="auto"/>
                <w:highlight w:val="none"/>
              </w:rPr>
              <w:t>》</w:t>
            </w:r>
            <w:r>
              <w:rPr>
                <w:rFonts w:hint="eastAsia" w:ascii="宋体" w:hAnsi="宋体" w:cs="宋体"/>
                <w:color w:val="auto"/>
                <w:highlight w:val="none"/>
                <w:lang w:eastAsia="zh-CN"/>
              </w:rPr>
              <w:t>、</w:t>
            </w:r>
            <w:r>
              <w:rPr>
                <w:rFonts w:hint="default" w:asciiTheme="minorAscii" w:hAnsiTheme="minorAscii"/>
                <w:color w:val="auto"/>
                <w:highlight w:val="none"/>
              </w:rPr>
              <w:t>《</w:t>
            </w:r>
            <w:r>
              <w:rPr>
                <w:rFonts w:hint="eastAsia" w:eastAsia="宋体" w:cs="宋体" w:asciiTheme="minorAscii" w:hAnsiTheme="minorAscii"/>
                <w:bCs/>
                <w:color w:val="auto"/>
                <w:kern w:val="2"/>
                <w:sz w:val="21"/>
                <w:szCs w:val="21"/>
                <w:highlight w:val="none"/>
                <w:lang w:val="en-US" w:eastAsia="zh-CN" w:bidi="ar-SA"/>
              </w:rPr>
              <w:t>提升广西“三农”舆情能力建设报告</w:t>
            </w:r>
            <w:r>
              <w:rPr>
                <w:rFonts w:hint="default" w:asciiTheme="minorAscii" w:hAnsiTheme="minorAscii"/>
                <w:color w:val="auto"/>
                <w:highlight w:val="none"/>
              </w:rPr>
              <w:t>》</w:t>
            </w:r>
            <w:r>
              <w:rPr>
                <w:rFonts w:hint="eastAsia" w:asciiTheme="minorAscii" w:hAnsiTheme="minorAscii"/>
                <w:color w:val="auto"/>
                <w:highlight w:val="none"/>
                <w:lang w:eastAsia="zh-CN"/>
              </w:rPr>
              <w:t>、《</w:t>
            </w:r>
            <w:r>
              <w:rPr>
                <w:rFonts w:hint="eastAsia" w:asciiTheme="minorAscii" w:hAnsiTheme="minorAscii"/>
                <w:color w:val="auto"/>
                <w:highlight w:val="none"/>
                <w:lang w:val="en-US" w:eastAsia="zh-CN"/>
              </w:rPr>
              <w:t>决策参考报告</w:t>
            </w:r>
            <w:r>
              <w:rPr>
                <w:rFonts w:hint="eastAsia" w:asciiTheme="minorAscii" w:hAnsiTheme="minorAscii"/>
                <w:color w:val="auto"/>
                <w:highlight w:val="none"/>
                <w:lang w:eastAsia="zh-CN"/>
              </w:rPr>
              <w:t>》</w:t>
            </w:r>
            <w:r>
              <w:rPr>
                <w:rFonts w:hint="eastAsia" w:asciiTheme="minorAscii" w:hAnsiTheme="minorAscii"/>
                <w:color w:val="auto"/>
                <w:highlight w:val="none"/>
                <w:lang w:val="en-US" w:eastAsia="zh-CN"/>
              </w:rPr>
              <w:t>成果终稿提交至采购人，并出具两篇</w:t>
            </w:r>
            <w:r>
              <w:rPr>
                <w:rFonts w:hint="default" w:cs="宋体" w:asciiTheme="minorAscii" w:hAnsiTheme="minorAscii"/>
                <w:bCs/>
                <w:color w:val="auto"/>
                <w:szCs w:val="21"/>
                <w:highlight w:val="none"/>
              </w:rPr>
              <w:t>课题</w:t>
            </w:r>
            <w:r>
              <w:rPr>
                <w:rFonts w:hint="eastAsia" w:cs="宋体" w:asciiTheme="minorAscii" w:hAnsiTheme="minorAscii"/>
                <w:bCs/>
                <w:color w:val="auto"/>
                <w:szCs w:val="21"/>
                <w:highlight w:val="none"/>
                <w:lang w:val="en-US" w:eastAsia="zh-CN"/>
              </w:rPr>
              <w:t>研究报告，需</w:t>
            </w:r>
            <w:r>
              <w:rPr>
                <w:rFonts w:hint="default" w:cs="宋体" w:asciiTheme="minorAscii" w:hAnsiTheme="minorAscii"/>
                <w:bCs/>
                <w:color w:val="auto"/>
                <w:szCs w:val="21"/>
                <w:highlight w:val="none"/>
                <w:lang w:val="en-US" w:eastAsia="zh-CN"/>
              </w:rPr>
              <w:t>达到国内期刊发表水平，</w:t>
            </w:r>
            <w:r>
              <w:rPr>
                <w:rFonts w:hint="eastAsia" w:cs="宋体" w:asciiTheme="minorAscii" w:hAnsiTheme="minorAscii"/>
                <w:bCs/>
                <w:color w:val="auto"/>
                <w:szCs w:val="21"/>
                <w:highlight w:val="none"/>
                <w:lang w:val="en-US" w:eastAsia="zh-CN"/>
              </w:rPr>
              <w:t>最后由采购人组织专家对课题研究成果进行评审验收。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714" w:type="dxa"/>
            <w:gridSpan w:val="6"/>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商务要求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100" w:type="dxa"/>
            <w:gridSpan w:val="2"/>
            <w:tcBorders>
              <w:top w:val="single" w:color="auto" w:sz="4" w:space="0"/>
              <w:left w:val="single" w:color="auto" w:sz="4" w:space="0"/>
              <w:bottom w:val="single" w:color="auto" w:sz="4" w:space="0"/>
              <w:right w:val="single" w:color="auto" w:sz="4" w:space="0"/>
            </w:tcBorders>
            <w:vAlign w:val="center"/>
          </w:tcPr>
          <w:p>
            <w:pPr>
              <w:pStyle w:val="9"/>
              <w:spacing w:line="360" w:lineRule="auto"/>
              <w:ind w:firstLine="0" w:firstLineChars="0"/>
              <w:rPr>
                <w:rFonts w:hint="eastAsia" w:ascii="宋体" w:hAnsi="宋体" w:eastAsia="宋体" w:cs="宋体"/>
                <w:b/>
                <w:color w:val="auto"/>
                <w:sz w:val="21"/>
                <w:szCs w:val="21"/>
                <w:highlight w:val="none"/>
              </w:rPr>
            </w:pPr>
            <w:r>
              <w:rPr>
                <w:rFonts w:hint="eastAsia" w:ascii="宋体" w:hAnsi="宋体"/>
                <w:color w:val="auto"/>
                <w:szCs w:val="21"/>
                <w:highlight w:val="none"/>
              </w:rPr>
              <w:t>▲</w:t>
            </w:r>
            <w:r>
              <w:rPr>
                <w:rFonts w:hint="eastAsia" w:ascii="宋体" w:hAnsi="宋体" w:eastAsia="宋体" w:cs="宋体"/>
                <w:color w:val="auto"/>
                <w:sz w:val="21"/>
                <w:szCs w:val="21"/>
                <w:highlight w:val="none"/>
                <w:lang w:val="en-US" w:eastAsia="zh-CN"/>
              </w:rPr>
              <w:t>磋商报价</w:t>
            </w:r>
          </w:p>
        </w:tc>
        <w:tc>
          <w:tcPr>
            <w:tcW w:w="7614" w:type="dxa"/>
            <w:gridSpan w:val="4"/>
            <w:tcBorders>
              <w:top w:val="single" w:color="auto" w:sz="4" w:space="0"/>
              <w:left w:val="single" w:color="auto" w:sz="4" w:space="0"/>
              <w:bottom w:val="single" w:color="auto" w:sz="4" w:space="0"/>
              <w:right w:val="single" w:color="auto" w:sz="4" w:space="0"/>
            </w:tcBorders>
            <w:vAlign w:val="center"/>
          </w:tcPr>
          <w:p>
            <w:pPr>
              <w:pStyle w:val="9"/>
              <w:spacing w:line="360" w:lineRule="auto"/>
              <w:ind w:firstLine="0" w:firstLineChars="0"/>
              <w:rPr>
                <w:rFonts w:hint="eastAsia" w:ascii="宋体" w:hAnsi="宋体" w:eastAsia="宋体" w:cs="宋体"/>
                <w:color w:val="auto"/>
                <w:sz w:val="21"/>
                <w:szCs w:val="21"/>
                <w:highlight w:val="none"/>
              </w:rPr>
            </w:pPr>
            <w:r>
              <w:rPr>
                <w:rFonts w:hint="default" w:cs="宋体" w:asciiTheme="minorAscii" w:hAnsiTheme="minorAscii"/>
                <w:bCs/>
                <w:color w:val="auto"/>
                <w:szCs w:val="21"/>
                <w:highlight w:val="none"/>
              </w:rPr>
              <w:t>磋商报价</w:t>
            </w:r>
            <w:r>
              <w:rPr>
                <w:rFonts w:hint="default" w:asciiTheme="minorAscii" w:hAnsiTheme="minorAscii"/>
                <w:color w:val="auto"/>
                <w:highlight w:val="none"/>
              </w:rPr>
              <w:t>是履行合同的最终价格, 即满足全部采购需求所应提供的服务，包含但不限于</w:t>
            </w:r>
            <w:r>
              <w:rPr>
                <w:rFonts w:hint="default" w:eastAsia="宋体" w:asciiTheme="minorAscii" w:hAnsiTheme="minorAscii"/>
                <w:color w:val="auto"/>
                <w:highlight w:val="none"/>
                <w:lang w:val="en-US" w:eastAsia="zh-CN"/>
              </w:rPr>
              <w:t>资料收集、调研考察、策划、劳务、管理、协调、校对、印刷、验收</w:t>
            </w:r>
            <w:r>
              <w:rPr>
                <w:rFonts w:hint="default" w:asciiTheme="minorAscii" w:hAnsiTheme="minorAscii"/>
                <w:color w:val="auto"/>
                <w:highlight w:val="none"/>
                <w:lang w:val="en-US" w:eastAsia="zh-CN"/>
              </w:rPr>
              <w:t>、</w:t>
            </w:r>
            <w:r>
              <w:rPr>
                <w:rFonts w:hint="default" w:eastAsia="宋体" w:asciiTheme="minorAscii" w:hAnsiTheme="minorAscii"/>
                <w:color w:val="auto"/>
                <w:highlight w:val="none"/>
                <w:lang w:val="en-US" w:eastAsia="zh-CN"/>
              </w:rPr>
              <w:t>技术支持、</w:t>
            </w:r>
            <w:r>
              <w:rPr>
                <w:rFonts w:hint="default" w:asciiTheme="minorAscii" w:hAnsiTheme="minorAscii"/>
                <w:color w:val="auto"/>
                <w:highlight w:val="none"/>
              </w:rPr>
              <w:t>后续服务人员、差旅费、保险、税金和其他所有成本等一切费用，采购人</w:t>
            </w:r>
            <w:r>
              <w:rPr>
                <w:rFonts w:hint="default" w:asciiTheme="minorAscii" w:hAnsiTheme="minorAscii"/>
                <w:color w:val="auto"/>
                <w:highlight w:val="none"/>
                <w:lang w:eastAsia="zh-CN"/>
              </w:rPr>
              <w:t>不再另行支付额外费用</w:t>
            </w:r>
            <w:r>
              <w:rPr>
                <w:rFonts w:hint="default" w:asciiTheme="minorAscii" w:hAnsiTheme="minorAscii"/>
                <w:color w:val="auto"/>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100" w:type="dxa"/>
            <w:gridSpan w:val="2"/>
            <w:tcBorders>
              <w:top w:val="single" w:color="auto" w:sz="4" w:space="0"/>
              <w:left w:val="single" w:color="auto" w:sz="4" w:space="0"/>
              <w:bottom w:val="single" w:color="auto" w:sz="4" w:space="0"/>
              <w:right w:val="single" w:color="auto" w:sz="4" w:space="0"/>
            </w:tcBorders>
            <w:vAlign w:val="center"/>
          </w:tcPr>
          <w:p>
            <w:pPr>
              <w:pStyle w:val="9"/>
              <w:spacing w:line="360" w:lineRule="auto"/>
              <w:ind w:firstLine="0" w:firstLineChars="0"/>
              <w:jc w:val="center"/>
              <w:rPr>
                <w:rFonts w:hint="eastAsia" w:ascii="宋体" w:hAnsi="宋体" w:eastAsia="宋体" w:cs="宋体"/>
                <w:b/>
                <w:color w:val="auto"/>
                <w:sz w:val="21"/>
                <w:szCs w:val="21"/>
                <w:highlight w:val="none"/>
              </w:rPr>
            </w:pPr>
            <w:r>
              <w:rPr>
                <w:rFonts w:hint="eastAsia" w:ascii="宋体" w:hAnsi="宋体"/>
                <w:color w:val="auto"/>
                <w:szCs w:val="21"/>
                <w:highlight w:val="none"/>
              </w:rPr>
              <w:t>▲</w:t>
            </w:r>
            <w:r>
              <w:rPr>
                <w:rFonts w:hint="eastAsia" w:ascii="宋体" w:hAnsi="宋体" w:eastAsia="宋体" w:cs="宋体"/>
                <w:color w:val="auto"/>
                <w:sz w:val="21"/>
                <w:szCs w:val="21"/>
                <w:highlight w:val="none"/>
                <w:lang w:val="en-US" w:eastAsia="zh-CN"/>
              </w:rPr>
              <w:t>合同履约期限（成果交付时间）</w:t>
            </w:r>
          </w:p>
        </w:tc>
        <w:tc>
          <w:tcPr>
            <w:tcW w:w="7614" w:type="dxa"/>
            <w:gridSpan w:val="4"/>
            <w:tcBorders>
              <w:top w:val="single" w:color="auto" w:sz="4" w:space="0"/>
              <w:left w:val="single" w:color="auto" w:sz="4" w:space="0"/>
              <w:bottom w:val="single" w:color="auto" w:sz="4" w:space="0"/>
              <w:right w:val="single" w:color="auto" w:sz="4" w:space="0"/>
            </w:tcBorders>
            <w:vAlign w:val="center"/>
          </w:tcPr>
          <w:p>
            <w:pPr>
              <w:pStyle w:val="9"/>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default" w:asciiTheme="minorAscii" w:hAnsiTheme="minorAscii"/>
                <w:color w:val="auto"/>
                <w:highlight w:val="none"/>
                <w:lang w:val="en-US" w:eastAsia="zh-CN"/>
              </w:rPr>
            </w:pPr>
            <w:r>
              <w:rPr>
                <w:rFonts w:hint="default" w:asciiTheme="minorAscii" w:hAnsiTheme="minorAscii"/>
                <w:color w:val="auto"/>
                <w:highlight w:val="none"/>
                <w:lang w:val="en-US" w:eastAsia="zh-CN"/>
              </w:rPr>
              <w:t>1、合同履约期限（成果交付时间）：</w:t>
            </w:r>
            <w:r>
              <w:rPr>
                <w:rFonts w:hint="eastAsia" w:asciiTheme="minorAscii" w:hAnsiTheme="minorAscii"/>
                <w:color w:val="auto"/>
                <w:highlight w:val="none"/>
                <w:lang w:val="en-US" w:eastAsia="zh-CN"/>
              </w:rPr>
              <w:t>自合同签订之日起9个月</w:t>
            </w:r>
            <w:r>
              <w:rPr>
                <w:rFonts w:hint="default" w:asciiTheme="minorAscii" w:hAnsiTheme="minorAscii"/>
                <w:color w:val="auto"/>
                <w:highlight w:val="none"/>
                <w:lang w:val="en-US" w:eastAsia="zh-CN"/>
              </w:rPr>
              <w:t>，供应商应编制形成《</w:t>
            </w:r>
            <w:r>
              <w:rPr>
                <w:rFonts w:hint="eastAsia" w:asciiTheme="minorAscii" w:hAnsiTheme="minorAscii"/>
                <w:color w:val="auto"/>
                <w:highlight w:val="none"/>
                <w:lang w:val="en-US" w:eastAsia="zh-CN"/>
              </w:rPr>
              <w:t>广西“三农”重大舆情处置方案》、</w:t>
            </w:r>
            <w:r>
              <w:rPr>
                <w:rFonts w:hint="default" w:asciiTheme="minorAscii" w:hAnsiTheme="minorAscii"/>
                <w:color w:val="auto"/>
                <w:highlight w:val="none"/>
                <w:lang w:val="en-US" w:eastAsia="zh-CN"/>
              </w:rPr>
              <w:t>《</w:t>
            </w:r>
            <w:r>
              <w:rPr>
                <w:rFonts w:hint="eastAsia" w:asciiTheme="minorAscii" w:hAnsiTheme="minorAscii"/>
                <w:color w:val="auto"/>
                <w:highlight w:val="none"/>
                <w:lang w:val="en-US" w:eastAsia="zh-CN"/>
              </w:rPr>
              <w:t>提升广西“三农”舆情能力建设报告</w:t>
            </w:r>
            <w:r>
              <w:rPr>
                <w:rFonts w:hint="default" w:asciiTheme="minorAscii" w:hAnsiTheme="minorAscii"/>
                <w:color w:val="auto"/>
                <w:highlight w:val="none"/>
                <w:lang w:val="en-US" w:eastAsia="zh-CN"/>
              </w:rPr>
              <w:t>》成果初稿，提交采购人研究并反馈意见。</w:t>
            </w:r>
            <w:r>
              <w:rPr>
                <w:rFonts w:hint="eastAsia" w:asciiTheme="minorAscii" w:hAnsiTheme="minorAscii"/>
                <w:color w:val="auto"/>
                <w:highlight w:val="none"/>
                <w:lang w:val="en-US" w:eastAsia="zh-CN"/>
              </w:rPr>
              <w:t>自合同签订之日起10个月</w:t>
            </w:r>
            <w:r>
              <w:rPr>
                <w:rFonts w:hint="default" w:asciiTheme="minorAscii" w:hAnsiTheme="minorAscii"/>
                <w:color w:val="auto"/>
                <w:highlight w:val="none"/>
                <w:lang w:val="en-US" w:eastAsia="zh-CN"/>
              </w:rPr>
              <w:t>，供应商应根据</w:t>
            </w:r>
            <w:r>
              <w:rPr>
                <w:rFonts w:hint="eastAsia" w:asciiTheme="minorAscii" w:hAnsiTheme="minorAscii"/>
                <w:color w:val="auto"/>
                <w:highlight w:val="none"/>
                <w:lang w:val="en-US" w:eastAsia="zh-CN"/>
              </w:rPr>
              <w:t>采购人修改意见修改完善后再次提交采购人研究并反馈意见。自合同签订之日起12个月，供应商应编制形成广西“三农”重大舆情处置方案》、</w:t>
            </w:r>
            <w:r>
              <w:rPr>
                <w:rFonts w:hint="default" w:asciiTheme="minorAscii" w:hAnsiTheme="minorAscii"/>
                <w:color w:val="auto"/>
                <w:highlight w:val="none"/>
                <w:lang w:val="en-US" w:eastAsia="zh-CN"/>
              </w:rPr>
              <w:t>《</w:t>
            </w:r>
            <w:r>
              <w:rPr>
                <w:rFonts w:hint="eastAsia" w:asciiTheme="minorAscii" w:hAnsiTheme="minorAscii"/>
                <w:color w:val="auto"/>
                <w:highlight w:val="none"/>
                <w:lang w:val="en-US" w:eastAsia="zh-CN"/>
              </w:rPr>
              <w:t>提升广西“三农”舆情能力建设报告</w:t>
            </w:r>
            <w:r>
              <w:rPr>
                <w:rFonts w:hint="default" w:asciiTheme="minorAscii" w:hAnsiTheme="minorAscii"/>
                <w:color w:val="auto"/>
                <w:highlight w:val="none"/>
                <w:lang w:val="en-US" w:eastAsia="zh-CN"/>
              </w:rPr>
              <w:t>》</w:t>
            </w:r>
            <w:r>
              <w:rPr>
                <w:rFonts w:hint="eastAsia" w:asciiTheme="minorAscii" w:hAnsiTheme="minorAscii"/>
                <w:color w:val="auto"/>
                <w:highlight w:val="none"/>
                <w:lang w:val="en-US" w:eastAsia="zh-CN"/>
              </w:rPr>
              <w:t>、《决策参考报告》成果终稿提交至采购人，并出具两篇</w:t>
            </w:r>
            <w:r>
              <w:rPr>
                <w:rFonts w:hint="default" w:cs="宋体" w:asciiTheme="minorAscii" w:hAnsiTheme="minorAscii"/>
                <w:bCs/>
                <w:color w:val="auto"/>
                <w:szCs w:val="21"/>
                <w:highlight w:val="none"/>
              </w:rPr>
              <w:t>课题</w:t>
            </w:r>
            <w:r>
              <w:rPr>
                <w:rFonts w:hint="eastAsia" w:cs="宋体" w:asciiTheme="minorAscii" w:hAnsiTheme="minorAscii"/>
                <w:bCs/>
                <w:color w:val="auto"/>
                <w:szCs w:val="21"/>
                <w:highlight w:val="none"/>
                <w:lang w:val="en-US" w:eastAsia="zh-CN"/>
              </w:rPr>
              <w:t>研究报告，需</w:t>
            </w:r>
            <w:r>
              <w:rPr>
                <w:rFonts w:hint="default" w:cs="宋体" w:asciiTheme="minorAscii" w:hAnsiTheme="minorAscii"/>
                <w:bCs/>
                <w:color w:val="auto"/>
                <w:szCs w:val="21"/>
                <w:highlight w:val="none"/>
                <w:lang w:val="en-US" w:eastAsia="zh-CN"/>
              </w:rPr>
              <w:t>达到国内期刊发表水平，</w:t>
            </w:r>
            <w:r>
              <w:rPr>
                <w:rFonts w:hint="eastAsia" w:cs="宋体" w:asciiTheme="minorAscii" w:hAnsiTheme="minorAscii"/>
                <w:bCs/>
                <w:color w:val="auto"/>
                <w:szCs w:val="21"/>
                <w:highlight w:val="none"/>
                <w:lang w:val="en-US" w:eastAsia="zh-CN"/>
              </w:rPr>
              <w:t>最后由采购人组织专家对课题研究成果进行评审验收。</w:t>
            </w:r>
          </w:p>
          <w:p>
            <w:pPr>
              <w:pStyle w:val="9"/>
              <w:numPr>
                <w:ilvl w:val="0"/>
                <w:numId w:val="0"/>
              </w:numPr>
              <w:spacing w:line="360" w:lineRule="auto"/>
              <w:ind w:left="0" w:leftChars="0" w:firstLine="0" w:firstLineChars="0"/>
              <w:rPr>
                <w:rFonts w:hint="eastAsia" w:ascii="宋体" w:hAnsi="宋体" w:eastAsia="宋体" w:cs="宋体"/>
                <w:color w:val="auto"/>
                <w:sz w:val="21"/>
                <w:szCs w:val="21"/>
                <w:highlight w:val="none"/>
              </w:rPr>
            </w:pPr>
            <w:r>
              <w:rPr>
                <w:rFonts w:hint="eastAsia" w:asciiTheme="minorAscii" w:hAnsiTheme="minorAscii"/>
                <w:color w:val="auto"/>
                <w:highlight w:val="none"/>
                <w:lang w:val="en-US" w:eastAsia="zh-CN"/>
              </w:rPr>
              <w:t>2、成果交付地点：采购人指定地点。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6" w:hRule="atLeast"/>
          <w:jc w:val="center"/>
        </w:trPr>
        <w:tc>
          <w:tcPr>
            <w:tcW w:w="2100" w:type="dxa"/>
            <w:gridSpan w:val="2"/>
            <w:tcBorders>
              <w:top w:val="single" w:color="auto" w:sz="4" w:space="0"/>
              <w:left w:val="single" w:color="auto" w:sz="4" w:space="0"/>
              <w:bottom w:val="single" w:color="auto" w:sz="4" w:space="0"/>
              <w:right w:val="single" w:color="auto" w:sz="4" w:space="0"/>
            </w:tcBorders>
            <w:vAlign w:val="center"/>
          </w:tcPr>
          <w:p>
            <w:pPr>
              <w:pStyle w:val="9"/>
              <w:spacing w:line="360" w:lineRule="auto"/>
              <w:ind w:firstLine="0" w:firstLineChars="0"/>
              <w:jc w:val="center"/>
              <w:rPr>
                <w:rFonts w:hint="eastAsia" w:ascii="宋体" w:hAnsi="宋体" w:eastAsia="宋体" w:cs="宋体"/>
                <w:b/>
                <w:color w:val="auto"/>
                <w:sz w:val="21"/>
                <w:szCs w:val="21"/>
                <w:highlight w:val="none"/>
              </w:rPr>
            </w:pPr>
            <w:r>
              <w:rPr>
                <w:rFonts w:hint="eastAsia" w:ascii="宋体" w:hAnsi="宋体"/>
                <w:color w:val="auto"/>
                <w:szCs w:val="21"/>
                <w:highlight w:val="none"/>
              </w:rPr>
              <w:t>▲</w:t>
            </w:r>
            <w:r>
              <w:rPr>
                <w:rFonts w:hint="eastAsia" w:ascii="宋体" w:hAnsi="宋体" w:eastAsia="宋体" w:cs="宋体"/>
                <w:color w:val="auto"/>
                <w:sz w:val="21"/>
                <w:szCs w:val="21"/>
                <w:highlight w:val="none"/>
              </w:rPr>
              <w:t>付款方式</w:t>
            </w:r>
          </w:p>
        </w:tc>
        <w:tc>
          <w:tcPr>
            <w:tcW w:w="7614" w:type="dxa"/>
            <w:gridSpan w:val="4"/>
            <w:tcBorders>
              <w:top w:val="single" w:color="auto" w:sz="4" w:space="0"/>
              <w:left w:val="single" w:color="auto" w:sz="4" w:space="0"/>
              <w:bottom w:val="single" w:color="auto" w:sz="4" w:space="0"/>
              <w:right w:val="single" w:color="auto" w:sz="4" w:space="0"/>
            </w:tcBorders>
            <w:vAlign w:val="center"/>
          </w:tcPr>
          <w:p>
            <w:pPr>
              <w:pStyle w:val="9"/>
              <w:spacing w:line="360" w:lineRule="auto"/>
              <w:ind w:firstLine="0" w:firstLineChars="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签订合同后成交供应商按合同要求开展课题研究工作，采购人在10个工作日内支付</w:t>
            </w:r>
            <w:r>
              <w:rPr>
                <w:rFonts w:hint="eastAsia" w:ascii="宋体" w:hAnsi="宋体" w:cs="宋体"/>
                <w:bCs/>
                <w:color w:val="auto"/>
                <w:sz w:val="21"/>
                <w:szCs w:val="21"/>
                <w:highlight w:val="none"/>
                <w:lang w:val="en-US" w:eastAsia="zh-CN"/>
              </w:rPr>
              <w:t>4</w:t>
            </w:r>
            <w:r>
              <w:rPr>
                <w:rFonts w:hint="eastAsia" w:ascii="宋体" w:hAnsi="宋体" w:eastAsia="宋体" w:cs="宋体"/>
                <w:bCs/>
                <w:color w:val="auto"/>
                <w:sz w:val="21"/>
                <w:szCs w:val="21"/>
                <w:highlight w:val="none"/>
              </w:rPr>
              <w:t>0%合同款给成交供应商；成交供应商提供服务2个月</w:t>
            </w:r>
            <w:r>
              <w:rPr>
                <w:rFonts w:hint="eastAsia" w:ascii="宋体" w:hAnsi="宋体" w:cs="宋体"/>
                <w:bCs/>
                <w:color w:val="auto"/>
                <w:sz w:val="21"/>
                <w:szCs w:val="21"/>
                <w:highlight w:val="none"/>
                <w:lang w:val="en-US" w:eastAsia="zh-CN"/>
              </w:rPr>
              <w:t>后</w:t>
            </w:r>
            <w:r>
              <w:rPr>
                <w:rFonts w:hint="eastAsia" w:ascii="宋体" w:hAnsi="宋体" w:eastAsia="宋体" w:cs="宋体"/>
                <w:bCs/>
                <w:color w:val="auto"/>
                <w:sz w:val="21"/>
                <w:szCs w:val="21"/>
                <w:highlight w:val="none"/>
              </w:rPr>
              <w:t>，并取得一定研究成果，采购人支付剩余</w:t>
            </w:r>
            <w:r>
              <w:rPr>
                <w:rFonts w:hint="eastAsia" w:ascii="宋体" w:hAnsi="宋体" w:cs="宋体"/>
                <w:bCs/>
                <w:color w:val="auto"/>
                <w:sz w:val="21"/>
                <w:szCs w:val="21"/>
                <w:highlight w:val="none"/>
                <w:lang w:val="en-US" w:eastAsia="zh-CN"/>
              </w:rPr>
              <w:t>6</w:t>
            </w:r>
            <w:r>
              <w:rPr>
                <w:rFonts w:hint="eastAsia" w:ascii="宋体" w:hAnsi="宋体" w:eastAsia="宋体" w:cs="宋体"/>
                <w:bCs/>
                <w:color w:val="auto"/>
                <w:sz w:val="21"/>
                <w:szCs w:val="21"/>
                <w:highlight w:val="none"/>
              </w:rPr>
              <w:t>0%的合同款。成交供应商自每次收到合同款之日起3个工作日内开具合法的发票给采购人。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2100" w:type="dxa"/>
            <w:gridSpan w:val="2"/>
            <w:tcBorders>
              <w:top w:val="single" w:color="auto" w:sz="4" w:space="0"/>
              <w:left w:val="single" w:color="auto" w:sz="4" w:space="0"/>
              <w:bottom w:val="single" w:color="auto" w:sz="4" w:space="0"/>
              <w:right w:val="single" w:color="auto" w:sz="4" w:space="0"/>
            </w:tcBorders>
            <w:vAlign w:val="center"/>
          </w:tcPr>
          <w:p>
            <w:pPr>
              <w:pStyle w:val="9"/>
              <w:spacing w:line="360" w:lineRule="auto"/>
              <w:ind w:firstLine="0" w:firstLineChars="0"/>
              <w:jc w:val="center"/>
              <w:rPr>
                <w:rFonts w:hint="eastAsia" w:ascii="宋体" w:hAnsi="宋体" w:eastAsia="宋体" w:cs="宋体"/>
                <w:b/>
                <w:color w:val="auto"/>
                <w:sz w:val="21"/>
                <w:szCs w:val="21"/>
                <w:highlight w:val="none"/>
              </w:rPr>
            </w:pPr>
            <w:r>
              <w:rPr>
                <w:rFonts w:hint="eastAsia" w:ascii="宋体" w:hAnsi="宋体"/>
                <w:color w:val="auto"/>
                <w:szCs w:val="21"/>
                <w:highlight w:val="none"/>
              </w:rPr>
              <w:t>▲</w:t>
            </w:r>
            <w:r>
              <w:rPr>
                <w:rFonts w:hint="eastAsia" w:ascii="宋体" w:hAnsi="宋体" w:eastAsia="宋体" w:cs="宋体"/>
                <w:color w:val="auto"/>
                <w:sz w:val="21"/>
                <w:szCs w:val="21"/>
                <w:highlight w:val="none"/>
                <w:lang w:eastAsia="zh-CN"/>
              </w:rPr>
              <w:t>售后服务要求</w:t>
            </w:r>
          </w:p>
        </w:tc>
        <w:tc>
          <w:tcPr>
            <w:tcW w:w="7614" w:type="dxa"/>
            <w:gridSpan w:val="4"/>
            <w:tcBorders>
              <w:top w:val="single" w:color="auto" w:sz="4" w:space="0"/>
              <w:left w:val="single" w:color="auto" w:sz="4" w:space="0"/>
              <w:bottom w:val="single" w:color="auto" w:sz="4" w:space="0"/>
              <w:right w:val="single" w:color="auto" w:sz="4" w:space="0"/>
            </w:tcBorders>
            <w:vAlign w:val="center"/>
          </w:tcPr>
          <w:p>
            <w:pPr>
              <w:pStyle w:val="9"/>
              <w:spacing w:line="360" w:lineRule="auto"/>
              <w:ind w:firstLine="0"/>
              <w:rPr>
                <w:rFonts w:hint="default" w:asciiTheme="minorAscii" w:hAnsiTheme="minorAscii"/>
                <w:color w:val="auto"/>
                <w:highlight w:val="none"/>
                <w:lang w:val="en-US" w:eastAsia="zh-CN"/>
              </w:rPr>
            </w:pPr>
            <w:r>
              <w:rPr>
                <w:rFonts w:hint="default" w:asciiTheme="minorAscii" w:hAnsiTheme="minorAscii"/>
                <w:color w:val="auto"/>
                <w:highlight w:val="none"/>
                <w:lang w:val="en-US" w:eastAsia="zh-CN"/>
              </w:rPr>
              <w:t>1、后续服务期：自提交服务成果并验收合格之日起计一年，服务期内成交供应商须按采购人要求提供相应的咨询服务。</w:t>
            </w:r>
          </w:p>
          <w:p>
            <w:pPr>
              <w:pStyle w:val="9"/>
              <w:spacing w:line="360" w:lineRule="auto"/>
              <w:ind w:firstLine="0"/>
              <w:rPr>
                <w:rFonts w:hint="default" w:asciiTheme="minorAscii" w:hAnsiTheme="minorAscii"/>
                <w:color w:val="auto"/>
                <w:highlight w:val="none"/>
                <w:lang w:val="en-US" w:eastAsia="zh-CN"/>
              </w:rPr>
            </w:pPr>
            <w:r>
              <w:rPr>
                <w:rFonts w:hint="default" w:asciiTheme="minorAscii" w:hAnsiTheme="minorAscii"/>
                <w:color w:val="auto"/>
                <w:highlight w:val="none"/>
                <w:lang w:val="en-US" w:eastAsia="zh-CN"/>
              </w:rPr>
              <w:t>2、处理问题响应时间：接到采购人处理问题通知后</w:t>
            </w:r>
            <w:r>
              <w:rPr>
                <w:rFonts w:hint="eastAsia" w:asciiTheme="minorAscii" w:hAnsiTheme="minorAscii"/>
                <w:color w:val="auto"/>
                <w:highlight w:val="none"/>
                <w:lang w:val="en-US" w:eastAsia="zh-CN"/>
              </w:rPr>
              <w:t>，</w:t>
            </w:r>
            <w:r>
              <w:rPr>
                <w:rFonts w:hint="default" w:asciiTheme="minorAscii" w:hAnsiTheme="minorAscii"/>
                <w:color w:val="auto"/>
                <w:highlight w:val="none"/>
                <w:lang w:val="en-US" w:eastAsia="zh-CN"/>
              </w:rPr>
              <w:t>1小时内给予电话或文件答复。</w:t>
            </w:r>
          </w:p>
          <w:p>
            <w:pPr>
              <w:pStyle w:val="9"/>
              <w:spacing w:line="360" w:lineRule="auto"/>
              <w:ind w:firstLine="0"/>
              <w:rPr>
                <w:rFonts w:hint="eastAsia" w:ascii="宋体" w:hAnsi="宋体" w:eastAsia="宋体" w:cs="宋体"/>
                <w:color w:val="auto"/>
                <w:sz w:val="21"/>
                <w:szCs w:val="21"/>
                <w:highlight w:val="none"/>
              </w:rPr>
            </w:pPr>
            <w:r>
              <w:rPr>
                <w:rFonts w:hint="default" w:asciiTheme="minorAscii" w:hAnsiTheme="minorAscii"/>
                <w:color w:val="auto"/>
                <w:highlight w:val="none"/>
                <w:lang w:val="en-US" w:eastAsia="zh-CN"/>
              </w:rPr>
              <w:t>3、其他：根据评审会、工作对接会、协调会等意见相应修改完善项目内容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100" w:type="dxa"/>
            <w:gridSpan w:val="2"/>
            <w:tcBorders>
              <w:top w:val="single" w:color="auto" w:sz="4" w:space="0"/>
              <w:left w:val="single" w:color="auto" w:sz="4" w:space="0"/>
              <w:bottom w:val="single" w:color="auto" w:sz="4" w:space="0"/>
              <w:right w:val="single" w:color="auto" w:sz="4" w:space="0"/>
            </w:tcBorders>
            <w:vAlign w:val="center"/>
          </w:tcPr>
          <w:p>
            <w:pPr>
              <w:pStyle w:val="9"/>
              <w:spacing w:line="36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其他</w:t>
            </w:r>
          </w:p>
        </w:tc>
        <w:tc>
          <w:tcPr>
            <w:tcW w:w="7614"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line="360" w:lineRule="auto"/>
              <w:jc w:val="left"/>
              <w:rPr>
                <w:rFonts w:hint="default" w:eastAsia="宋体" w:cs="Times New Roman" w:asciiTheme="minorAscii" w:hAnsiTheme="minorAscii"/>
                <w:color w:val="auto"/>
                <w:kern w:val="2"/>
                <w:sz w:val="21"/>
                <w:szCs w:val="20"/>
                <w:highlight w:val="none"/>
                <w:lang w:val="en-US" w:eastAsia="zh-CN" w:bidi="ar-SA"/>
              </w:rPr>
            </w:pPr>
            <w:r>
              <w:rPr>
                <w:rFonts w:hint="eastAsia" w:eastAsia="宋体" w:cs="Times New Roman" w:asciiTheme="minorAscii" w:hAnsiTheme="minorAscii"/>
                <w:color w:val="auto"/>
                <w:kern w:val="2"/>
                <w:sz w:val="21"/>
                <w:szCs w:val="20"/>
                <w:highlight w:val="none"/>
                <w:lang w:val="en-US" w:eastAsia="zh-CN" w:bidi="ar-SA"/>
              </w:rPr>
              <w:t xml:space="preserve">1、课题研究服务成果版权归采购人所有。 </w:t>
            </w:r>
          </w:p>
          <w:p>
            <w:pPr>
              <w:keepNext w:val="0"/>
              <w:keepLines w:val="0"/>
              <w:widowControl/>
              <w:suppressLineNumbers w:val="0"/>
              <w:spacing w:line="360" w:lineRule="auto"/>
              <w:jc w:val="left"/>
              <w:rPr>
                <w:rFonts w:hint="default" w:eastAsia="宋体" w:cs="Times New Roman" w:asciiTheme="minorAscii" w:hAnsiTheme="minorAscii"/>
                <w:color w:val="auto"/>
                <w:kern w:val="2"/>
                <w:sz w:val="21"/>
                <w:szCs w:val="20"/>
                <w:highlight w:val="none"/>
                <w:lang w:val="en-US" w:eastAsia="zh-CN" w:bidi="ar-SA"/>
              </w:rPr>
            </w:pPr>
            <w:r>
              <w:rPr>
                <w:rFonts w:hint="eastAsia" w:eastAsia="宋体" w:cs="Times New Roman" w:asciiTheme="minorAscii" w:hAnsiTheme="minorAscii"/>
                <w:color w:val="auto"/>
                <w:kern w:val="2"/>
                <w:sz w:val="21"/>
                <w:szCs w:val="20"/>
                <w:highlight w:val="none"/>
                <w:lang w:val="en-US" w:eastAsia="zh-CN" w:bidi="ar-SA"/>
              </w:rPr>
              <w:t xml:space="preserve">2、涉及保密事项的，成交供应商应严格保密，未经采购人同意，不得扩散，因泄露造成采购人利益受损的，除按损价赔偿外还追究其法律责任。 </w:t>
            </w:r>
          </w:p>
          <w:p>
            <w:pPr>
              <w:keepNext w:val="0"/>
              <w:keepLines w:val="0"/>
              <w:widowControl/>
              <w:suppressLineNumbers w:val="0"/>
              <w:spacing w:line="360" w:lineRule="auto"/>
              <w:jc w:val="left"/>
              <w:rPr>
                <w:rFonts w:hint="eastAsia" w:ascii="宋体" w:hAnsi="宋体" w:eastAsia="宋体" w:cs="宋体"/>
                <w:bCs/>
                <w:color w:val="auto"/>
                <w:sz w:val="21"/>
                <w:szCs w:val="21"/>
                <w:highlight w:val="none"/>
              </w:rPr>
            </w:pPr>
            <w:r>
              <w:rPr>
                <w:rFonts w:hint="eastAsia" w:eastAsia="宋体" w:cs="Times New Roman" w:asciiTheme="minorAscii" w:hAnsiTheme="minorAscii"/>
                <w:color w:val="auto"/>
                <w:kern w:val="2"/>
                <w:sz w:val="21"/>
                <w:szCs w:val="20"/>
                <w:highlight w:val="none"/>
                <w:lang w:val="en-US" w:eastAsia="zh-CN" w:bidi="ar-SA"/>
              </w:rPr>
              <w:t>3、成交供应商应保证针对本项目的服务所涉及到的知识产权和所提供的相关技术资料是合法取得，或享有完整的知识产权，不会因为采购人的使用而被责令停止使用、追偿或要求赔偿损失，如出现此情况，一切经济和法律责任均由成交人承担。</w:t>
            </w:r>
          </w:p>
        </w:tc>
      </w:tr>
    </w:tbl>
    <w:p>
      <w:pPr>
        <w:spacing w:line="360" w:lineRule="auto"/>
        <w:ind w:firstLine="310" w:firstLineChars="147"/>
        <w:jc w:val="left"/>
        <w:rPr>
          <w:rFonts w:hint="eastAsia" w:ascii="宋体" w:hAnsi="宋体" w:cs="宋体"/>
          <w:b/>
          <w:color w:val="auto"/>
          <w:szCs w:val="21"/>
          <w:highlight w:val="none"/>
          <w:lang w:eastAsia="zh-CN"/>
        </w:rPr>
      </w:pPr>
    </w:p>
    <w:p>
      <w:pPr>
        <w:spacing w:line="360" w:lineRule="auto"/>
        <w:ind w:firstLine="310" w:firstLineChars="147"/>
        <w:jc w:val="left"/>
        <w:rPr>
          <w:rFonts w:ascii="宋体" w:hAnsi="宋体" w:cs="宋体"/>
          <w:bCs/>
          <w:color w:val="auto"/>
          <w:szCs w:val="21"/>
          <w:highlight w:val="none"/>
          <w:u w:val="single"/>
        </w:rPr>
      </w:pPr>
      <w:r>
        <w:rPr>
          <w:rFonts w:hint="eastAsia" w:ascii="宋体" w:hAnsi="宋体" w:cs="宋体"/>
          <w:b/>
          <w:color w:val="auto"/>
          <w:szCs w:val="21"/>
          <w:highlight w:val="none"/>
          <w:lang w:eastAsia="zh-CN"/>
        </w:rPr>
        <w:t>分标</w:t>
      </w:r>
      <w:r>
        <w:rPr>
          <w:rFonts w:hint="eastAsia" w:ascii="宋体" w:hAnsi="宋体" w:cs="宋体"/>
          <w:b/>
          <w:color w:val="auto"/>
          <w:szCs w:val="21"/>
          <w:highlight w:val="none"/>
          <w:lang w:val="en-US" w:eastAsia="zh-CN"/>
        </w:rPr>
        <w:t>6(</w:t>
      </w:r>
      <w:r>
        <w:rPr>
          <w:rFonts w:hint="eastAsia" w:ascii="宋体" w:hAnsi="宋体" w:cs="宋体"/>
          <w:b/>
          <w:color w:val="auto"/>
          <w:szCs w:val="21"/>
          <w:highlight w:val="none"/>
          <w:lang w:eastAsia="zh-CN"/>
        </w:rPr>
        <w:t>广西12316“三农”信息服务运维</w:t>
      </w:r>
      <w:r>
        <w:rPr>
          <w:rFonts w:hint="eastAsia" w:ascii="宋体" w:hAnsi="宋体" w:cs="宋体"/>
          <w:b/>
          <w:color w:val="auto"/>
          <w:szCs w:val="21"/>
          <w:highlight w:val="none"/>
          <w:lang w:val="en-US" w:eastAsia="zh-CN"/>
        </w:rPr>
        <w:t xml:space="preserve">)       </w:t>
      </w:r>
      <w:r>
        <w:rPr>
          <w:rFonts w:hint="eastAsia" w:ascii="宋体" w:hAnsi="宋体" w:cs="宋体"/>
          <w:b/>
          <w:color w:val="auto"/>
          <w:szCs w:val="21"/>
          <w:highlight w:val="none"/>
        </w:rPr>
        <w:t>采购预算：</w:t>
      </w:r>
      <w:r>
        <w:rPr>
          <w:rFonts w:hint="eastAsia" w:ascii="宋体" w:hAnsi="宋体" w:cs="宋体"/>
          <w:bCs/>
          <w:color w:val="auto"/>
          <w:szCs w:val="21"/>
          <w:highlight w:val="none"/>
          <w:u w:val="single"/>
        </w:rPr>
        <w:t xml:space="preserve"> </w:t>
      </w:r>
      <w:r>
        <w:rPr>
          <w:rFonts w:hint="eastAsia" w:ascii="宋体" w:hAnsi="宋体" w:cs="宋体"/>
          <w:b/>
          <w:color w:val="auto"/>
          <w:szCs w:val="21"/>
          <w:highlight w:val="none"/>
          <w:u w:val="single"/>
          <w:lang w:val="en-US" w:eastAsia="zh-CN"/>
        </w:rPr>
        <w:t>56.00</w:t>
      </w:r>
      <w:r>
        <w:rPr>
          <w:rFonts w:hint="eastAsia" w:ascii="宋体" w:hAnsi="宋体" w:cs="宋体"/>
          <w:b/>
          <w:color w:val="auto"/>
          <w:szCs w:val="21"/>
          <w:highlight w:val="none"/>
          <w:u w:val="single"/>
        </w:rPr>
        <w:t>万元</w:t>
      </w:r>
      <w:r>
        <w:rPr>
          <w:rFonts w:hint="eastAsia" w:ascii="宋体" w:hAnsi="宋体" w:cs="宋体"/>
          <w:b/>
          <w:color w:val="auto"/>
          <w:szCs w:val="21"/>
          <w:highlight w:val="none"/>
        </w:rPr>
        <w:t xml:space="preserve">        </w:t>
      </w:r>
    </w:p>
    <w:tbl>
      <w:tblPr>
        <w:tblStyle w:val="30"/>
        <w:tblW w:w="971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5"/>
        <w:gridCol w:w="1445"/>
        <w:gridCol w:w="68"/>
        <w:gridCol w:w="934"/>
        <w:gridCol w:w="1073"/>
        <w:gridCol w:w="55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7" w:hRule="atLeast"/>
          <w:jc w:val="center"/>
        </w:trPr>
        <w:tc>
          <w:tcPr>
            <w:tcW w:w="655" w:type="dxa"/>
            <w:vAlign w:val="center"/>
          </w:tcPr>
          <w:p>
            <w:pPr>
              <w:tabs>
                <w:tab w:val="left" w:pos="180"/>
                <w:tab w:val="left" w:pos="1620"/>
              </w:tabs>
              <w:spacing w:line="320" w:lineRule="exact"/>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1513" w:type="dxa"/>
            <w:gridSpan w:val="2"/>
            <w:vAlign w:val="center"/>
          </w:tcPr>
          <w:p>
            <w:pPr>
              <w:tabs>
                <w:tab w:val="left" w:pos="180"/>
                <w:tab w:val="left" w:pos="1620"/>
              </w:tabs>
              <w:spacing w:line="320" w:lineRule="exact"/>
              <w:jc w:val="center"/>
              <w:rPr>
                <w:rFonts w:ascii="宋体" w:hAnsi="宋体" w:cs="宋体"/>
                <w:color w:val="auto"/>
                <w:szCs w:val="21"/>
                <w:highlight w:val="none"/>
              </w:rPr>
            </w:pPr>
            <w:r>
              <w:rPr>
                <w:rFonts w:hint="eastAsia" w:ascii="宋体" w:hAnsi="宋体" w:cs="宋体"/>
                <w:color w:val="auto"/>
                <w:szCs w:val="21"/>
                <w:highlight w:val="none"/>
              </w:rPr>
              <w:t>标的的名称</w:t>
            </w:r>
          </w:p>
        </w:tc>
        <w:tc>
          <w:tcPr>
            <w:tcW w:w="934" w:type="dxa"/>
            <w:vAlign w:val="center"/>
          </w:tcPr>
          <w:p>
            <w:pPr>
              <w:tabs>
                <w:tab w:val="left" w:pos="180"/>
                <w:tab w:val="left" w:pos="1620"/>
              </w:tabs>
              <w:spacing w:line="320" w:lineRule="exact"/>
              <w:jc w:val="center"/>
              <w:rPr>
                <w:rFonts w:ascii="宋体" w:hAnsi="宋体" w:cs="宋体"/>
                <w:color w:val="auto"/>
                <w:szCs w:val="21"/>
                <w:highlight w:val="none"/>
              </w:rPr>
            </w:pPr>
            <w:r>
              <w:rPr>
                <w:rFonts w:hint="eastAsia" w:ascii="宋体" w:hAnsi="宋体" w:cs="宋体"/>
                <w:color w:val="auto"/>
                <w:szCs w:val="21"/>
                <w:highlight w:val="none"/>
              </w:rPr>
              <w:t>数量及单位</w:t>
            </w:r>
          </w:p>
        </w:tc>
        <w:tc>
          <w:tcPr>
            <w:tcW w:w="1073" w:type="dxa"/>
            <w:vAlign w:val="center"/>
          </w:tcPr>
          <w:p>
            <w:pPr>
              <w:tabs>
                <w:tab w:val="left" w:pos="180"/>
                <w:tab w:val="left" w:pos="1620"/>
              </w:tabs>
              <w:spacing w:line="320" w:lineRule="exact"/>
              <w:jc w:val="center"/>
              <w:rPr>
                <w:rFonts w:ascii="宋体" w:hAnsi="宋体" w:cs="宋体"/>
                <w:color w:val="auto"/>
                <w:szCs w:val="21"/>
                <w:highlight w:val="none"/>
              </w:rPr>
            </w:pPr>
            <w:r>
              <w:rPr>
                <w:rFonts w:hint="eastAsia" w:ascii="宋体" w:hAnsi="宋体" w:cs="宋体"/>
                <w:color w:val="auto"/>
                <w:szCs w:val="21"/>
                <w:highlight w:val="none"/>
              </w:rPr>
              <w:t>所属</w:t>
            </w:r>
          </w:p>
          <w:p>
            <w:pPr>
              <w:tabs>
                <w:tab w:val="left" w:pos="180"/>
                <w:tab w:val="left" w:pos="1620"/>
              </w:tabs>
              <w:spacing w:line="320" w:lineRule="exact"/>
              <w:jc w:val="center"/>
              <w:rPr>
                <w:rFonts w:ascii="宋体" w:hAnsi="宋体" w:cs="宋体"/>
                <w:color w:val="auto"/>
                <w:szCs w:val="21"/>
                <w:highlight w:val="none"/>
              </w:rPr>
            </w:pPr>
            <w:r>
              <w:rPr>
                <w:rFonts w:hint="eastAsia" w:ascii="宋体" w:hAnsi="宋体" w:cs="宋体"/>
                <w:color w:val="auto"/>
                <w:szCs w:val="21"/>
                <w:highlight w:val="none"/>
              </w:rPr>
              <w:t>行业</w:t>
            </w:r>
          </w:p>
        </w:tc>
        <w:tc>
          <w:tcPr>
            <w:tcW w:w="5539" w:type="dxa"/>
            <w:vAlign w:val="center"/>
          </w:tcPr>
          <w:p>
            <w:pPr>
              <w:tabs>
                <w:tab w:val="left" w:pos="180"/>
                <w:tab w:val="left" w:pos="1620"/>
              </w:tabs>
              <w:spacing w:line="320" w:lineRule="exact"/>
              <w:jc w:val="center"/>
              <w:rPr>
                <w:rFonts w:ascii="宋体" w:hAnsi="宋体" w:cs="宋体"/>
                <w:color w:val="auto"/>
                <w:szCs w:val="21"/>
                <w:highlight w:val="none"/>
              </w:rPr>
            </w:pPr>
            <w:r>
              <w:rPr>
                <w:rFonts w:hint="eastAsia" w:ascii="宋体" w:hAnsi="宋体" w:cs="宋体"/>
                <w:color w:val="auto"/>
                <w:szCs w:val="21"/>
                <w:highlight w:val="none"/>
              </w:rPr>
              <w:t>技术要求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25" w:hRule="atLeast"/>
          <w:jc w:val="center"/>
        </w:trPr>
        <w:tc>
          <w:tcPr>
            <w:tcW w:w="655" w:type="dxa"/>
            <w:vAlign w:val="center"/>
          </w:tcPr>
          <w:p>
            <w:pPr>
              <w:tabs>
                <w:tab w:val="left" w:pos="180"/>
                <w:tab w:val="left" w:pos="1620"/>
              </w:tabs>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513" w:type="dxa"/>
            <w:gridSpan w:val="2"/>
            <w:vAlign w:val="center"/>
          </w:tcPr>
          <w:p>
            <w:pPr>
              <w:tabs>
                <w:tab w:val="left" w:pos="180"/>
                <w:tab w:val="left" w:pos="1620"/>
              </w:tabs>
              <w:spacing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知识库更新及热线工单处理服务</w:t>
            </w:r>
          </w:p>
        </w:tc>
        <w:tc>
          <w:tcPr>
            <w:tcW w:w="934" w:type="dxa"/>
            <w:vAlign w:val="center"/>
          </w:tcPr>
          <w:p>
            <w:pPr>
              <w:tabs>
                <w:tab w:val="left" w:pos="180"/>
                <w:tab w:val="left" w:pos="1620"/>
              </w:tabs>
              <w:spacing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1项</w:t>
            </w:r>
          </w:p>
        </w:tc>
        <w:tc>
          <w:tcPr>
            <w:tcW w:w="1073" w:type="dxa"/>
            <w:vAlign w:val="center"/>
          </w:tcPr>
          <w:p>
            <w:pPr>
              <w:tabs>
                <w:tab w:val="left" w:pos="180"/>
                <w:tab w:val="left" w:pos="1620"/>
              </w:tabs>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租赁</w:t>
            </w:r>
          </w:p>
          <w:p>
            <w:pPr>
              <w:tabs>
                <w:tab w:val="left" w:pos="180"/>
                <w:tab w:val="left" w:pos="1620"/>
              </w:tabs>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和商</w:t>
            </w:r>
          </w:p>
          <w:p>
            <w:pPr>
              <w:tabs>
                <w:tab w:val="left" w:pos="180"/>
                <w:tab w:val="left" w:pos="1620"/>
              </w:tabs>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务服</w:t>
            </w:r>
          </w:p>
          <w:p>
            <w:pPr>
              <w:tabs>
                <w:tab w:val="left" w:pos="180"/>
                <w:tab w:val="left" w:pos="1620"/>
              </w:tabs>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务业</w:t>
            </w:r>
          </w:p>
        </w:tc>
        <w:tc>
          <w:tcPr>
            <w:tcW w:w="5539" w:type="dxa"/>
          </w:tcPr>
          <w:p>
            <w:pPr>
              <w:keepNext w:val="0"/>
              <w:keepLines w:val="0"/>
              <w:pageBreakBefore w:val="0"/>
              <w:kinsoku/>
              <w:wordWrap/>
              <w:overflowPunct/>
              <w:topLinePunct w:val="0"/>
              <w:autoSpaceDE/>
              <w:autoSpaceDN/>
              <w:bidi w:val="0"/>
              <w:adjustRightInd/>
              <w:snapToGrid/>
              <w:spacing w:before="50" w:after="5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派驻1名信息员负责知识库内容采编、更新、维护以及热线工单受理、协调、督办等服务。主要工作为：</w:t>
            </w:r>
          </w:p>
          <w:p>
            <w:pPr>
              <w:keepNext w:val="0"/>
              <w:keepLines w:val="0"/>
              <w:pageBreakBefore w:val="0"/>
              <w:kinsoku/>
              <w:wordWrap/>
              <w:overflowPunct/>
              <w:topLinePunct w:val="0"/>
              <w:autoSpaceDE/>
              <w:autoSpaceDN/>
              <w:bidi w:val="0"/>
              <w:adjustRightInd/>
              <w:snapToGrid/>
              <w:spacing w:before="50" w:after="5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（1）负责广西12316综合信息服务的农技知识库内容更新维护、农资打假投诉、宣传推广活动策划执行等工作。</w:t>
            </w:r>
          </w:p>
          <w:p>
            <w:pPr>
              <w:keepNext w:val="0"/>
              <w:keepLines w:val="0"/>
              <w:pageBreakBefore w:val="0"/>
              <w:kinsoku/>
              <w:wordWrap/>
              <w:overflowPunct/>
              <w:topLinePunct w:val="0"/>
              <w:autoSpaceDE/>
              <w:autoSpaceDN/>
              <w:bidi w:val="0"/>
              <w:adjustRightInd/>
              <w:snapToGrid/>
              <w:spacing w:before="50" w:after="5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（2）负责广西12316综合信息服务与广西12345政务服务便民热线平台数据对接、话务转接、承接、协调、督办12345热线工单等工作。</w:t>
            </w:r>
          </w:p>
          <w:p>
            <w:pPr>
              <w:pStyle w:val="78"/>
              <w:keepNext w:val="0"/>
              <w:keepLines w:val="0"/>
              <w:pageBreakBefore w:val="0"/>
              <w:widowControl/>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（3）负责新媒体12316软文日常采编、上传、更新、维护等工作。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25" w:hRule="atLeast"/>
          <w:jc w:val="center"/>
        </w:trPr>
        <w:tc>
          <w:tcPr>
            <w:tcW w:w="655" w:type="dxa"/>
            <w:vAlign w:val="center"/>
          </w:tcPr>
          <w:p>
            <w:pPr>
              <w:tabs>
                <w:tab w:val="left" w:pos="180"/>
                <w:tab w:val="left" w:pos="1620"/>
              </w:tabs>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1513" w:type="dxa"/>
            <w:gridSpan w:val="2"/>
            <w:vAlign w:val="center"/>
          </w:tcPr>
          <w:p>
            <w:pPr>
              <w:tabs>
                <w:tab w:val="left" w:pos="180"/>
                <w:tab w:val="left" w:pos="1620"/>
              </w:tabs>
              <w:spacing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农业专家咨询答疑服务</w:t>
            </w:r>
          </w:p>
        </w:tc>
        <w:tc>
          <w:tcPr>
            <w:tcW w:w="934" w:type="dxa"/>
            <w:vAlign w:val="center"/>
          </w:tcPr>
          <w:p>
            <w:pPr>
              <w:tabs>
                <w:tab w:val="left" w:pos="180"/>
                <w:tab w:val="left" w:pos="1620"/>
              </w:tabs>
              <w:spacing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1项</w:t>
            </w:r>
          </w:p>
        </w:tc>
        <w:tc>
          <w:tcPr>
            <w:tcW w:w="1073" w:type="dxa"/>
            <w:vAlign w:val="center"/>
          </w:tcPr>
          <w:p>
            <w:pPr>
              <w:tabs>
                <w:tab w:val="left" w:pos="180"/>
                <w:tab w:val="left" w:pos="1620"/>
              </w:tabs>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租赁</w:t>
            </w:r>
          </w:p>
          <w:p>
            <w:pPr>
              <w:tabs>
                <w:tab w:val="left" w:pos="180"/>
                <w:tab w:val="left" w:pos="1620"/>
              </w:tabs>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和商</w:t>
            </w:r>
          </w:p>
          <w:p>
            <w:pPr>
              <w:tabs>
                <w:tab w:val="left" w:pos="180"/>
                <w:tab w:val="left" w:pos="1620"/>
              </w:tabs>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务服</w:t>
            </w:r>
          </w:p>
          <w:p>
            <w:pPr>
              <w:tabs>
                <w:tab w:val="left" w:pos="180"/>
                <w:tab w:val="left" w:pos="1620"/>
              </w:tabs>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务业</w:t>
            </w:r>
          </w:p>
        </w:tc>
        <w:tc>
          <w:tcPr>
            <w:tcW w:w="5539" w:type="dxa"/>
          </w:tcPr>
          <w:p>
            <w:pPr>
              <w:keepNext w:val="0"/>
              <w:keepLines w:val="0"/>
              <w:pageBreakBefore w:val="0"/>
              <w:kinsoku/>
              <w:wordWrap/>
              <w:overflowPunct/>
              <w:topLinePunct w:val="0"/>
              <w:autoSpaceDE/>
              <w:autoSpaceDN/>
              <w:bidi w:val="0"/>
              <w:adjustRightInd/>
              <w:snapToGrid/>
              <w:spacing w:before="50" w:after="5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聘请30名农业专家在外接听12316热线解答农民咨询，并对广西农业经济运行、产业发展、农情灾情等问题进行分析研判给出意见建议，按实际工作量给予补助。发放标准为：接听农民咨询电话1-20次（含20次），300元/月；接听农民咨询电话21-50次（含50次），500元/月，超出50次部分按5元/次计算；零接听农民咨询电话专家，100元/月；分析研判按500元/次计算。主要工作为：</w:t>
            </w:r>
          </w:p>
          <w:p>
            <w:pPr>
              <w:keepNext w:val="0"/>
              <w:keepLines w:val="0"/>
              <w:pageBreakBefore w:val="0"/>
              <w:kinsoku/>
              <w:wordWrap/>
              <w:overflowPunct/>
              <w:topLinePunct w:val="0"/>
              <w:autoSpaceDE/>
              <w:autoSpaceDN/>
              <w:bidi w:val="0"/>
              <w:adjustRightInd/>
              <w:snapToGrid/>
              <w:spacing w:before="50" w:after="5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（1）负责接听12316专席日常转接的热线解答来电，为农民朋友提供强农惠农资讯、农技指导、专家诊疗、分析预测等农业信息服务。</w:t>
            </w:r>
          </w:p>
          <w:p>
            <w:pPr>
              <w:keepNext w:val="0"/>
              <w:keepLines w:val="0"/>
              <w:pageBreakBefore w:val="0"/>
              <w:kinsoku/>
              <w:wordWrap/>
              <w:overflowPunct/>
              <w:topLinePunct w:val="0"/>
              <w:autoSpaceDE/>
              <w:autoSpaceDN/>
              <w:bidi w:val="0"/>
              <w:adjustRightInd/>
              <w:snapToGrid/>
              <w:spacing w:before="50" w:after="5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（2）做好广西农业经济运行、产业发展、农情灾情等进行问题的分析研判、提出意见建议，撰写分析报告等。</w:t>
            </w:r>
          </w:p>
          <w:p>
            <w:pPr>
              <w:keepNext w:val="0"/>
              <w:keepLines w:val="0"/>
              <w:pageBreakBefore w:val="0"/>
              <w:kinsoku/>
              <w:wordWrap/>
              <w:overflowPunct/>
              <w:topLinePunct w:val="0"/>
              <w:autoSpaceDE/>
              <w:autoSpaceDN/>
              <w:bidi w:val="0"/>
              <w:adjustRightInd/>
              <w:snapToGrid/>
              <w:spacing w:before="50" w:after="5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（3）做好12316新媒体渠道关于12316的相关农业咨询解答。</w:t>
            </w:r>
          </w:p>
          <w:p>
            <w:pPr>
              <w:pStyle w:val="78"/>
              <w:keepNext w:val="0"/>
              <w:keepLines w:val="0"/>
              <w:pageBreakBefore w:val="0"/>
              <w:widowControl/>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（4）做好12316现场宣传推广活动专家咨询等。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25" w:hRule="atLeast"/>
          <w:jc w:val="center"/>
        </w:trPr>
        <w:tc>
          <w:tcPr>
            <w:tcW w:w="655" w:type="dxa"/>
            <w:vAlign w:val="center"/>
          </w:tcPr>
          <w:p>
            <w:pPr>
              <w:widowControl/>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rPr>
              <w:t>3</w:t>
            </w:r>
          </w:p>
        </w:tc>
        <w:tc>
          <w:tcPr>
            <w:tcW w:w="1513" w:type="dxa"/>
            <w:gridSpan w:val="2"/>
            <w:vAlign w:val="center"/>
          </w:tcPr>
          <w:p>
            <w:pPr>
              <w:spacing w:before="50" w:after="5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话务专席应答服务</w:t>
            </w:r>
          </w:p>
        </w:tc>
        <w:tc>
          <w:tcPr>
            <w:tcW w:w="934" w:type="dxa"/>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1项</w:t>
            </w:r>
          </w:p>
        </w:tc>
        <w:tc>
          <w:tcPr>
            <w:tcW w:w="1073" w:type="dxa"/>
            <w:vAlign w:val="center"/>
          </w:tcPr>
          <w:p>
            <w:pPr>
              <w:tabs>
                <w:tab w:val="left" w:pos="180"/>
                <w:tab w:val="left" w:pos="1620"/>
              </w:tabs>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租赁</w:t>
            </w:r>
          </w:p>
          <w:p>
            <w:pPr>
              <w:tabs>
                <w:tab w:val="left" w:pos="180"/>
                <w:tab w:val="left" w:pos="1620"/>
              </w:tabs>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和商</w:t>
            </w:r>
          </w:p>
          <w:p>
            <w:pPr>
              <w:tabs>
                <w:tab w:val="left" w:pos="180"/>
                <w:tab w:val="left" w:pos="1620"/>
              </w:tabs>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务服</w:t>
            </w:r>
          </w:p>
          <w:p>
            <w:pPr>
              <w:tabs>
                <w:tab w:val="left" w:pos="180"/>
                <w:tab w:val="left" w:pos="1620"/>
              </w:tabs>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务业</w:t>
            </w:r>
          </w:p>
        </w:tc>
        <w:tc>
          <w:tcPr>
            <w:tcW w:w="5539" w:type="dxa"/>
          </w:tcPr>
          <w:p>
            <w:pPr>
              <w:keepNext w:val="0"/>
              <w:keepLines w:val="0"/>
              <w:pageBreakBefore w:val="0"/>
              <w:kinsoku/>
              <w:wordWrap/>
              <w:overflowPunct/>
              <w:topLinePunct w:val="0"/>
              <w:autoSpaceDE/>
              <w:autoSpaceDN/>
              <w:bidi w:val="0"/>
              <w:adjustRightInd/>
              <w:snapToGrid/>
              <w:spacing w:before="50" w:after="5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安排4名专职话务员负责12316热线人工服务，含12316热线服务咨询及农资打假投诉处理，专家转接、新媒体应答等日常工作。主要工作为：</w:t>
            </w:r>
          </w:p>
          <w:p>
            <w:pPr>
              <w:keepNext w:val="0"/>
              <w:keepLines w:val="0"/>
              <w:pageBreakBefore w:val="0"/>
              <w:kinsoku/>
              <w:wordWrap/>
              <w:overflowPunct/>
              <w:topLinePunct w:val="0"/>
              <w:autoSpaceDE/>
              <w:autoSpaceDN/>
              <w:bidi w:val="0"/>
              <w:adjustRightInd/>
              <w:snapToGrid/>
              <w:spacing w:before="50" w:after="5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（1）接听12316热线或12345热线转接的涉及三农问题客户来电，为客户提供农资打假投诉处理、农业专家转接、客户建议接纳等服务。</w:t>
            </w:r>
          </w:p>
          <w:p>
            <w:pPr>
              <w:keepNext w:val="0"/>
              <w:keepLines w:val="0"/>
              <w:pageBreakBefore w:val="0"/>
              <w:kinsoku/>
              <w:wordWrap/>
              <w:overflowPunct/>
              <w:topLinePunct w:val="0"/>
              <w:autoSpaceDE/>
              <w:autoSpaceDN/>
              <w:bidi w:val="0"/>
              <w:adjustRightInd/>
              <w:snapToGrid/>
              <w:spacing w:before="50" w:after="5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（2）负责网站及新媒体客户的12316农业咨询解答、农资打假投诉处理等。</w:t>
            </w:r>
          </w:p>
          <w:p>
            <w:pPr>
              <w:keepNext w:val="0"/>
              <w:keepLines w:val="0"/>
              <w:pageBreakBefore w:val="0"/>
              <w:kinsoku/>
              <w:wordWrap/>
              <w:overflowPunct/>
              <w:topLinePunct w:val="0"/>
              <w:autoSpaceDE/>
              <w:autoSpaceDN/>
              <w:bidi w:val="0"/>
              <w:adjustRightInd/>
              <w:snapToGrid/>
              <w:spacing w:before="50" w:after="5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（3）依照12316管理规范及业务流程完成来电信息准确录入处理及回访等工作。</w:t>
            </w:r>
          </w:p>
          <w:p>
            <w:pPr>
              <w:pStyle w:val="78"/>
              <w:keepNext w:val="0"/>
              <w:keepLines w:val="0"/>
              <w:pageBreakBefore w:val="0"/>
              <w:widowControl/>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（4）对非工作时间咨询留言进行复听及问题反馈，对农资打假问题进行满意度回访调查等。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2" w:hRule="atLeast"/>
          <w:jc w:val="center"/>
        </w:trPr>
        <w:tc>
          <w:tcPr>
            <w:tcW w:w="655" w:type="dxa"/>
            <w:vAlign w:val="center"/>
          </w:tcPr>
          <w:p>
            <w:pPr>
              <w:widowControl/>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rPr>
              <w:t>4</w:t>
            </w:r>
          </w:p>
        </w:tc>
        <w:tc>
          <w:tcPr>
            <w:tcW w:w="1513" w:type="dxa"/>
            <w:gridSpan w:val="2"/>
            <w:vAlign w:val="center"/>
          </w:tcPr>
          <w:p>
            <w:pPr>
              <w:spacing w:before="50" w:after="5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12316 宣传推广</w:t>
            </w:r>
          </w:p>
        </w:tc>
        <w:tc>
          <w:tcPr>
            <w:tcW w:w="934" w:type="dxa"/>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1项</w:t>
            </w:r>
          </w:p>
        </w:tc>
        <w:tc>
          <w:tcPr>
            <w:tcW w:w="1073" w:type="dxa"/>
            <w:vAlign w:val="center"/>
          </w:tcPr>
          <w:p>
            <w:pPr>
              <w:tabs>
                <w:tab w:val="left" w:pos="180"/>
                <w:tab w:val="left" w:pos="1620"/>
              </w:tabs>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租赁</w:t>
            </w:r>
          </w:p>
          <w:p>
            <w:pPr>
              <w:tabs>
                <w:tab w:val="left" w:pos="180"/>
                <w:tab w:val="left" w:pos="1620"/>
              </w:tabs>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和商</w:t>
            </w:r>
          </w:p>
          <w:p>
            <w:pPr>
              <w:tabs>
                <w:tab w:val="left" w:pos="180"/>
                <w:tab w:val="left" w:pos="1620"/>
              </w:tabs>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务服</w:t>
            </w:r>
          </w:p>
          <w:p>
            <w:pPr>
              <w:tabs>
                <w:tab w:val="left" w:pos="180"/>
                <w:tab w:val="left" w:pos="1620"/>
              </w:tabs>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务业</w:t>
            </w:r>
          </w:p>
        </w:tc>
        <w:tc>
          <w:tcPr>
            <w:tcW w:w="5539" w:type="dxa"/>
          </w:tcPr>
          <w:p>
            <w:pPr>
              <w:keepNext w:val="0"/>
              <w:keepLines w:val="0"/>
              <w:pageBreakBefore w:val="0"/>
              <w:kinsoku/>
              <w:wordWrap/>
              <w:overflowPunct/>
              <w:topLinePunct w:val="0"/>
              <w:autoSpaceDE/>
              <w:autoSpaceDN/>
              <w:bidi w:val="0"/>
              <w:adjustRightInd/>
              <w:snapToGrid/>
              <w:spacing w:before="50" w:after="5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（1）短信群发推广：电信、移动、联通三网拟推送30万条短信，主要为农业政策、农技知识、防疫政策、渠道宣传等。</w:t>
            </w:r>
          </w:p>
          <w:p>
            <w:pPr>
              <w:pStyle w:val="78"/>
              <w:keepNext w:val="0"/>
              <w:keepLines w:val="0"/>
              <w:pageBreakBefore w:val="0"/>
              <w:widowControl/>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（2）12316业务交流：年度组织1次12316综合信息服务农业专家及信息员业务培训，总结12316运营情况，探讨发展方向，优化服务流程，强化操作规范、农业专家服务及交流。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714" w:type="dxa"/>
            <w:gridSpan w:val="6"/>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Cs w:val="21"/>
                <w:highlight w:val="none"/>
              </w:rPr>
            </w:pPr>
            <w:r>
              <w:rPr>
                <w:rFonts w:hint="eastAsia" w:ascii="宋体" w:hAnsi="宋体" w:cs="宋体"/>
                <w:b/>
                <w:color w:val="auto"/>
                <w:szCs w:val="21"/>
                <w:highlight w:val="none"/>
              </w:rPr>
              <w:t>商务要求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10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Cs w:val="21"/>
                <w:highlight w:val="none"/>
              </w:rPr>
            </w:pPr>
            <w:r>
              <w:rPr>
                <w:rFonts w:hint="eastAsia" w:ascii="宋体" w:hAnsi="宋体" w:cs="宋体"/>
                <w:b/>
                <w:bCs/>
                <w:color w:val="auto"/>
                <w:szCs w:val="21"/>
                <w:highlight w:val="none"/>
              </w:rPr>
              <w:t>▲</w:t>
            </w:r>
            <w:r>
              <w:rPr>
                <w:rFonts w:hint="eastAsia" w:ascii="宋体" w:hAnsi="宋体" w:cs="宋体"/>
                <w:bCs/>
                <w:color w:val="auto"/>
                <w:szCs w:val="21"/>
                <w:highlight w:val="none"/>
              </w:rPr>
              <w:t>磋商报价要求</w:t>
            </w:r>
          </w:p>
        </w:tc>
        <w:tc>
          <w:tcPr>
            <w:tcW w:w="7614" w:type="dxa"/>
            <w:gridSpan w:val="4"/>
            <w:tcBorders>
              <w:top w:val="single" w:color="auto" w:sz="4" w:space="0"/>
              <w:left w:val="single" w:color="auto" w:sz="4" w:space="0"/>
              <w:bottom w:val="single" w:color="auto" w:sz="4" w:space="0"/>
              <w:right w:val="single" w:color="auto" w:sz="4" w:space="0"/>
            </w:tcBorders>
            <w:vAlign w:val="center"/>
          </w:tcPr>
          <w:p>
            <w:pPr>
              <w:rPr>
                <w:color w:val="auto"/>
                <w:highlight w:val="none"/>
              </w:rPr>
            </w:pPr>
            <w:r>
              <w:rPr>
                <w:rFonts w:hint="eastAsia"/>
                <w:color w:val="auto"/>
                <w:highlight w:val="none"/>
                <w:lang w:val="en-US" w:eastAsia="zh-CN"/>
              </w:rPr>
              <w:t>包含本项目所有服务内容、实施、劳务各种费用和税金及其它所有成本费用的总和。供应商应对本项目所有服务内容进行总承包报价。采购人不再支付成交价格以外的任何费用。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10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cs="宋体"/>
                <w:b/>
                <w:color w:val="auto"/>
                <w:szCs w:val="21"/>
                <w:highlight w:val="none"/>
              </w:rPr>
            </w:pPr>
            <w:r>
              <w:rPr>
                <w:rFonts w:hint="eastAsia" w:ascii="宋体" w:hAnsi="宋体"/>
                <w:color w:val="auto"/>
                <w:szCs w:val="21"/>
                <w:highlight w:val="none"/>
              </w:rPr>
              <w:t>▲合同履约期限</w:t>
            </w:r>
            <w:r>
              <w:rPr>
                <w:rFonts w:hint="eastAsia" w:ascii="宋体" w:hAnsi="宋体"/>
                <w:color w:val="auto"/>
                <w:szCs w:val="21"/>
                <w:highlight w:val="none"/>
                <w:lang w:eastAsia="zh-CN"/>
              </w:rPr>
              <w:t>（服务期限）</w:t>
            </w:r>
            <w:r>
              <w:rPr>
                <w:rFonts w:hint="eastAsia" w:ascii="宋体" w:hAnsi="宋体"/>
                <w:color w:val="auto"/>
                <w:szCs w:val="21"/>
                <w:highlight w:val="none"/>
              </w:rPr>
              <w:t>和地点</w:t>
            </w:r>
          </w:p>
        </w:tc>
        <w:tc>
          <w:tcPr>
            <w:tcW w:w="7614" w:type="dxa"/>
            <w:gridSpan w:val="4"/>
            <w:tcBorders>
              <w:top w:val="single" w:color="auto" w:sz="4" w:space="0"/>
              <w:left w:val="single" w:color="auto" w:sz="4" w:space="0"/>
              <w:bottom w:val="single" w:color="auto" w:sz="4" w:space="0"/>
              <w:right w:val="single" w:color="auto" w:sz="4" w:space="0"/>
            </w:tcBorders>
            <w:vAlign w:val="center"/>
          </w:tcPr>
          <w:p>
            <w:pPr>
              <w:numPr>
                <w:ilvl w:val="0"/>
                <w:numId w:val="0"/>
              </w:numPr>
              <w:adjustRightInd w:val="0"/>
              <w:snapToGrid w:val="0"/>
              <w:spacing w:line="360" w:lineRule="exact"/>
              <w:rPr>
                <w:rFonts w:hint="default" w:ascii="宋体" w:hAnsi="宋体"/>
                <w:color w:val="auto"/>
                <w:szCs w:val="21"/>
                <w:highlight w:val="none"/>
                <w:lang w:val="en-US" w:eastAsia="zh-CN"/>
              </w:rPr>
            </w:pPr>
            <w:r>
              <w:rPr>
                <w:rFonts w:hint="eastAsia" w:ascii="宋体" w:hAnsi="宋体"/>
                <w:color w:val="auto"/>
                <w:szCs w:val="21"/>
                <w:highlight w:val="none"/>
              </w:rPr>
              <w:t>合同履约期限</w:t>
            </w:r>
            <w:r>
              <w:rPr>
                <w:rFonts w:hint="eastAsia" w:ascii="宋体" w:hAnsi="宋体"/>
                <w:color w:val="auto"/>
                <w:szCs w:val="21"/>
                <w:highlight w:val="none"/>
                <w:lang w:eastAsia="zh-CN"/>
              </w:rPr>
              <w:t>（服务期限）</w:t>
            </w:r>
            <w:r>
              <w:rPr>
                <w:rFonts w:hint="eastAsia" w:ascii="宋体" w:hAnsi="宋体"/>
                <w:color w:val="auto"/>
                <w:szCs w:val="21"/>
                <w:highlight w:val="none"/>
              </w:rPr>
              <w:t>：自合同签订之日起一年</w:t>
            </w:r>
          </w:p>
          <w:p>
            <w:pPr>
              <w:adjustRightInd w:val="0"/>
              <w:snapToGrid w:val="0"/>
              <w:spacing w:line="360" w:lineRule="exact"/>
              <w:rPr>
                <w:color w:val="auto"/>
                <w:highlight w:val="none"/>
              </w:rPr>
            </w:pPr>
            <w:r>
              <w:rPr>
                <w:rFonts w:hint="eastAsia" w:ascii="宋体" w:hAnsi="宋体"/>
                <w:color w:val="auto"/>
                <w:szCs w:val="21"/>
                <w:highlight w:val="none"/>
              </w:rPr>
              <w:t>地点：</w:t>
            </w:r>
            <w:r>
              <w:rPr>
                <w:rFonts w:hint="eastAsia" w:ascii="宋体" w:hAnsi="宋体"/>
                <w:color w:val="auto"/>
                <w:szCs w:val="21"/>
                <w:highlight w:val="none"/>
                <w:lang w:val="en-US" w:eastAsia="zh-CN"/>
              </w:rPr>
              <w:t>采购人指定地点。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10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cs="宋体"/>
                <w:color w:val="auto"/>
                <w:szCs w:val="21"/>
                <w:highlight w:val="none"/>
              </w:rPr>
            </w:pPr>
            <w:r>
              <w:rPr>
                <w:rFonts w:hint="eastAsia" w:ascii="宋体" w:hAnsi="宋体"/>
                <w:color w:val="auto"/>
                <w:szCs w:val="21"/>
                <w:highlight w:val="none"/>
              </w:rPr>
              <w:t>▲付款方式</w:t>
            </w:r>
          </w:p>
        </w:tc>
        <w:tc>
          <w:tcPr>
            <w:tcW w:w="7614"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ascii="宋体" w:hAnsi="宋体" w:cs="宋体"/>
                <w:bCs/>
                <w:color w:val="auto"/>
                <w:szCs w:val="22"/>
                <w:highlight w:val="none"/>
              </w:rPr>
            </w:pPr>
            <w:r>
              <w:rPr>
                <w:rFonts w:hint="eastAsia" w:ascii="宋体" w:hAnsi="宋体"/>
                <w:color w:val="auto"/>
                <w:szCs w:val="21"/>
                <w:highlight w:val="none"/>
              </w:rPr>
              <w:t>签订合同后成交供应商按合同要求开展运维服务工作，签订合同后10个工作日内，由采购人支付50% 合同款给成交供应商，成交供应商提供服务2个月，并取得运维成果，采购人支付剩余50%的合同款。成交供应商每次收到合同款之日起3个工作日内开具合法的发票给采购人。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10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olor w:val="auto"/>
                <w:szCs w:val="21"/>
                <w:highlight w:val="none"/>
                <w:lang w:eastAsia="zh-CN"/>
              </w:rPr>
            </w:pPr>
            <w:r>
              <w:rPr>
                <w:rFonts w:hint="eastAsia" w:ascii="宋体" w:hAnsi="宋体"/>
                <w:color w:val="auto"/>
                <w:szCs w:val="21"/>
                <w:highlight w:val="none"/>
              </w:rPr>
              <w:t>▲服务保密要求</w:t>
            </w:r>
          </w:p>
        </w:tc>
        <w:tc>
          <w:tcPr>
            <w:tcW w:w="7614"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ascii="宋体" w:hAnsi="宋体" w:cs="宋体"/>
                <w:bCs/>
                <w:color w:val="auto"/>
                <w:szCs w:val="22"/>
                <w:highlight w:val="none"/>
              </w:rPr>
            </w:pPr>
            <w:r>
              <w:rPr>
                <w:rFonts w:hint="eastAsia" w:ascii="宋体" w:hAnsi="宋体"/>
                <w:color w:val="auto"/>
                <w:szCs w:val="21"/>
                <w:highlight w:val="none"/>
              </w:rPr>
              <w:t>供应商应保密，承诺不将任何涉及本项目的信息向外界泄露</w:t>
            </w:r>
            <w:r>
              <w:rPr>
                <w:rFonts w:hint="eastAsia" w:ascii="宋体" w:hAnsi="宋体"/>
                <w:color w:val="auto"/>
                <w:szCs w:val="21"/>
                <w:highlight w:val="none"/>
                <w:lang w:eastAsia="zh-CN"/>
              </w:rPr>
              <w:t>。</w:t>
            </w:r>
          </w:p>
        </w:tc>
      </w:tr>
    </w:tbl>
    <w:p>
      <w:pPr>
        <w:spacing w:line="360" w:lineRule="auto"/>
        <w:ind w:firstLine="310" w:firstLineChars="147"/>
        <w:jc w:val="left"/>
        <w:rPr>
          <w:rFonts w:hint="eastAsia" w:ascii="宋体" w:hAnsi="宋体" w:cs="宋体"/>
          <w:b/>
          <w:color w:val="auto"/>
          <w:szCs w:val="21"/>
          <w:highlight w:val="none"/>
          <w:lang w:eastAsia="zh-CN"/>
        </w:rPr>
      </w:pPr>
    </w:p>
    <w:p>
      <w:pPr>
        <w:spacing w:line="360" w:lineRule="auto"/>
        <w:ind w:firstLine="310" w:firstLineChars="147"/>
        <w:jc w:val="left"/>
        <w:rPr>
          <w:rFonts w:ascii="宋体" w:hAnsi="宋体" w:cs="宋体"/>
          <w:bCs/>
          <w:color w:val="auto"/>
          <w:szCs w:val="21"/>
          <w:highlight w:val="none"/>
          <w:u w:val="single"/>
        </w:rPr>
      </w:pPr>
      <w:r>
        <w:rPr>
          <w:rFonts w:hint="eastAsia" w:ascii="宋体" w:hAnsi="宋体" w:cs="宋体"/>
          <w:b/>
          <w:bCs w:val="0"/>
          <w:color w:val="auto"/>
          <w:szCs w:val="21"/>
          <w:highlight w:val="none"/>
          <w:lang w:eastAsia="zh-CN"/>
        </w:rPr>
        <w:t>分标</w:t>
      </w:r>
      <w:r>
        <w:rPr>
          <w:rFonts w:hint="eastAsia" w:ascii="宋体" w:hAnsi="宋体" w:cs="宋体"/>
          <w:b/>
          <w:bCs w:val="0"/>
          <w:color w:val="auto"/>
          <w:szCs w:val="21"/>
          <w:highlight w:val="none"/>
          <w:lang w:val="en-US" w:eastAsia="zh-CN"/>
        </w:rPr>
        <w:t xml:space="preserve">7(广西农产品身份信息核查监管平台运维)      </w:t>
      </w:r>
      <w:r>
        <w:rPr>
          <w:rFonts w:hint="eastAsia" w:ascii="宋体" w:hAnsi="宋体" w:cs="宋体"/>
          <w:b/>
          <w:bCs w:val="0"/>
          <w:color w:val="auto"/>
          <w:szCs w:val="21"/>
          <w:highlight w:val="none"/>
        </w:rPr>
        <w:t>采购预算：</w:t>
      </w:r>
      <w:r>
        <w:rPr>
          <w:rFonts w:hint="eastAsia" w:ascii="宋体" w:hAnsi="宋体" w:cs="宋体"/>
          <w:b/>
          <w:bCs w:val="0"/>
          <w:color w:val="auto"/>
          <w:szCs w:val="21"/>
          <w:highlight w:val="none"/>
          <w:u w:val="single"/>
        </w:rPr>
        <w:t xml:space="preserve"> </w:t>
      </w:r>
      <w:r>
        <w:rPr>
          <w:rFonts w:hint="eastAsia" w:ascii="宋体" w:hAnsi="宋体" w:cs="宋体"/>
          <w:b/>
          <w:bCs w:val="0"/>
          <w:color w:val="auto"/>
          <w:szCs w:val="21"/>
          <w:highlight w:val="none"/>
          <w:u w:val="single"/>
          <w:lang w:val="en-US" w:eastAsia="zh-CN"/>
        </w:rPr>
        <w:t>10.00</w:t>
      </w:r>
      <w:r>
        <w:rPr>
          <w:rFonts w:hint="eastAsia" w:ascii="宋体" w:hAnsi="宋体" w:cs="宋体"/>
          <w:b/>
          <w:bCs w:val="0"/>
          <w:color w:val="auto"/>
          <w:szCs w:val="21"/>
          <w:highlight w:val="none"/>
          <w:u w:val="single"/>
        </w:rPr>
        <w:t>万元</w:t>
      </w:r>
      <w:r>
        <w:rPr>
          <w:rFonts w:hint="eastAsia" w:ascii="宋体" w:hAnsi="宋体" w:cs="宋体"/>
          <w:b/>
          <w:bCs w:val="0"/>
          <w:color w:val="auto"/>
          <w:szCs w:val="21"/>
          <w:highlight w:val="none"/>
        </w:rPr>
        <w:t xml:space="preserve">    </w:t>
      </w:r>
      <w:r>
        <w:rPr>
          <w:rFonts w:hint="eastAsia" w:ascii="宋体" w:hAnsi="宋体" w:cs="宋体"/>
          <w:b/>
          <w:color w:val="auto"/>
          <w:szCs w:val="21"/>
          <w:highlight w:val="none"/>
        </w:rPr>
        <w:t xml:space="preserve">    </w:t>
      </w:r>
    </w:p>
    <w:tbl>
      <w:tblPr>
        <w:tblStyle w:val="30"/>
        <w:tblW w:w="971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5"/>
        <w:gridCol w:w="1445"/>
        <w:gridCol w:w="68"/>
        <w:gridCol w:w="934"/>
        <w:gridCol w:w="1073"/>
        <w:gridCol w:w="55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7" w:hRule="atLeast"/>
          <w:jc w:val="center"/>
        </w:trPr>
        <w:tc>
          <w:tcPr>
            <w:tcW w:w="655" w:type="dxa"/>
            <w:vAlign w:val="center"/>
          </w:tcPr>
          <w:p>
            <w:pPr>
              <w:tabs>
                <w:tab w:val="left" w:pos="180"/>
                <w:tab w:val="left" w:pos="1620"/>
              </w:tabs>
              <w:spacing w:line="320" w:lineRule="exact"/>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1513" w:type="dxa"/>
            <w:gridSpan w:val="2"/>
            <w:vAlign w:val="center"/>
          </w:tcPr>
          <w:p>
            <w:pPr>
              <w:tabs>
                <w:tab w:val="left" w:pos="180"/>
                <w:tab w:val="left" w:pos="1620"/>
              </w:tabs>
              <w:spacing w:line="320" w:lineRule="exact"/>
              <w:jc w:val="center"/>
              <w:rPr>
                <w:rFonts w:ascii="宋体" w:hAnsi="宋体" w:cs="宋体"/>
                <w:color w:val="auto"/>
                <w:szCs w:val="21"/>
                <w:highlight w:val="none"/>
              </w:rPr>
            </w:pPr>
            <w:r>
              <w:rPr>
                <w:rFonts w:hint="eastAsia" w:ascii="宋体" w:hAnsi="宋体" w:cs="宋体"/>
                <w:color w:val="auto"/>
                <w:szCs w:val="21"/>
                <w:highlight w:val="none"/>
              </w:rPr>
              <w:t>标的的名称</w:t>
            </w:r>
          </w:p>
        </w:tc>
        <w:tc>
          <w:tcPr>
            <w:tcW w:w="934" w:type="dxa"/>
            <w:vAlign w:val="center"/>
          </w:tcPr>
          <w:p>
            <w:pPr>
              <w:tabs>
                <w:tab w:val="left" w:pos="180"/>
                <w:tab w:val="left" w:pos="1620"/>
              </w:tabs>
              <w:spacing w:line="320" w:lineRule="exact"/>
              <w:jc w:val="center"/>
              <w:rPr>
                <w:rFonts w:ascii="宋体" w:hAnsi="宋体" w:cs="宋体"/>
                <w:color w:val="auto"/>
                <w:szCs w:val="21"/>
                <w:highlight w:val="none"/>
              </w:rPr>
            </w:pPr>
            <w:r>
              <w:rPr>
                <w:rFonts w:hint="eastAsia" w:ascii="宋体" w:hAnsi="宋体" w:cs="宋体"/>
                <w:color w:val="auto"/>
                <w:szCs w:val="21"/>
                <w:highlight w:val="none"/>
              </w:rPr>
              <w:t>数量及单位</w:t>
            </w:r>
          </w:p>
        </w:tc>
        <w:tc>
          <w:tcPr>
            <w:tcW w:w="1073" w:type="dxa"/>
            <w:vAlign w:val="center"/>
          </w:tcPr>
          <w:p>
            <w:pPr>
              <w:tabs>
                <w:tab w:val="left" w:pos="180"/>
                <w:tab w:val="left" w:pos="1620"/>
              </w:tabs>
              <w:spacing w:line="320" w:lineRule="exact"/>
              <w:jc w:val="center"/>
              <w:rPr>
                <w:rFonts w:ascii="宋体" w:hAnsi="宋体" w:cs="宋体"/>
                <w:color w:val="auto"/>
                <w:szCs w:val="21"/>
                <w:highlight w:val="none"/>
              </w:rPr>
            </w:pPr>
            <w:r>
              <w:rPr>
                <w:rFonts w:hint="eastAsia" w:ascii="宋体" w:hAnsi="宋体" w:cs="宋体"/>
                <w:color w:val="auto"/>
                <w:szCs w:val="21"/>
                <w:highlight w:val="none"/>
              </w:rPr>
              <w:t>所属</w:t>
            </w:r>
          </w:p>
          <w:p>
            <w:pPr>
              <w:tabs>
                <w:tab w:val="left" w:pos="180"/>
                <w:tab w:val="left" w:pos="1620"/>
              </w:tabs>
              <w:spacing w:line="320" w:lineRule="exact"/>
              <w:jc w:val="center"/>
              <w:rPr>
                <w:rFonts w:ascii="宋体" w:hAnsi="宋体" w:cs="宋体"/>
                <w:color w:val="auto"/>
                <w:szCs w:val="21"/>
                <w:highlight w:val="none"/>
              </w:rPr>
            </w:pPr>
            <w:r>
              <w:rPr>
                <w:rFonts w:hint="eastAsia" w:ascii="宋体" w:hAnsi="宋体" w:cs="宋体"/>
                <w:color w:val="auto"/>
                <w:szCs w:val="21"/>
                <w:highlight w:val="none"/>
              </w:rPr>
              <w:t>行业</w:t>
            </w:r>
          </w:p>
        </w:tc>
        <w:tc>
          <w:tcPr>
            <w:tcW w:w="5539" w:type="dxa"/>
            <w:vAlign w:val="center"/>
          </w:tcPr>
          <w:p>
            <w:pPr>
              <w:tabs>
                <w:tab w:val="left" w:pos="180"/>
                <w:tab w:val="left" w:pos="1620"/>
              </w:tabs>
              <w:spacing w:line="320" w:lineRule="exact"/>
              <w:jc w:val="center"/>
              <w:rPr>
                <w:rFonts w:ascii="宋体" w:hAnsi="宋体" w:cs="宋体"/>
                <w:color w:val="auto"/>
                <w:szCs w:val="21"/>
                <w:highlight w:val="none"/>
              </w:rPr>
            </w:pPr>
            <w:r>
              <w:rPr>
                <w:rFonts w:hint="eastAsia" w:ascii="宋体" w:hAnsi="宋体" w:cs="宋体"/>
                <w:color w:val="auto"/>
                <w:szCs w:val="21"/>
                <w:highlight w:val="none"/>
              </w:rPr>
              <w:t>技术要求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25" w:hRule="atLeast"/>
          <w:jc w:val="center"/>
        </w:trPr>
        <w:tc>
          <w:tcPr>
            <w:tcW w:w="655" w:type="dxa"/>
            <w:vAlign w:val="center"/>
          </w:tcPr>
          <w:p>
            <w:pPr>
              <w:tabs>
                <w:tab w:val="left" w:pos="180"/>
                <w:tab w:val="left" w:pos="1620"/>
              </w:tabs>
              <w:spacing w:line="360"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1513" w:type="dxa"/>
            <w:gridSpan w:val="2"/>
            <w:vAlign w:val="center"/>
          </w:tcPr>
          <w:p>
            <w:pPr>
              <w:tabs>
                <w:tab w:val="left" w:pos="180"/>
                <w:tab w:val="left" w:pos="1620"/>
              </w:tabs>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平台系统日常</w:t>
            </w:r>
          </w:p>
          <w:p>
            <w:pPr>
              <w:tabs>
                <w:tab w:val="left" w:pos="180"/>
                <w:tab w:val="left" w:pos="1620"/>
              </w:tabs>
              <w:spacing w:line="360" w:lineRule="auto"/>
              <w:jc w:val="center"/>
              <w:rPr>
                <w:rFonts w:hint="eastAsia" w:ascii="宋体" w:hAnsi="宋体" w:cs="宋体"/>
                <w:color w:val="auto"/>
                <w:szCs w:val="21"/>
                <w:highlight w:val="none"/>
                <w:lang w:eastAsia="zh-CN"/>
              </w:rPr>
            </w:pPr>
            <w:r>
              <w:rPr>
                <w:rFonts w:hint="eastAsia" w:ascii="宋体" w:hAnsi="宋体" w:cs="宋体"/>
                <w:color w:val="auto"/>
                <w:szCs w:val="21"/>
                <w:highlight w:val="none"/>
              </w:rPr>
              <w:t>维护</w:t>
            </w:r>
          </w:p>
        </w:tc>
        <w:tc>
          <w:tcPr>
            <w:tcW w:w="934" w:type="dxa"/>
            <w:vAlign w:val="center"/>
          </w:tcPr>
          <w:p>
            <w:pPr>
              <w:tabs>
                <w:tab w:val="left" w:pos="180"/>
                <w:tab w:val="left" w:pos="1620"/>
              </w:tabs>
              <w:spacing w:line="360" w:lineRule="auto"/>
              <w:jc w:val="center"/>
              <w:rPr>
                <w:rFonts w:hint="eastAsia" w:ascii="宋体" w:hAnsi="宋体" w:cs="宋体"/>
                <w:color w:val="auto"/>
                <w:szCs w:val="21"/>
                <w:highlight w:val="none"/>
                <w:lang w:eastAsia="zh-CN"/>
              </w:rPr>
            </w:pPr>
            <w:r>
              <w:rPr>
                <w:rFonts w:hint="eastAsia" w:ascii="宋体" w:hAnsi="宋体" w:cs="宋体"/>
                <w:color w:val="auto"/>
                <w:szCs w:val="21"/>
                <w:highlight w:val="none"/>
              </w:rPr>
              <w:t>1项</w:t>
            </w:r>
          </w:p>
        </w:tc>
        <w:tc>
          <w:tcPr>
            <w:tcW w:w="1073" w:type="dxa"/>
            <w:vAlign w:val="center"/>
          </w:tcPr>
          <w:p>
            <w:pPr>
              <w:tabs>
                <w:tab w:val="left" w:pos="180"/>
                <w:tab w:val="left" w:pos="1620"/>
              </w:tabs>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软件和信息技术服务业</w:t>
            </w:r>
          </w:p>
        </w:tc>
        <w:tc>
          <w:tcPr>
            <w:tcW w:w="5539" w:type="dxa"/>
          </w:tcPr>
          <w:p>
            <w:pPr>
              <w:pStyle w:val="78"/>
              <w:keepNext w:val="0"/>
              <w:keepLines w:val="0"/>
              <w:pageBreakBefore w:val="0"/>
              <w:widowControl/>
              <w:kinsoku/>
              <w:wordWrap/>
              <w:overflowPunct/>
              <w:topLinePunct w:val="0"/>
              <w:autoSpaceDE/>
              <w:autoSpaceDN/>
              <w:bidi w:val="0"/>
              <w:adjustRightInd/>
              <w:snapToGrid/>
              <w:spacing w:line="360" w:lineRule="auto"/>
              <w:ind w:left="0" w:leftChars="0"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1、定期巡检：定期检查平台电脑端及手机端程序运行状况，查看系统日志文，及时发现问题并进行排除。</w:t>
            </w:r>
          </w:p>
          <w:p>
            <w:pPr>
              <w:pStyle w:val="78"/>
              <w:keepNext w:val="0"/>
              <w:keepLines w:val="0"/>
              <w:pageBreakBefore w:val="0"/>
              <w:widowControl/>
              <w:kinsoku/>
              <w:wordWrap/>
              <w:overflowPunct/>
              <w:topLinePunct w:val="0"/>
              <w:autoSpaceDE/>
              <w:autoSpaceDN/>
              <w:bidi w:val="0"/>
              <w:adjustRightInd/>
              <w:snapToGrid/>
              <w:spacing w:line="360" w:lineRule="auto"/>
              <w:ind w:left="0" w:leftChars="0"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2、故障处理：系统突发事件的诊断、排除，帮助解答系统相关的各种业务和技术问题，包括技术咨询、指导和信息提供等。提供5×8小时的全天候分级服务响应，</w:t>
            </w:r>
            <w:r>
              <w:rPr>
                <w:rFonts w:ascii="宋体" w:hAnsi="宋体" w:cs="宋体"/>
                <w:color w:val="auto"/>
                <w:szCs w:val="21"/>
                <w:highlight w:val="none"/>
              </w:rPr>
              <w:t>1</w:t>
            </w:r>
            <w:r>
              <w:rPr>
                <w:rFonts w:hint="eastAsia" w:ascii="宋体" w:hAnsi="宋体" w:cs="宋体"/>
                <w:color w:val="auto"/>
                <w:szCs w:val="21"/>
                <w:highlight w:val="none"/>
              </w:rPr>
              <w:t>小时内给予响应，</w:t>
            </w:r>
            <w:r>
              <w:rPr>
                <w:rFonts w:ascii="宋体" w:hAnsi="宋体" w:cs="宋体"/>
                <w:color w:val="auto"/>
                <w:szCs w:val="21"/>
                <w:highlight w:val="none"/>
              </w:rPr>
              <w:t>2</w:t>
            </w:r>
            <w:r>
              <w:rPr>
                <w:rFonts w:hint="eastAsia" w:ascii="宋体" w:hAnsi="宋体" w:cs="宋体"/>
                <w:color w:val="auto"/>
                <w:szCs w:val="21"/>
                <w:highlight w:val="none"/>
              </w:rPr>
              <w:t>小时内技术人员到位，进行故障排查与解决；24小时热线电话、远程在线诊断和故障排除、现场响应以及Email 和传真支持服务。</w:t>
            </w:r>
          </w:p>
          <w:p>
            <w:pPr>
              <w:pStyle w:val="78"/>
              <w:keepNext w:val="0"/>
              <w:keepLines w:val="0"/>
              <w:pageBreakBefore w:val="0"/>
              <w:widowControl/>
              <w:kinsoku/>
              <w:wordWrap/>
              <w:overflowPunct/>
              <w:topLinePunct w:val="0"/>
              <w:autoSpaceDE/>
              <w:autoSpaceDN/>
              <w:bidi w:val="0"/>
              <w:adjustRightInd/>
              <w:snapToGrid/>
              <w:spacing w:line="360" w:lineRule="auto"/>
              <w:ind w:left="0" w:leftChars="0"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3、优化运维：优化日常维护工作程序，提前发现隐患，制定应急响应预案，以保证平台各系统无故障运行，同时优化系统性能。</w:t>
            </w:r>
          </w:p>
          <w:p>
            <w:pPr>
              <w:pStyle w:val="78"/>
              <w:keepNext w:val="0"/>
              <w:keepLines w:val="0"/>
              <w:pageBreakBefore w:val="0"/>
              <w:widowControl/>
              <w:kinsoku/>
              <w:wordWrap/>
              <w:overflowPunct/>
              <w:topLinePunct w:val="0"/>
              <w:autoSpaceDE/>
              <w:autoSpaceDN/>
              <w:bidi w:val="0"/>
              <w:adjustRightInd/>
              <w:snapToGrid/>
              <w:spacing w:line="360" w:lineRule="auto"/>
              <w:ind w:left="0" w:leftChars="0"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4、数据备份：定期进行数据备份，采用每天增量备份、每周完全备份的备份策略，以防止数据误操作或意外丢失。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25" w:hRule="atLeast"/>
          <w:jc w:val="center"/>
        </w:trPr>
        <w:tc>
          <w:tcPr>
            <w:tcW w:w="655" w:type="dxa"/>
            <w:vAlign w:val="center"/>
          </w:tcPr>
          <w:p>
            <w:pPr>
              <w:tabs>
                <w:tab w:val="left" w:pos="180"/>
                <w:tab w:val="left" w:pos="1620"/>
              </w:tabs>
              <w:spacing w:line="360" w:lineRule="auto"/>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2</w:t>
            </w:r>
          </w:p>
        </w:tc>
        <w:tc>
          <w:tcPr>
            <w:tcW w:w="1513" w:type="dxa"/>
            <w:gridSpan w:val="2"/>
            <w:vAlign w:val="center"/>
          </w:tcPr>
          <w:p>
            <w:pPr>
              <w:tabs>
                <w:tab w:val="left" w:pos="180"/>
                <w:tab w:val="left" w:pos="1620"/>
              </w:tabs>
              <w:spacing w:line="360" w:lineRule="auto"/>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平台栏目维护及信息采集更新</w:t>
            </w:r>
          </w:p>
        </w:tc>
        <w:tc>
          <w:tcPr>
            <w:tcW w:w="934" w:type="dxa"/>
            <w:vAlign w:val="center"/>
          </w:tcPr>
          <w:p>
            <w:pPr>
              <w:tabs>
                <w:tab w:val="left" w:pos="180"/>
                <w:tab w:val="left" w:pos="1620"/>
              </w:tabs>
              <w:spacing w:line="360" w:lineRule="auto"/>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1项</w:t>
            </w:r>
          </w:p>
        </w:tc>
        <w:tc>
          <w:tcPr>
            <w:tcW w:w="1073" w:type="dxa"/>
            <w:vAlign w:val="center"/>
          </w:tcPr>
          <w:p>
            <w:pPr>
              <w:tabs>
                <w:tab w:val="left" w:pos="180"/>
                <w:tab w:val="left" w:pos="1620"/>
              </w:tabs>
              <w:spacing w:line="360" w:lineRule="auto"/>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软件和信息技术服务业</w:t>
            </w:r>
          </w:p>
        </w:tc>
        <w:tc>
          <w:tcPr>
            <w:tcW w:w="5539" w:type="dxa"/>
          </w:tcPr>
          <w:p>
            <w:pPr>
              <w:pStyle w:val="78"/>
              <w:keepNext w:val="0"/>
              <w:keepLines w:val="0"/>
              <w:pageBreakBefore w:val="0"/>
              <w:widowControl/>
              <w:kinsoku/>
              <w:wordWrap/>
              <w:overflowPunct/>
              <w:topLinePunct w:val="0"/>
              <w:autoSpaceDE/>
              <w:autoSpaceDN/>
              <w:bidi w:val="0"/>
              <w:adjustRightInd/>
              <w:snapToGrid/>
              <w:spacing w:line="360" w:lineRule="auto"/>
              <w:ind w:left="0" w:leftChars="0" w:firstLine="420" w:firstLineChars="200"/>
              <w:jc w:val="left"/>
              <w:textAlignment w:val="auto"/>
              <w:rPr>
                <w:rFonts w:ascii="宋体" w:hAnsi="宋体" w:cs="宋体"/>
                <w:color w:val="auto"/>
                <w:sz w:val="21"/>
                <w:szCs w:val="21"/>
                <w:highlight w:val="none"/>
              </w:rPr>
            </w:pPr>
            <w:r>
              <w:rPr>
                <w:rFonts w:hint="eastAsia" w:ascii="宋体" w:hAnsi="宋体" w:cs="宋体"/>
                <w:color w:val="auto"/>
                <w:sz w:val="21"/>
                <w:szCs w:val="21"/>
                <w:highlight w:val="none"/>
              </w:rPr>
              <w:t>1、平台栏目更新维护：优化农产品库、新闻动态、网上展厅、查询定制、数据统计等栏目管理，做好栏目内容更新与维护。</w:t>
            </w:r>
          </w:p>
          <w:p>
            <w:pPr>
              <w:pStyle w:val="78"/>
              <w:keepNext w:val="0"/>
              <w:keepLines w:val="0"/>
              <w:pageBreakBefore w:val="0"/>
              <w:widowControl/>
              <w:kinsoku/>
              <w:wordWrap/>
              <w:overflowPunct/>
              <w:topLinePunct w:val="0"/>
              <w:autoSpaceDE/>
              <w:autoSpaceDN/>
              <w:bidi w:val="0"/>
              <w:adjustRightInd/>
              <w:snapToGrid/>
              <w:spacing w:line="360" w:lineRule="auto"/>
              <w:ind w:left="0" w:leftChars="0" w:firstLine="420" w:firstLineChars="200"/>
              <w:jc w:val="left"/>
              <w:textAlignment w:val="auto"/>
              <w:rPr>
                <w:rFonts w:ascii="宋体" w:hAnsi="宋体" w:cs="宋体"/>
                <w:color w:val="auto"/>
                <w:sz w:val="21"/>
                <w:szCs w:val="21"/>
                <w:highlight w:val="none"/>
              </w:rPr>
            </w:pPr>
            <w:r>
              <w:rPr>
                <w:rFonts w:hint="eastAsia" w:ascii="宋体" w:hAnsi="宋体" w:cs="宋体"/>
                <w:color w:val="auto"/>
                <w:sz w:val="21"/>
                <w:szCs w:val="21"/>
                <w:highlight w:val="none"/>
              </w:rPr>
              <w:t>（1）农产品库栏目更新：完成对绿色食品认证信息管理、有机产品认证信息管理、无公害农产品认证信息管理、农产品地理登记认证信息管理、名特优农产品、“桂字号”、“圳品”信息管理的内容更新与维护。</w:t>
            </w:r>
          </w:p>
          <w:p>
            <w:pPr>
              <w:pStyle w:val="78"/>
              <w:keepNext w:val="0"/>
              <w:keepLines w:val="0"/>
              <w:pageBreakBefore w:val="0"/>
              <w:widowControl/>
              <w:kinsoku/>
              <w:wordWrap/>
              <w:overflowPunct/>
              <w:topLinePunct w:val="0"/>
              <w:autoSpaceDE/>
              <w:autoSpaceDN/>
              <w:bidi w:val="0"/>
              <w:adjustRightInd/>
              <w:snapToGrid/>
              <w:spacing w:line="360" w:lineRule="auto"/>
              <w:ind w:left="0" w:leftChars="0" w:firstLine="420" w:firstLineChars="200"/>
              <w:jc w:val="left"/>
              <w:textAlignment w:val="auto"/>
              <w:rPr>
                <w:rFonts w:ascii="宋体" w:hAnsi="宋体" w:cs="宋体"/>
                <w:color w:val="auto"/>
                <w:sz w:val="21"/>
                <w:szCs w:val="21"/>
                <w:highlight w:val="none"/>
              </w:rPr>
            </w:pPr>
            <w:r>
              <w:rPr>
                <w:rFonts w:hint="eastAsia" w:ascii="宋体" w:hAnsi="宋体" w:cs="宋体"/>
                <w:color w:val="auto"/>
                <w:sz w:val="21"/>
                <w:szCs w:val="21"/>
                <w:highlight w:val="none"/>
              </w:rPr>
              <w:t>（2）新闻动态栏目更新：及时更新最新涉及</w:t>
            </w:r>
            <w:r>
              <w:rPr>
                <w:rFonts w:ascii="宋体" w:hAnsi="宋体" w:cs="宋体"/>
                <w:color w:val="auto"/>
                <w:sz w:val="21"/>
                <w:szCs w:val="21"/>
                <w:highlight w:val="none"/>
              </w:rPr>
              <w:t>“</w:t>
            </w:r>
            <w:r>
              <w:rPr>
                <w:rFonts w:hint="eastAsia" w:ascii="宋体" w:hAnsi="宋体" w:cs="宋体"/>
                <w:color w:val="auto"/>
                <w:sz w:val="21"/>
                <w:szCs w:val="21"/>
                <w:highlight w:val="none"/>
              </w:rPr>
              <w:t>三品</w:t>
            </w:r>
            <w:r>
              <w:rPr>
                <w:rFonts w:ascii="宋体" w:hAnsi="宋体" w:cs="宋体"/>
                <w:color w:val="auto"/>
                <w:sz w:val="21"/>
                <w:szCs w:val="21"/>
                <w:highlight w:val="none"/>
              </w:rPr>
              <w:t>一标”</w:t>
            </w:r>
            <w:r>
              <w:rPr>
                <w:rFonts w:hint="eastAsia" w:ascii="宋体" w:hAnsi="宋体" w:cs="宋体"/>
                <w:color w:val="auto"/>
                <w:sz w:val="21"/>
                <w:szCs w:val="21"/>
                <w:highlight w:val="none"/>
              </w:rPr>
              <w:t>及</w:t>
            </w:r>
            <w:r>
              <w:rPr>
                <w:rFonts w:ascii="宋体" w:hAnsi="宋体" w:cs="宋体"/>
                <w:color w:val="auto"/>
                <w:sz w:val="21"/>
                <w:szCs w:val="21"/>
                <w:highlight w:val="none"/>
              </w:rPr>
              <w:t>涉</w:t>
            </w:r>
            <w:r>
              <w:rPr>
                <w:rFonts w:hint="eastAsia" w:ascii="宋体" w:hAnsi="宋体" w:cs="宋体"/>
                <w:color w:val="auto"/>
                <w:sz w:val="21"/>
                <w:szCs w:val="21"/>
                <w:highlight w:val="none"/>
              </w:rPr>
              <w:t>农动态信息。</w:t>
            </w:r>
          </w:p>
          <w:p>
            <w:pPr>
              <w:pStyle w:val="78"/>
              <w:keepNext w:val="0"/>
              <w:keepLines w:val="0"/>
              <w:pageBreakBefore w:val="0"/>
              <w:widowControl/>
              <w:kinsoku/>
              <w:wordWrap/>
              <w:overflowPunct/>
              <w:topLinePunct w:val="0"/>
              <w:autoSpaceDE/>
              <w:autoSpaceDN/>
              <w:bidi w:val="0"/>
              <w:adjustRightInd/>
              <w:snapToGrid/>
              <w:spacing w:line="360" w:lineRule="auto"/>
              <w:ind w:left="0" w:leftChars="0" w:firstLine="420" w:firstLineChars="200"/>
              <w:jc w:val="left"/>
              <w:textAlignment w:val="auto"/>
              <w:rPr>
                <w:rFonts w:ascii="宋体" w:hAnsi="宋体" w:cs="宋体"/>
                <w:color w:val="auto"/>
                <w:sz w:val="21"/>
                <w:szCs w:val="21"/>
                <w:highlight w:val="none"/>
              </w:rPr>
            </w:pPr>
            <w:r>
              <w:rPr>
                <w:rFonts w:hint="eastAsia" w:ascii="宋体" w:hAnsi="宋体" w:cs="宋体"/>
                <w:color w:val="auto"/>
                <w:sz w:val="21"/>
                <w:szCs w:val="21"/>
                <w:highlight w:val="none"/>
              </w:rPr>
              <w:t>（3）网上展厅栏目更新：根据定期根据广西绿色食品办公室提供最新的“三品一标”农产品数据信息表，及时更新网上展厅信息。</w:t>
            </w:r>
          </w:p>
          <w:p>
            <w:pPr>
              <w:pStyle w:val="78"/>
              <w:keepNext w:val="0"/>
              <w:keepLines w:val="0"/>
              <w:pageBreakBefore w:val="0"/>
              <w:widowControl/>
              <w:kinsoku/>
              <w:wordWrap/>
              <w:overflowPunct/>
              <w:topLinePunct w:val="0"/>
              <w:autoSpaceDE/>
              <w:autoSpaceDN/>
              <w:bidi w:val="0"/>
              <w:adjustRightInd/>
              <w:snapToGrid/>
              <w:spacing w:line="360" w:lineRule="auto"/>
              <w:ind w:left="0" w:leftChars="0" w:firstLine="420" w:firstLineChars="200"/>
              <w:jc w:val="left"/>
              <w:textAlignment w:val="auto"/>
              <w:rPr>
                <w:rFonts w:ascii="宋体" w:hAnsi="宋体" w:cs="宋体"/>
                <w:color w:val="auto"/>
                <w:sz w:val="21"/>
                <w:szCs w:val="21"/>
                <w:highlight w:val="none"/>
              </w:rPr>
            </w:pPr>
            <w:r>
              <w:rPr>
                <w:rFonts w:hint="eastAsia" w:ascii="宋体" w:hAnsi="宋体" w:cs="宋体"/>
                <w:color w:val="auto"/>
                <w:sz w:val="21"/>
                <w:szCs w:val="21"/>
                <w:highlight w:val="none"/>
              </w:rPr>
              <w:t>（</w:t>
            </w:r>
            <w:r>
              <w:rPr>
                <w:rFonts w:ascii="宋体" w:hAnsi="宋体" w:cs="宋体"/>
                <w:color w:val="auto"/>
                <w:sz w:val="21"/>
                <w:szCs w:val="21"/>
                <w:highlight w:val="none"/>
              </w:rPr>
              <w:t>4</w:t>
            </w:r>
            <w:r>
              <w:rPr>
                <w:rFonts w:hint="eastAsia" w:ascii="宋体" w:hAnsi="宋体" w:cs="宋体"/>
                <w:color w:val="auto"/>
                <w:sz w:val="21"/>
                <w:szCs w:val="21"/>
                <w:highlight w:val="none"/>
              </w:rPr>
              <w:t>）查询定制栏目更新：完成对词根配置、农产品库设置、报表中心内容的更新与维护。</w:t>
            </w:r>
          </w:p>
          <w:p>
            <w:pPr>
              <w:pStyle w:val="78"/>
              <w:keepNext w:val="0"/>
              <w:keepLines w:val="0"/>
              <w:pageBreakBefore w:val="0"/>
              <w:widowControl/>
              <w:kinsoku/>
              <w:wordWrap/>
              <w:overflowPunct/>
              <w:topLinePunct w:val="0"/>
              <w:autoSpaceDE/>
              <w:autoSpaceDN/>
              <w:bidi w:val="0"/>
              <w:adjustRightInd/>
              <w:snapToGrid/>
              <w:spacing w:line="360" w:lineRule="auto"/>
              <w:ind w:left="0" w:leftChars="0" w:firstLine="420" w:firstLineChars="200"/>
              <w:jc w:val="left"/>
              <w:textAlignment w:val="auto"/>
              <w:rPr>
                <w:rFonts w:ascii="宋体" w:hAnsi="宋体" w:cs="宋体"/>
                <w:color w:val="auto"/>
                <w:sz w:val="21"/>
                <w:szCs w:val="21"/>
                <w:highlight w:val="none"/>
              </w:rPr>
            </w:pPr>
            <w:r>
              <w:rPr>
                <w:rFonts w:hint="eastAsia" w:ascii="宋体" w:hAnsi="宋体" w:cs="宋体"/>
                <w:color w:val="auto"/>
                <w:sz w:val="21"/>
                <w:szCs w:val="21"/>
                <w:highlight w:val="none"/>
              </w:rPr>
              <w:t>（</w:t>
            </w:r>
            <w:r>
              <w:rPr>
                <w:rFonts w:ascii="宋体" w:hAnsi="宋体" w:cs="宋体"/>
                <w:color w:val="auto"/>
                <w:sz w:val="21"/>
                <w:szCs w:val="21"/>
                <w:highlight w:val="none"/>
              </w:rPr>
              <w:t>5</w:t>
            </w:r>
            <w:r>
              <w:rPr>
                <w:rFonts w:hint="eastAsia" w:ascii="宋体" w:hAnsi="宋体" w:cs="宋体"/>
                <w:color w:val="auto"/>
                <w:sz w:val="21"/>
                <w:szCs w:val="21"/>
                <w:highlight w:val="none"/>
              </w:rPr>
              <w:t>）数据统计栏目更新：实现对数据统计的及时更新。</w:t>
            </w:r>
          </w:p>
          <w:p>
            <w:pPr>
              <w:pStyle w:val="78"/>
              <w:keepNext w:val="0"/>
              <w:keepLines w:val="0"/>
              <w:pageBreakBefore w:val="0"/>
              <w:widowControl/>
              <w:kinsoku/>
              <w:wordWrap/>
              <w:overflowPunct/>
              <w:topLinePunct w:val="0"/>
              <w:autoSpaceDE/>
              <w:autoSpaceDN/>
              <w:bidi w:val="0"/>
              <w:adjustRightInd/>
              <w:snapToGrid/>
              <w:spacing w:line="360" w:lineRule="auto"/>
              <w:ind w:left="0" w:leftChars="0" w:firstLine="420" w:firstLineChars="200"/>
              <w:jc w:val="left"/>
              <w:textAlignment w:val="auto"/>
              <w:rPr>
                <w:rFonts w:ascii="宋体" w:hAnsi="宋体" w:cs="宋体"/>
                <w:color w:val="auto"/>
                <w:sz w:val="21"/>
                <w:szCs w:val="21"/>
                <w:highlight w:val="none"/>
              </w:rPr>
            </w:pPr>
            <w:r>
              <w:rPr>
                <w:rFonts w:hint="eastAsia" w:ascii="宋体" w:hAnsi="宋体" w:cs="宋体"/>
                <w:color w:val="auto"/>
                <w:sz w:val="21"/>
                <w:szCs w:val="21"/>
                <w:highlight w:val="none"/>
              </w:rPr>
              <w:t>注：平台新闻动态类栏目更新频率不少于</w:t>
            </w:r>
            <w:r>
              <w:rPr>
                <w:rFonts w:ascii="宋体" w:hAnsi="宋体" w:cs="宋体"/>
                <w:color w:val="auto"/>
                <w:sz w:val="21"/>
                <w:szCs w:val="21"/>
                <w:highlight w:val="none"/>
              </w:rPr>
              <w:t>5</w:t>
            </w:r>
            <w:r>
              <w:rPr>
                <w:rFonts w:hint="eastAsia" w:ascii="宋体" w:hAnsi="宋体" w:cs="宋体"/>
                <w:color w:val="auto"/>
                <w:sz w:val="21"/>
                <w:szCs w:val="21"/>
                <w:highlight w:val="none"/>
              </w:rPr>
              <w:t>篇/周。</w:t>
            </w:r>
          </w:p>
          <w:p>
            <w:pPr>
              <w:pStyle w:val="78"/>
              <w:keepNext w:val="0"/>
              <w:keepLines w:val="0"/>
              <w:pageBreakBefore w:val="0"/>
              <w:widowControl/>
              <w:kinsoku/>
              <w:wordWrap/>
              <w:overflowPunct/>
              <w:topLinePunct w:val="0"/>
              <w:autoSpaceDE/>
              <w:autoSpaceDN/>
              <w:bidi w:val="0"/>
              <w:adjustRightInd/>
              <w:snapToGrid/>
              <w:spacing w:line="360" w:lineRule="auto"/>
              <w:ind w:left="0" w:leftChars="0" w:firstLine="420" w:firstLineChars="200"/>
              <w:jc w:val="left"/>
              <w:textAlignment w:val="auto"/>
              <w:rPr>
                <w:rFonts w:ascii="宋体" w:hAnsi="宋体" w:cs="宋体"/>
                <w:color w:val="auto"/>
                <w:sz w:val="21"/>
                <w:szCs w:val="21"/>
                <w:highlight w:val="none"/>
              </w:rPr>
            </w:pPr>
            <w:r>
              <w:rPr>
                <w:rFonts w:hint="eastAsia" w:ascii="宋体" w:hAnsi="宋体" w:cs="宋体"/>
                <w:color w:val="auto"/>
                <w:sz w:val="21"/>
                <w:szCs w:val="21"/>
                <w:highlight w:val="none"/>
              </w:rPr>
              <w:t>2、“三品一标” “桂字号”“圳品”数据采集更新：定期采集更新“三品一标” “桂字号”“圳品”相关企业信息、产品信息等数据，进行数据录入，并实现数据页面展示查询。</w:t>
            </w:r>
          </w:p>
          <w:p>
            <w:pPr>
              <w:pStyle w:val="78"/>
              <w:keepNext w:val="0"/>
              <w:keepLines w:val="0"/>
              <w:pageBreakBefore w:val="0"/>
              <w:widowControl/>
              <w:kinsoku/>
              <w:wordWrap/>
              <w:overflowPunct/>
              <w:topLinePunct w:val="0"/>
              <w:autoSpaceDE/>
              <w:autoSpaceDN/>
              <w:bidi w:val="0"/>
              <w:adjustRightInd/>
              <w:snapToGrid/>
              <w:spacing w:line="360" w:lineRule="auto"/>
              <w:ind w:left="0" w:leftChars="0" w:firstLine="420" w:firstLineChars="200"/>
              <w:jc w:val="left"/>
              <w:textAlignment w:val="auto"/>
              <w:rPr>
                <w:rFonts w:ascii="宋体" w:hAnsi="宋体" w:cs="宋体"/>
                <w:color w:val="auto"/>
                <w:sz w:val="21"/>
                <w:szCs w:val="21"/>
                <w:highlight w:val="none"/>
              </w:rPr>
            </w:pPr>
            <w:r>
              <w:rPr>
                <w:rFonts w:hint="eastAsia" w:ascii="宋体" w:hAnsi="宋体" w:cs="宋体"/>
                <w:color w:val="auto"/>
                <w:sz w:val="21"/>
                <w:szCs w:val="21"/>
                <w:highlight w:val="none"/>
              </w:rPr>
              <w:t>（1）定期根据广西绿色食品办公室提供的“三品一标”农产品数据信息表，通过电话、邮箱、微信、QQ等多种方式收集相关“三品一标”企业信息、产品信息等数据，并对相应信息进行数据录入，实现数据页面展示。</w:t>
            </w:r>
          </w:p>
          <w:p>
            <w:pPr>
              <w:pStyle w:val="78"/>
              <w:keepNext w:val="0"/>
              <w:keepLines w:val="0"/>
              <w:pageBreakBefore w:val="0"/>
              <w:widowControl/>
              <w:kinsoku/>
              <w:wordWrap/>
              <w:overflowPunct/>
              <w:topLinePunct w:val="0"/>
              <w:autoSpaceDE/>
              <w:autoSpaceDN/>
              <w:bidi w:val="0"/>
              <w:adjustRightInd/>
              <w:snapToGrid/>
              <w:spacing w:line="360" w:lineRule="auto"/>
              <w:ind w:left="0" w:leftChars="0" w:firstLine="420" w:firstLineChars="200"/>
              <w:jc w:val="left"/>
              <w:textAlignment w:val="auto"/>
              <w:rPr>
                <w:rFonts w:ascii="宋体" w:hAnsi="宋体" w:cs="宋体"/>
                <w:color w:val="auto"/>
                <w:sz w:val="21"/>
                <w:szCs w:val="21"/>
                <w:highlight w:val="none"/>
              </w:rPr>
            </w:pPr>
            <w:r>
              <w:rPr>
                <w:rFonts w:hint="eastAsia" w:ascii="宋体" w:hAnsi="宋体" w:cs="宋体"/>
                <w:color w:val="auto"/>
                <w:sz w:val="21"/>
                <w:szCs w:val="21"/>
                <w:highlight w:val="none"/>
              </w:rPr>
              <w:t>（2）根据“桂字号”品牌信息定期从网上公布的数据或农业信息中心提供的数据进行采集录入，目前已公布的“桂字号”获批品牌为503个，采集更新内容包括：品牌名称、属地、入选年份、特色标签、品牌图片、品牌介绍等。</w:t>
            </w:r>
          </w:p>
          <w:p>
            <w:pPr>
              <w:pStyle w:val="78"/>
              <w:keepNext w:val="0"/>
              <w:keepLines w:val="0"/>
              <w:pageBreakBefore w:val="0"/>
              <w:widowControl/>
              <w:kinsoku/>
              <w:wordWrap/>
              <w:overflowPunct/>
              <w:topLinePunct w:val="0"/>
              <w:autoSpaceDE/>
              <w:autoSpaceDN/>
              <w:bidi w:val="0"/>
              <w:adjustRightInd/>
              <w:snapToGrid/>
              <w:spacing w:line="360" w:lineRule="auto"/>
              <w:ind w:left="0" w:leftChars="0" w:firstLine="420" w:firstLineChars="200"/>
              <w:jc w:val="left"/>
              <w:textAlignment w:val="auto"/>
              <w:rPr>
                <w:rFonts w:ascii="宋体" w:hAnsi="宋体" w:cs="宋体"/>
                <w:color w:val="auto"/>
                <w:sz w:val="21"/>
                <w:szCs w:val="21"/>
                <w:highlight w:val="none"/>
              </w:rPr>
            </w:pPr>
            <w:r>
              <w:rPr>
                <w:rFonts w:hint="eastAsia" w:ascii="宋体" w:hAnsi="宋体" w:cs="宋体"/>
                <w:color w:val="auto"/>
                <w:sz w:val="21"/>
                <w:szCs w:val="21"/>
                <w:highlight w:val="none"/>
              </w:rPr>
              <w:t>（3）根据“圳品”产品目录定期从网上公布的数据或农业信息中心提供的数据进行采集录入，目前已入选的“圳品”农产品为36个，采集更新内容包括：产品名称、产品类别、认证时间、产品图片、产品介绍、所属市县、企业名称等。</w:t>
            </w:r>
          </w:p>
          <w:p>
            <w:pPr>
              <w:pStyle w:val="78"/>
              <w:keepNext w:val="0"/>
              <w:keepLines w:val="0"/>
              <w:pageBreakBefore w:val="0"/>
              <w:widowControl/>
              <w:kinsoku/>
              <w:wordWrap/>
              <w:overflowPunct/>
              <w:topLinePunct w:val="0"/>
              <w:autoSpaceDE/>
              <w:autoSpaceDN/>
              <w:bidi w:val="0"/>
              <w:adjustRightInd/>
              <w:snapToGrid/>
              <w:spacing w:line="360" w:lineRule="auto"/>
              <w:ind w:left="0" w:leftChars="0" w:firstLine="420" w:firstLineChars="200"/>
              <w:jc w:val="left"/>
              <w:textAlignment w:val="auto"/>
              <w:rPr>
                <w:rFonts w:ascii="宋体" w:hAnsi="宋体" w:cs="宋体"/>
                <w:color w:val="auto"/>
                <w:sz w:val="21"/>
                <w:szCs w:val="21"/>
                <w:highlight w:val="none"/>
              </w:rPr>
            </w:pPr>
            <w:r>
              <w:rPr>
                <w:rFonts w:hint="eastAsia" w:ascii="宋体" w:hAnsi="宋体" w:cs="宋体"/>
                <w:color w:val="auto"/>
                <w:sz w:val="21"/>
                <w:szCs w:val="21"/>
                <w:highlight w:val="none"/>
              </w:rPr>
              <w:t>注：“三品一标”数据更新频率不少于1次/季度，更新内容、数量需与广西绿色食品站提供的广西“三品一标”农产品认证信息同步。</w:t>
            </w:r>
          </w:p>
          <w:p>
            <w:pPr>
              <w:pStyle w:val="78"/>
              <w:keepNext w:val="0"/>
              <w:keepLines w:val="0"/>
              <w:pageBreakBefore w:val="0"/>
              <w:widowControl/>
              <w:kinsoku/>
              <w:wordWrap/>
              <w:overflowPunct/>
              <w:topLinePunct w:val="0"/>
              <w:autoSpaceDE/>
              <w:autoSpaceDN/>
              <w:bidi w:val="0"/>
              <w:adjustRightInd/>
              <w:snapToGrid/>
              <w:spacing w:line="360" w:lineRule="auto"/>
              <w:ind w:left="0" w:leftChars="0" w:firstLine="420" w:firstLineChars="200"/>
              <w:jc w:val="left"/>
              <w:textAlignment w:val="auto"/>
              <w:rPr>
                <w:rFonts w:ascii="宋体" w:hAnsi="宋体" w:cs="宋体"/>
                <w:color w:val="auto"/>
                <w:sz w:val="21"/>
                <w:szCs w:val="21"/>
                <w:highlight w:val="none"/>
              </w:rPr>
            </w:pPr>
            <w:r>
              <w:rPr>
                <w:rFonts w:hint="eastAsia" w:ascii="宋体" w:hAnsi="宋体" w:cs="宋体"/>
                <w:color w:val="auto"/>
                <w:sz w:val="21"/>
                <w:szCs w:val="21"/>
                <w:highlight w:val="none"/>
              </w:rPr>
              <w:t>3、移动端微信小程序信息更新：</w:t>
            </w:r>
          </w:p>
          <w:p>
            <w:pPr>
              <w:pStyle w:val="78"/>
              <w:keepNext w:val="0"/>
              <w:keepLines w:val="0"/>
              <w:pageBreakBefore w:val="0"/>
              <w:widowControl/>
              <w:kinsoku/>
              <w:wordWrap/>
              <w:overflowPunct/>
              <w:topLinePunct w:val="0"/>
              <w:autoSpaceDE/>
              <w:autoSpaceDN/>
              <w:bidi w:val="0"/>
              <w:adjustRightInd/>
              <w:snapToGrid/>
              <w:spacing w:line="360" w:lineRule="auto"/>
              <w:ind w:left="0" w:leftChars="0" w:firstLine="420" w:firstLineChars="200"/>
              <w:jc w:val="left"/>
              <w:textAlignment w:val="auto"/>
              <w:rPr>
                <w:rFonts w:ascii="宋体" w:hAnsi="宋体" w:cs="宋体"/>
                <w:color w:val="auto"/>
                <w:sz w:val="21"/>
                <w:szCs w:val="21"/>
                <w:highlight w:val="none"/>
              </w:rPr>
            </w:pPr>
            <w:r>
              <w:rPr>
                <w:rFonts w:hint="eastAsia" w:ascii="宋体" w:hAnsi="宋体" w:cs="宋体"/>
                <w:color w:val="auto"/>
                <w:sz w:val="21"/>
                <w:szCs w:val="21"/>
                <w:highlight w:val="none"/>
              </w:rPr>
              <w:t>在微信小程序同步更新“三品一标”、“桂字号”及“圳品”信息，为公众提供便捷的移动端“三品一标”“桂字号”及“圳品”农产品查询服务。查询信息包含农产品证书、有效期、产品信息、企业信息、产品图片，农产品证书扫码服务及一键分享功能等。确保微信小程序信息更新、查询服务、分享功能正常使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714" w:type="dxa"/>
            <w:gridSpan w:val="6"/>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Cs w:val="21"/>
                <w:highlight w:val="none"/>
              </w:rPr>
            </w:pPr>
            <w:r>
              <w:rPr>
                <w:rFonts w:hint="eastAsia" w:ascii="宋体" w:hAnsi="宋体" w:cs="宋体"/>
                <w:b/>
                <w:color w:val="auto"/>
                <w:szCs w:val="21"/>
                <w:highlight w:val="none"/>
              </w:rPr>
              <w:t>商务要求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100" w:type="dxa"/>
            <w:gridSpan w:val="2"/>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b/>
                <w:color w:val="auto"/>
                <w:sz w:val="21"/>
                <w:szCs w:val="21"/>
                <w:highlight w:val="none"/>
              </w:rPr>
            </w:pPr>
            <w:r>
              <w:rPr>
                <w:rFonts w:hint="eastAsia" w:ascii="宋体" w:hAnsi="宋体"/>
                <w:color w:val="auto"/>
                <w:sz w:val="21"/>
                <w:szCs w:val="21"/>
                <w:highlight w:val="none"/>
              </w:rPr>
              <w:t>▲</w:t>
            </w:r>
            <w:r>
              <w:rPr>
                <w:rFonts w:hint="eastAsia" w:ascii="宋体" w:hAnsi="宋体" w:cs="宋体"/>
                <w:color w:val="auto"/>
                <w:spacing w:val="-10"/>
                <w:sz w:val="21"/>
                <w:szCs w:val="21"/>
                <w:highlight w:val="none"/>
              </w:rPr>
              <w:t>磋商报价要求</w:t>
            </w:r>
          </w:p>
        </w:tc>
        <w:tc>
          <w:tcPr>
            <w:tcW w:w="7614"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left"/>
              <w:outlineLvl w:val="0"/>
              <w:rPr>
                <w:rFonts w:ascii="宋体" w:cs="宋体"/>
                <w:b/>
                <w:bCs/>
                <w:color w:val="auto"/>
                <w:kern w:val="0"/>
                <w:sz w:val="21"/>
                <w:szCs w:val="21"/>
                <w:highlight w:val="none"/>
              </w:rPr>
            </w:pPr>
            <w:r>
              <w:rPr>
                <w:rFonts w:hint="eastAsia" w:ascii="宋体" w:hAnsi="宋体" w:cs="宋体"/>
                <w:b/>
                <w:bCs/>
                <w:color w:val="auto"/>
                <w:kern w:val="0"/>
                <w:sz w:val="21"/>
                <w:szCs w:val="21"/>
                <w:highlight w:val="none"/>
              </w:rPr>
              <w:t>报价必须含以下部分，包括（但不限于）：</w:t>
            </w:r>
          </w:p>
          <w:p>
            <w:pPr>
              <w:autoSpaceDE w:val="0"/>
              <w:autoSpaceDN w:val="0"/>
              <w:adjustRightInd w:val="0"/>
              <w:snapToGrid w:val="0"/>
              <w:spacing w:line="360" w:lineRule="auto"/>
              <w:jc w:val="left"/>
              <w:outlineLvl w:val="0"/>
              <w:rPr>
                <w:color w:val="auto"/>
                <w:sz w:val="21"/>
                <w:szCs w:val="21"/>
                <w:highlight w:val="none"/>
              </w:rPr>
            </w:pPr>
            <w:r>
              <w:rPr>
                <w:rFonts w:hint="eastAsia" w:ascii="宋体" w:hAnsi="宋体" w:cs="宋体"/>
                <w:color w:val="auto"/>
                <w:kern w:val="0"/>
                <w:sz w:val="21"/>
                <w:szCs w:val="21"/>
                <w:highlight w:val="none"/>
              </w:rPr>
              <w:t>本项目磋商报价为总额报价，即一次性报出本项目服务所需的所有费用，含技术服务、派出工作人员的交通费、住宿费、伙食补助费、必要的保险费用和各项税金、其他</w:t>
            </w:r>
            <w:r>
              <w:rPr>
                <w:rFonts w:ascii="宋体" w:hAnsi="宋体" w:cs="宋体"/>
                <w:color w:val="auto"/>
                <w:kern w:val="0"/>
                <w:sz w:val="21"/>
                <w:szCs w:val="21"/>
                <w:highlight w:val="none"/>
              </w:rPr>
              <w:t>[</w:t>
            </w:r>
            <w:r>
              <w:rPr>
                <w:rFonts w:hint="eastAsia" w:ascii="宋体" w:hAnsi="宋体" w:cs="宋体"/>
                <w:color w:val="auto"/>
                <w:kern w:val="0"/>
                <w:sz w:val="21"/>
                <w:szCs w:val="21"/>
                <w:highlight w:val="none"/>
              </w:rPr>
              <w:t>如运输、装卸、安装、调试、培训、技术支持、服务保障方案、更新升级等</w:t>
            </w:r>
            <w:r>
              <w:rPr>
                <w:rFonts w:ascii="宋体" w:hAnsi="宋体" w:cs="宋体"/>
                <w:color w:val="auto"/>
                <w:kern w:val="0"/>
                <w:sz w:val="21"/>
                <w:szCs w:val="21"/>
                <w:highlight w:val="none"/>
              </w:rPr>
              <w:t>]</w:t>
            </w:r>
            <w:r>
              <w:rPr>
                <w:rFonts w:hint="eastAsia" w:ascii="宋体" w:hAnsi="宋体" w:cs="宋体"/>
                <w:color w:val="auto"/>
                <w:kern w:val="0"/>
                <w:sz w:val="21"/>
                <w:szCs w:val="21"/>
                <w:highlight w:val="none"/>
              </w:rPr>
              <w:t>有关的费用。本项目至验收合格，采购人不另支付任何费用。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100" w:type="dxa"/>
            <w:gridSpan w:val="2"/>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b/>
                <w:color w:val="auto"/>
                <w:sz w:val="21"/>
                <w:szCs w:val="21"/>
                <w:highlight w:val="none"/>
              </w:rPr>
            </w:pPr>
            <w:r>
              <w:rPr>
                <w:rFonts w:hint="eastAsia" w:ascii="宋体" w:hAnsi="宋体" w:cs="宋体"/>
                <w:color w:val="auto"/>
                <w:sz w:val="21"/>
                <w:szCs w:val="21"/>
                <w:highlight w:val="none"/>
              </w:rPr>
              <w:t>▲合同履行期限</w:t>
            </w:r>
            <w:r>
              <w:rPr>
                <w:rFonts w:hint="eastAsia" w:ascii="宋体" w:hAnsi="宋体" w:cs="宋体"/>
                <w:color w:val="auto"/>
                <w:kern w:val="0"/>
                <w:sz w:val="21"/>
                <w:szCs w:val="21"/>
                <w:highlight w:val="none"/>
              </w:rPr>
              <w:t>、地点</w:t>
            </w:r>
          </w:p>
        </w:tc>
        <w:tc>
          <w:tcPr>
            <w:tcW w:w="7614" w:type="dxa"/>
            <w:gridSpan w:val="4"/>
            <w:tcBorders>
              <w:top w:val="single" w:color="auto" w:sz="4" w:space="0"/>
              <w:left w:val="single" w:color="auto" w:sz="4" w:space="0"/>
              <w:bottom w:val="single" w:color="auto" w:sz="4" w:space="0"/>
              <w:right w:val="single" w:color="auto" w:sz="4" w:space="0"/>
            </w:tcBorders>
            <w:vAlign w:val="center"/>
          </w:tcPr>
          <w:p>
            <w:pPr>
              <w:pStyle w:val="2"/>
              <w:ind w:firstLine="0" w:firstLineChars="0"/>
              <w:rPr>
                <w:rFonts w:ascii="宋体" w:cs="宋体"/>
                <w:color w:val="auto"/>
                <w:kern w:val="0"/>
                <w:sz w:val="21"/>
                <w:szCs w:val="21"/>
                <w:highlight w:val="none"/>
              </w:rPr>
            </w:pPr>
            <w:r>
              <w:rPr>
                <w:rFonts w:hint="eastAsia" w:ascii="宋体" w:hAnsi="宋体" w:cs="宋体"/>
                <w:color w:val="auto"/>
                <w:sz w:val="21"/>
                <w:szCs w:val="21"/>
                <w:highlight w:val="none"/>
              </w:rPr>
              <w:t>合同履行期限：</w:t>
            </w:r>
            <w:r>
              <w:rPr>
                <w:rFonts w:hint="eastAsia" w:ascii="宋体" w:hAnsi="宋体" w:cs="宋体"/>
                <w:color w:val="auto"/>
                <w:kern w:val="0"/>
                <w:sz w:val="21"/>
                <w:szCs w:val="21"/>
                <w:highlight w:val="none"/>
              </w:rPr>
              <w:t>自合同签订之日起一年。</w:t>
            </w:r>
          </w:p>
          <w:p>
            <w:pPr>
              <w:pStyle w:val="2"/>
              <w:ind w:firstLine="0" w:firstLineChars="0"/>
              <w:rPr>
                <w:color w:val="auto"/>
                <w:sz w:val="21"/>
                <w:szCs w:val="21"/>
                <w:highlight w:val="none"/>
              </w:rPr>
            </w:pPr>
            <w:r>
              <w:rPr>
                <w:rFonts w:hint="eastAsia" w:ascii="宋体" w:hAnsi="宋体" w:cs="宋体"/>
                <w:color w:val="auto"/>
                <w:sz w:val="21"/>
                <w:szCs w:val="21"/>
                <w:highlight w:val="none"/>
              </w:rPr>
              <w:t>服务地点：</w:t>
            </w:r>
            <w:r>
              <w:rPr>
                <w:rFonts w:hint="eastAsia" w:ascii="宋体" w:hAnsi="宋体" w:cs="宋体"/>
                <w:color w:val="auto"/>
                <w:kern w:val="0"/>
                <w:sz w:val="21"/>
                <w:szCs w:val="21"/>
                <w:highlight w:val="none"/>
              </w:rPr>
              <w:t>广西区内采购人指定地点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6" w:hRule="atLeast"/>
          <w:jc w:val="center"/>
        </w:trPr>
        <w:tc>
          <w:tcPr>
            <w:tcW w:w="2100"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b/>
                <w:color w:val="auto"/>
                <w:sz w:val="21"/>
                <w:szCs w:val="21"/>
                <w:highlight w:val="none"/>
              </w:rPr>
            </w:pPr>
            <w:r>
              <w:rPr>
                <w:rFonts w:hint="eastAsia" w:ascii="宋体" w:hAnsi="宋体"/>
                <w:color w:val="auto"/>
                <w:sz w:val="21"/>
                <w:szCs w:val="21"/>
                <w:highlight w:val="none"/>
              </w:rPr>
              <w:t>▲</w:t>
            </w:r>
            <w:r>
              <w:rPr>
                <w:rFonts w:hint="eastAsia" w:ascii="宋体" w:hAnsi="宋体" w:cs="宋体"/>
                <w:color w:val="auto"/>
                <w:spacing w:val="-10"/>
                <w:sz w:val="21"/>
                <w:szCs w:val="21"/>
                <w:highlight w:val="none"/>
              </w:rPr>
              <w:t>付款条件</w:t>
            </w:r>
          </w:p>
        </w:tc>
        <w:tc>
          <w:tcPr>
            <w:tcW w:w="7614"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bCs/>
                <w:color w:val="auto"/>
                <w:sz w:val="21"/>
                <w:szCs w:val="21"/>
                <w:highlight w:val="none"/>
              </w:rPr>
            </w:pPr>
            <w:r>
              <w:rPr>
                <w:rFonts w:hint="eastAsia" w:ascii="宋体" w:hAnsi="宋体" w:cs="宋体"/>
                <w:color w:val="auto"/>
                <w:kern w:val="0"/>
                <w:sz w:val="21"/>
                <w:szCs w:val="21"/>
                <w:highlight w:val="none"/>
              </w:rPr>
              <w:t>签订合同后成交供应商按合同要求开展运维服务工作，签订合同后10个工作日内，由采购人支付50% 合同款给成交供应商，成交供应商提供服务2个月，并取得运维成果，采购人支付剩余50%的合同款。成交供应商每次收到合同款之日起3个工作日内开具合法的发票给采购人。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2100" w:type="dxa"/>
            <w:gridSpan w:val="2"/>
            <w:tcBorders>
              <w:top w:val="single" w:color="auto" w:sz="4" w:space="0"/>
              <w:left w:val="single" w:color="auto" w:sz="4" w:space="0"/>
              <w:bottom w:val="single" w:color="auto" w:sz="4" w:space="0"/>
              <w:right w:val="single" w:color="auto" w:sz="4" w:space="0"/>
            </w:tcBorders>
            <w:vAlign w:val="center"/>
          </w:tcPr>
          <w:p>
            <w:pPr>
              <w:pStyle w:val="70"/>
              <w:kinsoku w:val="0"/>
              <w:overflowPunct w:val="0"/>
              <w:spacing w:line="360" w:lineRule="auto"/>
              <w:ind w:left="107" w:leftChars="0" w:right="-15" w:rightChars="0"/>
              <w:jc w:val="center"/>
              <w:rPr>
                <w:rFonts w:ascii="宋体" w:hAnsi="宋体" w:cs="宋体"/>
                <w:b/>
                <w:color w:val="auto"/>
                <w:sz w:val="21"/>
                <w:szCs w:val="21"/>
                <w:highlight w:val="none"/>
              </w:rPr>
            </w:pPr>
            <w:r>
              <w:rPr>
                <w:rFonts w:hint="eastAsia" w:ascii="宋体" w:hAnsi="宋体" w:cs="宋体"/>
                <w:color w:val="auto"/>
                <w:sz w:val="21"/>
                <w:szCs w:val="21"/>
                <w:highlight w:val="none"/>
              </w:rPr>
              <w:t>服务保障方案要求</w:t>
            </w:r>
          </w:p>
        </w:tc>
        <w:tc>
          <w:tcPr>
            <w:tcW w:w="7614" w:type="dxa"/>
            <w:gridSpan w:val="4"/>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360" w:lineRule="auto"/>
              <w:jc w:val="left"/>
              <w:rPr>
                <w:rFonts w:ascii="宋体" w:cs="宋体"/>
                <w:color w:val="auto"/>
                <w:kern w:val="0"/>
                <w:sz w:val="21"/>
                <w:szCs w:val="21"/>
                <w:highlight w:val="none"/>
              </w:rPr>
            </w:pPr>
            <w:r>
              <w:rPr>
                <w:rFonts w:ascii="宋体" w:hAnsi="宋体" w:cs="宋体"/>
                <w:color w:val="auto"/>
                <w:kern w:val="0"/>
                <w:sz w:val="21"/>
                <w:szCs w:val="21"/>
                <w:highlight w:val="none"/>
              </w:rPr>
              <w:t>1</w:t>
            </w:r>
            <w:r>
              <w:rPr>
                <w:rFonts w:hint="eastAsia" w:ascii="宋体" w:hAnsi="宋体" w:cs="宋体"/>
                <w:color w:val="auto"/>
                <w:kern w:val="0"/>
                <w:sz w:val="21"/>
                <w:szCs w:val="21"/>
                <w:highlight w:val="none"/>
              </w:rPr>
              <w:t>、成交供应商在服务期限内对用户提出的合理的，不涉及架构及全局性的功能增减、美工修改等应免费配合实施。</w:t>
            </w:r>
          </w:p>
          <w:p>
            <w:pPr>
              <w:autoSpaceDE w:val="0"/>
              <w:autoSpaceDN w:val="0"/>
              <w:adjustRightInd w:val="0"/>
              <w:spacing w:line="360" w:lineRule="auto"/>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lang w:val="en-US" w:eastAsia="zh-CN"/>
              </w:rPr>
              <w:t>2</w:t>
            </w:r>
            <w:r>
              <w:rPr>
                <w:rFonts w:hint="eastAsia" w:ascii="宋体" w:hAnsi="宋体" w:cs="宋体"/>
                <w:color w:val="auto"/>
                <w:kern w:val="0"/>
                <w:sz w:val="21"/>
                <w:szCs w:val="21"/>
                <w:highlight w:val="none"/>
              </w:rPr>
              <w:t>、维护响应：成交供应商在接到用户电话后</w:t>
            </w:r>
            <w:r>
              <w:rPr>
                <w:rFonts w:ascii="宋体" w:hAnsi="宋体" w:cs="宋体"/>
                <w:color w:val="auto"/>
                <w:kern w:val="0"/>
                <w:sz w:val="21"/>
                <w:szCs w:val="21"/>
                <w:highlight w:val="none"/>
              </w:rPr>
              <w:t>1</w:t>
            </w:r>
            <w:r>
              <w:rPr>
                <w:rFonts w:hint="eastAsia" w:ascii="宋体" w:hAnsi="宋体" w:cs="宋体"/>
                <w:color w:val="auto"/>
                <w:kern w:val="0"/>
                <w:sz w:val="21"/>
                <w:szCs w:val="21"/>
                <w:highlight w:val="none"/>
              </w:rPr>
              <w:t>小时内响应，</w:t>
            </w:r>
            <w:r>
              <w:rPr>
                <w:rFonts w:hint="eastAsia" w:ascii="宋体" w:hAnsi="宋体" w:cs="宋体"/>
                <w:color w:val="auto"/>
                <w:kern w:val="0"/>
                <w:sz w:val="21"/>
                <w:szCs w:val="21"/>
                <w:highlight w:val="none"/>
                <w:lang w:val="en-US" w:eastAsia="zh-CN"/>
              </w:rPr>
              <w:t>2</w:t>
            </w:r>
            <w:r>
              <w:rPr>
                <w:rFonts w:hint="eastAsia" w:ascii="宋体" w:hAnsi="宋体" w:cs="宋体"/>
                <w:color w:val="auto"/>
                <w:kern w:val="0"/>
                <w:sz w:val="21"/>
                <w:szCs w:val="21"/>
                <w:highlight w:val="none"/>
              </w:rPr>
              <w:t>小时内到达现场修理解决，</w:t>
            </w:r>
            <w:r>
              <w:rPr>
                <w:rFonts w:ascii="宋体" w:hAnsi="宋体" w:cs="宋体"/>
                <w:color w:val="auto"/>
                <w:kern w:val="0"/>
                <w:sz w:val="21"/>
                <w:szCs w:val="21"/>
                <w:highlight w:val="none"/>
              </w:rPr>
              <w:t>24</w:t>
            </w:r>
            <w:r>
              <w:rPr>
                <w:rFonts w:hint="eastAsia" w:ascii="宋体" w:hAnsi="宋体" w:cs="宋体"/>
                <w:color w:val="auto"/>
                <w:kern w:val="0"/>
                <w:sz w:val="21"/>
                <w:szCs w:val="21"/>
                <w:highlight w:val="none"/>
              </w:rPr>
              <w:t>小时内恢复正常使用，若不能修复则应有合理应对方案。</w:t>
            </w:r>
          </w:p>
          <w:p>
            <w:pPr>
              <w:autoSpaceDE w:val="0"/>
              <w:autoSpaceDN w:val="0"/>
              <w:adjustRightInd w:val="0"/>
              <w:rPr>
                <w:rFonts w:ascii="宋体" w:hAnsi="宋体" w:cs="宋体"/>
                <w:color w:val="auto"/>
                <w:sz w:val="21"/>
                <w:szCs w:val="21"/>
                <w:highlight w:val="none"/>
              </w:rPr>
            </w:pPr>
            <w:r>
              <w:rPr>
                <w:rFonts w:hint="eastAsia" w:ascii="宋体" w:hAnsi="宋体" w:cs="宋体"/>
                <w:color w:val="auto"/>
                <w:kern w:val="0"/>
                <w:sz w:val="21"/>
                <w:szCs w:val="21"/>
                <w:highlight w:val="none"/>
                <w:lang w:val="en-US" w:eastAsia="zh-CN"/>
              </w:rPr>
              <w:t>3</w:t>
            </w:r>
            <w:r>
              <w:rPr>
                <w:rFonts w:hint="eastAsia" w:ascii="宋体" w:hAnsi="宋体" w:cs="宋体"/>
                <w:color w:val="auto"/>
                <w:kern w:val="0"/>
                <w:sz w:val="21"/>
                <w:szCs w:val="21"/>
                <w:highlight w:val="none"/>
              </w:rPr>
              <w:t>、成交供应商为采购人提供技术支持，包括维护期外的技术服务及技术指导等。</w:t>
            </w:r>
          </w:p>
        </w:tc>
      </w:tr>
    </w:tbl>
    <w:p>
      <w:pPr>
        <w:rPr>
          <w:rFonts w:hint="eastAsia" w:ascii="宋体" w:hAnsi="宋体" w:cs="宋体"/>
          <w:b/>
          <w:color w:val="auto"/>
          <w:szCs w:val="21"/>
          <w:highlight w:val="none"/>
          <w:lang w:eastAsia="zh-CN"/>
        </w:rPr>
      </w:pPr>
    </w:p>
    <w:p>
      <w:pPr>
        <w:rPr>
          <w:rFonts w:hint="eastAsia" w:ascii="宋体" w:hAnsi="宋体" w:cs="宋体"/>
          <w:b/>
          <w:color w:val="auto"/>
          <w:szCs w:val="21"/>
          <w:highlight w:val="none"/>
          <w:lang w:eastAsia="zh-CN"/>
        </w:rPr>
      </w:pPr>
    </w:p>
    <w:p>
      <w:pPr>
        <w:spacing w:line="360" w:lineRule="auto"/>
        <w:ind w:firstLine="310" w:firstLineChars="147"/>
        <w:jc w:val="left"/>
        <w:rPr>
          <w:rFonts w:ascii="宋体" w:hAnsi="宋体" w:cs="宋体"/>
          <w:bCs/>
          <w:color w:val="auto"/>
          <w:szCs w:val="21"/>
          <w:highlight w:val="none"/>
          <w:u w:val="single"/>
        </w:rPr>
      </w:pPr>
      <w:r>
        <w:rPr>
          <w:rFonts w:hint="eastAsia" w:ascii="宋体" w:hAnsi="宋体" w:cs="宋体"/>
          <w:b/>
          <w:color w:val="auto"/>
          <w:szCs w:val="21"/>
          <w:highlight w:val="none"/>
          <w:lang w:eastAsia="zh-CN"/>
        </w:rPr>
        <w:t>分标</w:t>
      </w:r>
      <w:r>
        <w:rPr>
          <w:rFonts w:hint="eastAsia" w:ascii="宋体" w:hAnsi="宋体" w:cs="宋体"/>
          <w:b/>
          <w:color w:val="auto"/>
          <w:szCs w:val="21"/>
          <w:highlight w:val="none"/>
          <w:lang w:val="en-US" w:eastAsia="zh-CN"/>
        </w:rPr>
        <w:t>8(</w:t>
      </w:r>
      <w:r>
        <w:rPr>
          <w:rFonts w:hint="eastAsia" w:ascii="宋体" w:hAnsi="宋体" w:cs="宋体"/>
          <w:b/>
          <w:color w:val="auto"/>
          <w:szCs w:val="21"/>
          <w:highlight w:val="none"/>
          <w:lang w:eastAsia="zh-CN"/>
        </w:rPr>
        <w:t>广西农业全产业链公共服务平台运维</w:t>
      </w:r>
      <w:r>
        <w:rPr>
          <w:rFonts w:hint="eastAsia" w:ascii="宋体" w:hAnsi="宋体" w:cs="宋体"/>
          <w:b/>
          <w:color w:val="auto"/>
          <w:szCs w:val="21"/>
          <w:highlight w:val="none"/>
          <w:lang w:val="en-US" w:eastAsia="zh-CN"/>
        </w:rPr>
        <w:t xml:space="preserve">)       </w:t>
      </w:r>
      <w:r>
        <w:rPr>
          <w:rFonts w:hint="eastAsia" w:ascii="宋体" w:hAnsi="宋体" w:cs="宋体"/>
          <w:b/>
          <w:color w:val="auto"/>
          <w:szCs w:val="21"/>
          <w:highlight w:val="none"/>
        </w:rPr>
        <w:t>采购预算：</w:t>
      </w:r>
      <w:r>
        <w:rPr>
          <w:rFonts w:hint="eastAsia" w:ascii="宋体" w:hAnsi="宋体" w:cs="宋体"/>
          <w:b/>
          <w:color w:val="auto"/>
          <w:szCs w:val="21"/>
          <w:highlight w:val="none"/>
          <w:u w:val="single"/>
          <w:lang w:val="en-US" w:eastAsia="zh-CN"/>
        </w:rPr>
        <w:t>10.00</w:t>
      </w:r>
      <w:r>
        <w:rPr>
          <w:rFonts w:hint="eastAsia" w:ascii="宋体" w:hAnsi="宋体" w:cs="宋体"/>
          <w:b/>
          <w:color w:val="auto"/>
          <w:szCs w:val="21"/>
          <w:highlight w:val="none"/>
          <w:u w:val="single"/>
        </w:rPr>
        <w:t>万元</w:t>
      </w:r>
      <w:r>
        <w:rPr>
          <w:rFonts w:hint="eastAsia" w:ascii="宋体" w:hAnsi="宋体" w:cs="宋体"/>
          <w:b/>
          <w:color w:val="auto"/>
          <w:szCs w:val="21"/>
          <w:highlight w:val="none"/>
        </w:rPr>
        <w:t xml:space="preserve">        </w:t>
      </w:r>
    </w:p>
    <w:tbl>
      <w:tblPr>
        <w:tblStyle w:val="30"/>
        <w:tblW w:w="971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5"/>
        <w:gridCol w:w="1445"/>
        <w:gridCol w:w="68"/>
        <w:gridCol w:w="934"/>
        <w:gridCol w:w="1073"/>
        <w:gridCol w:w="55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7" w:hRule="atLeast"/>
          <w:jc w:val="center"/>
        </w:trPr>
        <w:tc>
          <w:tcPr>
            <w:tcW w:w="655" w:type="dxa"/>
            <w:vAlign w:val="center"/>
          </w:tcPr>
          <w:p>
            <w:pPr>
              <w:tabs>
                <w:tab w:val="left" w:pos="180"/>
                <w:tab w:val="left" w:pos="1620"/>
              </w:tabs>
              <w:spacing w:line="320" w:lineRule="exact"/>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1513" w:type="dxa"/>
            <w:gridSpan w:val="2"/>
            <w:vAlign w:val="center"/>
          </w:tcPr>
          <w:p>
            <w:pPr>
              <w:tabs>
                <w:tab w:val="left" w:pos="180"/>
                <w:tab w:val="left" w:pos="1620"/>
              </w:tabs>
              <w:spacing w:line="320" w:lineRule="exact"/>
              <w:jc w:val="center"/>
              <w:rPr>
                <w:rFonts w:ascii="宋体" w:hAnsi="宋体" w:cs="宋体"/>
                <w:color w:val="auto"/>
                <w:szCs w:val="21"/>
                <w:highlight w:val="none"/>
              </w:rPr>
            </w:pPr>
            <w:r>
              <w:rPr>
                <w:rFonts w:hint="eastAsia" w:ascii="宋体" w:hAnsi="宋体" w:cs="宋体"/>
                <w:color w:val="auto"/>
                <w:szCs w:val="21"/>
                <w:highlight w:val="none"/>
              </w:rPr>
              <w:t>标的的名称</w:t>
            </w:r>
          </w:p>
        </w:tc>
        <w:tc>
          <w:tcPr>
            <w:tcW w:w="934" w:type="dxa"/>
            <w:vAlign w:val="center"/>
          </w:tcPr>
          <w:p>
            <w:pPr>
              <w:tabs>
                <w:tab w:val="left" w:pos="180"/>
                <w:tab w:val="left" w:pos="1620"/>
              </w:tabs>
              <w:spacing w:line="320" w:lineRule="exact"/>
              <w:jc w:val="center"/>
              <w:rPr>
                <w:rFonts w:ascii="宋体" w:hAnsi="宋体" w:cs="宋体"/>
                <w:color w:val="auto"/>
                <w:szCs w:val="21"/>
                <w:highlight w:val="none"/>
              </w:rPr>
            </w:pPr>
            <w:r>
              <w:rPr>
                <w:rFonts w:hint="eastAsia" w:ascii="宋体" w:hAnsi="宋体" w:cs="宋体"/>
                <w:color w:val="auto"/>
                <w:szCs w:val="21"/>
                <w:highlight w:val="none"/>
              </w:rPr>
              <w:t>数量及单位</w:t>
            </w:r>
          </w:p>
        </w:tc>
        <w:tc>
          <w:tcPr>
            <w:tcW w:w="1073" w:type="dxa"/>
            <w:vAlign w:val="center"/>
          </w:tcPr>
          <w:p>
            <w:pPr>
              <w:tabs>
                <w:tab w:val="left" w:pos="180"/>
                <w:tab w:val="left" w:pos="1620"/>
              </w:tabs>
              <w:spacing w:line="320" w:lineRule="exact"/>
              <w:jc w:val="center"/>
              <w:rPr>
                <w:rFonts w:ascii="宋体" w:hAnsi="宋体" w:cs="宋体"/>
                <w:color w:val="auto"/>
                <w:szCs w:val="21"/>
                <w:highlight w:val="none"/>
              </w:rPr>
            </w:pPr>
            <w:r>
              <w:rPr>
                <w:rFonts w:hint="eastAsia" w:ascii="宋体" w:hAnsi="宋体" w:cs="宋体"/>
                <w:color w:val="auto"/>
                <w:szCs w:val="21"/>
                <w:highlight w:val="none"/>
              </w:rPr>
              <w:t>所属</w:t>
            </w:r>
          </w:p>
          <w:p>
            <w:pPr>
              <w:tabs>
                <w:tab w:val="left" w:pos="180"/>
                <w:tab w:val="left" w:pos="1620"/>
              </w:tabs>
              <w:spacing w:line="320" w:lineRule="exact"/>
              <w:jc w:val="center"/>
              <w:rPr>
                <w:rFonts w:ascii="宋体" w:hAnsi="宋体" w:cs="宋体"/>
                <w:color w:val="auto"/>
                <w:szCs w:val="21"/>
                <w:highlight w:val="none"/>
              </w:rPr>
            </w:pPr>
            <w:r>
              <w:rPr>
                <w:rFonts w:hint="eastAsia" w:ascii="宋体" w:hAnsi="宋体" w:cs="宋体"/>
                <w:color w:val="auto"/>
                <w:szCs w:val="21"/>
                <w:highlight w:val="none"/>
              </w:rPr>
              <w:t>行业</w:t>
            </w:r>
          </w:p>
        </w:tc>
        <w:tc>
          <w:tcPr>
            <w:tcW w:w="5539" w:type="dxa"/>
            <w:vAlign w:val="center"/>
          </w:tcPr>
          <w:p>
            <w:pPr>
              <w:tabs>
                <w:tab w:val="left" w:pos="180"/>
                <w:tab w:val="left" w:pos="1620"/>
              </w:tabs>
              <w:spacing w:line="320" w:lineRule="exact"/>
              <w:jc w:val="center"/>
              <w:rPr>
                <w:rFonts w:ascii="宋体" w:hAnsi="宋体" w:cs="宋体"/>
                <w:color w:val="auto"/>
                <w:szCs w:val="21"/>
                <w:highlight w:val="none"/>
              </w:rPr>
            </w:pPr>
            <w:r>
              <w:rPr>
                <w:rFonts w:hint="eastAsia" w:ascii="宋体" w:hAnsi="宋体" w:cs="宋体"/>
                <w:color w:val="auto"/>
                <w:szCs w:val="21"/>
                <w:highlight w:val="none"/>
              </w:rPr>
              <w:t>技术要求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25" w:hRule="atLeast"/>
          <w:jc w:val="center"/>
        </w:trPr>
        <w:tc>
          <w:tcPr>
            <w:tcW w:w="655" w:type="dxa"/>
            <w:vAlign w:val="center"/>
          </w:tcPr>
          <w:p>
            <w:pPr>
              <w:widowControl/>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w:t>
            </w:r>
          </w:p>
        </w:tc>
        <w:tc>
          <w:tcPr>
            <w:tcW w:w="1513" w:type="dxa"/>
            <w:gridSpan w:val="2"/>
            <w:vAlign w:val="center"/>
          </w:tcPr>
          <w:p>
            <w:pPr>
              <w:spacing w:before="50" w:after="50"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平台系统日常维护</w:t>
            </w:r>
          </w:p>
        </w:tc>
        <w:tc>
          <w:tcPr>
            <w:tcW w:w="934" w:type="dxa"/>
            <w:vAlign w:val="center"/>
          </w:tcPr>
          <w:p>
            <w:pPr>
              <w:spacing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1项</w:t>
            </w:r>
          </w:p>
        </w:tc>
        <w:tc>
          <w:tcPr>
            <w:tcW w:w="1073" w:type="dxa"/>
            <w:vAlign w:val="center"/>
          </w:tcPr>
          <w:p>
            <w:pPr>
              <w:tabs>
                <w:tab w:val="left" w:pos="180"/>
                <w:tab w:val="left" w:pos="1620"/>
              </w:tabs>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软件和信息技术服务业</w:t>
            </w:r>
          </w:p>
        </w:tc>
        <w:tc>
          <w:tcPr>
            <w:tcW w:w="5539" w:type="dxa"/>
          </w:tcPr>
          <w:p>
            <w:pPr>
              <w:keepNext w:val="0"/>
              <w:keepLines w:val="0"/>
              <w:pageBreakBefore w:val="0"/>
              <w:kinsoku/>
              <w:wordWrap/>
              <w:overflowPunct/>
              <w:topLinePunct w:val="0"/>
              <w:autoSpaceDE/>
              <w:autoSpaceDN/>
              <w:bidi w:val="0"/>
              <w:adjustRightInd/>
              <w:snapToGrid/>
              <w:spacing w:before="50" w:after="5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1、定期巡检：定期检查平台电脑端及手机端程序运行状况，查看系统日志文，及时发现问题并进行排除。</w:t>
            </w:r>
          </w:p>
          <w:p>
            <w:pPr>
              <w:keepNext w:val="0"/>
              <w:keepLines w:val="0"/>
              <w:pageBreakBefore w:val="0"/>
              <w:kinsoku/>
              <w:wordWrap/>
              <w:overflowPunct/>
              <w:topLinePunct w:val="0"/>
              <w:autoSpaceDE/>
              <w:autoSpaceDN/>
              <w:bidi w:val="0"/>
              <w:adjustRightInd/>
              <w:snapToGrid/>
              <w:spacing w:before="50" w:after="5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故障处理：系统突发事件的诊断、排除，帮助解答系统相关的各种业务和技术问题，包括技术咨询、指导和信息提供等。提供5×8小时的全天候分级服务响应，1小时内给予响应，2小时内技术人员到位，进行故障排查与解决；24小时热线电话、远程在线诊断和故障排除、现场响应以及Email 和传真支持服务。</w:t>
            </w:r>
          </w:p>
          <w:p>
            <w:pPr>
              <w:keepNext w:val="0"/>
              <w:keepLines w:val="0"/>
              <w:pageBreakBefore w:val="0"/>
              <w:kinsoku/>
              <w:wordWrap/>
              <w:overflowPunct/>
              <w:topLinePunct w:val="0"/>
              <w:autoSpaceDE/>
              <w:autoSpaceDN/>
              <w:bidi w:val="0"/>
              <w:adjustRightInd/>
              <w:snapToGrid/>
              <w:spacing w:before="50" w:after="5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3、优化运维：优化日常维护工作程序，提前发现隐患，制定应急响应预案，以保证平台各系统无故障运行，同时优化系统性能。</w:t>
            </w:r>
          </w:p>
          <w:p>
            <w:pPr>
              <w:keepNext w:val="0"/>
              <w:keepLines w:val="0"/>
              <w:pageBreakBefore w:val="0"/>
              <w:kinsoku/>
              <w:wordWrap/>
              <w:overflowPunct/>
              <w:topLinePunct w:val="0"/>
              <w:autoSpaceDE/>
              <w:autoSpaceDN/>
              <w:bidi w:val="0"/>
              <w:adjustRightInd/>
              <w:snapToGrid/>
              <w:spacing w:before="50" w:after="5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4、重大问题处理：遇到的重大事件和疑难问题，召集资深专家级技术人员进行会诊，及时找到解决办法，确定处理方法，并在4小时内采取相应措施以确保系统正常运行。</w:t>
            </w:r>
          </w:p>
          <w:p>
            <w:pPr>
              <w:pStyle w:val="78"/>
              <w:keepNext w:val="0"/>
              <w:keepLines w:val="0"/>
              <w:pageBreakBefore w:val="0"/>
              <w:widowControl/>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5、数据备份：定期进行数据备份，采用每天增量备份、每周完全备份的备份策略，以防止数据误操作或意外丢失。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5" w:hRule="atLeast"/>
          <w:jc w:val="center"/>
        </w:trPr>
        <w:tc>
          <w:tcPr>
            <w:tcW w:w="655" w:type="dxa"/>
            <w:vAlign w:val="center"/>
          </w:tcPr>
          <w:p>
            <w:pPr>
              <w:widowControl/>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rPr>
              <w:t>2</w:t>
            </w:r>
          </w:p>
        </w:tc>
        <w:tc>
          <w:tcPr>
            <w:tcW w:w="1513" w:type="dxa"/>
            <w:gridSpan w:val="2"/>
            <w:vAlign w:val="center"/>
          </w:tcPr>
          <w:p>
            <w:pPr>
              <w:spacing w:before="50" w:after="50"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平台数据更新与对接服务</w:t>
            </w:r>
          </w:p>
        </w:tc>
        <w:tc>
          <w:tcPr>
            <w:tcW w:w="934" w:type="dxa"/>
            <w:vAlign w:val="center"/>
          </w:tcPr>
          <w:p>
            <w:pPr>
              <w:spacing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1项</w:t>
            </w:r>
          </w:p>
        </w:tc>
        <w:tc>
          <w:tcPr>
            <w:tcW w:w="1073" w:type="dxa"/>
            <w:vAlign w:val="center"/>
          </w:tcPr>
          <w:p>
            <w:pPr>
              <w:tabs>
                <w:tab w:val="left" w:pos="180"/>
                <w:tab w:val="left" w:pos="1620"/>
              </w:tabs>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软件和信息技术服务业</w:t>
            </w:r>
          </w:p>
        </w:tc>
        <w:tc>
          <w:tcPr>
            <w:tcW w:w="5539" w:type="dxa"/>
          </w:tcPr>
          <w:p>
            <w:pPr>
              <w:keepNext w:val="0"/>
              <w:keepLines w:val="0"/>
              <w:pageBreakBefore w:val="0"/>
              <w:kinsoku/>
              <w:wordWrap/>
              <w:overflowPunct/>
              <w:topLinePunct w:val="0"/>
              <w:autoSpaceDE/>
              <w:autoSpaceDN/>
              <w:bidi w:val="0"/>
              <w:adjustRightInd/>
              <w:snapToGrid/>
              <w:spacing w:before="50" w:after="5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广西全区农业基本面数据整理分析：及时完成广西全区农业基本面数据整理与分析，为领导决策、管理人员指导生产提供数据支撑。具体包括：关注国家统计局、广西统计局相关信息发布时间，及时下载全国及广西农业生产、农业人口数据、耕地数据相关数据，按栏目内容进行整理、分析与发布；定期下载全国各省（区、市）“三品一标”认证数据，对相应栏目进行更新，包括产值情况、产业结构、乡村人口、耕地变化、气象分析、认证统计等。</w:t>
            </w:r>
          </w:p>
          <w:p>
            <w:pPr>
              <w:keepNext w:val="0"/>
              <w:keepLines w:val="0"/>
              <w:pageBreakBefore w:val="0"/>
              <w:kinsoku/>
              <w:wordWrap/>
              <w:overflowPunct/>
              <w:topLinePunct w:val="0"/>
              <w:autoSpaceDE/>
              <w:autoSpaceDN/>
              <w:bidi w:val="0"/>
              <w:adjustRightInd/>
              <w:snapToGrid/>
              <w:spacing w:before="50" w:after="5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香蕉、柑桔、火龙果、荔枝、桑蚕、芒果等单品种全产业链数据采集维护：深化六个特色品种的数据服务，结合季节特点提供数据分析服务，发挥平台对生产经营的指导与服务作用，具体包括：收集六个品种的分省生产数据，进行整理分析、更新图表并发布；对接广西农情数据，对广西各产区生产数据进行整理分析；收集六个品种的全国各地批发市场价格数据、进行多维度分析后，更新图表并发布；收集国际粮农组织发布的分国别单品种生产数据，进行整理分析、更新图表并发布；收集整理这六个品种相关的政策、种苗、科技、国内外及广西区内外新闻信息进行编辑并发布。</w:t>
            </w:r>
          </w:p>
          <w:p>
            <w:pPr>
              <w:keepNext w:val="0"/>
              <w:keepLines w:val="0"/>
              <w:pageBreakBefore w:val="0"/>
              <w:kinsoku/>
              <w:wordWrap/>
              <w:overflowPunct/>
              <w:topLinePunct w:val="0"/>
              <w:autoSpaceDE/>
              <w:autoSpaceDN/>
              <w:bidi w:val="0"/>
              <w:adjustRightInd/>
              <w:snapToGrid/>
              <w:spacing w:before="50" w:after="5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3、信息服务类数据更新：为生产经营主体提供单品种全产业链的信息服务，加强市场联动，提升生产经营效率，包括新品种、惠农政策、热点新闻、实用技术等信息采集、整理与发布。</w:t>
            </w:r>
          </w:p>
          <w:p>
            <w:pPr>
              <w:keepNext w:val="0"/>
              <w:keepLines w:val="0"/>
              <w:pageBreakBefore w:val="0"/>
              <w:kinsoku/>
              <w:wordWrap/>
              <w:overflowPunct/>
              <w:topLinePunct w:val="0"/>
              <w:autoSpaceDE/>
              <w:autoSpaceDN/>
              <w:bidi w:val="0"/>
              <w:adjustRightInd/>
              <w:snapToGrid/>
              <w:spacing w:before="50" w:after="5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4、手机端数据更新：平台数据同步，进行格式调整、风格转换后，发布至手机端。</w:t>
            </w:r>
          </w:p>
          <w:p>
            <w:pPr>
              <w:keepNext w:val="0"/>
              <w:keepLines w:val="0"/>
              <w:pageBreakBefore w:val="0"/>
              <w:kinsoku/>
              <w:wordWrap/>
              <w:overflowPunct/>
              <w:topLinePunct w:val="0"/>
              <w:autoSpaceDE/>
              <w:autoSpaceDN/>
              <w:bidi w:val="0"/>
              <w:adjustRightInd/>
              <w:snapToGrid/>
              <w:spacing w:before="50" w:after="5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5、平台数据对接服务：实现与其他农业信息化系统平台的数据对接服务，强化对全区农业生产态势分析研判、农产品稳产保供给等。</w:t>
            </w:r>
          </w:p>
          <w:p>
            <w:pPr>
              <w:pStyle w:val="78"/>
              <w:keepNext w:val="0"/>
              <w:keepLines w:val="0"/>
              <w:pageBreakBefore w:val="0"/>
              <w:widowControl/>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注：统计分析类数据更新频率不少于1次/年；信息服务类数据更新频率不少于1次/月；新闻动态类数据更新频率不少于2篇/周。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714" w:type="dxa"/>
            <w:gridSpan w:val="6"/>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Cs w:val="21"/>
                <w:highlight w:val="none"/>
              </w:rPr>
            </w:pPr>
            <w:r>
              <w:rPr>
                <w:rFonts w:hint="eastAsia" w:ascii="宋体" w:hAnsi="宋体" w:cs="宋体"/>
                <w:b/>
                <w:color w:val="auto"/>
                <w:szCs w:val="21"/>
                <w:highlight w:val="none"/>
              </w:rPr>
              <w:t>商务要求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100" w:type="dxa"/>
            <w:gridSpan w:val="2"/>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b/>
                <w:color w:val="auto"/>
                <w:sz w:val="21"/>
                <w:szCs w:val="21"/>
                <w:highlight w:val="none"/>
              </w:rPr>
            </w:pPr>
            <w:r>
              <w:rPr>
                <w:rFonts w:hint="eastAsia" w:ascii="宋体" w:hAnsi="宋体"/>
                <w:color w:val="auto"/>
                <w:sz w:val="21"/>
                <w:szCs w:val="21"/>
                <w:highlight w:val="none"/>
              </w:rPr>
              <w:t>▲磋商报价要求</w:t>
            </w:r>
          </w:p>
        </w:tc>
        <w:tc>
          <w:tcPr>
            <w:tcW w:w="7614"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ind w:firstLine="422" w:firstLineChars="200"/>
              <w:jc w:val="left"/>
              <w:outlineLvl w:val="0"/>
              <w:rPr>
                <w:rFonts w:ascii="宋体" w:cs="宋体"/>
                <w:b/>
                <w:bCs/>
                <w:color w:val="auto"/>
                <w:kern w:val="0"/>
                <w:sz w:val="21"/>
                <w:szCs w:val="21"/>
                <w:highlight w:val="none"/>
              </w:rPr>
            </w:pPr>
            <w:r>
              <w:rPr>
                <w:rFonts w:hint="eastAsia" w:ascii="宋体" w:hAnsi="宋体" w:cs="宋体"/>
                <w:b/>
                <w:bCs/>
                <w:color w:val="auto"/>
                <w:kern w:val="0"/>
                <w:sz w:val="21"/>
                <w:szCs w:val="21"/>
                <w:highlight w:val="none"/>
              </w:rPr>
              <w:t>报价必须含以下部分，包括（但不限于）：</w:t>
            </w:r>
          </w:p>
          <w:p>
            <w:pPr>
              <w:autoSpaceDE w:val="0"/>
              <w:autoSpaceDN w:val="0"/>
              <w:adjustRightInd w:val="0"/>
              <w:snapToGrid w:val="0"/>
              <w:spacing w:line="360" w:lineRule="auto"/>
              <w:ind w:firstLine="420" w:firstLineChars="200"/>
              <w:jc w:val="left"/>
              <w:outlineLvl w:val="0"/>
              <w:rPr>
                <w:color w:val="auto"/>
                <w:sz w:val="21"/>
                <w:szCs w:val="21"/>
                <w:highlight w:val="none"/>
              </w:rPr>
            </w:pPr>
            <w:r>
              <w:rPr>
                <w:rFonts w:hint="eastAsia" w:ascii="宋体" w:hAnsi="宋体" w:cs="宋体"/>
                <w:color w:val="auto"/>
                <w:kern w:val="0"/>
                <w:sz w:val="21"/>
                <w:szCs w:val="21"/>
                <w:highlight w:val="none"/>
              </w:rPr>
              <w:t>本项目磋商报价为总额报价，即一次性报出本项目服务所需的所有费用，含技术服务、派出工作人员的交通费、住宿费、伙食补助费、必要的保险费用和各项税金、其他</w:t>
            </w:r>
            <w:r>
              <w:rPr>
                <w:rFonts w:ascii="宋体" w:hAnsi="宋体" w:cs="宋体"/>
                <w:color w:val="auto"/>
                <w:kern w:val="0"/>
                <w:sz w:val="21"/>
                <w:szCs w:val="21"/>
                <w:highlight w:val="none"/>
              </w:rPr>
              <w:t>[</w:t>
            </w:r>
            <w:r>
              <w:rPr>
                <w:rFonts w:hint="eastAsia" w:ascii="宋体" w:hAnsi="宋体" w:cs="宋体"/>
                <w:color w:val="auto"/>
                <w:kern w:val="0"/>
                <w:sz w:val="21"/>
                <w:szCs w:val="21"/>
                <w:highlight w:val="none"/>
              </w:rPr>
              <w:t>如运输、装卸、安装、调试、培训、技术支持、服务保障方案、更新升级等</w:t>
            </w:r>
            <w:r>
              <w:rPr>
                <w:rFonts w:ascii="宋体" w:hAnsi="宋体" w:cs="宋体"/>
                <w:color w:val="auto"/>
                <w:kern w:val="0"/>
                <w:sz w:val="21"/>
                <w:szCs w:val="21"/>
                <w:highlight w:val="none"/>
              </w:rPr>
              <w:t>]</w:t>
            </w:r>
            <w:r>
              <w:rPr>
                <w:rFonts w:hint="eastAsia" w:ascii="宋体" w:hAnsi="宋体" w:cs="宋体"/>
                <w:color w:val="auto"/>
                <w:kern w:val="0"/>
                <w:sz w:val="21"/>
                <w:szCs w:val="21"/>
                <w:highlight w:val="none"/>
              </w:rPr>
              <w:t>有关的费用。本项目至验收合格，采购人不另支付任何费用。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100"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b/>
                <w:color w:val="auto"/>
                <w:sz w:val="21"/>
                <w:szCs w:val="21"/>
                <w:highlight w:val="none"/>
              </w:rPr>
            </w:pPr>
            <w:r>
              <w:rPr>
                <w:rFonts w:hint="eastAsia" w:ascii="宋体" w:hAnsi="宋体"/>
                <w:color w:val="auto"/>
                <w:sz w:val="21"/>
                <w:szCs w:val="21"/>
                <w:highlight w:val="none"/>
              </w:rPr>
              <w:t>▲合同履行期限</w:t>
            </w:r>
            <w:r>
              <w:rPr>
                <w:rFonts w:hint="eastAsia" w:ascii="宋体" w:hAnsi="Courier New"/>
                <w:color w:val="auto"/>
                <w:kern w:val="0"/>
                <w:sz w:val="21"/>
                <w:szCs w:val="21"/>
                <w:highlight w:val="none"/>
              </w:rPr>
              <w:t>、地点</w:t>
            </w:r>
          </w:p>
        </w:tc>
        <w:tc>
          <w:tcPr>
            <w:tcW w:w="7614"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ind w:left="105" w:hanging="105" w:hangingChars="50"/>
              <w:jc w:val="left"/>
              <w:outlineLvl w:val="0"/>
              <w:rPr>
                <w:rFonts w:ascii="宋体" w:cs="宋体"/>
                <w:color w:val="auto"/>
                <w:kern w:val="0"/>
                <w:sz w:val="21"/>
                <w:szCs w:val="21"/>
                <w:highlight w:val="none"/>
              </w:rPr>
            </w:pPr>
            <w:r>
              <w:rPr>
                <w:rFonts w:hint="eastAsia" w:ascii="宋体" w:hAnsi="宋体"/>
                <w:color w:val="auto"/>
                <w:sz w:val="21"/>
                <w:szCs w:val="21"/>
                <w:highlight w:val="none"/>
              </w:rPr>
              <w:t>合同履行期限：</w:t>
            </w:r>
            <w:r>
              <w:rPr>
                <w:rFonts w:hint="eastAsia" w:ascii="宋体" w:hAnsi="宋体" w:cs="宋体"/>
                <w:color w:val="auto"/>
                <w:kern w:val="0"/>
                <w:sz w:val="21"/>
                <w:szCs w:val="21"/>
                <w:highlight w:val="none"/>
              </w:rPr>
              <w:t>自合同签订之日起一年。</w:t>
            </w:r>
          </w:p>
          <w:p>
            <w:pPr>
              <w:spacing w:line="400" w:lineRule="exact"/>
              <w:rPr>
                <w:color w:val="auto"/>
                <w:sz w:val="21"/>
                <w:szCs w:val="21"/>
                <w:highlight w:val="none"/>
              </w:rPr>
            </w:pPr>
            <w:r>
              <w:rPr>
                <w:rFonts w:hint="eastAsia" w:ascii="宋体" w:hAnsi="Courier New" w:cs="Courier New"/>
                <w:color w:val="auto"/>
                <w:sz w:val="21"/>
                <w:szCs w:val="21"/>
                <w:highlight w:val="none"/>
              </w:rPr>
              <w:t>地点：</w:t>
            </w:r>
            <w:r>
              <w:rPr>
                <w:rFonts w:hint="eastAsia" w:ascii="宋体" w:hAnsi="宋体" w:cs="宋体"/>
                <w:color w:val="auto"/>
                <w:kern w:val="0"/>
                <w:sz w:val="21"/>
                <w:szCs w:val="21"/>
                <w:highlight w:val="none"/>
              </w:rPr>
              <w:t>广西区内采购人指定地点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6" w:hRule="atLeast"/>
          <w:jc w:val="center"/>
        </w:trPr>
        <w:tc>
          <w:tcPr>
            <w:tcW w:w="2100" w:type="dxa"/>
            <w:gridSpan w:val="2"/>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b/>
                <w:color w:val="auto"/>
                <w:sz w:val="21"/>
                <w:szCs w:val="21"/>
                <w:highlight w:val="none"/>
              </w:rPr>
            </w:pPr>
            <w:r>
              <w:rPr>
                <w:rFonts w:hint="eastAsia" w:ascii="宋体" w:hAnsi="宋体"/>
                <w:color w:val="auto"/>
                <w:sz w:val="21"/>
                <w:szCs w:val="21"/>
                <w:highlight w:val="none"/>
              </w:rPr>
              <w:t>▲付款条件</w:t>
            </w:r>
          </w:p>
        </w:tc>
        <w:tc>
          <w:tcPr>
            <w:tcW w:w="7614" w:type="dxa"/>
            <w:gridSpan w:val="4"/>
            <w:tcBorders>
              <w:top w:val="single" w:color="auto" w:sz="4" w:space="0"/>
              <w:left w:val="single" w:color="auto" w:sz="4" w:space="0"/>
              <w:bottom w:val="single" w:color="auto" w:sz="4" w:space="0"/>
              <w:right w:val="single" w:color="auto" w:sz="4" w:space="0"/>
            </w:tcBorders>
            <w:vAlign w:val="center"/>
          </w:tcPr>
          <w:p>
            <w:pPr>
              <w:rPr>
                <w:rFonts w:ascii="宋体" w:hAnsi="宋体" w:cs="宋体"/>
                <w:bCs/>
                <w:color w:val="auto"/>
                <w:sz w:val="21"/>
                <w:szCs w:val="21"/>
                <w:highlight w:val="none"/>
              </w:rPr>
            </w:pPr>
            <w:r>
              <w:rPr>
                <w:rFonts w:hint="eastAsia" w:ascii="宋体" w:hAnsi="宋体"/>
                <w:color w:val="auto"/>
                <w:sz w:val="21"/>
                <w:szCs w:val="21"/>
                <w:highlight w:val="none"/>
              </w:rPr>
              <w:t>签订合同后成交供应商按合同要求开展运维服务工作，签订合同后10个工作日内，由采购人支付50% 合同款给成交供应商，成交供应商提供服务2个月，并取得运维成果，采购人支付剩余50%的合同款。成交供应商每次收到合同款之日起3个工作日内开具合法的发票给采购人。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210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1"/>
                <w:szCs w:val="21"/>
                <w:highlight w:val="none"/>
              </w:rPr>
            </w:pPr>
            <w:r>
              <w:rPr>
                <w:rFonts w:hint="eastAsia" w:ascii="宋体" w:hAnsi="宋体"/>
                <w:color w:val="auto"/>
                <w:sz w:val="21"/>
                <w:szCs w:val="21"/>
                <w:highlight w:val="none"/>
              </w:rPr>
              <w:t>服务保障方案要求</w:t>
            </w:r>
          </w:p>
        </w:tc>
        <w:tc>
          <w:tcPr>
            <w:tcW w:w="7614"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ascii="宋体" w:cs="宋体"/>
                <w:color w:val="auto"/>
                <w:kern w:val="0"/>
                <w:sz w:val="21"/>
                <w:szCs w:val="21"/>
                <w:highlight w:val="none"/>
              </w:rPr>
            </w:pPr>
            <w:r>
              <w:rPr>
                <w:rFonts w:ascii="宋体" w:hAnsi="宋体" w:cs="宋体"/>
                <w:color w:val="auto"/>
                <w:kern w:val="0"/>
                <w:sz w:val="21"/>
                <w:szCs w:val="21"/>
                <w:highlight w:val="none"/>
              </w:rPr>
              <w:t>1</w:t>
            </w:r>
            <w:r>
              <w:rPr>
                <w:rFonts w:hint="eastAsia" w:ascii="宋体" w:hAnsi="宋体" w:cs="宋体"/>
                <w:color w:val="auto"/>
                <w:kern w:val="0"/>
                <w:sz w:val="21"/>
                <w:szCs w:val="21"/>
                <w:highlight w:val="none"/>
              </w:rPr>
              <w:t>、成交供应商在服务期限内对用户提出的合理的，不涉及架构及全局性的功能增减、美工修改等应免费配合实施。</w:t>
            </w:r>
          </w:p>
          <w:p>
            <w:pPr>
              <w:autoSpaceDE w:val="0"/>
              <w:autoSpaceDN w:val="0"/>
              <w:adjustRightInd w:val="0"/>
              <w:spacing w:line="360" w:lineRule="auto"/>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lang w:val="en-US" w:eastAsia="zh-CN"/>
              </w:rPr>
              <w:t>2</w:t>
            </w:r>
            <w:r>
              <w:rPr>
                <w:rFonts w:hint="eastAsia" w:ascii="宋体" w:hAnsi="宋体" w:cs="宋体"/>
                <w:color w:val="auto"/>
                <w:kern w:val="0"/>
                <w:sz w:val="21"/>
                <w:szCs w:val="21"/>
                <w:highlight w:val="none"/>
              </w:rPr>
              <w:t>、维护响应：成交供应商在接到用户电话后</w:t>
            </w:r>
            <w:r>
              <w:rPr>
                <w:rFonts w:ascii="宋体" w:hAnsi="宋体" w:cs="宋体"/>
                <w:color w:val="auto"/>
                <w:kern w:val="0"/>
                <w:sz w:val="21"/>
                <w:szCs w:val="21"/>
                <w:highlight w:val="none"/>
              </w:rPr>
              <w:t>1</w:t>
            </w:r>
            <w:r>
              <w:rPr>
                <w:rFonts w:hint="eastAsia" w:ascii="宋体" w:hAnsi="宋体" w:cs="宋体"/>
                <w:color w:val="auto"/>
                <w:kern w:val="0"/>
                <w:sz w:val="21"/>
                <w:szCs w:val="21"/>
                <w:highlight w:val="none"/>
              </w:rPr>
              <w:t>小时内响应，</w:t>
            </w:r>
            <w:r>
              <w:rPr>
                <w:rFonts w:hint="eastAsia" w:ascii="宋体" w:hAnsi="宋体" w:cs="宋体"/>
                <w:color w:val="auto"/>
                <w:kern w:val="0"/>
                <w:sz w:val="21"/>
                <w:szCs w:val="21"/>
                <w:highlight w:val="none"/>
                <w:lang w:val="en-US" w:eastAsia="zh-CN"/>
              </w:rPr>
              <w:t>2</w:t>
            </w:r>
            <w:r>
              <w:rPr>
                <w:rFonts w:hint="eastAsia" w:ascii="宋体" w:hAnsi="宋体" w:cs="宋体"/>
                <w:color w:val="auto"/>
                <w:kern w:val="0"/>
                <w:sz w:val="21"/>
                <w:szCs w:val="21"/>
                <w:highlight w:val="none"/>
              </w:rPr>
              <w:t>小时内到达现场修理解决，</w:t>
            </w:r>
            <w:r>
              <w:rPr>
                <w:rFonts w:ascii="宋体" w:hAnsi="宋体" w:cs="宋体"/>
                <w:color w:val="auto"/>
                <w:kern w:val="0"/>
                <w:sz w:val="21"/>
                <w:szCs w:val="21"/>
                <w:highlight w:val="none"/>
              </w:rPr>
              <w:t>24</w:t>
            </w:r>
            <w:r>
              <w:rPr>
                <w:rFonts w:hint="eastAsia" w:ascii="宋体" w:hAnsi="宋体" w:cs="宋体"/>
                <w:color w:val="auto"/>
                <w:kern w:val="0"/>
                <w:sz w:val="21"/>
                <w:szCs w:val="21"/>
                <w:highlight w:val="none"/>
              </w:rPr>
              <w:t>小时内恢复正常使用，若不能修复则应有合理应对方案。</w:t>
            </w:r>
          </w:p>
          <w:p>
            <w:pPr>
              <w:autoSpaceDE w:val="0"/>
              <w:autoSpaceDN w:val="0"/>
              <w:adjustRightInd w:val="0"/>
              <w:spacing w:line="360" w:lineRule="auto"/>
              <w:jc w:val="left"/>
              <w:rPr>
                <w:rFonts w:ascii="宋体" w:hAnsi="宋体" w:cs="宋体"/>
                <w:color w:val="auto"/>
                <w:sz w:val="21"/>
                <w:szCs w:val="21"/>
                <w:highlight w:val="none"/>
              </w:rPr>
            </w:pPr>
            <w:r>
              <w:rPr>
                <w:rFonts w:hint="eastAsia" w:ascii="宋体" w:hAnsi="宋体" w:cs="宋体"/>
                <w:color w:val="auto"/>
                <w:kern w:val="0"/>
                <w:sz w:val="21"/>
                <w:szCs w:val="21"/>
                <w:highlight w:val="none"/>
                <w:lang w:val="en-US" w:eastAsia="zh-CN"/>
              </w:rPr>
              <w:t>3</w:t>
            </w:r>
            <w:r>
              <w:rPr>
                <w:rFonts w:hint="eastAsia" w:ascii="宋体" w:hAnsi="宋体" w:cs="宋体"/>
                <w:color w:val="auto"/>
                <w:kern w:val="0"/>
                <w:sz w:val="21"/>
                <w:szCs w:val="21"/>
                <w:highlight w:val="none"/>
              </w:rPr>
              <w:t>、成交供应商为采购人提供技术支持，包括维护期外的技术服务及技术指导等。</w:t>
            </w:r>
          </w:p>
        </w:tc>
      </w:tr>
    </w:tbl>
    <w:p>
      <w:pPr>
        <w:pStyle w:val="5"/>
        <w:rPr>
          <w:rFonts w:ascii="宋体" w:hAnsi="宋体" w:cs="宋体"/>
          <w:color w:val="auto"/>
          <w:highlight w:val="none"/>
        </w:rPr>
      </w:pPr>
      <w:r>
        <w:rPr>
          <w:rFonts w:hint="eastAsia" w:ascii="宋体" w:hAnsi="宋体" w:cs="宋体"/>
          <w:color w:val="auto"/>
          <w:highlight w:val="none"/>
        </w:rPr>
        <w:br w:type="page"/>
      </w:r>
      <w:r>
        <w:rPr>
          <w:rFonts w:hint="eastAsia" w:ascii="宋体" w:hAnsi="宋体" w:cs="宋体"/>
          <w:color w:val="auto"/>
          <w:highlight w:val="none"/>
        </w:rPr>
        <w:t>第四章  评审程序、评审方法和评审标准</w:t>
      </w:r>
      <w:bookmarkEnd w:id="40"/>
    </w:p>
    <w:p>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一、评审程序和评审方法</w:t>
      </w:r>
    </w:p>
    <w:p>
      <w:pPr>
        <w:spacing w:line="360" w:lineRule="auto"/>
        <w:ind w:firstLine="482" w:firstLineChars="200"/>
        <w:rPr>
          <w:rFonts w:ascii="宋体" w:hAnsi="宋体" w:cs="宋体"/>
          <w:b/>
          <w:bCs/>
          <w:color w:val="auto"/>
          <w:sz w:val="24"/>
          <w:highlight w:val="none"/>
        </w:rPr>
      </w:pP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1.资格审查</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1.1响应文件开启后，磋商小组依法对供应商的资格证明文件进行审查。</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（1）查询渠道：“信用中国”网站（www.creditchina.gov.cn）、中国政府采购网（</w:t>
      </w:r>
      <w:r>
        <w:rPr>
          <w:color w:val="auto"/>
          <w:highlight w:val="none"/>
        </w:rPr>
        <w:fldChar w:fldCharType="begin"/>
      </w:r>
      <w:r>
        <w:rPr>
          <w:color w:val="auto"/>
          <w:highlight w:val="none"/>
        </w:rPr>
        <w:instrText xml:space="preserve"> HYPERLINK "http://www.ccgp.gov.cn" </w:instrText>
      </w:r>
      <w:r>
        <w:rPr>
          <w:color w:val="auto"/>
          <w:highlight w:val="none"/>
        </w:rPr>
        <w:fldChar w:fldCharType="separate"/>
      </w:r>
      <w:r>
        <w:rPr>
          <w:rFonts w:hint="eastAsia" w:ascii="宋体" w:hAnsi="宋体" w:cs="宋体"/>
          <w:color w:val="auto"/>
          <w:highlight w:val="none"/>
        </w:rPr>
        <w:t>www.ccgp.gov.cn</w:t>
      </w:r>
      <w:r>
        <w:rPr>
          <w:rFonts w:hint="eastAsia" w:ascii="宋体" w:hAnsi="宋体" w:cs="宋体"/>
          <w:color w:val="auto"/>
          <w:highlight w:val="none"/>
        </w:rPr>
        <w:fldChar w:fldCharType="end"/>
      </w:r>
      <w:r>
        <w:rPr>
          <w:rFonts w:hint="eastAsia" w:ascii="宋体" w:hAnsi="宋体" w:cs="宋体"/>
          <w:color w:val="auto"/>
          <w:szCs w:val="21"/>
          <w:highlight w:val="none"/>
        </w:rPr>
        <w:t>）</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（2）信用查询截止时点：资格审查结束前</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（3）查询记录和证据留存方式：通过广西政府采购云平台链接到相关查询网站进行查询及记录。</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（4）信用信息使用规则：根据财政部《关于在政府采购活动中查询及使用信用记录有关问题的通知》（财库〔2016〕125号）的规定，对在“信用中国”网站(www.creditchina.gov.cn)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1.2资格审查标准为本磋商文件中载明对供应商资格要求的条件。资格审查采用合格制，凡符合磋商文件规定的供应商资格要求的响应文件均通过资格审查。</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1.3供应商有下列情形之一的，资格审查不通过，其响应文件按无效响应处理：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（1）不具备磋商文件中规定的资格要求的；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（2）响应文件的资格证明文件缺少任一项“供应商须知前附表”资格证明文件规定的“必须提供”的文件资料的；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（3）响应文件中的资格证明文件出现任一项不符合“供应商须知前附表”资格证明文件规定的“必须提供”的文件资料要求或者无效的；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（4）同一合同项下的不同供应商，单位负责人为同一人或者存在直接控股、管理关系的；为本项目提供过整体设计、规范编制或者项目管理、监理、检测等服务的供应商，再参加该采购项目的其他采购活动的。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1.4通过资格审查的合格供应商不足3家的，不得进入符合性审查环节，采购人或者采购代理机构应当重新开展采购活动。</w:t>
      </w: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2.符合性审查</w:t>
      </w:r>
    </w:p>
    <w:p>
      <w:pPr>
        <w:spacing w:line="360" w:lineRule="auto"/>
        <w:ind w:firstLine="420" w:firstLineChars="200"/>
        <w:rPr>
          <w:rFonts w:ascii="宋体" w:hAnsi="宋体" w:cs="宋体"/>
          <w:color w:val="auto"/>
          <w:szCs w:val="21"/>
          <w:highlight w:val="none"/>
        </w:rPr>
      </w:pPr>
      <w:bookmarkStart w:id="45" w:name="_Hlk42528882"/>
      <w:r>
        <w:rPr>
          <w:rFonts w:hint="eastAsia" w:ascii="宋体" w:hAnsi="宋体" w:cs="宋体"/>
          <w:color w:val="auto"/>
          <w:szCs w:val="21"/>
          <w:highlight w:val="none"/>
        </w:rPr>
        <w:t>2.1由磋商小组对资格审查的合格供应商的响应文件的竞标报价、商务、技术等实质性要求进行符合性审查，以确定其是否满足磋商文件的实质性要求。</w:t>
      </w:r>
    </w:p>
    <w:bookmarkEnd w:id="45"/>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2.2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360" w:lineRule="auto"/>
        <w:ind w:firstLine="420" w:firstLineChars="200"/>
        <w:rPr>
          <w:rFonts w:ascii="宋体" w:hAnsi="宋体" w:cs="宋体"/>
          <w:color w:val="auto"/>
          <w:spacing w:val="-6"/>
          <w:szCs w:val="21"/>
          <w:highlight w:val="none"/>
        </w:rPr>
      </w:pPr>
      <w:r>
        <w:rPr>
          <w:rFonts w:hint="eastAsia" w:ascii="宋体" w:hAnsi="宋体" w:cs="宋体"/>
          <w:color w:val="auto"/>
          <w:szCs w:val="21"/>
          <w:highlight w:val="none"/>
        </w:rPr>
        <w:t>2.3磋商小组要求供应商澄清、说明或者更正响应文件应当以电子澄清函形式作出。供应商的澄清、说明或者更正应当以电子回函形式按照磋商小组的要求作出明确的澄清、说明或者更正，未按磋商小组的要求作出明确澄清、说明或者更正的供应商的响应文件将按照有利于采购人的原则由磋商小组进行判定。供应商的澄清、说明或者更正必须由法定代表人或者其授权代表签字或加盖供应商公章</w:t>
      </w:r>
      <w:r>
        <w:rPr>
          <w:rFonts w:hint="eastAsia" w:ascii="宋体" w:hAnsi="宋体" w:cs="宋体"/>
          <w:color w:val="auto"/>
          <w:spacing w:val="-6"/>
          <w:szCs w:val="21"/>
          <w:highlight w:val="none"/>
        </w:rPr>
        <w:t>。供应商为自然人的，必须由本人签字并附身份证明。</w:t>
      </w:r>
    </w:p>
    <w:p>
      <w:pPr>
        <w:spacing w:line="360" w:lineRule="auto"/>
        <w:ind w:firstLine="396" w:firstLineChars="200"/>
        <w:rPr>
          <w:rFonts w:ascii="宋体" w:hAnsi="宋体" w:cs="宋体"/>
          <w:color w:val="auto"/>
          <w:szCs w:val="21"/>
          <w:highlight w:val="none"/>
        </w:rPr>
      </w:pPr>
      <w:r>
        <w:rPr>
          <w:rFonts w:hint="eastAsia" w:ascii="宋体" w:hAnsi="宋体" w:cs="宋体"/>
          <w:color w:val="auto"/>
          <w:spacing w:val="-6"/>
          <w:szCs w:val="21"/>
          <w:highlight w:val="none"/>
        </w:rPr>
        <w:t>2.4</w:t>
      </w:r>
      <w:r>
        <w:rPr>
          <w:rFonts w:hint="eastAsia" w:ascii="宋体" w:hAnsi="宋体" w:cs="宋体"/>
          <w:color w:val="auto"/>
          <w:szCs w:val="21"/>
          <w:highlight w:val="none"/>
        </w:rPr>
        <w:t xml:space="preserve">首次响应文件报价出现前后不一致的，按照下列规定修正： </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（1）响应文件中报价表内容与响应文件中相应内容不一致的，以报价表为准；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（2）大写金额和小写金额不一致的，以大写金额为准；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（3）单价金额小数点或者百分比有明显错位的，以报价表的总价为准，并修改单价；</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（4）总价金额与按单价汇总金额不一致的，以单价金额计算结果为准。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同时出现两种以上不一致的，按照以上（1）-（4）规定的顺序逐条进行修正。修正后的报价经供应商确认后产生约束力，供应商不确认的，其响应文件按无效响应处理。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2.5商务技术报价评审</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在评审时，如发现下列情形之一的，将被视为响应文件无效响应处理：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（1）商务技术评审</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1）响应文件未按磋商文件要求签署、盖章；</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2）委托代理人未能出具有效身份证或者出具的身份证与授权委托书中的信息不符的； </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3）提交的磋商保证金无效的或者未按照磋商文件的规定提交磋商保证金；</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4）响应文件中的报价商务技术文件出现任一项不符合“供应商须知前附表”中“必须提供”或者“委托时必须提供”文件资料要求的规定或者提供的报价商务技术文件无效。</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5）商务条款中标“▲”的条款发生负偏离或者允许负偏离的条款数超过“供应商须知前附表”规定项数的；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6）未对竞标有效期作出响应或者响应文件承诺的竞标有效期不满足磋商文件要求；</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7）响应文件的实质性内容未使用中文表述、使用计量单位不符合磋商文件要求；</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8）响应文件中的文件资料因填写不齐全或者内容虚假或者出现其他情形而导致被磋商小组认定无效；</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9）响应文件含有采购人不能接受的附加条件；</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10）属于“供应商须知正文”第7.5条情形；</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11）技术要求中标“▲”的条款发生负偏离或允许负偏离的条款数超过“供应商须知前附表”规定项数的；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12）虚假竞标，或者出现其他情形而导致被磋商小组认定无效；</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13）</w:t>
      </w:r>
      <w:bookmarkStart w:id="46" w:name="_Hlk71704147"/>
      <w:r>
        <w:rPr>
          <w:rFonts w:hint="eastAsia" w:ascii="宋体" w:hAnsi="宋体" w:cs="宋体"/>
          <w:color w:val="auto"/>
          <w:szCs w:val="21"/>
          <w:highlight w:val="none"/>
        </w:rPr>
        <w:t>磋商文件未载明允许提供备选（替代）竞标方案或明确不允许提供备选（替代）竞标方案时，供应商提供了备选（替代）竞标方案的；</w:t>
      </w:r>
      <w:bookmarkEnd w:id="46"/>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14）响应文件标注的项目名称或者项目编号与磋商文件标注的项目名称或者项目编号不一致的；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15）竞争性磋商文件明确不允许分包，响应文件拟分包的；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16）未响应磋商文件实质性要求；</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17）法律、法规和磋商文件规定的其他无效情形。</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（2）报价评审</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 响应文件未提供“供应商须知前附表” 报价商务技术文件中规定的“竞标报价表”；</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2）未采用人民币报价或者未按照磋商文件标明的币种报价；</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供应商未就所竞标分标进行报价或者存在漏项报价；供应商未就所竞标分标的单项内容作唯一报价；供应商未就所竞标分标的全部内容作完整唯一总价报价；供应商响应文件中存在有选择、有条件报价的（磋商文件允许有备选方案或者其他约定的除外）；</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4）最后报价超过所竞标分标规定的采购预算金额或者最高限价的（如本项目公布了最高限价）；</w:t>
      </w:r>
      <w:bookmarkStart w:id="47" w:name="_Hlk42596405"/>
      <w:r>
        <w:rPr>
          <w:rFonts w:hint="eastAsia" w:ascii="宋体" w:hAnsi="宋体" w:cs="宋体"/>
          <w:color w:val="auto"/>
          <w:szCs w:val="21"/>
          <w:highlight w:val="none"/>
        </w:rPr>
        <w:t xml:space="preserve"> </w:t>
      </w:r>
      <w:bookmarkEnd w:id="47"/>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5）修正后的报价，供应商不确认的；或者经供应商确认修正后的最后报价超过所竞标分标规定的采购预算金额或者最高限价（如本项目公布了最高限价）；</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6）响应文件响应的标的数量及单位与竞争性磋商文件要求实质性不一致的。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2.6磋商小组对响应文件进行评审，未实质性响应磋商文件的响应文件按无效响应处理，磋商小组应当将资格和符合性不通过的情况告知有关供应商。磋商小组从符合磋商文件规定的相应资格条件的供应商名单中确定不少于3家的供应商参加磋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2.7非政府购买服务项目，通过符合性审查的合格供应商不足3家的，不得进入磋商环节，采购人或者采购代理机构应当重新开展采购活动。政府购买服务项目，按《财政部关于政府采购竞争性磋商采购方式管理暂行办法有关问题的补充通知》（财库〔2015〕124号）规定，采购过程中通过符合性审查的供应商（社会资本）只有2家的，磋商采购活动可以继续进行。</w:t>
      </w: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3.磋商程序</w:t>
      </w:r>
    </w:p>
    <w:p>
      <w:pPr>
        <w:spacing w:line="360" w:lineRule="auto"/>
        <w:ind w:firstLine="420" w:firstLineChars="200"/>
        <w:rPr>
          <w:rFonts w:ascii="宋体" w:hAnsi="宋体" w:cs="宋体"/>
          <w:color w:val="auto"/>
          <w:szCs w:val="21"/>
          <w:highlight w:val="none"/>
        </w:rPr>
      </w:pPr>
      <w:r>
        <w:rPr>
          <w:rFonts w:hint="eastAsia" w:ascii="宋体" w:hAnsi="宋体" w:cs="宋体"/>
          <w:color w:val="auto"/>
          <w:kern w:val="0"/>
          <w:szCs w:val="21"/>
          <w:highlight w:val="none"/>
        </w:rPr>
        <w:t>3.1磋商小组按照“供应商须知前附表”</w:t>
      </w:r>
      <w:r>
        <w:rPr>
          <w:rFonts w:hint="eastAsia" w:ascii="宋体" w:hAnsi="宋体" w:cs="宋体"/>
          <w:color w:val="auto"/>
          <w:szCs w:val="21"/>
          <w:highlight w:val="none"/>
        </w:rPr>
        <w:t xml:space="preserve"> </w:t>
      </w:r>
      <w:r>
        <w:rPr>
          <w:rFonts w:hint="eastAsia" w:ascii="宋体" w:hAnsi="宋体" w:cs="宋体"/>
          <w:color w:val="auto"/>
          <w:kern w:val="0"/>
          <w:szCs w:val="21"/>
          <w:highlight w:val="none"/>
        </w:rPr>
        <w:t>确定的</w:t>
      </w:r>
      <w:r>
        <w:rPr>
          <w:rFonts w:hint="eastAsia" w:ascii="宋体" w:hAnsi="宋体" w:cs="宋体"/>
          <w:color w:val="auto"/>
          <w:szCs w:val="21"/>
          <w:highlight w:val="none"/>
        </w:rPr>
        <w:t>顺序，集中与单一供应商分别进行磋商，并给予所有参加磋商的供应商平等的磋商机会。符合磋商资格的供应商必须在接到磋商通知后规定时间内参加磋商，未在规定时间内参加磋商的视同放弃参加磋商权利，其响应文件按无效响应处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3.2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3.3对磋商文件作出的实质性变动是磋商文件的有效组成部分，由磋商小组及时以电子磋商记录形式同时通知所有参加磋商的供应商。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3.4供应商必须按照磋商文件的变动情况和磋商小组的要求以电子回函的形式重新提交响应文件，并由其法定代表人或者授权代表签字或者加盖供应商公章。供应商为自然人的，必须由本人签字并附身份证明。参加磋商的供应商未在规定时间内以电子回函的形式重新提交响应文件的，视同退出磋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3.5磋商中，</w:t>
      </w:r>
      <w:r>
        <w:rPr>
          <w:rFonts w:hint="eastAsia" w:ascii="宋体" w:hAnsi="宋体" w:cs="宋体"/>
          <w:color w:val="auto"/>
          <w:spacing w:val="-6"/>
          <w:szCs w:val="21"/>
          <w:highlight w:val="none"/>
        </w:rPr>
        <w:t>磋商的任何一方不得透露与磋商有关的其他供应商的技术资料、价格和其他信息。</w:t>
      </w:r>
    </w:p>
    <w:p>
      <w:pPr>
        <w:tabs>
          <w:tab w:val="left" w:pos="2835"/>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3.6对磋商过程提交的响应文件进行有效性、完整性和响应程度审查，通过审查的合格供应商不足3家的，采购人或者采购代理机构应当重新开展采购活动。</w:t>
      </w:r>
    </w:p>
    <w:p>
      <w:pPr>
        <w:widowControl/>
        <w:tabs>
          <w:tab w:val="left" w:pos="540"/>
        </w:tabs>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3.7</w:t>
      </w:r>
      <w:r>
        <w:rPr>
          <w:rFonts w:hint="eastAsia" w:ascii="宋体" w:hAnsi="宋体" w:cs="宋体"/>
          <w:color w:val="auto"/>
          <w:highlight w:val="none"/>
        </w:rPr>
        <w:t>根据《财政部关于政府采购竞争性磋商采购方式管理暂行办法有关问题的补充通知》（财库〔2015〕124号）的规定，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pPr>
        <w:spacing w:line="360" w:lineRule="auto"/>
        <w:ind w:firstLine="482" w:firstLineChars="200"/>
        <w:rPr>
          <w:rFonts w:ascii="宋体" w:hAnsi="宋体" w:cs="宋体"/>
          <w:color w:val="auto"/>
          <w:szCs w:val="21"/>
          <w:highlight w:val="none"/>
        </w:rPr>
      </w:pPr>
      <w:r>
        <w:rPr>
          <w:rFonts w:hint="eastAsia" w:ascii="宋体" w:hAnsi="宋体" w:cs="宋体"/>
          <w:b/>
          <w:bCs/>
          <w:color w:val="auto"/>
          <w:sz w:val="24"/>
          <w:highlight w:val="none"/>
        </w:rPr>
        <w:t>4. 最后报价</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4.1磋商文件能够详细列明采购标的的技术、服务要求的，磋商结束后，由磋商小组要求所有继续参加磋商的供应商在规定时间内以电子文件形式提交最后报价，除本章第2.7、3.7、4.3条外，提交最后报价的供应商不得少于3家，否则必须重新采购。</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4.2磋商文件不能详细列明采购标的的技术、服务要求，需经磋商由供应商提供最后设计方案或者解决方案的，磋商结束后，由磋商小组按照少数服从多数的原则投票推荐3家以上供应商的设计方案或者解决方案，并要求其在规定时间内以电子文件形式提交最后报价。</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4.3 最后报价是供应商响应文件的有效组成部分。符合《政府采购竞争性磋商采购方式管理暂行办法》（财库〔2014〕214号）第三条第四项“市场竞争不充分的科研项目，以及需要扶持的科技成果转化项目”和</w:t>
      </w:r>
      <w:r>
        <w:rPr>
          <w:rFonts w:hint="eastAsia" w:ascii="宋体" w:hAnsi="宋体" w:cs="宋体"/>
          <w:color w:val="auto"/>
          <w:highlight w:val="none"/>
        </w:rPr>
        <w:t>本章第3.8条情形的，</w:t>
      </w:r>
      <w:r>
        <w:rPr>
          <w:rFonts w:hint="eastAsia" w:ascii="宋体" w:hAnsi="宋体" w:cs="宋体"/>
          <w:color w:val="auto"/>
          <w:szCs w:val="21"/>
          <w:highlight w:val="none"/>
        </w:rPr>
        <w:t>提交最后报价的供应商可以为2家。</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4.4已经提交响应文件的供应商，在提交最后报价之前，可以根据磋商情况退出磋商，退出磋商的供应商的响应文件按无效响应处理。采购人、采购代理机构将退还退出磋商的供应商的保证金。</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4.5供应商未在规定时间内提交最后报价的，视同退出磋商。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4.6磋商小组收齐某一分标最后报价后或达到规定时间后统一开启，磋商小组对最后报价进行有效性、完整性和响应程度的审查。</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4.7响应文件最后报价出现前后不一致的，按照本章第2.4条的规定修正。 </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4.8经供应商确认修正后的最后报价作为评审及签订合同的依据。</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4.9供应商出现最后报价按无效响应处理或者响应文件按无效响应处理时</w:t>
      </w:r>
      <w:r>
        <w:rPr>
          <w:rFonts w:hint="eastAsia" w:ascii="宋体" w:hAnsi="宋体" w:cs="宋体"/>
          <w:color w:val="auto"/>
          <w:sz w:val="22"/>
          <w:szCs w:val="22"/>
          <w:highlight w:val="none"/>
        </w:rPr>
        <w:t>，磋商小组应当告知有关供应商</w:t>
      </w:r>
      <w:r>
        <w:rPr>
          <w:rFonts w:hint="eastAsia" w:ascii="宋体" w:hAnsi="宋体" w:cs="宋体"/>
          <w:color w:val="auto"/>
          <w:szCs w:val="21"/>
          <w:highlight w:val="none"/>
        </w:rPr>
        <w:t>。</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4.10最后报价结束后，磋商小组不得再与供应商进行任何形式的商谈。</w:t>
      </w: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5.比较与评价</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5.1评审方法：综合评分法。</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5.2经磋商确定最终采购需求和提交最后报价的供应商后，由磋商小组采用综合评分法对提交最后报价的供应商的响应文件和最后报价进行综合评分。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5.3评审时，磋商小组各成员应当独立对每个有效响应的文件进行评价、打分，然后汇总每个供应商每项评分因素的得分。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（1）磋商小组按照磋商文件中规定的评审标准计算各供应商的报价得分。项目评审过程中，不得去掉最后报价中的最高报价和最低报价。</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（2）各供应商的得分为磋商小组所有成员的有效评分的算术平均数。</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5.4评标价为供应商的最后报价进行政策性扣除后的价格，评标价只是作为评审时使用。最终成交供应商的成交金额等于最后报价（如有修正，以确认修正后的最后报价为准）。</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szCs w:val="21"/>
          <w:highlight w:val="none"/>
        </w:rPr>
        <w:t>5.5由磋商小组根据综合评分情况，按照评审得分由高到低顺序推荐3名以上成交候选供应商，并编写评</w:t>
      </w:r>
      <w:r>
        <w:rPr>
          <w:rFonts w:hint="eastAsia" w:ascii="宋体" w:hAnsi="宋体" w:cs="宋体"/>
          <w:color w:val="auto"/>
          <w:kern w:val="0"/>
          <w:szCs w:val="21"/>
          <w:highlight w:val="none"/>
        </w:rPr>
        <w:t>审报告。符合本章第</w:t>
      </w:r>
      <w:r>
        <w:rPr>
          <w:rFonts w:hint="eastAsia" w:ascii="宋体" w:hAnsi="宋体" w:cs="宋体"/>
          <w:color w:val="auto"/>
          <w:szCs w:val="21"/>
          <w:highlight w:val="none"/>
        </w:rPr>
        <w:t>2.7、3.7、4.3</w:t>
      </w:r>
      <w:r>
        <w:rPr>
          <w:rFonts w:hint="eastAsia" w:ascii="宋体" w:hAnsi="宋体" w:cs="宋体"/>
          <w:color w:val="auto"/>
          <w:kern w:val="0"/>
          <w:szCs w:val="21"/>
          <w:highlight w:val="none"/>
        </w:rPr>
        <w:t>条情形的，可以推荐2家成交候选供应商。评审得分相同的，按照最后报价由低到高的顺序推荐。评审得分且最后报价相同的，按照技术指标优劣顺序推荐。</w:t>
      </w:r>
    </w:p>
    <w:p>
      <w:pPr>
        <w:spacing w:line="360" w:lineRule="auto"/>
        <w:ind w:firstLine="420" w:firstLineChars="200"/>
        <w:rPr>
          <w:rFonts w:ascii="宋体" w:hAnsi="宋体" w:cs="宋体"/>
          <w:color w:val="auto"/>
          <w:szCs w:val="21"/>
          <w:highlight w:val="none"/>
        </w:rPr>
      </w:pPr>
      <w:r>
        <w:rPr>
          <w:rFonts w:hint="eastAsia" w:ascii="宋体" w:hAnsi="宋体" w:cs="宋体"/>
          <w:color w:val="auto"/>
          <w:kern w:val="0"/>
          <w:szCs w:val="21"/>
          <w:highlight w:val="none"/>
        </w:rPr>
        <w:t>5.6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br w:type="page"/>
      </w:r>
      <w:r>
        <w:rPr>
          <w:rFonts w:hint="eastAsia" w:ascii="宋体" w:hAnsi="宋体" w:cs="宋体"/>
          <w:b/>
          <w:color w:val="auto"/>
          <w:sz w:val="32"/>
          <w:szCs w:val="32"/>
          <w:highlight w:val="none"/>
        </w:rPr>
        <w:t>二、评审标准</w:t>
      </w:r>
    </w:p>
    <w:p>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6.评审依据：磋商小组将以磋商响应文件为评审依据，对供应商的报价、技术、商务等方面内容按百分制打分。（计分方法按四舍五入取至百分位）</w:t>
      </w:r>
    </w:p>
    <w:p>
      <w:pPr>
        <w:spacing w:line="360" w:lineRule="auto"/>
        <w:ind w:firstLine="422" w:firstLineChars="200"/>
        <w:rPr>
          <w:rFonts w:hint="default" w:ascii="宋体" w:hAnsi="宋体" w:eastAsia="宋体" w:cs="宋体"/>
          <w:b/>
          <w:bCs w:val="0"/>
          <w:color w:val="auto"/>
          <w:szCs w:val="21"/>
          <w:highlight w:val="none"/>
          <w:lang w:val="en-US" w:eastAsia="zh-CN"/>
        </w:rPr>
      </w:pPr>
      <w:r>
        <w:rPr>
          <w:rFonts w:hint="eastAsia" w:ascii="宋体" w:hAnsi="宋体" w:cs="宋体"/>
          <w:b/>
          <w:bCs w:val="0"/>
          <w:color w:val="auto"/>
          <w:szCs w:val="21"/>
          <w:highlight w:val="none"/>
          <w:lang w:eastAsia="zh-CN"/>
        </w:rPr>
        <w:t>分标</w:t>
      </w:r>
      <w:r>
        <w:rPr>
          <w:rFonts w:hint="eastAsia" w:ascii="宋体" w:hAnsi="宋体" w:cs="宋体"/>
          <w:b/>
          <w:bCs w:val="0"/>
          <w:color w:val="auto"/>
          <w:szCs w:val="21"/>
          <w:highlight w:val="none"/>
          <w:lang w:val="en-US" w:eastAsia="zh-CN"/>
        </w:rPr>
        <w:t>1：</w:t>
      </w:r>
    </w:p>
    <w:tbl>
      <w:tblPr>
        <w:tblStyle w:val="30"/>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1280"/>
        <w:gridCol w:w="709"/>
        <w:gridCol w:w="1670"/>
        <w:gridCol w:w="52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730" w:type="dxa"/>
            <w:vAlign w:val="center"/>
          </w:tcPr>
          <w:p>
            <w:pPr>
              <w:adjustRightInd w:val="0"/>
              <w:spacing w:line="410" w:lineRule="exact"/>
              <w:jc w:val="center"/>
              <w:textAlignment w:val="baseline"/>
              <w:rPr>
                <w:rFonts w:ascii="宋体" w:hAnsi="宋体" w:cs="宋体"/>
                <w:b/>
                <w:color w:val="auto"/>
                <w:szCs w:val="21"/>
                <w:highlight w:val="none"/>
              </w:rPr>
            </w:pPr>
            <w:r>
              <w:rPr>
                <w:rFonts w:hint="eastAsia" w:ascii="宋体" w:hAnsi="宋体" w:cs="宋体"/>
                <w:b/>
                <w:color w:val="auto"/>
                <w:szCs w:val="21"/>
                <w:highlight w:val="none"/>
              </w:rPr>
              <w:t>序号</w:t>
            </w:r>
          </w:p>
        </w:tc>
        <w:tc>
          <w:tcPr>
            <w:tcW w:w="1280" w:type="dxa"/>
            <w:vAlign w:val="center"/>
          </w:tcPr>
          <w:p>
            <w:pPr>
              <w:adjustRightInd w:val="0"/>
              <w:spacing w:line="410" w:lineRule="exact"/>
              <w:jc w:val="center"/>
              <w:textAlignment w:val="baseline"/>
              <w:rPr>
                <w:rFonts w:ascii="宋体" w:hAnsi="宋体" w:cs="宋体"/>
                <w:color w:val="auto"/>
                <w:szCs w:val="21"/>
                <w:highlight w:val="none"/>
              </w:rPr>
            </w:pPr>
            <w:r>
              <w:rPr>
                <w:rFonts w:hint="eastAsia" w:ascii="宋体" w:hAnsi="宋体" w:cs="宋体"/>
                <w:b/>
                <w:color w:val="auto"/>
                <w:szCs w:val="21"/>
                <w:highlight w:val="none"/>
              </w:rPr>
              <w:t>评审因素</w:t>
            </w:r>
          </w:p>
        </w:tc>
        <w:tc>
          <w:tcPr>
            <w:tcW w:w="709" w:type="dxa"/>
            <w:vAlign w:val="center"/>
          </w:tcPr>
          <w:p>
            <w:pPr>
              <w:adjustRightInd w:val="0"/>
              <w:spacing w:line="410" w:lineRule="exact"/>
              <w:jc w:val="center"/>
              <w:textAlignment w:val="baseline"/>
              <w:rPr>
                <w:rFonts w:ascii="宋体" w:hAnsi="宋体" w:cs="宋体"/>
                <w:b/>
                <w:color w:val="auto"/>
                <w:szCs w:val="21"/>
                <w:highlight w:val="none"/>
              </w:rPr>
            </w:pPr>
            <w:r>
              <w:rPr>
                <w:rFonts w:hint="eastAsia" w:ascii="宋体" w:hAnsi="宋体" w:cs="宋体"/>
                <w:b/>
                <w:color w:val="auto"/>
                <w:szCs w:val="21"/>
                <w:highlight w:val="none"/>
              </w:rPr>
              <w:t>分值</w:t>
            </w:r>
          </w:p>
        </w:tc>
        <w:tc>
          <w:tcPr>
            <w:tcW w:w="6909" w:type="dxa"/>
            <w:gridSpan w:val="2"/>
            <w:vAlign w:val="center"/>
          </w:tcPr>
          <w:p>
            <w:pPr>
              <w:adjustRightInd w:val="0"/>
              <w:spacing w:line="410" w:lineRule="exact"/>
              <w:jc w:val="center"/>
              <w:textAlignment w:val="baseline"/>
              <w:rPr>
                <w:rFonts w:ascii="宋体" w:hAnsi="宋体" w:cs="宋体"/>
                <w:b/>
                <w:color w:val="auto"/>
                <w:szCs w:val="21"/>
                <w:highlight w:val="none"/>
              </w:rPr>
            </w:pPr>
            <w:r>
              <w:rPr>
                <w:rFonts w:hint="eastAsia" w:ascii="宋体" w:hAnsi="宋体" w:cs="宋体"/>
                <w:b/>
                <w:color w:val="auto"/>
                <w:szCs w:val="21"/>
                <w:highlight w:val="none"/>
              </w:rPr>
              <w:t>评标标准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30" w:type="dxa"/>
            <w:vAlign w:val="center"/>
          </w:tcPr>
          <w:p>
            <w:pPr>
              <w:adjustRightInd w:val="0"/>
              <w:spacing w:line="360" w:lineRule="auto"/>
              <w:jc w:val="center"/>
              <w:textAlignment w:val="baseline"/>
              <w:rPr>
                <w:rFonts w:ascii="宋体" w:hAnsi="宋体" w:cs="宋体"/>
                <w:b/>
                <w:color w:val="auto"/>
                <w:szCs w:val="21"/>
                <w:highlight w:val="none"/>
              </w:rPr>
            </w:pPr>
            <w:r>
              <w:rPr>
                <w:rFonts w:hint="eastAsia" w:ascii="宋体" w:hAnsi="宋体" w:cs="宋体"/>
                <w:b/>
                <w:color w:val="auto"/>
                <w:szCs w:val="21"/>
                <w:highlight w:val="none"/>
              </w:rPr>
              <w:t>1</w:t>
            </w:r>
          </w:p>
        </w:tc>
        <w:tc>
          <w:tcPr>
            <w:tcW w:w="1280" w:type="dxa"/>
            <w:vAlign w:val="center"/>
          </w:tcPr>
          <w:p>
            <w:pPr>
              <w:adjustRightInd w:val="0"/>
              <w:spacing w:line="360" w:lineRule="auto"/>
              <w:jc w:val="center"/>
              <w:textAlignment w:val="baseline"/>
              <w:rPr>
                <w:rFonts w:ascii="宋体" w:hAnsi="宋体" w:cs="宋体"/>
                <w:b/>
                <w:color w:val="auto"/>
                <w:szCs w:val="21"/>
                <w:highlight w:val="none"/>
              </w:rPr>
            </w:pPr>
            <w:r>
              <w:rPr>
                <w:rFonts w:hint="eastAsia" w:ascii="宋体" w:hAnsi="宋体" w:cs="宋体"/>
                <w:b/>
                <w:color w:val="auto"/>
                <w:szCs w:val="21"/>
                <w:highlight w:val="none"/>
              </w:rPr>
              <w:t>报价</w:t>
            </w:r>
          </w:p>
        </w:tc>
        <w:tc>
          <w:tcPr>
            <w:tcW w:w="709" w:type="dxa"/>
            <w:vAlign w:val="center"/>
          </w:tcPr>
          <w:p>
            <w:pPr>
              <w:adjustRightInd w:val="0"/>
              <w:spacing w:line="360" w:lineRule="auto"/>
              <w:jc w:val="center"/>
              <w:textAlignment w:val="baseline"/>
              <w:rPr>
                <w:rFonts w:ascii="宋体" w:hAnsi="宋体" w:cs="宋体"/>
                <w:b/>
                <w:color w:val="auto"/>
                <w:szCs w:val="21"/>
                <w:highlight w:val="none"/>
              </w:rPr>
            </w:pPr>
            <w:r>
              <w:rPr>
                <w:rFonts w:hint="eastAsia" w:ascii="宋体" w:hAnsi="宋体" w:cs="宋体"/>
                <w:b/>
                <w:color w:val="auto"/>
                <w:szCs w:val="21"/>
                <w:highlight w:val="none"/>
                <w:lang w:val="en-US" w:eastAsia="zh-CN"/>
              </w:rPr>
              <w:t>1</w:t>
            </w:r>
            <w:r>
              <w:rPr>
                <w:rFonts w:hint="eastAsia" w:ascii="宋体" w:hAnsi="宋体" w:cs="宋体"/>
                <w:b/>
                <w:color w:val="auto"/>
                <w:szCs w:val="21"/>
                <w:highlight w:val="none"/>
              </w:rPr>
              <w:t>0分</w:t>
            </w:r>
          </w:p>
        </w:tc>
        <w:tc>
          <w:tcPr>
            <w:tcW w:w="6909" w:type="dxa"/>
            <w:gridSpan w:val="2"/>
            <w:vAlign w:val="center"/>
          </w:tcPr>
          <w:p>
            <w:pPr>
              <w:pStyle w:val="18"/>
              <w:spacing w:line="360" w:lineRule="auto"/>
              <w:rPr>
                <w:rFonts w:hint="eastAsia" w:hAnsi="宋体" w:eastAsia="宋体" w:cs="宋体"/>
                <w:b/>
                <w:bCs/>
                <w:color w:val="auto"/>
                <w:kern w:val="2"/>
                <w:sz w:val="21"/>
                <w:highlight w:val="none"/>
              </w:rPr>
            </w:pPr>
            <w:r>
              <w:rPr>
                <w:rFonts w:hint="eastAsia" w:hAnsi="宋体" w:eastAsia="宋体" w:cs="宋体"/>
                <w:b/>
                <w:bCs/>
                <w:color w:val="auto"/>
                <w:kern w:val="2"/>
                <w:sz w:val="21"/>
                <w:highlight w:val="none"/>
              </w:rPr>
              <w:t>一、政府采购政策扣除</w:t>
            </w:r>
          </w:p>
          <w:p>
            <w:pPr>
              <w:pStyle w:val="18"/>
              <w:spacing w:line="420" w:lineRule="exact"/>
              <w:ind w:firstLine="420" w:firstLineChars="200"/>
              <w:rPr>
                <w:rFonts w:hint="eastAsia" w:hAnsi="宋体" w:eastAsia="宋体" w:cs="宋体"/>
                <w:bCs/>
                <w:color w:val="auto"/>
                <w:sz w:val="21"/>
                <w:highlight w:val="none"/>
              </w:rPr>
            </w:pPr>
            <w:r>
              <w:rPr>
                <w:rFonts w:hint="eastAsia" w:hAnsi="宋体" w:eastAsia="宋体" w:cs="宋体"/>
                <w:bCs/>
                <w:color w:val="auto"/>
                <w:sz w:val="21"/>
                <w:highlight w:val="none"/>
              </w:rPr>
              <w:t>1、根据《政府采购促进中小企业发展管理办法》（财库〔2020〕46号）</w:t>
            </w:r>
            <w:r>
              <w:rPr>
                <w:rFonts w:hint="eastAsia" w:hAnsi="宋体" w:cs="宋体"/>
                <w:bCs/>
                <w:color w:val="auto"/>
                <w:sz w:val="21"/>
                <w:highlight w:val="none"/>
                <w:lang w:eastAsia="zh-CN"/>
              </w:rPr>
              <w:t>和《广西壮族自治区财政厅关于持续优化政府采购营商环境推动高质量发展的通知》（桂财采〔2024〕55号）</w:t>
            </w:r>
            <w:r>
              <w:rPr>
                <w:rFonts w:hint="eastAsia" w:hAnsi="宋体" w:eastAsia="宋体" w:cs="宋体"/>
                <w:bCs/>
                <w:color w:val="auto"/>
                <w:sz w:val="21"/>
                <w:highlight w:val="none"/>
              </w:rPr>
              <w:t>的规定，供应商属于《政府采购促进中小企业发展管理办法》规定的小微企业的，对磋商报价给予</w:t>
            </w:r>
            <w:r>
              <w:rPr>
                <w:rFonts w:hint="eastAsia" w:hAnsi="宋体" w:cs="宋体"/>
                <w:bCs/>
                <w:color w:val="auto"/>
                <w:sz w:val="21"/>
                <w:highlight w:val="none"/>
                <w:lang w:val="en-US" w:eastAsia="zh-CN"/>
              </w:rPr>
              <w:t>1</w:t>
            </w:r>
            <w:r>
              <w:rPr>
                <w:rFonts w:hint="eastAsia" w:hAnsi="宋体" w:eastAsia="宋体" w:cs="宋体"/>
                <w:bCs/>
                <w:color w:val="auto"/>
                <w:sz w:val="21"/>
                <w:highlight w:val="none"/>
              </w:rPr>
              <w:t>0%的扣除，用扣除后的价格参加评审；大中型企业与小微企业组成联合体或者大中型企业向一家或者多家小微企业分包，且联合协议或者分包意向协议约定小微企业的合同份额占到合同总金额30%以上的，对联合体或者大中型企业的报价给予</w:t>
            </w:r>
            <w:r>
              <w:rPr>
                <w:rFonts w:hint="eastAsia" w:hAnsi="宋体" w:cs="宋体"/>
                <w:bCs/>
                <w:color w:val="auto"/>
                <w:sz w:val="21"/>
                <w:highlight w:val="none"/>
                <w:lang w:val="en-US" w:eastAsia="zh-CN"/>
              </w:rPr>
              <w:t>4</w:t>
            </w:r>
            <w:r>
              <w:rPr>
                <w:rFonts w:hint="eastAsia" w:hAnsi="宋体" w:eastAsia="宋体" w:cs="宋体"/>
                <w:bCs/>
                <w:color w:val="auto"/>
                <w:sz w:val="21"/>
                <w:highlight w:val="none"/>
              </w:rPr>
              <w:t>%的扣除，用扣除后的价格参加评审。符合上述规定对报价给予扣除的，扣除后的价格为评标价，即评标价=最后报价×（1 - 扣除比例）；不符合上述给予扣除情形的，评标价=最后报价。</w:t>
            </w:r>
          </w:p>
          <w:p>
            <w:pPr>
              <w:pStyle w:val="18"/>
              <w:spacing w:line="420" w:lineRule="exact"/>
              <w:ind w:firstLine="420" w:firstLineChars="200"/>
              <w:rPr>
                <w:rFonts w:hint="eastAsia" w:hAnsi="宋体" w:eastAsia="宋体" w:cs="宋体"/>
                <w:bCs/>
                <w:color w:val="auto"/>
                <w:sz w:val="21"/>
                <w:highlight w:val="none"/>
              </w:rPr>
            </w:pPr>
            <w:r>
              <w:rPr>
                <w:rFonts w:hint="eastAsia" w:hAnsi="宋体" w:eastAsia="宋体" w:cs="宋体"/>
                <w:bCs/>
                <w:color w:val="auto"/>
                <w:sz w:val="21"/>
                <w:highlight w:val="none"/>
              </w:rPr>
              <w:t>2、</w:t>
            </w:r>
            <w:r>
              <w:rPr>
                <w:rFonts w:hint="eastAsia" w:hAnsi="宋体" w:eastAsia="宋体" w:cs="宋体"/>
                <w:color w:val="auto"/>
                <w:sz w:val="21"/>
                <w:highlight w:val="none"/>
              </w:rPr>
              <w:t>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不重复享受政策。</w:t>
            </w:r>
          </w:p>
          <w:p>
            <w:pPr>
              <w:pStyle w:val="18"/>
              <w:spacing w:line="420" w:lineRule="exact"/>
              <w:ind w:firstLine="420" w:firstLineChars="200"/>
              <w:outlineLvl w:val="0"/>
              <w:rPr>
                <w:rFonts w:hint="eastAsia" w:hAnsi="宋体" w:eastAsia="宋体" w:cs="宋体"/>
                <w:color w:val="auto"/>
                <w:sz w:val="21"/>
                <w:highlight w:val="none"/>
              </w:rPr>
            </w:pPr>
            <w:bookmarkStart w:id="48" w:name="_Toc31299"/>
            <w:bookmarkStart w:id="49" w:name="_Toc19715"/>
            <w:bookmarkStart w:id="50" w:name="_Toc14105"/>
            <w:r>
              <w:rPr>
                <w:rFonts w:hint="eastAsia" w:hAnsi="宋体" w:eastAsia="宋体" w:cs="宋体"/>
                <w:bCs/>
                <w:color w:val="auto"/>
                <w:sz w:val="21"/>
                <w:highlight w:val="none"/>
              </w:rPr>
              <w:t>3、</w:t>
            </w:r>
            <w:r>
              <w:rPr>
                <w:rFonts w:hint="eastAsia" w:hAnsi="宋体" w:eastAsia="宋体" w:cs="宋体"/>
                <w:color w:val="auto"/>
                <w:sz w:val="21"/>
                <w:highlight w:val="none"/>
              </w:rPr>
              <w:t>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bookmarkEnd w:id="48"/>
            <w:bookmarkEnd w:id="49"/>
            <w:bookmarkEnd w:id="50"/>
          </w:p>
          <w:p>
            <w:pPr>
              <w:pStyle w:val="18"/>
              <w:spacing w:line="420" w:lineRule="exact"/>
              <w:outlineLvl w:val="0"/>
              <w:rPr>
                <w:rFonts w:hint="eastAsia" w:hAnsi="宋体" w:eastAsia="宋体" w:cs="宋体"/>
                <w:b/>
                <w:color w:val="auto"/>
                <w:sz w:val="21"/>
                <w:highlight w:val="none"/>
              </w:rPr>
            </w:pPr>
            <w:bookmarkStart w:id="51" w:name="_Toc3809"/>
            <w:bookmarkStart w:id="52" w:name="_Toc21376"/>
            <w:bookmarkStart w:id="53" w:name="_Toc13033"/>
            <w:r>
              <w:rPr>
                <w:rFonts w:hint="eastAsia" w:hAnsi="宋体" w:eastAsia="宋体" w:cs="宋体"/>
                <w:b/>
                <w:color w:val="auto"/>
                <w:sz w:val="21"/>
                <w:highlight w:val="none"/>
              </w:rPr>
              <w:t>二、报价分（满分</w:t>
            </w:r>
            <w:r>
              <w:rPr>
                <w:rFonts w:hint="eastAsia" w:hAnsi="宋体" w:cs="宋体"/>
                <w:b/>
                <w:color w:val="auto"/>
                <w:sz w:val="21"/>
                <w:highlight w:val="none"/>
                <w:lang w:val="en-US" w:eastAsia="zh-CN"/>
              </w:rPr>
              <w:t>1</w:t>
            </w:r>
            <w:r>
              <w:rPr>
                <w:rFonts w:hint="eastAsia" w:hAnsi="宋体" w:eastAsia="宋体" w:cs="宋体"/>
                <w:b/>
                <w:color w:val="auto"/>
                <w:sz w:val="21"/>
                <w:highlight w:val="none"/>
              </w:rPr>
              <w:t>0分）</w:t>
            </w:r>
            <w:bookmarkEnd w:id="51"/>
            <w:bookmarkEnd w:id="52"/>
            <w:bookmarkEnd w:id="53"/>
          </w:p>
          <w:p>
            <w:pPr>
              <w:pStyle w:val="18"/>
              <w:spacing w:line="420" w:lineRule="exact"/>
              <w:ind w:firstLine="420" w:firstLineChars="200"/>
              <w:rPr>
                <w:rFonts w:hint="eastAsia" w:hAnsi="宋体" w:eastAsia="宋体" w:cs="宋体"/>
                <w:bCs/>
                <w:color w:val="auto"/>
                <w:sz w:val="21"/>
                <w:highlight w:val="none"/>
              </w:rPr>
            </w:pPr>
            <w:r>
              <w:rPr>
                <w:rFonts w:hint="eastAsia" w:hAnsi="宋体" w:eastAsia="宋体" w:cs="宋体"/>
                <w:color w:val="auto"/>
                <w:sz w:val="21"/>
                <w:highlight w:val="none"/>
              </w:rPr>
              <w:t>1、</w:t>
            </w:r>
            <w:r>
              <w:rPr>
                <w:rFonts w:hint="eastAsia" w:hAnsi="宋体" w:eastAsia="宋体" w:cs="宋体"/>
                <w:bCs/>
                <w:color w:val="auto"/>
                <w:sz w:val="21"/>
                <w:highlight w:val="none"/>
              </w:rPr>
              <w:t>报价分采用低价优先法计算，满足磋商文件要求且评标价最低的有效供应商的评标价为评标基准价，其报价分为满分。</w:t>
            </w:r>
          </w:p>
          <w:p>
            <w:pPr>
              <w:pStyle w:val="18"/>
              <w:spacing w:line="420" w:lineRule="exact"/>
              <w:ind w:firstLine="420" w:firstLineChars="200"/>
              <w:rPr>
                <w:rFonts w:hint="eastAsia" w:hAnsi="宋体" w:eastAsia="宋体" w:cs="宋体"/>
                <w:bCs/>
                <w:color w:val="auto"/>
                <w:sz w:val="21"/>
                <w:highlight w:val="none"/>
              </w:rPr>
            </w:pPr>
            <w:r>
              <w:rPr>
                <w:rFonts w:hint="eastAsia" w:hAnsi="宋体" w:eastAsia="宋体" w:cs="宋体"/>
                <w:bCs/>
                <w:color w:val="auto"/>
                <w:sz w:val="21"/>
                <w:highlight w:val="none"/>
              </w:rPr>
              <w:t>2、其他供应商的价格分统一按照下列公式计算：</w:t>
            </w:r>
          </w:p>
          <w:p>
            <w:pPr>
              <w:pStyle w:val="18"/>
              <w:spacing w:line="420" w:lineRule="exact"/>
              <w:rPr>
                <w:rFonts w:hAnsi="宋体" w:cs="宋体"/>
                <w:bCs/>
                <w:color w:val="auto"/>
                <w:kern w:val="2"/>
                <w:sz w:val="21"/>
                <w:highlight w:val="none"/>
              </w:rPr>
            </w:pPr>
            <w:r>
              <w:rPr>
                <w:rFonts w:hint="eastAsia" w:hAnsi="宋体" w:eastAsia="宋体" w:cs="宋体"/>
                <w:bCs/>
                <w:color w:val="auto"/>
                <w:sz w:val="21"/>
                <w:highlight w:val="none"/>
              </w:rPr>
              <w:t>某有效供应商的报价分=（评标基准价／某有效供应商评标价）×</w:t>
            </w:r>
            <w:r>
              <w:rPr>
                <w:rFonts w:hint="eastAsia" w:hAnsi="宋体" w:cs="宋体"/>
                <w:bCs/>
                <w:color w:val="auto"/>
                <w:sz w:val="21"/>
                <w:highlight w:val="none"/>
                <w:lang w:val="en-US" w:eastAsia="zh-CN"/>
              </w:rPr>
              <w:t>10</w:t>
            </w:r>
            <w:r>
              <w:rPr>
                <w:rFonts w:hint="eastAsia" w:hAnsi="宋体" w:eastAsia="宋体" w:cs="宋体"/>
                <w:bCs/>
                <w:color w:val="auto"/>
                <w:sz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1" w:hRule="atLeast"/>
          <w:jc w:val="center"/>
        </w:trPr>
        <w:tc>
          <w:tcPr>
            <w:tcW w:w="730" w:type="dxa"/>
            <w:vMerge w:val="restart"/>
            <w:vAlign w:val="center"/>
          </w:tcPr>
          <w:p>
            <w:pPr>
              <w:adjustRightInd w:val="0"/>
              <w:spacing w:line="360" w:lineRule="auto"/>
              <w:jc w:val="center"/>
              <w:textAlignment w:val="baseline"/>
              <w:rPr>
                <w:rFonts w:ascii="宋体" w:hAnsi="宋体" w:cs="宋体"/>
                <w:b/>
                <w:color w:val="auto"/>
                <w:szCs w:val="21"/>
                <w:highlight w:val="none"/>
              </w:rPr>
            </w:pPr>
            <w:r>
              <w:rPr>
                <w:rFonts w:hint="eastAsia" w:ascii="宋体" w:hAnsi="宋体" w:cs="宋体"/>
                <w:b/>
                <w:color w:val="auto"/>
                <w:szCs w:val="21"/>
                <w:highlight w:val="none"/>
              </w:rPr>
              <w:t>2</w:t>
            </w:r>
          </w:p>
        </w:tc>
        <w:tc>
          <w:tcPr>
            <w:tcW w:w="1280" w:type="dxa"/>
            <w:vMerge w:val="restart"/>
            <w:vAlign w:val="center"/>
          </w:tcPr>
          <w:p>
            <w:pPr>
              <w:adjustRightInd w:val="0"/>
              <w:spacing w:line="360" w:lineRule="auto"/>
              <w:jc w:val="center"/>
              <w:textAlignment w:val="baseline"/>
              <w:rPr>
                <w:rFonts w:ascii="宋体" w:hAnsi="宋体" w:cs="宋体"/>
                <w:b/>
                <w:color w:val="auto"/>
                <w:szCs w:val="21"/>
                <w:highlight w:val="none"/>
              </w:rPr>
            </w:pPr>
            <w:r>
              <w:rPr>
                <w:rFonts w:hint="eastAsia" w:ascii="宋体" w:hAnsi="宋体" w:cs="宋体"/>
                <w:b/>
                <w:color w:val="auto"/>
                <w:szCs w:val="21"/>
                <w:highlight w:val="none"/>
              </w:rPr>
              <w:t>服务水平</w:t>
            </w:r>
          </w:p>
        </w:tc>
        <w:tc>
          <w:tcPr>
            <w:tcW w:w="709" w:type="dxa"/>
            <w:vMerge w:val="restart"/>
            <w:vAlign w:val="center"/>
          </w:tcPr>
          <w:p>
            <w:pPr>
              <w:adjustRightInd w:val="0"/>
              <w:spacing w:line="360" w:lineRule="auto"/>
              <w:jc w:val="center"/>
              <w:textAlignment w:val="baseline"/>
              <w:rPr>
                <w:rFonts w:ascii="宋体" w:hAnsi="宋体" w:cs="宋体"/>
                <w:b/>
                <w:color w:val="auto"/>
                <w:szCs w:val="21"/>
                <w:highlight w:val="none"/>
              </w:rPr>
            </w:pPr>
            <w:r>
              <w:rPr>
                <w:rFonts w:hint="eastAsia" w:ascii="宋体" w:hAnsi="宋体" w:cs="宋体"/>
                <w:b/>
                <w:color w:val="auto"/>
                <w:szCs w:val="21"/>
                <w:highlight w:val="none"/>
                <w:lang w:val="en-US" w:eastAsia="zh-CN"/>
              </w:rPr>
              <w:t>75</w:t>
            </w:r>
            <w:r>
              <w:rPr>
                <w:rFonts w:hint="eastAsia" w:ascii="宋体" w:hAnsi="宋体" w:cs="宋体"/>
                <w:b/>
                <w:color w:val="auto"/>
                <w:szCs w:val="21"/>
                <w:highlight w:val="none"/>
              </w:rPr>
              <w:t>分</w:t>
            </w:r>
          </w:p>
        </w:tc>
        <w:tc>
          <w:tcPr>
            <w:tcW w:w="1670" w:type="dxa"/>
            <w:vAlign w:val="center"/>
          </w:tcPr>
          <w:p>
            <w:pPr>
              <w:keepNext w:val="0"/>
              <w:keepLines w:val="0"/>
              <w:widowControl/>
              <w:suppressLineNumbers w:val="0"/>
              <w:spacing w:line="360" w:lineRule="auto"/>
              <w:jc w:val="left"/>
              <w:rPr>
                <w:rFonts w:hint="eastAsia" w:ascii="宋体" w:hAnsi="宋体" w:eastAsia="宋体" w:cs="宋体"/>
                <w:b/>
                <w:bCs/>
                <w:color w:val="auto"/>
                <w:szCs w:val="21"/>
                <w:highlight w:val="none"/>
              </w:rPr>
            </w:pPr>
            <w:r>
              <w:rPr>
                <w:rFonts w:hint="eastAsia" w:ascii="宋体" w:hAnsi="宋体" w:eastAsia="宋体" w:cs="宋体"/>
                <w:b/>
                <w:bCs/>
                <w:color w:val="auto"/>
                <w:kern w:val="0"/>
                <w:sz w:val="21"/>
                <w:szCs w:val="21"/>
                <w:highlight w:val="none"/>
                <w:lang w:val="en-US" w:eastAsia="zh-CN" w:bidi="ar"/>
              </w:rPr>
              <w:t>项目技术</w:t>
            </w:r>
            <w:r>
              <w:rPr>
                <w:rFonts w:hint="eastAsia" w:ascii="宋体" w:hAnsi="宋体" w:cs="宋体"/>
                <w:b/>
                <w:bCs/>
                <w:color w:val="auto"/>
                <w:kern w:val="0"/>
                <w:sz w:val="21"/>
                <w:szCs w:val="21"/>
                <w:highlight w:val="none"/>
                <w:lang w:val="en-US" w:eastAsia="zh-CN" w:bidi="ar"/>
              </w:rPr>
              <w:t>实施</w:t>
            </w:r>
            <w:r>
              <w:rPr>
                <w:rFonts w:hint="eastAsia" w:ascii="宋体" w:hAnsi="宋体" w:eastAsia="宋体" w:cs="宋体"/>
                <w:b/>
                <w:bCs/>
                <w:color w:val="auto"/>
                <w:kern w:val="0"/>
                <w:sz w:val="21"/>
                <w:szCs w:val="21"/>
                <w:highlight w:val="none"/>
                <w:lang w:val="en-US" w:eastAsia="zh-CN" w:bidi="ar"/>
              </w:rPr>
              <w:t xml:space="preserve">方案（满分 </w:t>
            </w:r>
            <w:r>
              <w:rPr>
                <w:rFonts w:hint="eastAsia" w:ascii="宋体" w:hAnsi="宋体" w:cs="宋体"/>
                <w:b/>
                <w:bCs/>
                <w:color w:val="auto"/>
                <w:kern w:val="0"/>
                <w:sz w:val="21"/>
                <w:szCs w:val="21"/>
                <w:highlight w:val="none"/>
                <w:lang w:val="en-US" w:eastAsia="zh-CN" w:bidi="ar"/>
              </w:rPr>
              <w:t>30</w:t>
            </w:r>
            <w:r>
              <w:rPr>
                <w:rFonts w:hint="eastAsia" w:ascii="宋体" w:hAnsi="宋体" w:eastAsia="宋体" w:cs="宋体"/>
                <w:b/>
                <w:bCs/>
                <w:color w:val="auto"/>
                <w:kern w:val="0"/>
                <w:sz w:val="21"/>
                <w:szCs w:val="21"/>
                <w:highlight w:val="none"/>
                <w:lang w:val="en-US" w:eastAsia="zh-CN" w:bidi="ar"/>
              </w:rPr>
              <w:t xml:space="preserve"> 分）</w:t>
            </w:r>
          </w:p>
          <w:p>
            <w:pPr>
              <w:spacing w:line="360" w:lineRule="auto"/>
              <w:jc w:val="center"/>
              <w:rPr>
                <w:rFonts w:ascii="宋体" w:hAnsi="宋体" w:cs="宋体"/>
                <w:bCs/>
                <w:color w:val="auto"/>
                <w:szCs w:val="21"/>
                <w:highlight w:val="none"/>
              </w:rPr>
            </w:pPr>
          </w:p>
        </w:tc>
        <w:tc>
          <w:tcPr>
            <w:tcW w:w="5239" w:type="dxa"/>
            <w:vAlign w:val="center"/>
          </w:tcPr>
          <w:p>
            <w:pPr>
              <w:widowControl/>
              <w:spacing w:line="360" w:lineRule="auto"/>
              <w:ind w:firstLine="420" w:firstLineChars="200"/>
              <w:jc w:val="left"/>
              <w:rPr>
                <w:rFonts w:hint="eastAsia" w:hAnsi="宋体" w:cs="宋体"/>
                <w:bCs/>
                <w:color w:val="auto"/>
                <w:kern w:val="2"/>
                <w:sz w:val="21"/>
                <w:highlight w:val="none"/>
                <w:lang w:val="en-US" w:eastAsia="zh-CN"/>
              </w:rPr>
            </w:pPr>
            <w:r>
              <w:rPr>
                <w:rFonts w:hint="eastAsia" w:hAnsi="宋体" w:cs="宋体"/>
                <w:bCs/>
                <w:color w:val="auto"/>
                <w:kern w:val="2"/>
                <w:sz w:val="21"/>
                <w:highlight w:val="none"/>
                <w:lang w:val="en-US" w:eastAsia="zh-CN"/>
              </w:rPr>
              <w:t>由磋商小组根据供应商提供的项目技术实施方案确定各供应商所属档次及分值。达不到一档要求或不提供的得0分。</w:t>
            </w:r>
          </w:p>
          <w:p>
            <w:pPr>
              <w:widowControl/>
              <w:spacing w:line="360" w:lineRule="auto"/>
              <w:ind w:firstLine="420" w:firstLineChars="200"/>
              <w:jc w:val="left"/>
              <w:rPr>
                <w:rFonts w:hint="eastAsia" w:hAnsi="宋体" w:cs="宋体"/>
                <w:bCs/>
                <w:color w:val="auto"/>
                <w:kern w:val="2"/>
                <w:sz w:val="21"/>
                <w:highlight w:val="none"/>
                <w:lang w:val="en-US" w:eastAsia="zh-CN"/>
              </w:rPr>
            </w:pPr>
            <w:r>
              <w:rPr>
                <w:rFonts w:hint="eastAsia" w:hAnsi="宋体" w:cs="宋体"/>
                <w:bCs/>
                <w:color w:val="auto"/>
                <w:kern w:val="2"/>
                <w:sz w:val="21"/>
                <w:highlight w:val="none"/>
                <w:lang w:val="en-US" w:eastAsia="zh-CN"/>
              </w:rPr>
              <w:t>一档（7分）：实施方案包含数据成果、数字化图件成果、 文字报告成果等三部分内容。针对这三个部分内容有某部分或者其他任意两部分的工作计划、人员组织、技术路线、进度保障措施与质量管理与控制措施，方案逻辑不严密，存在漏洞。</w:t>
            </w:r>
          </w:p>
          <w:p>
            <w:pPr>
              <w:widowControl/>
              <w:spacing w:line="360" w:lineRule="auto"/>
              <w:ind w:firstLine="420" w:firstLineChars="200"/>
              <w:jc w:val="left"/>
              <w:rPr>
                <w:rFonts w:hint="eastAsia" w:hAnsi="宋体" w:cs="宋体"/>
                <w:bCs/>
                <w:color w:val="auto"/>
                <w:kern w:val="2"/>
                <w:sz w:val="21"/>
                <w:highlight w:val="none"/>
                <w:lang w:val="en-US" w:eastAsia="zh-CN"/>
              </w:rPr>
            </w:pPr>
            <w:r>
              <w:rPr>
                <w:rFonts w:hint="eastAsia" w:hAnsi="宋体" w:cs="宋体"/>
                <w:bCs/>
                <w:color w:val="auto"/>
                <w:kern w:val="2"/>
                <w:sz w:val="21"/>
                <w:highlight w:val="none"/>
                <w:lang w:val="en-US" w:eastAsia="zh-CN"/>
              </w:rPr>
              <w:t>二档（14 分）：实施方案包含数据、数字化图件成果、文字报告成果等三部分内容。针对这三个部分内容有工作计划、人员组织、技术路线、进度保障措施与质量管理与控制措施，方案总体可行。</w:t>
            </w:r>
          </w:p>
          <w:p>
            <w:pPr>
              <w:widowControl/>
              <w:spacing w:line="360" w:lineRule="auto"/>
              <w:ind w:firstLine="420" w:firstLineChars="200"/>
              <w:jc w:val="left"/>
              <w:rPr>
                <w:rFonts w:hint="eastAsia" w:hAnsi="宋体" w:cs="宋体"/>
                <w:bCs/>
                <w:color w:val="auto"/>
                <w:kern w:val="2"/>
                <w:sz w:val="21"/>
                <w:highlight w:val="none"/>
                <w:lang w:val="en-US" w:eastAsia="zh-CN"/>
              </w:rPr>
            </w:pPr>
            <w:r>
              <w:rPr>
                <w:rFonts w:hint="eastAsia" w:hAnsi="宋体" w:cs="宋体"/>
                <w:bCs/>
                <w:color w:val="auto"/>
                <w:kern w:val="2"/>
                <w:sz w:val="21"/>
                <w:highlight w:val="none"/>
                <w:lang w:val="en-US" w:eastAsia="zh-CN"/>
              </w:rPr>
              <w:t>三档（21分）：实施方案包含数据果、数字化图件成果、文字报告成果等三部分内容。针对这三个部分内容有工作计划、人员组织、技术路线、进度保障措施与质量管理与控制措施，描述比较详细、考虑比较全面。</w:t>
            </w:r>
          </w:p>
          <w:p>
            <w:pPr>
              <w:widowControl/>
              <w:spacing w:line="360" w:lineRule="auto"/>
              <w:ind w:firstLine="420" w:firstLineChars="200"/>
              <w:jc w:val="left"/>
              <w:rPr>
                <w:rFonts w:ascii="宋体" w:hAnsi="宋体" w:cs="宋体"/>
                <w:bCs/>
                <w:color w:val="auto"/>
                <w:szCs w:val="21"/>
                <w:highlight w:val="none"/>
              </w:rPr>
            </w:pPr>
            <w:r>
              <w:rPr>
                <w:rFonts w:hint="eastAsia" w:hAnsi="宋体" w:cs="宋体"/>
                <w:bCs/>
                <w:color w:val="auto"/>
                <w:kern w:val="2"/>
                <w:sz w:val="21"/>
                <w:highlight w:val="none"/>
                <w:lang w:val="en-US" w:eastAsia="zh-CN"/>
              </w:rPr>
              <w:t>四档（30分） ：实施方案包含数据、数字化图件成果、文字报告成果等三部分内容。针对这三个部分内容有专门的工作计划、人员组织、明确的技术路线、进度保障措施与质量管理与控制措施，工作计划逻辑性强，质控管理完整且细致、能够切实保障文字成果报告的全面性、准确性以及应用的针对性、切实满足项目区工作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jc w:val="center"/>
        </w:trPr>
        <w:tc>
          <w:tcPr>
            <w:tcW w:w="730" w:type="dxa"/>
            <w:vMerge w:val="continue"/>
            <w:vAlign w:val="center"/>
          </w:tcPr>
          <w:p>
            <w:pPr>
              <w:adjustRightInd w:val="0"/>
              <w:spacing w:line="360" w:lineRule="auto"/>
              <w:jc w:val="center"/>
              <w:textAlignment w:val="baseline"/>
              <w:rPr>
                <w:rFonts w:ascii="宋体" w:hAnsi="宋体" w:cs="宋体"/>
                <w:b/>
                <w:color w:val="auto"/>
                <w:szCs w:val="21"/>
                <w:highlight w:val="none"/>
              </w:rPr>
            </w:pPr>
          </w:p>
        </w:tc>
        <w:tc>
          <w:tcPr>
            <w:tcW w:w="1280" w:type="dxa"/>
            <w:vMerge w:val="continue"/>
            <w:vAlign w:val="center"/>
          </w:tcPr>
          <w:p>
            <w:pPr>
              <w:adjustRightInd w:val="0"/>
              <w:spacing w:line="360" w:lineRule="auto"/>
              <w:jc w:val="center"/>
              <w:textAlignment w:val="baseline"/>
              <w:rPr>
                <w:rFonts w:ascii="宋体" w:hAnsi="宋体" w:cs="宋体"/>
                <w:b/>
                <w:color w:val="auto"/>
                <w:szCs w:val="21"/>
                <w:highlight w:val="none"/>
              </w:rPr>
            </w:pPr>
          </w:p>
        </w:tc>
        <w:tc>
          <w:tcPr>
            <w:tcW w:w="709" w:type="dxa"/>
            <w:vMerge w:val="continue"/>
            <w:vAlign w:val="center"/>
          </w:tcPr>
          <w:p>
            <w:pPr>
              <w:adjustRightInd w:val="0"/>
              <w:spacing w:line="360" w:lineRule="auto"/>
              <w:jc w:val="center"/>
              <w:textAlignment w:val="baseline"/>
              <w:rPr>
                <w:rFonts w:ascii="宋体" w:hAnsi="宋体" w:cs="宋体"/>
                <w:b/>
                <w:color w:val="auto"/>
                <w:szCs w:val="21"/>
                <w:highlight w:val="none"/>
              </w:rPr>
            </w:pPr>
          </w:p>
        </w:tc>
        <w:tc>
          <w:tcPr>
            <w:tcW w:w="1670" w:type="dxa"/>
            <w:vAlign w:val="center"/>
          </w:tcPr>
          <w:p>
            <w:pPr>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质量保障措施（满分10分）</w:t>
            </w:r>
          </w:p>
          <w:p>
            <w:pPr>
              <w:spacing w:line="360" w:lineRule="auto"/>
              <w:jc w:val="center"/>
              <w:rPr>
                <w:rFonts w:hAnsi="宋体" w:cs="宋体"/>
                <w:bCs/>
                <w:color w:val="auto"/>
                <w:kern w:val="2"/>
                <w:sz w:val="21"/>
                <w:highlight w:val="none"/>
              </w:rPr>
            </w:pPr>
          </w:p>
        </w:tc>
        <w:tc>
          <w:tcPr>
            <w:tcW w:w="5239" w:type="dxa"/>
            <w:vAlign w:val="center"/>
          </w:tcPr>
          <w:p>
            <w:pPr>
              <w:widowControl/>
              <w:spacing w:line="360" w:lineRule="auto"/>
              <w:ind w:firstLine="420" w:firstLineChars="200"/>
              <w:jc w:val="left"/>
              <w:rPr>
                <w:rFonts w:hint="eastAsia" w:hAnsi="宋体" w:cs="宋体"/>
                <w:bCs/>
                <w:color w:val="auto"/>
                <w:kern w:val="2"/>
                <w:sz w:val="21"/>
                <w:highlight w:val="none"/>
                <w:lang w:val="en-US" w:eastAsia="zh-CN"/>
              </w:rPr>
            </w:pPr>
            <w:r>
              <w:rPr>
                <w:rFonts w:hint="eastAsia" w:hAnsi="宋体" w:cs="宋体"/>
                <w:bCs/>
                <w:color w:val="auto"/>
                <w:kern w:val="2"/>
                <w:sz w:val="21"/>
                <w:highlight w:val="none"/>
                <w:lang w:eastAsia="zh-CN"/>
              </w:rPr>
              <w:t>由磋商小组根据供应商的</w:t>
            </w:r>
            <w:r>
              <w:rPr>
                <w:rFonts w:hint="eastAsia" w:hAnsi="宋体" w:cs="宋体"/>
                <w:bCs/>
                <w:color w:val="auto"/>
                <w:kern w:val="2"/>
                <w:sz w:val="21"/>
                <w:highlight w:val="none"/>
                <w:lang w:val="en-US" w:eastAsia="zh-CN"/>
              </w:rPr>
              <w:t>质量保障措施</w:t>
            </w:r>
            <w:r>
              <w:rPr>
                <w:rFonts w:hint="eastAsia" w:hAnsi="宋体" w:cs="宋体"/>
                <w:bCs/>
                <w:color w:val="auto"/>
                <w:kern w:val="2"/>
                <w:sz w:val="21"/>
                <w:highlight w:val="none"/>
                <w:lang w:eastAsia="zh-CN"/>
              </w:rPr>
              <w:t>确定各供应商所属档次及分值。达不到一档要求或不提供的得0分。</w:t>
            </w:r>
          </w:p>
          <w:p>
            <w:pPr>
              <w:widowControl/>
              <w:spacing w:line="360" w:lineRule="auto"/>
              <w:ind w:firstLine="420" w:firstLineChars="200"/>
              <w:jc w:val="left"/>
              <w:rPr>
                <w:rFonts w:hAnsi="宋体" w:cs="宋体"/>
                <w:bCs/>
                <w:color w:val="auto"/>
                <w:kern w:val="2"/>
                <w:sz w:val="21"/>
                <w:highlight w:val="none"/>
                <w:lang w:eastAsia="zh-CN"/>
              </w:rPr>
            </w:pPr>
            <w:r>
              <w:rPr>
                <w:rFonts w:hAnsi="宋体" w:cs="宋体"/>
                <w:bCs/>
                <w:color w:val="auto"/>
                <w:kern w:val="2"/>
                <w:sz w:val="21"/>
                <w:highlight w:val="none"/>
                <w:lang w:eastAsia="zh-CN"/>
              </w:rPr>
              <w:t>一档（</w:t>
            </w:r>
            <w:r>
              <w:rPr>
                <w:rFonts w:hint="eastAsia" w:hAnsi="宋体" w:cs="宋体"/>
                <w:bCs/>
                <w:color w:val="auto"/>
                <w:kern w:val="2"/>
                <w:sz w:val="21"/>
                <w:highlight w:val="none"/>
                <w:lang w:eastAsia="zh-CN"/>
              </w:rPr>
              <w:t>4</w:t>
            </w:r>
            <w:r>
              <w:rPr>
                <w:rFonts w:hAnsi="宋体" w:cs="宋体"/>
                <w:bCs/>
                <w:color w:val="auto"/>
                <w:kern w:val="2"/>
                <w:sz w:val="21"/>
                <w:highlight w:val="none"/>
                <w:lang w:eastAsia="zh-CN"/>
              </w:rPr>
              <w:t xml:space="preserve"> 分）：质量保证措施方案简单，方案内容不全面、不完整。</w:t>
            </w:r>
          </w:p>
          <w:p>
            <w:pPr>
              <w:widowControl/>
              <w:spacing w:line="360" w:lineRule="auto"/>
              <w:ind w:firstLine="420" w:firstLineChars="200"/>
              <w:jc w:val="left"/>
              <w:rPr>
                <w:rFonts w:hAnsi="宋体" w:cs="宋体"/>
                <w:bCs/>
                <w:color w:val="auto"/>
                <w:kern w:val="2"/>
                <w:sz w:val="21"/>
                <w:highlight w:val="none"/>
                <w:lang w:eastAsia="zh-CN"/>
              </w:rPr>
            </w:pPr>
            <w:r>
              <w:rPr>
                <w:rFonts w:hAnsi="宋体" w:cs="宋体"/>
                <w:bCs/>
                <w:color w:val="auto"/>
                <w:kern w:val="2"/>
                <w:sz w:val="21"/>
                <w:highlight w:val="none"/>
                <w:lang w:eastAsia="zh-CN"/>
              </w:rPr>
              <w:t>二档（</w:t>
            </w:r>
            <w:r>
              <w:rPr>
                <w:rFonts w:hint="eastAsia" w:hAnsi="宋体" w:cs="宋体"/>
                <w:bCs/>
                <w:color w:val="auto"/>
                <w:kern w:val="2"/>
                <w:sz w:val="21"/>
                <w:highlight w:val="none"/>
                <w:lang w:eastAsia="zh-CN"/>
              </w:rPr>
              <w:t>7</w:t>
            </w:r>
            <w:r>
              <w:rPr>
                <w:rFonts w:hAnsi="宋体" w:cs="宋体"/>
                <w:bCs/>
                <w:color w:val="auto"/>
                <w:kern w:val="2"/>
                <w:sz w:val="21"/>
                <w:highlight w:val="none"/>
                <w:lang w:eastAsia="zh-CN"/>
              </w:rPr>
              <w:t>分）：质量保证措施方案完整、科学、具有可行性和可操作性。</w:t>
            </w:r>
          </w:p>
          <w:p>
            <w:pPr>
              <w:widowControl/>
              <w:spacing w:line="360" w:lineRule="auto"/>
              <w:ind w:firstLine="420" w:firstLineChars="200"/>
              <w:jc w:val="left"/>
              <w:rPr>
                <w:rFonts w:hAnsi="宋体" w:cs="宋体"/>
                <w:bCs/>
                <w:color w:val="auto"/>
                <w:kern w:val="2"/>
                <w:sz w:val="21"/>
                <w:highlight w:val="none"/>
              </w:rPr>
            </w:pPr>
            <w:r>
              <w:rPr>
                <w:rFonts w:hAnsi="宋体" w:cs="宋体"/>
                <w:bCs/>
                <w:color w:val="auto"/>
                <w:kern w:val="2"/>
                <w:sz w:val="21"/>
                <w:highlight w:val="none"/>
                <w:lang w:eastAsia="zh-CN"/>
              </w:rPr>
              <w:t>三档（</w:t>
            </w:r>
            <w:r>
              <w:rPr>
                <w:rFonts w:hint="eastAsia" w:hAnsi="宋体" w:cs="宋体"/>
                <w:bCs/>
                <w:color w:val="auto"/>
                <w:kern w:val="2"/>
                <w:sz w:val="21"/>
                <w:highlight w:val="none"/>
                <w:lang w:eastAsia="zh-CN"/>
              </w:rPr>
              <w:t>10</w:t>
            </w:r>
            <w:r>
              <w:rPr>
                <w:rFonts w:hAnsi="宋体" w:cs="宋体"/>
                <w:bCs/>
                <w:color w:val="auto"/>
                <w:kern w:val="2"/>
                <w:sz w:val="21"/>
                <w:highlight w:val="none"/>
                <w:lang w:eastAsia="zh-CN"/>
              </w:rPr>
              <w:t xml:space="preserve"> 分）：质量保证措施方案完整， 内容详细全面、可行性和操作性强、质控点明确且科学合理，突出对</w:t>
            </w:r>
            <w:r>
              <w:rPr>
                <w:rFonts w:hint="eastAsia" w:hAnsi="宋体" w:cs="宋体"/>
                <w:bCs/>
                <w:color w:val="auto"/>
                <w:kern w:val="2"/>
                <w:sz w:val="21"/>
                <w:highlight w:val="none"/>
                <w:lang w:eastAsia="zh-CN"/>
              </w:rPr>
              <w:t>数据生产处理的质量</w:t>
            </w:r>
            <w:r>
              <w:rPr>
                <w:rFonts w:hAnsi="宋体" w:cs="宋体"/>
                <w:bCs/>
                <w:color w:val="auto"/>
                <w:kern w:val="2"/>
                <w:sz w:val="21"/>
                <w:highlight w:val="none"/>
                <w:lang w:eastAsia="zh-CN"/>
              </w:rPr>
              <w:t>控制，有效地保障各环节的工作质量符合技术要求。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0" w:type="dxa"/>
            <w:vMerge w:val="continue"/>
            <w:vAlign w:val="center"/>
          </w:tcPr>
          <w:p>
            <w:pPr>
              <w:adjustRightInd w:val="0"/>
              <w:spacing w:line="360" w:lineRule="auto"/>
              <w:jc w:val="center"/>
              <w:textAlignment w:val="baseline"/>
              <w:rPr>
                <w:rFonts w:ascii="宋体" w:hAnsi="宋体" w:cs="宋体"/>
                <w:b/>
                <w:color w:val="auto"/>
                <w:szCs w:val="21"/>
                <w:highlight w:val="none"/>
              </w:rPr>
            </w:pPr>
          </w:p>
        </w:tc>
        <w:tc>
          <w:tcPr>
            <w:tcW w:w="1280" w:type="dxa"/>
            <w:vMerge w:val="continue"/>
            <w:vAlign w:val="center"/>
          </w:tcPr>
          <w:p>
            <w:pPr>
              <w:adjustRightInd w:val="0"/>
              <w:spacing w:line="360" w:lineRule="auto"/>
              <w:jc w:val="center"/>
              <w:textAlignment w:val="baseline"/>
              <w:rPr>
                <w:rFonts w:ascii="宋体" w:hAnsi="宋体" w:cs="宋体"/>
                <w:b/>
                <w:color w:val="auto"/>
                <w:szCs w:val="21"/>
                <w:highlight w:val="none"/>
              </w:rPr>
            </w:pPr>
          </w:p>
        </w:tc>
        <w:tc>
          <w:tcPr>
            <w:tcW w:w="709" w:type="dxa"/>
            <w:vMerge w:val="continue"/>
            <w:vAlign w:val="center"/>
          </w:tcPr>
          <w:p>
            <w:pPr>
              <w:adjustRightInd w:val="0"/>
              <w:spacing w:line="360" w:lineRule="auto"/>
              <w:jc w:val="center"/>
              <w:textAlignment w:val="baseline"/>
              <w:rPr>
                <w:rFonts w:ascii="宋体" w:hAnsi="宋体" w:cs="宋体"/>
                <w:b/>
                <w:color w:val="auto"/>
                <w:szCs w:val="21"/>
                <w:highlight w:val="none"/>
              </w:rPr>
            </w:pPr>
          </w:p>
        </w:tc>
        <w:tc>
          <w:tcPr>
            <w:tcW w:w="1670" w:type="dxa"/>
            <w:vAlign w:val="center"/>
          </w:tcPr>
          <w:p>
            <w:pPr>
              <w:adjustRightInd w:val="0"/>
              <w:spacing w:line="360" w:lineRule="auto"/>
              <w:textAlignment w:val="baseline"/>
              <w:rPr>
                <w:rFonts w:ascii="宋体" w:hAnsi="宋体" w:cs="宋体"/>
                <w:bCs/>
                <w:color w:val="auto"/>
                <w:szCs w:val="21"/>
                <w:highlight w:val="none"/>
              </w:rPr>
            </w:pPr>
            <w:r>
              <w:rPr>
                <w:rFonts w:hint="eastAsia" w:ascii="宋体" w:hAnsi="宋体" w:eastAsia="宋体" w:cs="宋体"/>
                <w:b/>
                <w:bCs w:val="0"/>
                <w:color w:val="auto"/>
                <w:szCs w:val="21"/>
                <w:highlight w:val="none"/>
                <w:lang w:eastAsia="zh-CN"/>
              </w:rPr>
              <w:t>拟投入人员分</w:t>
            </w:r>
            <w:r>
              <w:rPr>
                <w:rFonts w:hint="eastAsia" w:ascii="宋体" w:hAnsi="宋体" w:eastAsia="宋体" w:cs="宋体"/>
                <w:b/>
                <w:bCs w:val="0"/>
                <w:color w:val="auto"/>
                <w:szCs w:val="21"/>
                <w:highlight w:val="none"/>
                <w:lang w:val="en-US" w:eastAsia="zh-CN"/>
              </w:rPr>
              <w:t>(满分</w:t>
            </w:r>
            <w:r>
              <w:rPr>
                <w:rFonts w:hint="eastAsia" w:ascii="宋体" w:hAnsi="宋体" w:cs="宋体"/>
                <w:b/>
                <w:bCs w:val="0"/>
                <w:color w:val="auto"/>
                <w:szCs w:val="21"/>
                <w:highlight w:val="none"/>
                <w:lang w:val="en-US" w:eastAsia="zh-CN"/>
              </w:rPr>
              <w:t>25</w:t>
            </w:r>
            <w:r>
              <w:rPr>
                <w:rFonts w:hint="eastAsia" w:ascii="宋体" w:hAnsi="宋体" w:eastAsia="宋体" w:cs="宋体"/>
                <w:b/>
                <w:bCs w:val="0"/>
                <w:color w:val="auto"/>
                <w:szCs w:val="21"/>
                <w:highlight w:val="none"/>
                <w:lang w:val="en-US" w:eastAsia="zh-CN"/>
              </w:rPr>
              <w:t>分）</w:t>
            </w:r>
          </w:p>
        </w:tc>
        <w:tc>
          <w:tcPr>
            <w:tcW w:w="5239" w:type="dxa"/>
            <w:vAlign w:val="center"/>
          </w:tcPr>
          <w:p>
            <w:pPr>
              <w:spacing w:line="30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（1）拟投入本项目的技术人员</w:t>
            </w:r>
            <w:r>
              <w:rPr>
                <w:rFonts w:hint="eastAsia" w:ascii="宋体" w:hAnsi="宋体" w:eastAsia="宋体" w:cs="宋体"/>
                <w:color w:val="auto"/>
                <w:highlight w:val="none"/>
                <w:lang w:eastAsia="zh-CN"/>
              </w:rPr>
              <w:t>有</w:t>
            </w:r>
            <w:r>
              <w:rPr>
                <w:rFonts w:hint="eastAsia" w:ascii="宋体" w:hAnsi="宋体" w:eastAsia="宋体" w:cs="宋体"/>
                <w:color w:val="auto"/>
                <w:highlight w:val="none"/>
              </w:rPr>
              <w:t>测绘地理信息专业</w:t>
            </w:r>
            <w:r>
              <w:rPr>
                <w:rFonts w:hint="eastAsia" w:ascii="宋体" w:hAnsi="宋体" w:eastAsia="宋体" w:cs="宋体"/>
                <w:color w:val="auto"/>
                <w:highlight w:val="none"/>
                <w:lang w:eastAsia="zh-CN"/>
              </w:rPr>
              <w:t>中级职称</w:t>
            </w:r>
            <w:r>
              <w:rPr>
                <w:rFonts w:hint="eastAsia" w:ascii="宋体" w:hAnsi="宋体" w:eastAsia="宋体" w:cs="宋体"/>
                <w:color w:val="auto"/>
                <w:highlight w:val="none"/>
              </w:rPr>
              <w:t>3名及以上得 10 分，2名得5分，1名得2分</w:t>
            </w:r>
            <w:r>
              <w:rPr>
                <w:rFonts w:hint="eastAsia" w:ascii="宋体" w:hAnsi="宋体" w:eastAsia="宋体" w:cs="宋体"/>
                <w:color w:val="auto"/>
                <w:highlight w:val="none"/>
                <w:lang w:eastAsia="zh-CN"/>
              </w:rPr>
              <w:t>；</w:t>
            </w:r>
            <w:r>
              <w:rPr>
                <w:rFonts w:hint="eastAsia" w:ascii="宋体" w:hAnsi="宋体" w:eastAsia="宋体" w:cs="宋体"/>
                <w:b/>
                <w:bCs/>
                <w:color w:val="auto"/>
                <w:highlight w:val="none"/>
                <w:lang w:eastAsia="zh-CN"/>
              </w:rPr>
              <w:t>满分</w:t>
            </w:r>
            <w:r>
              <w:rPr>
                <w:rFonts w:hint="eastAsia" w:ascii="宋体" w:hAnsi="宋体" w:eastAsia="宋体" w:cs="宋体"/>
                <w:b/>
                <w:bCs/>
                <w:color w:val="auto"/>
                <w:highlight w:val="none"/>
                <w:lang w:val="en-US" w:eastAsia="zh-CN"/>
              </w:rPr>
              <w:t>10分</w:t>
            </w:r>
            <w:r>
              <w:rPr>
                <w:rFonts w:hint="eastAsia" w:ascii="宋体" w:hAnsi="宋体" w:eastAsia="宋体" w:cs="宋体"/>
                <w:b/>
                <w:bCs/>
                <w:color w:val="auto"/>
                <w:highlight w:val="none"/>
              </w:rPr>
              <w:t>。</w:t>
            </w:r>
          </w:p>
          <w:p>
            <w:pPr>
              <w:spacing w:line="30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eastAsia="zh-CN"/>
              </w:rPr>
              <w:t>拟投入人员有</w:t>
            </w:r>
            <w:r>
              <w:rPr>
                <w:rFonts w:hint="eastAsia" w:ascii="宋体" w:hAnsi="宋体" w:eastAsia="宋体" w:cs="宋体"/>
                <w:color w:val="auto"/>
                <w:highlight w:val="none"/>
              </w:rPr>
              <w:t>测绘相关专业且有涉密岗位培训证书</w:t>
            </w:r>
            <w:r>
              <w:rPr>
                <w:rFonts w:hint="eastAsia" w:ascii="宋体" w:hAnsi="宋体" w:cs="宋体"/>
                <w:color w:val="auto"/>
                <w:highlight w:val="none"/>
                <w:lang w:val="en-US" w:eastAsia="zh-CN"/>
              </w:rPr>
              <w:t>4</w:t>
            </w:r>
            <w:r>
              <w:rPr>
                <w:rFonts w:hint="eastAsia" w:ascii="宋体" w:hAnsi="宋体" w:eastAsia="宋体" w:cs="宋体"/>
                <w:color w:val="auto"/>
                <w:highlight w:val="none"/>
              </w:rPr>
              <w:t>名</w:t>
            </w:r>
            <w:r>
              <w:rPr>
                <w:rFonts w:hint="eastAsia" w:ascii="宋体" w:hAnsi="宋体" w:eastAsia="宋体" w:cs="宋体"/>
                <w:color w:val="auto"/>
                <w:highlight w:val="none"/>
                <w:lang w:eastAsia="zh-CN"/>
              </w:rPr>
              <w:t>及以上</w:t>
            </w:r>
            <w:r>
              <w:rPr>
                <w:rFonts w:hint="eastAsia" w:ascii="宋体" w:hAnsi="宋体" w:eastAsia="宋体" w:cs="宋体"/>
                <w:color w:val="auto"/>
                <w:highlight w:val="none"/>
              </w:rPr>
              <w:t>得5 分</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名</w:t>
            </w:r>
            <w:r>
              <w:rPr>
                <w:rFonts w:hint="eastAsia" w:ascii="宋体" w:hAnsi="宋体" w:eastAsia="宋体" w:cs="宋体"/>
                <w:color w:val="auto"/>
                <w:highlight w:val="none"/>
                <w:lang w:eastAsia="zh-CN"/>
              </w:rPr>
              <w:t>及以上</w:t>
            </w:r>
            <w:r>
              <w:rPr>
                <w:rFonts w:hint="eastAsia" w:ascii="宋体" w:hAnsi="宋体" w:eastAsia="宋体" w:cs="宋体"/>
                <w:color w:val="auto"/>
                <w:highlight w:val="none"/>
              </w:rPr>
              <w:t>得</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分，1名得</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分</w:t>
            </w:r>
            <w:r>
              <w:rPr>
                <w:rFonts w:hint="eastAsia" w:ascii="宋体" w:hAnsi="宋体" w:eastAsia="宋体" w:cs="宋体"/>
                <w:color w:val="auto"/>
                <w:highlight w:val="none"/>
                <w:lang w:eastAsia="zh-CN"/>
              </w:rPr>
              <w:t>；</w:t>
            </w:r>
            <w:r>
              <w:rPr>
                <w:rFonts w:hint="eastAsia" w:ascii="宋体" w:hAnsi="宋体" w:eastAsia="宋体" w:cs="宋体"/>
                <w:b/>
                <w:bCs/>
                <w:color w:val="auto"/>
                <w:highlight w:val="none"/>
              </w:rPr>
              <w:t>满分5分。</w:t>
            </w:r>
            <w:r>
              <w:rPr>
                <w:rFonts w:hint="eastAsia" w:ascii="宋体" w:hAnsi="宋体" w:eastAsia="宋体" w:cs="宋体"/>
                <w:color w:val="auto"/>
                <w:highlight w:val="none"/>
              </w:rPr>
              <w:t>否则不得分。</w:t>
            </w:r>
          </w:p>
          <w:p>
            <w:pPr>
              <w:spacing w:line="300" w:lineRule="auto"/>
              <w:ind w:firstLine="420" w:firstLineChars="200"/>
              <w:rPr>
                <w:rFonts w:hint="eastAsia" w:ascii="宋体" w:hAnsi="宋体" w:eastAsia="宋体" w:cs="宋体"/>
                <w:b/>
                <w:bCs/>
                <w:color w:val="auto"/>
                <w:highlight w:val="none"/>
              </w:rPr>
            </w:pPr>
            <w:r>
              <w:rPr>
                <w:rFonts w:hint="eastAsia" w:ascii="宋体" w:hAnsi="宋体" w:eastAsia="宋体" w:cs="宋体"/>
                <w:color w:val="auto"/>
                <w:highlight w:val="none"/>
              </w:rPr>
              <w:t>（3）拟投入本项目的技术人员中，有 5 个及以上测绘相关专业人员本科及以上学历，得 10分；有 3 个及以上专业人员本科及以上学历，得 5分，有 1 个及以上专业人员且本科及以上学历，得 2分；</w:t>
            </w:r>
            <w:r>
              <w:rPr>
                <w:rFonts w:hint="eastAsia" w:ascii="宋体" w:hAnsi="宋体" w:eastAsia="宋体" w:cs="宋体"/>
                <w:b/>
                <w:bCs/>
                <w:color w:val="auto"/>
                <w:highlight w:val="none"/>
              </w:rPr>
              <w:t>满分 10分。</w:t>
            </w:r>
          </w:p>
          <w:p>
            <w:pPr>
              <w:pStyle w:val="69"/>
              <w:spacing w:line="400" w:lineRule="exact"/>
              <w:rPr>
                <w:rFonts w:hint="eastAsia" w:eastAsia="宋体"/>
                <w:color w:val="auto"/>
                <w:sz w:val="21"/>
                <w:szCs w:val="21"/>
                <w:highlight w:val="none"/>
                <w:lang w:eastAsia="zh-CN"/>
              </w:rPr>
            </w:pPr>
            <w:r>
              <w:rPr>
                <w:rFonts w:hint="eastAsia" w:ascii="宋体" w:hAnsi="宋体" w:eastAsia="宋体" w:cs="宋体"/>
                <w:bCs/>
                <w:color w:val="auto"/>
                <w:szCs w:val="21"/>
                <w:highlight w:val="none"/>
              </w:rPr>
              <w:t>注：</w:t>
            </w:r>
            <w:r>
              <w:rPr>
                <w:rFonts w:hint="eastAsia" w:ascii="宋体" w:hAnsi="宋体" w:eastAsia="宋体" w:cs="宋体"/>
                <w:bCs/>
                <w:color w:val="auto"/>
                <w:szCs w:val="21"/>
                <w:highlight w:val="none"/>
                <w:lang w:eastAsia="zh-CN"/>
              </w:rPr>
              <w:t>以上所有人员</w:t>
            </w:r>
            <w:r>
              <w:rPr>
                <w:rFonts w:hint="eastAsia" w:ascii="宋体" w:hAnsi="宋体" w:eastAsia="宋体" w:cs="宋体"/>
                <w:bCs/>
                <w:color w:val="auto"/>
                <w:szCs w:val="21"/>
                <w:highlight w:val="none"/>
              </w:rPr>
              <w:t>须提供证明材料及</w:t>
            </w:r>
            <w:r>
              <w:rPr>
                <w:rFonts w:hint="eastAsia" w:ascii="宋体" w:hAnsi="宋体" w:eastAsia="宋体" w:cs="宋体"/>
                <w:bCs/>
                <w:color w:val="auto"/>
                <w:szCs w:val="21"/>
                <w:highlight w:val="none"/>
                <w:lang w:eastAsia="zh-CN"/>
              </w:rPr>
              <w:t>202</w:t>
            </w:r>
            <w:r>
              <w:rPr>
                <w:rFonts w:hint="eastAsia" w:ascii="宋体" w:hAnsi="宋体" w:eastAsia="宋体" w:cs="宋体"/>
                <w:bCs/>
                <w:color w:val="auto"/>
                <w:szCs w:val="21"/>
                <w:highlight w:val="none"/>
                <w:lang w:val="en-US" w:eastAsia="zh-CN"/>
              </w:rPr>
              <w:t>4</w:t>
            </w:r>
            <w:r>
              <w:rPr>
                <w:rFonts w:hint="eastAsia" w:ascii="宋体" w:hAnsi="宋体" w:eastAsia="宋体" w:cs="宋体"/>
                <w:bCs/>
                <w:color w:val="auto"/>
                <w:szCs w:val="21"/>
                <w:highlight w:val="none"/>
                <w:lang w:eastAsia="zh-CN"/>
              </w:rPr>
              <w:t>年1月至</w:t>
            </w:r>
            <w:r>
              <w:rPr>
                <w:rFonts w:hint="eastAsia" w:ascii="宋体" w:hAnsi="宋体" w:cs="宋体"/>
                <w:bCs/>
                <w:color w:val="auto"/>
                <w:szCs w:val="21"/>
                <w:highlight w:val="none"/>
                <w:lang w:eastAsia="zh-CN"/>
              </w:rPr>
              <w:t>2024年8月</w:t>
            </w:r>
            <w:r>
              <w:rPr>
                <w:rFonts w:hint="eastAsia" w:ascii="宋体" w:hAnsi="宋体" w:eastAsia="宋体" w:cs="宋体"/>
                <w:bCs/>
                <w:color w:val="auto"/>
                <w:szCs w:val="21"/>
                <w:highlight w:val="none"/>
                <w:lang w:eastAsia="zh-CN"/>
              </w:rPr>
              <w:t>内连续3个月</w:t>
            </w:r>
            <w:r>
              <w:rPr>
                <w:rFonts w:hint="eastAsia" w:ascii="宋体" w:hAnsi="宋体" w:eastAsia="宋体" w:cs="宋体"/>
                <w:bCs/>
                <w:color w:val="auto"/>
                <w:szCs w:val="21"/>
                <w:highlight w:val="none"/>
              </w:rPr>
              <w:t>供应商为其缴纳社保的证明并加盖供应商公章</w:t>
            </w:r>
            <w:r>
              <w:rPr>
                <w:rFonts w:hint="eastAsia" w:ascii="宋体" w:hAnsi="宋体" w:eastAsia="宋体" w:cs="宋体"/>
                <w:bCs/>
                <w:color w:val="auto"/>
                <w:szCs w:val="21"/>
                <w:highlight w:val="none"/>
                <w:lang w:eastAsia="zh-CN"/>
              </w:rPr>
              <w:t>，不按要求提供资料的不得分</w:t>
            </w:r>
            <w:r>
              <w:rPr>
                <w:rFonts w:hint="eastAsia" w:ascii="宋体" w:hAnsi="宋体" w:eastAsia="宋体" w:cs="宋体"/>
                <w:bCs/>
                <w:color w:val="auto"/>
                <w:szCs w:val="21"/>
                <w:highlight w:val="none"/>
              </w:rPr>
              <w:t>。</w:t>
            </w:r>
            <w:r>
              <w:rPr>
                <w:rFonts w:hint="eastAsia" w:ascii="宋体" w:hAnsi="宋体" w:eastAsia="宋体" w:cs="宋体"/>
                <w:color w:val="auto"/>
                <w:highlight w:val="none"/>
              </w:rPr>
              <w:t>（新成立的公司或新入职的人员提供公司成立日之后次月起或入职到公司之日后次月起到</w:t>
            </w:r>
            <w:r>
              <w:rPr>
                <w:rFonts w:hint="eastAsia" w:ascii="宋体" w:hAnsi="宋体" w:eastAsia="宋体" w:cs="宋体"/>
                <w:color w:val="auto"/>
                <w:highlight w:val="none"/>
                <w:lang w:eastAsia="zh-CN"/>
              </w:rPr>
              <w:t>响应</w:t>
            </w:r>
            <w:r>
              <w:rPr>
                <w:rFonts w:hint="eastAsia" w:ascii="宋体" w:hAnsi="宋体" w:eastAsia="宋体" w:cs="宋体"/>
                <w:color w:val="auto"/>
                <w:highlight w:val="none"/>
              </w:rPr>
              <w:t>文件首次递交截止前一个月的</w:t>
            </w:r>
            <w:r>
              <w:rPr>
                <w:rFonts w:hint="eastAsia" w:ascii="宋体" w:hAnsi="宋体" w:eastAsia="宋体" w:cs="宋体"/>
                <w:color w:val="auto"/>
                <w:highlight w:val="none"/>
                <w:lang w:eastAsia="zh-CN"/>
              </w:rPr>
              <w:t>参保缴纳凭证</w:t>
            </w:r>
            <w:r>
              <w:rPr>
                <w:rFonts w:hint="eastAsia" w:ascii="宋体" w:hAnsi="宋体" w:eastAsia="宋体" w:cs="宋体"/>
                <w:color w:val="auto"/>
                <w:highlight w:val="none"/>
              </w:rPr>
              <w:t>复印件</w:t>
            </w:r>
            <w:r>
              <w:rPr>
                <w:rFonts w:hint="eastAsia" w:ascii="宋体" w:hAnsi="宋体" w:eastAsia="宋体" w:cs="宋体"/>
                <w:color w:val="auto"/>
                <w:highlight w:val="none"/>
                <w:lang w:eastAsia="zh-CN"/>
              </w:rPr>
              <w:t>，退休聘用人员提供聘用合同</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）。以上人员</w:t>
            </w:r>
            <w:r>
              <w:rPr>
                <w:rFonts w:hint="eastAsia" w:ascii="宋体" w:hAnsi="宋体" w:eastAsia="宋体" w:cs="宋体"/>
                <w:color w:val="auto"/>
                <w:highlight w:val="none"/>
              </w:rPr>
              <w:t>须提供</w:t>
            </w:r>
            <w:r>
              <w:rPr>
                <w:rFonts w:hint="eastAsia" w:ascii="宋体" w:hAnsi="宋体" w:eastAsia="宋体" w:cs="宋体"/>
                <w:color w:val="auto"/>
                <w:highlight w:val="none"/>
                <w:lang w:eastAsia="zh-CN"/>
              </w:rPr>
              <w:t>相应证明材料复印件加盖公章，否则不得分。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30" w:type="dxa"/>
            <w:vMerge w:val="continue"/>
            <w:vAlign w:val="center"/>
          </w:tcPr>
          <w:p>
            <w:pPr>
              <w:adjustRightInd w:val="0"/>
              <w:spacing w:line="360" w:lineRule="auto"/>
              <w:jc w:val="center"/>
              <w:textAlignment w:val="baseline"/>
              <w:rPr>
                <w:rFonts w:ascii="宋体" w:hAnsi="宋体" w:cs="宋体"/>
                <w:b/>
                <w:color w:val="auto"/>
                <w:szCs w:val="21"/>
                <w:highlight w:val="none"/>
              </w:rPr>
            </w:pPr>
          </w:p>
        </w:tc>
        <w:tc>
          <w:tcPr>
            <w:tcW w:w="1280" w:type="dxa"/>
            <w:vMerge w:val="continue"/>
            <w:vAlign w:val="center"/>
          </w:tcPr>
          <w:p>
            <w:pPr>
              <w:adjustRightInd w:val="0"/>
              <w:spacing w:line="360" w:lineRule="auto"/>
              <w:jc w:val="center"/>
              <w:textAlignment w:val="baseline"/>
              <w:rPr>
                <w:rFonts w:ascii="宋体" w:hAnsi="宋体" w:cs="宋体"/>
                <w:b/>
                <w:color w:val="auto"/>
                <w:szCs w:val="21"/>
                <w:highlight w:val="none"/>
              </w:rPr>
            </w:pPr>
          </w:p>
        </w:tc>
        <w:tc>
          <w:tcPr>
            <w:tcW w:w="709" w:type="dxa"/>
            <w:vMerge w:val="continue"/>
            <w:vAlign w:val="center"/>
          </w:tcPr>
          <w:p>
            <w:pPr>
              <w:adjustRightInd w:val="0"/>
              <w:spacing w:line="360" w:lineRule="auto"/>
              <w:jc w:val="center"/>
              <w:textAlignment w:val="baseline"/>
              <w:rPr>
                <w:rFonts w:ascii="宋体" w:hAnsi="宋体" w:cs="宋体"/>
                <w:b/>
                <w:color w:val="auto"/>
                <w:szCs w:val="21"/>
                <w:highlight w:val="none"/>
              </w:rPr>
            </w:pPr>
          </w:p>
        </w:tc>
        <w:tc>
          <w:tcPr>
            <w:tcW w:w="1670" w:type="dxa"/>
            <w:vAlign w:val="center"/>
          </w:tcPr>
          <w:p>
            <w:pPr>
              <w:rPr>
                <w:rFonts w:ascii="宋体" w:hAnsi="宋体" w:cs="宋体"/>
                <w:b/>
                <w:color w:val="auto"/>
                <w:szCs w:val="21"/>
                <w:highlight w:val="none"/>
              </w:rPr>
            </w:pPr>
            <w:r>
              <w:rPr>
                <w:rFonts w:hint="eastAsia" w:ascii="宋体" w:hAnsi="宋体" w:eastAsia="宋体" w:cs="宋体"/>
                <w:b/>
                <w:bCs/>
                <w:color w:val="auto"/>
                <w:highlight w:val="none"/>
                <w:lang w:val="en-US" w:eastAsia="zh-CN"/>
              </w:rPr>
              <w:t>售后服务方案（满分</w:t>
            </w:r>
            <w:r>
              <w:rPr>
                <w:rFonts w:hint="eastAsia" w:ascii="宋体" w:hAnsi="宋体" w:cs="宋体"/>
                <w:b/>
                <w:bCs/>
                <w:color w:val="auto"/>
                <w:highlight w:val="none"/>
                <w:lang w:val="en-US" w:eastAsia="zh-CN"/>
              </w:rPr>
              <w:t>10</w:t>
            </w:r>
            <w:r>
              <w:rPr>
                <w:rFonts w:hint="eastAsia" w:ascii="宋体" w:hAnsi="宋体" w:eastAsia="宋体" w:cs="宋体"/>
                <w:b/>
                <w:bCs/>
                <w:color w:val="auto"/>
                <w:highlight w:val="none"/>
                <w:lang w:val="en-US" w:eastAsia="zh-CN"/>
              </w:rPr>
              <w:t>分）</w:t>
            </w:r>
          </w:p>
        </w:tc>
        <w:tc>
          <w:tcPr>
            <w:tcW w:w="5239" w:type="dxa"/>
            <w:vAlign w:val="top"/>
          </w:tcPr>
          <w:p>
            <w:pPr>
              <w:widowControl/>
              <w:autoSpaceDE/>
              <w:autoSpaceDN/>
              <w:adjustRightInd/>
              <w:spacing w:line="360" w:lineRule="auto"/>
              <w:ind w:firstLine="420" w:firstLineChars="200"/>
              <w:jc w:val="left"/>
              <w:rPr>
                <w:color w:val="auto"/>
                <w:szCs w:val="21"/>
                <w:highlight w:val="none"/>
              </w:rPr>
            </w:pPr>
            <w:r>
              <w:rPr>
                <w:rFonts w:hint="eastAsia" w:hAnsi="宋体" w:cs="宋体"/>
                <w:bCs/>
                <w:color w:val="auto"/>
                <w:kern w:val="2"/>
                <w:sz w:val="21"/>
                <w:highlight w:val="none"/>
                <w:lang w:eastAsia="zh-CN"/>
              </w:rPr>
              <w:t>由磋商小组根据供应商的</w:t>
            </w:r>
            <w:r>
              <w:rPr>
                <w:rFonts w:hint="eastAsia" w:hAnsi="宋体" w:cs="宋体"/>
                <w:bCs/>
                <w:color w:val="auto"/>
                <w:kern w:val="2"/>
                <w:sz w:val="21"/>
                <w:highlight w:val="none"/>
                <w:lang w:val="en-US" w:eastAsia="zh-CN"/>
              </w:rPr>
              <w:t>售后服务方案</w:t>
            </w:r>
            <w:r>
              <w:rPr>
                <w:rFonts w:hint="eastAsia" w:hAnsi="宋体" w:cs="宋体"/>
                <w:bCs/>
                <w:color w:val="auto"/>
                <w:kern w:val="2"/>
                <w:sz w:val="21"/>
                <w:highlight w:val="none"/>
                <w:lang w:eastAsia="zh-CN"/>
              </w:rPr>
              <w:t>确定各供应商所属档次及分值。达不到一档要求或不提供的得0分。</w:t>
            </w:r>
          </w:p>
          <w:p>
            <w:pPr>
              <w:spacing w:line="360" w:lineRule="auto"/>
              <w:ind w:firstLine="420" w:firstLineChars="200"/>
              <w:rPr>
                <w:color w:val="auto"/>
                <w:highlight w:val="none"/>
              </w:rPr>
            </w:pPr>
            <w:r>
              <w:rPr>
                <w:color w:val="auto"/>
                <w:highlight w:val="none"/>
              </w:rPr>
              <w:t>一档（</w:t>
            </w:r>
            <w:r>
              <w:rPr>
                <w:rFonts w:hint="eastAsia"/>
                <w:color w:val="auto"/>
                <w:highlight w:val="none"/>
                <w:lang w:val="en-US" w:eastAsia="zh-CN"/>
              </w:rPr>
              <w:t>4</w:t>
            </w:r>
            <w:r>
              <w:rPr>
                <w:color w:val="auto"/>
                <w:highlight w:val="none"/>
              </w:rPr>
              <w:t xml:space="preserve"> 分）：针对本项目质量服务承诺、廉洁从业承诺、保密承诺以及采购需求商务条款等内容</w:t>
            </w:r>
            <w:r>
              <w:rPr>
                <w:rFonts w:hint="eastAsia"/>
                <w:color w:val="auto"/>
                <w:highlight w:val="none"/>
                <w:lang w:eastAsia="zh-CN"/>
              </w:rPr>
              <w:t>简单</w:t>
            </w:r>
            <w:r>
              <w:rPr>
                <w:color w:val="auto"/>
                <w:highlight w:val="none"/>
              </w:rPr>
              <w:t>），基本可行；</w:t>
            </w:r>
          </w:p>
          <w:p>
            <w:pPr>
              <w:spacing w:line="360" w:lineRule="auto"/>
              <w:ind w:firstLine="420" w:firstLineChars="200"/>
              <w:rPr>
                <w:color w:val="auto"/>
                <w:highlight w:val="none"/>
              </w:rPr>
            </w:pPr>
            <w:r>
              <w:rPr>
                <w:color w:val="auto"/>
                <w:highlight w:val="none"/>
              </w:rPr>
              <w:t>二档（</w:t>
            </w:r>
            <w:r>
              <w:rPr>
                <w:rFonts w:hint="eastAsia"/>
                <w:color w:val="auto"/>
                <w:highlight w:val="none"/>
                <w:lang w:val="en-US" w:eastAsia="zh-CN"/>
              </w:rPr>
              <w:t>7</w:t>
            </w:r>
            <w:r>
              <w:rPr>
                <w:color w:val="auto"/>
                <w:highlight w:val="none"/>
              </w:rPr>
              <w:t>分）：针对本项目质量服务承诺、廉洁从业承诺、保密承诺以及采购需求商务条款等内容完整，可行，承诺对出现的问题响应及时，基本满足本项目的工作需要；</w:t>
            </w:r>
          </w:p>
          <w:p>
            <w:pPr>
              <w:widowControl/>
              <w:autoSpaceDE/>
              <w:autoSpaceDN/>
              <w:adjustRightInd/>
              <w:spacing w:line="360" w:lineRule="auto"/>
              <w:ind w:firstLine="420" w:firstLineChars="200"/>
              <w:jc w:val="left"/>
              <w:rPr>
                <w:color w:val="auto"/>
                <w:szCs w:val="21"/>
                <w:highlight w:val="none"/>
              </w:rPr>
            </w:pPr>
            <w:r>
              <w:rPr>
                <w:color w:val="auto"/>
                <w:highlight w:val="none"/>
              </w:rPr>
              <w:t>三档（</w:t>
            </w:r>
            <w:r>
              <w:rPr>
                <w:rFonts w:hint="eastAsia"/>
                <w:color w:val="auto"/>
                <w:highlight w:val="none"/>
                <w:lang w:val="en-US" w:eastAsia="zh-CN"/>
              </w:rPr>
              <w:t>10</w:t>
            </w:r>
            <w:r>
              <w:rPr>
                <w:color w:val="auto"/>
                <w:highlight w:val="none"/>
              </w:rPr>
              <w:t>分）：针对本项目质量服务承诺、廉洁从业承诺、保密承诺以及采购需求商务条款等内容完整全面，内容详细，可操作性强，响应及时、主动，完全满足本项目的工作需要。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730" w:type="dxa"/>
            <w:vAlign w:val="center"/>
          </w:tcPr>
          <w:p>
            <w:pPr>
              <w:adjustRightInd w:val="0"/>
              <w:spacing w:line="360" w:lineRule="auto"/>
              <w:jc w:val="center"/>
              <w:textAlignment w:val="baseline"/>
              <w:rPr>
                <w:rFonts w:ascii="宋体" w:hAnsi="宋体" w:cs="宋体"/>
                <w:b/>
                <w:color w:val="auto"/>
                <w:szCs w:val="21"/>
                <w:highlight w:val="none"/>
              </w:rPr>
            </w:pPr>
            <w:r>
              <w:rPr>
                <w:rFonts w:hint="eastAsia" w:ascii="宋体" w:hAnsi="宋体" w:cs="宋体"/>
                <w:b/>
                <w:color w:val="auto"/>
                <w:szCs w:val="21"/>
                <w:highlight w:val="none"/>
              </w:rPr>
              <w:t>3</w:t>
            </w:r>
          </w:p>
        </w:tc>
        <w:tc>
          <w:tcPr>
            <w:tcW w:w="1280" w:type="dxa"/>
            <w:vAlign w:val="center"/>
          </w:tcPr>
          <w:p>
            <w:pPr>
              <w:adjustRightInd w:val="0"/>
              <w:spacing w:line="360" w:lineRule="auto"/>
              <w:jc w:val="center"/>
              <w:textAlignment w:val="baseline"/>
              <w:rPr>
                <w:rFonts w:ascii="宋体" w:hAnsi="宋体" w:cs="宋体"/>
                <w:b/>
                <w:color w:val="auto"/>
                <w:szCs w:val="21"/>
                <w:highlight w:val="none"/>
              </w:rPr>
            </w:pPr>
            <w:r>
              <w:rPr>
                <w:rFonts w:hint="eastAsia" w:ascii="宋体" w:hAnsi="宋体" w:cs="宋体"/>
                <w:b/>
                <w:color w:val="auto"/>
                <w:szCs w:val="21"/>
                <w:highlight w:val="none"/>
              </w:rPr>
              <w:t>商务分</w:t>
            </w:r>
          </w:p>
        </w:tc>
        <w:tc>
          <w:tcPr>
            <w:tcW w:w="709" w:type="dxa"/>
            <w:vAlign w:val="center"/>
          </w:tcPr>
          <w:p>
            <w:pPr>
              <w:adjustRightInd w:val="0"/>
              <w:spacing w:line="360" w:lineRule="auto"/>
              <w:jc w:val="center"/>
              <w:textAlignment w:val="baseline"/>
              <w:rPr>
                <w:rFonts w:ascii="宋体" w:hAnsi="宋体" w:cs="宋体"/>
                <w:b/>
                <w:color w:val="auto"/>
                <w:szCs w:val="21"/>
                <w:highlight w:val="none"/>
              </w:rPr>
            </w:pPr>
            <w:r>
              <w:rPr>
                <w:rFonts w:hint="eastAsia" w:ascii="宋体" w:hAnsi="宋体" w:cs="宋体"/>
                <w:b/>
                <w:color w:val="auto"/>
                <w:kern w:val="0"/>
                <w:szCs w:val="21"/>
                <w:highlight w:val="none"/>
                <w:lang w:val="en-US" w:eastAsia="zh-CN"/>
              </w:rPr>
              <w:t>15</w:t>
            </w:r>
            <w:r>
              <w:rPr>
                <w:rFonts w:hint="eastAsia" w:ascii="宋体" w:hAnsi="宋体" w:cs="宋体"/>
                <w:b/>
                <w:color w:val="auto"/>
                <w:kern w:val="0"/>
                <w:szCs w:val="21"/>
                <w:highlight w:val="none"/>
              </w:rPr>
              <w:t>分</w:t>
            </w:r>
          </w:p>
        </w:tc>
        <w:tc>
          <w:tcPr>
            <w:tcW w:w="6909" w:type="dxa"/>
            <w:gridSpan w:val="2"/>
            <w:vAlign w:val="center"/>
          </w:tcPr>
          <w:p>
            <w:pPr>
              <w:pStyle w:val="79"/>
              <w:spacing w:before="151" w:line="379" w:lineRule="auto"/>
              <w:ind w:right="104" w:firstLine="464" w:firstLineChars="200"/>
              <w:jc w:val="both"/>
              <w:rPr>
                <w:color w:val="auto"/>
                <w:sz w:val="21"/>
                <w:szCs w:val="21"/>
                <w:highlight w:val="none"/>
                <w:lang w:eastAsia="zh-CN"/>
              </w:rPr>
            </w:pPr>
            <w:r>
              <w:rPr>
                <w:color w:val="auto"/>
                <w:spacing w:val="11"/>
                <w:sz w:val="21"/>
                <w:szCs w:val="21"/>
                <w:highlight w:val="none"/>
                <w:lang w:eastAsia="zh-CN"/>
              </w:rPr>
              <w:t>（1）供应商有符合规范要求的涉密数据处理场</w:t>
            </w:r>
            <w:r>
              <w:rPr>
                <w:color w:val="auto"/>
                <w:spacing w:val="10"/>
                <w:sz w:val="21"/>
                <w:szCs w:val="21"/>
                <w:highlight w:val="none"/>
                <w:lang w:eastAsia="zh-CN"/>
              </w:rPr>
              <w:t>所、设施的</w:t>
            </w:r>
            <w:r>
              <w:rPr>
                <w:color w:val="auto"/>
                <w:spacing w:val="6"/>
                <w:sz w:val="21"/>
                <w:szCs w:val="21"/>
                <w:highlight w:val="none"/>
                <w:lang w:eastAsia="zh-CN"/>
              </w:rPr>
              <w:t>得</w:t>
            </w:r>
            <w:r>
              <w:rPr>
                <w:color w:val="auto"/>
                <w:spacing w:val="-31"/>
                <w:sz w:val="21"/>
                <w:szCs w:val="21"/>
                <w:highlight w:val="none"/>
                <w:lang w:eastAsia="zh-CN"/>
              </w:rPr>
              <w:t xml:space="preserve"> </w:t>
            </w:r>
            <w:r>
              <w:rPr>
                <w:color w:val="auto"/>
                <w:spacing w:val="6"/>
                <w:sz w:val="21"/>
                <w:szCs w:val="21"/>
                <w:highlight w:val="none"/>
                <w:lang w:eastAsia="zh-CN"/>
              </w:rPr>
              <w:t>5</w:t>
            </w:r>
            <w:r>
              <w:rPr>
                <w:color w:val="auto"/>
                <w:spacing w:val="-36"/>
                <w:sz w:val="21"/>
                <w:szCs w:val="21"/>
                <w:highlight w:val="none"/>
                <w:lang w:eastAsia="zh-CN"/>
              </w:rPr>
              <w:t xml:space="preserve"> </w:t>
            </w:r>
            <w:r>
              <w:rPr>
                <w:color w:val="auto"/>
                <w:spacing w:val="6"/>
                <w:sz w:val="21"/>
                <w:szCs w:val="21"/>
                <w:highlight w:val="none"/>
                <w:lang w:eastAsia="zh-CN"/>
              </w:rPr>
              <w:t>分，</w:t>
            </w:r>
            <w:r>
              <w:rPr>
                <w:b/>
                <w:bCs/>
                <w:color w:val="auto"/>
                <w:spacing w:val="6"/>
                <w:sz w:val="21"/>
                <w:szCs w:val="21"/>
                <w:highlight w:val="none"/>
                <w:lang w:eastAsia="zh-CN"/>
              </w:rPr>
              <w:t>满分</w:t>
            </w:r>
            <w:r>
              <w:rPr>
                <w:b/>
                <w:bCs/>
                <w:color w:val="auto"/>
                <w:spacing w:val="-35"/>
                <w:sz w:val="21"/>
                <w:szCs w:val="21"/>
                <w:highlight w:val="none"/>
                <w:lang w:eastAsia="zh-CN"/>
              </w:rPr>
              <w:t xml:space="preserve"> </w:t>
            </w:r>
            <w:r>
              <w:rPr>
                <w:b/>
                <w:bCs/>
                <w:color w:val="auto"/>
                <w:spacing w:val="6"/>
                <w:sz w:val="21"/>
                <w:szCs w:val="21"/>
                <w:highlight w:val="none"/>
                <w:lang w:eastAsia="zh-CN"/>
              </w:rPr>
              <w:t>5</w:t>
            </w:r>
            <w:r>
              <w:rPr>
                <w:b/>
                <w:bCs/>
                <w:color w:val="auto"/>
                <w:spacing w:val="-35"/>
                <w:sz w:val="21"/>
                <w:szCs w:val="21"/>
                <w:highlight w:val="none"/>
                <w:lang w:eastAsia="zh-CN"/>
              </w:rPr>
              <w:t xml:space="preserve"> </w:t>
            </w:r>
            <w:r>
              <w:rPr>
                <w:b/>
                <w:bCs/>
                <w:color w:val="auto"/>
                <w:spacing w:val="6"/>
                <w:sz w:val="21"/>
                <w:szCs w:val="21"/>
                <w:highlight w:val="none"/>
                <w:lang w:eastAsia="zh-CN"/>
              </w:rPr>
              <w:t>分</w:t>
            </w:r>
            <w:r>
              <w:rPr>
                <w:color w:val="auto"/>
                <w:spacing w:val="6"/>
                <w:sz w:val="21"/>
                <w:szCs w:val="21"/>
                <w:highlight w:val="none"/>
                <w:lang w:eastAsia="zh-CN"/>
              </w:rPr>
              <w:t>。（提供场所、设施相关证明材料，否则不得</w:t>
            </w:r>
            <w:r>
              <w:rPr>
                <w:color w:val="auto"/>
                <w:spacing w:val="1"/>
                <w:sz w:val="21"/>
                <w:szCs w:val="21"/>
                <w:highlight w:val="none"/>
                <w:lang w:eastAsia="zh-CN"/>
              </w:rPr>
              <w:t>分。）</w:t>
            </w:r>
          </w:p>
          <w:p>
            <w:pPr>
              <w:pStyle w:val="79"/>
              <w:spacing w:line="360" w:lineRule="auto"/>
              <w:ind w:firstLine="464" w:firstLineChars="200"/>
              <w:jc w:val="both"/>
              <w:rPr>
                <w:color w:val="auto"/>
                <w:sz w:val="21"/>
                <w:szCs w:val="21"/>
                <w:highlight w:val="none"/>
                <w:lang w:eastAsia="zh-CN"/>
              </w:rPr>
            </w:pPr>
            <w:r>
              <w:rPr>
                <w:rFonts w:hint="eastAsia"/>
                <w:color w:val="auto"/>
                <w:spacing w:val="11"/>
                <w:sz w:val="21"/>
                <w:szCs w:val="21"/>
                <w:highlight w:val="none"/>
                <w:lang w:eastAsia="zh-CN"/>
              </w:rPr>
              <w:t>（2）拥有地理信息(GIS)类系统软件，同时拥有后台管理系统、GIS系统web端、GIS系统移动端软件</w:t>
            </w:r>
            <w:r>
              <w:rPr>
                <w:color w:val="auto"/>
                <w:spacing w:val="4"/>
                <w:sz w:val="21"/>
                <w:szCs w:val="21"/>
                <w:highlight w:val="none"/>
                <w:lang w:eastAsia="zh-CN"/>
              </w:rPr>
              <w:t>得</w:t>
            </w:r>
            <w:r>
              <w:rPr>
                <w:color w:val="auto"/>
                <w:spacing w:val="-11"/>
                <w:sz w:val="21"/>
                <w:szCs w:val="21"/>
                <w:highlight w:val="none"/>
                <w:lang w:eastAsia="zh-CN"/>
              </w:rPr>
              <w:t xml:space="preserve"> </w:t>
            </w:r>
            <w:r>
              <w:rPr>
                <w:color w:val="auto"/>
                <w:spacing w:val="4"/>
                <w:sz w:val="21"/>
                <w:szCs w:val="21"/>
                <w:highlight w:val="none"/>
                <w:lang w:eastAsia="zh-CN"/>
              </w:rPr>
              <w:t>10</w:t>
            </w:r>
            <w:r>
              <w:rPr>
                <w:color w:val="auto"/>
                <w:spacing w:val="-36"/>
                <w:sz w:val="21"/>
                <w:szCs w:val="21"/>
                <w:highlight w:val="none"/>
                <w:lang w:eastAsia="zh-CN"/>
              </w:rPr>
              <w:t xml:space="preserve"> </w:t>
            </w:r>
            <w:r>
              <w:rPr>
                <w:color w:val="auto"/>
                <w:spacing w:val="4"/>
                <w:sz w:val="21"/>
                <w:szCs w:val="21"/>
                <w:highlight w:val="none"/>
                <w:lang w:eastAsia="zh-CN"/>
              </w:rPr>
              <w:t>分；</w:t>
            </w:r>
            <w:r>
              <w:rPr>
                <w:rFonts w:hint="eastAsia"/>
                <w:color w:val="auto"/>
                <w:spacing w:val="4"/>
                <w:sz w:val="21"/>
                <w:szCs w:val="21"/>
                <w:highlight w:val="none"/>
                <w:lang w:eastAsia="zh-CN"/>
              </w:rPr>
              <w:t>拥有其中2个</w:t>
            </w:r>
            <w:r>
              <w:rPr>
                <w:color w:val="auto"/>
                <w:spacing w:val="4"/>
                <w:sz w:val="21"/>
                <w:szCs w:val="21"/>
                <w:highlight w:val="none"/>
                <w:lang w:eastAsia="zh-CN"/>
              </w:rPr>
              <w:t>得</w:t>
            </w:r>
            <w:r>
              <w:rPr>
                <w:rFonts w:hint="eastAsia"/>
                <w:color w:val="auto"/>
                <w:spacing w:val="-36"/>
                <w:sz w:val="21"/>
                <w:szCs w:val="21"/>
                <w:highlight w:val="none"/>
                <w:lang w:eastAsia="zh-CN"/>
              </w:rPr>
              <w:t>6</w:t>
            </w:r>
            <w:r>
              <w:rPr>
                <w:color w:val="auto"/>
                <w:spacing w:val="4"/>
                <w:sz w:val="21"/>
                <w:szCs w:val="21"/>
                <w:highlight w:val="none"/>
                <w:lang w:eastAsia="zh-CN"/>
              </w:rPr>
              <w:t>分；</w:t>
            </w:r>
            <w:r>
              <w:rPr>
                <w:rFonts w:hint="eastAsia"/>
                <w:color w:val="auto"/>
                <w:spacing w:val="4"/>
                <w:sz w:val="21"/>
                <w:szCs w:val="21"/>
                <w:highlight w:val="none"/>
                <w:lang w:eastAsia="zh-CN"/>
              </w:rPr>
              <w:t>拥有其中一个软件</w:t>
            </w:r>
            <w:r>
              <w:rPr>
                <w:color w:val="auto"/>
                <w:sz w:val="21"/>
                <w:szCs w:val="21"/>
                <w:highlight w:val="none"/>
                <w:lang w:eastAsia="zh-CN"/>
              </w:rPr>
              <w:t>得</w:t>
            </w:r>
            <w:r>
              <w:rPr>
                <w:color w:val="auto"/>
                <w:spacing w:val="-32"/>
                <w:sz w:val="21"/>
                <w:szCs w:val="21"/>
                <w:highlight w:val="none"/>
                <w:lang w:eastAsia="zh-CN"/>
              </w:rPr>
              <w:t xml:space="preserve"> </w:t>
            </w:r>
            <w:r>
              <w:rPr>
                <w:rFonts w:hint="eastAsia"/>
                <w:color w:val="auto"/>
                <w:sz w:val="21"/>
                <w:szCs w:val="21"/>
                <w:highlight w:val="none"/>
                <w:lang w:eastAsia="zh-CN"/>
              </w:rPr>
              <w:t>3</w:t>
            </w:r>
            <w:r>
              <w:rPr>
                <w:color w:val="auto"/>
                <w:sz w:val="21"/>
                <w:szCs w:val="21"/>
                <w:highlight w:val="none"/>
                <w:lang w:eastAsia="zh-CN"/>
              </w:rPr>
              <w:t>分，</w:t>
            </w:r>
            <w:r>
              <w:rPr>
                <w:b/>
                <w:bCs/>
                <w:color w:val="auto"/>
                <w:sz w:val="21"/>
                <w:szCs w:val="21"/>
                <w:highlight w:val="none"/>
                <w:lang w:eastAsia="zh-CN"/>
              </w:rPr>
              <w:t>满分</w:t>
            </w:r>
            <w:r>
              <w:rPr>
                <w:b/>
                <w:bCs/>
                <w:color w:val="auto"/>
                <w:spacing w:val="-21"/>
                <w:sz w:val="21"/>
                <w:szCs w:val="21"/>
                <w:highlight w:val="none"/>
                <w:lang w:eastAsia="zh-CN"/>
              </w:rPr>
              <w:t xml:space="preserve"> </w:t>
            </w:r>
            <w:r>
              <w:rPr>
                <w:b/>
                <w:bCs/>
                <w:color w:val="auto"/>
                <w:sz w:val="21"/>
                <w:szCs w:val="21"/>
                <w:highlight w:val="none"/>
                <w:lang w:eastAsia="zh-CN"/>
              </w:rPr>
              <w:t>10</w:t>
            </w:r>
            <w:r>
              <w:rPr>
                <w:b/>
                <w:bCs/>
                <w:color w:val="auto"/>
                <w:spacing w:val="-36"/>
                <w:sz w:val="21"/>
                <w:szCs w:val="21"/>
                <w:highlight w:val="none"/>
                <w:lang w:eastAsia="zh-CN"/>
              </w:rPr>
              <w:t xml:space="preserve"> </w:t>
            </w:r>
            <w:r>
              <w:rPr>
                <w:b/>
                <w:bCs/>
                <w:color w:val="auto"/>
                <w:sz w:val="21"/>
                <w:szCs w:val="21"/>
                <w:highlight w:val="none"/>
                <w:lang w:eastAsia="zh-CN"/>
              </w:rPr>
              <w:t>分</w:t>
            </w:r>
            <w:r>
              <w:rPr>
                <w:color w:val="auto"/>
                <w:sz w:val="21"/>
                <w:szCs w:val="21"/>
                <w:highlight w:val="none"/>
                <w:lang w:eastAsia="zh-CN"/>
              </w:rPr>
              <w:t>。</w:t>
            </w:r>
          </w:p>
          <w:p>
            <w:pPr>
              <w:spacing w:line="400" w:lineRule="exact"/>
              <w:rPr>
                <w:color w:val="auto"/>
                <w:highlight w:val="none"/>
              </w:rPr>
            </w:pPr>
            <w:r>
              <w:rPr>
                <w:color w:val="auto"/>
                <w:spacing w:val="10"/>
                <w:sz w:val="21"/>
                <w:szCs w:val="21"/>
                <w:highlight w:val="none"/>
                <w:lang w:eastAsia="zh-CN"/>
              </w:rPr>
              <w:t>（提供</w:t>
            </w:r>
            <w:r>
              <w:rPr>
                <w:rFonts w:hint="eastAsia"/>
                <w:color w:val="auto"/>
                <w:spacing w:val="10"/>
                <w:sz w:val="21"/>
                <w:szCs w:val="21"/>
                <w:highlight w:val="none"/>
                <w:lang w:eastAsia="zh-CN"/>
              </w:rPr>
              <w:t>相关证明材料</w:t>
            </w:r>
            <w:r>
              <w:rPr>
                <w:color w:val="auto"/>
                <w:spacing w:val="9"/>
                <w:sz w:val="21"/>
                <w:szCs w:val="21"/>
                <w:highlight w:val="none"/>
                <w:lang w:eastAsia="zh-CN"/>
              </w:rPr>
              <w:t>，否则不计分）</w:t>
            </w:r>
            <w:r>
              <w:rPr>
                <w:rFonts w:hint="eastAsia"/>
                <w:color w:val="auto"/>
                <w:spacing w:val="9"/>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28" w:type="dxa"/>
            <w:gridSpan w:val="5"/>
            <w:vAlign w:val="center"/>
          </w:tcPr>
          <w:p>
            <w:pPr>
              <w:pStyle w:val="18"/>
              <w:spacing w:line="360" w:lineRule="auto"/>
              <w:rPr>
                <w:rFonts w:hAnsi="宋体" w:cs="宋体"/>
                <w:bCs/>
                <w:color w:val="auto"/>
                <w:kern w:val="2"/>
                <w:sz w:val="21"/>
                <w:highlight w:val="none"/>
              </w:rPr>
            </w:pPr>
            <w:r>
              <w:rPr>
                <w:rFonts w:hint="eastAsia" w:hAnsi="宋体" w:cs="宋体"/>
                <w:b/>
                <w:bCs/>
                <w:color w:val="auto"/>
                <w:kern w:val="2"/>
                <w:sz w:val="21"/>
                <w:highlight w:val="none"/>
              </w:rPr>
              <w:t>总得分=1+2+3。</w:t>
            </w:r>
          </w:p>
        </w:tc>
      </w:tr>
    </w:tbl>
    <w:p>
      <w:pPr>
        <w:spacing w:line="360" w:lineRule="auto"/>
        <w:ind w:firstLine="420" w:firstLineChars="200"/>
        <w:rPr>
          <w:rFonts w:ascii="宋体" w:hAnsi="宋体" w:cs="宋体"/>
          <w:bCs/>
          <w:color w:val="auto"/>
          <w:szCs w:val="21"/>
          <w:highlight w:val="none"/>
        </w:rPr>
      </w:pPr>
    </w:p>
    <w:p>
      <w:pPr>
        <w:rPr>
          <w:rFonts w:hint="eastAsia" w:ascii="宋体" w:hAnsi="宋体" w:cs="宋体"/>
          <w:b/>
          <w:color w:val="auto"/>
          <w:szCs w:val="21"/>
          <w:highlight w:val="none"/>
        </w:rPr>
      </w:pPr>
      <w:r>
        <w:rPr>
          <w:rFonts w:hint="eastAsia" w:ascii="宋体" w:hAnsi="宋体" w:cs="宋体"/>
          <w:b/>
          <w:color w:val="auto"/>
          <w:szCs w:val="21"/>
          <w:highlight w:val="none"/>
        </w:rPr>
        <w:br w:type="page"/>
      </w:r>
    </w:p>
    <w:p>
      <w:pPr>
        <w:spacing w:line="360" w:lineRule="auto"/>
        <w:rPr>
          <w:rFonts w:ascii="宋体" w:hAnsi="宋体" w:cs="宋体"/>
          <w:b/>
          <w:color w:val="auto"/>
          <w:szCs w:val="21"/>
          <w:highlight w:val="none"/>
        </w:rPr>
      </w:pPr>
      <w:r>
        <w:rPr>
          <w:rFonts w:hint="eastAsia" w:ascii="宋体" w:hAnsi="宋体" w:cs="宋体"/>
          <w:b/>
          <w:color w:val="auto"/>
          <w:szCs w:val="21"/>
          <w:highlight w:val="none"/>
        </w:rPr>
        <w:t>分标2：</w:t>
      </w:r>
    </w:p>
    <w:tbl>
      <w:tblPr>
        <w:tblStyle w:val="30"/>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1280"/>
        <w:gridCol w:w="709"/>
        <w:gridCol w:w="1670"/>
        <w:gridCol w:w="52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730" w:type="dxa"/>
            <w:vAlign w:val="center"/>
          </w:tcPr>
          <w:p>
            <w:pPr>
              <w:adjustRightInd w:val="0"/>
              <w:spacing w:line="410" w:lineRule="exact"/>
              <w:jc w:val="center"/>
              <w:textAlignment w:val="baseline"/>
              <w:rPr>
                <w:rFonts w:ascii="宋体" w:hAnsi="宋体" w:cs="宋体"/>
                <w:b/>
                <w:color w:val="auto"/>
                <w:szCs w:val="21"/>
                <w:highlight w:val="none"/>
              </w:rPr>
            </w:pPr>
            <w:r>
              <w:rPr>
                <w:rFonts w:hint="eastAsia" w:ascii="宋体" w:hAnsi="宋体" w:cs="宋体"/>
                <w:b/>
                <w:color w:val="auto"/>
                <w:szCs w:val="21"/>
                <w:highlight w:val="none"/>
              </w:rPr>
              <w:t>序号</w:t>
            </w:r>
          </w:p>
        </w:tc>
        <w:tc>
          <w:tcPr>
            <w:tcW w:w="1280" w:type="dxa"/>
            <w:vAlign w:val="center"/>
          </w:tcPr>
          <w:p>
            <w:pPr>
              <w:adjustRightInd w:val="0"/>
              <w:spacing w:line="410" w:lineRule="exact"/>
              <w:jc w:val="center"/>
              <w:textAlignment w:val="baseline"/>
              <w:rPr>
                <w:rFonts w:ascii="宋体" w:hAnsi="宋体" w:cs="宋体"/>
                <w:color w:val="auto"/>
                <w:szCs w:val="21"/>
                <w:highlight w:val="none"/>
              </w:rPr>
            </w:pPr>
            <w:r>
              <w:rPr>
                <w:rFonts w:hint="eastAsia" w:ascii="宋体" w:hAnsi="宋体" w:cs="宋体"/>
                <w:b/>
                <w:color w:val="auto"/>
                <w:szCs w:val="21"/>
                <w:highlight w:val="none"/>
              </w:rPr>
              <w:t>评审因素</w:t>
            </w:r>
          </w:p>
        </w:tc>
        <w:tc>
          <w:tcPr>
            <w:tcW w:w="709" w:type="dxa"/>
            <w:vAlign w:val="center"/>
          </w:tcPr>
          <w:p>
            <w:pPr>
              <w:adjustRightInd w:val="0"/>
              <w:spacing w:line="410" w:lineRule="exact"/>
              <w:jc w:val="center"/>
              <w:textAlignment w:val="baseline"/>
              <w:rPr>
                <w:rFonts w:ascii="宋体" w:hAnsi="宋体" w:cs="宋体"/>
                <w:b/>
                <w:color w:val="auto"/>
                <w:szCs w:val="21"/>
                <w:highlight w:val="none"/>
              </w:rPr>
            </w:pPr>
            <w:r>
              <w:rPr>
                <w:rFonts w:hint="eastAsia" w:ascii="宋体" w:hAnsi="宋体" w:cs="宋体"/>
                <w:b/>
                <w:color w:val="auto"/>
                <w:szCs w:val="21"/>
                <w:highlight w:val="none"/>
              </w:rPr>
              <w:t>分值</w:t>
            </w:r>
          </w:p>
        </w:tc>
        <w:tc>
          <w:tcPr>
            <w:tcW w:w="6909" w:type="dxa"/>
            <w:gridSpan w:val="2"/>
            <w:vAlign w:val="center"/>
          </w:tcPr>
          <w:p>
            <w:pPr>
              <w:adjustRightInd w:val="0"/>
              <w:spacing w:line="410" w:lineRule="exact"/>
              <w:jc w:val="center"/>
              <w:textAlignment w:val="baseline"/>
              <w:rPr>
                <w:rFonts w:ascii="宋体" w:hAnsi="宋体" w:cs="宋体"/>
                <w:b/>
                <w:color w:val="auto"/>
                <w:szCs w:val="21"/>
                <w:highlight w:val="none"/>
              </w:rPr>
            </w:pPr>
            <w:r>
              <w:rPr>
                <w:rFonts w:hint="eastAsia" w:ascii="宋体" w:hAnsi="宋体" w:cs="宋体"/>
                <w:b/>
                <w:color w:val="auto"/>
                <w:szCs w:val="21"/>
                <w:highlight w:val="none"/>
              </w:rPr>
              <w:t>评标标准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30" w:type="dxa"/>
            <w:vAlign w:val="center"/>
          </w:tcPr>
          <w:p>
            <w:pPr>
              <w:adjustRightInd w:val="0"/>
              <w:spacing w:line="360" w:lineRule="auto"/>
              <w:jc w:val="center"/>
              <w:textAlignment w:val="baseline"/>
              <w:rPr>
                <w:rFonts w:ascii="宋体" w:hAnsi="宋体" w:cs="宋体"/>
                <w:b/>
                <w:color w:val="auto"/>
                <w:szCs w:val="21"/>
                <w:highlight w:val="none"/>
              </w:rPr>
            </w:pPr>
            <w:r>
              <w:rPr>
                <w:rFonts w:hint="eastAsia" w:ascii="宋体" w:hAnsi="宋体" w:cs="宋体"/>
                <w:b/>
                <w:color w:val="auto"/>
                <w:szCs w:val="21"/>
                <w:highlight w:val="none"/>
              </w:rPr>
              <w:t>1</w:t>
            </w:r>
          </w:p>
        </w:tc>
        <w:tc>
          <w:tcPr>
            <w:tcW w:w="1280" w:type="dxa"/>
            <w:vAlign w:val="center"/>
          </w:tcPr>
          <w:p>
            <w:pPr>
              <w:adjustRightInd w:val="0"/>
              <w:spacing w:line="360" w:lineRule="auto"/>
              <w:jc w:val="center"/>
              <w:textAlignment w:val="baseline"/>
              <w:rPr>
                <w:rFonts w:ascii="宋体" w:hAnsi="宋体" w:cs="宋体"/>
                <w:b/>
                <w:color w:val="auto"/>
                <w:szCs w:val="21"/>
                <w:highlight w:val="none"/>
              </w:rPr>
            </w:pPr>
            <w:r>
              <w:rPr>
                <w:rFonts w:hint="eastAsia" w:ascii="宋体" w:hAnsi="宋体" w:cs="宋体"/>
                <w:b/>
                <w:color w:val="auto"/>
                <w:szCs w:val="21"/>
                <w:highlight w:val="none"/>
              </w:rPr>
              <w:t>报价</w:t>
            </w:r>
          </w:p>
        </w:tc>
        <w:tc>
          <w:tcPr>
            <w:tcW w:w="709" w:type="dxa"/>
            <w:vAlign w:val="center"/>
          </w:tcPr>
          <w:p>
            <w:pPr>
              <w:adjustRightInd w:val="0"/>
              <w:spacing w:line="360" w:lineRule="auto"/>
              <w:jc w:val="center"/>
              <w:textAlignment w:val="baseline"/>
              <w:rPr>
                <w:rFonts w:ascii="宋体" w:hAnsi="宋体" w:cs="宋体"/>
                <w:b/>
                <w:color w:val="auto"/>
                <w:szCs w:val="21"/>
                <w:highlight w:val="none"/>
              </w:rPr>
            </w:pPr>
            <w:r>
              <w:rPr>
                <w:rFonts w:hint="eastAsia" w:ascii="宋体" w:hAnsi="宋体" w:cs="宋体"/>
                <w:b/>
                <w:color w:val="auto"/>
                <w:szCs w:val="21"/>
                <w:highlight w:val="none"/>
              </w:rPr>
              <w:t>10分</w:t>
            </w:r>
          </w:p>
        </w:tc>
        <w:tc>
          <w:tcPr>
            <w:tcW w:w="6909" w:type="dxa"/>
            <w:gridSpan w:val="2"/>
            <w:vAlign w:val="center"/>
          </w:tcPr>
          <w:p>
            <w:pPr>
              <w:pStyle w:val="18"/>
              <w:spacing w:line="360" w:lineRule="auto"/>
              <w:rPr>
                <w:rFonts w:hAnsi="宋体" w:cs="Courier New"/>
                <w:b/>
                <w:bCs/>
                <w:color w:val="auto"/>
                <w:kern w:val="2"/>
                <w:sz w:val="21"/>
                <w:highlight w:val="none"/>
              </w:rPr>
            </w:pPr>
            <w:r>
              <w:rPr>
                <w:rFonts w:hint="eastAsia" w:hAnsi="宋体" w:cs="Courier New"/>
                <w:b/>
                <w:bCs/>
                <w:color w:val="auto"/>
                <w:kern w:val="2"/>
                <w:sz w:val="21"/>
                <w:highlight w:val="none"/>
              </w:rPr>
              <w:t>一、政府采购政策</w:t>
            </w:r>
          </w:p>
          <w:p>
            <w:pPr>
              <w:pStyle w:val="18"/>
              <w:spacing w:line="360" w:lineRule="auto"/>
              <w:ind w:firstLine="420" w:firstLineChars="200"/>
              <w:rPr>
                <w:rFonts w:hAnsi="宋体" w:cs="Courier New"/>
                <w:b/>
                <w:bCs/>
                <w:color w:val="auto"/>
                <w:kern w:val="2"/>
                <w:sz w:val="21"/>
                <w:highlight w:val="none"/>
              </w:rPr>
            </w:pPr>
            <w:r>
              <w:rPr>
                <w:rFonts w:hint="eastAsia" w:hAnsi="宋体"/>
                <w:bCs/>
                <w:color w:val="auto"/>
                <w:sz w:val="21"/>
                <w:highlight w:val="none"/>
              </w:rPr>
              <w:t>本项目属于专门面向中小企业采购的项目，不再享受价格扣除优惠政策。</w:t>
            </w:r>
          </w:p>
          <w:p>
            <w:pPr>
              <w:pStyle w:val="18"/>
              <w:spacing w:line="360" w:lineRule="auto"/>
              <w:rPr>
                <w:rFonts w:hAnsi="宋体"/>
                <w:b/>
                <w:color w:val="auto"/>
                <w:sz w:val="21"/>
                <w:highlight w:val="none"/>
              </w:rPr>
            </w:pPr>
            <w:r>
              <w:rPr>
                <w:rFonts w:hint="eastAsia" w:hAnsi="宋体" w:cs="Courier New"/>
                <w:b/>
                <w:bCs/>
                <w:color w:val="auto"/>
                <w:kern w:val="2"/>
                <w:sz w:val="21"/>
                <w:highlight w:val="none"/>
              </w:rPr>
              <w:t>二、</w:t>
            </w:r>
            <w:r>
              <w:rPr>
                <w:rFonts w:hint="eastAsia" w:hAnsi="宋体"/>
                <w:b/>
                <w:color w:val="auto"/>
                <w:sz w:val="21"/>
                <w:highlight w:val="none"/>
              </w:rPr>
              <w:t>报价分（满分10分）</w:t>
            </w:r>
          </w:p>
          <w:p>
            <w:pPr>
              <w:pStyle w:val="18"/>
              <w:spacing w:line="360" w:lineRule="auto"/>
              <w:ind w:firstLine="420" w:firstLineChars="200"/>
              <w:rPr>
                <w:rFonts w:hAnsi="宋体"/>
                <w:bCs/>
                <w:color w:val="auto"/>
                <w:sz w:val="21"/>
                <w:highlight w:val="none"/>
              </w:rPr>
            </w:pPr>
            <w:r>
              <w:rPr>
                <w:rFonts w:hint="eastAsia" w:hAnsi="宋体"/>
                <w:bCs/>
                <w:color w:val="auto"/>
                <w:sz w:val="21"/>
                <w:highlight w:val="none"/>
              </w:rPr>
              <w:t>1、报价分采用低价优先法计算，满足竞争性磋商文件要求的有效供应商最低的最后报价为评标基准价，其报价分为满分。</w:t>
            </w:r>
          </w:p>
          <w:p>
            <w:pPr>
              <w:pStyle w:val="18"/>
              <w:spacing w:line="360" w:lineRule="auto"/>
              <w:ind w:firstLine="420" w:firstLineChars="200"/>
              <w:rPr>
                <w:rFonts w:hAnsi="宋体"/>
                <w:bCs/>
                <w:color w:val="auto"/>
                <w:sz w:val="21"/>
                <w:highlight w:val="none"/>
              </w:rPr>
            </w:pPr>
            <w:r>
              <w:rPr>
                <w:rFonts w:hint="eastAsia" w:hAnsi="宋体"/>
                <w:bCs/>
                <w:color w:val="auto"/>
                <w:sz w:val="21"/>
                <w:highlight w:val="none"/>
              </w:rPr>
              <w:t>2、其他供应商的价格分统一按照下列公式计算：</w:t>
            </w:r>
          </w:p>
          <w:p>
            <w:pPr>
              <w:pStyle w:val="18"/>
              <w:spacing w:line="420" w:lineRule="exact"/>
              <w:rPr>
                <w:rFonts w:hAnsi="宋体" w:cs="宋体"/>
                <w:bCs/>
                <w:color w:val="auto"/>
                <w:kern w:val="2"/>
                <w:sz w:val="21"/>
                <w:highlight w:val="none"/>
              </w:rPr>
            </w:pPr>
            <w:r>
              <w:rPr>
                <w:rFonts w:hint="eastAsia" w:hAnsi="宋体"/>
                <w:bCs/>
                <w:color w:val="auto"/>
                <w:sz w:val="21"/>
                <w:highlight w:val="none"/>
              </w:rPr>
              <w:t>某有效供应商的报价分=（评标基准价／某有效供应商最后报价）×10分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1" w:hRule="atLeast"/>
          <w:jc w:val="center"/>
        </w:trPr>
        <w:tc>
          <w:tcPr>
            <w:tcW w:w="730" w:type="dxa"/>
            <w:vMerge w:val="restart"/>
            <w:vAlign w:val="center"/>
          </w:tcPr>
          <w:p>
            <w:pPr>
              <w:adjustRightInd w:val="0"/>
              <w:spacing w:line="360" w:lineRule="auto"/>
              <w:jc w:val="center"/>
              <w:textAlignment w:val="baseline"/>
              <w:rPr>
                <w:rFonts w:ascii="宋体" w:hAnsi="宋体" w:cs="宋体"/>
                <w:b/>
                <w:color w:val="auto"/>
                <w:szCs w:val="21"/>
                <w:highlight w:val="none"/>
              </w:rPr>
            </w:pPr>
            <w:r>
              <w:rPr>
                <w:rFonts w:hint="eastAsia" w:ascii="宋体" w:hAnsi="宋体" w:cs="宋体"/>
                <w:b/>
                <w:color w:val="auto"/>
                <w:szCs w:val="21"/>
                <w:highlight w:val="none"/>
              </w:rPr>
              <w:t>2</w:t>
            </w:r>
          </w:p>
        </w:tc>
        <w:tc>
          <w:tcPr>
            <w:tcW w:w="1280" w:type="dxa"/>
            <w:vMerge w:val="restart"/>
            <w:vAlign w:val="center"/>
          </w:tcPr>
          <w:p>
            <w:pPr>
              <w:adjustRightInd w:val="0"/>
              <w:spacing w:line="360" w:lineRule="auto"/>
              <w:jc w:val="center"/>
              <w:textAlignment w:val="baseline"/>
              <w:rPr>
                <w:rFonts w:ascii="宋体" w:hAnsi="宋体" w:cs="宋体"/>
                <w:b/>
                <w:color w:val="auto"/>
                <w:szCs w:val="21"/>
                <w:highlight w:val="none"/>
              </w:rPr>
            </w:pPr>
            <w:r>
              <w:rPr>
                <w:rFonts w:hint="eastAsia" w:ascii="宋体" w:hAnsi="宋体" w:cs="宋体"/>
                <w:b/>
                <w:color w:val="auto"/>
                <w:szCs w:val="21"/>
                <w:highlight w:val="none"/>
              </w:rPr>
              <w:t>服务水平</w:t>
            </w:r>
          </w:p>
        </w:tc>
        <w:tc>
          <w:tcPr>
            <w:tcW w:w="709" w:type="dxa"/>
            <w:vMerge w:val="restart"/>
            <w:vAlign w:val="center"/>
          </w:tcPr>
          <w:p>
            <w:pPr>
              <w:adjustRightInd w:val="0"/>
              <w:spacing w:line="360" w:lineRule="auto"/>
              <w:jc w:val="center"/>
              <w:textAlignment w:val="baseline"/>
              <w:rPr>
                <w:rFonts w:ascii="宋体" w:hAnsi="宋体" w:cs="宋体"/>
                <w:b/>
                <w:color w:val="auto"/>
                <w:szCs w:val="21"/>
                <w:highlight w:val="none"/>
              </w:rPr>
            </w:pPr>
            <w:r>
              <w:rPr>
                <w:rFonts w:hint="eastAsia" w:ascii="宋体" w:hAnsi="宋体" w:cs="宋体"/>
                <w:b/>
                <w:color w:val="auto"/>
                <w:szCs w:val="21"/>
                <w:highlight w:val="none"/>
              </w:rPr>
              <w:t>63分</w:t>
            </w:r>
          </w:p>
        </w:tc>
        <w:tc>
          <w:tcPr>
            <w:tcW w:w="1670" w:type="dxa"/>
            <w:vAlign w:val="center"/>
          </w:tcPr>
          <w:p>
            <w:pPr>
              <w:widowControl/>
              <w:spacing w:line="360" w:lineRule="auto"/>
              <w:jc w:val="left"/>
              <w:rPr>
                <w:rFonts w:ascii="宋体" w:hAnsi="宋体" w:cs="宋体"/>
                <w:b/>
                <w:bCs/>
                <w:color w:val="auto"/>
                <w:szCs w:val="21"/>
                <w:highlight w:val="none"/>
              </w:rPr>
            </w:pPr>
            <w:r>
              <w:rPr>
                <w:rFonts w:hint="eastAsia" w:ascii="宋体" w:hAnsi="宋体" w:cs="宋体"/>
                <w:b/>
                <w:bCs/>
                <w:color w:val="auto"/>
                <w:kern w:val="0"/>
                <w:szCs w:val="21"/>
                <w:highlight w:val="none"/>
                <w:lang w:bidi="ar"/>
              </w:rPr>
              <w:t>项目理解及设计方案（满分 15 分）</w:t>
            </w:r>
          </w:p>
          <w:p>
            <w:pPr>
              <w:spacing w:line="360" w:lineRule="auto"/>
              <w:jc w:val="center"/>
              <w:rPr>
                <w:rFonts w:ascii="宋体" w:hAnsi="宋体" w:cs="宋体"/>
                <w:bCs/>
                <w:color w:val="auto"/>
                <w:szCs w:val="21"/>
                <w:highlight w:val="none"/>
              </w:rPr>
            </w:pPr>
          </w:p>
        </w:tc>
        <w:tc>
          <w:tcPr>
            <w:tcW w:w="5239" w:type="dxa"/>
            <w:vAlign w:val="center"/>
          </w:tcPr>
          <w:p>
            <w:pPr>
              <w:widowControl/>
              <w:spacing w:line="360" w:lineRule="auto"/>
              <w:ind w:firstLine="420" w:firstLineChars="200"/>
              <w:jc w:val="left"/>
              <w:rPr>
                <w:rFonts w:hAnsi="宋体" w:cs="宋体"/>
                <w:bCs/>
                <w:color w:val="auto"/>
                <w:highlight w:val="none"/>
              </w:rPr>
            </w:pPr>
            <w:r>
              <w:rPr>
                <w:rFonts w:hint="eastAsia" w:hAnsi="宋体" w:cs="宋体"/>
                <w:bCs/>
                <w:color w:val="auto"/>
                <w:highlight w:val="none"/>
              </w:rPr>
              <w:t>由磋商小组根据供应商提供的项目理解及设计方案确定各供应商所属档次及分值。达不到一档要求或不提供的得0分。</w:t>
            </w:r>
          </w:p>
          <w:p>
            <w:pPr>
              <w:widowControl/>
              <w:spacing w:line="360" w:lineRule="auto"/>
              <w:ind w:firstLine="420" w:firstLineChars="200"/>
              <w:jc w:val="left"/>
              <w:rPr>
                <w:rFonts w:hAnsi="宋体" w:cs="宋体"/>
                <w:bCs/>
                <w:color w:val="auto"/>
                <w:highlight w:val="none"/>
              </w:rPr>
            </w:pPr>
            <w:r>
              <w:rPr>
                <w:rFonts w:hint="eastAsia" w:hAnsi="宋体" w:cs="宋体"/>
                <w:bCs/>
                <w:color w:val="auto"/>
                <w:highlight w:val="none"/>
              </w:rPr>
              <w:t>一档（4分）：供应商提供的方案能根据国家、自治区关于行业建设的标准及依据提供项目需求，建设背景、建设思路、必要性等内容描述简单。</w:t>
            </w:r>
          </w:p>
          <w:p>
            <w:pPr>
              <w:widowControl/>
              <w:spacing w:line="360" w:lineRule="auto"/>
              <w:ind w:firstLine="420" w:firstLineChars="200"/>
              <w:jc w:val="left"/>
              <w:rPr>
                <w:rFonts w:hAnsi="宋体" w:cs="宋体"/>
                <w:bCs/>
                <w:color w:val="auto"/>
                <w:highlight w:val="none"/>
              </w:rPr>
            </w:pPr>
            <w:r>
              <w:rPr>
                <w:rFonts w:hint="eastAsia" w:hAnsi="宋体" w:cs="宋体"/>
                <w:bCs/>
                <w:color w:val="auto"/>
                <w:highlight w:val="none"/>
              </w:rPr>
              <w:t>二档（8分）：在一档的基础上，供应商提供的方案对各个项目建设现状、用户需求、业务功能需求、系统功能及性能等内容描述详实、表达清晰，基本符合项目实际情况，方案描述详实、表达清晰，基本符合项目实际情况；</w:t>
            </w:r>
          </w:p>
          <w:p>
            <w:pPr>
              <w:widowControl/>
              <w:spacing w:line="360" w:lineRule="auto"/>
              <w:ind w:firstLine="420" w:firstLineChars="200"/>
              <w:jc w:val="left"/>
              <w:rPr>
                <w:rFonts w:hAnsi="宋体" w:cs="宋体"/>
                <w:bCs/>
                <w:color w:val="auto"/>
                <w:highlight w:val="none"/>
              </w:rPr>
            </w:pPr>
            <w:r>
              <w:rPr>
                <w:rFonts w:hint="eastAsia" w:hAnsi="宋体" w:cs="宋体"/>
                <w:bCs/>
                <w:color w:val="auto"/>
                <w:highlight w:val="none"/>
              </w:rPr>
              <w:t>三档（12分）：在二档的基础上，供应商提供的方案对项目建设目标、建设内容、立项申报流程与规范等内容描述清楚，符合项目实际需求，具备可行性、可靠性；</w:t>
            </w:r>
          </w:p>
          <w:p>
            <w:pPr>
              <w:widowControl/>
              <w:spacing w:line="360" w:lineRule="auto"/>
              <w:ind w:firstLine="420" w:firstLineChars="200"/>
              <w:jc w:val="left"/>
              <w:rPr>
                <w:rFonts w:ascii="宋体" w:hAnsi="宋体" w:cs="宋体"/>
                <w:bCs/>
                <w:color w:val="auto"/>
                <w:szCs w:val="21"/>
                <w:highlight w:val="none"/>
              </w:rPr>
            </w:pPr>
            <w:r>
              <w:rPr>
                <w:rFonts w:hint="eastAsia" w:hAnsi="宋体" w:cs="宋体"/>
                <w:bCs/>
                <w:color w:val="auto"/>
                <w:highlight w:val="none"/>
              </w:rPr>
              <w:t>四档（15分）：在四档的基础上，供应商提供的方案对项目开展总体框架、技术路线说明等设计，提供项目各个系统等具体建设方案，方案详细、针对性强，并符合项目建设实际情况，方案设计规划合理、描述准确，具备可行性、可靠性、合理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jc w:val="center"/>
        </w:trPr>
        <w:tc>
          <w:tcPr>
            <w:tcW w:w="730" w:type="dxa"/>
            <w:vMerge w:val="continue"/>
            <w:vAlign w:val="center"/>
          </w:tcPr>
          <w:p>
            <w:pPr>
              <w:adjustRightInd w:val="0"/>
              <w:spacing w:line="360" w:lineRule="auto"/>
              <w:jc w:val="center"/>
              <w:textAlignment w:val="baseline"/>
              <w:rPr>
                <w:rFonts w:ascii="宋体" w:hAnsi="宋体" w:cs="宋体"/>
                <w:b/>
                <w:color w:val="auto"/>
                <w:szCs w:val="21"/>
                <w:highlight w:val="none"/>
              </w:rPr>
            </w:pPr>
          </w:p>
        </w:tc>
        <w:tc>
          <w:tcPr>
            <w:tcW w:w="1280" w:type="dxa"/>
            <w:vMerge w:val="continue"/>
            <w:vAlign w:val="center"/>
          </w:tcPr>
          <w:p>
            <w:pPr>
              <w:adjustRightInd w:val="0"/>
              <w:spacing w:line="360" w:lineRule="auto"/>
              <w:jc w:val="center"/>
              <w:textAlignment w:val="baseline"/>
              <w:rPr>
                <w:rFonts w:ascii="宋体" w:hAnsi="宋体" w:cs="宋体"/>
                <w:b/>
                <w:color w:val="auto"/>
                <w:szCs w:val="21"/>
                <w:highlight w:val="none"/>
              </w:rPr>
            </w:pPr>
          </w:p>
        </w:tc>
        <w:tc>
          <w:tcPr>
            <w:tcW w:w="709" w:type="dxa"/>
            <w:vMerge w:val="continue"/>
            <w:vAlign w:val="center"/>
          </w:tcPr>
          <w:p>
            <w:pPr>
              <w:adjustRightInd w:val="0"/>
              <w:spacing w:line="360" w:lineRule="auto"/>
              <w:jc w:val="center"/>
              <w:textAlignment w:val="baseline"/>
              <w:rPr>
                <w:rFonts w:ascii="宋体" w:hAnsi="宋体" w:cs="宋体"/>
                <w:b/>
                <w:color w:val="auto"/>
                <w:szCs w:val="21"/>
                <w:highlight w:val="none"/>
              </w:rPr>
            </w:pPr>
          </w:p>
        </w:tc>
        <w:tc>
          <w:tcPr>
            <w:tcW w:w="1670" w:type="dxa"/>
            <w:vAlign w:val="center"/>
          </w:tcPr>
          <w:p>
            <w:pPr>
              <w:rPr>
                <w:rFonts w:ascii="宋体" w:hAnsi="宋体" w:cs="宋体"/>
                <w:b/>
                <w:bCs/>
                <w:color w:val="auto"/>
                <w:highlight w:val="none"/>
              </w:rPr>
            </w:pPr>
            <w:r>
              <w:rPr>
                <w:rFonts w:hint="eastAsia" w:ascii="宋体" w:hAnsi="宋体" w:cs="宋体"/>
                <w:b/>
                <w:bCs/>
                <w:color w:val="auto"/>
                <w:highlight w:val="none"/>
              </w:rPr>
              <w:t>项目概预算编制方案（满分10分）</w:t>
            </w:r>
          </w:p>
          <w:p>
            <w:pPr>
              <w:spacing w:line="360" w:lineRule="auto"/>
              <w:jc w:val="center"/>
              <w:rPr>
                <w:rFonts w:hAnsi="宋体" w:cs="宋体"/>
                <w:bCs/>
                <w:color w:val="auto"/>
                <w:highlight w:val="none"/>
              </w:rPr>
            </w:pPr>
          </w:p>
        </w:tc>
        <w:tc>
          <w:tcPr>
            <w:tcW w:w="5239" w:type="dxa"/>
            <w:vAlign w:val="center"/>
          </w:tcPr>
          <w:p>
            <w:pPr>
              <w:spacing w:line="360" w:lineRule="auto"/>
              <w:ind w:firstLine="420" w:firstLineChars="200"/>
              <w:rPr>
                <w:color w:val="auto"/>
                <w:highlight w:val="none"/>
              </w:rPr>
            </w:pPr>
            <w:r>
              <w:rPr>
                <w:rFonts w:hint="eastAsia"/>
                <w:color w:val="auto"/>
                <w:highlight w:val="none"/>
              </w:rPr>
              <w:t>由磋商小组根据供应商提供的项目概预算编制方案确定各供应商所属档次及分值。达不到一档要求或不提供的得0分。</w:t>
            </w:r>
          </w:p>
          <w:p>
            <w:pPr>
              <w:tabs>
                <w:tab w:val="left" w:pos="5760"/>
              </w:tabs>
              <w:spacing w:line="360" w:lineRule="auto"/>
              <w:ind w:firstLine="640"/>
              <w:rPr>
                <w:rFonts w:ascii="宋体" w:hAnsi="宋体"/>
                <w:color w:val="auto"/>
                <w:szCs w:val="21"/>
                <w:highlight w:val="none"/>
              </w:rPr>
            </w:pPr>
            <w:r>
              <w:rPr>
                <w:rFonts w:hint="eastAsia" w:ascii="宋体" w:hAnsi="宋体"/>
                <w:color w:val="auto"/>
                <w:szCs w:val="21"/>
                <w:highlight w:val="none"/>
              </w:rPr>
              <w:t xml:space="preserve">一档（2分）: </w:t>
            </w:r>
            <w:r>
              <w:rPr>
                <w:rFonts w:hint="eastAsia" w:hAnsi="宋体" w:cs="宋体"/>
                <w:bCs/>
                <w:color w:val="auto"/>
                <w:highlight w:val="none"/>
              </w:rPr>
              <w:t>供应商</w:t>
            </w:r>
            <w:r>
              <w:rPr>
                <w:rFonts w:hint="eastAsia" w:ascii="宋体" w:hAnsi="宋体"/>
                <w:color w:val="auto"/>
                <w:szCs w:val="21"/>
                <w:highlight w:val="none"/>
              </w:rPr>
              <w:t>提供有项目概预算政策依据、编制方法、编制内容等内容描述简单，符合项目评审及项目建设要求；</w:t>
            </w:r>
          </w:p>
          <w:p>
            <w:pPr>
              <w:tabs>
                <w:tab w:val="left" w:pos="5760"/>
              </w:tabs>
              <w:spacing w:line="360" w:lineRule="auto"/>
              <w:ind w:firstLine="640"/>
              <w:rPr>
                <w:rFonts w:ascii="宋体" w:hAnsi="宋体"/>
                <w:color w:val="auto"/>
                <w:szCs w:val="21"/>
                <w:highlight w:val="none"/>
              </w:rPr>
            </w:pPr>
            <w:r>
              <w:rPr>
                <w:rFonts w:hint="eastAsia" w:ascii="宋体" w:hAnsi="宋体"/>
                <w:color w:val="auto"/>
                <w:szCs w:val="21"/>
                <w:highlight w:val="none"/>
              </w:rPr>
              <w:t>二档（4分）:在一档的基础上，</w:t>
            </w:r>
            <w:r>
              <w:rPr>
                <w:rFonts w:hint="eastAsia" w:hAnsi="宋体" w:cs="宋体"/>
                <w:bCs/>
                <w:color w:val="auto"/>
                <w:highlight w:val="none"/>
              </w:rPr>
              <w:t>供应商</w:t>
            </w:r>
            <w:r>
              <w:rPr>
                <w:rFonts w:hint="eastAsia" w:ascii="宋体" w:hAnsi="宋体"/>
                <w:color w:val="auto"/>
                <w:szCs w:val="21"/>
                <w:highlight w:val="none"/>
              </w:rPr>
              <w:t>提供有项目概预算各项费用构成、概预算使用工具等内容描述清晰、明确，方案符合项目实际需求，完整、可行；</w:t>
            </w:r>
          </w:p>
          <w:p>
            <w:pPr>
              <w:tabs>
                <w:tab w:val="left" w:pos="5760"/>
              </w:tabs>
              <w:spacing w:line="360" w:lineRule="auto"/>
              <w:ind w:firstLine="640"/>
              <w:rPr>
                <w:rFonts w:ascii="宋体" w:hAnsi="宋体"/>
                <w:color w:val="auto"/>
                <w:szCs w:val="21"/>
                <w:highlight w:val="none"/>
              </w:rPr>
            </w:pPr>
            <w:r>
              <w:rPr>
                <w:rFonts w:hint="eastAsia" w:ascii="宋体" w:hAnsi="宋体"/>
                <w:color w:val="auto"/>
                <w:szCs w:val="21"/>
                <w:highlight w:val="none"/>
              </w:rPr>
              <w:t>三档（7分）:在二档的基础上，</w:t>
            </w:r>
            <w:r>
              <w:rPr>
                <w:rFonts w:hint="eastAsia" w:hAnsi="宋体" w:cs="宋体"/>
                <w:bCs/>
                <w:color w:val="auto"/>
                <w:highlight w:val="none"/>
              </w:rPr>
              <w:t>供应商</w:t>
            </w:r>
            <w:r>
              <w:rPr>
                <w:rFonts w:hint="eastAsia" w:ascii="宋体" w:hAnsi="宋体"/>
                <w:color w:val="auto"/>
                <w:szCs w:val="21"/>
                <w:highlight w:val="none"/>
              </w:rPr>
              <w:t>结合项目实际需求，依据相关标准要求编制概预算书框架等内容，可操作性强，各项费用措施齐全；</w:t>
            </w:r>
          </w:p>
          <w:p>
            <w:pPr>
              <w:widowControl/>
              <w:spacing w:line="360" w:lineRule="auto"/>
              <w:ind w:firstLine="420" w:firstLineChars="200"/>
              <w:jc w:val="left"/>
              <w:rPr>
                <w:rFonts w:hAnsi="宋体" w:cs="宋体"/>
                <w:bCs/>
                <w:color w:val="auto"/>
                <w:highlight w:val="none"/>
              </w:rPr>
            </w:pPr>
            <w:r>
              <w:rPr>
                <w:rFonts w:hint="eastAsia" w:ascii="宋体" w:hAnsi="宋体"/>
                <w:color w:val="auto"/>
                <w:szCs w:val="21"/>
                <w:highlight w:val="none"/>
              </w:rPr>
              <w:t>四档（10分）:在三档的基础上，</w:t>
            </w:r>
            <w:r>
              <w:rPr>
                <w:rFonts w:hint="eastAsia" w:hAnsi="宋体" w:cs="宋体"/>
                <w:bCs/>
                <w:color w:val="auto"/>
                <w:highlight w:val="none"/>
              </w:rPr>
              <w:t>供应商</w:t>
            </w:r>
            <w:r>
              <w:rPr>
                <w:rFonts w:hint="eastAsia" w:ascii="宋体" w:hAnsi="宋体"/>
                <w:color w:val="auto"/>
                <w:szCs w:val="21"/>
                <w:highlight w:val="none"/>
              </w:rPr>
              <w:t>结合项目实际需求，依据相关标准要求套用造价定额等，定额内容详细全面、预算针对性强，各项费用措施完整。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0" w:type="dxa"/>
            <w:vMerge w:val="continue"/>
            <w:vAlign w:val="center"/>
          </w:tcPr>
          <w:p>
            <w:pPr>
              <w:adjustRightInd w:val="0"/>
              <w:spacing w:line="360" w:lineRule="auto"/>
              <w:jc w:val="center"/>
              <w:textAlignment w:val="baseline"/>
              <w:rPr>
                <w:rFonts w:ascii="宋体" w:hAnsi="宋体" w:cs="宋体"/>
                <w:b/>
                <w:color w:val="auto"/>
                <w:szCs w:val="21"/>
                <w:highlight w:val="none"/>
              </w:rPr>
            </w:pPr>
          </w:p>
        </w:tc>
        <w:tc>
          <w:tcPr>
            <w:tcW w:w="1280" w:type="dxa"/>
            <w:vMerge w:val="continue"/>
            <w:vAlign w:val="center"/>
          </w:tcPr>
          <w:p>
            <w:pPr>
              <w:adjustRightInd w:val="0"/>
              <w:spacing w:line="360" w:lineRule="auto"/>
              <w:jc w:val="center"/>
              <w:textAlignment w:val="baseline"/>
              <w:rPr>
                <w:rFonts w:ascii="宋体" w:hAnsi="宋体" w:cs="宋体"/>
                <w:b/>
                <w:color w:val="auto"/>
                <w:szCs w:val="21"/>
                <w:highlight w:val="none"/>
              </w:rPr>
            </w:pPr>
          </w:p>
        </w:tc>
        <w:tc>
          <w:tcPr>
            <w:tcW w:w="709" w:type="dxa"/>
            <w:vMerge w:val="continue"/>
            <w:vAlign w:val="center"/>
          </w:tcPr>
          <w:p>
            <w:pPr>
              <w:adjustRightInd w:val="0"/>
              <w:spacing w:line="360" w:lineRule="auto"/>
              <w:jc w:val="center"/>
              <w:textAlignment w:val="baseline"/>
              <w:rPr>
                <w:rFonts w:ascii="宋体" w:hAnsi="宋体" w:cs="宋体"/>
                <w:b/>
                <w:color w:val="auto"/>
                <w:szCs w:val="21"/>
                <w:highlight w:val="none"/>
              </w:rPr>
            </w:pPr>
          </w:p>
        </w:tc>
        <w:tc>
          <w:tcPr>
            <w:tcW w:w="1670" w:type="dxa"/>
            <w:vAlign w:val="center"/>
          </w:tcPr>
          <w:p>
            <w:pPr>
              <w:adjustRightInd w:val="0"/>
              <w:spacing w:line="360" w:lineRule="auto"/>
              <w:textAlignment w:val="baseline"/>
              <w:rPr>
                <w:rFonts w:ascii="宋体" w:hAnsi="宋体" w:cs="宋体"/>
                <w:bCs/>
                <w:color w:val="auto"/>
                <w:szCs w:val="21"/>
                <w:highlight w:val="none"/>
              </w:rPr>
            </w:pPr>
            <w:r>
              <w:rPr>
                <w:rFonts w:hint="eastAsia" w:ascii="宋体" w:hAnsi="宋体" w:cs="宋体"/>
                <w:b/>
                <w:color w:val="auto"/>
                <w:szCs w:val="21"/>
                <w:highlight w:val="none"/>
              </w:rPr>
              <w:t>设计服务保障方案(满分10分）</w:t>
            </w:r>
          </w:p>
        </w:tc>
        <w:tc>
          <w:tcPr>
            <w:tcW w:w="5239" w:type="dxa"/>
            <w:vAlign w:val="center"/>
          </w:tcPr>
          <w:p>
            <w:pPr>
              <w:spacing w:line="360" w:lineRule="auto"/>
              <w:ind w:firstLine="420" w:firstLineChars="200"/>
              <w:rPr>
                <w:color w:val="auto"/>
                <w:highlight w:val="none"/>
              </w:rPr>
            </w:pPr>
            <w:r>
              <w:rPr>
                <w:rFonts w:hint="eastAsia"/>
                <w:color w:val="auto"/>
                <w:highlight w:val="none"/>
              </w:rPr>
              <w:t>由磋商小组根据供应商提供的设计服务保障方案确定各供应商所属档次及分值。达不到一档要求或不提供的得0分。</w:t>
            </w:r>
          </w:p>
          <w:p>
            <w:pPr>
              <w:tabs>
                <w:tab w:val="left" w:pos="5760"/>
              </w:tabs>
              <w:spacing w:line="360" w:lineRule="auto"/>
              <w:ind w:firstLine="640"/>
              <w:rPr>
                <w:rFonts w:ascii="宋体" w:hAnsi="宋体"/>
                <w:color w:val="auto"/>
                <w:szCs w:val="21"/>
                <w:highlight w:val="none"/>
              </w:rPr>
            </w:pPr>
            <w:r>
              <w:rPr>
                <w:rFonts w:hint="eastAsia" w:ascii="宋体" w:hAnsi="宋体"/>
                <w:color w:val="auto"/>
                <w:szCs w:val="21"/>
                <w:highlight w:val="none"/>
              </w:rPr>
              <w:t>一档（4分）：</w:t>
            </w:r>
            <w:r>
              <w:rPr>
                <w:rFonts w:hint="eastAsia" w:hAnsi="宋体" w:cs="宋体"/>
                <w:bCs/>
                <w:color w:val="auto"/>
                <w:highlight w:val="none"/>
              </w:rPr>
              <w:t>供应商</w:t>
            </w:r>
            <w:r>
              <w:rPr>
                <w:rFonts w:hint="eastAsia" w:ascii="宋体" w:hAnsi="宋体"/>
                <w:color w:val="auto"/>
                <w:szCs w:val="21"/>
                <w:highlight w:val="none"/>
              </w:rPr>
              <w:t>提供有服务保障目标、任务等内容描述简单；</w:t>
            </w:r>
          </w:p>
          <w:p>
            <w:pPr>
              <w:tabs>
                <w:tab w:val="left" w:pos="5760"/>
              </w:tabs>
              <w:spacing w:line="360" w:lineRule="auto"/>
              <w:ind w:firstLine="640"/>
              <w:rPr>
                <w:rFonts w:ascii="宋体" w:hAnsi="宋体"/>
                <w:color w:val="auto"/>
                <w:szCs w:val="21"/>
                <w:highlight w:val="none"/>
              </w:rPr>
            </w:pPr>
            <w:r>
              <w:rPr>
                <w:rFonts w:hint="eastAsia" w:ascii="宋体" w:hAnsi="宋体"/>
                <w:color w:val="auto"/>
                <w:szCs w:val="21"/>
                <w:highlight w:val="none"/>
              </w:rPr>
              <w:t>二档（6分）：在一档的基础上，</w:t>
            </w:r>
            <w:r>
              <w:rPr>
                <w:rFonts w:hint="eastAsia" w:hAnsi="宋体" w:cs="宋体"/>
                <w:bCs/>
                <w:color w:val="auto"/>
                <w:highlight w:val="none"/>
              </w:rPr>
              <w:t>供应商</w:t>
            </w:r>
            <w:r>
              <w:rPr>
                <w:rFonts w:hint="eastAsia" w:ascii="宋体" w:hAnsi="宋体"/>
                <w:color w:val="auto"/>
                <w:szCs w:val="21"/>
                <w:highlight w:val="none"/>
              </w:rPr>
              <w:t>提供有项目组织计划、进度计划等内容描述清晰，方案合理、可行、完整；</w:t>
            </w:r>
          </w:p>
          <w:p>
            <w:pPr>
              <w:tabs>
                <w:tab w:val="left" w:pos="5760"/>
              </w:tabs>
              <w:spacing w:line="360" w:lineRule="auto"/>
              <w:ind w:firstLine="640"/>
              <w:rPr>
                <w:rFonts w:ascii="宋体" w:hAnsi="宋体"/>
                <w:color w:val="auto"/>
                <w:szCs w:val="21"/>
                <w:highlight w:val="none"/>
              </w:rPr>
            </w:pPr>
            <w:r>
              <w:rPr>
                <w:rFonts w:hint="eastAsia" w:ascii="宋体" w:hAnsi="宋体"/>
                <w:color w:val="auto"/>
                <w:szCs w:val="21"/>
                <w:highlight w:val="none"/>
              </w:rPr>
              <w:t>三档（8分）：在二档的基础上，</w:t>
            </w:r>
            <w:r>
              <w:rPr>
                <w:rFonts w:hint="eastAsia" w:hAnsi="宋体" w:cs="宋体"/>
                <w:bCs/>
                <w:color w:val="auto"/>
                <w:highlight w:val="none"/>
              </w:rPr>
              <w:t>供应商</w:t>
            </w:r>
            <w:r>
              <w:rPr>
                <w:rFonts w:hint="eastAsia" w:ascii="宋体" w:hAnsi="宋体"/>
                <w:color w:val="auto"/>
                <w:szCs w:val="21"/>
                <w:highlight w:val="none"/>
              </w:rPr>
              <w:t>提供有详细的工程进度保障方法，内容描述详尽、操作性强。</w:t>
            </w:r>
          </w:p>
          <w:p>
            <w:pPr>
              <w:tabs>
                <w:tab w:val="left" w:pos="5760"/>
              </w:tabs>
              <w:spacing w:line="360" w:lineRule="auto"/>
              <w:ind w:firstLine="640"/>
              <w:rPr>
                <w:color w:val="auto"/>
                <w:szCs w:val="21"/>
                <w:highlight w:val="none"/>
              </w:rPr>
            </w:pPr>
            <w:r>
              <w:rPr>
                <w:rFonts w:hint="eastAsia" w:ascii="宋体" w:hAnsi="宋体"/>
                <w:color w:val="auto"/>
                <w:szCs w:val="21"/>
                <w:highlight w:val="none"/>
              </w:rPr>
              <w:t>四档（10分）：在三档的基础上，</w:t>
            </w:r>
            <w:r>
              <w:rPr>
                <w:rFonts w:hint="eastAsia" w:hAnsi="宋体" w:cs="宋体"/>
                <w:bCs/>
                <w:color w:val="auto"/>
                <w:highlight w:val="none"/>
              </w:rPr>
              <w:t>供应商</w:t>
            </w:r>
            <w:r>
              <w:rPr>
                <w:rFonts w:hint="eastAsia" w:ascii="宋体" w:hAnsi="宋体"/>
                <w:color w:val="auto"/>
                <w:szCs w:val="21"/>
                <w:highlight w:val="none"/>
              </w:rPr>
              <w:t>提供有明确的保障措施、管理措施等内容描述详细全面、各项措施合理。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0" w:type="dxa"/>
            <w:vMerge w:val="continue"/>
            <w:vAlign w:val="center"/>
          </w:tcPr>
          <w:p>
            <w:pPr>
              <w:adjustRightInd w:val="0"/>
              <w:spacing w:line="360" w:lineRule="auto"/>
              <w:jc w:val="center"/>
              <w:textAlignment w:val="baseline"/>
              <w:rPr>
                <w:rFonts w:ascii="宋体" w:hAnsi="宋体" w:cs="宋体"/>
                <w:b/>
                <w:color w:val="auto"/>
                <w:szCs w:val="21"/>
                <w:highlight w:val="none"/>
              </w:rPr>
            </w:pPr>
          </w:p>
        </w:tc>
        <w:tc>
          <w:tcPr>
            <w:tcW w:w="1280" w:type="dxa"/>
            <w:vMerge w:val="continue"/>
            <w:vAlign w:val="center"/>
          </w:tcPr>
          <w:p>
            <w:pPr>
              <w:adjustRightInd w:val="0"/>
              <w:spacing w:line="360" w:lineRule="auto"/>
              <w:jc w:val="center"/>
              <w:textAlignment w:val="baseline"/>
              <w:rPr>
                <w:rFonts w:ascii="宋体" w:hAnsi="宋体" w:cs="宋体"/>
                <w:b/>
                <w:color w:val="auto"/>
                <w:szCs w:val="21"/>
                <w:highlight w:val="none"/>
              </w:rPr>
            </w:pPr>
          </w:p>
        </w:tc>
        <w:tc>
          <w:tcPr>
            <w:tcW w:w="709" w:type="dxa"/>
            <w:vMerge w:val="continue"/>
            <w:vAlign w:val="center"/>
          </w:tcPr>
          <w:p>
            <w:pPr>
              <w:adjustRightInd w:val="0"/>
              <w:spacing w:line="360" w:lineRule="auto"/>
              <w:jc w:val="center"/>
              <w:textAlignment w:val="baseline"/>
              <w:rPr>
                <w:rFonts w:ascii="宋体" w:hAnsi="宋体" w:cs="宋体"/>
                <w:b/>
                <w:color w:val="auto"/>
                <w:szCs w:val="21"/>
                <w:highlight w:val="none"/>
              </w:rPr>
            </w:pPr>
          </w:p>
        </w:tc>
        <w:tc>
          <w:tcPr>
            <w:tcW w:w="1670" w:type="dxa"/>
            <w:vAlign w:val="center"/>
          </w:tcPr>
          <w:p>
            <w:pPr>
              <w:adjustRightInd w:val="0"/>
              <w:spacing w:line="360" w:lineRule="auto"/>
              <w:textAlignment w:val="baseline"/>
              <w:rPr>
                <w:rFonts w:ascii="宋体" w:hAnsi="宋体" w:cs="宋体"/>
                <w:b/>
                <w:color w:val="auto"/>
                <w:szCs w:val="21"/>
                <w:highlight w:val="none"/>
              </w:rPr>
            </w:pPr>
            <w:r>
              <w:rPr>
                <w:rFonts w:hint="eastAsia" w:ascii="宋体" w:hAnsi="宋体" w:cs="宋体"/>
                <w:b/>
                <w:color w:val="auto"/>
                <w:szCs w:val="21"/>
                <w:highlight w:val="none"/>
              </w:rPr>
              <w:t>服务质量保障方案（满分10分）</w:t>
            </w:r>
          </w:p>
        </w:tc>
        <w:tc>
          <w:tcPr>
            <w:tcW w:w="5239" w:type="dxa"/>
            <w:vAlign w:val="center"/>
          </w:tcPr>
          <w:p>
            <w:pPr>
              <w:spacing w:line="360" w:lineRule="auto"/>
              <w:ind w:firstLine="420" w:firstLineChars="200"/>
              <w:rPr>
                <w:rFonts w:ascii="宋体" w:hAnsi="宋体"/>
                <w:color w:val="auto"/>
                <w:szCs w:val="21"/>
                <w:highlight w:val="none"/>
              </w:rPr>
            </w:pPr>
            <w:r>
              <w:rPr>
                <w:rFonts w:hint="eastAsia"/>
                <w:color w:val="auto"/>
                <w:highlight w:val="none"/>
              </w:rPr>
              <w:t>由磋商小组根据供应商提供的服务质量保障方案确定各供应商所属档次及分值。达不到一档要求或不提供的得0分。</w:t>
            </w:r>
          </w:p>
          <w:p>
            <w:pPr>
              <w:tabs>
                <w:tab w:val="left" w:pos="5760"/>
              </w:tabs>
              <w:spacing w:line="360" w:lineRule="auto"/>
              <w:ind w:firstLine="640"/>
              <w:rPr>
                <w:rFonts w:ascii="宋体" w:hAnsi="宋体"/>
                <w:color w:val="auto"/>
                <w:szCs w:val="21"/>
                <w:highlight w:val="none"/>
              </w:rPr>
            </w:pPr>
            <w:r>
              <w:rPr>
                <w:rFonts w:hint="eastAsia" w:ascii="宋体" w:hAnsi="宋体"/>
                <w:color w:val="auto"/>
                <w:szCs w:val="21"/>
                <w:highlight w:val="none"/>
              </w:rPr>
              <w:t>一档（2分）</w:t>
            </w:r>
            <w:r>
              <w:rPr>
                <w:rFonts w:hint="eastAsia"/>
                <w:color w:val="auto"/>
                <w:highlight w:val="none"/>
              </w:rPr>
              <w:t>供应商</w:t>
            </w:r>
            <w:r>
              <w:rPr>
                <w:rFonts w:hint="eastAsia" w:ascii="宋体" w:hAnsi="宋体"/>
                <w:color w:val="auto"/>
                <w:szCs w:val="21"/>
                <w:highlight w:val="none"/>
              </w:rPr>
              <w:t>提供的服务质量保障方案及措施能够基本保障项目服务质量，基本符合项目采购及建设要求，方案简单；</w:t>
            </w:r>
          </w:p>
          <w:p>
            <w:pPr>
              <w:tabs>
                <w:tab w:val="left" w:pos="5760"/>
              </w:tabs>
              <w:spacing w:line="360" w:lineRule="auto"/>
              <w:ind w:firstLine="640"/>
              <w:rPr>
                <w:rFonts w:ascii="宋体" w:hAnsi="宋体"/>
                <w:color w:val="auto"/>
                <w:szCs w:val="21"/>
                <w:highlight w:val="none"/>
              </w:rPr>
            </w:pPr>
            <w:r>
              <w:rPr>
                <w:rFonts w:hint="eastAsia" w:ascii="宋体" w:hAnsi="宋体"/>
                <w:color w:val="auto"/>
                <w:szCs w:val="21"/>
                <w:highlight w:val="none"/>
              </w:rPr>
              <w:t>二档（5分）:在一档基础上，</w:t>
            </w:r>
            <w:r>
              <w:rPr>
                <w:rFonts w:hint="eastAsia"/>
                <w:color w:val="auto"/>
                <w:highlight w:val="none"/>
              </w:rPr>
              <w:t>供应商</w:t>
            </w:r>
            <w:r>
              <w:rPr>
                <w:rFonts w:hint="eastAsia" w:ascii="宋体" w:hAnsi="宋体"/>
                <w:color w:val="auto"/>
                <w:szCs w:val="21"/>
                <w:highlight w:val="none"/>
              </w:rPr>
              <w:t>提供的服务质量保障方案及措施有利于保障项目服务质量，比较符合项目采购及建设要求，方案比较详细，合理可行；</w:t>
            </w:r>
          </w:p>
          <w:p>
            <w:pPr>
              <w:tabs>
                <w:tab w:val="left" w:pos="5760"/>
              </w:tabs>
              <w:spacing w:line="360" w:lineRule="auto"/>
              <w:ind w:firstLine="640"/>
              <w:rPr>
                <w:rFonts w:ascii="宋体" w:hAnsi="宋体"/>
                <w:color w:val="auto"/>
                <w:szCs w:val="21"/>
                <w:highlight w:val="none"/>
              </w:rPr>
            </w:pPr>
            <w:r>
              <w:rPr>
                <w:rFonts w:hint="eastAsia" w:ascii="宋体" w:hAnsi="宋体"/>
                <w:color w:val="auto"/>
                <w:szCs w:val="21"/>
                <w:highlight w:val="none"/>
              </w:rPr>
              <w:t>三档（8分）: 在二档基础上，</w:t>
            </w:r>
            <w:r>
              <w:rPr>
                <w:rFonts w:hint="eastAsia"/>
                <w:color w:val="auto"/>
                <w:highlight w:val="none"/>
              </w:rPr>
              <w:t>供应商</w:t>
            </w:r>
            <w:r>
              <w:rPr>
                <w:rFonts w:hint="eastAsia" w:ascii="宋体" w:hAnsi="宋体"/>
                <w:color w:val="auto"/>
                <w:szCs w:val="21"/>
                <w:highlight w:val="none"/>
              </w:rPr>
              <w:t>提供的服务质量保障方案及措施确保项目服务质量，符合项目采购及建设要求，方案详细合理、可行、全面，方案内容及措施较完整；</w:t>
            </w:r>
          </w:p>
          <w:p>
            <w:pPr>
              <w:tabs>
                <w:tab w:val="left" w:pos="5760"/>
              </w:tabs>
              <w:spacing w:line="360" w:lineRule="auto"/>
              <w:ind w:firstLine="640"/>
              <w:rPr>
                <w:rFonts w:ascii="宋体" w:hAnsi="宋体"/>
                <w:color w:val="auto"/>
                <w:szCs w:val="21"/>
                <w:highlight w:val="none"/>
              </w:rPr>
            </w:pPr>
            <w:r>
              <w:rPr>
                <w:rFonts w:hint="eastAsia" w:ascii="宋体" w:hAnsi="宋体"/>
                <w:color w:val="auto"/>
                <w:szCs w:val="21"/>
                <w:highlight w:val="none"/>
              </w:rPr>
              <w:t>四档（10分）: 在三档基础上，</w:t>
            </w:r>
            <w:r>
              <w:rPr>
                <w:rFonts w:hint="eastAsia"/>
                <w:color w:val="auto"/>
                <w:highlight w:val="none"/>
              </w:rPr>
              <w:t>供应商</w:t>
            </w:r>
            <w:r>
              <w:rPr>
                <w:rFonts w:hint="eastAsia" w:ascii="宋体" w:hAnsi="宋体"/>
                <w:color w:val="auto"/>
                <w:szCs w:val="21"/>
                <w:highlight w:val="none"/>
              </w:rPr>
              <w:t>提供的服务质量保障方案及措施明显有利于项目的实施，完全符合项目采购及建设要求，方案详细全面、先进性及可操作性强，各项保障方法及措施合理、可行，针对性强，并能确保项目高质量、高效率完成。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30" w:type="dxa"/>
            <w:vMerge w:val="continue"/>
            <w:vAlign w:val="center"/>
          </w:tcPr>
          <w:p>
            <w:pPr>
              <w:adjustRightInd w:val="0"/>
              <w:spacing w:line="360" w:lineRule="auto"/>
              <w:jc w:val="center"/>
              <w:textAlignment w:val="baseline"/>
              <w:rPr>
                <w:rFonts w:ascii="宋体" w:hAnsi="宋体" w:cs="宋体"/>
                <w:b/>
                <w:color w:val="auto"/>
                <w:szCs w:val="21"/>
                <w:highlight w:val="none"/>
              </w:rPr>
            </w:pPr>
          </w:p>
        </w:tc>
        <w:tc>
          <w:tcPr>
            <w:tcW w:w="1280" w:type="dxa"/>
            <w:vMerge w:val="continue"/>
            <w:vAlign w:val="center"/>
          </w:tcPr>
          <w:p>
            <w:pPr>
              <w:adjustRightInd w:val="0"/>
              <w:spacing w:line="360" w:lineRule="auto"/>
              <w:jc w:val="center"/>
              <w:textAlignment w:val="baseline"/>
              <w:rPr>
                <w:rFonts w:ascii="宋体" w:hAnsi="宋体" w:cs="宋体"/>
                <w:b/>
                <w:color w:val="auto"/>
                <w:szCs w:val="21"/>
                <w:highlight w:val="none"/>
              </w:rPr>
            </w:pPr>
          </w:p>
        </w:tc>
        <w:tc>
          <w:tcPr>
            <w:tcW w:w="709" w:type="dxa"/>
            <w:vMerge w:val="continue"/>
            <w:vAlign w:val="center"/>
          </w:tcPr>
          <w:p>
            <w:pPr>
              <w:adjustRightInd w:val="0"/>
              <w:spacing w:line="360" w:lineRule="auto"/>
              <w:jc w:val="center"/>
              <w:textAlignment w:val="baseline"/>
              <w:rPr>
                <w:rFonts w:ascii="宋体" w:hAnsi="宋体" w:cs="宋体"/>
                <w:b/>
                <w:color w:val="auto"/>
                <w:szCs w:val="21"/>
                <w:highlight w:val="none"/>
              </w:rPr>
            </w:pPr>
          </w:p>
        </w:tc>
        <w:tc>
          <w:tcPr>
            <w:tcW w:w="1670" w:type="dxa"/>
            <w:vAlign w:val="center"/>
          </w:tcPr>
          <w:p>
            <w:pPr>
              <w:rPr>
                <w:rFonts w:ascii="宋体" w:hAnsi="宋体" w:cs="宋体"/>
                <w:b/>
                <w:color w:val="auto"/>
                <w:szCs w:val="21"/>
                <w:highlight w:val="none"/>
              </w:rPr>
            </w:pPr>
            <w:r>
              <w:rPr>
                <w:rFonts w:hint="eastAsia" w:ascii="宋体" w:hAnsi="宋体" w:cs="宋体"/>
                <w:b/>
                <w:bCs/>
                <w:color w:val="auto"/>
                <w:highlight w:val="none"/>
              </w:rPr>
              <w:t>后续服务方案（满分6分）</w:t>
            </w:r>
          </w:p>
        </w:tc>
        <w:tc>
          <w:tcPr>
            <w:tcW w:w="5239" w:type="dxa"/>
          </w:tcPr>
          <w:p>
            <w:pPr>
              <w:widowControl/>
              <w:spacing w:line="360" w:lineRule="auto"/>
              <w:ind w:firstLine="420" w:firstLineChars="200"/>
              <w:jc w:val="left"/>
              <w:rPr>
                <w:color w:val="auto"/>
                <w:szCs w:val="21"/>
                <w:highlight w:val="none"/>
              </w:rPr>
            </w:pPr>
            <w:r>
              <w:rPr>
                <w:rFonts w:hint="eastAsia" w:hAnsi="宋体" w:cs="宋体"/>
                <w:bCs/>
                <w:color w:val="auto"/>
                <w:highlight w:val="none"/>
              </w:rPr>
              <w:t>由磋商小组根据供应商提供的后续服务方案确定各供应商所属档次及分值。达不到一档要求或不提供的得0分。</w:t>
            </w:r>
          </w:p>
          <w:p>
            <w:pPr>
              <w:widowControl/>
              <w:spacing w:line="360" w:lineRule="auto"/>
              <w:ind w:firstLine="420" w:firstLineChars="200"/>
              <w:jc w:val="left"/>
              <w:rPr>
                <w:color w:val="auto"/>
                <w:szCs w:val="21"/>
                <w:highlight w:val="none"/>
              </w:rPr>
            </w:pPr>
            <w:r>
              <w:rPr>
                <w:rFonts w:hint="eastAsia"/>
                <w:color w:val="auto"/>
                <w:szCs w:val="21"/>
                <w:highlight w:val="none"/>
              </w:rPr>
              <w:t>一档（2分）：后续服务方案提供有后续服务承诺、服务内容等内容描述简单、符合项目采购需求；</w:t>
            </w:r>
          </w:p>
          <w:p>
            <w:pPr>
              <w:widowControl/>
              <w:spacing w:line="360" w:lineRule="auto"/>
              <w:ind w:firstLine="420" w:firstLineChars="200"/>
              <w:jc w:val="left"/>
              <w:rPr>
                <w:color w:val="auto"/>
                <w:szCs w:val="21"/>
                <w:highlight w:val="none"/>
              </w:rPr>
            </w:pPr>
            <w:r>
              <w:rPr>
                <w:rFonts w:hint="eastAsia"/>
                <w:color w:val="auto"/>
                <w:szCs w:val="21"/>
                <w:highlight w:val="none"/>
              </w:rPr>
              <w:t>二档（4分）：在一档的基础上，后续服务方案提供有服务流程、响应与处置等内容描述清晰、完整、合理，具备可行性；</w:t>
            </w:r>
          </w:p>
          <w:p>
            <w:pPr>
              <w:widowControl/>
              <w:spacing w:line="360" w:lineRule="auto"/>
              <w:ind w:firstLine="420" w:firstLineChars="200"/>
              <w:jc w:val="left"/>
              <w:rPr>
                <w:color w:val="auto"/>
                <w:szCs w:val="21"/>
                <w:highlight w:val="none"/>
              </w:rPr>
            </w:pPr>
            <w:r>
              <w:rPr>
                <w:rFonts w:hint="eastAsia"/>
                <w:color w:val="auto"/>
                <w:szCs w:val="21"/>
                <w:highlight w:val="none"/>
              </w:rPr>
              <w:t>三档（6分）：在二档的基础上，后续服务方案提供有本地化服务、应急预案、投诉、回访等内容详细全面、针对性强、可操作性强，各项保障方法及措施齐全。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30" w:type="dxa"/>
            <w:vMerge w:val="continue"/>
            <w:vAlign w:val="center"/>
          </w:tcPr>
          <w:p>
            <w:pPr>
              <w:rPr>
                <w:color w:val="auto"/>
                <w:highlight w:val="none"/>
              </w:rPr>
            </w:pPr>
          </w:p>
        </w:tc>
        <w:tc>
          <w:tcPr>
            <w:tcW w:w="1280" w:type="dxa"/>
            <w:vMerge w:val="continue"/>
            <w:vAlign w:val="center"/>
          </w:tcPr>
          <w:p>
            <w:pPr>
              <w:rPr>
                <w:color w:val="auto"/>
                <w:highlight w:val="none"/>
              </w:rPr>
            </w:pPr>
          </w:p>
        </w:tc>
        <w:tc>
          <w:tcPr>
            <w:tcW w:w="709" w:type="dxa"/>
            <w:vMerge w:val="continue"/>
            <w:vAlign w:val="center"/>
          </w:tcPr>
          <w:p>
            <w:pPr>
              <w:rPr>
                <w:color w:val="auto"/>
                <w:highlight w:val="none"/>
              </w:rPr>
            </w:pPr>
          </w:p>
        </w:tc>
        <w:tc>
          <w:tcPr>
            <w:tcW w:w="1670" w:type="dxa"/>
            <w:vAlign w:val="center"/>
          </w:tcPr>
          <w:p>
            <w:pPr>
              <w:jc w:val="center"/>
              <w:rPr>
                <w:color w:val="auto"/>
                <w:highlight w:val="none"/>
              </w:rPr>
            </w:pPr>
            <w:r>
              <w:rPr>
                <w:rFonts w:hint="eastAsia" w:ascii="宋体" w:hAnsi="宋体" w:cs="宋体"/>
                <w:b/>
                <w:bCs/>
                <w:color w:val="auto"/>
                <w:highlight w:val="none"/>
              </w:rPr>
              <w:t>拟投入人员（满分12分）</w:t>
            </w:r>
          </w:p>
        </w:tc>
        <w:tc>
          <w:tcPr>
            <w:tcW w:w="5239" w:type="dxa"/>
          </w:tcPr>
          <w:p>
            <w:pPr>
              <w:tabs>
                <w:tab w:val="left" w:pos="5760"/>
              </w:tabs>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（1）供应商拟投入本项目的项目经理除持有咨询工程师（投资）证书外，持有：</w:t>
            </w:r>
          </w:p>
          <w:p>
            <w:pPr>
              <w:tabs>
                <w:tab w:val="left" w:pos="5760"/>
              </w:tabs>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①系统分析师证书的得1分；</w:t>
            </w:r>
          </w:p>
          <w:p>
            <w:pPr>
              <w:tabs>
                <w:tab w:val="left" w:pos="5760"/>
              </w:tabs>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②通信工程相关专业或计算机相关专业工程师或以上职称证书的得1分；</w:t>
            </w:r>
          </w:p>
          <w:p>
            <w:pPr>
              <w:tabs>
                <w:tab w:val="left" w:pos="5760"/>
              </w:tabs>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③信息安全工程师证书的得1分；</w:t>
            </w:r>
          </w:p>
          <w:p>
            <w:pPr>
              <w:tabs>
                <w:tab w:val="left" w:pos="5760"/>
              </w:tabs>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④数据库系统工程师（或数据库管理工程师）证书的得1分。</w:t>
            </w:r>
          </w:p>
          <w:p>
            <w:pPr>
              <w:tabs>
                <w:tab w:val="left" w:pos="5760"/>
              </w:tabs>
              <w:spacing w:line="360" w:lineRule="auto"/>
              <w:ind w:firstLine="422" w:firstLineChars="200"/>
              <w:jc w:val="left"/>
              <w:rPr>
                <w:rFonts w:ascii="宋体" w:hAnsi="宋体" w:cs="宋体"/>
                <w:b/>
                <w:bCs/>
                <w:color w:val="auto"/>
                <w:szCs w:val="21"/>
                <w:highlight w:val="none"/>
              </w:rPr>
            </w:pPr>
            <w:r>
              <w:rPr>
                <w:rFonts w:hint="eastAsia" w:ascii="宋体" w:hAnsi="宋体" w:cs="宋体"/>
                <w:b/>
                <w:bCs/>
                <w:color w:val="auto"/>
                <w:szCs w:val="21"/>
                <w:highlight w:val="none"/>
              </w:rPr>
              <w:t>本项满分3分。</w:t>
            </w:r>
          </w:p>
          <w:p>
            <w:pPr>
              <w:tabs>
                <w:tab w:val="left" w:pos="5760"/>
              </w:tabs>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（2）供应商拟投入本项目的技术负责人除持有通信工程相关专业或计算机相关专业工程师或以上职称证书外，持有：</w:t>
            </w:r>
          </w:p>
          <w:p>
            <w:pPr>
              <w:tabs>
                <w:tab w:val="left" w:pos="5760"/>
              </w:tabs>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①网络规划设计师（或网络技术工程师）证书的得1分；</w:t>
            </w:r>
          </w:p>
          <w:p>
            <w:pPr>
              <w:tabs>
                <w:tab w:val="left" w:pos="5760"/>
              </w:tabs>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②软件设计师证书的得1分；</w:t>
            </w:r>
          </w:p>
          <w:p>
            <w:pPr>
              <w:tabs>
                <w:tab w:val="left" w:pos="5760"/>
              </w:tabs>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③数据库系统工程师（或数据库管理工程师）证书的得1分；</w:t>
            </w:r>
          </w:p>
          <w:p>
            <w:pPr>
              <w:tabs>
                <w:tab w:val="left" w:pos="5760"/>
              </w:tabs>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④程序员证书的得1分；</w:t>
            </w:r>
          </w:p>
          <w:p>
            <w:pPr>
              <w:tabs>
                <w:tab w:val="left" w:pos="5760"/>
              </w:tabs>
              <w:spacing w:line="360" w:lineRule="auto"/>
              <w:ind w:firstLine="422" w:firstLineChars="200"/>
              <w:jc w:val="left"/>
              <w:rPr>
                <w:rFonts w:ascii="宋体" w:hAnsi="宋体" w:cs="宋体"/>
                <w:b/>
                <w:bCs/>
                <w:color w:val="auto"/>
                <w:szCs w:val="21"/>
                <w:highlight w:val="none"/>
              </w:rPr>
            </w:pPr>
            <w:r>
              <w:rPr>
                <w:rFonts w:hint="eastAsia" w:ascii="宋体" w:hAnsi="宋体" w:cs="宋体"/>
                <w:b/>
                <w:bCs/>
                <w:color w:val="auto"/>
                <w:szCs w:val="21"/>
                <w:highlight w:val="none"/>
              </w:rPr>
              <w:t>本项满分3分。</w:t>
            </w:r>
          </w:p>
          <w:p>
            <w:pPr>
              <w:tabs>
                <w:tab w:val="left" w:pos="5760"/>
              </w:tabs>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（3）供应商拟投入本项目的团队设计人员（不包括项目经理、技术负责人）除持有通信工程相关专业或计算机相关专业工程师或以上职称证书外，持有：</w:t>
            </w:r>
          </w:p>
          <w:p>
            <w:pPr>
              <w:tabs>
                <w:tab w:val="left" w:pos="5760"/>
              </w:tabs>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①信息系统项目管理师（或IT服务项目经理）证书的得1分；</w:t>
            </w:r>
          </w:p>
          <w:p>
            <w:pPr>
              <w:tabs>
                <w:tab w:val="left" w:pos="5760"/>
              </w:tabs>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②网络规划设计师（或网络技术工程师）证书（高级）的得1分；</w:t>
            </w:r>
          </w:p>
          <w:p>
            <w:pPr>
              <w:tabs>
                <w:tab w:val="left" w:pos="5760"/>
              </w:tabs>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③系统架构设计师证书（高级）的得1分；</w:t>
            </w:r>
          </w:p>
          <w:p>
            <w:pPr>
              <w:tabs>
                <w:tab w:val="left" w:pos="5760"/>
              </w:tabs>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④数据库系统工程师（或数据库管理工程师）证书的得1分；</w:t>
            </w:r>
          </w:p>
          <w:p>
            <w:pPr>
              <w:tabs>
                <w:tab w:val="left" w:pos="5760"/>
              </w:tabs>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⑤软件工程造价师证书的得1分；</w:t>
            </w:r>
          </w:p>
          <w:p>
            <w:pPr>
              <w:tabs>
                <w:tab w:val="left" w:pos="5760"/>
              </w:tabs>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⑥网络信息安全工程师（或注册信息安全专业人员（CISE））证书的得1分。</w:t>
            </w:r>
          </w:p>
          <w:p>
            <w:pPr>
              <w:ind w:firstLine="422" w:firstLineChars="200"/>
              <w:jc w:val="left"/>
              <w:rPr>
                <w:rFonts w:hint="eastAsia" w:ascii="宋体" w:hAnsi="宋体" w:cs="宋体"/>
                <w:b/>
                <w:bCs/>
                <w:color w:val="auto"/>
                <w:szCs w:val="21"/>
                <w:highlight w:val="none"/>
              </w:rPr>
            </w:pPr>
            <w:r>
              <w:rPr>
                <w:rFonts w:hint="eastAsia" w:ascii="宋体" w:hAnsi="宋体" w:cs="宋体"/>
                <w:b/>
                <w:bCs/>
                <w:color w:val="auto"/>
                <w:szCs w:val="21"/>
                <w:highlight w:val="none"/>
              </w:rPr>
              <w:t>同一人证书最多得2分，本项满分6分。</w:t>
            </w:r>
          </w:p>
          <w:p>
            <w:pPr>
              <w:spacing w:line="360" w:lineRule="auto"/>
              <w:ind w:firstLine="420" w:firstLineChars="200"/>
              <w:jc w:val="both"/>
              <w:rPr>
                <w:rFonts w:hint="eastAsia" w:ascii="宋体" w:hAnsi="宋体" w:cs="宋体"/>
                <w:b/>
                <w:bCs/>
                <w:color w:val="auto"/>
                <w:szCs w:val="21"/>
                <w:highlight w:val="none"/>
              </w:rPr>
            </w:pPr>
            <w:r>
              <w:rPr>
                <w:rFonts w:hint="eastAsia" w:ascii="宋体" w:hAnsi="宋体" w:cs="宋体"/>
                <w:b w:val="0"/>
                <w:bCs w:val="0"/>
                <w:color w:val="auto"/>
                <w:szCs w:val="21"/>
                <w:highlight w:val="none"/>
              </w:rPr>
              <w:t>注：以上所有人员须提供证明材料及2024年1月至</w:t>
            </w:r>
            <w:r>
              <w:rPr>
                <w:rFonts w:hint="eastAsia" w:ascii="宋体" w:hAnsi="宋体" w:cs="宋体"/>
                <w:b w:val="0"/>
                <w:bCs w:val="0"/>
                <w:color w:val="auto"/>
                <w:szCs w:val="21"/>
                <w:highlight w:val="none"/>
                <w:lang w:eastAsia="zh-CN"/>
              </w:rPr>
              <w:t>2024年8月</w:t>
            </w:r>
            <w:r>
              <w:rPr>
                <w:rFonts w:hint="eastAsia" w:ascii="宋体" w:hAnsi="宋体" w:cs="宋体"/>
                <w:b w:val="0"/>
                <w:bCs w:val="0"/>
                <w:color w:val="auto"/>
                <w:szCs w:val="21"/>
                <w:highlight w:val="none"/>
              </w:rPr>
              <w:t>内连续3个月供应商为其缴纳社保的证明并加盖供应商公章，不按要求提供资料的不得分。（新成立的公司或新入职的人员提供公司成立日之后次月起或入职到公司之日后次月起到响应文件首次递交截止前一个月的参保缴纳凭证复印件，退休聘用人员提供聘用合同）。以上人员须提供相应证明材料复印件加盖公章，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730" w:type="dxa"/>
            <w:vAlign w:val="center"/>
          </w:tcPr>
          <w:p>
            <w:pPr>
              <w:adjustRightInd w:val="0"/>
              <w:spacing w:line="360" w:lineRule="auto"/>
              <w:jc w:val="center"/>
              <w:textAlignment w:val="baseline"/>
              <w:rPr>
                <w:rFonts w:ascii="宋体" w:hAnsi="宋体" w:cs="宋体"/>
                <w:b/>
                <w:color w:val="auto"/>
                <w:szCs w:val="21"/>
                <w:highlight w:val="none"/>
              </w:rPr>
            </w:pPr>
            <w:r>
              <w:rPr>
                <w:rFonts w:hint="eastAsia" w:ascii="宋体" w:hAnsi="宋体" w:cs="宋体"/>
                <w:b/>
                <w:color w:val="auto"/>
                <w:szCs w:val="21"/>
                <w:highlight w:val="none"/>
              </w:rPr>
              <w:t>3</w:t>
            </w:r>
          </w:p>
        </w:tc>
        <w:tc>
          <w:tcPr>
            <w:tcW w:w="1280" w:type="dxa"/>
            <w:vAlign w:val="center"/>
          </w:tcPr>
          <w:p>
            <w:pPr>
              <w:adjustRightInd w:val="0"/>
              <w:spacing w:line="360" w:lineRule="auto"/>
              <w:jc w:val="center"/>
              <w:textAlignment w:val="baseline"/>
              <w:rPr>
                <w:rFonts w:ascii="宋体" w:hAnsi="宋体" w:cs="宋体"/>
                <w:b/>
                <w:color w:val="auto"/>
                <w:szCs w:val="21"/>
                <w:highlight w:val="none"/>
              </w:rPr>
            </w:pPr>
            <w:r>
              <w:rPr>
                <w:rFonts w:hint="eastAsia" w:ascii="宋体" w:hAnsi="宋体" w:cs="宋体"/>
                <w:b/>
                <w:color w:val="auto"/>
                <w:szCs w:val="21"/>
                <w:highlight w:val="none"/>
              </w:rPr>
              <w:t>商务分</w:t>
            </w:r>
          </w:p>
        </w:tc>
        <w:tc>
          <w:tcPr>
            <w:tcW w:w="709" w:type="dxa"/>
            <w:vAlign w:val="center"/>
          </w:tcPr>
          <w:p>
            <w:pPr>
              <w:adjustRightInd w:val="0"/>
              <w:spacing w:line="360" w:lineRule="auto"/>
              <w:jc w:val="center"/>
              <w:textAlignment w:val="baseline"/>
              <w:rPr>
                <w:rFonts w:ascii="宋体" w:hAnsi="宋体" w:cs="宋体"/>
                <w:b/>
                <w:color w:val="auto"/>
                <w:szCs w:val="21"/>
                <w:highlight w:val="none"/>
              </w:rPr>
            </w:pPr>
            <w:r>
              <w:rPr>
                <w:rFonts w:hint="eastAsia" w:ascii="宋体" w:hAnsi="宋体" w:cs="宋体"/>
                <w:b/>
                <w:color w:val="auto"/>
                <w:kern w:val="0"/>
                <w:szCs w:val="21"/>
                <w:highlight w:val="none"/>
              </w:rPr>
              <w:t>27分</w:t>
            </w:r>
          </w:p>
        </w:tc>
        <w:tc>
          <w:tcPr>
            <w:tcW w:w="6909" w:type="dxa"/>
            <w:gridSpan w:val="2"/>
            <w:vAlign w:val="center"/>
          </w:tcPr>
          <w:p>
            <w:pPr>
              <w:tabs>
                <w:tab w:val="left" w:pos="5760"/>
              </w:tabs>
              <w:spacing w:line="360" w:lineRule="auto"/>
              <w:ind w:firstLine="640"/>
              <w:rPr>
                <w:rFonts w:ascii="宋体" w:hAnsi="宋体"/>
                <w:color w:val="auto"/>
                <w:szCs w:val="21"/>
                <w:highlight w:val="none"/>
              </w:rPr>
            </w:pPr>
            <w:r>
              <w:rPr>
                <w:rFonts w:hint="eastAsia" w:ascii="宋体" w:hAnsi="宋体"/>
                <w:color w:val="auto"/>
                <w:szCs w:val="21"/>
                <w:highlight w:val="none"/>
              </w:rPr>
              <w:t>（1）供应商通</w:t>
            </w:r>
            <w:r>
              <w:rPr>
                <w:rFonts w:hint="eastAsia" w:ascii="宋体" w:hAnsi="宋体"/>
                <w:b w:val="0"/>
                <w:bCs w:val="0"/>
                <w:color w:val="auto"/>
                <w:szCs w:val="21"/>
                <w:highlight w:val="none"/>
              </w:rPr>
              <w:t>过ISO9001质量管理体系认证</w:t>
            </w:r>
            <w:r>
              <w:rPr>
                <w:rFonts w:hint="eastAsia" w:ascii="宋体" w:hAnsi="宋体"/>
                <w:color w:val="auto"/>
                <w:szCs w:val="21"/>
                <w:highlight w:val="none"/>
              </w:rPr>
              <w:t>，且认证范围包括计算机软件系统类、智能化系统类、信息系统类、网络安全工程类、信息安全工程类、计算机信息系统集成类、造价服务类等内容的，符合1个认证范围的得0.5分，</w:t>
            </w:r>
            <w:r>
              <w:rPr>
                <w:rFonts w:hint="eastAsia" w:ascii="宋体" w:hAnsi="宋体"/>
                <w:b/>
                <w:bCs/>
                <w:color w:val="auto"/>
                <w:szCs w:val="21"/>
                <w:highlight w:val="none"/>
              </w:rPr>
              <w:t>满分3分。</w:t>
            </w:r>
            <w:r>
              <w:rPr>
                <w:rFonts w:hint="eastAsia" w:ascii="宋体" w:hAnsi="宋体"/>
                <w:color w:val="auto"/>
                <w:szCs w:val="21"/>
                <w:highlight w:val="none"/>
              </w:rPr>
              <w:t>（响应文件中提供证书复印件）</w:t>
            </w:r>
          </w:p>
          <w:p>
            <w:pPr>
              <w:tabs>
                <w:tab w:val="left" w:pos="5760"/>
              </w:tabs>
              <w:spacing w:line="360" w:lineRule="auto"/>
              <w:ind w:firstLine="640"/>
              <w:rPr>
                <w:rFonts w:ascii="宋体" w:hAnsi="宋体"/>
                <w:color w:val="auto"/>
                <w:szCs w:val="21"/>
                <w:highlight w:val="none"/>
              </w:rPr>
            </w:pPr>
            <w:r>
              <w:rPr>
                <w:rFonts w:hint="eastAsia" w:ascii="宋体" w:hAnsi="宋体"/>
                <w:color w:val="auto"/>
                <w:szCs w:val="21"/>
                <w:highlight w:val="none"/>
              </w:rPr>
              <w:t>（2）供应商通过ISO14001环境管理体系认证，且认证范围包括计算机软件系统类、智能化系统类、信息系统类、网络安全工程类、信息安全工程类、计算机信息系统集成类、造价服务类内容的，符合1个认证范围的得0.</w:t>
            </w:r>
            <w:r>
              <w:rPr>
                <w:rFonts w:hint="eastAsia" w:ascii="宋体" w:hAnsi="宋体"/>
                <w:color w:val="auto"/>
                <w:szCs w:val="21"/>
                <w:highlight w:val="none"/>
                <w:lang w:val="en-US" w:eastAsia="zh-CN"/>
              </w:rPr>
              <w:t>5</w:t>
            </w:r>
            <w:r>
              <w:rPr>
                <w:rFonts w:hint="eastAsia" w:ascii="宋体" w:hAnsi="宋体"/>
                <w:color w:val="auto"/>
                <w:szCs w:val="21"/>
                <w:highlight w:val="none"/>
              </w:rPr>
              <w:t>分，</w:t>
            </w:r>
            <w:r>
              <w:rPr>
                <w:rFonts w:hint="eastAsia" w:ascii="宋体" w:hAnsi="宋体"/>
                <w:b/>
                <w:bCs/>
                <w:color w:val="auto"/>
                <w:szCs w:val="21"/>
                <w:highlight w:val="none"/>
              </w:rPr>
              <w:t>满分3分。</w:t>
            </w:r>
            <w:r>
              <w:rPr>
                <w:rFonts w:hint="eastAsia" w:ascii="宋体" w:hAnsi="宋体"/>
                <w:color w:val="auto"/>
                <w:szCs w:val="21"/>
                <w:highlight w:val="none"/>
              </w:rPr>
              <w:t>（响应文件中提供证书复印件）</w:t>
            </w:r>
          </w:p>
          <w:p>
            <w:pPr>
              <w:tabs>
                <w:tab w:val="left" w:pos="5760"/>
              </w:tabs>
              <w:spacing w:line="360" w:lineRule="auto"/>
              <w:ind w:firstLine="640"/>
              <w:rPr>
                <w:rFonts w:ascii="宋体" w:hAnsi="宋体"/>
                <w:color w:val="auto"/>
                <w:szCs w:val="21"/>
                <w:highlight w:val="none"/>
              </w:rPr>
            </w:pPr>
            <w:r>
              <w:rPr>
                <w:rFonts w:hint="eastAsia" w:ascii="宋体" w:hAnsi="宋体"/>
                <w:color w:val="auto"/>
                <w:szCs w:val="21"/>
                <w:highlight w:val="none"/>
              </w:rPr>
              <w:t>（3）供应商通过ISO45001职业健康安全管理体系认证，且认证范围包括计算机软件系统类、智能化系统类、信息系统类、网络安全工程类、信息安全工程类、计算机信息系统集成类、造价服务类内容的，符合1个认证范围的得0.</w:t>
            </w:r>
            <w:r>
              <w:rPr>
                <w:rFonts w:hint="eastAsia" w:ascii="宋体" w:hAnsi="宋体"/>
                <w:color w:val="auto"/>
                <w:szCs w:val="21"/>
                <w:highlight w:val="none"/>
                <w:lang w:val="en-US" w:eastAsia="zh-CN"/>
              </w:rPr>
              <w:t>5</w:t>
            </w:r>
            <w:r>
              <w:rPr>
                <w:rFonts w:hint="eastAsia" w:ascii="宋体" w:hAnsi="宋体"/>
                <w:color w:val="auto"/>
                <w:szCs w:val="21"/>
                <w:highlight w:val="none"/>
              </w:rPr>
              <w:t>分，</w:t>
            </w:r>
            <w:r>
              <w:rPr>
                <w:rFonts w:hint="eastAsia" w:ascii="宋体" w:hAnsi="宋体"/>
                <w:b/>
                <w:bCs/>
                <w:color w:val="auto"/>
                <w:szCs w:val="21"/>
                <w:highlight w:val="none"/>
              </w:rPr>
              <w:t>满分3分。</w:t>
            </w:r>
            <w:r>
              <w:rPr>
                <w:rFonts w:hint="eastAsia" w:ascii="宋体" w:hAnsi="宋体"/>
                <w:color w:val="auto"/>
                <w:szCs w:val="21"/>
                <w:highlight w:val="none"/>
              </w:rPr>
              <w:t>（响应文件中提供证书复印件）</w:t>
            </w:r>
          </w:p>
          <w:p>
            <w:pPr>
              <w:tabs>
                <w:tab w:val="left" w:pos="5760"/>
              </w:tabs>
              <w:spacing w:line="360" w:lineRule="auto"/>
              <w:ind w:firstLine="640"/>
              <w:rPr>
                <w:rFonts w:ascii="宋体" w:hAnsi="宋体"/>
                <w:color w:val="auto"/>
                <w:szCs w:val="21"/>
                <w:highlight w:val="none"/>
              </w:rPr>
            </w:pPr>
            <w:r>
              <w:rPr>
                <w:rFonts w:hint="eastAsia" w:ascii="宋体" w:hAnsi="宋体"/>
                <w:color w:val="auto"/>
                <w:szCs w:val="21"/>
                <w:highlight w:val="none"/>
              </w:rPr>
              <w:t>（4）供应商通过ISO/IEC27001信息安全管理体系认证，且认证范围包括计算机软件系统类、智能化系统类、信息系统类、网络安全工程类、信息安全工程类、</w:t>
            </w:r>
            <w:r>
              <w:rPr>
                <w:rFonts w:hint="eastAsia" w:ascii="宋体" w:hAnsi="宋体"/>
                <w:color w:val="auto"/>
                <w:szCs w:val="21"/>
                <w:highlight w:val="none"/>
                <w:lang w:val="en-US" w:eastAsia="zh-CN"/>
              </w:rPr>
              <w:t>大数据系统</w:t>
            </w:r>
            <w:r>
              <w:rPr>
                <w:rFonts w:hint="eastAsia" w:ascii="宋体" w:hAnsi="宋体"/>
                <w:color w:val="auto"/>
                <w:szCs w:val="21"/>
                <w:highlight w:val="none"/>
              </w:rPr>
              <w:t>类、</w:t>
            </w:r>
            <w:r>
              <w:rPr>
                <w:rFonts w:hint="eastAsia" w:ascii="宋体" w:hAnsi="宋体"/>
                <w:color w:val="auto"/>
                <w:szCs w:val="21"/>
                <w:highlight w:val="none"/>
                <w:lang w:val="en-US" w:eastAsia="zh-CN"/>
              </w:rPr>
              <w:t>信息工程</w:t>
            </w:r>
            <w:r>
              <w:rPr>
                <w:rFonts w:hint="eastAsia" w:ascii="宋体" w:hAnsi="宋体"/>
                <w:color w:val="auto"/>
                <w:szCs w:val="21"/>
                <w:highlight w:val="none"/>
              </w:rPr>
              <w:t>类内容的，符合1个认证范围的得0.</w:t>
            </w:r>
            <w:r>
              <w:rPr>
                <w:rFonts w:hint="eastAsia" w:ascii="宋体" w:hAnsi="宋体"/>
                <w:color w:val="auto"/>
                <w:szCs w:val="21"/>
                <w:highlight w:val="none"/>
                <w:lang w:val="en-US" w:eastAsia="zh-CN"/>
              </w:rPr>
              <w:t>5</w:t>
            </w:r>
            <w:r>
              <w:rPr>
                <w:rFonts w:hint="eastAsia" w:ascii="宋体" w:hAnsi="宋体"/>
                <w:color w:val="auto"/>
                <w:szCs w:val="21"/>
                <w:highlight w:val="none"/>
              </w:rPr>
              <w:t>分，</w:t>
            </w:r>
            <w:r>
              <w:rPr>
                <w:rFonts w:hint="eastAsia" w:ascii="宋体" w:hAnsi="宋体"/>
                <w:b/>
                <w:bCs/>
                <w:color w:val="auto"/>
                <w:szCs w:val="21"/>
                <w:highlight w:val="none"/>
              </w:rPr>
              <w:t>满分3分。</w:t>
            </w:r>
            <w:r>
              <w:rPr>
                <w:rFonts w:hint="eastAsia" w:ascii="宋体" w:hAnsi="宋体"/>
                <w:color w:val="auto"/>
                <w:szCs w:val="21"/>
                <w:highlight w:val="none"/>
              </w:rPr>
              <w:t>（响应文件中提供证书复印件）</w:t>
            </w:r>
          </w:p>
          <w:p>
            <w:pPr>
              <w:tabs>
                <w:tab w:val="left" w:pos="5760"/>
              </w:tabs>
              <w:spacing w:line="360" w:lineRule="auto"/>
              <w:ind w:firstLine="640"/>
              <w:rPr>
                <w:rFonts w:ascii="宋体" w:hAnsi="宋体"/>
                <w:color w:val="auto"/>
                <w:szCs w:val="21"/>
                <w:highlight w:val="none"/>
              </w:rPr>
            </w:pPr>
            <w:r>
              <w:rPr>
                <w:rFonts w:hint="eastAsia" w:ascii="宋体" w:hAnsi="宋体"/>
                <w:color w:val="auto"/>
                <w:szCs w:val="21"/>
                <w:highlight w:val="none"/>
              </w:rPr>
              <w:t>（5）供应商通过ISO/IEC20000信息技术服务管理体系认证，且证书认证范围包括信息系统咨询类、规划服务类、信息技术咨询</w:t>
            </w:r>
            <w:r>
              <w:rPr>
                <w:rFonts w:hint="eastAsia"/>
                <w:color w:val="auto"/>
                <w:highlight w:val="none"/>
              </w:rPr>
              <w:t>服务</w:t>
            </w:r>
            <w:r>
              <w:rPr>
                <w:rFonts w:hint="eastAsia" w:ascii="宋体" w:hAnsi="宋体"/>
                <w:color w:val="auto"/>
                <w:szCs w:val="21"/>
                <w:highlight w:val="none"/>
              </w:rPr>
              <w:t>类等内容的，具有1个认证范围的得1分，</w:t>
            </w:r>
            <w:r>
              <w:rPr>
                <w:rFonts w:hint="eastAsia" w:ascii="宋体" w:hAnsi="宋体"/>
                <w:b/>
                <w:bCs/>
                <w:color w:val="auto"/>
                <w:szCs w:val="21"/>
                <w:highlight w:val="none"/>
              </w:rPr>
              <w:t>满分</w:t>
            </w:r>
            <w:r>
              <w:rPr>
                <w:rFonts w:hint="eastAsia" w:ascii="宋体" w:hAnsi="宋体"/>
                <w:b/>
                <w:bCs/>
                <w:color w:val="auto"/>
                <w:szCs w:val="21"/>
                <w:highlight w:val="none"/>
                <w:lang w:val="en-US" w:eastAsia="zh-CN"/>
              </w:rPr>
              <w:t>2</w:t>
            </w:r>
            <w:r>
              <w:rPr>
                <w:rFonts w:hint="eastAsia" w:ascii="宋体" w:hAnsi="宋体"/>
                <w:b/>
                <w:bCs/>
                <w:color w:val="auto"/>
                <w:szCs w:val="21"/>
                <w:highlight w:val="none"/>
              </w:rPr>
              <w:t>分。</w:t>
            </w:r>
            <w:r>
              <w:rPr>
                <w:rFonts w:hint="eastAsia" w:ascii="宋体" w:hAnsi="宋体"/>
                <w:color w:val="auto"/>
                <w:szCs w:val="21"/>
                <w:highlight w:val="none"/>
              </w:rPr>
              <w:t>（响应文件中提供证书复印件）</w:t>
            </w:r>
          </w:p>
          <w:p>
            <w:pPr>
              <w:tabs>
                <w:tab w:val="left" w:pos="5760"/>
              </w:tabs>
              <w:spacing w:line="360" w:lineRule="auto"/>
              <w:ind w:firstLine="640"/>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6</w:t>
            </w:r>
            <w:r>
              <w:rPr>
                <w:rFonts w:hint="eastAsia" w:ascii="宋体" w:hAnsi="宋体"/>
                <w:color w:val="auto"/>
                <w:szCs w:val="21"/>
                <w:highlight w:val="none"/>
              </w:rPr>
              <w:t>）供应商通过GB/T35770合规管理体系认证，且认证范围包括计算机软件系统类、智能化系统类、信息系统类、网络安全工程类、信息安全工程类、</w:t>
            </w:r>
            <w:r>
              <w:rPr>
                <w:rFonts w:hint="eastAsia" w:ascii="宋体" w:hAnsi="宋体"/>
                <w:color w:val="auto"/>
                <w:szCs w:val="21"/>
                <w:highlight w:val="none"/>
                <w:lang w:val="en-US" w:eastAsia="zh-CN"/>
              </w:rPr>
              <w:t>大数据系统</w:t>
            </w:r>
            <w:r>
              <w:rPr>
                <w:rFonts w:hint="eastAsia" w:ascii="宋体" w:hAnsi="宋体"/>
                <w:color w:val="auto"/>
                <w:szCs w:val="21"/>
                <w:highlight w:val="none"/>
              </w:rPr>
              <w:t>类、</w:t>
            </w:r>
            <w:r>
              <w:rPr>
                <w:rFonts w:hint="eastAsia" w:ascii="宋体" w:hAnsi="宋体"/>
                <w:color w:val="auto"/>
                <w:szCs w:val="21"/>
                <w:highlight w:val="none"/>
                <w:lang w:val="en-US" w:eastAsia="zh-CN"/>
              </w:rPr>
              <w:t>信息工程</w:t>
            </w:r>
            <w:r>
              <w:rPr>
                <w:rFonts w:hint="eastAsia" w:ascii="宋体" w:hAnsi="宋体"/>
                <w:color w:val="auto"/>
                <w:szCs w:val="21"/>
                <w:highlight w:val="none"/>
              </w:rPr>
              <w:t>类内容的，符合1个认证范围的得0.</w:t>
            </w:r>
            <w:r>
              <w:rPr>
                <w:rFonts w:hint="eastAsia" w:ascii="宋体" w:hAnsi="宋体"/>
                <w:color w:val="auto"/>
                <w:szCs w:val="21"/>
                <w:highlight w:val="none"/>
                <w:lang w:val="en-US" w:eastAsia="zh-CN"/>
              </w:rPr>
              <w:t>5</w:t>
            </w:r>
            <w:r>
              <w:rPr>
                <w:rFonts w:hint="eastAsia" w:ascii="宋体" w:hAnsi="宋体"/>
                <w:color w:val="auto"/>
                <w:szCs w:val="21"/>
                <w:highlight w:val="none"/>
              </w:rPr>
              <w:t>分，</w:t>
            </w:r>
            <w:r>
              <w:rPr>
                <w:rFonts w:hint="eastAsia" w:ascii="宋体" w:hAnsi="宋体"/>
                <w:b/>
                <w:bCs/>
                <w:color w:val="auto"/>
                <w:szCs w:val="21"/>
                <w:highlight w:val="none"/>
              </w:rPr>
              <w:t>满分3分。</w:t>
            </w:r>
            <w:r>
              <w:rPr>
                <w:rFonts w:hint="eastAsia" w:ascii="宋体" w:hAnsi="宋体"/>
                <w:color w:val="auto"/>
                <w:szCs w:val="21"/>
                <w:highlight w:val="none"/>
              </w:rPr>
              <w:t>（响应文件中提供证书复印件）</w:t>
            </w:r>
          </w:p>
          <w:p>
            <w:pPr>
              <w:tabs>
                <w:tab w:val="left" w:pos="5760"/>
              </w:tabs>
              <w:spacing w:line="360" w:lineRule="auto"/>
              <w:ind w:firstLine="640"/>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7</w:t>
            </w:r>
            <w:r>
              <w:rPr>
                <w:rFonts w:hint="eastAsia" w:ascii="宋体" w:hAnsi="宋体"/>
                <w:color w:val="auto"/>
                <w:szCs w:val="21"/>
                <w:highlight w:val="none"/>
              </w:rPr>
              <w:t>）供应商通过GB/T27922-2011售后服务认证，且认证范围包括计算机软件系统类、智能化系统类、信息系统类、网络安全工程类、信息安全工程类、</w:t>
            </w:r>
            <w:r>
              <w:rPr>
                <w:rFonts w:hint="eastAsia" w:ascii="宋体" w:hAnsi="宋体"/>
                <w:color w:val="auto"/>
                <w:szCs w:val="21"/>
                <w:highlight w:val="none"/>
                <w:lang w:val="en-US" w:eastAsia="zh-CN"/>
              </w:rPr>
              <w:t>大数据系统</w:t>
            </w:r>
            <w:r>
              <w:rPr>
                <w:rFonts w:hint="eastAsia" w:ascii="宋体" w:hAnsi="宋体"/>
                <w:color w:val="auto"/>
                <w:szCs w:val="21"/>
                <w:highlight w:val="none"/>
              </w:rPr>
              <w:t>类、</w:t>
            </w:r>
            <w:r>
              <w:rPr>
                <w:rFonts w:hint="eastAsia" w:ascii="宋体" w:hAnsi="宋体"/>
                <w:color w:val="auto"/>
                <w:szCs w:val="21"/>
                <w:highlight w:val="none"/>
                <w:lang w:val="en-US" w:eastAsia="zh-CN"/>
              </w:rPr>
              <w:t>信息工程</w:t>
            </w:r>
            <w:r>
              <w:rPr>
                <w:rFonts w:hint="eastAsia" w:ascii="宋体" w:hAnsi="宋体"/>
                <w:color w:val="auto"/>
                <w:szCs w:val="21"/>
                <w:highlight w:val="none"/>
              </w:rPr>
              <w:t>类内容的，符合1个认证范围的得0.</w:t>
            </w:r>
            <w:r>
              <w:rPr>
                <w:rFonts w:hint="eastAsia" w:ascii="宋体" w:hAnsi="宋体"/>
                <w:color w:val="auto"/>
                <w:szCs w:val="21"/>
                <w:highlight w:val="none"/>
                <w:lang w:val="en-US" w:eastAsia="zh-CN"/>
              </w:rPr>
              <w:t>5</w:t>
            </w:r>
            <w:r>
              <w:rPr>
                <w:rFonts w:hint="eastAsia" w:ascii="宋体" w:hAnsi="宋体"/>
                <w:color w:val="auto"/>
                <w:szCs w:val="21"/>
                <w:highlight w:val="none"/>
              </w:rPr>
              <w:t>分，</w:t>
            </w:r>
            <w:r>
              <w:rPr>
                <w:rFonts w:hint="eastAsia" w:ascii="宋体" w:hAnsi="宋体"/>
                <w:b/>
                <w:bCs/>
                <w:color w:val="auto"/>
                <w:szCs w:val="21"/>
                <w:highlight w:val="none"/>
              </w:rPr>
              <w:t>满分3分。</w:t>
            </w:r>
            <w:r>
              <w:rPr>
                <w:rFonts w:hint="eastAsia" w:ascii="宋体" w:hAnsi="宋体"/>
                <w:color w:val="auto"/>
                <w:szCs w:val="21"/>
                <w:highlight w:val="none"/>
              </w:rPr>
              <w:t>（响应文件中提供证书复印件）</w:t>
            </w:r>
          </w:p>
          <w:p>
            <w:pPr>
              <w:tabs>
                <w:tab w:val="left" w:pos="5760"/>
              </w:tabs>
              <w:spacing w:line="360" w:lineRule="auto"/>
              <w:ind w:firstLine="640"/>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8</w:t>
            </w:r>
            <w:r>
              <w:rPr>
                <w:rFonts w:hint="eastAsia" w:ascii="宋体" w:hAnsi="宋体"/>
                <w:color w:val="auto"/>
                <w:szCs w:val="21"/>
                <w:highlight w:val="none"/>
              </w:rPr>
              <w:t>）供应商通过GB/T36463.1-2018信息技术服务咨询设计第1部分:通用要求评估，具有ITSS信息技术服务咨询设计标准符合性证书的得</w:t>
            </w:r>
            <w:r>
              <w:rPr>
                <w:rFonts w:hint="eastAsia" w:ascii="宋体" w:hAnsi="宋体"/>
                <w:color w:val="auto"/>
                <w:szCs w:val="21"/>
                <w:highlight w:val="none"/>
                <w:lang w:val="en-US" w:eastAsia="zh-CN"/>
              </w:rPr>
              <w:t>2</w:t>
            </w:r>
            <w:r>
              <w:rPr>
                <w:rFonts w:hint="eastAsia" w:ascii="宋体" w:hAnsi="宋体"/>
                <w:color w:val="auto"/>
                <w:szCs w:val="21"/>
                <w:highlight w:val="none"/>
              </w:rPr>
              <w:t>分，</w:t>
            </w:r>
            <w:r>
              <w:rPr>
                <w:rFonts w:hint="eastAsia" w:ascii="宋体" w:hAnsi="宋体"/>
                <w:b/>
                <w:bCs/>
                <w:color w:val="auto"/>
                <w:szCs w:val="21"/>
                <w:highlight w:val="none"/>
              </w:rPr>
              <w:t>满分2分。</w:t>
            </w:r>
          </w:p>
          <w:p>
            <w:pPr>
              <w:tabs>
                <w:tab w:val="left" w:pos="5760"/>
              </w:tabs>
              <w:spacing w:line="360" w:lineRule="auto"/>
              <w:ind w:firstLine="640"/>
              <w:rPr>
                <w:color w:val="auto"/>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9</w:t>
            </w:r>
            <w:r>
              <w:rPr>
                <w:rFonts w:hint="eastAsia" w:ascii="宋体" w:hAnsi="宋体"/>
                <w:color w:val="auto"/>
                <w:szCs w:val="21"/>
                <w:highlight w:val="none"/>
              </w:rPr>
              <w:t>）</w:t>
            </w:r>
            <w:r>
              <w:rPr>
                <w:rFonts w:hint="eastAsia" w:hAnsi="宋体" w:cs="宋体"/>
                <w:color w:val="auto"/>
                <w:highlight w:val="none"/>
              </w:rPr>
              <w:t>供应商自2021年1月1日以来具有咨询、设计项目的业绩，每个</w:t>
            </w:r>
            <w:r>
              <w:rPr>
                <w:rFonts w:hint="eastAsia" w:hAnsi="宋体" w:cs="宋体"/>
                <w:color w:val="auto"/>
                <w:highlight w:val="none"/>
                <w:lang w:val="en-US" w:eastAsia="zh-CN"/>
              </w:rPr>
              <w:t>1</w:t>
            </w:r>
            <w:r>
              <w:rPr>
                <w:rFonts w:hint="eastAsia" w:hAnsi="宋体" w:cs="宋体"/>
                <w:color w:val="auto"/>
                <w:highlight w:val="none"/>
              </w:rPr>
              <w:t>分，</w:t>
            </w:r>
            <w:r>
              <w:rPr>
                <w:rFonts w:hint="eastAsia" w:hAnsi="宋体" w:cs="宋体"/>
                <w:b/>
                <w:bCs/>
                <w:color w:val="auto"/>
                <w:highlight w:val="none"/>
              </w:rPr>
              <w:t>满分</w:t>
            </w:r>
            <w:r>
              <w:rPr>
                <w:rFonts w:hint="eastAsia" w:hAnsi="宋体" w:cs="宋体"/>
                <w:b/>
                <w:bCs/>
                <w:color w:val="auto"/>
                <w:highlight w:val="none"/>
                <w:lang w:val="en-US" w:eastAsia="zh-CN"/>
              </w:rPr>
              <w:t>5</w:t>
            </w:r>
            <w:r>
              <w:rPr>
                <w:rFonts w:hint="eastAsia" w:ascii="宋体" w:hAnsi="宋体"/>
                <w:b/>
                <w:bCs/>
                <w:color w:val="auto"/>
                <w:szCs w:val="21"/>
                <w:highlight w:val="none"/>
              </w:rPr>
              <w:t>分。</w:t>
            </w:r>
            <w:r>
              <w:rPr>
                <w:rFonts w:hint="eastAsia" w:hAnsi="宋体" w:cs="宋体"/>
                <w:color w:val="auto"/>
                <w:highlight w:val="none"/>
              </w:rPr>
              <w:t>（提供中标通知书或合同复印件并加盖公章）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28" w:type="dxa"/>
            <w:gridSpan w:val="5"/>
            <w:vAlign w:val="center"/>
          </w:tcPr>
          <w:p>
            <w:pPr>
              <w:pStyle w:val="18"/>
              <w:spacing w:line="360" w:lineRule="auto"/>
              <w:rPr>
                <w:rFonts w:hAnsi="宋体" w:cs="宋体"/>
                <w:bCs/>
                <w:color w:val="auto"/>
                <w:kern w:val="2"/>
                <w:sz w:val="21"/>
                <w:highlight w:val="none"/>
              </w:rPr>
            </w:pPr>
            <w:r>
              <w:rPr>
                <w:rFonts w:hint="eastAsia" w:hAnsi="宋体" w:cs="宋体"/>
                <w:b/>
                <w:bCs/>
                <w:color w:val="auto"/>
                <w:kern w:val="2"/>
                <w:sz w:val="21"/>
                <w:highlight w:val="none"/>
              </w:rPr>
              <w:t>总得分=1+2+3。</w:t>
            </w:r>
          </w:p>
        </w:tc>
      </w:tr>
    </w:tbl>
    <w:p>
      <w:pPr>
        <w:rPr>
          <w:rFonts w:hint="eastAsia" w:ascii="宋体" w:hAnsi="宋体" w:cs="宋体"/>
          <w:b/>
          <w:color w:val="auto"/>
          <w:szCs w:val="21"/>
          <w:highlight w:val="none"/>
          <w:lang w:eastAsia="zh-CN"/>
        </w:rPr>
      </w:pPr>
    </w:p>
    <w:p>
      <w:pPr>
        <w:rPr>
          <w:rFonts w:hint="eastAsia" w:ascii="宋体" w:hAnsi="宋体" w:cs="宋体"/>
          <w:b/>
          <w:color w:val="auto"/>
          <w:szCs w:val="21"/>
          <w:highlight w:val="none"/>
          <w:lang w:eastAsia="zh-CN"/>
        </w:rPr>
      </w:pPr>
    </w:p>
    <w:p>
      <w:pPr>
        <w:rPr>
          <w:rFonts w:hint="eastAsia" w:ascii="宋体" w:hAnsi="宋体" w:cs="宋体"/>
          <w:bCs/>
          <w:color w:val="auto"/>
          <w:szCs w:val="21"/>
          <w:highlight w:val="none"/>
        </w:rPr>
      </w:pPr>
    </w:p>
    <w:p>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分标3：</w:t>
      </w:r>
    </w:p>
    <w:tbl>
      <w:tblPr>
        <w:tblStyle w:val="30"/>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1280"/>
        <w:gridCol w:w="709"/>
        <w:gridCol w:w="1670"/>
        <w:gridCol w:w="52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730" w:type="dxa"/>
            <w:vAlign w:val="center"/>
          </w:tcPr>
          <w:p>
            <w:pPr>
              <w:adjustRightInd w:val="0"/>
              <w:spacing w:line="410" w:lineRule="exact"/>
              <w:jc w:val="center"/>
              <w:textAlignment w:val="baseline"/>
              <w:rPr>
                <w:rFonts w:ascii="宋体" w:hAnsi="宋体" w:cs="宋体"/>
                <w:b/>
                <w:color w:val="auto"/>
                <w:szCs w:val="21"/>
                <w:highlight w:val="none"/>
              </w:rPr>
            </w:pPr>
            <w:r>
              <w:rPr>
                <w:rFonts w:hint="eastAsia" w:ascii="宋体" w:hAnsi="宋体" w:cs="宋体"/>
                <w:b/>
                <w:color w:val="auto"/>
                <w:szCs w:val="21"/>
                <w:highlight w:val="none"/>
              </w:rPr>
              <w:t>序号</w:t>
            </w:r>
          </w:p>
        </w:tc>
        <w:tc>
          <w:tcPr>
            <w:tcW w:w="1280" w:type="dxa"/>
            <w:vAlign w:val="center"/>
          </w:tcPr>
          <w:p>
            <w:pPr>
              <w:adjustRightInd w:val="0"/>
              <w:spacing w:line="410" w:lineRule="exact"/>
              <w:jc w:val="center"/>
              <w:textAlignment w:val="baseline"/>
              <w:rPr>
                <w:rFonts w:ascii="宋体" w:hAnsi="宋体" w:cs="宋体"/>
                <w:color w:val="auto"/>
                <w:szCs w:val="21"/>
                <w:highlight w:val="none"/>
              </w:rPr>
            </w:pPr>
            <w:r>
              <w:rPr>
                <w:rFonts w:hint="eastAsia" w:ascii="宋体" w:hAnsi="宋体" w:cs="宋体"/>
                <w:b/>
                <w:color w:val="auto"/>
                <w:szCs w:val="21"/>
                <w:highlight w:val="none"/>
              </w:rPr>
              <w:t>评审因素</w:t>
            </w:r>
          </w:p>
        </w:tc>
        <w:tc>
          <w:tcPr>
            <w:tcW w:w="709" w:type="dxa"/>
            <w:vAlign w:val="center"/>
          </w:tcPr>
          <w:p>
            <w:pPr>
              <w:adjustRightInd w:val="0"/>
              <w:spacing w:line="410" w:lineRule="exact"/>
              <w:jc w:val="center"/>
              <w:textAlignment w:val="baseline"/>
              <w:rPr>
                <w:rFonts w:ascii="宋体" w:hAnsi="宋体" w:cs="宋体"/>
                <w:b/>
                <w:color w:val="auto"/>
                <w:szCs w:val="21"/>
                <w:highlight w:val="none"/>
              </w:rPr>
            </w:pPr>
            <w:r>
              <w:rPr>
                <w:rFonts w:hint="eastAsia" w:ascii="宋体" w:hAnsi="宋体" w:cs="宋体"/>
                <w:b/>
                <w:color w:val="auto"/>
                <w:szCs w:val="21"/>
                <w:highlight w:val="none"/>
              </w:rPr>
              <w:t>分值</w:t>
            </w:r>
          </w:p>
        </w:tc>
        <w:tc>
          <w:tcPr>
            <w:tcW w:w="6909" w:type="dxa"/>
            <w:gridSpan w:val="2"/>
            <w:vAlign w:val="center"/>
          </w:tcPr>
          <w:p>
            <w:pPr>
              <w:adjustRightInd w:val="0"/>
              <w:spacing w:line="410" w:lineRule="exact"/>
              <w:jc w:val="center"/>
              <w:textAlignment w:val="baseline"/>
              <w:rPr>
                <w:rFonts w:ascii="宋体" w:hAnsi="宋体" w:cs="宋体"/>
                <w:b/>
                <w:color w:val="auto"/>
                <w:szCs w:val="21"/>
                <w:highlight w:val="none"/>
              </w:rPr>
            </w:pPr>
            <w:r>
              <w:rPr>
                <w:rFonts w:hint="eastAsia" w:ascii="宋体" w:hAnsi="宋体" w:cs="宋体"/>
                <w:b/>
                <w:color w:val="auto"/>
                <w:szCs w:val="21"/>
                <w:highlight w:val="none"/>
              </w:rPr>
              <w:t>评标标准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30" w:type="dxa"/>
            <w:vAlign w:val="center"/>
          </w:tcPr>
          <w:p>
            <w:pPr>
              <w:adjustRightInd w:val="0"/>
              <w:spacing w:line="360" w:lineRule="auto"/>
              <w:jc w:val="center"/>
              <w:textAlignment w:val="baseline"/>
              <w:rPr>
                <w:rFonts w:ascii="宋体" w:hAnsi="宋体" w:cs="宋体"/>
                <w:b/>
                <w:color w:val="auto"/>
                <w:szCs w:val="21"/>
                <w:highlight w:val="none"/>
              </w:rPr>
            </w:pPr>
            <w:r>
              <w:rPr>
                <w:rFonts w:hint="eastAsia" w:ascii="宋体" w:hAnsi="宋体" w:cs="宋体"/>
                <w:b/>
                <w:color w:val="auto"/>
                <w:szCs w:val="21"/>
                <w:highlight w:val="none"/>
              </w:rPr>
              <w:t>1</w:t>
            </w:r>
          </w:p>
        </w:tc>
        <w:tc>
          <w:tcPr>
            <w:tcW w:w="1280" w:type="dxa"/>
            <w:vAlign w:val="center"/>
          </w:tcPr>
          <w:p>
            <w:pPr>
              <w:adjustRightInd w:val="0"/>
              <w:spacing w:line="360" w:lineRule="auto"/>
              <w:jc w:val="center"/>
              <w:textAlignment w:val="baseline"/>
              <w:rPr>
                <w:rFonts w:ascii="宋体" w:hAnsi="宋体" w:cs="宋体"/>
                <w:b/>
                <w:color w:val="auto"/>
                <w:szCs w:val="21"/>
                <w:highlight w:val="none"/>
              </w:rPr>
            </w:pPr>
            <w:r>
              <w:rPr>
                <w:rFonts w:hint="eastAsia" w:ascii="宋体" w:hAnsi="宋体" w:cs="宋体"/>
                <w:b/>
                <w:color w:val="auto"/>
                <w:szCs w:val="21"/>
                <w:highlight w:val="none"/>
              </w:rPr>
              <w:t>报价</w:t>
            </w:r>
          </w:p>
        </w:tc>
        <w:tc>
          <w:tcPr>
            <w:tcW w:w="709" w:type="dxa"/>
            <w:vAlign w:val="center"/>
          </w:tcPr>
          <w:p>
            <w:pPr>
              <w:adjustRightInd w:val="0"/>
              <w:spacing w:line="360" w:lineRule="auto"/>
              <w:jc w:val="center"/>
              <w:textAlignment w:val="baseline"/>
              <w:rPr>
                <w:rFonts w:ascii="宋体" w:hAnsi="宋体" w:cs="宋体"/>
                <w:b/>
                <w:color w:val="auto"/>
                <w:szCs w:val="21"/>
                <w:highlight w:val="none"/>
              </w:rPr>
            </w:pPr>
            <w:r>
              <w:rPr>
                <w:rFonts w:hint="eastAsia" w:ascii="宋体" w:hAnsi="宋体" w:cs="宋体"/>
                <w:b/>
                <w:color w:val="auto"/>
                <w:szCs w:val="21"/>
                <w:highlight w:val="none"/>
              </w:rPr>
              <w:t>10分</w:t>
            </w:r>
          </w:p>
        </w:tc>
        <w:tc>
          <w:tcPr>
            <w:tcW w:w="6909" w:type="dxa"/>
            <w:gridSpan w:val="2"/>
            <w:vAlign w:val="center"/>
          </w:tcPr>
          <w:p>
            <w:pPr>
              <w:pStyle w:val="18"/>
              <w:spacing w:line="360" w:lineRule="auto"/>
              <w:rPr>
                <w:rFonts w:hAnsi="宋体" w:cs="宋体"/>
                <w:b/>
                <w:bCs/>
                <w:color w:val="auto"/>
                <w:kern w:val="2"/>
                <w:sz w:val="21"/>
                <w:highlight w:val="none"/>
              </w:rPr>
            </w:pPr>
            <w:r>
              <w:rPr>
                <w:rFonts w:hint="eastAsia" w:hAnsi="宋体" w:cs="宋体"/>
                <w:b/>
                <w:bCs/>
                <w:color w:val="auto"/>
                <w:kern w:val="2"/>
                <w:sz w:val="21"/>
                <w:highlight w:val="none"/>
              </w:rPr>
              <w:t>一、政府采购政策扣除</w:t>
            </w:r>
          </w:p>
          <w:p>
            <w:pPr>
              <w:pStyle w:val="18"/>
              <w:spacing w:line="420" w:lineRule="exact"/>
              <w:ind w:firstLine="420" w:firstLineChars="200"/>
              <w:rPr>
                <w:rFonts w:hAnsi="宋体" w:cs="宋体"/>
                <w:bCs/>
                <w:color w:val="auto"/>
                <w:sz w:val="21"/>
                <w:highlight w:val="none"/>
              </w:rPr>
            </w:pPr>
            <w:r>
              <w:rPr>
                <w:rFonts w:hint="eastAsia" w:hAnsi="宋体" w:cs="宋体"/>
                <w:bCs/>
                <w:color w:val="auto"/>
                <w:sz w:val="21"/>
                <w:highlight w:val="none"/>
              </w:rPr>
              <w:t>1、根据《政府采购促进中小企业发展管理办法》（财库〔2020〕46号）和《广西壮族自治区财政厅关于持续优化政府采购营商环境推动高质量发展的通知》（桂财采〔2024〕55号）的规定，供应商属于《政府采购促进中小企业发展管理办法》规定的小微企业的，对磋商报价给予10%的扣除，用扣除后的价格参加评审；大中型企业与小微企业组成联合体或者大中型企业向一家或者多家小微企业分包，且联合协议或者分包意向协议约定小微企业的合同份额占到合同总金额30%以上的，对联合体或者大中型企业的报价给予4%的扣除，用扣除后的价格参加评审。符合上述规定对报价给予扣除的，扣除后的价格为评标价，即评标价=最后报价×（1 - 扣除比例）；不符合上述给予扣除情形的，评标价=最后报价。</w:t>
            </w:r>
          </w:p>
          <w:p>
            <w:pPr>
              <w:pStyle w:val="18"/>
              <w:spacing w:line="420" w:lineRule="exact"/>
              <w:ind w:firstLine="420" w:firstLineChars="200"/>
              <w:rPr>
                <w:rFonts w:hAnsi="宋体" w:cs="宋体"/>
                <w:bCs/>
                <w:color w:val="auto"/>
                <w:sz w:val="21"/>
                <w:highlight w:val="none"/>
              </w:rPr>
            </w:pPr>
            <w:r>
              <w:rPr>
                <w:rFonts w:hint="eastAsia" w:hAnsi="宋体" w:cs="宋体"/>
                <w:bCs/>
                <w:color w:val="auto"/>
                <w:sz w:val="21"/>
                <w:highlight w:val="none"/>
              </w:rPr>
              <w:t>2、</w:t>
            </w:r>
            <w:r>
              <w:rPr>
                <w:rFonts w:hint="eastAsia" w:hAnsi="宋体" w:cs="宋体"/>
                <w:color w:val="auto"/>
                <w:sz w:val="21"/>
                <w:highlight w:val="none"/>
              </w:rPr>
              <w:t>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不重复享受政策。</w:t>
            </w:r>
          </w:p>
          <w:p>
            <w:pPr>
              <w:pStyle w:val="18"/>
              <w:spacing w:line="420" w:lineRule="exact"/>
              <w:ind w:firstLine="420" w:firstLineChars="200"/>
              <w:outlineLvl w:val="0"/>
              <w:rPr>
                <w:rFonts w:hAnsi="宋体" w:cs="宋体"/>
                <w:color w:val="auto"/>
                <w:sz w:val="21"/>
                <w:highlight w:val="none"/>
              </w:rPr>
            </w:pPr>
            <w:r>
              <w:rPr>
                <w:rFonts w:hint="eastAsia" w:hAnsi="宋体" w:cs="宋体"/>
                <w:bCs/>
                <w:color w:val="auto"/>
                <w:sz w:val="21"/>
                <w:highlight w:val="none"/>
              </w:rPr>
              <w:t>3、</w:t>
            </w:r>
            <w:r>
              <w:rPr>
                <w:rFonts w:hint="eastAsia" w:hAnsi="宋体" w:cs="宋体"/>
                <w:color w:val="auto"/>
                <w:sz w:val="21"/>
                <w:highlight w:val="none"/>
              </w:rPr>
              <w:t>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pPr>
              <w:pStyle w:val="18"/>
              <w:spacing w:line="420" w:lineRule="exact"/>
              <w:outlineLvl w:val="0"/>
              <w:rPr>
                <w:rFonts w:hAnsi="宋体" w:cs="宋体"/>
                <w:b/>
                <w:color w:val="auto"/>
                <w:sz w:val="21"/>
                <w:highlight w:val="none"/>
              </w:rPr>
            </w:pPr>
            <w:r>
              <w:rPr>
                <w:rFonts w:hint="eastAsia" w:hAnsi="宋体" w:cs="宋体"/>
                <w:b/>
                <w:color w:val="auto"/>
                <w:sz w:val="21"/>
                <w:highlight w:val="none"/>
              </w:rPr>
              <w:t>二、报价分（满分10分）</w:t>
            </w:r>
          </w:p>
          <w:p>
            <w:pPr>
              <w:pStyle w:val="18"/>
              <w:spacing w:line="420" w:lineRule="exact"/>
              <w:ind w:firstLine="420" w:firstLineChars="200"/>
              <w:rPr>
                <w:rFonts w:hAnsi="宋体" w:cs="宋体"/>
                <w:bCs/>
                <w:color w:val="auto"/>
                <w:sz w:val="21"/>
                <w:highlight w:val="none"/>
              </w:rPr>
            </w:pPr>
            <w:r>
              <w:rPr>
                <w:rFonts w:hint="eastAsia" w:hAnsi="宋体" w:cs="宋体"/>
                <w:color w:val="auto"/>
                <w:sz w:val="21"/>
                <w:highlight w:val="none"/>
              </w:rPr>
              <w:t>1、</w:t>
            </w:r>
            <w:r>
              <w:rPr>
                <w:rFonts w:hint="eastAsia" w:hAnsi="宋体" w:cs="宋体"/>
                <w:bCs/>
                <w:color w:val="auto"/>
                <w:sz w:val="21"/>
                <w:highlight w:val="none"/>
              </w:rPr>
              <w:t>报价分采用低价优先法计算，满足磋商文件要求且评标价最低的有效供应商的评标价为评标基准价，其报价分为满分。</w:t>
            </w:r>
          </w:p>
          <w:p>
            <w:pPr>
              <w:pStyle w:val="18"/>
              <w:spacing w:line="420" w:lineRule="exact"/>
              <w:ind w:firstLine="420" w:firstLineChars="200"/>
              <w:rPr>
                <w:rFonts w:hAnsi="宋体" w:cs="宋体"/>
                <w:bCs/>
                <w:color w:val="auto"/>
                <w:sz w:val="21"/>
                <w:highlight w:val="none"/>
              </w:rPr>
            </w:pPr>
            <w:r>
              <w:rPr>
                <w:rFonts w:hint="eastAsia" w:hAnsi="宋体" w:cs="宋体"/>
                <w:bCs/>
                <w:color w:val="auto"/>
                <w:sz w:val="21"/>
                <w:highlight w:val="none"/>
              </w:rPr>
              <w:t>2、其他供应商的价格分统一按照下列公式计算：</w:t>
            </w:r>
          </w:p>
          <w:p>
            <w:pPr>
              <w:pStyle w:val="18"/>
              <w:spacing w:line="420" w:lineRule="exact"/>
              <w:rPr>
                <w:rFonts w:hAnsi="宋体" w:cs="宋体"/>
                <w:bCs/>
                <w:color w:val="auto"/>
                <w:kern w:val="2"/>
                <w:sz w:val="21"/>
                <w:highlight w:val="none"/>
              </w:rPr>
            </w:pPr>
            <w:r>
              <w:rPr>
                <w:rFonts w:hint="eastAsia" w:hAnsi="宋体" w:cs="宋体"/>
                <w:bCs/>
                <w:color w:val="auto"/>
                <w:sz w:val="21"/>
                <w:highlight w:val="none"/>
              </w:rPr>
              <w:t>某有效供应商的报价分=（评标基准价／某有效供应商评标价）×10分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730" w:type="dxa"/>
            <w:vMerge w:val="restart"/>
            <w:vAlign w:val="center"/>
          </w:tcPr>
          <w:p>
            <w:pPr>
              <w:adjustRightInd w:val="0"/>
              <w:spacing w:line="360" w:lineRule="auto"/>
              <w:jc w:val="center"/>
              <w:textAlignment w:val="baseline"/>
              <w:rPr>
                <w:rFonts w:ascii="宋体" w:hAnsi="宋体" w:cs="宋体"/>
                <w:b/>
                <w:color w:val="auto"/>
                <w:szCs w:val="21"/>
                <w:highlight w:val="none"/>
              </w:rPr>
            </w:pPr>
            <w:r>
              <w:rPr>
                <w:rFonts w:hint="eastAsia" w:ascii="宋体" w:hAnsi="宋体" w:cs="宋体"/>
                <w:b/>
                <w:color w:val="auto"/>
                <w:szCs w:val="21"/>
                <w:highlight w:val="none"/>
              </w:rPr>
              <w:t>2</w:t>
            </w:r>
          </w:p>
        </w:tc>
        <w:tc>
          <w:tcPr>
            <w:tcW w:w="1280" w:type="dxa"/>
            <w:vMerge w:val="restart"/>
            <w:vAlign w:val="center"/>
          </w:tcPr>
          <w:p>
            <w:pPr>
              <w:adjustRightInd w:val="0"/>
              <w:spacing w:line="360" w:lineRule="auto"/>
              <w:jc w:val="center"/>
              <w:textAlignment w:val="baseline"/>
              <w:rPr>
                <w:rFonts w:ascii="宋体" w:hAnsi="宋体" w:cs="宋体"/>
                <w:b/>
                <w:color w:val="auto"/>
                <w:szCs w:val="21"/>
                <w:highlight w:val="none"/>
              </w:rPr>
            </w:pPr>
            <w:r>
              <w:rPr>
                <w:rFonts w:hint="eastAsia" w:ascii="宋体" w:hAnsi="宋体" w:cs="宋体"/>
                <w:b/>
                <w:color w:val="auto"/>
                <w:szCs w:val="21"/>
                <w:highlight w:val="none"/>
              </w:rPr>
              <w:t>服务水平</w:t>
            </w:r>
          </w:p>
        </w:tc>
        <w:tc>
          <w:tcPr>
            <w:tcW w:w="709" w:type="dxa"/>
            <w:vMerge w:val="restart"/>
            <w:vAlign w:val="center"/>
          </w:tcPr>
          <w:p>
            <w:pPr>
              <w:adjustRightInd w:val="0"/>
              <w:spacing w:line="360" w:lineRule="auto"/>
              <w:jc w:val="center"/>
              <w:textAlignment w:val="baseline"/>
              <w:rPr>
                <w:rFonts w:ascii="宋体" w:hAnsi="宋体" w:cs="宋体"/>
                <w:b/>
                <w:color w:val="auto"/>
                <w:szCs w:val="21"/>
                <w:highlight w:val="none"/>
              </w:rPr>
            </w:pPr>
            <w:r>
              <w:rPr>
                <w:rFonts w:hint="eastAsia" w:ascii="宋体" w:hAnsi="宋体" w:cs="宋体"/>
                <w:b/>
                <w:color w:val="auto"/>
                <w:szCs w:val="21"/>
                <w:highlight w:val="none"/>
              </w:rPr>
              <w:t>75分</w:t>
            </w:r>
          </w:p>
        </w:tc>
        <w:tc>
          <w:tcPr>
            <w:tcW w:w="1670" w:type="dxa"/>
            <w:vAlign w:val="center"/>
          </w:tcPr>
          <w:p>
            <w:pPr>
              <w:widowControl/>
              <w:spacing w:line="360" w:lineRule="auto"/>
              <w:jc w:val="left"/>
              <w:rPr>
                <w:rFonts w:ascii="宋体" w:hAnsi="宋体" w:cs="宋体"/>
                <w:b/>
                <w:bCs/>
                <w:color w:val="auto"/>
                <w:szCs w:val="21"/>
                <w:highlight w:val="none"/>
              </w:rPr>
            </w:pPr>
            <w:r>
              <w:rPr>
                <w:rFonts w:hint="eastAsia" w:ascii="宋体" w:hAnsi="宋体" w:cs="宋体"/>
                <w:b/>
                <w:bCs/>
                <w:color w:val="auto"/>
                <w:kern w:val="0"/>
                <w:szCs w:val="21"/>
                <w:highlight w:val="none"/>
                <w:lang w:bidi="ar"/>
              </w:rPr>
              <w:t>项目理解及设计方案（满分 15 分）</w:t>
            </w:r>
          </w:p>
          <w:p>
            <w:pPr>
              <w:spacing w:line="360" w:lineRule="auto"/>
              <w:jc w:val="center"/>
              <w:rPr>
                <w:rFonts w:ascii="宋体" w:hAnsi="宋体" w:cs="宋体"/>
                <w:bCs/>
                <w:color w:val="auto"/>
                <w:szCs w:val="21"/>
                <w:highlight w:val="none"/>
              </w:rPr>
            </w:pPr>
          </w:p>
        </w:tc>
        <w:tc>
          <w:tcPr>
            <w:tcW w:w="5239" w:type="dxa"/>
            <w:vAlign w:val="center"/>
          </w:tcPr>
          <w:p>
            <w:pPr>
              <w:widowControl/>
              <w:spacing w:line="36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由磋商小组根据供应商提供的项目理解及设计方案确定各供应商所属档次及分值。达不到一档要求或不提供的得0分。</w:t>
            </w:r>
          </w:p>
          <w:p>
            <w:pPr>
              <w:widowControl/>
              <w:spacing w:line="36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一档（4分）：供应商提供的方案能根据国家、自治区关于行业建设的标准及依据提供项目需求，建设背景、建设思路、必要性等内容描述简单。</w:t>
            </w:r>
          </w:p>
          <w:p>
            <w:pPr>
              <w:widowControl/>
              <w:spacing w:line="36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二档（8分）：在一档的基础上，供应商提供的方案对各个项目建设现状、用户需求、业务功能需求、系统功能及性能等内容描述详实、表达清晰，基本符合项目实际情况，方案描述详实、表达清晰，基本符合项目实际情况；</w:t>
            </w:r>
          </w:p>
          <w:p>
            <w:pPr>
              <w:widowControl/>
              <w:spacing w:line="36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三档（12分）：在二档的基础上，供应商提供的方案对项目建设目标、建设内容、立项申报流程与规范等内容描述清楚，符合项目实际需求，具备可行性、可靠性；</w:t>
            </w:r>
          </w:p>
          <w:p>
            <w:pPr>
              <w:widowControl/>
              <w:spacing w:line="36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四档（15分）：在四档的基础上，供应商提供的方案对项目开展总体框架、技术路线说明等设计，提供项目各个系统等具体建设方案，方案详细、针对性强，并符合项目建设实际情况，方案设计规划合理、描述准确，具备可行性、可靠性、合理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jc w:val="center"/>
        </w:trPr>
        <w:tc>
          <w:tcPr>
            <w:tcW w:w="730" w:type="dxa"/>
            <w:vMerge w:val="continue"/>
            <w:vAlign w:val="center"/>
          </w:tcPr>
          <w:p>
            <w:pPr>
              <w:adjustRightInd w:val="0"/>
              <w:spacing w:line="360" w:lineRule="auto"/>
              <w:jc w:val="center"/>
              <w:textAlignment w:val="baseline"/>
              <w:rPr>
                <w:rFonts w:ascii="宋体" w:hAnsi="宋体" w:cs="宋体"/>
                <w:b/>
                <w:color w:val="auto"/>
                <w:szCs w:val="21"/>
                <w:highlight w:val="none"/>
              </w:rPr>
            </w:pPr>
          </w:p>
        </w:tc>
        <w:tc>
          <w:tcPr>
            <w:tcW w:w="1280" w:type="dxa"/>
            <w:vMerge w:val="continue"/>
            <w:vAlign w:val="center"/>
          </w:tcPr>
          <w:p>
            <w:pPr>
              <w:adjustRightInd w:val="0"/>
              <w:spacing w:line="360" w:lineRule="auto"/>
              <w:jc w:val="center"/>
              <w:textAlignment w:val="baseline"/>
              <w:rPr>
                <w:rFonts w:ascii="宋体" w:hAnsi="宋体" w:cs="宋体"/>
                <w:b/>
                <w:color w:val="auto"/>
                <w:szCs w:val="21"/>
                <w:highlight w:val="none"/>
              </w:rPr>
            </w:pPr>
          </w:p>
        </w:tc>
        <w:tc>
          <w:tcPr>
            <w:tcW w:w="709" w:type="dxa"/>
            <w:vMerge w:val="continue"/>
            <w:vAlign w:val="center"/>
          </w:tcPr>
          <w:p>
            <w:pPr>
              <w:adjustRightInd w:val="0"/>
              <w:spacing w:line="360" w:lineRule="auto"/>
              <w:jc w:val="center"/>
              <w:textAlignment w:val="baseline"/>
              <w:rPr>
                <w:rFonts w:ascii="宋体" w:hAnsi="宋体" w:cs="宋体"/>
                <w:b/>
                <w:color w:val="auto"/>
                <w:szCs w:val="21"/>
                <w:highlight w:val="none"/>
              </w:rPr>
            </w:pPr>
          </w:p>
        </w:tc>
        <w:tc>
          <w:tcPr>
            <w:tcW w:w="1670" w:type="dxa"/>
            <w:vAlign w:val="center"/>
          </w:tcPr>
          <w:p>
            <w:pPr>
              <w:rPr>
                <w:rFonts w:ascii="宋体" w:hAnsi="宋体" w:cs="宋体"/>
                <w:b/>
                <w:bCs/>
                <w:color w:val="auto"/>
                <w:highlight w:val="none"/>
              </w:rPr>
            </w:pPr>
            <w:r>
              <w:rPr>
                <w:rFonts w:hint="eastAsia" w:ascii="宋体" w:hAnsi="宋体" w:cs="宋体"/>
                <w:b/>
                <w:bCs/>
                <w:color w:val="auto"/>
                <w:highlight w:val="none"/>
              </w:rPr>
              <w:t>项目概预算编制方案（满分10分）</w:t>
            </w:r>
          </w:p>
          <w:p>
            <w:pPr>
              <w:spacing w:line="360" w:lineRule="auto"/>
              <w:jc w:val="center"/>
              <w:rPr>
                <w:rFonts w:hAnsi="宋体" w:cs="宋体"/>
                <w:bCs/>
                <w:color w:val="auto"/>
                <w:highlight w:val="none"/>
              </w:rPr>
            </w:pPr>
          </w:p>
        </w:tc>
        <w:tc>
          <w:tcPr>
            <w:tcW w:w="5239" w:type="dxa"/>
            <w:vAlign w:val="center"/>
          </w:tcPr>
          <w:p>
            <w:pPr>
              <w:widowControl/>
              <w:spacing w:line="36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由磋商小组根据供应商提供的项目概预算编制方案确定各供应商所属档次及分值。达不到一档要求或不提供的得0分。</w:t>
            </w:r>
          </w:p>
          <w:p>
            <w:pPr>
              <w:widowControl/>
              <w:spacing w:line="36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一档（2分）: 供应商提供有项目概预算政策依据、编制方法、编制内容等内容描述简单，符合项目评审及项目建设要求；</w:t>
            </w:r>
          </w:p>
          <w:p>
            <w:pPr>
              <w:widowControl/>
              <w:spacing w:line="36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二档（4分）:在一档的基础上，供应商提供有项目概预算各项费用构成、概预算使用工具等内容描述清晰、明确，方案符合项目实际需求，完整、可行；</w:t>
            </w:r>
          </w:p>
          <w:p>
            <w:pPr>
              <w:widowControl/>
              <w:spacing w:line="36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三档（7分）:在二档的基础上，供应商结合项目实际需求，依据相关标准要求编制概预算书框架等内容，可操作性强，各项费用措施齐全；</w:t>
            </w:r>
          </w:p>
          <w:p>
            <w:pPr>
              <w:widowControl/>
              <w:spacing w:line="36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四档（10分）:在三档的基础上，供应商结合项目实际需求，依据相关标准要求套用造价定额等，定额内容详细全面、预算针对性强，各项费用措施完整。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0" w:type="dxa"/>
            <w:vMerge w:val="continue"/>
            <w:vAlign w:val="center"/>
          </w:tcPr>
          <w:p>
            <w:pPr>
              <w:adjustRightInd w:val="0"/>
              <w:spacing w:line="360" w:lineRule="auto"/>
              <w:jc w:val="center"/>
              <w:textAlignment w:val="baseline"/>
              <w:rPr>
                <w:rFonts w:ascii="宋体" w:hAnsi="宋体" w:cs="宋体"/>
                <w:b/>
                <w:color w:val="auto"/>
                <w:szCs w:val="21"/>
                <w:highlight w:val="none"/>
              </w:rPr>
            </w:pPr>
          </w:p>
        </w:tc>
        <w:tc>
          <w:tcPr>
            <w:tcW w:w="1280" w:type="dxa"/>
            <w:vMerge w:val="continue"/>
            <w:vAlign w:val="center"/>
          </w:tcPr>
          <w:p>
            <w:pPr>
              <w:adjustRightInd w:val="0"/>
              <w:spacing w:line="360" w:lineRule="auto"/>
              <w:jc w:val="center"/>
              <w:textAlignment w:val="baseline"/>
              <w:rPr>
                <w:rFonts w:ascii="宋体" w:hAnsi="宋体" w:cs="宋体"/>
                <w:b/>
                <w:color w:val="auto"/>
                <w:szCs w:val="21"/>
                <w:highlight w:val="none"/>
              </w:rPr>
            </w:pPr>
          </w:p>
        </w:tc>
        <w:tc>
          <w:tcPr>
            <w:tcW w:w="709" w:type="dxa"/>
            <w:vMerge w:val="continue"/>
            <w:vAlign w:val="center"/>
          </w:tcPr>
          <w:p>
            <w:pPr>
              <w:adjustRightInd w:val="0"/>
              <w:spacing w:line="360" w:lineRule="auto"/>
              <w:jc w:val="center"/>
              <w:textAlignment w:val="baseline"/>
              <w:rPr>
                <w:rFonts w:ascii="宋体" w:hAnsi="宋体" w:cs="宋体"/>
                <w:b/>
                <w:color w:val="auto"/>
                <w:szCs w:val="21"/>
                <w:highlight w:val="none"/>
              </w:rPr>
            </w:pPr>
          </w:p>
        </w:tc>
        <w:tc>
          <w:tcPr>
            <w:tcW w:w="1670" w:type="dxa"/>
            <w:vAlign w:val="center"/>
          </w:tcPr>
          <w:p>
            <w:pPr>
              <w:adjustRightInd w:val="0"/>
              <w:spacing w:line="360" w:lineRule="auto"/>
              <w:textAlignment w:val="baseline"/>
              <w:rPr>
                <w:rFonts w:ascii="宋体" w:hAnsi="宋体" w:cs="宋体"/>
                <w:bCs/>
                <w:color w:val="auto"/>
                <w:szCs w:val="21"/>
                <w:highlight w:val="none"/>
              </w:rPr>
            </w:pPr>
            <w:r>
              <w:rPr>
                <w:rFonts w:hint="eastAsia" w:ascii="宋体" w:hAnsi="宋体" w:cs="宋体"/>
                <w:b/>
                <w:color w:val="auto"/>
                <w:szCs w:val="21"/>
                <w:highlight w:val="none"/>
              </w:rPr>
              <w:t>设计服务保障方案(满分10分）</w:t>
            </w:r>
          </w:p>
        </w:tc>
        <w:tc>
          <w:tcPr>
            <w:tcW w:w="5239" w:type="dxa"/>
            <w:vAlign w:val="center"/>
          </w:tcPr>
          <w:p>
            <w:pPr>
              <w:widowControl/>
              <w:spacing w:line="36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由磋商小组根据供应商提供的设计服务保障方案确定各供应商所属档次及分值。达不到一档要求或不提供的得0分。</w:t>
            </w:r>
          </w:p>
          <w:p>
            <w:pPr>
              <w:widowControl/>
              <w:spacing w:line="36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一档（4分）：供应商提供有服务保障目标、任务等内容描述简单；</w:t>
            </w:r>
          </w:p>
          <w:p>
            <w:pPr>
              <w:widowControl/>
              <w:spacing w:line="36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二档（6分）：在一档的基础上，供应商提供有项目组织计划、进度计划等内容描述清晰，方案合理、可行、完整；</w:t>
            </w:r>
          </w:p>
          <w:p>
            <w:pPr>
              <w:widowControl/>
              <w:spacing w:line="36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三档（8分）：在二档的基础上，供应商提供有详细的工程进度保障方法，内容描述详尽、操作性强。</w:t>
            </w:r>
          </w:p>
          <w:p>
            <w:pPr>
              <w:widowControl/>
              <w:spacing w:line="36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四档（10分）：在三档的基础上，供应商提供有明确的保障措施、管理措施等内容描述详细全面、各项措施合理。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0" w:type="dxa"/>
            <w:vMerge w:val="continue"/>
            <w:vAlign w:val="center"/>
          </w:tcPr>
          <w:p>
            <w:pPr>
              <w:adjustRightInd w:val="0"/>
              <w:spacing w:line="360" w:lineRule="auto"/>
              <w:jc w:val="center"/>
              <w:textAlignment w:val="baseline"/>
              <w:rPr>
                <w:rFonts w:ascii="宋体" w:hAnsi="宋体" w:cs="宋体"/>
                <w:b/>
                <w:color w:val="auto"/>
                <w:szCs w:val="21"/>
                <w:highlight w:val="none"/>
              </w:rPr>
            </w:pPr>
          </w:p>
        </w:tc>
        <w:tc>
          <w:tcPr>
            <w:tcW w:w="1280" w:type="dxa"/>
            <w:vMerge w:val="continue"/>
            <w:vAlign w:val="center"/>
          </w:tcPr>
          <w:p>
            <w:pPr>
              <w:adjustRightInd w:val="0"/>
              <w:spacing w:line="360" w:lineRule="auto"/>
              <w:jc w:val="center"/>
              <w:textAlignment w:val="baseline"/>
              <w:rPr>
                <w:rFonts w:ascii="宋体" w:hAnsi="宋体" w:cs="宋体"/>
                <w:b/>
                <w:color w:val="auto"/>
                <w:szCs w:val="21"/>
                <w:highlight w:val="none"/>
              </w:rPr>
            </w:pPr>
          </w:p>
        </w:tc>
        <w:tc>
          <w:tcPr>
            <w:tcW w:w="709" w:type="dxa"/>
            <w:vMerge w:val="continue"/>
            <w:vAlign w:val="center"/>
          </w:tcPr>
          <w:p>
            <w:pPr>
              <w:adjustRightInd w:val="0"/>
              <w:spacing w:line="360" w:lineRule="auto"/>
              <w:jc w:val="center"/>
              <w:textAlignment w:val="baseline"/>
              <w:rPr>
                <w:rFonts w:ascii="宋体" w:hAnsi="宋体" w:cs="宋体"/>
                <w:b/>
                <w:color w:val="auto"/>
                <w:szCs w:val="21"/>
                <w:highlight w:val="none"/>
              </w:rPr>
            </w:pPr>
          </w:p>
        </w:tc>
        <w:tc>
          <w:tcPr>
            <w:tcW w:w="1670" w:type="dxa"/>
            <w:vAlign w:val="center"/>
          </w:tcPr>
          <w:p>
            <w:pPr>
              <w:adjustRightInd w:val="0"/>
              <w:spacing w:line="360" w:lineRule="auto"/>
              <w:jc w:val="center"/>
              <w:textAlignment w:val="baseline"/>
              <w:rPr>
                <w:rFonts w:ascii="宋体" w:hAnsi="宋体" w:cs="宋体"/>
                <w:b/>
                <w:color w:val="auto"/>
                <w:szCs w:val="21"/>
                <w:highlight w:val="none"/>
              </w:rPr>
            </w:pPr>
            <w:r>
              <w:rPr>
                <w:rFonts w:hint="eastAsia" w:ascii="宋体" w:hAnsi="宋体" w:cs="宋体"/>
                <w:b/>
                <w:color w:val="auto"/>
                <w:szCs w:val="21"/>
                <w:highlight w:val="none"/>
              </w:rPr>
              <w:t>技术支持及后期服务保障方案（满分9分）</w:t>
            </w:r>
          </w:p>
          <w:p>
            <w:pPr>
              <w:adjustRightInd w:val="0"/>
              <w:spacing w:line="360" w:lineRule="auto"/>
              <w:textAlignment w:val="baseline"/>
              <w:rPr>
                <w:rFonts w:ascii="宋体" w:hAnsi="宋体" w:cs="宋体"/>
                <w:b/>
                <w:color w:val="auto"/>
                <w:szCs w:val="21"/>
                <w:highlight w:val="none"/>
              </w:rPr>
            </w:pPr>
          </w:p>
        </w:tc>
        <w:tc>
          <w:tcPr>
            <w:tcW w:w="5239" w:type="dxa"/>
            <w:vAlign w:val="center"/>
          </w:tcPr>
          <w:p>
            <w:pPr>
              <w:widowControl/>
              <w:spacing w:line="36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由磋商小组根据供应商提供的技术支持及后期服务保障方案确定各供应商所属档次及分值。达不到一档要求或不提供的得0分。</w:t>
            </w:r>
          </w:p>
          <w:p>
            <w:pPr>
              <w:widowControl/>
              <w:spacing w:line="36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一档（3分）：供应商提供的技术支持及后期服务保障方案满足采购文件要求，且包含有基本的本地化服务、技术支持保障措施的；</w:t>
            </w:r>
          </w:p>
          <w:p>
            <w:pPr>
              <w:widowControl/>
              <w:spacing w:line="36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二档（6分）：在一档的基础上，供应商提供方案能有效协助采购人实施建设项目招标工作，以及协助后续中标的承建商、实施单位等进行技术交底、培训，应急预案等内容详细全面、针对性强、可操作性强；</w:t>
            </w:r>
          </w:p>
          <w:p>
            <w:pPr>
              <w:widowControl/>
              <w:spacing w:line="36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三档（9分）：在二档的基础上，供应商提供方案能有效协助采购人通过项目验收，方案内容详细全面的，各项保障方法及措施齐全的。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30" w:type="dxa"/>
            <w:vMerge w:val="continue"/>
            <w:vAlign w:val="center"/>
          </w:tcPr>
          <w:p>
            <w:pPr>
              <w:rPr>
                <w:color w:val="auto"/>
                <w:highlight w:val="none"/>
              </w:rPr>
            </w:pPr>
          </w:p>
        </w:tc>
        <w:tc>
          <w:tcPr>
            <w:tcW w:w="1280" w:type="dxa"/>
            <w:vMerge w:val="continue"/>
            <w:vAlign w:val="center"/>
          </w:tcPr>
          <w:p>
            <w:pPr>
              <w:rPr>
                <w:color w:val="auto"/>
                <w:highlight w:val="none"/>
              </w:rPr>
            </w:pPr>
          </w:p>
        </w:tc>
        <w:tc>
          <w:tcPr>
            <w:tcW w:w="709" w:type="dxa"/>
            <w:vMerge w:val="continue"/>
            <w:vAlign w:val="center"/>
          </w:tcPr>
          <w:p>
            <w:pPr>
              <w:rPr>
                <w:color w:val="auto"/>
                <w:highlight w:val="none"/>
              </w:rPr>
            </w:pPr>
          </w:p>
        </w:tc>
        <w:tc>
          <w:tcPr>
            <w:tcW w:w="1670" w:type="dxa"/>
            <w:vAlign w:val="center"/>
          </w:tcPr>
          <w:p>
            <w:pPr>
              <w:jc w:val="center"/>
              <w:rPr>
                <w:color w:val="auto"/>
                <w:highlight w:val="none"/>
              </w:rPr>
            </w:pPr>
            <w:r>
              <w:rPr>
                <w:rFonts w:hint="eastAsia" w:ascii="宋体" w:hAnsi="宋体" w:cs="宋体"/>
                <w:b/>
                <w:bCs/>
                <w:color w:val="auto"/>
                <w:highlight w:val="none"/>
              </w:rPr>
              <w:t>拟投入人员（满分31分）</w:t>
            </w:r>
          </w:p>
        </w:tc>
        <w:tc>
          <w:tcPr>
            <w:tcW w:w="5239" w:type="dxa"/>
          </w:tcPr>
          <w:p>
            <w:pPr>
              <w:widowControl/>
              <w:spacing w:line="36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（1）拟投入本项目的项目经理持有一级注册建造师（通信与广电工程）证书的同时具备以下资质经验，</w:t>
            </w:r>
            <w:r>
              <w:rPr>
                <w:rFonts w:hint="eastAsia" w:ascii="宋体" w:hAnsi="宋体" w:cs="宋体"/>
                <w:b/>
                <w:bCs w:val="0"/>
                <w:color w:val="auto"/>
                <w:szCs w:val="21"/>
                <w:highlight w:val="none"/>
              </w:rPr>
              <w:t>满分8分</w:t>
            </w:r>
            <w:r>
              <w:rPr>
                <w:rFonts w:hint="eastAsia" w:ascii="宋体" w:hAnsi="宋体" w:cs="宋体"/>
                <w:bCs/>
                <w:color w:val="auto"/>
                <w:szCs w:val="21"/>
                <w:highlight w:val="none"/>
              </w:rPr>
              <w:t>：</w:t>
            </w:r>
          </w:p>
          <w:p>
            <w:pPr>
              <w:widowControl/>
              <w:spacing w:line="36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①持有信息系统项目管理师证书的得2分；</w:t>
            </w:r>
          </w:p>
          <w:p>
            <w:pPr>
              <w:widowControl/>
              <w:spacing w:line="36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②持有咨询工程师（投资）证书的得2分；</w:t>
            </w:r>
          </w:p>
          <w:p>
            <w:pPr>
              <w:widowControl/>
              <w:spacing w:line="36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③持有高级工程师（计算机类或通信工程类）职称证书的得2分；</w:t>
            </w:r>
          </w:p>
          <w:p>
            <w:pPr>
              <w:widowControl/>
              <w:spacing w:line="36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④持有一级注册造价工程师证书的得2分。</w:t>
            </w:r>
          </w:p>
          <w:p>
            <w:pPr>
              <w:widowControl/>
              <w:spacing w:line="36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（在响应文件中提供证书复印件并加盖供应商公章，同时需在《项目实施人员一览表》中明确标明项目经理的职务，否则不得分）</w:t>
            </w:r>
            <w:r>
              <w:rPr>
                <w:rFonts w:hint="eastAsia" w:ascii="宋体" w:hAnsi="宋体" w:cs="宋体"/>
                <w:bCs/>
                <w:color w:val="auto"/>
                <w:szCs w:val="21"/>
                <w:highlight w:val="none"/>
                <w:lang w:eastAsia="zh-CN"/>
              </w:rPr>
              <w:t>。</w:t>
            </w:r>
            <w:r>
              <w:rPr>
                <w:rFonts w:hint="eastAsia" w:ascii="宋体" w:hAnsi="宋体" w:cs="宋体"/>
                <w:bCs/>
                <w:color w:val="auto"/>
                <w:szCs w:val="21"/>
                <w:highlight w:val="none"/>
              </w:rPr>
              <w:t xml:space="preserve"> </w:t>
            </w:r>
          </w:p>
          <w:p>
            <w:pPr>
              <w:widowControl/>
              <w:spacing w:line="36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（2）拟投入本项目的技术负责人持有系统架构设计师</w:t>
            </w:r>
            <w:r>
              <w:rPr>
                <w:rFonts w:hint="eastAsia" w:ascii="宋体" w:hAnsi="宋体" w:cs="宋体"/>
                <w:bCs/>
                <w:color w:val="auto"/>
                <w:szCs w:val="21"/>
                <w:highlight w:val="none"/>
                <w:lang w:eastAsia="zh-CN"/>
              </w:rPr>
              <w:t>（高级）</w:t>
            </w:r>
            <w:r>
              <w:rPr>
                <w:rFonts w:hint="eastAsia" w:ascii="宋体" w:hAnsi="宋体" w:cs="宋体"/>
                <w:bCs/>
                <w:color w:val="auto"/>
                <w:szCs w:val="21"/>
                <w:highlight w:val="none"/>
              </w:rPr>
              <w:t>证书的同时，具备以下资质经验，</w:t>
            </w:r>
            <w:r>
              <w:rPr>
                <w:rFonts w:hint="eastAsia" w:ascii="宋体" w:hAnsi="宋体" w:cs="宋体"/>
                <w:b/>
                <w:bCs w:val="0"/>
                <w:color w:val="auto"/>
                <w:szCs w:val="21"/>
                <w:highlight w:val="none"/>
              </w:rPr>
              <w:t>满分4分</w:t>
            </w:r>
            <w:r>
              <w:rPr>
                <w:rFonts w:hint="eastAsia" w:ascii="宋体" w:hAnsi="宋体" w:cs="宋体"/>
                <w:bCs/>
                <w:color w:val="auto"/>
                <w:szCs w:val="21"/>
                <w:highlight w:val="none"/>
              </w:rPr>
              <w:t>：</w:t>
            </w:r>
          </w:p>
          <w:p>
            <w:pPr>
              <w:widowControl/>
              <w:spacing w:line="36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①持有信息系统项目管理师证书的得2分；</w:t>
            </w:r>
          </w:p>
          <w:p>
            <w:pPr>
              <w:widowControl/>
              <w:spacing w:line="36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②持有高级工程师（计算机类或通信工程类）职称证书的得2分。</w:t>
            </w:r>
          </w:p>
          <w:p>
            <w:pPr>
              <w:widowControl/>
              <w:spacing w:line="36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（响应文件中提供证书复印件并加盖供应商公章，同时需在《项目实施人员一览表》中明确标明技术负责人的职务，否则不得分）</w:t>
            </w:r>
          </w:p>
          <w:p>
            <w:pPr>
              <w:widowControl/>
              <w:spacing w:line="36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（3）拟投入本项目的概预算编制负责人持有一级注册造价工程师证书的同时，具备以下资质经验，</w:t>
            </w:r>
            <w:r>
              <w:rPr>
                <w:rFonts w:hint="eastAsia" w:ascii="宋体" w:hAnsi="宋体" w:cs="宋体"/>
                <w:b/>
                <w:bCs w:val="0"/>
                <w:color w:val="auto"/>
                <w:szCs w:val="21"/>
                <w:highlight w:val="none"/>
              </w:rPr>
              <w:t>满分4分</w:t>
            </w:r>
            <w:r>
              <w:rPr>
                <w:rFonts w:hint="eastAsia" w:ascii="宋体" w:hAnsi="宋体" w:cs="宋体"/>
                <w:bCs/>
                <w:color w:val="auto"/>
                <w:szCs w:val="21"/>
                <w:highlight w:val="none"/>
              </w:rPr>
              <w:t>：</w:t>
            </w:r>
          </w:p>
          <w:p>
            <w:pPr>
              <w:widowControl/>
              <w:spacing w:line="36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①持有咨询工程师（投资）证书证书的得2分；</w:t>
            </w:r>
          </w:p>
          <w:p>
            <w:pPr>
              <w:widowControl/>
              <w:spacing w:line="36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②持有高级工程师（计算机类或通信工程类）职称证书的得2分。</w:t>
            </w:r>
          </w:p>
          <w:p>
            <w:pPr>
              <w:widowControl/>
              <w:spacing w:line="36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（响应文件中提供证书复印件并加盖供应商公章，同时需在《项目实施人员一览表》中明确标明概预算编制负责人的职务，否则不得分）</w:t>
            </w:r>
          </w:p>
          <w:p>
            <w:pPr>
              <w:widowControl/>
              <w:spacing w:line="36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（4）拟投入本项目的项目组其他成员（除项目经理、技术负责人、概预算编制负责人外）资质经验，</w:t>
            </w:r>
            <w:r>
              <w:rPr>
                <w:rFonts w:hint="eastAsia" w:ascii="宋体" w:hAnsi="宋体" w:cs="宋体"/>
                <w:b/>
                <w:bCs w:val="0"/>
                <w:color w:val="auto"/>
                <w:szCs w:val="21"/>
                <w:highlight w:val="none"/>
              </w:rPr>
              <w:t>满分1</w:t>
            </w:r>
            <w:r>
              <w:rPr>
                <w:rFonts w:hint="eastAsia" w:ascii="宋体" w:hAnsi="宋体" w:cs="宋体"/>
                <w:b/>
                <w:bCs w:val="0"/>
                <w:color w:val="auto"/>
                <w:szCs w:val="21"/>
                <w:highlight w:val="none"/>
                <w:lang w:val="en-US" w:eastAsia="zh-CN"/>
              </w:rPr>
              <w:t>5</w:t>
            </w:r>
            <w:r>
              <w:rPr>
                <w:rFonts w:hint="eastAsia" w:ascii="宋体" w:hAnsi="宋体" w:cs="宋体"/>
                <w:b/>
                <w:bCs w:val="0"/>
                <w:color w:val="auto"/>
                <w:szCs w:val="21"/>
                <w:highlight w:val="none"/>
              </w:rPr>
              <w:t>分</w:t>
            </w:r>
            <w:r>
              <w:rPr>
                <w:rFonts w:hint="eastAsia" w:ascii="宋体" w:hAnsi="宋体" w:cs="宋体"/>
                <w:bCs/>
                <w:color w:val="auto"/>
                <w:szCs w:val="21"/>
                <w:highlight w:val="none"/>
              </w:rPr>
              <w:t>（项目组其他成员中，同一人员持有多项证书的，只计其中一项）：</w:t>
            </w:r>
          </w:p>
          <w:p>
            <w:pPr>
              <w:widowControl/>
              <w:spacing w:line="36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①持有咨询工程师（投资）证书的，每人得1分，</w:t>
            </w:r>
            <w:r>
              <w:rPr>
                <w:rFonts w:hint="eastAsia" w:ascii="宋体" w:hAnsi="宋体" w:cs="宋体"/>
                <w:b/>
                <w:bCs w:val="0"/>
                <w:color w:val="auto"/>
                <w:szCs w:val="21"/>
                <w:highlight w:val="none"/>
              </w:rPr>
              <w:t>满分3分</w:t>
            </w:r>
            <w:r>
              <w:rPr>
                <w:rFonts w:hint="eastAsia" w:ascii="宋体" w:hAnsi="宋体" w:cs="宋体"/>
                <w:bCs/>
                <w:color w:val="auto"/>
                <w:szCs w:val="21"/>
                <w:highlight w:val="none"/>
              </w:rPr>
              <w:t>；（响应文件中提供证书复印件并加盖供应商公章，原件现场备查）</w:t>
            </w:r>
          </w:p>
          <w:p>
            <w:pPr>
              <w:widowControl/>
              <w:spacing w:line="36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②持有一级注册造价工程师证书的，每人得1分，</w:t>
            </w:r>
            <w:r>
              <w:rPr>
                <w:rFonts w:hint="eastAsia" w:ascii="宋体" w:hAnsi="宋体" w:cs="宋体"/>
                <w:b/>
                <w:bCs w:val="0"/>
                <w:color w:val="auto"/>
                <w:szCs w:val="21"/>
                <w:highlight w:val="none"/>
              </w:rPr>
              <w:t>满分3分</w:t>
            </w:r>
            <w:r>
              <w:rPr>
                <w:rFonts w:hint="eastAsia" w:ascii="宋体" w:hAnsi="宋体" w:cs="宋体"/>
                <w:bCs/>
                <w:color w:val="auto"/>
                <w:szCs w:val="21"/>
                <w:highlight w:val="none"/>
              </w:rPr>
              <w:t>；（响应文件中提供证书复印件并加盖供应商公章，原件现场备查）</w:t>
            </w:r>
          </w:p>
          <w:p>
            <w:pPr>
              <w:widowControl/>
              <w:spacing w:line="36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③持有信息系统项目管理师证书的，每人得1分，</w:t>
            </w:r>
            <w:r>
              <w:rPr>
                <w:rFonts w:hint="eastAsia" w:ascii="宋体" w:hAnsi="宋体" w:cs="宋体"/>
                <w:b/>
                <w:bCs w:val="0"/>
                <w:color w:val="auto"/>
                <w:szCs w:val="21"/>
                <w:highlight w:val="none"/>
              </w:rPr>
              <w:t>满分</w:t>
            </w:r>
            <w:r>
              <w:rPr>
                <w:rFonts w:hint="eastAsia" w:ascii="宋体" w:hAnsi="宋体" w:cs="宋体"/>
                <w:b/>
                <w:bCs w:val="0"/>
                <w:color w:val="auto"/>
                <w:szCs w:val="21"/>
                <w:highlight w:val="none"/>
                <w:lang w:val="en-US" w:eastAsia="zh-CN"/>
              </w:rPr>
              <w:t>3</w:t>
            </w:r>
            <w:r>
              <w:rPr>
                <w:rFonts w:hint="eastAsia" w:ascii="宋体" w:hAnsi="宋体" w:cs="宋体"/>
                <w:b/>
                <w:bCs w:val="0"/>
                <w:color w:val="auto"/>
                <w:szCs w:val="21"/>
                <w:highlight w:val="none"/>
              </w:rPr>
              <w:t>分</w:t>
            </w:r>
            <w:r>
              <w:rPr>
                <w:rFonts w:hint="eastAsia" w:ascii="宋体" w:hAnsi="宋体" w:cs="宋体"/>
                <w:bCs/>
                <w:color w:val="auto"/>
                <w:szCs w:val="21"/>
                <w:highlight w:val="none"/>
              </w:rPr>
              <w:t>；（响应文件中提供证书复印件并加盖供应商公章，原件现场备查）</w:t>
            </w:r>
          </w:p>
          <w:p>
            <w:pPr>
              <w:widowControl/>
              <w:spacing w:line="36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④持有计算机类或通信工程类中级职称证书的，每人得0.5分；高级职称证书的，每人得1分，</w:t>
            </w:r>
            <w:r>
              <w:rPr>
                <w:rFonts w:hint="eastAsia" w:ascii="宋体" w:hAnsi="宋体" w:cs="宋体"/>
                <w:b/>
                <w:bCs w:val="0"/>
                <w:color w:val="auto"/>
                <w:szCs w:val="21"/>
                <w:highlight w:val="none"/>
              </w:rPr>
              <w:t>满分3分</w:t>
            </w:r>
            <w:r>
              <w:rPr>
                <w:rFonts w:hint="eastAsia" w:ascii="宋体" w:hAnsi="宋体" w:cs="宋体"/>
                <w:bCs/>
                <w:color w:val="auto"/>
                <w:szCs w:val="21"/>
                <w:highlight w:val="none"/>
              </w:rPr>
              <w:t>；（响应文件中提供证书复印件并加盖供应商公章，原件现场备查）</w:t>
            </w:r>
          </w:p>
          <w:p>
            <w:pPr>
              <w:widowControl/>
              <w:spacing w:line="36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⑤持有注册信息安全专业人员证书（CISE）的，每人得1分，</w:t>
            </w:r>
            <w:r>
              <w:rPr>
                <w:rFonts w:hint="eastAsia" w:ascii="宋体" w:hAnsi="宋体" w:cs="宋体"/>
                <w:b/>
                <w:bCs w:val="0"/>
                <w:color w:val="auto"/>
                <w:szCs w:val="21"/>
                <w:highlight w:val="none"/>
              </w:rPr>
              <w:t>满分</w:t>
            </w:r>
            <w:r>
              <w:rPr>
                <w:rFonts w:hint="eastAsia" w:ascii="宋体" w:hAnsi="宋体" w:cs="宋体"/>
                <w:b/>
                <w:bCs w:val="0"/>
                <w:color w:val="auto"/>
                <w:szCs w:val="21"/>
                <w:highlight w:val="none"/>
                <w:lang w:val="en-US" w:eastAsia="zh-CN"/>
              </w:rPr>
              <w:t>3</w:t>
            </w:r>
            <w:r>
              <w:rPr>
                <w:rFonts w:hint="eastAsia" w:ascii="宋体" w:hAnsi="宋体" w:cs="宋体"/>
                <w:b/>
                <w:bCs w:val="0"/>
                <w:color w:val="auto"/>
                <w:szCs w:val="21"/>
                <w:highlight w:val="none"/>
              </w:rPr>
              <w:t>分</w:t>
            </w:r>
            <w:r>
              <w:rPr>
                <w:rFonts w:hint="eastAsia" w:ascii="宋体" w:hAnsi="宋体" w:cs="宋体"/>
                <w:bCs/>
                <w:color w:val="auto"/>
                <w:szCs w:val="21"/>
                <w:highlight w:val="none"/>
              </w:rPr>
              <w:t>。（响应文件中提供证书复印件并加盖供应商公章，原件现场备查）</w:t>
            </w:r>
          </w:p>
          <w:p>
            <w:pPr>
              <w:widowControl/>
              <w:spacing w:line="360" w:lineRule="auto"/>
              <w:ind w:firstLine="420" w:firstLineChars="200"/>
              <w:jc w:val="left"/>
              <w:rPr>
                <w:rFonts w:hint="eastAsia" w:ascii="宋体" w:hAnsi="宋体" w:cs="宋体"/>
                <w:bCs/>
                <w:color w:val="auto"/>
                <w:szCs w:val="21"/>
                <w:highlight w:val="none"/>
              </w:rPr>
            </w:pPr>
            <w:r>
              <w:rPr>
                <w:rFonts w:hint="eastAsia" w:ascii="宋体" w:hAnsi="宋体" w:cs="宋体"/>
                <w:bCs/>
                <w:color w:val="auto"/>
                <w:szCs w:val="21"/>
                <w:highlight w:val="none"/>
              </w:rPr>
              <w:t>注：1.拟投入本项目的项目经理、技术负责人、概预算编制负责人均不能为同一人；</w:t>
            </w:r>
          </w:p>
          <w:p>
            <w:pPr>
              <w:widowControl/>
              <w:spacing w:line="360" w:lineRule="auto"/>
              <w:ind w:firstLine="420" w:firstLineChars="200"/>
              <w:jc w:val="left"/>
              <w:rPr>
                <w:rFonts w:hint="eastAsia" w:ascii="宋体" w:hAnsi="宋体" w:cs="宋体"/>
                <w:bCs/>
                <w:color w:val="auto"/>
                <w:szCs w:val="21"/>
                <w:highlight w:val="none"/>
              </w:rPr>
            </w:pPr>
            <w:r>
              <w:rPr>
                <w:rFonts w:hint="eastAsia" w:ascii="宋体" w:hAnsi="宋体" w:cs="宋体"/>
                <w:bCs/>
                <w:color w:val="auto"/>
                <w:szCs w:val="21"/>
                <w:highlight w:val="none"/>
                <w:lang w:val="en-US" w:eastAsia="zh-CN"/>
              </w:rPr>
              <w:t>2、</w:t>
            </w:r>
            <w:r>
              <w:rPr>
                <w:rFonts w:hint="eastAsia" w:ascii="宋体" w:hAnsi="宋体" w:eastAsia="宋体" w:cs="宋体"/>
                <w:bCs/>
                <w:color w:val="auto"/>
                <w:szCs w:val="21"/>
                <w:highlight w:val="none"/>
                <w:lang w:eastAsia="zh-CN"/>
              </w:rPr>
              <w:t>以上所有人员</w:t>
            </w:r>
            <w:r>
              <w:rPr>
                <w:rFonts w:hint="eastAsia" w:ascii="宋体" w:hAnsi="宋体" w:eastAsia="宋体" w:cs="宋体"/>
                <w:bCs/>
                <w:color w:val="auto"/>
                <w:szCs w:val="21"/>
                <w:highlight w:val="none"/>
              </w:rPr>
              <w:t>须提供证明材料及</w:t>
            </w:r>
            <w:r>
              <w:rPr>
                <w:rFonts w:hint="eastAsia" w:ascii="宋体" w:hAnsi="宋体" w:eastAsia="宋体" w:cs="宋体"/>
                <w:bCs/>
                <w:color w:val="auto"/>
                <w:szCs w:val="21"/>
                <w:highlight w:val="none"/>
                <w:lang w:eastAsia="zh-CN"/>
              </w:rPr>
              <w:t>202</w:t>
            </w:r>
            <w:r>
              <w:rPr>
                <w:rFonts w:hint="eastAsia" w:ascii="宋体" w:hAnsi="宋体" w:eastAsia="宋体" w:cs="宋体"/>
                <w:bCs/>
                <w:color w:val="auto"/>
                <w:szCs w:val="21"/>
                <w:highlight w:val="none"/>
                <w:lang w:val="en-US" w:eastAsia="zh-CN"/>
              </w:rPr>
              <w:t>4</w:t>
            </w:r>
            <w:r>
              <w:rPr>
                <w:rFonts w:hint="eastAsia" w:ascii="宋体" w:hAnsi="宋体" w:eastAsia="宋体" w:cs="宋体"/>
                <w:bCs/>
                <w:color w:val="auto"/>
                <w:szCs w:val="21"/>
                <w:highlight w:val="none"/>
                <w:lang w:eastAsia="zh-CN"/>
              </w:rPr>
              <w:t>年1月至</w:t>
            </w:r>
            <w:r>
              <w:rPr>
                <w:rFonts w:hint="eastAsia" w:ascii="宋体" w:hAnsi="宋体" w:cs="宋体"/>
                <w:bCs/>
                <w:color w:val="auto"/>
                <w:szCs w:val="21"/>
                <w:highlight w:val="none"/>
                <w:lang w:eastAsia="zh-CN"/>
              </w:rPr>
              <w:t>2024年8月</w:t>
            </w:r>
            <w:r>
              <w:rPr>
                <w:rFonts w:hint="eastAsia" w:ascii="宋体" w:hAnsi="宋体" w:eastAsia="宋体" w:cs="宋体"/>
                <w:bCs/>
                <w:color w:val="auto"/>
                <w:szCs w:val="21"/>
                <w:highlight w:val="none"/>
                <w:lang w:eastAsia="zh-CN"/>
              </w:rPr>
              <w:t>内连续3个月</w:t>
            </w:r>
            <w:r>
              <w:rPr>
                <w:rFonts w:hint="eastAsia" w:ascii="宋体" w:hAnsi="宋体" w:eastAsia="宋体" w:cs="宋体"/>
                <w:bCs/>
                <w:color w:val="auto"/>
                <w:szCs w:val="21"/>
                <w:highlight w:val="none"/>
              </w:rPr>
              <w:t>供应商为其缴纳社保的证明并加盖供应商公章</w:t>
            </w:r>
            <w:r>
              <w:rPr>
                <w:rFonts w:hint="eastAsia" w:ascii="宋体" w:hAnsi="宋体" w:eastAsia="宋体" w:cs="宋体"/>
                <w:bCs/>
                <w:color w:val="auto"/>
                <w:szCs w:val="21"/>
                <w:highlight w:val="none"/>
                <w:lang w:eastAsia="zh-CN"/>
              </w:rPr>
              <w:t>，不按要求提供资料的不得分</w:t>
            </w:r>
            <w:r>
              <w:rPr>
                <w:rFonts w:hint="eastAsia" w:ascii="宋体" w:hAnsi="宋体" w:eastAsia="宋体" w:cs="宋体"/>
                <w:bCs/>
                <w:color w:val="auto"/>
                <w:szCs w:val="21"/>
                <w:highlight w:val="none"/>
              </w:rPr>
              <w:t>。</w:t>
            </w:r>
            <w:r>
              <w:rPr>
                <w:rFonts w:hint="eastAsia" w:ascii="宋体" w:hAnsi="宋体" w:eastAsia="宋体" w:cs="宋体"/>
                <w:color w:val="auto"/>
                <w:highlight w:val="none"/>
              </w:rPr>
              <w:t>（新成立的公司或新入职的人员提供公司成立日之后次月起或入职到公司之日后次月起到</w:t>
            </w:r>
            <w:r>
              <w:rPr>
                <w:rFonts w:hint="eastAsia" w:ascii="宋体" w:hAnsi="宋体" w:eastAsia="宋体" w:cs="宋体"/>
                <w:color w:val="auto"/>
                <w:highlight w:val="none"/>
                <w:lang w:eastAsia="zh-CN"/>
              </w:rPr>
              <w:t>响应</w:t>
            </w:r>
            <w:r>
              <w:rPr>
                <w:rFonts w:hint="eastAsia" w:ascii="宋体" w:hAnsi="宋体" w:eastAsia="宋体" w:cs="宋体"/>
                <w:color w:val="auto"/>
                <w:highlight w:val="none"/>
              </w:rPr>
              <w:t>文件首次递交截止前一个月的</w:t>
            </w:r>
            <w:r>
              <w:rPr>
                <w:rFonts w:hint="eastAsia" w:ascii="宋体" w:hAnsi="宋体" w:eastAsia="宋体" w:cs="宋体"/>
                <w:color w:val="auto"/>
                <w:highlight w:val="none"/>
                <w:lang w:eastAsia="zh-CN"/>
              </w:rPr>
              <w:t>参保缴纳凭证</w:t>
            </w:r>
            <w:r>
              <w:rPr>
                <w:rFonts w:hint="eastAsia" w:ascii="宋体" w:hAnsi="宋体" w:eastAsia="宋体" w:cs="宋体"/>
                <w:color w:val="auto"/>
                <w:highlight w:val="none"/>
              </w:rPr>
              <w:t>复印件</w:t>
            </w:r>
            <w:r>
              <w:rPr>
                <w:rFonts w:hint="eastAsia" w:ascii="宋体" w:hAnsi="宋体" w:eastAsia="宋体" w:cs="宋体"/>
                <w:color w:val="auto"/>
                <w:highlight w:val="none"/>
                <w:lang w:eastAsia="zh-CN"/>
              </w:rPr>
              <w:t>，退休聘用人员提供聘用合同）以上人员</w:t>
            </w:r>
            <w:r>
              <w:rPr>
                <w:rFonts w:hint="eastAsia" w:ascii="宋体" w:hAnsi="宋体" w:eastAsia="宋体" w:cs="宋体"/>
                <w:color w:val="auto"/>
                <w:highlight w:val="none"/>
              </w:rPr>
              <w:t>须提供</w:t>
            </w:r>
            <w:r>
              <w:rPr>
                <w:rFonts w:hint="eastAsia" w:ascii="宋体" w:hAnsi="宋体" w:eastAsia="宋体" w:cs="宋体"/>
                <w:color w:val="auto"/>
                <w:highlight w:val="none"/>
                <w:lang w:eastAsia="zh-CN"/>
              </w:rPr>
              <w:t>相应证明材料复印件加盖公章，否则不得分。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730" w:type="dxa"/>
            <w:vAlign w:val="center"/>
          </w:tcPr>
          <w:p>
            <w:pPr>
              <w:adjustRightInd w:val="0"/>
              <w:spacing w:line="360" w:lineRule="auto"/>
              <w:jc w:val="center"/>
              <w:textAlignment w:val="baseline"/>
              <w:rPr>
                <w:rFonts w:ascii="宋体" w:hAnsi="宋体" w:cs="宋体"/>
                <w:b/>
                <w:color w:val="auto"/>
                <w:szCs w:val="21"/>
                <w:highlight w:val="none"/>
              </w:rPr>
            </w:pPr>
            <w:r>
              <w:rPr>
                <w:rFonts w:hint="eastAsia" w:ascii="宋体" w:hAnsi="宋体" w:cs="宋体"/>
                <w:b/>
                <w:color w:val="auto"/>
                <w:szCs w:val="21"/>
                <w:highlight w:val="none"/>
              </w:rPr>
              <w:t>3</w:t>
            </w:r>
          </w:p>
        </w:tc>
        <w:tc>
          <w:tcPr>
            <w:tcW w:w="1280" w:type="dxa"/>
            <w:vAlign w:val="center"/>
          </w:tcPr>
          <w:p>
            <w:pPr>
              <w:adjustRightInd w:val="0"/>
              <w:spacing w:line="360" w:lineRule="auto"/>
              <w:jc w:val="center"/>
              <w:textAlignment w:val="baseline"/>
              <w:rPr>
                <w:rFonts w:ascii="宋体" w:hAnsi="宋体" w:cs="宋体"/>
                <w:b/>
                <w:color w:val="auto"/>
                <w:szCs w:val="21"/>
                <w:highlight w:val="none"/>
              </w:rPr>
            </w:pPr>
            <w:r>
              <w:rPr>
                <w:rFonts w:hint="eastAsia" w:ascii="宋体" w:hAnsi="宋体" w:cs="宋体"/>
                <w:b/>
                <w:color w:val="auto"/>
                <w:szCs w:val="21"/>
                <w:highlight w:val="none"/>
              </w:rPr>
              <w:t>商务分</w:t>
            </w:r>
          </w:p>
        </w:tc>
        <w:tc>
          <w:tcPr>
            <w:tcW w:w="709" w:type="dxa"/>
            <w:vAlign w:val="center"/>
          </w:tcPr>
          <w:p>
            <w:pPr>
              <w:adjustRightInd w:val="0"/>
              <w:spacing w:line="360" w:lineRule="auto"/>
              <w:jc w:val="center"/>
              <w:textAlignment w:val="baseline"/>
              <w:rPr>
                <w:rFonts w:ascii="宋体" w:hAnsi="宋体" w:cs="宋体"/>
                <w:b/>
                <w:color w:val="auto"/>
                <w:szCs w:val="21"/>
                <w:highlight w:val="none"/>
              </w:rPr>
            </w:pPr>
            <w:r>
              <w:rPr>
                <w:rFonts w:hint="eastAsia" w:ascii="宋体" w:hAnsi="宋体" w:cs="宋体"/>
                <w:b/>
                <w:color w:val="auto"/>
                <w:kern w:val="0"/>
                <w:szCs w:val="21"/>
                <w:highlight w:val="none"/>
              </w:rPr>
              <w:t>15分</w:t>
            </w:r>
          </w:p>
        </w:tc>
        <w:tc>
          <w:tcPr>
            <w:tcW w:w="6909" w:type="dxa"/>
            <w:gridSpan w:val="2"/>
            <w:vAlign w:val="center"/>
          </w:tcPr>
          <w:p>
            <w:pPr>
              <w:spacing w:line="360" w:lineRule="auto"/>
              <w:rPr>
                <w:color w:val="auto"/>
                <w:highlight w:val="none"/>
              </w:rPr>
            </w:pPr>
            <w:r>
              <w:rPr>
                <w:rFonts w:hint="eastAsia"/>
                <w:color w:val="auto"/>
                <w:highlight w:val="none"/>
              </w:rPr>
              <w:t>（1）供应商自2021年1月1日（以合同签订时间为准）以来完成过类似设计咨询项目案例的，每个案例0.5分，</w:t>
            </w:r>
            <w:r>
              <w:rPr>
                <w:rFonts w:hint="eastAsia"/>
                <w:b/>
                <w:bCs/>
                <w:color w:val="auto"/>
                <w:highlight w:val="none"/>
              </w:rPr>
              <w:t>满分4分</w:t>
            </w:r>
            <w:r>
              <w:rPr>
                <w:rFonts w:hint="eastAsia"/>
                <w:color w:val="auto"/>
                <w:highlight w:val="none"/>
              </w:rPr>
              <w:t>；</w:t>
            </w:r>
          </w:p>
          <w:p>
            <w:pPr>
              <w:spacing w:line="360" w:lineRule="auto"/>
              <w:rPr>
                <w:b/>
                <w:bCs/>
                <w:color w:val="auto"/>
                <w:highlight w:val="none"/>
              </w:rPr>
            </w:pPr>
            <w:r>
              <w:rPr>
                <w:rFonts w:hint="eastAsia"/>
                <w:b/>
                <w:bCs/>
                <w:color w:val="auto"/>
                <w:highlight w:val="none"/>
              </w:rPr>
              <w:t>注：供应商须提供业绩列表，并提供该业绩项目的合同文本复印件，否则不得分。以上复印件加盖公章。</w:t>
            </w:r>
          </w:p>
          <w:p>
            <w:pPr>
              <w:spacing w:line="360" w:lineRule="auto"/>
              <w:rPr>
                <w:color w:val="auto"/>
                <w:highlight w:val="none"/>
              </w:rPr>
            </w:pPr>
            <w:r>
              <w:rPr>
                <w:rFonts w:hint="eastAsia"/>
                <w:color w:val="auto"/>
                <w:highlight w:val="none"/>
              </w:rPr>
              <w:t>（2）供应商具备有效的质量管理体系认证证书、环境管理体系认证证书、职业健康安全管理体系认证证书、信息安全管理体系认证证书、信息技术服务管理体系认证证书，且认证范围包含“咨询和设计”的每个证书得1分，</w:t>
            </w:r>
            <w:r>
              <w:rPr>
                <w:rFonts w:hint="eastAsia"/>
                <w:b/>
                <w:bCs/>
                <w:color w:val="auto"/>
                <w:highlight w:val="none"/>
              </w:rPr>
              <w:t>满分5分</w:t>
            </w:r>
            <w:r>
              <w:rPr>
                <w:rFonts w:hint="eastAsia"/>
                <w:color w:val="auto"/>
                <w:highlight w:val="none"/>
              </w:rPr>
              <w:t xml:space="preserve">。（响应文件中提供有效证书复印件并加盖供应商公章） </w:t>
            </w:r>
          </w:p>
          <w:p>
            <w:pPr>
              <w:spacing w:line="360" w:lineRule="auto"/>
              <w:rPr>
                <w:color w:val="auto"/>
                <w:highlight w:val="none"/>
              </w:rPr>
            </w:pPr>
            <w:r>
              <w:rPr>
                <w:rFonts w:hint="eastAsia"/>
                <w:color w:val="auto"/>
                <w:highlight w:val="none"/>
              </w:rPr>
              <w:t>（3）供应商具备有效的信息安全服务资质认证证书（CCRC）的得3分，</w:t>
            </w:r>
            <w:r>
              <w:rPr>
                <w:rFonts w:hint="eastAsia"/>
                <w:b/>
                <w:bCs/>
                <w:color w:val="auto"/>
                <w:highlight w:val="none"/>
              </w:rPr>
              <w:t>满分3分</w:t>
            </w:r>
            <w:r>
              <w:rPr>
                <w:rFonts w:hint="eastAsia"/>
                <w:color w:val="auto"/>
                <w:highlight w:val="none"/>
              </w:rPr>
              <w:t xml:space="preserve">；（响应文件中提供有效证书复印件并加盖供应商公章） </w:t>
            </w:r>
          </w:p>
          <w:p>
            <w:pPr>
              <w:spacing w:line="360" w:lineRule="auto"/>
              <w:rPr>
                <w:color w:val="auto"/>
                <w:highlight w:val="none"/>
              </w:rPr>
            </w:pPr>
            <w:r>
              <w:rPr>
                <w:rFonts w:hint="eastAsia"/>
                <w:color w:val="auto"/>
                <w:highlight w:val="none"/>
              </w:rPr>
              <w:t>（4）供应商获得过优秀工程设计奖或优秀工程咨询奖的，每项1分</w:t>
            </w:r>
            <w:r>
              <w:rPr>
                <w:rFonts w:hint="eastAsia"/>
                <w:color w:val="auto"/>
                <w:highlight w:val="none"/>
                <w:lang w:eastAsia="zh-CN"/>
              </w:rPr>
              <w:t>，</w:t>
            </w:r>
            <w:r>
              <w:rPr>
                <w:rFonts w:hint="eastAsia"/>
                <w:b/>
                <w:bCs/>
                <w:color w:val="auto"/>
                <w:highlight w:val="none"/>
              </w:rPr>
              <w:t>满分3分</w:t>
            </w:r>
            <w:r>
              <w:rPr>
                <w:rFonts w:hint="eastAsia"/>
                <w:color w:val="auto"/>
                <w:highlight w:val="none"/>
              </w:rPr>
              <w:t>。（响应文件中提供相应奖项证书复印件并加盖供应商公章）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28" w:type="dxa"/>
            <w:gridSpan w:val="5"/>
            <w:vAlign w:val="center"/>
          </w:tcPr>
          <w:p>
            <w:pPr>
              <w:pStyle w:val="18"/>
              <w:spacing w:line="360" w:lineRule="auto"/>
              <w:rPr>
                <w:rFonts w:hAnsi="宋体" w:cs="宋体"/>
                <w:bCs/>
                <w:color w:val="auto"/>
                <w:kern w:val="2"/>
                <w:sz w:val="21"/>
                <w:highlight w:val="none"/>
              </w:rPr>
            </w:pPr>
            <w:r>
              <w:rPr>
                <w:rFonts w:hint="eastAsia" w:hAnsi="宋体" w:cs="宋体"/>
                <w:b/>
                <w:bCs/>
                <w:color w:val="auto"/>
                <w:kern w:val="2"/>
                <w:sz w:val="21"/>
                <w:highlight w:val="none"/>
              </w:rPr>
              <w:t>总得分=1+2+3。</w:t>
            </w:r>
          </w:p>
        </w:tc>
      </w:tr>
    </w:tbl>
    <w:p>
      <w:pPr>
        <w:rPr>
          <w:rFonts w:hint="eastAsia" w:ascii="宋体" w:hAnsi="宋体" w:cs="宋体"/>
          <w:bCs/>
          <w:color w:val="auto"/>
          <w:szCs w:val="21"/>
          <w:highlight w:val="none"/>
        </w:rPr>
      </w:pPr>
    </w:p>
    <w:p>
      <w:pPr>
        <w:rPr>
          <w:rFonts w:hint="eastAsia" w:ascii="宋体" w:hAnsi="宋体" w:cs="宋体"/>
          <w:bCs/>
          <w:color w:val="auto"/>
          <w:szCs w:val="21"/>
          <w:highlight w:val="none"/>
        </w:rPr>
      </w:pPr>
    </w:p>
    <w:p>
      <w:pPr>
        <w:rPr>
          <w:rFonts w:ascii="宋体" w:hAnsi="宋体" w:cs="宋体"/>
          <w:b/>
          <w:bCs w:val="0"/>
          <w:color w:val="auto"/>
          <w:highlight w:val="none"/>
        </w:rPr>
      </w:pPr>
      <w:r>
        <w:rPr>
          <w:rFonts w:hint="eastAsia" w:ascii="宋体" w:hAnsi="宋体" w:cs="宋体"/>
          <w:b/>
          <w:bCs w:val="0"/>
          <w:color w:val="auto"/>
          <w:szCs w:val="21"/>
          <w:highlight w:val="none"/>
          <w:lang w:eastAsia="zh-CN"/>
        </w:rPr>
        <w:t>分标</w:t>
      </w:r>
      <w:r>
        <w:rPr>
          <w:rFonts w:hint="eastAsia" w:ascii="宋体" w:hAnsi="宋体" w:cs="宋体"/>
          <w:b/>
          <w:bCs w:val="0"/>
          <w:color w:val="auto"/>
          <w:szCs w:val="21"/>
          <w:highlight w:val="none"/>
          <w:lang w:val="en-US" w:eastAsia="zh-CN"/>
        </w:rPr>
        <w:t>4：</w:t>
      </w:r>
    </w:p>
    <w:tbl>
      <w:tblPr>
        <w:tblStyle w:val="30"/>
        <w:tblW w:w="92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7"/>
        <w:gridCol w:w="1107"/>
        <w:gridCol w:w="737"/>
        <w:gridCol w:w="1548"/>
        <w:gridCol w:w="5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77" w:type="dxa"/>
            <w:vAlign w:val="center"/>
          </w:tcPr>
          <w:p>
            <w:pPr>
              <w:adjustRightInd w:val="0"/>
              <w:spacing w:line="410" w:lineRule="exact"/>
              <w:jc w:val="center"/>
              <w:textAlignment w:val="baseline"/>
              <w:rPr>
                <w:rFonts w:ascii="宋体" w:hAnsi="宋体" w:cs="宋体"/>
                <w:b/>
                <w:color w:val="auto"/>
                <w:szCs w:val="21"/>
                <w:highlight w:val="none"/>
              </w:rPr>
            </w:pPr>
            <w:r>
              <w:rPr>
                <w:rFonts w:hint="eastAsia" w:ascii="宋体" w:hAnsi="宋体" w:cs="宋体"/>
                <w:b/>
                <w:color w:val="auto"/>
                <w:szCs w:val="21"/>
                <w:highlight w:val="none"/>
              </w:rPr>
              <w:t>序号</w:t>
            </w:r>
          </w:p>
        </w:tc>
        <w:tc>
          <w:tcPr>
            <w:tcW w:w="1107" w:type="dxa"/>
            <w:vAlign w:val="center"/>
          </w:tcPr>
          <w:p>
            <w:pPr>
              <w:adjustRightInd w:val="0"/>
              <w:spacing w:line="410" w:lineRule="exact"/>
              <w:jc w:val="center"/>
              <w:textAlignment w:val="baseline"/>
              <w:rPr>
                <w:rFonts w:ascii="宋体" w:hAnsi="宋体" w:cs="宋体"/>
                <w:color w:val="auto"/>
                <w:szCs w:val="21"/>
                <w:highlight w:val="none"/>
              </w:rPr>
            </w:pPr>
            <w:r>
              <w:rPr>
                <w:rFonts w:hint="eastAsia" w:ascii="宋体" w:hAnsi="宋体" w:cs="宋体"/>
                <w:b/>
                <w:color w:val="auto"/>
                <w:szCs w:val="21"/>
                <w:highlight w:val="none"/>
              </w:rPr>
              <w:t>评审因素</w:t>
            </w:r>
          </w:p>
        </w:tc>
        <w:tc>
          <w:tcPr>
            <w:tcW w:w="737" w:type="dxa"/>
            <w:vAlign w:val="center"/>
          </w:tcPr>
          <w:p>
            <w:pPr>
              <w:adjustRightInd w:val="0"/>
              <w:spacing w:line="410" w:lineRule="exact"/>
              <w:jc w:val="center"/>
              <w:textAlignment w:val="baseline"/>
              <w:rPr>
                <w:rFonts w:ascii="宋体" w:hAnsi="宋体" w:cs="宋体"/>
                <w:b/>
                <w:color w:val="auto"/>
                <w:szCs w:val="21"/>
                <w:highlight w:val="none"/>
              </w:rPr>
            </w:pPr>
            <w:r>
              <w:rPr>
                <w:rFonts w:hint="eastAsia" w:ascii="宋体" w:hAnsi="宋体" w:cs="宋体"/>
                <w:b/>
                <w:color w:val="auto"/>
                <w:szCs w:val="21"/>
                <w:highlight w:val="none"/>
              </w:rPr>
              <w:t>分值</w:t>
            </w:r>
          </w:p>
        </w:tc>
        <w:tc>
          <w:tcPr>
            <w:tcW w:w="6718" w:type="dxa"/>
            <w:gridSpan w:val="2"/>
            <w:vAlign w:val="center"/>
          </w:tcPr>
          <w:p>
            <w:pPr>
              <w:adjustRightInd w:val="0"/>
              <w:spacing w:line="410" w:lineRule="exact"/>
              <w:jc w:val="center"/>
              <w:textAlignment w:val="baseline"/>
              <w:rPr>
                <w:rFonts w:ascii="宋体" w:hAnsi="宋体" w:cs="宋体"/>
                <w:b/>
                <w:color w:val="auto"/>
                <w:szCs w:val="21"/>
                <w:highlight w:val="none"/>
              </w:rPr>
            </w:pPr>
            <w:r>
              <w:rPr>
                <w:rFonts w:hint="eastAsia" w:ascii="宋体" w:hAnsi="宋体" w:cs="宋体"/>
                <w:b/>
                <w:color w:val="auto"/>
                <w:szCs w:val="21"/>
                <w:highlight w:val="none"/>
              </w:rPr>
              <w:t>评标标准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77" w:type="dxa"/>
            <w:vAlign w:val="center"/>
          </w:tcPr>
          <w:p>
            <w:pPr>
              <w:adjustRightInd w:val="0"/>
              <w:spacing w:line="360" w:lineRule="auto"/>
              <w:jc w:val="center"/>
              <w:textAlignment w:val="baseline"/>
              <w:rPr>
                <w:rFonts w:ascii="宋体" w:hAnsi="宋体" w:cs="宋体"/>
                <w:b/>
                <w:color w:val="auto"/>
                <w:szCs w:val="21"/>
                <w:highlight w:val="none"/>
              </w:rPr>
            </w:pPr>
            <w:r>
              <w:rPr>
                <w:rFonts w:hint="eastAsia" w:ascii="宋体" w:hAnsi="宋体" w:cs="宋体"/>
                <w:b/>
                <w:color w:val="auto"/>
                <w:szCs w:val="21"/>
                <w:highlight w:val="none"/>
              </w:rPr>
              <w:t>1</w:t>
            </w:r>
          </w:p>
        </w:tc>
        <w:tc>
          <w:tcPr>
            <w:tcW w:w="1107" w:type="dxa"/>
            <w:vAlign w:val="center"/>
          </w:tcPr>
          <w:p>
            <w:pPr>
              <w:adjustRightInd w:val="0"/>
              <w:spacing w:line="360" w:lineRule="auto"/>
              <w:jc w:val="center"/>
              <w:textAlignment w:val="baseline"/>
              <w:rPr>
                <w:rFonts w:ascii="宋体" w:hAnsi="宋体" w:cs="宋体"/>
                <w:b/>
                <w:color w:val="auto"/>
                <w:szCs w:val="21"/>
                <w:highlight w:val="none"/>
              </w:rPr>
            </w:pPr>
            <w:r>
              <w:rPr>
                <w:rFonts w:hint="eastAsia" w:ascii="宋体" w:hAnsi="宋体" w:cs="宋体"/>
                <w:b/>
                <w:color w:val="auto"/>
                <w:szCs w:val="21"/>
                <w:highlight w:val="none"/>
              </w:rPr>
              <w:t>报价</w:t>
            </w:r>
          </w:p>
        </w:tc>
        <w:tc>
          <w:tcPr>
            <w:tcW w:w="737" w:type="dxa"/>
            <w:vAlign w:val="center"/>
          </w:tcPr>
          <w:p>
            <w:pPr>
              <w:adjustRightInd w:val="0"/>
              <w:spacing w:line="360" w:lineRule="auto"/>
              <w:jc w:val="center"/>
              <w:textAlignment w:val="baseline"/>
              <w:rPr>
                <w:rFonts w:ascii="宋体" w:hAnsi="宋体" w:cs="宋体"/>
                <w:b/>
                <w:color w:val="auto"/>
                <w:szCs w:val="21"/>
                <w:highlight w:val="none"/>
              </w:rPr>
            </w:pPr>
            <w:r>
              <w:rPr>
                <w:rFonts w:hint="eastAsia" w:ascii="宋体" w:hAnsi="宋体" w:cs="宋体"/>
                <w:b/>
                <w:color w:val="auto"/>
                <w:szCs w:val="21"/>
                <w:highlight w:val="none"/>
                <w:lang w:val="en-US" w:eastAsia="zh-CN"/>
              </w:rPr>
              <w:t>1</w:t>
            </w:r>
            <w:r>
              <w:rPr>
                <w:rFonts w:hint="eastAsia" w:ascii="宋体" w:hAnsi="宋体" w:cs="宋体"/>
                <w:b/>
                <w:color w:val="auto"/>
                <w:szCs w:val="21"/>
                <w:highlight w:val="none"/>
              </w:rPr>
              <w:t>0分</w:t>
            </w:r>
          </w:p>
        </w:tc>
        <w:tc>
          <w:tcPr>
            <w:tcW w:w="6718" w:type="dxa"/>
            <w:gridSpan w:val="2"/>
            <w:vAlign w:val="center"/>
          </w:tcPr>
          <w:p>
            <w:pPr>
              <w:pStyle w:val="18"/>
              <w:spacing w:line="360" w:lineRule="auto"/>
              <w:rPr>
                <w:rFonts w:hAnsi="宋体" w:cs="Courier New"/>
                <w:b/>
                <w:bCs/>
                <w:color w:val="auto"/>
                <w:kern w:val="2"/>
                <w:sz w:val="21"/>
                <w:highlight w:val="none"/>
              </w:rPr>
            </w:pPr>
            <w:r>
              <w:rPr>
                <w:rFonts w:hint="eastAsia" w:hAnsi="宋体" w:cs="Courier New"/>
                <w:b/>
                <w:bCs/>
                <w:color w:val="auto"/>
                <w:kern w:val="2"/>
                <w:sz w:val="21"/>
                <w:highlight w:val="none"/>
              </w:rPr>
              <w:t>一、政府采购政策</w:t>
            </w:r>
          </w:p>
          <w:p>
            <w:pPr>
              <w:pStyle w:val="18"/>
              <w:spacing w:line="360" w:lineRule="auto"/>
              <w:ind w:firstLine="420" w:firstLineChars="200"/>
              <w:rPr>
                <w:rFonts w:hAnsi="宋体" w:cs="Courier New"/>
                <w:b/>
                <w:bCs/>
                <w:color w:val="auto"/>
                <w:kern w:val="2"/>
                <w:sz w:val="21"/>
                <w:highlight w:val="none"/>
              </w:rPr>
            </w:pPr>
            <w:r>
              <w:rPr>
                <w:rFonts w:hint="eastAsia" w:hAnsi="宋体"/>
                <w:bCs/>
                <w:color w:val="auto"/>
                <w:sz w:val="21"/>
                <w:highlight w:val="none"/>
              </w:rPr>
              <w:t>本项目属于专门面向中小企业采购的项目，不再享受价格扣除优惠政策。</w:t>
            </w:r>
          </w:p>
          <w:p>
            <w:pPr>
              <w:pStyle w:val="18"/>
              <w:spacing w:line="360" w:lineRule="auto"/>
              <w:rPr>
                <w:rFonts w:hAnsi="宋体"/>
                <w:b/>
                <w:color w:val="auto"/>
                <w:sz w:val="21"/>
                <w:highlight w:val="none"/>
              </w:rPr>
            </w:pPr>
            <w:r>
              <w:rPr>
                <w:rFonts w:hint="eastAsia" w:hAnsi="宋体" w:cs="Courier New"/>
                <w:b/>
                <w:bCs/>
                <w:color w:val="auto"/>
                <w:kern w:val="2"/>
                <w:sz w:val="21"/>
                <w:highlight w:val="none"/>
              </w:rPr>
              <w:t>二、</w:t>
            </w:r>
            <w:r>
              <w:rPr>
                <w:rFonts w:hint="eastAsia" w:hAnsi="宋体"/>
                <w:b/>
                <w:color w:val="auto"/>
                <w:sz w:val="21"/>
                <w:highlight w:val="none"/>
              </w:rPr>
              <w:t>报价分（满分10分）</w:t>
            </w:r>
          </w:p>
          <w:p>
            <w:pPr>
              <w:pStyle w:val="18"/>
              <w:spacing w:line="360" w:lineRule="auto"/>
              <w:ind w:firstLine="420" w:firstLineChars="200"/>
              <w:rPr>
                <w:rFonts w:hAnsi="宋体"/>
                <w:bCs/>
                <w:color w:val="auto"/>
                <w:sz w:val="21"/>
                <w:highlight w:val="none"/>
              </w:rPr>
            </w:pPr>
            <w:r>
              <w:rPr>
                <w:rFonts w:hint="eastAsia" w:hAnsi="宋体"/>
                <w:bCs/>
                <w:color w:val="auto"/>
                <w:sz w:val="21"/>
                <w:highlight w:val="none"/>
              </w:rPr>
              <w:t>1、报价分采用低价优先法计算，满足竞争性磋商文件要求的有效供应商最低的最后报价为评标基准价，其报价分为满分。</w:t>
            </w:r>
          </w:p>
          <w:p>
            <w:pPr>
              <w:pStyle w:val="18"/>
              <w:spacing w:line="360" w:lineRule="auto"/>
              <w:ind w:firstLine="420" w:firstLineChars="200"/>
              <w:rPr>
                <w:rFonts w:hAnsi="宋体"/>
                <w:bCs/>
                <w:color w:val="auto"/>
                <w:sz w:val="21"/>
                <w:highlight w:val="none"/>
              </w:rPr>
            </w:pPr>
            <w:r>
              <w:rPr>
                <w:rFonts w:hint="eastAsia" w:hAnsi="宋体"/>
                <w:bCs/>
                <w:color w:val="auto"/>
                <w:sz w:val="21"/>
                <w:highlight w:val="none"/>
              </w:rPr>
              <w:t>2、其他供应商的价格分统一按照下列公式计算：</w:t>
            </w:r>
          </w:p>
          <w:p>
            <w:pPr>
              <w:pStyle w:val="18"/>
              <w:spacing w:line="420" w:lineRule="exact"/>
              <w:rPr>
                <w:rFonts w:hAnsi="宋体" w:cs="宋体"/>
                <w:bCs/>
                <w:color w:val="auto"/>
                <w:kern w:val="2"/>
                <w:sz w:val="21"/>
                <w:highlight w:val="none"/>
              </w:rPr>
            </w:pPr>
            <w:r>
              <w:rPr>
                <w:rFonts w:hint="eastAsia" w:hAnsi="宋体"/>
                <w:bCs/>
                <w:color w:val="auto"/>
                <w:sz w:val="21"/>
                <w:highlight w:val="none"/>
              </w:rPr>
              <w:t>某有效供应商的报价分=（评标基准价／某有效供应商最后报价）×10分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77" w:type="dxa"/>
            <w:vMerge w:val="restart"/>
            <w:vAlign w:val="center"/>
          </w:tcPr>
          <w:p>
            <w:pPr>
              <w:adjustRightInd w:val="0"/>
              <w:spacing w:line="360" w:lineRule="auto"/>
              <w:jc w:val="center"/>
              <w:textAlignment w:val="baseline"/>
              <w:rPr>
                <w:rFonts w:ascii="宋体" w:hAnsi="宋体" w:cs="宋体"/>
                <w:b/>
                <w:color w:val="auto"/>
                <w:szCs w:val="21"/>
                <w:highlight w:val="none"/>
              </w:rPr>
            </w:pPr>
            <w:r>
              <w:rPr>
                <w:rFonts w:hint="eastAsia" w:ascii="宋体" w:hAnsi="宋体" w:cs="宋体"/>
                <w:b/>
                <w:color w:val="auto"/>
                <w:szCs w:val="21"/>
                <w:highlight w:val="none"/>
              </w:rPr>
              <w:t>2</w:t>
            </w:r>
          </w:p>
        </w:tc>
        <w:tc>
          <w:tcPr>
            <w:tcW w:w="1107" w:type="dxa"/>
            <w:vMerge w:val="restart"/>
            <w:vAlign w:val="center"/>
          </w:tcPr>
          <w:p>
            <w:pPr>
              <w:adjustRightInd w:val="0"/>
              <w:spacing w:line="360" w:lineRule="auto"/>
              <w:jc w:val="center"/>
              <w:textAlignment w:val="baseline"/>
              <w:rPr>
                <w:rFonts w:ascii="宋体" w:hAnsi="宋体" w:cs="宋体"/>
                <w:b/>
                <w:color w:val="auto"/>
                <w:szCs w:val="21"/>
                <w:highlight w:val="none"/>
              </w:rPr>
            </w:pPr>
            <w:r>
              <w:rPr>
                <w:rFonts w:hint="eastAsia" w:ascii="宋体" w:hAnsi="宋体" w:cs="宋体"/>
                <w:b/>
                <w:color w:val="auto"/>
                <w:szCs w:val="21"/>
                <w:highlight w:val="none"/>
              </w:rPr>
              <w:t>服务水平</w:t>
            </w:r>
          </w:p>
        </w:tc>
        <w:tc>
          <w:tcPr>
            <w:tcW w:w="737" w:type="dxa"/>
            <w:vMerge w:val="restart"/>
            <w:vAlign w:val="center"/>
          </w:tcPr>
          <w:p>
            <w:pPr>
              <w:adjustRightInd w:val="0"/>
              <w:spacing w:line="360" w:lineRule="auto"/>
              <w:jc w:val="center"/>
              <w:textAlignment w:val="baseline"/>
              <w:rPr>
                <w:rFonts w:ascii="宋体" w:hAnsi="宋体" w:cs="宋体"/>
                <w:b/>
                <w:color w:val="auto"/>
                <w:szCs w:val="21"/>
                <w:highlight w:val="none"/>
              </w:rPr>
            </w:pPr>
            <w:r>
              <w:rPr>
                <w:rFonts w:hint="eastAsia" w:ascii="宋体" w:hAnsi="宋体" w:cs="宋体"/>
                <w:b/>
                <w:color w:val="auto"/>
                <w:szCs w:val="21"/>
                <w:highlight w:val="none"/>
                <w:lang w:val="en-US" w:eastAsia="zh-CN"/>
              </w:rPr>
              <w:t>84</w:t>
            </w:r>
            <w:r>
              <w:rPr>
                <w:rFonts w:hint="eastAsia" w:ascii="宋体" w:hAnsi="宋体" w:cs="宋体"/>
                <w:b/>
                <w:color w:val="auto"/>
                <w:szCs w:val="21"/>
                <w:highlight w:val="none"/>
              </w:rPr>
              <w:t>分</w:t>
            </w:r>
          </w:p>
        </w:tc>
        <w:tc>
          <w:tcPr>
            <w:tcW w:w="1548" w:type="dxa"/>
            <w:vAlign w:val="center"/>
          </w:tcPr>
          <w:p>
            <w:pPr>
              <w:keepNext w:val="0"/>
              <w:keepLines w:val="0"/>
              <w:widowControl/>
              <w:suppressLineNumbers w:val="0"/>
              <w:spacing w:line="360" w:lineRule="auto"/>
              <w:jc w:val="left"/>
              <w:rPr>
                <w:rFonts w:hint="eastAsia" w:ascii="宋体" w:hAnsi="宋体" w:eastAsia="宋体" w:cs="宋体"/>
                <w:b/>
                <w:bCs/>
                <w:color w:val="auto"/>
                <w:szCs w:val="21"/>
                <w:highlight w:val="none"/>
              </w:rPr>
            </w:pPr>
            <w:r>
              <w:rPr>
                <w:rFonts w:hint="eastAsia" w:ascii="宋体" w:hAnsi="宋体" w:eastAsia="宋体" w:cs="宋体"/>
                <w:b/>
                <w:bCs/>
                <w:color w:val="auto"/>
                <w:kern w:val="0"/>
                <w:sz w:val="21"/>
                <w:szCs w:val="21"/>
                <w:highlight w:val="none"/>
                <w:lang w:val="en-US" w:eastAsia="zh-CN" w:bidi="ar"/>
              </w:rPr>
              <w:t>项目的理解程度（满分20分）</w:t>
            </w:r>
          </w:p>
          <w:p>
            <w:pPr>
              <w:spacing w:line="360" w:lineRule="auto"/>
              <w:jc w:val="center"/>
              <w:rPr>
                <w:rFonts w:ascii="宋体" w:hAnsi="宋体" w:cs="宋体"/>
                <w:bCs/>
                <w:color w:val="auto"/>
                <w:szCs w:val="21"/>
                <w:highlight w:val="none"/>
              </w:rPr>
            </w:pPr>
          </w:p>
        </w:tc>
        <w:tc>
          <w:tcPr>
            <w:tcW w:w="5170"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由磋商小组根据供应商提供的项目的理解程度确定各供应商所属档次及分值。达不到一档要求或不提供的得0分。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一档（5 分）：对项目背景了解不够，对项目实施的重点、难点和项目的各阶段推进计划存在偏差；项目的实施机构人员和资源配备不符合项目要求，对本项目的采购需求不理解。</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二档（10 分）：对项目背景有一定了解，但对项目实施的重点、难点和项目的各阶段推进计划不全面，存在缺漏；项目的实施机构人员和资源配备基本满足项目要求，对本项目的采购需求基本理解。</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三档（15</w:t>
            </w:r>
            <w:r>
              <w:rPr>
                <w:rFonts w:hint="default"/>
                <w:color w:val="auto"/>
                <w:highlight w:val="none"/>
                <w:lang w:val="en-US" w:eastAsia="zh-CN"/>
              </w:rPr>
              <w:t xml:space="preserve"> </w:t>
            </w:r>
            <w:r>
              <w:rPr>
                <w:rFonts w:hint="eastAsia"/>
                <w:color w:val="auto"/>
                <w:highlight w:val="none"/>
                <w:lang w:val="en-US" w:eastAsia="zh-CN"/>
              </w:rPr>
              <w:t xml:space="preserve">分）：了解项目背景，对项目实施的重点、难点和项目的各阶段推进计划有划分，但描述不够详尽；项目的实施机构人员和资源配备满足项目要求，理解本项目的采购需求。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四档（20分）：能充分了解项目背景，对项目实施的重点、难点划分清晰、明确，项目的各阶段推进计划科学、合理，项目实施机构人员配备齐全、充足，对本项目的采购需求理解透彻。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77" w:type="dxa"/>
            <w:vMerge w:val="continue"/>
            <w:vAlign w:val="center"/>
          </w:tcPr>
          <w:p>
            <w:pPr>
              <w:adjustRightInd w:val="0"/>
              <w:spacing w:line="360" w:lineRule="auto"/>
              <w:jc w:val="center"/>
              <w:textAlignment w:val="baseline"/>
              <w:rPr>
                <w:rFonts w:ascii="宋体" w:hAnsi="宋体" w:cs="宋体"/>
                <w:b/>
                <w:color w:val="auto"/>
                <w:szCs w:val="21"/>
                <w:highlight w:val="none"/>
              </w:rPr>
            </w:pPr>
          </w:p>
        </w:tc>
        <w:tc>
          <w:tcPr>
            <w:tcW w:w="1107" w:type="dxa"/>
            <w:vMerge w:val="continue"/>
            <w:vAlign w:val="center"/>
          </w:tcPr>
          <w:p>
            <w:pPr>
              <w:adjustRightInd w:val="0"/>
              <w:spacing w:line="360" w:lineRule="auto"/>
              <w:jc w:val="center"/>
              <w:textAlignment w:val="baseline"/>
              <w:rPr>
                <w:rFonts w:ascii="宋体" w:hAnsi="宋体" w:cs="宋体"/>
                <w:b/>
                <w:color w:val="auto"/>
                <w:szCs w:val="21"/>
                <w:highlight w:val="none"/>
              </w:rPr>
            </w:pPr>
          </w:p>
        </w:tc>
        <w:tc>
          <w:tcPr>
            <w:tcW w:w="737" w:type="dxa"/>
            <w:vMerge w:val="continue"/>
            <w:vAlign w:val="center"/>
          </w:tcPr>
          <w:p>
            <w:pPr>
              <w:adjustRightInd w:val="0"/>
              <w:spacing w:line="360" w:lineRule="auto"/>
              <w:jc w:val="center"/>
              <w:textAlignment w:val="baseline"/>
              <w:rPr>
                <w:rFonts w:ascii="宋体" w:hAnsi="宋体" w:cs="宋体"/>
                <w:b/>
                <w:color w:val="auto"/>
                <w:szCs w:val="21"/>
                <w:highlight w:val="none"/>
              </w:rPr>
            </w:pPr>
          </w:p>
        </w:tc>
        <w:tc>
          <w:tcPr>
            <w:tcW w:w="1548" w:type="dxa"/>
            <w:vAlign w:val="center"/>
          </w:tcPr>
          <w:p>
            <w:pPr>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项目实施方案（满分20分）</w:t>
            </w:r>
          </w:p>
          <w:p>
            <w:pPr>
              <w:spacing w:line="360" w:lineRule="auto"/>
              <w:jc w:val="center"/>
              <w:rPr>
                <w:rFonts w:hAnsi="宋体" w:cs="宋体"/>
                <w:bCs/>
                <w:color w:val="auto"/>
                <w:kern w:val="2"/>
                <w:sz w:val="21"/>
                <w:highlight w:val="none"/>
              </w:rPr>
            </w:pPr>
          </w:p>
        </w:tc>
        <w:tc>
          <w:tcPr>
            <w:tcW w:w="5170"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由磋商小组根据供应商提供的项目实施方案确定各供应商所属档次及分值。达不到一档要求或不提供的得0分。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一档（</w:t>
            </w:r>
            <w:r>
              <w:rPr>
                <w:rFonts w:hint="default"/>
                <w:color w:val="auto"/>
                <w:highlight w:val="none"/>
                <w:lang w:val="en-US" w:eastAsia="zh-CN"/>
              </w:rPr>
              <w:t xml:space="preserve">5 </w:t>
            </w:r>
            <w:r>
              <w:rPr>
                <w:rFonts w:hint="eastAsia"/>
                <w:color w:val="auto"/>
                <w:highlight w:val="none"/>
                <w:lang w:val="en-US" w:eastAsia="zh-CN"/>
              </w:rPr>
              <w:t xml:space="preserve">分）工作思路不明确，工作主次、重点无区分，工作进度划分不合理，人员配备不全，不能满足项目要求。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二档（</w:t>
            </w:r>
            <w:r>
              <w:rPr>
                <w:rFonts w:hint="default"/>
                <w:color w:val="auto"/>
                <w:highlight w:val="none"/>
                <w:lang w:val="en-US" w:eastAsia="zh-CN"/>
              </w:rPr>
              <w:t xml:space="preserve">10 </w:t>
            </w:r>
            <w:r>
              <w:rPr>
                <w:rFonts w:hint="eastAsia"/>
                <w:color w:val="auto"/>
                <w:highlight w:val="none"/>
                <w:lang w:val="en-US" w:eastAsia="zh-CN"/>
              </w:rPr>
              <w:t xml:space="preserve">分）有一定的工作思路，但对工作主次、重点划分不明确，工作进度划分、人员配备基本满足项目要求；项目保障措施简单。项目实施方案内容相对简单，基本满足项目要求。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三档（</w:t>
            </w:r>
            <w:r>
              <w:rPr>
                <w:rFonts w:hint="default"/>
                <w:color w:val="auto"/>
                <w:highlight w:val="none"/>
                <w:lang w:val="en-US" w:eastAsia="zh-CN"/>
              </w:rPr>
              <w:t xml:space="preserve">15 </w:t>
            </w:r>
            <w:r>
              <w:rPr>
                <w:rFonts w:hint="eastAsia"/>
                <w:color w:val="auto"/>
                <w:highlight w:val="none"/>
                <w:lang w:val="en-US" w:eastAsia="zh-CN"/>
              </w:rPr>
              <w:t xml:space="preserve">分）工作思路正确，对工作主次、重点和工作进度有划分；人员配备合理，满足项目要求；有较详细项目保障措施。项目实施方案内容完整，能满足项目要求。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四档（</w:t>
            </w:r>
            <w:r>
              <w:rPr>
                <w:rFonts w:hint="default"/>
                <w:color w:val="auto"/>
                <w:highlight w:val="none"/>
                <w:lang w:val="en-US" w:eastAsia="zh-CN"/>
              </w:rPr>
              <w:t xml:space="preserve">20 </w:t>
            </w:r>
            <w:r>
              <w:rPr>
                <w:rFonts w:hint="eastAsia"/>
                <w:color w:val="auto"/>
                <w:highlight w:val="none"/>
                <w:lang w:val="en-US" w:eastAsia="zh-CN"/>
              </w:rPr>
              <w:t>分）工作思路清晰，工作主次分明、重点突出；工作进度划分科学、合理；人员配备全面、充足；项目保障措施周全、有效。项目实施方案内容全面、充分，内容契合实际，针对性强，完全能满足项目要求。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77" w:type="dxa"/>
            <w:vMerge w:val="continue"/>
            <w:vAlign w:val="center"/>
          </w:tcPr>
          <w:p>
            <w:pPr>
              <w:adjustRightInd w:val="0"/>
              <w:spacing w:line="360" w:lineRule="auto"/>
              <w:jc w:val="center"/>
              <w:textAlignment w:val="baseline"/>
              <w:rPr>
                <w:rFonts w:ascii="宋体" w:hAnsi="宋体" w:cs="宋体"/>
                <w:b/>
                <w:color w:val="auto"/>
                <w:szCs w:val="21"/>
                <w:highlight w:val="none"/>
              </w:rPr>
            </w:pPr>
          </w:p>
        </w:tc>
        <w:tc>
          <w:tcPr>
            <w:tcW w:w="1107" w:type="dxa"/>
            <w:vMerge w:val="continue"/>
            <w:vAlign w:val="center"/>
          </w:tcPr>
          <w:p>
            <w:pPr>
              <w:adjustRightInd w:val="0"/>
              <w:spacing w:line="360" w:lineRule="auto"/>
              <w:jc w:val="center"/>
              <w:textAlignment w:val="baseline"/>
              <w:rPr>
                <w:rFonts w:ascii="宋体" w:hAnsi="宋体" w:cs="宋体"/>
                <w:b/>
                <w:color w:val="auto"/>
                <w:szCs w:val="21"/>
                <w:highlight w:val="none"/>
              </w:rPr>
            </w:pPr>
          </w:p>
        </w:tc>
        <w:tc>
          <w:tcPr>
            <w:tcW w:w="737" w:type="dxa"/>
            <w:vMerge w:val="continue"/>
            <w:vAlign w:val="center"/>
          </w:tcPr>
          <w:p>
            <w:pPr>
              <w:adjustRightInd w:val="0"/>
              <w:spacing w:line="360" w:lineRule="auto"/>
              <w:jc w:val="center"/>
              <w:textAlignment w:val="baseline"/>
              <w:rPr>
                <w:rFonts w:ascii="宋体" w:hAnsi="宋体" w:cs="宋体"/>
                <w:b/>
                <w:color w:val="auto"/>
                <w:szCs w:val="21"/>
                <w:highlight w:val="none"/>
              </w:rPr>
            </w:pPr>
          </w:p>
        </w:tc>
        <w:tc>
          <w:tcPr>
            <w:tcW w:w="1548" w:type="dxa"/>
            <w:vAlign w:val="center"/>
          </w:tcPr>
          <w:p>
            <w:pPr>
              <w:adjustRightInd w:val="0"/>
              <w:spacing w:line="360" w:lineRule="auto"/>
              <w:textAlignment w:val="baseline"/>
              <w:rPr>
                <w:rFonts w:ascii="宋体" w:hAnsi="宋体" w:cs="宋体"/>
                <w:bCs/>
                <w:color w:val="auto"/>
                <w:szCs w:val="21"/>
                <w:highlight w:val="none"/>
              </w:rPr>
            </w:pPr>
            <w:r>
              <w:rPr>
                <w:rFonts w:hint="eastAsia" w:ascii="宋体" w:hAnsi="宋体" w:eastAsia="宋体" w:cs="宋体"/>
                <w:b/>
                <w:bCs w:val="0"/>
                <w:color w:val="auto"/>
                <w:szCs w:val="21"/>
                <w:highlight w:val="none"/>
                <w:lang w:eastAsia="zh-CN"/>
              </w:rPr>
              <w:t>课题研究进度安排</w:t>
            </w:r>
            <w:r>
              <w:rPr>
                <w:rFonts w:hint="eastAsia" w:ascii="宋体" w:hAnsi="宋体" w:eastAsia="宋体" w:cs="宋体"/>
                <w:b/>
                <w:bCs w:val="0"/>
                <w:color w:val="auto"/>
                <w:szCs w:val="21"/>
                <w:highlight w:val="none"/>
                <w:lang w:val="en-US" w:eastAsia="zh-CN"/>
              </w:rPr>
              <w:t>(满分</w:t>
            </w:r>
            <w:r>
              <w:rPr>
                <w:rFonts w:hint="eastAsia" w:ascii="宋体" w:hAnsi="宋体" w:cs="宋体"/>
                <w:b/>
                <w:bCs w:val="0"/>
                <w:color w:val="auto"/>
                <w:szCs w:val="21"/>
                <w:highlight w:val="none"/>
                <w:lang w:val="en-US" w:eastAsia="zh-CN"/>
              </w:rPr>
              <w:t>10</w:t>
            </w:r>
            <w:r>
              <w:rPr>
                <w:rFonts w:hint="eastAsia" w:ascii="宋体" w:hAnsi="宋体" w:eastAsia="宋体" w:cs="宋体"/>
                <w:b/>
                <w:bCs w:val="0"/>
                <w:color w:val="auto"/>
                <w:szCs w:val="21"/>
                <w:highlight w:val="none"/>
                <w:lang w:val="en-US" w:eastAsia="zh-CN"/>
              </w:rPr>
              <w:t>分）</w:t>
            </w:r>
          </w:p>
        </w:tc>
        <w:tc>
          <w:tcPr>
            <w:tcW w:w="5170"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eastAsia="宋体"/>
                <w:color w:val="auto"/>
                <w:sz w:val="21"/>
                <w:szCs w:val="21"/>
                <w:highlight w:val="none"/>
                <w:lang w:eastAsia="zh-CN"/>
              </w:rPr>
              <w:t>磋商小组根据供应商提供的课题研究进度安排方案（评审因素：结合课题研究框架结构，以及时间进度要求，制定更为详尽可行的时间进度安排）</w:t>
            </w:r>
            <w:r>
              <w:rPr>
                <w:rFonts w:hint="eastAsia" w:ascii="宋体" w:hAnsi="宋体" w:cs="宋体"/>
                <w:color w:val="auto"/>
                <w:szCs w:val="21"/>
                <w:highlight w:val="none"/>
              </w:rPr>
              <w:t>确定各供应商所属档次及分值</w:t>
            </w:r>
            <w:r>
              <w:rPr>
                <w:rFonts w:hint="eastAsia" w:ascii="宋体" w:hAnsi="宋体" w:cs="宋体"/>
                <w:color w:val="auto"/>
                <w:szCs w:val="21"/>
                <w:highlight w:val="none"/>
                <w:lang w:eastAsia="zh-CN"/>
              </w:rPr>
              <w:t>。</w:t>
            </w:r>
            <w:r>
              <w:rPr>
                <w:rFonts w:hint="eastAsia"/>
                <w:color w:val="auto"/>
                <w:highlight w:val="none"/>
                <w:lang w:val="en-US" w:eastAsia="zh-CN"/>
              </w:rPr>
              <w:t>达不到一档要求或不提供的得0分。</w:t>
            </w:r>
          </w:p>
          <w:p>
            <w:pPr>
              <w:keepNext w:val="0"/>
              <w:keepLines w:val="0"/>
              <w:widowControl/>
              <w:suppressLineNumbers w:val="0"/>
              <w:spacing w:line="360" w:lineRule="auto"/>
              <w:ind w:firstLine="420" w:firstLineChars="200"/>
              <w:jc w:val="left"/>
              <w:rPr>
                <w:rFonts w:hint="eastAsia" w:eastAsia="宋体"/>
                <w:color w:val="auto"/>
                <w:sz w:val="21"/>
                <w:szCs w:val="21"/>
                <w:highlight w:val="none"/>
                <w:lang w:eastAsia="zh-CN"/>
              </w:rPr>
            </w:pPr>
            <w:r>
              <w:rPr>
                <w:rFonts w:hint="eastAsia" w:eastAsia="宋体"/>
                <w:color w:val="auto"/>
                <w:sz w:val="21"/>
                <w:szCs w:val="21"/>
                <w:highlight w:val="none"/>
                <w:lang w:eastAsia="zh-CN"/>
              </w:rPr>
              <w:t>一档（</w:t>
            </w:r>
            <w:r>
              <w:rPr>
                <w:rFonts w:hint="eastAsia" w:eastAsia="宋体"/>
                <w:color w:val="auto"/>
                <w:sz w:val="21"/>
                <w:szCs w:val="21"/>
                <w:highlight w:val="none"/>
                <w:lang w:val="en-US" w:eastAsia="zh-CN"/>
              </w:rPr>
              <w:t>3</w:t>
            </w:r>
            <w:r>
              <w:rPr>
                <w:rFonts w:hint="eastAsia" w:eastAsia="宋体"/>
                <w:color w:val="auto"/>
                <w:sz w:val="21"/>
                <w:szCs w:val="21"/>
                <w:highlight w:val="none"/>
                <w:lang w:eastAsia="zh-CN"/>
              </w:rPr>
              <w:t>分）：时间进度安排不能满足需求要求，不能支撑课题研究框架结构所需研究时间；</w:t>
            </w:r>
          </w:p>
          <w:p>
            <w:pPr>
              <w:keepNext w:val="0"/>
              <w:keepLines w:val="0"/>
              <w:widowControl/>
              <w:suppressLineNumbers w:val="0"/>
              <w:spacing w:line="360" w:lineRule="auto"/>
              <w:ind w:firstLine="420" w:firstLineChars="200"/>
              <w:jc w:val="left"/>
              <w:rPr>
                <w:rFonts w:hint="eastAsia" w:eastAsia="宋体"/>
                <w:color w:val="auto"/>
                <w:sz w:val="21"/>
                <w:szCs w:val="21"/>
                <w:highlight w:val="none"/>
                <w:lang w:eastAsia="zh-CN"/>
              </w:rPr>
            </w:pPr>
            <w:r>
              <w:rPr>
                <w:rFonts w:hint="eastAsia" w:eastAsia="宋体"/>
                <w:color w:val="auto"/>
                <w:sz w:val="21"/>
                <w:szCs w:val="21"/>
                <w:highlight w:val="none"/>
                <w:lang w:eastAsia="zh-CN"/>
              </w:rPr>
              <w:t>二档（</w:t>
            </w:r>
            <w:r>
              <w:rPr>
                <w:rFonts w:hint="eastAsia" w:eastAsia="宋体"/>
                <w:color w:val="auto"/>
                <w:sz w:val="21"/>
                <w:szCs w:val="21"/>
                <w:highlight w:val="none"/>
                <w:lang w:val="en-US" w:eastAsia="zh-CN"/>
              </w:rPr>
              <w:t>6</w:t>
            </w:r>
            <w:r>
              <w:rPr>
                <w:rFonts w:hint="eastAsia" w:eastAsia="宋体"/>
                <w:color w:val="auto"/>
                <w:sz w:val="21"/>
                <w:szCs w:val="21"/>
                <w:highlight w:val="none"/>
                <w:lang w:eastAsia="zh-CN"/>
              </w:rPr>
              <w:t>分）：时间进度安排基本满足需求要求，基本能支撑课题研究框架结构所需研究时间；</w:t>
            </w:r>
          </w:p>
          <w:p>
            <w:pPr>
              <w:keepNext w:val="0"/>
              <w:keepLines w:val="0"/>
              <w:widowControl/>
              <w:suppressLineNumbers w:val="0"/>
              <w:spacing w:line="360" w:lineRule="auto"/>
              <w:ind w:firstLine="420" w:firstLineChars="200"/>
              <w:jc w:val="left"/>
              <w:rPr>
                <w:rFonts w:hint="eastAsia" w:eastAsia="宋体"/>
                <w:color w:val="auto"/>
                <w:sz w:val="21"/>
                <w:szCs w:val="21"/>
                <w:highlight w:val="none"/>
                <w:lang w:eastAsia="zh-CN"/>
              </w:rPr>
            </w:pPr>
            <w:r>
              <w:rPr>
                <w:rFonts w:hint="eastAsia" w:eastAsia="宋体"/>
                <w:color w:val="auto"/>
                <w:sz w:val="21"/>
                <w:szCs w:val="21"/>
                <w:highlight w:val="none"/>
                <w:lang w:eastAsia="zh-CN"/>
              </w:rPr>
              <w:t>三档（</w:t>
            </w:r>
            <w:r>
              <w:rPr>
                <w:rFonts w:hint="eastAsia" w:eastAsia="宋体"/>
                <w:color w:val="auto"/>
                <w:sz w:val="21"/>
                <w:szCs w:val="21"/>
                <w:highlight w:val="none"/>
                <w:lang w:val="en-US" w:eastAsia="zh-CN"/>
              </w:rPr>
              <w:t>10</w:t>
            </w:r>
            <w:r>
              <w:rPr>
                <w:rFonts w:hint="eastAsia" w:eastAsia="宋体"/>
                <w:color w:val="auto"/>
                <w:sz w:val="21"/>
                <w:szCs w:val="21"/>
                <w:highlight w:val="none"/>
                <w:lang w:eastAsia="zh-CN"/>
              </w:rPr>
              <w:t>分）；时间进度安排完全满足需求要求，完全能支撑课题研究框架结构所需研究时间。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77" w:type="dxa"/>
            <w:vMerge w:val="continue"/>
            <w:vAlign w:val="center"/>
          </w:tcPr>
          <w:p>
            <w:pPr>
              <w:adjustRightInd w:val="0"/>
              <w:spacing w:line="360" w:lineRule="auto"/>
              <w:jc w:val="center"/>
              <w:textAlignment w:val="baseline"/>
              <w:rPr>
                <w:rFonts w:ascii="宋体" w:hAnsi="宋体" w:cs="宋体"/>
                <w:b/>
                <w:color w:val="auto"/>
                <w:szCs w:val="21"/>
                <w:highlight w:val="none"/>
              </w:rPr>
            </w:pPr>
          </w:p>
        </w:tc>
        <w:tc>
          <w:tcPr>
            <w:tcW w:w="1107" w:type="dxa"/>
            <w:vMerge w:val="continue"/>
            <w:vAlign w:val="center"/>
          </w:tcPr>
          <w:p>
            <w:pPr>
              <w:adjustRightInd w:val="0"/>
              <w:spacing w:line="360" w:lineRule="auto"/>
              <w:jc w:val="center"/>
              <w:textAlignment w:val="baseline"/>
              <w:rPr>
                <w:rFonts w:ascii="宋体" w:hAnsi="宋体" w:cs="宋体"/>
                <w:b/>
                <w:color w:val="auto"/>
                <w:szCs w:val="21"/>
                <w:highlight w:val="none"/>
              </w:rPr>
            </w:pPr>
          </w:p>
        </w:tc>
        <w:tc>
          <w:tcPr>
            <w:tcW w:w="737" w:type="dxa"/>
            <w:vMerge w:val="continue"/>
            <w:vAlign w:val="center"/>
          </w:tcPr>
          <w:p>
            <w:pPr>
              <w:adjustRightInd w:val="0"/>
              <w:spacing w:line="360" w:lineRule="auto"/>
              <w:jc w:val="center"/>
              <w:textAlignment w:val="baseline"/>
              <w:rPr>
                <w:rFonts w:ascii="宋体" w:hAnsi="宋体" w:cs="宋体"/>
                <w:b/>
                <w:color w:val="auto"/>
                <w:szCs w:val="21"/>
                <w:highlight w:val="none"/>
              </w:rPr>
            </w:pPr>
          </w:p>
        </w:tc>
        <w:tc>
          <w:tcPr>
            <w:tcW w:w="1548" w:type="dxa"/>
            <w:vAlign w:val="center"/>
          </w:tcPr>
          <w:p>
            <w:pPr>
              <w:rPr>
                <w:rFonts w:hint="eastAsia" w:ascii="宋体" w:hAnsi="宋体" w:eastAsia="宋体" w:cs="宋体"/>
                <w:b/>
                <w:bCs w:val="0"/>
                <w:color w:val="auto"/>
                <w:sz w:val="21"/>
                <w:szCs w:val="21"/>
                <w:highlight w:val="none"/>
                <w:lang w:eastAsia="zh-CN"/>
              </w:rPr>
            </w:pPr>
            <w:r>
              <w:rPr>
                <w:rFonts w:hint="eastAsia" w:ascii="宋体" w:hAnsi="宋体" w:eastAsia="宋体" w:cs="宋体"/>
                <w:b/>
                <w:bCs/>
                <w:color w:val="auto"/>
                <w:sz w:val="21"/>
                <w:szCs w:val="21"/>
                <w:highlight w:val="none"/>
                <w:lang w:val="en-US" w:eastAsia="zh-CN"/>
              </w:rPr>
              <w:t>项目服务承诺（满分10分）</w:t>
            </w:r>
          </w:p>
        </w:tc>
        <w:tc>
          <w:tcPr>
            <w:tcW w:w="5170" w:type="dxa"/>
            <w:vAlign w:val="top"/>
          </w:tcPr>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仿宋_GB2312"/>
                <w:color w:val="auto"/>
                <w:kern w:val="0"/>
                <w:szCs w:val="21"/>
                <w:highlight w:val="none"/>
              </w:rPr>
              <w:t>磋商小组</w:t>
            </w:r>
            <w:r>
              <w:rPr>
                <w:rFonts w:hint="eastAsia" w:ascii="宋体" w:hAnsi="宋体" w:eastAsia="宋体" w:cs="仿宋_GB2312"/>
                <w:color w:val="auto"/>
                <w:kern w:val="0"/>
                <w:szCs w:val="21"/>
                <w:highlight w:val="none"/>
                <w:lang w:eastAsia="zh-CN"/>
              </w:rPr>
              <w:t>根据</w:t>
            </w:r>
            <w:r>
              <w:rPr>
                <w:rFonts w:hint="eastAsia" w:ascii="宋体" w:hAnsi="宋体" w:eastAsia="宋体" w:cs="仿宋_GB2312"/>
                <w:color w:val="auto"/>
                <w:kern w:val="0"/>
                <w:szCs w:val="21"/>
                <w:highlight w:val="none"/>
              </w:rPr>
              <w:t>供应商</w:t>
            </w:r>
            <w:r>
              <w:rPr>
                <w:rFonts w:hint="eastAsia" w:ascii="宋体" w:hAnsi="宋体" w:eastAsia="宋体" w:cs="仿宋_GB2312"/>
                <w:color w:val="auto"/>
                <w:kern w:val="0"/>
                <w:szCs w:val="21"/>
                <w:highlight w:val="none"/>
                <w:lang w:eastAsia="zh-CN"/>
              </w:rPr>
              <w:t>提供</w:t>
            </w:r>
            <w:r>
              <w:rPr>
                <w:rFonts w:hint="eastAsia" w:ascii="宋体" w:hAnsi="宋体" w:eastAsia="宋体" w:cs="仿宋_GB2312"/>
                <w:color w:val="auto"/>
                <w:kern w:val="0"/>
                <w:szCs w:val="21"/>
                <w:highlight w:val="none"/>
              </w:rPr>
              <w:t>的</w:t>
            </w:r>
            <w:r>
              <w:rPr>
                <w:rFonts w:hint="eastAsia" w:ascii="宋体" w:hAnsi="宋体" w:eastAsia="宋体" w:cs="宋体"/>
                <w:color w:val="auto"/>
                <w:kern w:val="0"/>
                <w:sz w:val="21"/>
                <w:szCs w:val="21"/>
                <w:highlight w:val="none"/>
                <w:lang w:val="en-US" w:eastAsia="zh-CN" w:bidi="ar"/>
              </w:rPr>
              <w:t>服务承诺书</w:t>
            </w:r>
            <w:r>
              <w:rPr>
                <w:rFonts w:hint="eastAsia" w:ascii="宋体" w:hAnsi="宋体" w:eastAsia="宋体" w:cs="仿宋_GB2312"/>
                <w:color w:val="auto"/>
                <w:kern w:val="0"/>
                <w:szCs w:val="21"/>
                <w:highlight w:val="none"/>
                <w:lang w:eastAsia="zh-CN"/>
              </w:rPr>
              <w:t>（</w:t>
            </w:r>
            <w:r>
              <w:rPr>
                <w:rFonts w:hint="eastAsia" w:ascii="宋体" w:hAnsi="宋体" w:eastAsia="宋体" w:cs="仿宋_GB2312"/>
                <w:color w:val="auto"/>
                <w:kern w:val="0"/>
                <w:szCs w:val="21"/>
                <w:highlight w:val="none"/>
              </w:rPr>
              <w:t>评审因素：</w:t>
            </w:r>
            <w:r>
              <w:rPr>
                <w:rFonts w:hint="eastAsia" w:ascii="宋体" w:hAnsi="宋体" w:eastAsia="宋体" w:cs="仿宋_GB2312"/>
                <w:color w:val="auto"/>
                <w:kern w:val="0"/>
                <w:szCs w:val="21"/>
                <w:highlight w:val="none"/>
                <w:lang w:val="en-US" w:eastAsia="zh-CN"/>
              </w:rPr>
              <w:t>对采购人的采购需求响应，最终提交服务成果的质量以及完成时间的承诺及售后服务的承诺，为完成本项目的保障措施、保密承诺及廉洁承诺等方法以及实现方式</w:t>
            </w:r>
            <w:r>
              <w:rPr>
                <w:rFonts w:hint="eastAsia" w:ascii="宋体" w:hAnsi="宋体" w:eastAsia="宋体" w:cs="仿宋_GB2312"/>
                <w:color w:val="auto"/>
                <w:kern w:val="0"/>
                <w:szCs w:val="21"/>
                <w:highlight w:val="none"/>
                <w:lang w:eastAsia="zh-CN"/>
              </w:rPr>
              <w:t>）</w:t>
            </w:r>
            <w:r>
              <w:rPr>
                <w:rFonts w:hint="eastAsia" w:ascii="宋体" w:hAnsi="宋体" w:eastAsia="宋体" w:cs="仿宋_GB2312"/>
                <w:color w:val="auto"/>
                <w:kern w:val="0"/>
                <w:szCs w:val="21"/>
                <w:highlight w:val="none"/>
                <w:lang w:val="en-US" w:eastAsia="zh-CN"/>
              </w:rPr>
              <w:t>确定各供应商所属档次及分值。达不到一档要求或不提供的得0分</w:t>
            </w:r>
            <w:r>
              <w:rPr>
                <w:rFonts w:hint="eastAsia" w:ascii="宋体" w:hAnsi="宋体" w:eastAsia="宋体" w:cs="仿宋_GB2312"/>
                <w:color w:val="auto"/>
                <w:kern w:val="0"/>
                <w:szCs w:val="21"/>
                <w:highlight w:val="none"/>
              </w:rPr>
              <w:t>。</w:t>
            </w:r>
          </w:p>
          <w:p>
            <w:pPr>
              <w:keepNext w:val="0"/>
              <w:keepLines w:val="0"/>
              <w:widowControl/>
              <w:suppressLineNumbers w:val="0"/>
              <w:ind w:firstLine="420" w:firstLineChars="200"/>
              <w:jc w:val="left"/>
              <w:rPr>
                <w:rFonts w:hint="eastAsia" w:ascii="宋体" w:hAnsi="宋体" w:eastAsia="宋体" w:cs="宋体"/>
                <w:color w:val="auto"/>
                <w:sz w:val="21"/>
                <w:szCs w:val="21"/>
                <w:highlight w:val="none"/>
              </w:rPr>
            </w:pPr>
            <w:r>
              <w:rPr>
                <w:rFonts w:hint="eastAsia" w:ascii="宋体" w:hAnsi="宋体" w:cs="宋体"/>
                <w:color w:val="auto"/>
                <w:kern w:val="0"/>
                <w:sz w:val="21"/>
                <w:szCs w:val="21"/>
                <w:highlight w:val="none"/>
                <w:lang w:val="en-US" w:eastAsia="zh-CN" w:bidi="ar"/>
              </w:rPr>
              <w:t>一</w:t>
            </w:r>
            <w:r>
              <w:rPr>
                <w:rFonts w:hint="eastAsia" w:ascii="宋体" w:hAnsi="宋体" w:eastAsia="宋体" w:cs="宋体"/>
                <w:color w:val="auto"/>
                <w:kern w:val="0"/>
                <w:sz w:val="21"/>
                <w:szCs w:val="21"/>
                <w:highlight w:val="none"/>
                <w:lang w:val="en-US" w:eastAsia="zh-CN" w:bidi="ar"/>
              </w:rPr>
              <w:t>档（</w:t>
            </w:r>
            <w:r>
              <w:rPr>
                <w:rFonts w:hint="eastAsia" w:ascii="宋体" w:hAnsi="宋体" w:cs="宋体"/>
                <w:color w:val="auto"/>
                <w:kern w:val="0"/>
                <w:sz w:val="21"/>
                <w:szCs w:val="21"/>
                <w:highlight w:val="none"/>
                <w:lang w:val="en-US" w:eastAsia="zh-CN" w:bidi="ar"/>
              </w:rPr>
              <w:t>3</w:t>
            </w:r>
            <w:r>
              <w:rPr>
                <w:rFonts w:hint="eastAsia" w:ascii="宋体" w:hAnsi="宋体" w:eastAsia="宋体" w:cs="宋体"/>
                <w:color w:val="auto"/>
                <w:kern w:val="0"/>
                <w:sz w:val="21"/>
                <w:szCs w:val="21"/>
                <w:highlight w:val="none"/>
                <w:lang w:val="en-US" w:eastAsia="zh-CN" w:bidi="ar"/>
              </w:rPr>
              <w:t xml:space="preserve">分）供应商为完成本项目所提供服务承诺内容较简单，基本满足采购人服务需求。 </w:t>
            </w:r>
          </w:p>
          <w:p>
            <w:pPr>
              <w:keepNext w:val="0"/>
              <w:keepLines w:val="0"/>
              <w:widowControl/>
              <w:suppressLineNumbers w:val="0"/>
              <w:ind w:firstLine="420" w:firstLineChars="200"/>
              <w:jc w:val="left"/>
              <w:rPr>
                <w:rFonts w:hint="eastAsia" w:ascii="宋体" w:hAnsi="宋体" w:eastAsia="宋体" w:cs="宋体"/>
                <w:color w:val="auto"/>
                <w:sz w:val="21"/>
                <w:szCs w:val="21"/>
                <w:highlight w:val="none"/>
              </w:rPr>
            </w:pPr>
            <w:r>
              <w:rPr>
                <w:rFonts w:hint="eastAsia" w:ascii="宋体" w:hAnsi="宋体" w:cs="宋体"/>
                <w:color w:val="auto"/>
                <w:kern w:val="0"/>
                <w:sz w:val="21"/>
                <w:szCs w:val="21"/>
                <w:highlight w:val="none"/>
                <w:lang w:val="en-US" w:eastAsia="zh-CN" w:bidi="ar"/>
              </w:rPr>
              <w:t>二</w:t>
            </w:r>
            <w:r>
              <w:rPr>
                <w:rFonts w:hint="eastAsia" w:ascii="宋体" w:hAnsi="宋体" w:eastAsia="宋体" w:cs="宋体"/>
                <w:color w:val="auto"/>
                <w:kern w:val="0"/>
                <w:sz w:val="21"/>
                <w:szCs w:val="21"/>
                <w:highlight w:val="none"/>
                <w:lang w:val="en-US" w:eastAsia="zh-CN" w:bidi="ar"/>
              </w:rPr>
              <w:t>档（</w:t>
            </w:r>
            <w:r>
              <w:rPr>
                <w:rFonts w:hint="eastAsia" w:ascii="宋体" w:hAnsi="宋体" w:cs="宋体"/>
                <w:color w:val="auto"/>
                <w:kern w:val="0"/>
                <w:sz w:val="21"/>
                <w:szCs w:val="21"/>
                <w:highlight w:val="none"/>
                <w:lang w:val="en-US" w:eastAsia="zh-CN" w:bidi="ar"/>
              </w:rPr>
              <w:t>6</w:t>
            </w:r>
            <w:r>
              <w:rPr>
                <w:rFonts w:hint="eastAsia" w:ascii="宋体" w:hAnsi="宋体" w:eastAsia="宋体" w:cs="宋体"/>
                <w:color w:val="auto"/>
                <w:kern w:val="0"/>
                <w:sz w:val="21"/>
                <w:szCs w:val="21"/>
                <w:highlight w:val="none"/>
                <w:lang w:val="en-US" w:eastAsia="zh-CN" w:bidi="ar"/>
              </w:rPr>
              <w:t xml:space="preserve"> 分）供应商为完成本项目所提供的服务承诺内容能满足采购人服务需求。 </w:t>
            </w:r>
          </w:p>
          <w:p>
            <w:pPr>
              <w:keepNext w:val="0"/>
              <w:keepLines w:val="0"/>
              <w:widowControl/>
              <w:suppressLineNumbers w:val="0"/>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0"/>
                <w:sz w:val="21"/>
                <w:szCs w:val="21"/>
                <w:highlight w:val="none"/>
                <w:lang w:val="en-US" w:eastAsia="zh-CN" w:bidi="ar"/>
              </w:rPr>
              <w:t>三</w:t>
            </w:r>
            <w:r>
              <w:rPr>
                <w:rFonts w:hint="eastAsia" w:ascii="宋体" w:hAnsi="宋体" w:eastAsia="宋体" w:cs="宋体"/>
                <w:color w:val="auto"/>
                <w:kern w:val="0"/>
                <w:sz w:val="21"/>
                <w:szCs w:val="21"/>
                <w:highlight w:val="none"/>
                <w:lang w:val="en-US" w:eastAsia="zh-CN" w:bidi="ar"/>
              </w:rPr>
              <w:t>档（10 分）供应商为完成本项目所提供的服务承诺内容详尽，针对性强，完全满足采购人需求。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77" w:type="dxa"/>
            <w:vMerge w:val="continue"/>
            <w:vAlign w:val="center"/>
          </w:tcPr>
          <w:p>
            <w:pPr>
              <w:adjustRightInd w:val="0"/>
              <w:spacing w:line="360" w:lineRule="auto"/>
              <w:jc w:val="center"/>
              <w:textAlignment w:val="baseline"/>
              <w:rPr>
                <w:rFonts w:ascii="宋体" w:hAnsi="宋体" w:cs="宋体"/>
                <w:b/>
                <w:color w:val="auto"/>
                <w:szCs w:val="21"/>
                <w:highlight w:val="none"/>
              </w:rPr>
            </w:pPr>
          </w:p>
        </w:tc>
        <w:tc>
          <w:tcPr>
            <w:tcW w:w="1107" w:type="dxa"/>
            <w:vMerge w:val="continue"/>
            <w:vAlign w:val="center"/>
          </w:tcPr>
          <w:p>
            <w:pPr>
              <w:adjustRightInd w:val="0"/>
              <w:spacing w:line="360" w:lineRule="auto"/>
              <w:jc w:val="center"/>
              <w:textAlignment w:val="baseline"/>
              <w:rPr>
                <w:rFonts w:ascii="宋体" w:hAnsi="宋体" w:cs="宋体"/>
                <w:b/>
                <w:color w:val="auto"/>
                <w:szCs w:val="21"/>
                <w:highlight w:val="none"/>
              </w:rPr>
            </w:pPr>
          </w:p>
        </w:tc>
        <w:tc>
          <w:tcPr>
            <w:tcW w:w="737" w:type="dxa"/>
            <w:vMerge w:val="continue"/>
            <w:vAlign w:val="center"/>
          </w:tcPr>
          <w:p>
            <w:pPr>
              <w:adjustRightInd w:val="0"/>
              <w:spacing w:line="360" w:lineRule="auto"/>
              <w:jc w:val="center"/>
              <w:textAlignment w:val="baseline"/>
              <w:rPr>
                <w:rFonts w:ascii="宋体" w:hAnsi="宋体" w:cs="宋体"/>
                <w:b/>
                <w:color w:val="auto"/>
                <w:szCs w:val="21"/>
                <w:highlight w:val="none"/>
              </w:rPr>
            </w:pPr>
          </w:p>
        </w:tc>
        <w:tc>
          <w:tcPr>
            <w:tcW w:w="1548" w:type="dxa"/>
            <w:vAlign w:val="center"/>
          </w:tcPr>
          <w:p>
            <w:pPr>
              <w:adjustRightInd w:val="0"/>
              <w:spacing w:line="360" w:lineRule="auto"/>
              <w:textAlignment w:val="baseline"/>
              <w:rPr>
                <w:rFonts w:hint="eastAsia" w:ascii="宋体" w:hAnsi="宋体" w:eastAsia="宋体" w:cs="宋体"/>
                <w:b/>
                <w:bCs w:val="0"/>
                <w:color w:val="auto"/>
                <w:szCs w:val="21"/>
                <w:highlight w:val="none"/>
                <w:lang w:eastAsia="zh-CN"/>
              </w:rPr>
            </w:pPr>
            <w:r>
              <w:rPr>
                <w:rFonts w:hint="eastAsia" w:ascii="宋体" w:hAnsi="宋体" w:eastAsia="宋体" w:cs="宋体"/>
                <w:b/>
                <w:bCs w:val="0"/>
                <w:color w:val="auto"/>
                <w:szCs w:val="21"/>
                <w:highlight w:val="none"/>
                <w:lang w:val="en-US" w:eastAsia="zh-CN"/>
              </w:rPr>
              <w:t>拟投入人员分(满分24分）</w:t>
            </w:r>
          </w:p>
        </w:tc>
        <w:tc>
          <w:tcPr>
            <w:tcW w:w="5170" w:type="dxa"/>
            <w:vAlign w:val="center"/>
          </w:tcPr>
          <w:p>
            <w:pPr>
              <w:spacing w:line="360" w:lineRule="auto"/>
              <w:ind w:firstLine="422" w:firstLineChars="200"/>
              <w:rPr>
                <w:rFonts w:hint="eastAsia" w:ascii="宋体" w:hAnsi="宋体" w:cs="仿宋_GB2312"/>
                <w:b/>
                <w:color w:val="auto"/>
                <w:kern w:val="0"/>
                <w:szCs w:val="21"/>
                <w:highlight w:val="none"/>
              </w:rPr>
            </w:pPr>
            <w:r>
              <w:rPr>
                <w:rFonts w:hint="eastAsia" w:ascii="宋体" w:hAnsi="宋体" w:cs="仿宋_GB2312"/>
                <w:b/>
                <w:color w:val="auto"/>
                <w:kern w:val="0"/>
                <w:szCs w:val="21"/>
                <w:highlight w:val="none"/>
              </w:rPr>
              <w:t>（1）课题负责人（10分）</w:t>
            </w:r>
          </w:p>
          <w:p>
            <w:pPr>
              <w:spacing w:line="360" w:lineRule="auto"/>
              <w:ind w:firstLine="420" w:firstLineChars="200"/>
              <w:rPr>
                <w:rFonts w:hint="eastAsia" w:ascii="宋体" w:hAnsi="宋体" w:eastAsia="宋体" w:cs="仿宋_GB2312"/>
                <w:color w:val="auto"/>
                <w:kern w:val="0"/>
                <w:szCs w:val="21"/>
                <w:highlight w:val="none"/>
              </w:rPr>
            </w:pPr>
            <w:r>
              <w:rPr>
                <w:rFonts w:hint="eastAsia" w:ascii="宋体" w:hAnsi="宋体" w:eastAsia="宋体" w:cs="仿宋_GB2312"/>
                <w:color w:val="auto"/>
                <w:kern w:val="0"/>
                <w:szCs w:val="21"/>
                <w:highlight w:val="none"/>
              </w:rPr>
              <w:t>磋商小组</w:t>
            </w:r>
            <w:r>
              <w:rPr>
                <w:rFonts w:hint="eastAsia" w:ascii="宋体" w:hAnsi="宋体" w:eastAsia="宋体" w:cs="仿宋_GB2312"/>
                <w:color w:val="auto"/>
                <w:kern w:val="0"/>
                <w:szCs w:val="21"/>
                <w:highlight w:val="none"/>
                <w:lang w:eastAsia="zh-CN"/>
              </w:rPr>
              <w:t>根据</w:t>
            </w:r>
            <w:r>
              <w:rPr>
                <w:rFonts w:hint="eastAsia" w:ascii="宋体" w:hAnsi="宋体" w:eastAsia="宋体" w:cs="仿宋_GB2312"/>
                <w:color w:val="auto"/>
                <w:kern w:val="0"/>
                <w:szCs w:val="21"/>
                <w:highlight w:val="none"/>
              </w:rPr>
              <w:t>供应商</w:t>
            </w:r>
            <w:r>
              <w:rPr>
                <w:rFonts w:hint="eastAsia" w:ascii="宋体" w:hAnsi="宋体" w:eastAsia="宋体" w:cs="仿宋_GB2312"/>
                <w:color w:val="auto"/>
                <w:kern w:val="0"/>
                <w:szCs w:val="21"/>
                <w:highlight w:val="none"/>
                <w:lang w:eastAsia="zh-CN"/>
              </w:rPr>
              <w:t>提供</w:t>
            </w:r>
            <w:r>
              <w:rPr>
                <w:rFonts w:hint="eastAsia" w:ascii="宋体" w:hAnsi="宋体" w:eastAsia="宋体" w:cs="仿宋_GB2312"/>
                <w:color w:val="auto"/>
                <w:kern w:val="0"/>
                <w:szCs w:val="21"/>
                <w:highlight w:val="none"/>
              </w:rPr>
              <w:t>的课题负责人</w:t>
            </w:r>
            <w:r>
              <w:rPr>
                <w:rFonts w:hint="eastAsia" w:ascii="宋体" w:hAnsi="宋体" w:eastAsia="宋体" w:cs="仿宋_GB2312"/>
                <w:color w:val="auto"/>
                <w:kern w:val="0"/>
                <w:szCs w:val="21"/>
                <w:highlight w:val="none"/>
                <w:lang w:eastAsia="zh-CN"/>
              </w:rPr>
              <w:t>（</w:t>
            </w:r>
            <w:r>
              <w:rPr>
                <w:rFonts w:hint="eastAsia" w:ascii="宋体" w:hAnsi="宋体" w:eastAsia="宋体" w:cs="仿宋_GB2312"/>
                <w:color w:val="auto"/>
                <w:kern w:val="0"/>
                <w:szCs w:val="21"/>
                <w:highlight w:val="none"/>
              </w:rPr>
              <w:t>评审因素：</w:t>
            </w:r>
            <w:r>
              <w:rPr>
                <w:rFonts w:hint="eastAsia" w:ascii="宋体" w:hAnsi="宋体" w:eastAsia="宋体" w:cs="仿宋_GB2312"/>
                <w:color w:val="auto"/>
                <w:kern w:val="0"/>
                <w:szCs w:val="21"/>
                <w:highlight w:val="none"/>
                <w:lang w:eastAsia="zh-CN"/>
              </w:rPr>
              <w:t>研究成果与</w:t>
            </w:r>
            <w:r>
              <w:rPr>
                <w:rFonts w:hint="eastAsia" w:ascii="宋体" w:hAnsi="宋体" w:cs="仿宋_GB2312"/>
                <w:color w:val="auto"/>
                <w:kern w:val="0"/>
                <w:szCs w:val="21"/>
                <w:highlight w:val="none"/>
                <w:lang w:eastAsia="zh-CN"/>
              </w:rPr>
              <w:t>农业农村研究</w:t>
            </w:r>
            <w:r>
              <w:rPr>
                <w:rFonts w:hint="eastAsia" w:ascii="宋体" w:hAnsi="宋体" w:eastAsia="宋体" w:cs="仿宋_GB2312"/>
                <w:color w:val="auto"/>
                <w:kern w:val="0"/>
                <w:szCs w:val="21"/>
                <w:highlight w:val="none"/>
                <w:lang w:eastAsia="zh-CN"/>
              </w:rPr>
              <w:t>领域是否有关联，专业水平和科研能力，是否能够牵头开展课题研究）</w:t>
            </w:r>
            <w:r>
              <w:rPr>
                <w:rFonts w:hint="eastAsia" w:ascii="宋体" w:hAnsi="宋体" w:eastAsia="宋体" w:cs="仿宋_GB2312"/>
                <w:color w:val="auto"/>
                <w:kern w:val="0"/>
                <w:szCs w:val="21"/>
                <w:highlight w:val="none"/>
                <w:lang w:val="en-US" w:eastAsia="zh-CN"/>
              </w:rPr>
              <w:t>确定各供应商所属档次及分值。达不到一档要求或不提供的得0分</w:t>
            </w:r>
            <w:r>
              <w:rPr>
                <w:rFonts w:hint="eastAsia" w:ascii="宋体" w:hAnsi="宋体" w:eastAsia="宋体" w:cs="仿宋_GB2312"/>
                <w:color w:val="auto"/>
                <w:kern w:val="0"/>
                <w:szCs w:val="21"/>
                <w:highlight w:val="none"/>
              </w:rPr>
              <w:t>。</w:t>
            </w:r>
          </w:p>
          <w:p>
            <w:pPr>
              <w:spacing w:line="360" w:lineRule="auto"/>
              <w:ind w:firstLine="420" w:firstLineChars="200"/>
              <w:rPr>
                <w:rFonts w:ascii="宋体" w:hAnsi="宋体" w:cs="仿宋_GB2312"/>
                <w:color w:val="auto"/>
                <w:kern w:val="0"/>
                <w:szCs w:val="21"/>
                <w:highlight w:val="none"/>
              </w:rPr>
            </w:pPr>
            <w:r>
              <w:rPr>
                <w:rFonts w:hint="eastAsia" w:ascii="宋体" w:hAnsi="宋体" w:cs="仿宋_GB2312"/>
                <w:color w:val="auto"/>
                <w:kern w:val="0"/>
                <w:szCs w:val="21"/>
                <w:highlight w:val="none"/>
              </w:rPr>
              <w:t>一档（</w:t>
            </w:r>
            <w:r>
              <w:rPr>
                <w:rFonts w:hint="eastAsia" w:ascii="宋体" w:hAnsi="宋体" w:cs="仿宋_GB2312"/>
                <w:color w:val="auto"/>
                <w:kern w:val="0"/>
                <w:szCs w:val="21"/>
                <w:highlight w:val="none"/>
                <w:lang w:val="en-US" w:eastAsia="zh-CN"/>
              </w:rPr>
              <w:t>3</w:t>
            </w:r>
            <w:r>
              <w:rPr>
                <w:rFonts w:hint="eastAsia" w:ascii="宋体" w:hAnsi="宋体" w:cs="仿宋_GB2312"/>
                <w:color w:val="auto"/>
                <w:kern w:val="0"/>
                <w:szCs w:val="21"/>
                <w:highlight w:val="none"/>
              </w:rPr>
              <w:t>分）：研究成果与</w:t>
            </w:r>
            <w:r>
              <w:rPr>
                <w:rFonts w:hint="eastAsia" w:ascii="宋体" w:hAnsi="宋体" w:cs="仿宋_GB2312"/>
                <w:color w:val="auto"/>
                <w:kern w:val="0"/>
                <w:szCs w:val="21"/>
                <w:highlight w:val="none"/>
                <w:lang w:eastAsia="zh-CN"/>
              </w:rPr>
              <w:t>农业农村研究</w:t>
            </w:r>
            <w:r>
              <w:rPr>
                <w:rFonts w:hint="eastAsia" w:ascii="宋体" w:hAnsi="宋体" w:cs="仿宋_GB2312"/>
                <w:color w:val="auto"/>
                <w:kern w:val="0"/>
                <w:szCs w:val="21"/>
                <w:highlight w:val="none"/>
              </w:rPr>
              <w:t>领域无关联，从未牵头或参与过相关课题研究，完全不具备相关专业水平和科研能力；</w:t>
            </w:r>
          </w:p>
          <w:p>
            <w:pPr>
              <w:spacing w:line="360" w:lineRule="auto"/>
              <w:ind w:firstLine="420" w:firstLineChars="200"/>
              <w:rPr>
                <w:rFonts w:ascii="宋体" w:hAnsi="宋体" w:cs="仿宋_GB2312"/>
                <w:color w:val="auto"/>
                <w:kern w:val="0"/>
                <w:szCs w:val="21"/>
                <w:highlight w:val="none"/>
              </w:rPr>
            </w:pPr>
            <w:r>
              <w:rPr>
                <w:rFonts w:hint="eastAsia" w:ascii="宋体" w:hAnsi="宋体" w:cs="仿宋_GB2312"/>
                <w:color w:val="auto"/>
                <w:kern w:val="0"/>
                <w:szCs w:val="21"/>
                <w:highlight w:val="none"/>
              </w:rPr>
              <w:t>二档（</w:t>
            </w:r>
            <w:r>
              <w:rPr>
                <w:rFonts w:hint="eastAsia" w:ascii="宋体" w:hAnsi="宋体" w:cs="仿宋_GB2312"/>
                <w:color w:val="auto"/>
                <w:kern w:val="0"/>
                <w:szCs w:val="21"/>
                <w:highlight w:val="none"/>
                <w:lang w:val="en-US" w:eastAsia="zh-CN"/>
              </w:rPr>
              <w:t>6</w:t>
            </w:r>
            <w:r>
              <w:rPr>
                <w:rFonts w:hint="eastAsia" w:ascii="宋体" w:hAnsi="宋体" w:cs="仿宋_GB2312"/>
                <w:color w:val="auto"/>
                <w:kern w:val="0"/>
                <w:szCs w:val="21"/>
                <w:highlight w:val="none"/>
              </w:rPr>
              <w:t>分）：研究成果与</w:t>
            </w:r>
            <w:r>
              <w:rPr>
                <w:rFonts w:hint="eastAsia" w:ascii="宋体" w:hAnsi="宋体" w:cs="仿宋_GB2312"/>
                <w:color w:val="auto"/>
                <w:kern w:val="0"/>
                <w:szCs w:val="21"/>
                <w:highlight w:val="none"/>
                <w:lang w:eastAsia="zh-CN"/>
              </w:rPr>
              <w:t>农业农村研究</w:t>
            </w:r>
            <w:r>
              <w:rPr>
                <w:rFonts w:hint="eastAsia" w:ascii="宋体" w:hAnsi="宋体" w:cs="仿宋_GB2312"/>
                <w:color w:val="auto"/>
                <w:kern w:val="0"/>
                <w:szCs w:val="21"/>
                <w:highlight w:val="none"/>
              </w:rPr>
              <w:t>领域有关联少，牵头和参与过相关课题研究少，专业水平和科研能力低；</w:t>
            </w:r>
          </w:p>
          <w:p>
            <w:pPr>
              <w:spacing w:line="360" w:lineRule="auto"/>
              <w:ind w:firstLine="420" w:firstLineChars="200"/>
              <w:rPr>
                <w:rFonts w:ascii="宋体" w:hAnsi="宋体" w:cs="仿宋_GB2312"/>
                <w:color w:val="auto"/>
                <w:kern w:val="0"/>
                <w:szCs w:val="21"/>
                <w:highlight w:val="none"/>
              </w:rPr>
            </w:pPr>
            <w:r>
              <w:rPr>
                <w:rFonts w:hint="eastAsia" w:ascii="宋体" w:hAnsi="宋体" w:cs="仿宋_GB2312"/>
                <w:color w:val="auto"/>
                <w:kern w:val="0"/>
                <w:szCs w:val="21"/>
                <w:highlight w:val="none"/>
                <w:lang w:eastAsia="zh-CN"/>
              </w:rPr>
              <w:t>三</w:t>
            </w:r>
            <w:r>
              <w:rPr>
                <w:rFonts w:hint="eastAsia" w:ascii="宋体" w:hAnsi="宋体" w:cs="仿宋_GB2312"/>
                <w:color w:val="auto"/>
                <w:kern w:val="0"/>
                <w:szCs w:val="21"/>
                <w:highlight w:val="none"/>
              </w:rPr>
              <w:t>档（10分）：研究成果与</w:t>
            </w:r>
            <w:r>
              <w:rPr>
                <w:rFonts w:hint="eastAsia" w:ascii="宋体" w:hAnsi="宋体" w:cs="仿宋_GB2312"/>
                <w:color w:val="auto"/>
                <w:kern w:val="0"/>
                <w:szCs w:val="21"/>
                <w:highlight w:val="none"/>
                <w:lang w:eastAsia="zh-CN"/>
              </w:rPr>
              <w:t>农业农村研究</w:t>
            </w:r>
            <w:r>
              <w:rPr>
                <w:rFonts w:hint="eastAsia" w:ascii="宋体" w:hAnsi="宋体" w:cs="仿宋_GB2312"/>
                <w:color w:val="auto"/>
                <w:kern w:val="0"/>
                <w:szCs w:val="21"/>
                <w:highlight w:val="none"/>
              </w:rPr>
              <w:t>领域关联密切，牵头开展了大量的相关课题研究，具备很强的专业水平和科研能力。</w:t>
            </w:r>
          </w:p>
          <w:p>
            <w:pPr>
              <w:spacing w:line="360" w:lineRule="auto"/>
              <w:ind w:firstLine="422" w:firstLineChars="200"/>
              <w:rPr>
                <w:rFonts w:ascii="宋体" w:hAnsi="宋体" w:cs="仿宋_GB2312"/>
                <w:b/>
                <w:color w:val="auto"/>
                <w:kern w:val="0"/>
                <w:szCs w:val="21"/>
                <w:highlight w:val="none"/>
              </w:rPr>
            </w:pPr>
            <w:r>
              <w:rPr>
                <w:rFonts w:hint="eastAsia" w:ascii="宋体" w:hAnsi="宋体" w:cs="仿宋_GB2312"/>
                <w:b/>
                <w:color w:val="auto"/>
                <w:kern w:val="0"/>
                <w:szCs w:val="21"/>
                <w:highlight w:val="none"/>
              </w:rPr>
              <w:t>2）课题研究团队（1</w:t>
            </w:r>
            <w:r>
              <w:rPr>
                <w:rFonts w:hint="eastAsia" w:ascii="宋体" w:hAnsi="宋体" w:cs="仿宋_GB2312"/>
                <w:b/>
                <w:color w:val="auto"/>
                <w:kern w:val="0"/>
                <w:szCs w:val="21"/>
                <w:highlight w:val="none"/>
                <w:lang w:val="en-US" w:eastAsia="zh-CN"/>
              </w:rPr>
              <w:t>4</w:t>
            </w:r>
            <w:r>
              <w:rPr>
                <w:rFonts w:hint="eastAsia" w:ascii="宋体" w:hAnsi="宋体" w:cs="仿宋_GB2312"/>
                <w:b/>
                <w:color w:val="auto"/>
                <w:kern w:val="0"/>
                <w:szCs w:val="21"/>
                <w:highlight w:val="none"/>
              </w:rPr>
              <w:t>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磋商小组</w:t>
            </w:r>
            <w:r>
              <w:rPr>
                <w:rFonts w:hint="eastAsia" w:ascii="宋体" w:hAnsi="宋体" w:cs="宋体"/>
                <w:color w:val="auto"/>
                <w:szCs w:val="21"/>
                <w:highlight w:val="none"/>
                <w:lang w:eastAsia="zh-CN"/>
              </w:rPr>
              <w:t>根据</w:t>
            </w:r>
            <w:r>
              <w:rPr>
                <w:rFonts w:hint="eastAsia" w:ascii="宋体" w:hAnsi="宋体" w:cs="宋体"/>
                <w:color w:val="auto"/>
                <w:szCs w:val="21"/>
                <w:highlight w:val="none"/>
              </w:rPr>
              <w:t>供应商</w:t>
            </w:r>
            <w:r>
              <w:rPr>
                <w:rFonts w:hint="eastAsia" w:ascii="宋体" w:hAnsi="宋体" w:cs="宋体"/>
                <w:color w:val="auto"/>
                <w:szCs w:val="21"/>
                <w:highlight w:val="none"/>
                <w:lang w:eastAsia="zh-CN"/>
              </w:rPr>
              <w:t>提供的</w:t>
            </w:r>
            <w:r>
              <w:rPr>
                <w:rFonts w:hint="eastAsia" w:ascii="宋体" w:hAnsi="宋体" w:cs="宋体"/>
                <w:color w:val="auto"/>
                <w:szCs w:val="21"/>
                <w:highlight w:val="none"/>
              </w:rPr>
              <w:t>课题研究团队</w:t>
            </w:r>
            <w:r>
              <w:rPr>
                <w:rFonts w:hint="eastAsia" w:ascii="宋体" w:hAnsi="宋体" w:cs="宋体"/>
                <w:color w:val="auto"/>
                <w:szCs w:val="21"/>
                <w:highlight w:val="none"/>
                <w:lang w:eastAsia="zh-CN"/>
              </w:rPr>
              <w:t>（</w:t>
            </w:r>
            <w:r>
              <w:rPr>
                <w:rFonts w:hint="eastAsia" w:ascii="宋体" w:hAnsi="宋体" w:cs="仿宋_GB2312"/>
                <w:color w:val="auto"/>
                <w:kern w:val="0"/>
                <w:szCs w:val="21"/>
                <w:highlight w:val="none"/>
              </w:rPr>
              <w:t>评审因素：主要参加研究人员（前三名，含课题负责人）是否有一定的专业水平和科研能力；研究队伍专业结构是否合理，是否有相关职能部门的研究人员参与研究课题</w:t>
            </w:r>
            <w:r>
              <w:rPr>
                <w:rFonts w:hint="eastAsia" w:ascii="宋体" w:hAnsi="宋体" w:cs="仿宋_GB2312"/>
                <w:bCs/>
                <w:color w:val="auto"/>
                <w:kern w:val="0"/>
                <w:szCs w:val="21"/>
                <w:highlight w:val="none"/>
                <w:lang w:eastAsia="zh-CN"/>
              </w:rPr>
              <w:t>）</w:t>
            </w:r>
            <w:r>
              <w:rPr>
                <w:rFonts w:hint="eastAsia" w:ascii="宋体" w:hAnsi="宋体" w:cs="宋体"/>
                <w:color w:val="auto"/>
                <w:szCs w:val="21"/>
                <w:highlight w:val="none"/>
              </w:rPr>
              <w:t>确定各供应商所属档次及分值</w:t>
            </w:r>
            <w:r>
              <w:rPr>
                <w:rFonts w:hint="eastAsia" w:ascii="宋体" w:hAnsi="宋体" w:cs="宋体"/>
                <w:color w:val="auto"/>
                <w:szCs w:val="21"/>
                <w:highlight w:val="none"/>
                <w:lang w:eastAsia="zh-CN"/>
              </w:rPr>
              <w:t>。</w:t>
            </w:r>
            <w:r>
              <w:rPr>
                <w:rFonts w:hint="eastAsia"/>
                <w:color w:val="auto"/>
                <w:highlight w:val="none"/>
                <w:lang w:val="en-US" w:eastAsia="zh-CN"/>
              </w:rPr>
              <w:t>达不到一档要求或不提供的得0分。</w:t>
            </w:r>
          </w:p>
          <w:p>
            <w:pPr>
              <w:spacing w:line="360" w:lineRule="auto"/>
              <w:ind w:firstLine="420" w:firstLineChars="200"/>
              <w:rPr>
                <w:rFonts w:ascii="宋体" w:hAnsi="宋体" w:cs="仿宋_GB2312"/>
                <w:color w:val="auto"/>
                <w:kern w:val="0"/>
                <w:szCs w:val="21"/>
                <w:highlight w:val="none"/>
              </w:rPr>
            </w:pPr>
            <w:r>
              <w:rPr>
                <w:rFonts w:hint="eastAsia" w:ascii="宋体" w:hAnsi="宋体" w:cs="仿宋_GB2312"/>
                <w:color w:val="auto"/>
                <w:kern w:val="0"/>
                <w:szCs w:val="21"/>
                <w:highlight w:val="none"/>
              </w:rPr>
              <w:t>一档（</w:t>
            </w:r>
            <w:r>
              <w:rPr>
                <w:rFonts w:hint="eastAsia" w:ascii="宋体" w:hAnsi="宋体" w:cs="仿宋_GB2312"/>
                <w:color w:val="auto"/>
                <w:kern w:val="0"/>
                <w:szCs w:val="21"/>
                <w:highlight w:val="none"/>
                <w:lang w:val="en-US" w:eastAsia="zh-CN"/>
              </w:rPr>
              <w:t>3</w:t>
            </w:r>
            <w:r>
              <w:rPr>
                <w:rFonts w:hint="eastAsia" w:ascii="宋体" w:hAnsi="宋体" w:cs="仿宋_GB2312"/>
                <w:color w:val="auto"/>
                <w:kern w:val="0"/>
                <w:szCs w:val="21"/>
                <w:highlight w:val="none"/>
              </w:rPr>
              <w:t>分）：主要研究人员不具备专业水平和科研能力，研究队伍结构单一，没有相关职能部门的研究人员参与课题；</w:t>
            </w:r>
          </w:p>
          <w:p>
            <w:pPr>
              <w:spacing w:line="360" w:lineRule="auto"/>
              <w:ind w:firstLine="420" w:firstLineChars="200"/>
              <w:rPr>
                <w:rFonts w:ascii="宋体" w:hAnsi="宋体" w:cs="仿宋_GB2312"/>
                <w:color w:val="auto"/>
                <w:kern w:val="0"/>
                <w:szCs w:val="21"/>
                <w:highlight w:val="none"/>
              </w:rPr>
            </w:pPr>
            <w:r>
              <w:rPr>
                <w:rFonts w:hint="eastAsia" w:ascii="宋体" w:hAnsi="宋体" w:cs="仿宋_GB2312"/>
                <w:color w:val="auto"/>
                <w:kern w:val="0"/>
                <w:szCs w:val="21"/>
                <w:highlight w:val="none"/>
                <w:lang w:eastAsia="zh-CN"/>
              </w:rPr>
              <w:t>二</w:t>
            </w:r>
            <w:r>
              <w:rPr>
                <w:rFonts w:hint="eastAsia" w:ascii="宋体" w:hAnsi="宋体" w:cs="仿宋_GB2312"/>
                <w:color w:val="auto"/>
                <w:kern w:val="0"/>
                <w:szCs w:val="21"/>
                <w:highlight w:val="none"/>
              </w:rPr>
              <w:t>档（6分）：主要研究人员专业水平和科研能力一般，</w:t>
            </w:r>
            <w:r>
              <w:rPr>
                <w:rFonts w:hint="eastAsia" w:ascii="宋体" w:hAnsi="宋体" w:cs="仿宋_GB2312"/>
                <w:color w:val="auto"/>
                <w:kern w:val="0"/>
                <w:szCs w:val="21"/>
                <w:highlight w:val="none"/>
                <w:lang w:eastAsia="zh-CN"/>
              </w:rPr>
              <w:t>有高级职称以上人员</w:t>
            </w:r>
            <w:r>
              <w:rPr>
                <w:rFonts w:hint="eastAsia" w:ascii="宋体" w:hAnsi="宋体" w:cs="仿宋_GB2312"/>
                <w:color w:val="auto"/>
                <w:kern w:val="0"/>
                <w:szCs w:val="21"/>
                <w:highlight w:val="none"/>
                <w:lang w:val="en-US" w:eastAsia="zh-CN"/>
              </w:rPr>
              <w:t>1人，</w:t>
            </w:r>
            <w:r>
              <w:rPr>
                <w:rFonts w:hint="eastAsia" w:ascii="宋体" w:hAnsi="宋体" w:cs="仿宋_GB2312"/>
                <w:color w:val="auto"/>
                <w:kern w:val="0"/>
                <w:szCs w:val="21"/>
                <w:highlight w:val="none"/>
              </w:rPr>
              <w:t>研究队伍专业结构较合理，相关职能部门参与研究的人员较少；</w:t>
            </w:r>
          </w:p>
          <w:p>
            <w:pPr>
              <w:spacing w:line="360" w:lineRule="auto"/>
              <w:ind w:firstLine="420" w:firstLineChars="200"/>
              <w:rPr>
                <w:rFonts w:ascii="宋体" w:hAnsi="宋体" w:cs="仿宋_GB2312"/>
                <w:color w:val="auto"/>
                <w:kern w:val="0"/>
                <w:szCs w:val="21"/>
                <w:highlight w:val="none"/>
              </w:rPr>
            </w:pPr>
            <w:r>
              <w:rPr>
                <w:rFonts w:hint="eastAsia" w:ascii="宋体" w:hAnsi="宋体" w:cs="仿宋_GB2312"/>
                <w:color w:val="auto"/>
                <w:kern w:val="0"/>
                <w:szCs w:val="21"/>
                <w:highlight w:val="none"/>
                <w:lang w:eastAsia="zh-CN"/>
              </w:rPr>
              <w:t>三</w:t>
            </w:r>
            <w:r>
              <w:rPr>
                <w:rFonts w:hint="eastAsia" w:ascii="宋体" w:hAnsi="宋体" w:cs="仿宋_GB2312"/>
                <w:color w:val="auto"/>
                <w:kern w:val="0"/>
                <w:szCs w:val="21"/>
                <w:highlight w:val="none"/>
              </w:rPr>
              <w:t>档（</w:t>
            </w:r>
            <w:r>
              <w:rPr>
                <w:rFonts w:hint="eastAsia" w:ascii="宋体" w:hAnsi="宋体" w:cs="仿宋_GB2312"/>
                <w:color w:val="auto"/>
                <w:kern w:val="0"/>
                <w:szCs w:val="21"/>
                <w:highlight w:val="none"/>
                <w:lang w:val="en-US" w:eastAsia="zh-CN"/>
              </w:rPr>
              <w:t>9</w:t>
            </w:r>
            <w:r>
              <w:rPr>
                <w:rFonts w:hint="eastAsia" w:ascii="宋体" w:hAnsi="宋体" w:cs="仿宋_GB2312"/>
                <w:color w:val="auto"/>
                <w:kern w:val="0"/>
                <w:szCs w:val="21"/>
                <w:highlight w:val="none"/>
              </w:rPr>
              <w:t>分）：主要研究人员专业水平和科研能力较强，</w:t>
            </w:r>
            <w:r>
              <w:rPr>
                <w:rFonts w:hint="eastAsia" w:ascii="宋体" w:hAnsi="宋体" w:cs="仿宋_GB2312"/>
                <w:color w:val="auto"/>
                <w:kern w:val="0"/>
                <w:szCs w:val="21"/>
                <w:highlight w:val="none"/>
                <w:lang w:eastAsia="zh-CN"/>
              </w:rPr>
              <w:t>有高级职称以上人员</w:t>
            </w:r>
            <w:r>
              <w:rPr>
                <w:rFonts w:hint="eastAsia" w:ascii="宋体" w:hAnsi="宋体" w:cs="仿宋_GB2312"/>
                <w:color w:val="auto"/>
                <w:kern w:val="0"/>
                <w:szCs w:val="21"/>
                <w:highlight w:val="none"/>
                <w:lang w:val="en-US" w:eastAsia="zh-CN"/>
              </w:rPr>
              <w:t>2人，中级职称人员1人，</w:t>
            </w:r>
            <w:r>
              <w:rPr>
                <w:rFonts w:hint="eastAsia" w:ascii="宋体" w:hAnsi="宋体" w:cs="仿宋_GB2312"/>
                <w:color w:val="auto"/>
                <w:kern w:val="0"/>
                <w:szCs w:val="21"/>
                <w:highlight w:val="none"/>
              </w:rPr>
              <w:t>研究队伍专业结构合理，有一定的职能部门人员参与研究；</w:t>
            </w:r>
          </w:p>
          <w:p>
            <w:pPr>
              <w:spacing w:line="360" w:lineRule="auto"/>
              <w:ind w:firstLine="420" w:firstLineChars="200"/>
              <w:rPr>
                <w:rFonts w:hint="eastAsia" w:ascii="Calibri" w:hAnsi="Calibri" w:eastAsia="宋体" w:cs="Times New Roman"/>
                <w:color w:val="auto"/>
                <w:kern w:val="2"/>
                <w:sz w:val="21"/>
                <w:szCs w:val="21"/>
                <w:highlight w:val="none"/>
                <w:lang w:val="en-US" w:eastAsia="zh-CN" w:bidi="ar-SA"/>
              </w:rPr>
            </w:pPr>
            <w:r>
              <w:rPr>
                <w:rFonts w:hint="eastAsia" w:ascii="宋体" w:hAnsi="宋体" w:cs="仿宋_GB2312"/>
                <w:color w:val="auto"/>
                <w:kern w:val="0"/>
                <w:szCs w:val="21"/>
                <w:highlight w:val="none"/>
                <w:lang w:eastAsia="zh-CN"/>
              </w:rPr>
              <w:t>四</w:t>
            </w:r>
            <w:r>
              <w:rPr>
                <w:rFonts w:hint="eastAsia" w:ascii="宋体" w:hAnsi="宋体" w:cs="仿宋_GB2312"/>
                <w:color w:val="auto"/>
                <w:kern w:val="0"/>
                <w:szCs w:val="21"/>
                <w:highlight w:val="none"/>
              </w:rPr>
              <w:t>档（</w:t>
            </w:r>
            <w:r>
              <w:rPr>
                <w:rFonts w:hint="eastAsia" w:ascii="宋体" w:hAnsi="宋体" w:cs="仿宋_GB2312"/>
                <w:color w:val="auto"/>
                <w:kern w:val="0"/>
                <w:szCs w:val="21"/>
                <w:highlight w:val="none"/>
                <w:lang w:val="en-US" w:eastAsia="zh-CN"/>
              </w:rPr>
              <w:t>14</w:t>
            </w:r>
            <w:r>
              <w:rPr>
                <w:rFonts w:hint="eastAsia" w:ascii="宋体" w:hAnsi="宋体" w:cs="仿宋_GB2312"/>
                <w:color w:val="auto"/>
                <w:kern w:val="0"/>
                <w:szCs w:val="21"/>
                <w:highlight w:val="none"/>
              </w:rPr>
              <w:t>分）：主要研究人员具有很强的专业水平和科研能力，</w:t>
            </w:r>
            <w:r>
              <w:rPr>
                <w:rFonts w:hint="eastAsia" w:ascii="宋体" w:hAnsi="宋体" w:cs="仿宋_GB2312"/>
                <w:color w:val="auto"/>
                <w:kern w:val="0"/>
                <w:szCs w:val="21"/>
                <w:highlight w:val="none"/>
                <w:lang w:eastAsia="zh-CN"/>
              </w:rPr>
              <w:t>有高级职称以上人员</w:t>
            </w:r>
            <w:r>
              <w:rPr>
                <w:rFonts w:hint="eastAsia" w:ascii="宋体" w:hAnsi="宋体" w:cs="仿宋_GB2312"/>
                <w:color w:val="auto"/>
                <w:kern w:val="0"/>
                <w:szCs w:val="21"/>
                <w:highlight w:val="none"/>
                <w:lang w:val="en-US" w:eastAsia="zh-CN"/>
              </w:rPr>
              <w:t>3人，中级职称人员2人，</w:t>
            </w:r>
            <w:r>
              <w:rPr>
                <w:rFonts w:hint="eastAsia" w:ascii="宋体" w:hAnsi="宋体" w:cs="仿宋_GB2312"/>
                <w:color w:val="auto"/>
                <w:kern w:val="0"/>
                <w:szCs w:val="21"/>
                <w:highlight w:val="none"/>
              </w:rPr>
              <w:t>研究队伍专业结构合理，有较多高水平研究人才，有较多</w:t>
            </w:r>
            <w:r>
              <w:rPr>
                <w:rFonts w:hint="eastAsia" w:ascii="宋体" w:hAnsi="宋体" w:cs="仿宋_GB2312"/>
                <w:color w:val="auto"/>
                <w:kern w:val="0"/>
                <w:szCs w:val="21"/>
                <w:highlight w:val="none"/>
                <w:lang w:eastAsia="zh-CN"/>
              </w:rPr>
              <w:t>农业农村研究</w:t>
            </w:r>
            <w:r>
              <w:rPr>
                <w:rFonts w:hint="eastAsia" w:ascii="宋体" w:hAnsi="宋体" w:cs="仿宋_GB2312"/>
                <w:color w:val="auto"/>
                <w:kern w:val="0"/>
                <w:szCs w:val="21"/>
                <w:highlight w:val="none"/>
              </w:rPr>
              <w:t>领域和职能部门的研究人员参与研究。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77" w:type="dxa"/>
            <w:vAlign w:val="center"/>
          </w:tcPr>
          <w:p>
            <w:pPr>
              <w:adjustRightInd w:val="0"/>
              <w:spacing w:line="360" w:lineRule="auto"/>
              <w:jc w:val="center"/>
              <w:textAlignment w:val="baseline"/>
              <w:rPr>
                <w:rFonts w:ascii="宋体" w:hAnsi="宋体" w:cs="宋体"/>
                <w:b/>
                <w:color w:val="auto"/>
                <w:szCs w:val="21"/>
                <w:highlight w:val="none"/>
              </w:rPr>
            </w:pPr>
            <w:r>
              <w:rPr>
                <w:rFonts w:hint="eastAsia" w:ascii="宋体" w:hAnsi="宋体" w:cs="宋体"/>
                <w:b/>
                <w:color w:val="auto"/>
                <w:szCs w:val="21"/>
                <w:highlight w:val="none"/>
              </w:rPr>
              <w:t>3</w:t>
            </w:r>
          </w:p>
        </w:tc>
        <w:tc>
          <w:tcPr>
            <w:tcW w:w="1107" w:type="dxa"/>
            <w:vAlign w:val="center"/>
          </w:tcPr>
          <w:p>
            <w:pPr>
              <w:adjustRightInd w:val="0"/>
              <w:spacing w:line="360" w:lineRule="auto"/>
              <w:jc w:val="center"/>
              <w:textAlignment w:val="baseline"/>
              <w:rPr>
                <w:rFonts w:ascii="宋体" w:hAnsi="宋体" w:cs="宋体"/>
                <w:b/>
                <w:color w:val="auto"/>
                <w:szCs w:val="21"/>
                <w:highlight w:val="none"/>
              </w:rPr>
            </w:pPr>
            <w:r>
              <w:rPr>
                <w:rFonts w:hint="eastAsia" w:ascii="宋体" w:hAnsi="宋体" w:cs="宋体"/>
                <w:b/>
                <w:color w:val="auto"/>
                <w:szCs w:val="21"/>
                <w:highlight w:val="none"/>
              </w:rPr>
              <w:t>商务分</w:t>
            </w:r>
          </w:p>
        </w:tc>
        <w:tc>
          <w:tcPr>
            <w:tcW w:w="737" w:type="dxa"/>
            <w:vAlign w:val="center"/>
          </w:tcPr>
          <w:p>
            <w:pPr>
              <w:adjustRightInd w:val="0"/>
              <w:spacing w:line="360" w:lineRule="auto"/>
              <w:jc w:val="center"/>
              <w:textAlignment w:val="baseline"/>
              <w:rPr>
                <w:rFonts w:ascii="宋体" w:hAnsi="宋体" w:cs="宋体"/>
                <w:b/>
                <w:color w:val="auto"/>
                <w:szCs w:val="21"/>
                <w:highlight w:val="none"/>
              </w:rPr>
            </w:pPr>
            <w:r>
              <w:rPr>
                <w:rFonts w:hint="eastAsia" w:ascii="宋体" w:hAnsi="宋体" w:cs="宋体"/>
                <w:b/>
                <w:color w:val="auto"/>
                <w:kern w:val="0"/>
                <w:szCs w:val="21"/>
                <w:highlight w:val="none"/>
                <w:lang w:val="en-US" w:eastAsia="zh-CN"/>
              </w:rPr>
              <w:t>6</w:t>
            </w:r>
            <w:r>
              <w:rPr>
                <w:rFonts w:hint="eastAsia" w:ascii="宋体" w:hAnsi="宋体" w:cs="宋体"/>
                <w:b/>
                <w:color w:val="auto"/>
                <w:kern w:val="0"/>
                <w:szCs w:val="21"/>
                <w:highlight w:val="none"/>
              </w:rPr>
              <w:t>分</w:t>
            </w:r>
          </w:p>
        </w:tc>
        <w:tc>
          <w:tcPr>
            <w:tcW w:w="6718" w:type="dxa"/>
            <w:gridSpan w:val="2"/>
            <w:vAlign w:val="center"/>
          </w:tcPr>
          <w:p>
            <w:pPr>
              <w:spacing w:line="360" w:lineRule="auto"/>
              <w:ind w:firstLine="420" w:firstLineChars="200"/>
              <w:rPr>
                <w:color w:val="auto"/>
                <w:highlight w:val="none"/>
              </w:rPr>
            </w:pPr>
            <w:r>
              <w:rPr>
                <w:rFonts w:hint="eastAsia" w:ascii="宋体" w:hAnsi="宋体" w:eastAsia="宋体" w:cs="Times New Roman"/>
                <w:bCs/>
                <w:color w:val="auto"/>
                <w:szCs w:val="21"/>
                <w:highlight w:val="none"/>
                <w:vertAlign w:val="baseline"/>
                <w:lang w:eastAsia="zh-CN"/>
              </w:rPr>
              <w:t>供应商从20</w:t>
            </w:r>
            <w:r>
              <w:rPr>
                <w:rFonts w:hint="eastAsia" w:ascii="宋体" w:hAnsi="宋体" w:eastAsia="宋体" w:cs="Times New Roman"/>
                <w:bCs/>
                <w:color w:val="auto"/>
                <w:szCs w:val="21"/>
                <w:highlight w:val="none"/>
                <w:vertAlign w:val="baseline"/>
                <w:lang w:val="en-US" w:eastAsia="zh-CN"/>
              </w:rPr>
              <w:t>21</w:t>
            </w:r>
            <w:r>
              <w:rPr>
                <w:rFonts w:hint="eastAsia" w:ascii="宋体" w:hAnsi="宋体" w:eastAsia="宋体" w:cs="Times New Roman"/>
                <w:bCs/>
                <w:color w:val="auto"/>
                <w:szCs w:val="21"/>
                <w:highlight w:val="none"/>
                <w:vertAlign w:val="baseline"/>
                <w:lang w:eastAsia="zh-CN"/>
              </w:rPr>
              <w:t>年以来承接过同类服务业绩，每个得</w:t>
            </w:r>
            <w:r>
              <w:rPr>
                <w:rFonts w:hint="eastAsia" w:ascii="宋体" w:hAnsi="宋体" w:cs="Times New Roman"/>
                <w:bCs/>
                <w:color w:val="auto"/>
                <w:szCs w:val="21"/>
                <w:highlight w:val="none"/>
                <w:vertAlign w:val="baseline"/>
                <w:lang w:val="en-US" w:eastAsia="zh-CN"/>
              </w:rPr>
              <w:t>3</w:t>
            </w:r>
            <w:r>
              <w:rPr>
                <w:rFonts w:hint="eastAsia" w:ascii="宋体" w:hAnsi="宋体" w:eastAsia="宋体" w:cs="Times New Roman"/>
                <w:bCs/>
                <w:color w:val="auto"/>
                <w:szCs w:val="21"/>
                <w:highlight w:val="none"/>
                <w:vertAlign w:val="baseline"/>
                <w:lang w:eastAsia="zh-CN"/>
              </w:rPr>
              <w:t>分（必须在竞争性磋商响应文件中提供合同或中标/成交通知书复印件，原件备查）,</w:t>
            </w:r>
            <w:r>
              <w:rPr>
                <w:rFonts w:hint="eastAsia" w:ascii="宋体" w:hAnsi="宋体" w:eastAsia="宋体" w:cs="Times New Roman"/>
                <w:b/>
                <w:bCs w:val="0"/>
                <w:color w:val="auto"/>
                <w:szCs w:val="21"/>
                <w:highlight w:val="none"/>
                <w:vertAlign w:val="baseline"/>
                <w:lang w:eastAsia="zh-CN"/>
              </w:rPr>
              <w:t>满分</w:t>
            </w:r>
            <w:r>
              <w:rPr>
                <w:rFonts w:hint="eastAsia" w:ascii="宋体" w:hAnsi="宋体" w:eastAsia="宋体" w:cs="Times New Roman"/>
                <w:b/>
                <w:bCs w:val="0"/>
                <w:color w:val="auto"/>
                <w:szCs w:val="21"/>
                <w:highlight w:val="none"/>
                <w:vertAlign w:val="baseline"/>
                <w:lang w:val="en-US" w:eastAsia="zh-CN"/>
              </w:rPr>
              <w:t>6</w:t>
            </w:r>
            <w:r>
              <w:rPr>
                <w:rFonts w:hint="eastAsia" w:ascii="宋体" w:hAnsi="宋体" w:eastAsia="宋体" w:cs="Times New Roman"/>
                <w:b/>
                <w:bCs w:val="0"/>
                <w:color w:val="auto"/>
                <w:szCs w:val="21"/>
                <w:highlight w:val="none"/>
                <w:vertAlign w:val="baseline"/>
                <w:lang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239" w:type="dxa"/>
            <w:gridSpan w:val="5"/>
            <w:vAlign w:val="center"/>
          </w:tcPr>
          <w:p>
            <w:pPr>
              <w:pStyle w:val="18"/>
              <w:spacing w:line="360" w:lineRule="auto"/>
              <w:rPr>
                <w:rFonts w:hAnsi="宋体" w:cs="宋体"/>
                <w:bCs/>
                <w:color w:val="auto"/>
                <w:kern w:val="2"/>
                <w:sz w:val="21"/>
                <w:highlight w:val="none"/>
              </w:rPr>
            </w:pPr>
            <w:r>
              <w:rPr>
                <w:rFonts w:hint="eastAsia" w:hAnsi="宋体" w:cs="宋体"/>
                <w:b/>
                <w:bCs/>
                <w:color w:val="auto"/>
                <w:kern w:val="2"/>
                <w:sz w:val="21"/>
                <w:highlight w:val="none"/>
              </w:rPr>
              <w:t>总得分=1+2+3。</w:t>
            </w:r>
          </w:p>
        </w:tc>
      </w:tr>
    </w:tbl>
    <w:p>
      <w:pPr>
        <w:rPr>
          <w:rFonts w:hint="eastAsia" w:ascii="宋体" w:hAnsi="宋体" w:cs="宋体"/>
          <w:bCs/>
          <w:color w:val="auto"/>
          <w:szCs w:val="21"/>
          <w:highlight w:val="none"/>
        </w:rPr>
      </w:pPr>
    </w:p>
    <w:p>
      <w:pPr>
        <w:rPr>
          <w:rFonts w:hint="eastAsia" w:ascii="宋体" w:hAnsi="宋体" w:cs="宋体"/>
          <w:bCs/>
          <w:color w:val="auto"/>
          <w:szCs w:val="21"/>
          <w:highlight w:val="none"/>
        </w:rPr>
      </w:pPr>
    </w:p>
    <w:p>
      <w:pPr>
        <w:rPr>
          <w:rFonts w:hint="eastAsia" w:ascii="宋体" w:hAnsi="宋体" w:cs="宋体"/>
          <w:b/>
          <w:bCs w:val="0"/>
          <w:color w:val="auto"/>
          <w:szCs w:val="21"/>
          <w:highlight w:val="none"/>
          <w:lang w:val="en-US" w:eastAsia="zh-CN"/>
        </w:rPr>
      </w:pPr>
      <w:r>
        <w:rPr>
          <w:rFonts w:hint="eastAsia" w:ascii="宋体" w:hAnsi="宋体" w:cs="宋体"/>
          <w:b/>
          <w:bCs w:val="0"/>
          <w:color w:val="auto"/>
          <w:szCs w:val="21"/>
          <w:highlight w:val="none"/>
          <w:lang w:eastAsia="zh-CN"/>
        </w:rPr>
        <w:t>分标</w:t>
      </w:r>
      <w:r>
        <w:rPr>
          <w:rFonts w:hint="eastAsia" w:ascii="宋体" w:hAnsi="宋体" w:cs="宋体"/>
          <w:b/>
          <w:bCs w:val="0"/>
          <w:color w:val="auto"/>
          <w:szCs w:val="21"/>
          <w:highlight w:val="none"/>
          <w:lang w:val="en-US" w:eastAsia="zh-CN"/>
        </w:rPr>
        <w:t>5：</w:t>
      </w:r>
    </w:p>
    <w:tbl>
      <w:tblPr>
        <w:tblStyle w:val="30"/>
        <w:tblW w:w="92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7"/>
        <w:gridCol w:w="1107"/>
        <w:gridCol w:w="737"/>
        <w:gridCol w:w="1548"/>
        <w:gridCol w:w="5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77" w:type="dxa"/>
            <w:vAlign w:val="center"/>
          </w:tcPr>
          <w:p>
            <w:pPr>
              <w:adjustRightInd w:val="0"/>
              <w:spacing w:line="410" w:lineRule="exact"/>
              <w:jc w:val="center"/>
              <w:textAlignment w:val="baseline"/>
              <w:rPr>
                <w:rFonts w:ascii="宋体" w:hAnsi="宋体" w:cs="宋体"/>
                <w:b/>
                <w:color w:val="auto"/>
                <w:szCs w:val="21"/>
                <w:highlight w:val="none"/>
              </w:rPr>
            </w:pPr>
            <w:r>
              <w:rPr>
                <w:rFonts w:hint="eastAsia" w:ascii="宋体" w:hAnsi="宋体" w:cs="宋体"/>
                <w:b/>
                <w:color w:val="auto"/>
                <w:szCs w:val="21"/>
                <w:highlight w:val="none"/>
              </w:rPr>
              <w:t>序号</w:t>
            </w:r>
          </w:p>
        </w:tc>
        <w:tc>
          <w:tcPr>
            <w:tcW w:w="1107" w:type="dxa"/>
            <w:vAlign w:val="center"/>
          </w:tcPr>
          <w:p>
            <w:pPr>
              <w:adjustRightInd w:val="0"/>
              <w:spacing w:line="410" w:lineRule="exact"/>
              <w:jc w:val="center"/>
              <w:textAlignment w:val="baseline"/>
              <w:rPr>
                <w:rFonts w:ascii="宋体" w:hAnsi="宋体" w:cs="宋体"/>
                <w:color w:val="auto"/>
                <w:szCs w:val="21"/>
                <w:highlight w:val="none"/>
              </w:rPr>
            </w:pPr>
            <w:r>
              <w:rPr>
                <w:rFonts w:hint="eastAsia" w:ascii="宋体" w:hAnsi="宋体" w:cs="宋体"/>
                <w:b/>
                <w:color w:val="auto"/>
                <w:szCs w:val="21"/>
                <w:highlight w:val="none"/>
              </w:rPr>
              <w:t>评审因素</w:t>
            </w:r>
          </w:p>
        </w:tc>
        <w:tc>
          <w:tcPr>
            <w:tcW w:w="737" w:type="dxa"/>
            <w:vAlign w:val="center"/>
          </w:tcPr>
          <w:p>
            <w:pPr>
              <w:adjustRightInd w:val="0"/>
              <w:spacing w:line="410" w:lineRule="exact"/>
              <w:jc w:val="center"/>
              <w:textAlignment w:val="baseline"/>
              <w:rPr>
                <w:rFonts w:ascii="宋体" w:hAnsi="宋体" w:cs="宋体"/>
                <w:b/>
                <w:color w:val="auto"/>
                <w:szCs w:val="21"/>
                <w:highlight w:val="none"/>
              </w:rPr>
            </w:pPr>
            <w:r>
              <w:rPr>
                <w:rFonts w:hint="eastAsia" w:ascii="宋体" w:hAnsi="宋体" w:cs="宋体"/>
                <w:b/>
                <w:color w:val="auto"/>
                <w:szCs w:val="21"/>
                <w:highlight w:val="none"/>
              </w:rPr>
              <w:t>分值</w:t>
            </w:r>
          </w:p>
        </w:tc>
        <w:tc>
          <w:tcPr>
            <w:tcW w:w="6718" w:type="dxa"/>
            <w:gridSpan w:val="2"/>
            <w:vAlign w:val="center"/>
          </w:tcPr>
          <w:p>
            <w:pPr>
              <w:adjustRightInd w:val="0"/>
              <w:spacing w:line="410" w:lineRule="exact"/>
              <w:jc w:val="center"/>
              <w:textAlignment w:val="baseline"/>
              <w:rPr>
                <w:rFonts w:ascii="宋体" w:hAnsi="宋体" w:cs="宋体"/>
                <w:b/>
                <w:color w:val="auto"/>
                <w:szCs w:val="21"/>
                <w:highlight w:val="none"/>
              </w:rPr>
            </w:pPr>
            <w:r>
              <w:rPr>
                <w:rFonts w:hint="eastAsia" w:ascii="宋体" w:hAnsi="宋体" w:cs="宋体"/>
                <w:b/>
                <w:color w:val="auto"/>
                <w:szCs w:val="21"/>
                <w:highlight w:val="none"/>
              </w:rPr>
              <w:t>评标标准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77" w:type="dxa"/>
            <w:vAlign w:val="center"/>
          </w:tcPr>
          <w:p>
            <w:pPr>
              <w:adjustRightInd w:val="0"/>
              <w:spacing w:line="360" w:lineRule="auto"/>
              <w:jc w:val="center"/>
              <w:textAlignment w:val="baseline"/>
              <w:rPr>
                <w:rFonts w:ascii="宋体" w:hAnsi="宋体" w:cs="宋体"/>
                <w:b/>
                <w:color w:val="auto"/>
                <w:szCs w:val="21"/>
                <w:highlight w:val="none"/>
              </w:rPr>
            </w:pPr>
            <w:r>
              <w:rPr>
                <w:rFonts w:hint="eastAsia" w:ascii="宋体" w:hAnsi="宋体" w:cs="宋体"/>
                <w:b/>
                <w:color w:val="auto"/>
                <w:szCs w:val="21"/>
                <w:highlight w:val="none"/>
              </w:rPr>
              <w:t>1</w:t>
            </w:r>
          </w:p>
        </w:tc>
        <w:tc>
          <w:tcPr>
            <w:tcW w:w="1107" w:type="dxa"/>
            <w:vAlign w:val="center"/>
          </w:tcPr>
          <w:p>
            <w:pPr>
              <w:adjustRightInd w:val="0"/>
              <w:spacing w:line="360" w:lineRule="auto"/>
              <w:jc w:val="center"/>
              <w:textAlignment w:val="baseline"/>
              <w:rPr>
                <w:rFonts w:ascii="宋体" w:hAnsi="宋体" w:cs="宋体"/>
                <w:b/>
                <w:color w:val="auto"/>
                <w:szCs w:val="21"/>
                <w:highlight w:val="none"/>
              </w:rPr>
            </w:pPr>
            <w:r>
              <w:rPr>
                <w:rFonts w:hint="eastAsia" w:ascii="宋体" w:hAnsi="宋体" w:cs="宋体"/>
                <w:b/>
                <w:color w:val="auto"/>
                <w:szCs w:val="21"/>
                <w:highlight w:val="none"/>
              </w:rPr>
              <w:t>报价</w:t>
            </w:r>
          </w:p>
        </w:tc>
        <w:tc>
          <w:tcPr>
            <w:tcW w:w="737" w:type="dxa"/>
            <w:vAlign w:val="center"/>
          </w:tcPr>
          <w:p>
            <w:pPr>
              <w:adjustRightInd w:val="0"/>
              <w:spacing w:line="360" w:lineRule="auto"/>
              <w:jc w:val="center"/>
              <w:textAlignment w:val="baseline"/>
              <w:rPr>
                <w:rFonts w:ascii="宋体" w:hAnsi="宋体" w:cs="宋体"/>
                <w:b/>
                <w:color w:val="auto"/>
                <w:szCs w:val="21"/>
                <w:highlight w:val="none"/>
              </w:rPr>
            </w:pPr>
            <w:r>
              <w:rPr>
                <w:rFonts w:hint="eastAsia" w:ascii="宋体" w:hAnsi="宋体" w:cs="宋体"/>
                <w:b/>
                <w:color w:val="auto"/>
                <w:szCs w:val="21"/>
                <w:highlight w:val="none"/>
                <w:lang w:val="en-US" w:eastAsia="zh-CN"/>
              </w:rPr>
              <w:t>1</w:t>
            </w:r>
            <w:r>
              <w:rPr>
                <w:rFonts w:hint="eastAsia" w:ascii="宋体" w:hAnsi="宋体" w:cs="宋体"/>
                <w:b/>
                <w:color w:val="auto"/>
                <w:szCs w:val="21"/>
                <w:highlight w:val="none"/>
              </w:rPr>
              <w:t>0分</w:t>
            </w:r>
          </w:p>
        </w:tc>
        <w:tc>
          <w:tcPr>
            <w:tcW w:w="6718" w:type="dxa"/>
            <w:gridSpan w:val="2"/>
            <w:vAlign w:val="center"/>
          </w:tcPr>
          <w:p>
            <w:pPr>
              <w:pStyle w:val="18"/>
              <w:spacing w:line="360" w:lineRule="auto"/>
              <w:rPr>
                <w:rFonts w:hAnsi="宋体" w:cs="Courier New"/>
                <w:b/>
                <w:bCs/>
                <w:color w:val="auto"/>
                <w:kern w:val="2"/>
                <w:sz w:val="21"/>
                <w:highlight w:val="none"/>
              </w:rPr>
            </w:pPr>
            <w:r>
              <w:rPr>
                <w:rFonts w:hint="eastAsia" w:hAnsi="宋体" w:cs="Courier New"/>
                <w:b/>
                <w:bCs/>
                <w:color w:val="auto"/>
                <w:kern w:val="2"/>
                <w:sz w:val="21"/>
                <w:highlight w:val="none"/>
              </w:rPr>
              <w:t>一、政府采购政策</w:t>
            </w:r>
          </w:p>
          <w:p>
            <w:pPr>
              <w:pStyle w:val="18"/>
              <w:spacing w:line="360" w:lineRule="auto"/>
              <w:ind w:firstLine="420" w:firstLineChars="200"/>
              <w:rPr>
                <w:rFonts w:hAnsi="宋体" w:cs="Courier New"/>
                <w:b/>
                <w:bCs/>
                <w:color w:val="auto"/>
                <w:kern w:val="2"/>
                <w:sz w:val="21"/>
                <w:highlight w:val="none"/>
              </w:rPr>
            </w:pPr>
            <w:r>
              <w:rPr>
                <w:rFonts w:hint="eastAsia" w:hAnsi="宋体"/>
                <w:bCs/>
                <w:color w:val="auto"/>
                <w:sz w:val="21"/>
                <w:highlight w:val="none"/>
              </w:rPr>
              <w:t>本项目属于专门面向中小企业采购的项目，不再享受价格扣除优惠政策。</w:t>
            </w:r>
          </w:p>
          <w:p>
            <w:pPr>
              <w:pStyle w:val="18"/>
              <w:spacing w:line="360" w:lineRule="auto"/>
              <w:rPr>
                <w:rFonts w:hAnsi="宋体"/>
                <w:b/>
                <w:color w:val="auto"/>
                <w:sz w:val="21"/>
                <w:highlight w:val="none"/>
              </w:rPr>
            </w:pPr>
            <w:r>
              <w:rPr>
                <w:rFonts w:hint="eastAsia" w:hAnsi="宋体" w:cs="Courier New"/>
                <w:b/>
                <w:bCs/>
                <w:color w:val="auto"/>
                <w:kern w:val="2"/>
                <w:sz w:val="21"/>
                <w:highlight w:val="none"/>
              </w:rPr>
              <w:t>二、</w:t>
            </w:r>
            <w:r>
              <w:rPr>
                <w:rFonts w:hint="eastAsia" w:hAnsi="宋体"/>
                <w:b/>
                <w:color w:val="auto"/>
                <w:sz w:val="21"/>
                <w:highlight w:val="none"/>
              </w:rPr>
              <w:t>报价分（满分10分）</w:t>
            </w:r>
          </w:p>
          <w:p>
            <w:pPr>
              <w:pStyle w:val="18"/>
              <w:spacing w:line="360" w:lineRule="auto"/>
              <w:ind w:firstLine="420" w:firstLineChars="200"/>
              <w:rPr>
                <w:rFonts w:hAnsi="宋体"/>
                <w:bCs/>
                <w:color w:val="auto"/>
                <w:sz w:val="21"/>
                <w:highlight w:val="none"/>
              </w:rPr>
            </w:pPr>
            <w:r>
              <w:rPr>
                <w:rFonts w:hint="eastAsia" w:hAnsi="宋体"/>
                <w:bCs/>
                <w:color w:val="auto"/>
                <w:sz w:val="21"/>
                <w:highlight w:val="none"/>
              </w:rPr>
              <w:t>1、报价分采用低价优先法计算，满足竞争性磋商文件要求的有效供应商最低的最后报价为评标基准价，其报价分为满分。</w:t>
            </w:r>
          </w:p>
          <w:p>
            <w:pPr>
              <w:pStyle w:val="18"/>
              <w:spacing w:line="360" w:lineRule="auto"/>
              <w:ind w:firstLine="420" w:firstLineChars="200"/>
              <w:rPr>
                <w:rFonts w:hAnsi="宋体"/>
                <w:bCs/>
                <w:color w:val="auto"/>
                <w:sz w:val="21"/>
                <w:highlight w:val="none"/>
              </w:rPr>
            </w:pPr>
            <w:r>
              <w:rPr>
                <w:rFonts w:hint="eastAsia" w:hAnsi="宋体"/>
                <w:bCs/>
                <w:color w:val="auto"/>
                <w:sz w:val="21"/>
                <w:highlight w:val="none"/>
              </w:rPr>
              <w:t>2、其他供应商的价格分统一按照下列公式计算：</w:t>
            </w:r>
          </w:p>
          <w:p>
            <w:pPr>
              <w:pStyle w:val="18"/>
              <w:spacing w:line="420" w:lineRule="exact"/>
              <w:rPr>
                <w:rFonts w:hAnsi="宋体" w:cs="宋体"/>
                <w:bCs/>
                <w:color w:val="auto"/>
                <w:kern w:val="2"/>
                <w:sz w:val="21"/>
                <w:highlight w:val="none"/>
              </w:rPr>
            </w:pPr>
            <w:r>
              <w:rPr>
                <w:rFonts w:hint="eastAsia" w:hAnsi="宋体"/>
                <w:bCs/>
                <w:color w:val="auto"/>
                <w:sz w:val="21"/>
                <w:highlight w:val="none"/>
              </w:rPr>
              <w:t>某有效供应商的报价分=（评标基准价／某有效供应商最后报价）×10分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77" w:type="dxa"/>
            <w:vMerge w:val="restart"/>
            <w:vAlign w:val="center"/>
          </w:tcPr>
          <w:p>
            <w:pPr>
              <w:adjustRightInd w:val="0"/>
              <w:spacing w:line="360" w:lineRule="auto"/>
              <w:jc w:val="center"/>
              <w:textAlignment w:val="baseline"/>
              <w:rPr>
                <w:rFonts w:ascii="宋体" w:hAnsi="宋体" w:cs="宋体"/>
                <w:b/>
                <w:color w:val="auto"/>
                <w:szCs w:val="21"/>
                <w:highlight w:val="none"/>
              </w:rPr>
            </w:pPr>
            <w:r>
              <w:rPr>
                <w:rFonts w:hint="eastAsia" w:ascii="宋体" w:hAnsi="宋体" w:cs="宋体"/>
                <w:b/>
                <w:color w:val="auto"/>
                <w:szCs w:val="21"/>
                <w:highlight w:val="none"/>
              </w:rPr>
              <w:t>2</w:t>
            </w:r>
          </w:p>
        </w:tc>
        <w:tc>
          <w:tcPr>
            <w:tcW w:w="1107" w:type="dxa"/>
            <w:vMerge w:val="restart"/>
            <w:vAlign w:val="center"/>
          </w:tcPr>
          <w:p>
            <w:pPr>
              <w:adjustRightInd w:val="0"/>
              <w:spacing w:line="360" w:lineRule="auto"/>
              <w:jc w:val="center"/>
              <w:textAlignment w:val="baseline"/>
              <w:rPr>
                <w:rFonts w:ascii="宋体" w:hAnsi="宋体" w:cs="宋体"/>
                <w:b/>
                <w:color w:val="auto"/>
                <w:szCs w:val="21"/>
                <w:highlight w:val="none"/>
              </w:rPr>
            </w:pPr>
            <w:r>
              <w:rPr>
                <w:rFonts w:hint="eastAsia" w:ascii="宋体" w:hAnsi="宋体" w:cs="宋体"/>
                <w:b/>
                <w:color w:val="auto"/>
                <w:szCs w:val="21"/>
                <w:highlight w:val="none"/>
              </w:rPr>
              <w:t>服务水平</w:t>
            </w:r>
          </w:p>
        </w:tc>
        <w:tc>
          <w:tcPr>
            <w:tcW w:w="737" w:type="dxa"/>
            <w:vMerge w:val="restart"/>
            <w:vAlign w:val="center"/>
          </w:tcPr>
          <w:p>
            <w:pPr>
              <w:adjustRightInd w:val="0"/>
              <w:spacing w:line="360" w:lineRule="auto"/>
              <w:jc w:val="center"/>
              <w:textAlignment w:val="baseline"/>
              <w:rPr>
                <w:rFonts w:ascii="宋体" w:hAnsi="宋体" w:cs="宋体"/>
                <w:b/>
                <w:color w:val="auto"/>
                <w:szCs w:val="21"/>
                <w:highlight w:val="none"/>
              </w:rPr>
            </w:pPr>
            <w:r>
              <w:rPr>
                <w:rFonts w:hint="eastAsia" w:ascii="宋体" w:hAnsi="宋体" w:cs="宋体"/>
                <w:b/>
                <w:color w:val="auto"/>
                <w:szCs w:val="21"/>
                <w:highlight w:val="none"/>
                <w:lang w:val="en-US" w:eastAsia="zh-CN"/>
              </w:rPr>
              <w:t>65</w:t>
            </w:r>
            <w:r>
              <w:rPr>
                <w:rFonts w:hint="eastAsia" w:ascii="宋体" w:hAnsi="宋体" w:cs="宋体"/>
                <w:b/>
                <w:color w:val="auto"/>
                <w:szCs w:val="21"/>
                <w:highlight w:val="none"/>
              </w:rPr>
              <w:t>分</w:t>
            </w:r>
          </w:p>
        </w:tc>
        <w:tc>
          <w:tcPr>
            <w:tcW w:w="1548" w:type="dxa"/>
            <w:vAlign w:val="center"/>
          </w:tcPr>
          <w:p>
            <w:pPr>
              <w:keepNext w:val="0"/>
              <w:keepLines w:val="0"/>
              <w:widowControl/>
              <w:suppressLineNumbers w:val="0"/>
              <w:spacing w:line="360" w:lineRule="auto"/>
              <w:jc w:val="left"/>
              <w:rPr>
                <w:rFonts w:hint="eastAsia" w:ascii="宋体" w:hAnsi="宋体" w:eastAsia="宋体" w:cs="宋体"/>
                <w:b/>
                <w:bCs/>
                <w:color w:val="auto"/>
                <w:szCs w:val="21"/>
                <w:highlight w:val="none"/>
              </w:rPr>
            </w:pPr>
            <w:r>
              <w:rPr>
                <w:rFonts w:hint="eastAsia" w:ascii="宋体" w:hAnsi="宋体" w:eastAsia="宋体" w:cs="宋体"/>
                <w:b/>
                <w:bCs/>
                <w:color w:val="auto"/>
                <w:kern w:val="0"/>
                <w:sz w:val="21"/>
                <w:szCs w:val="21"/>
                <w:highlight w:val="none"/>
                <w:lang w:val="en-US" w:eastAsia="zh-CN" w:bidi="ar"/>
              </w:rPr>
              <w:t>项目的理解程度（满分</w:t>
            </w:r>
            <w:r>
              <w:rPr>
                <w:rFonts w:hint="eastAsia" w:ascii="宋体" w:hAnsi="宋体" w:cs="宋体"/>
                <w:b/>
                <w:bCs/>
                <w:color w:val="auto"/>
                <w:kern w:val="0"/>
                <w:sz w:val="21"/>
                <w:szCs w:val="21"/>
                <w:highlight w:val="none"/>
                <w:lang w:val="en-US" w:eastAsia="zh-CN" w:bidi="ar"/>
              </w:rPr>
              <w:t>15</w:t>
            </w:r>
            <w:r>
              <w:rPr>
                <w:rFonts w:hint="eastAsia" w:ascii="宋体" w:hAnsi="宋体" w:eastAsia="宋体" w:cs="宋体"/>
                <w:b/>
                <w:bCs/>
                <w:color w:val="auto"/>
                <w:kern w:val="0"/>
                <w:sz w:val="21"/>
                <w:szCs w:val="21"/>
                <w:highlight w:val="none"/>
                <w:lang w:val="en-US" w:eastAsia="zh-CN" w:bidi="ar"/>
              </w:rPr>
              <w:t>分）</w:t>
            </w:r>
          </w:p>
          <w:p>
            <w:pPr>
              <w:spacing w:line="360" w:lineRule="auto"/>
              <w:jc w:val="center"/>
              <w:rPr>
                <w:rFonts w:ascii="宋体" w:hAnsi="宋体" w:cs="宋体"/>
                <w:bCs/>
                <w:color w:val="auto"/>
                <w:szCs w:val="21"/>
                <w:highlight w:val="none"/>
              </w:rPr>
            </w:pPr>
          </w:p>
        </w:tc>
        <w:tc>
          <w:tcPr>
            <w:tcW w:w="5170"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由磋商小组根据供应商提供的项目的理解程度确定各供应商所属档次及分值。达不到一档要求或不提供的得0分。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一档（3 分）：对项目背景了解不够，对项目实施的重点、难点和项目的各阶段推进计划存在偏差；项目的实施机构人员和资源配备不符合项目要求，对本项目的采购需求不理解。</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二档（6 分）：对项目背景有一定了解，但对项目实施的重点、难点和项目的各阶段推进计划不全面，存在缺漏；项目的实施机构人员和资源配备基本满足项目要求，对本项目的采购需求基本理解。</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 xml:space="preserve">三档（10分）：了解项目背景，对项目实施的重点、难点和项目的各阶段推进计划有划分，但描述不够详尽；项目的实施机构人员和资源配备满足项目要求，理解本项目的采购需求。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四档（15分）：能充分了解项目背景，对项目实施的重点、难点划分清晰、明确，项目的各阶段推进计划科学、合理，项目实施机构人员配备齐全、充足，对本项目的采购需求理解透彻。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77" w:type="dxa"/>
            <w:vMerge w:val="continue"/>
            <w:vAlign w:val="center"/>
          </w:tcPr>
          <w:p>
            <w:pPr>
              <w:adjustRightInd w:val="0"/>
              <w:spacing w:line="360" w:lineRule="auto"/>
              <w:jc w:val="center"/>
              <w:textAlignment w:val="baseline"/>
              <w:rPr>
                <w:rFonts w:ascii="宋体" w:hAnsi="宋体" w:cs="宋体"/>
                <w:b/>
                <w:color w:val="auto"/>
                <w:szCs w:val="21"/>
                <w:highlight w:val="none"/>
              </w:rPr>
            </w:pPr>
          </w:p>
        </w:tc>
        <w:tc>
          <w:tcPr>
            <w:tcW w:w="1107" w:type="dxa"/>
            <w:vMerge w:val="continue"/>
            <w:vAlign w:val="center"/>
          </w:tcPr>
          <w:p>
            <w:pPr>
              <w:adjustRightInd w:val="0"/>
              <w:spacing w:line="360" w:lineRule="auto"/>
              <w:jc w:val="center"/>
              <w:textAlignment w:val="baseline"/>
              <w:rPr>
                <w:rFonts w:ascii="宋体" w:hAnsi="宋体" w:cs="宋体"/>
                <w:b/>
                <w:color w:val="auto"/>
                <w:szCs w:val="21"/>
                <w:highlight w:val="none"/>
              </w:rPr>
            </w:pPr>
          </w:p>
        </w:tc>
        <w:tc>
          <w:tcPr>
            <w:tcW w:w="737" w:type="dxa"/>
            <w:vMerge w:val="continue"/>
            <w:vAlign w:val="center"/>
          </w:tcPr>
          <w:p>
            <w:pPr>
              <w:adjustRightInd w:val="0"/>
              <w:spacing w:line="360" w:lineRule="auto"/>
              <w:jc w:val="center"/>
              <w:textAlignment w:val="baseline"/>
              <w:rPr>
                <w:rFonts w:ascii="宋体" w:hAnsi="宋体" w:cs="宋体"/>
                <w:b/>
                <w:color w:val="auto"/>
                <w:szCs w:val="21"/>
                <w:highlight w:val="none"/>
              </w:rPr>
            </w:pPr>
          </w:p>
        </w:tc>
        <w:tc>
          <w:tcPr>
            <w:tcW w:w="1548" w:type="dxa"/>
            <w:vAlign w:val="center"/>
          </w:tcPr>
          <w:p>
            <w:pPr>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项目实施方案（满分20分）</w:t>
            </w:r>
          </w:p>
          <w:p>
            <w:pPr>
              <w:spacing w:line="360" w:lineRule="auto"/>
              <w:jc w:val="center"/>
              <w:rPr>
                <w:rFonts w:hAnsi="宋体" w:cs="宋体"/>
                <w:bCs/>
                <w:color w:val="auto"/>
                <w:kern w:val="2"/>
                <w:sz w:val="21"/>
                <w:highlight w:val="none"/>
              </w:rPr>
            </w:pPr>
          </w:p>
        </w:tc>
        <w:tc>
          <w:tcPr>
            <w:tcW w:w="5170"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由磋商小组根据供应商提供的项目实施方案确定各供应商所属档次及分值。达不到一档要求或不提供的得0分。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一档（</w:t>
            </w:r>
            <w:r>
              <w:rPr>
                <w:rFonts w:hint="default"/>
                <w:color w:val="auto"/>
                <w:highlight w:val="none"/>
                <w:lang w:val="en-US" w:eastAsia="zh-CN"/>
              </w:rPr>
              <w:t xml:space="preserve">5 </w:t>
            </w:r>
            <w:r>
              <w:rPr>
                <w:rFonts w:hint="eastAsia"/>
                <w:color w:val="auto"/>
                <w:highlight w:val="none"/>
                <w:lang w:val="en-US" w:eastAsia="zh-CN"/>
              </w:rPr>
              <w:t xml:space="preserve">分）工作思路不明确，工作主次、重点无区分，工作进度划分不合理，人员配备不全，不能满足项目要求。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二档（</w:t>
            </w:r>
            <w:r>
              <w:rPr>
                <w:rFonts w:hint="default"/>
                <w:color w:val="auto"/>
                <w:highlight w:val="none"/>
                <w:lang w:val="en-US" w:eastAsia="zh-CN"/>
              </w:rPr>
              <w:t xml:space="preserve">10 </w:t>
            </w:r>
            <w:r>
              <w:rPr>
                <w:rFonts w:hint="eastAsia"/>
                <w:color w:val="auto"/>
                <w:highlight w:val="none"/>
                <w:lang w:val="en-US" w:eastAsia="zh-CN"/>
              </w:rPr>
              <w:t xml:space="preserve">分）有一定的工作思路，但对工作主次、重点划分不明确，工作进度划分、人员配备基本满足项目要求；项目保障措施简单。项目实施方案内容相对简单，基本满足项目要求。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三档（</w:t>
            </w:r>
            <w:r>
              <w:rPr>
                <w:rFonts w:hint="default"/>
                <w:color w:val="auto"/>
                <w:highlight w:val="none"/>
                <w:lang w:val="en-US" w:eastAsia="zh-CN"/>
              </w:rPr>
              <w:t xml:space="preserve">15 </w:t>
            </w:r>
            <w:r>
              <w:rPr>
                <w:rFonts w:hint="eastAsia"/>
                <w:color w:val="auto"/>
                <w:highlight w:val="none"/>
                <w:lang w:val="en-US" w:eastAsia="zh-CN"/>
              </w:rPr>
              <w:t xml:space="preserve">分）工作思路正确，对工作主次、重点和工作进度有划分；人员配备合理，满足项目要求；有较详细项目保障措施。项目实施方案内容完整，能满足项目要求。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四档（</w:t>
            </w:r>
            <w:r>
              <w:rPr>
                <w:rFonts w:hint="default"/>
                <w:color w:val="auto"/>
                <w:highlight w:val="none"/>
                <w:lang w:val="en-US" w:eastAsia="zh-CN"/>
              </w:rPr>
              <w:t xml:space="preserve">20 </w:t>
            </w:r>
            <w:r>
              <w:rPr>
                <w:rFonts w:hint="eastAsia"/>
                <w:color w:val="auto"/>
                <w:highlight w:val="none"/>
                <w:lang w:val="en-US" w:eastAsia="zh-CN"/>
              </w:rPr>
              <w:t>分）工作思路清晰，工作主次分明、重点突出；工作进度划分科学、合理；人员配备全面、充足；项目保障措施周全、有效。项目实施方案内容全面、充分，内容契合实际，针对性强，完全能满足项目要求。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77" w:type="dxa"/>
            <w:vMerge w:val="continue"/>
            <w:vAlign w:val="center"/>
          </w:tcPr>
          <w:p>
            <w:pPr>
              <w:adjustRightInd w:val="0"/>
              <w:spacing w:line="360" w:lineRule="auto"/>
              <w:jc w:val="center"/>
              <w:textAlignment w:val="baseline"/>
              <w:rPr>
                <w:rFonts w:ascii="宋体" w:hAnsi="宋体" w:cs="宋体"/>
                <w:b/>
                <w:color w:val="auto"/>
                <w:szCs w:val="21"/>
                <w:highlight w:val="none"/>
              </w:rPr>
            </w:pPr>
          </w:p>
        </w:tc>
        <w:tc>
          <w:tcPr>
            <w:tcW w:w="1107" w:type="dxa"/>
            <w:vMerge w:val="continue"/>
            <w:vAlign w:val="center"/>
          </w:tcPr>
          <w:p>
            <w:pPr>
              <w:adjustRightInd w:val="0"/>
              <w:spacing w:line="360" w:lineRule="auto"/>
              <w:jc w:val="center"/>
              <w:textAlignment w:val="baseline"/>
              <w:rPr>
                <w:rFonts w:ascii="宋体" w:hAnsi="宋体" w:cs="宋体"/>
                <w:b/>
                <w:color w:val="auto"/>
                <w:szCs w:val="21"/>
                <w:highlight w:val="none"/>
              </w:rPr>
            </w:pPr>
          </w:p>
        </w:tc>
        <w:tc>
          <w:tcPr>
            <w:tcW w:w="737" w:type="dxa"/>
            <w:vMerge w:val="continue"/>
            <w:vAlign w:val="center"/>
          </w:tcPr>
          <w:p>
            <w:pPr>
              <w:adjustRightInd w:val="0"/>
              <w:spacing w:line="360" w:lineRule="auto"/>
              <w:jc w:val="center"/>
              <w:textAlignment w:val="baseline"/>
              <w:rPr>
                <w:rFonts w:ascii="宋体" w:hAnsi="宋体" w:cs="宋体"/>
                <w:b/>
                <w:color w:val="auto"/>
                <w:szCs w:val="21"/>
                <w:highlight w:val="none"/>
              </w:rPr>
            </w:pPr>
          </w:p>
        </w:tc>
        <w:tc>
          <w:tcPr>
            <w:tcW w:w="1548" w:type="dxa"/>
            <w:vAlign w:val="center"/>
          </w:tcPr>
          <w:p>
            <w:pPr>
              <w:adjustRightInd w:val="0"/>
              <w:spacing w:line="360" w:lineRule="auto"/>
              <w:textAlignment w:val="baseline"/>
              <w:rPr>
                <w:rFonts w:ascii="宋体" w:hAnsi="宋体" w:cs="宋体"/>
                <w:bCs/>
                <w:color w:val="auto"/>
                <w:szCs w:val="21"/>
                <w:highlight w:val="none"/>
              </w:rPr>
            </w:pPr>
            <w:r>
              <w:rPr>
                <w:rFonts w:hint="eastAsia" w:ascii="宋体" w:hAnsi="宋体" w:eastAsia="宋体" w:cs="宋体"/>
                <w:b/>
                <w:bCs w:val="0"/>
                <w:color w:val="auto"/>
                <w:szCs w:val="21"/>
                <w:highlight w:val="none"/>
                <w:lang w:eastAsia="zh-CN"/>
              </w:rPr>
              <w:t>课题研究进度安排</w:t>
            </w:r>
            <w:r>
              <w:rPr>
                <w:rFonts w:hint="eastAsia" w:ascii="宋体" w:hAnsi="宋体" w:eastAsia="宋体" w:cs="宋体"/>
                <w:b/>
                <w:bCs w:val="0"/>
                <w:color w:val="auto"/>
                <w:szCs w:val="21"/>
                <w:highlight w:val="none"/>
                <w:lang w:val="en-US" w:eastAsia="zh-CN"/>
              </w:rPr>
              <w:t>(满分</w:t>
            </w:r>
            <w:r>
              <w:rPr>
                <w:rFonts w:hint="eastAsia" w:ascii="宋体" w:hAnsi="宋体" w:cs="宋体"/>
                <w:b/>
                <w:bCs w:val="0"/>
                <w:color w:val="auto"/>
                <w:szCs w:val="21"/>
                <w:highlight w:val="none"/>
                <w:lang w:val="en-US" w:eastAsia="zh-CN"/>
              </w:rPr>
              <w:t>10</w:t>
            </w:r>
            <w:r>
              <w:rPr>
                <w:rFonts w:hint="eastAsia" w:ascii="宋体" w:hAnsi="宋体" w:eastAsia="宋体" w:cs="宋体"/>
                <w:b/>
                <w:bCs w:val="0"/>
                <w:color w:val="auto"/>
                <w:szCs w:val="21"/>
                <w:highlight w:val="none"/>
                <w:lang w:val="en-US" w:eastAsia="zh-CN"/>
              </w:rPr>
              <w:t>分）</w:t>
            </w:r>
          </w:p>
        </w:tc>
        <w:tc>
          <w:tcPr>
            <w:tcW w:w="5170"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eastAsia="宋体"/>
                <w:color w:val="auto"/>
                <w:sz w:val="21"/>
                <w:szCs w:val="21"/>
                <w:highlight w:val="none"/>
                <w:lang w:eastAsia="zh-CN"/>
              </w:rPr>
              <w:t>磋商小组根据供应商提供的课题研究进度安排方案（评审因素：结合课题研究框架结构，以及时间进度要求，制定更为详尽可行的时间进度安排）</w:t>
            </w:r>
            <w:r>
              <w:rPr>
                <w:rFonts w:hint="eastAsia" w:ascii="宋体" w:hAnsi="宋体" w:cs="宋体"/>
                <w:color w:val="auto"/>
                <w:szCs w:val="21"/>
                <w:highlight w:val="none"/>
              </w:rPr>
              <w:t>确定各供应商所属档次及分值</w:t>
            </w:r>
            <w:r>
              <w:rPr>
                <w:rFonts w:hint="eastAsia" w:ascii="宋体" w:hAnsi="宋体" w:cs="宋体"/>
                <w:color w:val="auto"/>
                <w:szCs w:val="21"/>
                <w:highlight w:val="none"/>
                <w:lang w:eastAsia="zh-CN"/>
              </w:rPr>
              <w:t>。</w:t>
            </w:r>
            <w:r>
              <w:rPr>
                <w:rFonts w:hint="eastAsia"/>
                <w:color w:val="auto"/>
                <w:highlight w:val="none"/>
                <w:lang w:val="en-US" w:eastAsia="zh-CN"/>
              </w:rPr>
              <w:t>达不到一档要求或不提供的得0分。</w:t>
            </w:r>
          </w:p>
          <w:p>
            <w:pPr>
              <w:keepNext w:val="0"/>
              <w:keepLines w:val="0"/>
              <w:widowControl/>
              <w:suppressLineNumbers w:val="0"/>
              <w:spacing w:line="360" w:lineRule="auto"/>
              <w:ind w:firstLine="420" w:firstLineChars="200"/>
              <w:jc w:val="left"/>
              <w:rPr>
                <w:rFonts w:hint="eastAsia" w:eastAsia="宋体"/>
                <w:color w:val="auto"/>
                <w:sz w:val="21"/>
                <w:szCs w:val="21"/>
                <w:highlight w:val="none"/>
                <w:lang w:eastAsia="zh-CN"/>
              </w:rPr>
            </w:pPr>
            <w:r>
              <w:rPr>
                <w:rFonts w:hint="eastAsia" w:eastAsia="宋体"/>
                <w:color w:val="auto"/>
                <w:sz w:val="21"/>
                <w:szCs w:val="21"/>
                <w:highlight w:val="none"/>
                <w:lang w:eastAsia="zh-CN"/>
              </w:rPr>
              <w:t>一档（</w:t>
            </w:r>
            <w:r>
              <w:rPr>
                <w:rFonts w:hint="eastAsia" w:eastAsia="宋体"/>
                <w:color w:val="auto"/>
                <w:sz w:val="21"/>
                <w:szCs w:val="21"/>
                <w:highlight w:val="none"/>
                <w:lang w:val="en-US" w:eastAsia="zh-CN"/>
              </w:rPr>
              <w:t>3</w:t>
            </w:r>
            <w:r>
              <w:rPr>
                <w:rFonts w:hint="eastAsia" w:eastAsia="宋体"/>
                <w:color w:val="auto"/>
                <w:sz w:val="21"/>
                <w:szCs w:val="21"/>
                <w:highlight w:val="none"/>
                <w:lang w:eastAsia="zh-CN"/>
              </w:rPr>
              <w:t>分）：时间进度安排不能满足需求要求，不能支撑课题研究框架结构所需研究时间；</w:t>
            </w:r>
          </w:p>
          <w:p>
            <w:pPr>
              <w:keepNext w:val="0"/>
              <w:keepLines w:val="0"/>
              <w:widowControl/>
              <w:suppressLineNumbers w:val="0"/>
              <w:spacing w:line="360" w:lineRule="auto"/>
              <w:ind w:firstLine="420" w:firstLineChars="200"/>
              <w:jc w:val="left"/>
              <w:rPr>
                <w:rFonts w:hint="eastAsia" w:eastAsia="宋体"/>
                <w:color w:val="auto"/>
                <w:sz w:val="21"/>
                <w:szCs w:val="21"/>
                <w:highlight w:val="none"/>
                <w:lang w:eastAsia="zh-CN"/>
              </w:rPr>
            </w:pPr>
            <w:r>
              <w:rPr>
                <w:rFonts w:hint="eastAsia" w:eastAsia="宋体"/>
                <w:color w:val="auto"/>
                <w:sz w:val="21"/>
                <w:szCs w:val="21"/>
                <w:highlight w:val="none"/>
                <w:lang w:eastAsia="zh-CN"/>
              </w:rPr>
              <w:t>二档（</w:t>
            </w:r>
            <w:r>
              <w:rPr>
                <w:rFonts w:hint="eastAsia" w:eastAsia="宋体"/>
                <w:color w:val="auto"/>
                <w:sz w:val="21"/>
                <w:szCs w:val="21"/>
                <w:highlight w:val="none"/>
                <w:lang w:val="en-US" w:eastAsia="zh-CN"/>
              </w:rPr>
              <w:t>6</w:t>
            </w:r>
            <w:r>
              <w:rPr>
                <w:rFonts w:hint="eastAsia" w:eastAsia="宋体"/>
                <w:color w:val="auto"/>
                <w:sz w:val="21"/>
                <w:szCs w:val="21"/>
                <w:highlight w:val="none"/>
                <w:lang w:eastAsia="zh-CN"/>
              </w:rPr>
              <w:t>分）：时间进度安排基本满足需求要求，基本能支撑课题研究框架结构所需研究时间；</w:t>
            </w:r>
          </w:p>
          <w:p>
            <w:pPr>
              <w:keepNext w:val="0"/>
              <w:keepLines w:val="0"/>
              <w:widowControl/>
              <w:suppressLineNumbers w:val="0"/>
              <w:spacing w:line="360" w:lineRule="auto"/>
              <w:ind w:firstLine="420" w:firstLineChars="200"/>
              <w:jc w:val="left"/>
              <w:rPr>
                <w:rFonts w:hint="eastAsia" w:eastAsia="宋体"/>
                <w:color w:val="auto"/>
                <w:sz w:val="21"/>
                <w:szCs w:val="21"/>
                <w:highlight w:val="none"/>
                <w:lang w:eastAsia="zh-CN"/>
              </w:rPr>
            </w:pPr>
            <w:r>
              <w:rPr>
                <w:rFonts w:hint="eastAsia" w:eastAsia="宋体"/>
                <w:color w:val="auto"/>
                <w:sz w:val="21"/>
                <w:szCs w:val="21"/>
                <w:highlight w:val="none"/>
                <w:lang w:eastAsia="zh-CN"/>
              </w:rPr>
              <w:t>三档（</w:t>
            </w:r>
            <w:r>
              <w:rPr>
                <w:rFonts w:hint="eastAsia" w:eastAsia="宋体"/>
                <w:color w:val="auto"/>
                <w:sz w:val="21"/>
                <w:szCs w:val="21"/>
                <w:highlight w:val="none"/>
                <w:lang w:val="en-US" w:eastAsia="zh-CN"/>
              </w:rPr>
              <w:t>10</w:t>
            </w:r>
            <w:r>
              <w:rPr>
                <w:rFonts w:hint="eastAsia" w:eastAsia="宋体"/>
                <w:color w:val="auto"/>
                <w:sz w:val="21"/>
                <w:szCs w:val="21"/>
                <w:highlight w:val="none"/>
                <w:lang w:eastAsia="zh-CN"/>
              </w:rPr>
              <w:t>分）；时间进度安排完全满足需求要求，完全能支撑课题研究框架结构所需研究时间。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77" w:type="dxa"/>
            <w:vMerge w:val="continue"/>
            <w:vAlign w:val="center"/>
          </w:tcPr>
          <w:p>
            <w:pPr>
              <w:adjustRightInd w:val="0"/>
              <w:spacing w:line="360" w:lineRule="auto"/>
              <w:jc w:val="center"/>
              <w:textAlignment w:val="baseline"/>
              <w:rPr>
                <w:rFonts w:ascii="宋体" w:hAnsi="宋体" w:cs="宋体"/>
                <w:b/>
                <w:color w:val="auto"/>
                <w:szCs w:val="21"/>
                <w:highlight w:val="none"/>
              </w:rPr>
            </w:pPr>
          </w:p>
        </w:tc>
        <w:tc>
          <w:tcPr>
            <w:tcW w:w="1107" w:type="dxa"/>
            <w:vMerge w:val="continue"/>
            <w:vAlign w:val="center"/>
          </w:tcPr>
          <w:p>
            <w:pPr>
              <w:adjustRightInd w:val="0"/>
              <w:spacing w:line="360" w:lineRule="auto"/>
              <w:jc w:val="center"/>
              <w:textAlignment w:val="baseline"/>
              <w:rPr>
                <w:rFonts w:ascii="宋体" w:hAnsi="宋体" w:cs="宋体"/>
                <w:b/>
                <w:color w:val="auto"/>
                <w:szCs w:val="21"/>
                <w:highlight w:val="none"/>
              </w:rPr>
            </w:pPr>
          </w:p>
        </w:tc>
        <w:tc>
          <w:tcPr>
            <w:tcW w:w="737" w:type="dxa"/>
            <w:vMerge w:val="continue"/>
            <w:vAlign w:val="center"/>
          </w:tcPr>
          <w:p>
            <w:pPr>
              <w:adjustRightInd w:val="0"/>
              <w:spacing w:line="360" w:lineRule="auto"/>
              <w:jc w:val="center"/>
              <w:textAlignment w:val="baseline"/>
              <w:rPr>
                <w:rFonts w:ascii="宋体" w:hAnsi="宋体" w:cs="宋体"/>
                <w:b/>
                <w:color w:val="auto"/>
                <w:szCs w:val="21"/>
                <w:highlight w:val="none"/>
              </w:rPr>
            </w:pPr>
          </w:p>
        </w:tc>
        <w:tc>
          <w:tcPr>
            <w:tcW w:w="1548" w:type="dxa"/>
            <w:vAlign w:val="center"/>
          </w:tcPr>
          <w:p>
            <w:pPr>
              <w:rPr>
                <w:rFonts w:hint="eastAsia" w:ascii="宋体" w:hAnsi="宋体" w:eastAsia="宋体" w:cs="宋体"/>
                <w:b/>
                <w:bCs w:val="0"/>
                <w:color w:val="auto"/>
                <w:sz w:val="21"/>
                <w:szCs w:val="21"/>
                <w:highlight w:val="none"/>
                <w:lang w:eastAsia="zh-CN"/>
              </w:rPr>
            </w:pPr>
            <w:r>
              <w:rPr>
                <w:rFonts w:hint="eastAsia" w:ascii="宋体" w:hAnsi="宋体" w:eastAsia="宋体" w:cs="宋体"/>
                <w:b/>
                <w:bCs/>
                <w:color w:val="auto"/>
                <w:sz w:val="21"/>
                <w:szCs w:val="21"/>
                <w:highlight w:val="none"/>
                <w:lang w:val="en-US" w:eastAsia="zh-CN"/>
              </w:rPr>
              <w:t>项目服务承诺（满分</w:t>
            </w:r>
            <w:r>
              <w:rPr>
                <w:rFonts w:hint="eastAsia" w:ascii="宋体" w:hAnsi="宋体" w:cs="宋体"/>
                <w:b/>
                <w:bCs/>
                <w:color w:val="auto"/>
                <w:sz w:val="21"/>
                <w:szCs w:val="21"/>
                <w:highlight w:val="none"/>
                <w:lang w:val="en-US" w:eastAsia="zh-CN"/>
              </w:rPr>
              <w:t>5</w:t>
            </w:r>
            <w:r>
              <w:rPr>
                <w:rFonts w:hint="eastAsia" w:ascii="宋体" w:hAnsi="宋体" w:eastAsia="宋体" w:cs="宋体"/>
                <w:b/>
                <w:bCs/>
                <w:color w:val="auto"/>
                <w:sz w:val="21"/>
                <w:szCs w:val="21"/>
                <w:highlight w:val="none"/>
                <w:lang w:val="en-US" w:eastAsia="zh-CN"/>
              </w:rPr>
              <w:t>分）</w:t>
            </w:r>
          </w:p>
        </w:tc>
        <w:tc>
          <w:tcPr>
            <w:tcW w:w="5170" w:type="dxa"/>
            <w:vAlign w:val="top"/>
          </w:tcPr>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仿宋_GB2312"/>
                <w:color w:val="auto"/>
                <w:kern w:val="0"/>
                <w:szCs w:val="21"/>
                <w:highlight w:val="none"/>
              </w:rPr>
              <w:t>磋商小组</w:t>
            </w:r>
            <w:r>
              <w:rPr>
                <w:rFonts w:hint="eastAsia" w:ascii="宋体" w:hAnsi="宋体" w:eastAsia="宋体" w:cs="仿宋_GB2312"/>
                <w:color w:val="auto"/>
                <w:kern w:val="0"/>
                <w:szCs w:val="21"/>
                <w:highlight w:val="none"/>
                <w:lang w:eastAsia="zh-CN"/>
              </w:rPr>
              <w:t>根据</w:t>
            </w:r>
            <w:r>
              <w:rPr>
                <w:rFonts w:hint="eastAsia" w:ascii="宋体" w:hAnsi="宋体" w:eastAsia="宋体" w:cs="仿宋_GB2312"/>
                <w:color w:val="auto"/>
                <w:kern w:val="0"/>
                <w:szCs w:val="21"/>
                <w:highlight w:val="none"/>
              </w:rPr>
              <w:t>供应商</w:t>
            </w:r>
            <w:r>
              <w:rPr>
                <w:rFonts w:hint="eastAsia" w:ascii="宋体" w:hAnsi="宋体" w:eastAsia="宋体" w:cs="仿宋_GB2312"/>
                <w:color w:val="auto"/>
                <w:kern w:val="0"/>
                <w:szCs w:val="21"/>
                <w:highlight w:val="none"/>
                <w:lang w:eastAsia="zh-CN"/>
              </w:rPr>
              <w:t>提供</w:t>
            </w:r>
            <w:r>
              <w:rPr>
                <w:rFonts w:hint="eastAsia" w:ascii="宋体" w:hAnsi="宋体" w:eastAsia="宋体" w:cs="仿宋_GB2312"/>
                <w:color w:val="auto"/>
                <w:kern w:val="0"/>
                <w:szCs w:val="21"/>
                <w:highlight w:val="none"/>
              </w:rPr>
              <w:t>的</w:t>
            </w:r>
            <w:r>
              <w:rPr>
                <w:rFonts w:hint="eastAsia" w:ascii="宋体" w:hAnsi="宋体" w:eastAsia="宋体" w:cs="宋体"/>
                <w:color w:val="auto"/>
                <w:kern w:val="0"/>
                <w:sz w:val="21"/>
                <w:szCs w:val="21"/>
                <w:highlight w:val="none"/>
                <w:lang w:val="en-US" w:eastAsia="zh-CN" w:bidi="ar"/>
              </w:rPr>
              <w:t>服务承诺书</w:t>
            </w:r>
            <w:r>
              <w:rPr>
                <w:rFonts w:hint="eastAsia" w:ascii="宋体" w:hAnsi="宋体" w:eastAsia="宋体" w:cs="仿宋_GB2312"/>
                <w:color w:val="auto"/>
                <w:kern w:val="0"/>
                <w:szCs w:val="21"/>
                <w:highlight w:val="none"/>
                <w:lang w:eastAsia="zh-CN"/>
              </w:rPr>
              <w:t>（</w:t>
            </w:r>
            <w:r>
              <w:rPr>
                <w:rFonts w:hint="eastAsia" w:ascii="宋体" w:hAnsi="宋体" w:eastAsia="宋体" w:cs="仿宋_GB2312"/>
                <w:color w:val="auto"/>
                <w:kern w:val="0"/>
                <w:szCs w:val="21"/>
                <w:highlight w:val="none"/>
              </w:rPr>
              <w:t>评审因素：</w:t>
            </w:r>
            <w:r>
              <w:rPr>
                <w:rFonts w:hint="eastAsia" w:ascii="宋体" w:hAnsi="宋体" w:eastAsia="宋体" w:cs="仿宋_GB2312"/>
                <w:color w:val="auto"/>
                <w:kern w:val="0"/>
                <w:szCs w:val="21"/>
                <w:highlight w:val="none"/>
                <w:lang w:val="en-US" w:eastAsia="zh-CN"/>
              </w:rPr>
              <w:t>对采购人的采购需求响应，最终提交服务成果的质量以及完成时间的承诺及售后服务的承诺，为完成本项目的保障措施、保密承诺及廉洁承诺等方法以及实现方式</w:t>
            </w:r>
            <w:r>
              <w:rPr>
                <w:rFonts w:hint="eastAsia" w:ascii="宋体" w:hAnsi="宋体" w:eastAsia="宋体" w:cs="仿宋_GB2312"/>
                <w:color w:val="auto"/>
                <w:kern w:val="0"/>
                <w:szCs w:val="21"/>
                <w:highlight w:val="none"/>
                <w:lang w:eastAsia="zh-CN"/>
              </w:rPr>
              <w:t>）</w:t>
            </w:r>
            <w:r>
              <w:rPr>
                <w:rFonts w:hint="eastAsia" w:ascii="宋体" w:hAnsi="宋体" w:eastAsia="宋体" w:cs="仿宋_GB2312"/>
                <w:color w:val="auto"/>
                <w:kern w:val="0"/>
                <w:szCs w:val="21"/>
                <w:highlight w:val="none"/>
                <w:lang w:val="en-US" w:eastAsia="zh-CN"/>
              </w:rPr>
              <w:t>确定各供应商所属档次及分值。达不到一档要求或不提供的得0分</w:t>
            </w:r>
            <w:r>
              <w:rPr>
                <w:rFonts w:hint="eastAsia" w:ascii="宋体" w:hAnsi="宋体" w:eastAsia="宋体" w:cs="仿宋_GB2312"/>
                <w:color w:val="auto"/>
                <w:kern w:val="0"/>
                <w:szCs w:val="21"/>
                <w:highlight w:val="none"/>
              </w:rPr>
              <w:t>。</w:t>
            </w:r>
          </w:p>
          <w:p>
            <w:pPr>
              <w:keepNext w:val="0"/>
              <w:keepLines w:val="0"/>
              <w:widowControl/>
              <w:suppressLineNumbers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cs="宋体"/>
                <w:color w:val="auto"/>
                <w:kern w:val="0"/>
                <w:sz w:val="21"/>
                <w:szCs w:val="21"/>
                <w:highlight w:val="none"/>
                <w:lang w:val="en-US" w:eastAsia="zh-CN" w:bidi="ar"/>
              </w:rPr>
              <w:t>一</w:t>
            </w:r>
            <w:r>
              <w:rPr>
                <w:rFonts w:hint="eastAsia" w:ascii="宋体" w:hAnsi="宋体" w:eastAsia="宋体" w:cs="宋体"/>
                <w:color w:val="auto"/>
                <w:kern w:val="0"/>
                <w:sz w:val="21"/>
                <w:szCs w:val="21"/>
                <w:highlight w:val="none"/>
                <w:lang w:val="en-US" w:eastAsia="zh-CN" w:bidi="ar"/>
              </w:rPr>
              <w:t>档（</w:t>
            </w:r>
            <w:r>
              <w:rPr>
                <w:rFonts w:hint="eastAsia" w:ascii="宋体" w:hAnsi="宋体" w:cs="宋体"/>
                <w:color w:val="auto"/>
                <w:kern w:val="0"/>
                <w:sz w:val="21"/>
                <w:szCs w:val="21"/>
                <w:highlight w:val="none"/>
                <w:lang w:val="en-US" w:eastAsia="zh-CN" w:bidi="ar"/>
              </w:rPr>
              <w:t>1</w:t>
            </w:r>
            <w:r>
              <w:rPr>
                <w:rFonts w:hint="eastAsia" w:ascii="宋体" w:hAnsi="宋体" w:eastAsia="宋体" w:cs="宋体"/>
                <w:color w:val="auto"/>
                <w:kern w:val="0"/>
                <w:sz w:val="21"/>
                <w:szCs w:val="21"/>
                <w:highlight w:val="none"/>
                <w:lang w:val="en-US" w:eastAsia="zh-CN" w:bidi="ar"/>
              </w:rPr>
              <w:t xml:space="preserve">分）供应商为完成本项目所提供服务承诺内容较简单，基本满足采购人服务需求。 </w:t>
            </w:r>
          </w:p>
          <w:p>
            <w:pPr>
              <w:keepNext w:val="0"/>
              <w:keepLines w:val="0"/>
              <w:widowControl/>
              <w:suppressLineNumbers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cs="宋体"/>
                <w:color w:val="auto"/>
                <w:kern w:val="0"/>
                <w:sz w:val="21"/>
                <w:szCs w:val="21"/>
                <w:highlight w:val="none"/>
                <w:lang w:val="en-US" w:eastAsia="zh-CN" w:bidi="ar"/>
              </w:rPr>
              <w:t>二</w:t>
            </w:r>
            <w:r>
              <w:rPr>
                <w:rFonts w:hint="eastAsia" w:ascii="宋体" w:hAnsi="宋体" w:eastAsia="宋体" w:cs="宋体"/>
                <w:color w:val="auto"/>
                <w:kern w:val="0"/>
                <w:sz w:val="21"/>
                <w:szCs w:val="21"/>
                <w:highlight w:val="none"/>
                <w:lang w:val="en-US" w:eastAsia="zh-CN" w:bidi="ar"/>
              </w:rPr>
              <w:t>档（</w:t>
            </w:r>
            <w:r>
              <w:rPr>
                <w:rFonts w:hint="eastAsia" w:ascii="宋体" w:hAnsi="宋体" w:cs="宋体"/>
                <w:color w:val="auto"/>
                <w:kern w:val="0"/>
                <w:sz w:val="21"/>
                <w:szCs w:val="21"/>
                <w:highlight w:val="none"/>
                <w:lang w:val="en-US" w:eastAsia="zh-CN" w:bidi="ar"/>
              </w:rPr>
              <w:t>3</w:t>
            </w:r>
            <w:r>
              <w:rPr>
                <w:rFonts w:hint="eastAsia" w:ascii="宋体" w:hAnsi="宋体" w:eastAsia="宋体" w:cs="宋体"/>
                <w:color w:val="auto"/>
                <w:kern w:val="0"/>
                <w:sz w:val="21"/>
                <w:szCs w:val="21"/>
                <w:highlight w:val="none"/>
                <w:lang w:val="en-US" w:eastAsia="zh-CN" w:bidi="ar"/>
              </w:rPr>
              <w:t xml:space="preserve">分）供应商为完成本项目所提供的服务承诺内容能满足采购人服务需求。 </w:t>
            </w:r>
          </w:p>
          <w:p>
            <w:pPr>
              <w:keepNext w:val="0"/>
              <w:keepLines w:val="0"/>
              <w:widowControl/>
              <w:suppressLineNumbers w:val="0"/>
              <w:spacing w:line="360" w:lineRule="auto"/>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0"/>
                <w:sz w:val="21"/>
                <w:szCs w:val="21"/>
                <w:highlight w:val="none"/>
                <w:lang w:val="en-US" w:eastAsia="zh-CN" w:bidi="ar"/>
              </w:rPr>
              <w:t>三</w:t>
            </w:r>
            <w:r>
              <w:rPr>
                <w:rFonts w:hint="eastAsia" w:ascii="宋体" w:hAnsi="宋体" w:eastAsia="宋体" w:cs="宋体"/>
                <w:color w:val="auto"/>
                <w:kern w:val="0"/>
                <w:sz w:val="21"/>
                <w:szCs w:val="21"/>
                <w:highlight w:val="none"/>
                <w:lang w:val="en-US" w:eastAsia="zh-CN" w:bidi="ar"/>
              </w:rPr>
              <w:t>档（</w:t>
            </w:r>
            <w:r>
              <w:rPr>
                <w:rFonts w:hint="eastAsia" w:ascii="宋体" w:hAnsi="宋体" w:cs="宋体"/>
                <w:color w:val="auto"/>
                <w:kern w:val="0"/>
                <w:sz w:val="21"/>
                <w:szCs w:val="21"/>
                <w:highlight w:val="none"/>
                <w:lang w:val="en-US" w:eastAsia="zh-CN" w:bidi="ar"/>
              </w:rPr>
              <w:t>5</w:t>
            </w:r>
            <w:r>
              <w:rPr>
                <w:rFonts w:hint="eastAsia" w:ascii="宋体" w:hAnsi="宋体" w:eastAsia="宋体" w:cs="宋体"/>
                <w:color w:val="auto"/>
                <w:kern w:val="0"/>
                <w:sz w:val="21"/>
                <w:szCs w:val="21"/>
                <w:highlight w:val="none"/>
                <w:lang w:val="en-US" w:eastAsia="zh-CN" w:bidi="ar"/>
              </w:rPr>
              <w:t xml:space="preserve"> 分）供应商为完成本项目所提供的服务承诺内容详尽，针对性强，完全满足采购人需求。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77" w:type="dxa"/>
            <w:vMerge w:val="continue"/>
            <w:vAlign w:val="center"/>
          </w:tcPr>
          <w:p>
            <w:pPr>
              <w:adjustRightInd w:val="0"/>
              <w:spacing w:line="360" w:lineRule="auto"/>
              <w:jc w:val="center"/>
              <w:textAlignment w:val="baseline"/>
              <w:rPr>
                <w:rFonts w:ascii="宋体" w:hAnsi="宋体" w:cs="宋体"/>
                <w:b/>
                <w:color w:val="auto"/>
                <w:szCs w:val="21"/>
                <w:highlight w:val="none"/>
              </w:rPr>
            </w:pPr>
          </w:p>
        </w:tc>
        <w:tc>
          <w:tcPr>
            <w:tcW w:w="1107" w:type="dxa"/>
            <w:vMerge w:val="continue"/>
            <w:vAlign w:val="center"/>
          </w:tcPr>
          <w:p>
            <w:pPr>
              <w:adjustRightInd w:val="0"/>
              <w:spacing w:line="360" w:lineRule="auto"/>
              <w:jc w:val="center"/>
              <w:textAlignment w:val="baseline"/>
              <w:rPr>
                <w:rFonts w:ascii="宋体" w:hAnsi="宋体" w:cs="宋体"/>
                <w:b/>
                <w:color w:val="auto"/>
                <w:szCs w:val="21"/>
                <w:highlight w:val="none"/>
              </w:rPr>
            </w:pPr>
          </w:p>
        </w:tc>
        <w:tc>
          <w:tcPr>
            <w:tcW w:w="737" w:type="dxa"/>
            <w:vMerge w:val="continue"/>
            <w:vAlign w:val="center"/>
          </w:tcPr>
          <w:p>
            <w:pPr>
              <w:adjustRightInd w:val="0"/>
              <w:spacing w:line="360" w:lineRule="auto"/>
              <w:jc w:val="center"/>
              <w:textAlignment w:val="baseline"/>
              <w:rPr>
                <w:rFonts w:ascii="宋体" w:hAnsi="宋体" w:cs="宋体"/>
                <w:b/>
                <w:color w:val="auto"/>
                <w:szCs w:val="21"/>
                <w:highlight w:val="none"/>
              </w:rPr>
            </w:pPr>
          </w:p>
        </w:tc>
        <w:tc>
          <w:tcPr>
            <w:tcW w:w="1548" w:type="dxa"/>
            <w:vAlign w:val="center"/>
          </w:tcPr>
          <w:p>
            <w:pPr>
              <w:adjustRightInd w:val="0"/>
              <w:spacing w:line="360" w:lineRule="auto"/>
              <w:textAlignment w:val="baseline"/>
              <w:rPr>
                <w:rFonts w:hint="eastAsia" w:ascii="宋体" w:hAnsi="宋体" w:eastAsia="宋体" w:cs="宋体"/>
                <w:b/>
                <w:bCs w:val="0"/>
                <w:color w:val="auto"/>
                <w:szCs w:val="21"/>
                <w:highlight w:val="none"/>
                <w:lang w:eastAsia="zh-CN"/>
              </w:rPr>
            </w:pPr>
            <w:r>
              <w:rPr>
                <w:rFonts w:hint="eastAsia" w:ascii="宋体" w:hAnsi="宋体" w:eastAsia="宋体" w:cs="宋体"/>
                <w:b/>
                <w:bCs w:val="0"/>
                <w:color w:val="auto"/>
                <w:szCs w:val="21"/>
                <w:highlight w:val="none"/>
                <w:lang w:val="en-US" w:eastAsia="zh-CN"/>
              </w:rPr>
              <w:t>拟投入人员分(满分</w:t>
            </w:r>
            <w:r>
              <w:rPr>
                <w:rFonts w:hint="eastAsia" w:ascii="宋体" w:hAnsi="宋体" w:cs="宋体"/>
                <w:b/>
                <w:bCs w:val="0"/>
                <w:color w:val="auto"/>
                <w:szCs w:val="21"/>
                <w:highlight w:val="none"/>
                <w:lang w:val="en-US" w:eastAsia="zh-CN"/>
              </w:rPr>
              <w:t>15</w:t>
            </w:r>
            <w:r>
              <w:rPr>
                <w:rFonts w:hint="eastAsia" w:ascii="宋体" w:hAnsi="宋体" w:eastAsia="宋体" w:cs="宋体"/>
                <w:b/>
                <w:bCs w:val="0"/>
                <w:color w:val="auto"/>
                <w:szCs w:val="21"/>
                <w:highlight w:val="none"/>
                <w:lang w:val="en-US" w:eastAsia="zh-CN"/>
              </w:rPr>
              <w:t>分）</w:t>
            </w:r>
          </w:p>
        </w:tc>
        <w:tc>
          <w:tcPr>
            <w:tcW w:w="5170" w:type="dxa"/>
            <w:vAlign w:val="center"/>
          </w:tcPr>
          <w:p>
            <w:pPr>
              <w:spacing w:line="360" w:lineRule="auto"/>
              <w:ind w:firstLine="422" w:firstLineChars="200"/>
              <w:rPr>
                <w:rFonts w:hint="eastAsia" w:ascii="宋体" w:hAnsi="宋体" w:cs="仿宋_GB2312"/>
                <w:b/>
                <w:color w:val="auto"/>
                <w:kern w:val="0"/>
                <w:szCs w:val="21"/>
                <w:highlight w:val="none"/>
              </w:rPr>
            </w:pPr>
            <w:r>
              <w:rPr>
                <w:rFonts w:hint="eastAsia" w:ascii="宋体" w:hAnsi="宋体" w:cs="仿宋_GB2312"/>
                <w:b/>
                <w:color w:val="auto"/>
                <w:kern w:val="0"/>
                <w:szCs w:val="21"/>
                <w:highlight w:val="none"/>
              </w:rPr>
              <w:t>（1）课题负责人（</w:t>
            </w:r>
            <w:r>
              <w:rPr>
                <w:rFonts w:hint="eastAsia" w:ascii="宋体" w:hAnsi="宋体" w:cs="仿宋_GB2312"/>
                <w:b/>
                <w:color w:val="auto"/>
                <w:kern w:val="0"/>
                <w:szCs w:val="21"/>
                <w:highlight w:val="none"/>
                <w:lang w:val="en-US" w:eastAsia="zh-CN"/>
              </w:rPr>
              <w:t>5</w:t>
            </w:r>
            <w:r>
              <w:rPr>
                <w:rFonts w:hint="eastAsia" w:ascii="宋体" w:hAnsi="宋体" w:cs="仿宋_GB2312"/>
                <w:b/>
                <w:color w:val="auto"/>
                <w:kern w:val="0"/>
                <w:szCs w:val="21"/>
                <w:highlight w:val="none"/>
              </w:rPr>
              <w:t>分）</w:t>
            </w:r>
          </w:p>
          <w:p>
            <w:pPr>
              <w:spacing w:line="360" w:lineRule="auto"/>
              <w:ind w:firstLine="420" w:firstLineChars="200"/>
              <w:rPr>
                <w:rFonts w:hint="default" w:ascii="宋体" w:hAnsi="宋体" w:eastAsia="宋体" w:cs="仿宋_GB2312"/>
                <w:color w:val="auto"/>
                <w:kern w:val="0"/>
                <w:szCs w:val="21"/>
                <w:highlight w:val="none"/>
                <w:lang w:val="en-US" w:eastAsia="zh-CN"/>
              </w:rPr>
            </w:pPr>
            <w:r>
              <w:rPr>
                <w:rFonts w:hint="eastAsia" w:ascii="宋体" w:hAnsi="宋体" w:cs="仿宋_GB2312"/>
                <w:color w:val="auto"/>
                <w:kern w:val="0"/>
                <w:szCs w:val="21"/>
                <w:highlight w:val="none"/>
                <w:lang w:val="en-US" w:eastAsia="zh-CN"/>
              </w:rPr>
              <w:t>课题负责人有省部级及以上涉农舆情研究课题经验，并取得良好成果，得5分，</w:t>
            </w:r>
            <w:r>
              <w:rPr>
                <w:rFonts w:hint="eastAsia" w:ascii="宋体" w:hAnsi="宋体" w:cs="仿宋_GB2312"/>
                <w:b/>
                <w:bCs/>
                <w:color w:val="auto"/>
                <w:kern w:val="0"/>
                <w:szCs w:val="21"/>
                <w:highlight w:val="none"/>
                <w:lang w:val="en-US" w:eastAsia="zh-CN"/>
              </w:rPr>
              <w:t>满分5分。</w:t>
            </w:r>
          </w:p>
          <w:p>
            <w:pPr>
              <w:spacing w:line="360" w:lineRule="auto"/>
              <w:ind w:firstLine="422" w:firstLineChars="200"/>
              <w:rPr>
                <w:rFonts w:ascii="宋体" w:hAnsi="宋体" w:cs="仿宋_GB2312"/>
                <w:b/>
                <w:color w:val="auto"/>
                <w:kern w:val="0"/>
                <w:szCs w:val="21"/>
                <w:highlight w:val="none"/>
              </w:rPr>
            </w:pPr>
            <w:r>
              <w:rPr>
                <w:rFonts w:hint="eastAsia" w:ascii="宋体" w:hAnsi="宋体" w:cs="仿宋_GB2312"/>
                <w:b/>
                <w:color w:val="auto"/>
                <w:kern w:val="0"/>
                <w:szCs w:val="21"/>
                <w:highlight w:val="none"/>
                <w:lang w:eastAsia="zh-CN"/>
              </w:rPr>
              <w:t>（</w:t>
            </w:r>
            <w:r>
              <w:rPr>
                <w:rFonts w:hint="eastAsia" w:ascii="宋体" w:hAnsi="宋体" w:cs="仿宋_GB2312"/>
                <w:b/>
                <w:color w:val="auto"/>
                <w:kern w:val="0"/>
                <w:szCs w:val="21"/>
                <w:highlight w:val="none"/>
              </w:rPr>
              <w:t>2</w:t>
            </w:r>
            <w:r>
              <w:rPr>
                <w:rFonts w:hint="eastAsia" w:ascii="宋体" w:hAnsi="宋体" w:cs="仿宋_GB2312"/>
                <w:b/>
                <w:color w:val="auto"/>
                <w:kern w:val="0"/>
                <w:szCs w:val="21"/>
                <w:highlight w:val="none"/>
                <w:lang w:eastAsia="zh-CN"/>
              </w:rPr>
              <w:t>）</w:t>
            </w:r>
            <w:r>
              <w:rPr>
                <w:rFonts w:hint="eastAsia" w:ascii="宋体" w:hAnsi="宋体" w:cs="仿宋_GB2312"/>
                <w:b/>
                <w:color w:val="auto"/>
                <w:kern w:val="0"/>
                <w:szCs w:val="21"/>
                <w:highlight w:val="none"/>
              </w:rPr>
              <w:t>课题研究团队（</w:t>
            </w:r>
            <w:r>
              <w:rPr>
                <w:rFonts w:hint="eastAsia" w:ascii="宋体" w:hAnsi="宋体" w:cs="仿宋_GB2312"/>
                <w:b/>
                <w:color w:val="auto"/>
                <w:kern w:val="0"/>
                <w:szCs w:val="21"/>
                <w:highlight w:val="none"/>
                <w:lang w:val="en-US" w:eastAsia="zh-CN"/>
              </w:rPr>
              <w:t>10</w:t>
            </w:r>
            <w:r>
              <w:rPr>
                <w:rFonts w:hint="eastAsia" w:ascii="宋体" w:hAnsi="宋体" w:cs="仿宋_GB2312"/>
                <w:b/>
                <w:color w:val="auto"/>
                <w:kern w:val="0"/>
                <w:szCs w:val="21"/>
                <w:highlight w:val="none"/>
              </w:rPr>
              <w:t>分）</w:t>
            </w:r>
          </w:p>
          <w:p>
            <w:pPr>
              <w:pStyle w:val="3"/>
              <w:numPr>
                <w:ilvl w:val="0"/>
                <w:numId w:val="0"/>
              </w:numPr>
              <w:tabs>
                <w:tab w:val="left" w:pos="2020"/>
                <w:tab w:val="center" w:pos="4535"/>
              </w:tabs>
              <w:ind w:firstLine="420" w:firstLineChars="200"/>
              <w:rPr>
                <w:rFonts w:hint="eastAsia" w:ascii="宋体" w:hAnsi="宋体" w:eastAsia="宋体" w:cs="仿宋_GB2312"/>
                <w:bCs w:val="0"/>
                <w:color w:val="auto"/>
                <w:kern w:val="0"/>
                <w:sz w:val="21"/>
                <w:szCs w:val="21"/>
                <w:highlight w:val="none"/>
                <w:lang w:val="en-US" w:eastAsia="zh-CN" w:bidi="ar-SA"/>
              </w:rPr>
            </w:pPr>
            <w:r>
              <w:rPr>
                <w:rFonts w:hint="eastAsia" w:ascii="宋体" w:eastAsia="宋体" w:cs="仿宋_GB2312"/>
                <w:bCs w:val="0"/>
                <w:color w:val="auto"/>
                <w:kern w:val="0"/>
                <w:sz w:val="21"/>
                <w:szCs w:val="21"/>
                <w:highlight w:val="none"/>
                <w:lang w:val="en-US" w:eastAsia="zh-CN" w:bidi="ar-SA"/>
              </w:rPr>
              <w:t>课题研究</w:t>
            </w:r>
            <w:r>
              <w:rPr>
                <w:rFonts w:hint="eastAsia" w:ascii="宋体" w:hAnsi="宋体" w:eastAsia="宋体" w:cs="仿宋_GB2312"/>
                <w:bCs w:val="0"/>
                <w:color w:val="auto"/>
                <w:kern w:val="0"/>
                <w:sz w:val="21"/>
                <w:szCs w:val="21"/>
                <w:highlight w:val="none"/>
                <w:lang w:val="en-US" w:eastAsia="zh-CN" w:bidi="ar-SA"/>
              </w:rPr>
              <w:t>团队具有舆情分析师证书，每个得2分</w:t>
            </w:r>
            <w:r>
              <w:rPr>
                <w:rFonts w:hint="eastAsia" w:ascii="宋体" w:eastAsia="宋体" w:cs="仿宋_GB2312"/>
                <w:bCs w:val="0"/>
                <w:color w:val="auto"/>
                <w:kern w:val="0"/>
                <w:sz w:val="21"/>
                <w:szCs w:val="21"/>
                <w:highlight w:val="none"/>
                <w:lang w:val="en-US" w:eastAsia="zh-CN" w:bidi="ar-SA"/>
              </w:rPr>
              <w:t>。</w:t>
            </w:r>
            <w:r>
              <w:rPr>
                <w:rFonts w:hint="eastAsia" w:ascii="宋体" w:hAnsi="宋体" w:eastAsia="宋体" w:cs="仿宋_GB2312"/>
                <w:b/>
                <w:bCs/>
                <w:color w:val="auto"/>
                <w:kern w:val="0"/>
                <w:sz w:val="21"/>
                <w:szCs w:val="21"/>
                <w:highlight w:val="none"/>
                <w:lang w:val="en-US" w:eastAsia="zh-CN" w:bidi="ar-SA"/>
              </w:rPr>
              <w:t>满分10分</w:t>
            </w:r>
            <w:r>
              <w:rPr>
                <w:rFonts w:hint="eastAsia" w:ascii="宋体" w:hAnsi="宋体" w:eastAsia="宋体" w:cs="仿宋_GB2312"/>
                <w:b w:val="0"/>
                <w:bCs w:val="0"/>
                <w:color w:val="auto"/>
                <w:kern w:val="0"/>
                <w:sz w:val="21"/>
                <w:szCs w:val="21"/>
                <w:highlight w:val="none"/>
                <w:lang w:val="en-US" w:eastAsia="zh-CN" w:bidi="ar-SA"/>
              </w:rPr>
              <w:t>。</w:t>
            </w:r>
          </w:p>
          <w:p>
            <w:pPr>
              <w:spacing w:line="360" w:lineRule="auto"/>
              <w:ind w:firstLine="420" w:firstLineChars="200"/>
              <w:rPr>
                <w:rFonts w:hint="default" w:ascii="Calibri" w:hAnsi="Calibri" w:eastAsia="宋体" w:cs="Times New Roman"/>
                <w:color w:val="auto"/>
                <w:kern w:val="2"/>
                <w:sz w:val="21"/>
                <w:szCs w:val="21"/>
                <w:highlight w:val="none"/>
                <w:lang w:val="en-US" w:eastAsia="zh-CN" w:bidi="ar-SA"/>
              </w:rPr>
            </w:pPr>
            <w:r>
              <w:rPr>
                <w:rFonts w:hint="eastAsia" w:ascii="宋体" w:hAnsi="宋体" w:eastAsia="宋体" w:cs="仿宋_GB2312"/>
                <w:bCs w:val="0"/>
                <w:color w:val="auto"/>
                <w:kern w:val="0"/>
                <w:sz w:val="21"/>
                <w:szCs w:val="21"/>
                <w:highlight w:val="none"/>
                <w:lang w:val="en-US" w:eastAsia="zh-CN" w:bidi="ar-SA"/>
              </w:rPr>
              <w:t>以上材料须提供复印件加盖公章。</w:t>
            </w:r>
            <w:r>
              <w:rPr>
                <w:rFonts w:hint="eastAsia" w:ascii="宋体" w:hAnsi="宋体" w:cs="仿宋_GB2312"/>
                <w:b/>
                <w:bCs/>
                <w:color w:val="auto"/>
                <w:kern w:val="0"/>
                <w:sz w:val="21"/>
                <w:szCs w:val="21"/>
                <w:highlight w:val="none"/>
                <w:lang w:val="en-US" w:eastAsia="zh-CN" w:bidi="ar-SA"/>
              </w:rPr>
              <w:t>满分15分。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77" w:type="dxa"/>
            <w:vAlign w:val="center"/>
          </w:tcPr>
          <w:p>
            <w:pPr>
              <w:adjustRightInd w:val="0"/>
              <w:spacing w:line="360" w:lineRule="auto"/>
              <w:jc w:val="center"/>
              <w:textAlignment w:val="baseline"/>
              <w:rPr>
                <w:rFonts w:ascii="宋体" w:hAnsi="宋体" w:cs="宋体"/>
                <w:b/>
                <w:color w:val="auto"/>
                <w:szCs w:val="21"/>
                <w:highlight w:val="none"/>
              </w:rPr>
            </w:pPr>
            <w:r>
              <w:rPr>
                <w:rFonts w:hint="eastAsia" w:ascii="宋体" w:hAnsi="宋体" w:cs="宋体"/>
                <w:b/>
                <w:color w:val="auto"/>
                <w:szCs w:val="21"/>
                <w:highlight w:val="none"/>
              </w:rPr>
              <w:t>3</w:t>
            </w:r>
          </w:p>
        </w:tc>
        <w:tc>
          <w:tcPr>
            <w:tcW w:w="1107" w:type="dxa"/>
            <w:vAlign w:val="center"/>
          </w:tcPr>
          <w:p>
            <w:pPr>
              <w:adjustRightInd w:val="0"/>
              <w:spacing w:line="360" w:lineRule="auto"/>
              <w:jc w:val="center"/>
              <w:textAlignment w:val="baseline"/>
              <w:rPr>
                <w:rFonts w:ascii="宋体" w:hAnsi="宋体" w:cs="宋体"/>
                <w:b/>
                <w:color w:val="auto"/>
                <w:szCs w:val="21"/>
                <w:highlight w:val="none"/>
              </w:rPr>
            </w:pPr>
            <w:r>
              <w:rPr>
                <w:rFonts w:hint="eastAsia" w:ascii="宋体" w:hAnsi="宋体" w:cs="宋体"/>
                <w:b/>
                <w:color w:val="auto"/>
                <w:szCs w:val="21"/>
                <w:highlight w:val="none"/>
              </w:rPr>
              <w:t>商务分</w:t>
            </w:r>
          </w:p>
        </w:tc>
        <w:tc>
          <w:tcPr>
            <w:tcW w:w="737" w:type="dxa"/>
            <w:vAlign w:val="center"/>
          </w:tcPr>
          <w:p>
            <w:pPr>
              <w:adjustRightInd w:val="0"/>
              <w:spacing w:line="360" w:lineRule="auto"/>
              <w:jc w:val="center"/>
              <w:textAlignment w:val="baseline"/>
              <w:rPr>
                <w:rFonts w:ascii="宋体" w:hAnsi="宋体" w:cs="宋体"/>
                <w:b/>
                <w:color w:val="auto"/>
                <w:szCs w:val="21"/>
                <w:highlight w:val="none"/>
              </w:rPr>
            </w:pPr>
            <w:r>
              <w:rPr>
                <w:rFonts w:hint="eastAsia" w:ascii="宋体" w:hAnsi="宋体" w:cs="宋体"/>
                <w:b/>
                <w:color w:val="auto"/>
                <w:kern w:val="0"/>
                <w:szCs w:val="21"/>
                <w:highlight w:val="none"/>
                <w:lang w:val="en-US" w:eastAsia="zh-CN"/>
              </w:rPr>
              <w:t>25</w:t>
            </w:r>
            <w:r>
              <w:rPr>
                <w:rFonts w:hint="eastAsia" w:ascii="宋体" w:hAnsi="宋体" w:cs="宋体"/>
                <w:b/>
                <w:color w:val="auto"/>
                <w:kern w:val="0"/>
                <w:szCs w:val="21"/>
                <w:highlight w:val="none"/>
              </w:rPr>
              <w:t>分</w:t>
            </w:r>
          </w:p>
        </w:tc>
        <w:tc>
          <w:tcPr>
            <w:tcW w:w="6718" w:type="dxa"/>
            <w:gridSpan w:val="2"/>
            <w:vAlign w:val="center"/>
          </w:tcPr>
          <w:p>
            <w:pPr>
              <w:pStyle w:val="3"/>
              <w:numPr>
                <w:ilvl w:val="0"/>
                <w:numId w:val="0"/>
              </w:numPr>
              <w:tabs>
                <w:tab w:val="left" w:pos="2020"/>
                <w:tab w:val="center" w:pos="4535"/>
              </w:tabs>
              <w:ind w:firstLine="422" w:firstLineChars="200"/>
              <w:rPr>
                <w:rFonts w:hint="default" w:ascii="宋体" w:eastAsia="宋体" w:cs="仿宋_GB2312"/>
                <w:b/>
                <w:bCs/>
                <w:color w:val="auto"/>
                <w:kern w:val="0"/>
                <w:sz w:val="21"/>
                <w:szCs w:val="21"/>
                <w:highlight w:val="none"/>
                <w:lang w:val="en-US" w:eastAsia="zh-CN" w:bidi="ar-SA"/>
              </w:rPr>
            </w:pPr>
            <w:r>
              <w:rPr>
                <w:rFonts w:hint="eastAsia" w:ascii="宋体" w:eastAsia="宋体" w:cs="仿宋_GB2312"/>
                <w:b/>
                <w:bCs/>
                <w:color w:val="auto"/>
                <w:kern w:val="0"/>
                <w:sz w:val="21"/>
                <w:szCs w:val="21"/>
                <w:highlight w:val="none"/>
                <w:lang w:val="en-US" w:eastAsia="zh-CN" w:bidi="ar-SA"/>
              </w:rPr>
              <w:t>（1）舆情服务经验</w:t>
            </w:r>
          </w:p>
          <w:p>
            <w:pPr>
              <w:pStyle w:val="3"/>
              <w:numPr>
                <w:ilvl w:val="0"/>
                <w:numId w:val="0"/>
              </w:numPr>
              <w:tabs>
                <w:tab w:val="left" w:pos="2020"/>
                <w:tab w:val="center" w:pos="4535"/>
              </w:tabs>
              <w:ind w:firstLine="420" w:firstLineChars="200"/>
              <w:rPr>
                <w:rFonts w:hint="eastAsia" w:ascii="宋体" w:hAnsi="宋体" w:eastAsia="宋体" w:cs="仿宋_GB2312"/>
                <w:bCs w:val="0"/>
                <w:color w:val="auto"/>
                <w:kern w:val="0"/>
                <w:sz w:val="21"/>
                <w:szCs w:val="21"/>
                <w:highlight w:val="none"/>
                <w:lang w:val="en-US" w:eastAsia="zh-CN" w:bidi="ar-SA"/>
              </w:rPr>
            </w:pPr>
            <w:r>
              <w:rPr>
                <w:rFonts w:hint="eastAsia" w:ascii="宋体" w:hAnsi="宋体" w:eastAsia="宋体" w:cs="仿宋_GB2312"/>
                <w:bCs w:val="0"/>
                <w:color w:val="auto"/>
                <w:kern w:val="0"/>
                <w:sz w:val="21"/>
                <w:szCs w:val="21"/>
                <w:highlight w:val="none"/>
                <w:lang w:val="en-US" w:eastAsia="zh-CN" w:bidi="ar-SA"/>
              </w:rPr>
              <w:t>供应商提供2020 年以来省级及以上涉农舆情项目</w:t>
            </w:r>
            <w:r>
              <w:rPr>
                <w:rFonts w:hint="eastAsia" w:ascii="宋体" w:eastAsia="宋体" w:cs="仿宋_GB2312"/>
                <w:bCs w:val="0"/>
                <w:color w:val="auto"/>
                <w:kern w:val="0"/>
                <w:sz w:val="21"/>
                <w:szCs w:val="21"/>
                <w:highlight w:val="none"/>
                <w:lang w:val="en-US" w:eastAsia="zh-CN" w:bidi="ar-SA"/>
              </w:rPr>
              <w:t>合同</w:t>
            </w:r>
            <w:r>
              <w:rPr>
                <w:rFonts w:hint="eastAsia" w:ascii="宋体" w:hAnsi="宋体" w:eastAsia="宋体" w:cs="仿宋_GB2312"/>
                <w:bCs w:val="0"/>
                <w:color w:val="auto"/>
                <w:kern w:val="0"/>
                <w:sz w:val="21"/>
                <w:szCs w:val="21"/>
                <w:highlight w:val="none"/>
                <w:lang w:val="en-US" w:eastAsia="zh-CN" w:bidi="ar-SA"/>
              </w:rPr>
              <w:t>，每个得3 分，</w:t>
            </w:r>
            <w:r>
              <w:rPr>
                <w:rFonts w:hint="eastAsia" w:ascii="宋体" w:hAnsi="宋体" w:eastAsia="宋体" w:cs="仿宋_GB2312"/>
                <w:b/>
                <w:bCs/>
                <w:color w:val="auto"/>
                <w:kern w:val="0"/>
                <w:sz w:val="21"/>
                <w:szCs w:val="21"/>
                <w:highlight w:val="none"/>
                <w:lang w:val="en-US" w:eastAsia="zh-CN" w:bidi="ar-SA"/>
              </w:rPr>
              <w:t>满分15分</w:t>
            </w:r>
            <w:r>
              <w:rPr>
                <w:rFonts w:hint="eastAsia" w:ascii="宋体" w:hAnsi="宋体" w:eastAsia="宋体" w:cs="仿宋_GB2312"/>
                <w:bCs w:val="0"/>
                <w:color w:val="auto"/>
                <w:kern w:val="0"/>
                <w:sz w:val="21"/>
                <w:szCs w:val="21"/>
                <w:highlight w:val="none"/>
                <w:lang w:val="en-US" w:eastAsia="zh-CN" w:bidi="ar-SA"/>
              </w:rPr>
              <w:t xml:space="preserve">（请提供合同或中标（成交）通知书复印件，原件备查，否则不得分）。 </w:t>
            </w:r>
          </w:p>
          <w:p>
            <w:pPr>
              <w:pStyle w:val="3"/>
              <w:numPr>
                <w:ilvl w:val="0"/>
                <w:numId w:val="0"/>
              </w:numPr>
              <w:tabs>
                <w:tab w:val="left" w:pos="2020"/>
                <w:tab w:val="center" w:pos="4535"/>
              </w:tabs>
              <w:ind w:leftChars="0" w:firstLine="422" w:firstLineChars="200"/>
              <w:rPr>
                <w:rFonts w:hint="default" w:ascii="宋体" w:eastAsia="宋体" w:cs="仿宋_GB2312"/>
                <w:b/>
                <w:bCs/>
                <w:color w:val="auto"/>
                <w:kern w:val="0"/>
                <w:sz w:val="21"/>
                <w:szCs w:val="21"/>
                <w:highlight w:val="none"/>
                <w:lang w:val="en-US" w:eastAsia="zh-CN" w:bidi="ar-SA"/>
              </w:rPr>
            </w:pPr>
            <w:r>
              <w:rPr>
                <w:rFonts w:hint="eastAsia" w:ascii="宋体" w:eastAsia="宋体" w:cs="仿宋_GB2312"/>
                <w:b/>
                <w:bCs/>
                <w:color w:val="auto"/>
                <w:kern w:val="0"/>
                <w:sz w:val="21"/>
                <w:szCs w:val="21"/>
                <w:highlight w:val="none"/>
                <w:lang w:val="en-US" w:eastAsia="zh-CN" w:bidi="ar-SA"/>
              </w:rPr>
              <w:t>（2）舆情课题研究经验</w:t>
            </w:r>
          </w:p>
          <w:p>
            <w:pPr>
              <w:pStyle w:val="3"/>
              <w:numPr>
                <w:ilvl w:val="0"/>
                <w:numId w:val="0"/>
              </w:numPr>
              <w:tabs>
                <w:tab w:val="left" w:pos="2020"/>
                <w:tab w:val="center" w:pos="4535"/>
              </w:tabs>
              <w:ind w:leftChars="0" w:firstLine="420" w:firstLineChars="200"/>
              <w:rPr>
                <w:rFonts w:hint="eastAsia" w:ascii="宋体" w:hAnsi="宋体" w:eastAsia="宋体" w:cs="仿宋_GB2312"/>
                <w:bCs w:val="0"/>
                <w:color w:val="auto"/>
                <w:kern w:val="0"/>
                <w:sz w:val="21"/>
                <w:szCs w:val="21"/>
                <w:highlight w:val="none"/>
                <w:lang w:val="en-US" w:eastAsia="zh-CN" w:bidi="ar-SA"/>
              </w:rPr>
            </w:pPr>
            <w:r>
              <w:rPr>
                <w:rFonts w:hint="eastAsia" w:ascii="宋体" w:eastAsia="宋体" w:cs="仿宋_GB2312"/>
                <w:bCs w:val="0"/>
                <w:color w:val="auto"/>
                <w:kern w:val="0"/>
                <w:sz w:val="21"/>
                <w:szCs w:val="21"/>
                <w:highlight w:val="none"/>
                <w:lang w:val="en-US" w:eastAsia="zh-CN" w:bidi="ar-SA"/>
              </w:rPr>
              <w:t>供应商</w:t>
            </w:r>
            <w:r>
              <w:rPr>
                <w:rFonts w:hint="eastAsia" w:ascii="宋体" w:hAnsi="宋体" w:eastAsia="宋体" w:cs="仿宋_GB2312"/>
                <w:bCs w:val="0"/>
                <w:color w:val="auto"/>
                <w:kern w:val="0"/>
                <w:sz w:val="21"/>
                <w:szCs w:val="21"/>
                <w:highlight w:val="none"/>
                <w:lang w:val="en-US" w:eastAsia="zh-CN" w:bidi="ar-SA"/>
              </w:rPr>
              <w:t>提供省部级以上涉农舆情相关课题研究项目，每个得5分，</w:t>
            </w:r>
            <w:r>
              <w:rPr>
                <w:rFonts w:hint="eastAsia" w:ascii="宋体" w:hAnsi="宋体" w:eastAsia="宋体" w:cs="仿宋_GB2312"/>
                <w:b/>
                <w:bCs/>
                <w:color w:val="auto"/>
                <w:kern w:val="0"/>
                <w:sz w:val="21"/>
                <w:szCs w:val="21"/>
                <w:highlight w:val="none"/>
                <w:lang w:val="en-US" w:eastAsia="zh-CN" w:bidi="ar-SA"/>
              </w:rPr>
              <w:t>满分10分</w:t>
            </w:r>
            <w:r>
              <w:rPr>
                <w:rFonts w:hint="eastAsia" w:ascii="宋体" w:hAnsi="宋体" w:eastAsia="宋体" w:cs="仿宋_GB2312"/>
                <w:bCs w:val="0"/>
                <w:color w:val="auto"/>
                <w:kern w:val="0"/>
                <w:sz w:val="21"/>
                <w:szCs w:val="21"/>
                <w:highlight w:val="none"/>
                <w:lang w:val="en-US" w:eastAsia="zh-CN" w:bidi="ar-SA"/>
              </w:rPr>
              <w:t>（请提供合同或研究成果，原件备查，否则不得分）</w:t>
            </w:r>
          </w:p>
          <w:p>
            <w:pPr>
              <w:spacing w:line="360" w:lineRule="auto"/>
              <w:ind w:firstLine="630" w:firstLineChars="300"/>
              <w:rPr>
                <w:color w:val="auto"/>
                <w:highlight w:val="none"/>
              </w:rPr>
            </w:pPr>
            <w:r>
              <w:rPr>
                <w:rFonts w:hint="eastAsia" w:ascii="宋体" w:hAnsi="宋体" w:eastAsia="宋体" w:cs="仿宋_GB2312"/>
                <w:bCs w:val="0"/>
                <w:color w:val="auto"/>
                <w:kern w:val="0"/>
                <w:sz w:val="21"/>
                <w:szCs w:val="21"/>
                <w:highlight w:val="none"/>
                <w:lang w:val="en-US" w:eastAsia="zh-CN" w:bidi="ar-SA"/>
              </w:rPr>
              <w:t>以上材料须提供复印件加盖公章。</w:t>
            </w:r>
            <w:r>
              <w:rPr>
                <w:rFonts w:hint="eastAsia" w:ascii="宋体" w:hAnsi="宋体" w:eastAsia="宋体" w:cs="仿宋_GB2312"/>
                <w:b/>
                <w:bCs/>
                <w:color w:val="auto"/>
                <w:kern w:val="0"/>
                <w:sz w:val="21"/>
                <w:szCs w:val="21"/>
                <w:highlight w:val="none"/>
                <w:lang w:val="en-US" w:eastAsia="zh-CN" w:bidi="ar-SA"/>
              </w:rPr>
              <w:t>满分</w:t>
            </w:r>
            <w:r>
              <w:rPr>
                <w:rFonts w:hint="eastAsia" w:ascii="宋体" w:hAnsi="宋体" w:cs="仿宋_GB2312"/>
                <w:b/>
                <w:bCs/>
                <w:color w:val="auto"/>
                <w:kern w:val="0"/>
                <w:sz w:val="21"/>
                <w:szCs w:val="21"/>
                <w:highlight w:val="none"/>
                <w:lang w:val="en-US" w:eastAsia="zh-CN" w:bidi="ar-SA"/>
              </w:rPr>
              <w:t>25</w:t>
            </w:r>
            <w:r>
              <w:rPr>
                <w:rFonts w:hint="eastAsia" w:ascii="宋体" w:hAnsi="宋体" w:eastAsia="宋体" w:cs="仿宋_GB2312"/>
                <w:b/>
                <w:bCs/>
                <w:color w:val="auto"/>
                <w:kern w:val="0"/>
                <w:sz w:val="21"/>
                <w:szCs w:val="21"/>
                <w:highlight w:val="none"/>
                <w:lang w:val="en-US" w:eastAsia="zh-CN" w:bidi="ar-S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239" w:type="dxa"/>
            <w:gridSpan w:val="5"/>
            <w:vAlign w:val="center"/>
          </w:tcPr>
          <w:p>
            <w:pPr>
              <w:pStyle w:val="18"/>
              <w:spacing w:line="360" w:lineRule="auto"/>
              <w:rPr>
                <w:rFonts w:hAnsi="宋体" w:cs="宋体"/>
                <w:bCs/>
                <w:color w:val="auto"/>
                <w:kern w:val="2"/>
                <w:sz w:val="21"/>
                <w:highlight w:val="none"/>
              </w:rPr>
            </w:pPr>
            <w:r>
              <w:rPr>
                <w:rFonts w:hint="eastAsia" w:hAnsi="宋体" w:cs="宋体"/>
                <w:b/>
                <w:bCs/>
                <w:color w:val="auto"/>
                <w:kern w:val="2"/>
                <w:sz w:val="21"/>
                <w:highlight w:val="none"/>
              </w:rPr>
              <w:t>总得分=1+2+3。</w:t>
            </w:r>
          </w:p>
        </w:tc>
      </w:tr>
    </w:tbl>
    <w:p>
      <w:pPr>
        <w:rPr>
          <w:rFonts w:hint="eastAsia" w:ascii="宋体" w:hAnsi="宋体" w:cs="宋体"/>
          <w:b/>
          <w:bCs w:val="0"/>
          <w:color w:val="auto"/>
          <w:highlight w:val="none"/>
          <w:lang w:eastAsia="zh-CN"/>
        </w:rPr>
      </w:pPr>
    </w:p>
    <w:p>
      <w:pPr>
        <w:rPr>
          <w:rFonts w:hint="eastAsia" w:ascii="宋体" w:hAnsi="宋体" w:cs="宋体"/>
          <w:b/>
          <w:bCs w:val="0"/>
          <w:color w:val="auto"/>
          <w:highlight w:val="none"/>
          <w:lang w:eastAsia="zh-CN"/>
        </w:rPr>
      </w:pPr>
    </w:p>
    <w:p>
      <w:pPr>
        <w:rPr>
          <w:rFonts w:hint="eastAsia" w:ascii="宋体" w:hAnsi="宋体" w:cs="宋体"/>
          <w:b/>
          <w:bCs w:val="0"/>
          <w:color w:val="auto"/>
          <w:highlight w:val="none"/>
          <w:lang w:eastAsia="zh-CN"/>
        </w:rPr>
      </w:pPr>
      <w:r>
        <w:rPr>
          <w:rFonts w:hint="eastAsia" w:ascii="宋体" w:hAnsi="宋体" w:cs="宋体"/>
          <w:b/>
          <w:bCs w:val="0"/>
          <w:color w:val="auto"/>
          <w:highlight w:val="none"/>
          <w:lang w:eastAsia="zh-CN"/>
        </w:rPr>
        <w:br w:type="page"/>
      </w:r>
    </w:p>
    <w:p>
      <w:pPr>
        <w:rPr>
          <w:rFonts w:hint="default" w:ascii="宋体" w:hAnsi="宋体" w:eastAsia="宋体" w:cs="宋体"/>
          <w:b/>
          <w:bCs w:val="0"/>
          <w:color w:val="auto"/>
          <w:highlight w:val="none"/>
          <w:lang w:val="en-US" w:eastAsia="zh-CN"/>
        </w:rPr>
      </w:pPr>
      <w:r>
        <w:rPr>
          <w:rFonts w:hint="eastAsia" w:ascii="宋体" w:hAnsi="宋体" w:cs="宋体"/>
          <w:b/>
          <w:bCs w:val="0"/>
          <w:color w:val="auto"/>
          <w:highlight w:val="none"/>
          <w:lang w:eastAsia="zh-CN"/>
        </w:rPr>
        <w:t>分标</w:t>
      </w:r>
      <w:r>
        <w:rPr>
          <w:rFonts w:hint="eastAsia" w:ascii="宋体" w:hAnsi="宋体" w:cs="宋体"/>
          <w:b/>
          <w:bCs w:val="0"/>
          <w:color w:val="auto"/>
          <w:highlight w:val="none"/>
          <w:lang w:val="en-US" w:eastAsia="zh-CN"/>
        </w:rPr>
        <w:t>6：</w:t>
      </w:r>
    </w:p>
    <w:tbl>
      <w:tblPr>
        <w:tblStyle w:val="30"/>
        <w:tblW w:w="92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7"/>
        <w:gridCol w:w="1107"/>
        <w:gridCol w:w="737"/>
        <w:gridCol w:w="1548"/>
        <w:gridCol w:w="5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77" w:type="dxa"/>
            <w:vAlign w:val="center"/>
          </w:tcPr>
          <w:p>
            <w:pPr>
              <w:adjustRightInd w:val="0"/>
              <w:spacing w:line="410" w:lineRule="exact"/>
              <w:jc w:val="center"/>
              <w:textAlignment w:val="baseline"/>
              <w:rPr>
                <w:rFonts w:ascii="宋体" w:hAnsi="宋体" w:cs="宋体"/>
                <w:b/>
                <w:color w:val="auto"/>
                <w:szCs w:val="21"/>
                <w:highlight w:val="none"/>
              </w:rPr>
            </w:pPr>
            <w:r>
              <w:rPr>
                <w:rFonts w:hint="eastAsia" w:ascii="宋体" w:hAnsi="宋体" w:cs="宋体"/>
                <w:b/>
                <w:color w:val="auto"/>
                <w:szCs w:val="21"/>
                <w:highlight w:val="none"/>
              </w:rPr>
              <w:t>序号</w:t>
            </w:r>
          </w:p>
        </w:tc>
        <w:tc>
          <w:tcPr>
            <w:tcW w:w="1107" w:type="dxa"/>
            <w:vAlign w:val="center"/>
          </w:tcPr>
          <w:p>
            <w:pPr>
              <w:adjustRightInd w:val="0"/>
              <w:spacing w:line="410" w:lineRule="exact"/>
              <w:jc w:val="center"/>
              <w:textAlignment w:val="baseline"/>
              <w:rPr>
                <w:rFonts w:ascii="宋体" w:hAnsi="宋体" w:cs="宋体"/>
                <w:color w:val="auto"/>
                <w:szCs w:val="21"/>
                <w:highlight w:val="none"/>
              </w:rPr>
            </w:pPr>
            <w:r>
              <w:rPr>
                <w:rFonts w:hint="eastAsia" w:ascii="宋体" w:hAnsi="宋体" w:cs="宋体"/>
                <w:b/>
                <w:color w:val="auto"/>
                <w:szCs w:val="21"/>
                <w:highlight w:val="none"/>
              </w:rPr>
              <w:t>评审因素</w:t>
            </w:r>
          </w:p>
        </w:tc>
        <w:tc>
          <w:tcPr>
            <w:tcW w:w="737" w:type="dxa"/>
            <w:vAlign w:val="center"/>
          </w:tcPr>
          <w:p>
            <w:pPr>
              <w:adjustRightInd w:val="0"/>
              <w:spacing w:line="410" w:lineRule="exact"/>
              <w:jc w:val="center"/>
              <w:textAlignment w:val="baseline"/>
              <w:rPr>
                <w:rFonts w:ascii="宋体" w:hAnsi="宋体" w:cs="宋体"/>
                <w:b/>
                <w:color w:val="auto"/>
                <w:szCs w:val="21"/>
                <w:highlight w:val="none"/>
              </w:rPr>
            </w:pPr>
            <w:r>
              <w:rPr>
                <w:rFonts w:hint="eastAsia" w:ascii="宋体" w:hAnsi="宋体" w:cs="宋体"/>
                <w:b/>
                <w:color w:val="auto"/>
                <w:szCs w:val="21"/>
                <w:highlight w:val="none"/>
              </w:rPr>
              <w:t>分值</w:t>
            </w:r>
          </w:p>
        </w:tc>
        <w:tc>
          <w:tcPr>
            <w:tcW w:w="6718" w:type="dxa"/>
            <w:gridSpan w:val="2"/>
            <w:vAlign w:val="center"/>
          </w:tcPr>
          <w:p>
            <w:pPr>
              <w:adjustRightInd w:val="0"/>
              <w:spacing w:line="410" w:lineRule="exact"/>
              <w:jc w:val="center"/>
              <w:textAlignment w:val="baseline"/>
              <w:rPr>
                <w:rFonts w:ascii="宋体" w:hAnsi="宋体" w:cs="宋体"/>
                <w:b/>
                <w:color w:val="auto"/>
                <w:szCs w:val="21"/>
                <w:highlight w:val="none"/>
              </w:rPr>
            </w:pPr>
            <w:r>
              <w:rPr>
                <w:rFonts w:hint="eastAsia" w:ascii="宋体" w:hAnsi="宋体" w:cs="宋体"/>
                <w:b/>
                <w:color w:val="auto"/>
                <w:szCs w:val="21"/>
                <w:highlight w:val="none"/>
              </w:rPr>
              <w:t>评标标准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77" w:type="dxa"/>
            <w:vAlign w:val="center"/>
          </w:tcPr>
          <w:p>
            <w:pPr>
              <w:adjustRightInd w:val="0"/>
              <w:spacing w:line="360" w:lineRule="auto"/>
              <w:jc w:val="center"/>
              <w:textAlignment w:val="baseline"/>
              <w:rPr>
                <w:rFonts w:ascii="宋体" w:hAnsi="宋体" w:cs="宋体"/>
                <w:b/>
                <w:color w:val="auto"/>
                <w:szCs w:val="21"/>
                <w:highlight w:val="none"/>
              </w:rPr>
            </w:pPr>
            <w:r>
              <w:rPr>
                <w:rFonts w:hint="eastAsia" w:ascii="宋体" w:hAnsi="宋体" w:cs="宋体"/>
                <w:b/>
                <w:color w:val="auto"/>
                <w:szCs w:val="21"/>
                <w:highlight w:val="none"/>
              </w:rPr>
              <w:t>1</w:t>
            </w:r>
          </w:p>
        </w:tc>
        <w:tc>
          <w:tcPr>
            <w:tcW w:w="1107" w:type="dxa"/>
            <w:vAlign w:val="center"/>
          </w:tcPr>
          <w:p>
            <w:pPr>
              <w:adjustRightInd w:val="0"/>
              <w:spacing w:line="360" w:lineRule="auto"/>
              <w:jc w:val="center"/>
              <w:textAlignment w:val="baseline"/>
              <w:rPr>
                <w:rFonts w:ascii="宋体" w:hAnsi="宋体" w:cs="宋体"/>
                <w:b/>
                <w:color w:val="auto"/>
                <w:szCs w:val="21"/>
                <w:highlight w:val="none"/>
              </w:rPr>
            </w:pPr>
            <w:r>
              <w:rPr>
                <w:rFonts w:hint="eastAsia" w:ascii="宋体" w:hAnsi="宋体" w:cs="宋体"/>
                <w:b/>
                <w:color w:val="auto"/>
                <w:szCs w:val="21"/>
                <w:highlight w:val="none"/>
              </w:rPr>
              <w:t>报价</w:t>
            </w:r>
          </w:p>
        </w:tc>
        <w:tc>
          <w:tcPr>
            <w:tcW w:w="737" w:type="dxa"/>
            <w:vAlign w:val="center"/>
          </w:tcPr>
          <w:p>
            <w:pPr>
              <w:adjustRightInd w:val="0"/>
              <w:spacing w:line="360" w:lineRule="auto"/>
              <w:jc w:val="center"/>
              <w:textAlignment w:val="baseline"/>
              <w:rPr>
                <w:rFonts w:ascii="宋体" w:hAnsi="宋体" w:cs="宋体"/>
                <w:b/>
                <w:color w:val="auto"/>
                <w:szCs w:val="21"/>
                <w:highlight w:val="none"/>
              </w:rPr>
            </w:pPr>
            <w:r>
              <w:rPr>
                <w:rFonts w:hint="eastAsia" w:ascii="宋体" w:hAnsi="宋体" w:cs="宋体"/>
                <w:b/>
                <w:color w:val="auto"/>
                <w:szCs w:val="21"/>
                <w:highlight w:val="none"/>
                <w:lang w:val="en-US" w:eastAsia="zh-CN"/>
              </w:rPr>
              <w:t>2</w:t>
            </w:r>
            <w:r>
              <w:rPr>
                <w:rFonts w:hint="eastAsia" w:ascii="宋体" w:hAnsi="宋体" w:cs="宋体"/>
                <w:b/>
                <w:color w:val="auto"/>
                <w:szCs w:val="21"/>
                <w:highlight w:val="none"/>
              </w:rPr>
              <w:t>0分</w:t>
            </w:r>
          </w:p>
        </w:tc>
        <w:tc>
          <w:tcPr>
            <w:tcW w:w="6718" w:type="dxa"/>
            <w:gridSpan w:val="2"/>
            <w:vAlign w:val="center"/>
          </w:tcPr>
          <w:p>
            <w:pPr>
              <w:pStyle w:val="18"/>
              <w:spacing w:line="360" w:lineRule="auto"/>
              <w:rPr>
                <w:rFonts w:hAnsi="宋体" w:cs="宋体"/>
                <w:b/>
                <w:bCs/>
                <w:color w:val="auto"/>
                <w:kern w:val="2"/>
                <w:sz w:val="21"/>
                <w:highlight w:val="none"/>
              </w:rPr>
            </w:pPr>
            <w:r>
              <w:rPr>
                <w:rFonts w:hint="eastAsia" w:hAnsi="宋体" w:cs="宋体"/>
                <w:b/>
                <w:bCs/>
                <w:color w:val="auto"/>
                <w:kern w:val="2"/>
                <w:sz w:val="21"/>
                <w:highlight w:val="none"/>
              </w:rPr>
              <w:t>一、政府采购政策扣除</w:t>
            </w:r>
          </w:p>
          <w:p>
            <w:pPr>
              <w:pStyle w:val="18"/>
              <w:spacing w:line="420" w:lineRule="exact"/>
              <w:ind w:firstLine="420" w:firstLineChars="200"/>
              <w:rPr>
                <w:rFonts w:hAnsi="宋体" w:cs="宋体"/>
                <w:bCs/>
                <w:color w:val="auto"/>
                <w:sz w:val="21"/>
                <w:highlight w:val="none"/>
              </w:rPr>
            </w:pPr>
            <w:r>
              <w:rPr>
                <w:rFonts w:hint="eastAsia" w:hAnsi="宋体" w:cs="宋体"/>
                <w:bCs/>
                <w:color w:val="auto"/>
                <w:sz w:val="21"/>
                <w:highlight w:val="none"/>
              </w:rPr>
              <w:t>1、根据《政府采购促进中小企业发展管理办法》（财库〔2020〕46号）和《广西壮族自治区财政厅关于持续优化政府采购营商环境推动高质量发展的通知》（桂财采〔2024〕55号）的规定，供应商属于《政府采购促进中小企业发展管理办法》规定的小微企业的，对磋商报价给予10%的扣除，用扣除后的价格参加评审；大中型企业与小微企业组成联合体或者大中型企业向一家或者多家小微企业分包，且联合协议或者分包意向协议约定小微企业的合同份额占到合同总金额30%以上的，对联合体或者大中型企业的报价给予4%的扣除，用扣除后的价格参加评审。符合上述规定对报价给予扣除的，扣除后的价格为评标价，即评标价=最后报价×（1 - 扣除比例）；不符合上述给予扣除情形的，评标价=最后报价。</w:t>
            </w:r>
          </w:p>
          <w:p>
            <w:pPr>
              <w:pStyle w:val="18"/>
              <w:spacing w:line="420" w:lineRule="exact"/>
              <w:ind w:firstLine="420" w:firstLineChars="200"/>
              <w:rPr>
                <w:rFonts w:hAnsi="宋体" w:cs="宋体"/>
                <w:bCs/>
                <w:color w:val="auto"/>
                <w:sz w:val="21"/>
                <w:highlight w:val="none"/>
              </w:rPr>
            </w:pPr>
            <w:r>
              <w:rPr>
                <w:rFonts w:hint="eastAsia" w:hAnsi="宋体" w:cs="宋体"/>
                <w:bCs/>
                <w:color w:val="auto"/>
                <w:sz w:val="21"/>
                <w:highlight w:val="none"/>
              </w:rPr>
              <w:t>2、</w:t>
            </w:r>
            <w:r>
              <w:rPr>
                <w:rFonts w:hint="eastAsia" w:hAnsi="宋体" w:cs="宋体"/>
                <w:color w:val="auto"/>
                <w:sz w:val="21"/>
                <w:highlight w:val="none"/>
              </w:rPr>
              <w:t>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不重复享受政策。</w:t>
            </w:r>
          </w:p>
          <w:p>
            <w:pPr>
              <w:pStyle w:val="18"/>
              <w:spacing w:line="420" w:lineRule="exact"/>
              <w:ind w:firstLine="420" w:firstLineChars="200"/>
              <w:outlineLvl w:val="0"/>
              <w:rPr>
                <w:rFonts w:hAnsi="宋体" w:cs="宋体"/>
                <w:color w:val="auto"/>
                <w:sz w:val="21"/>
                <w:highlight w:val="none"/>
              </w:rPr>
            </w:pPr>
            <w:r>
              <w:rPr>
                <w:rFonts w:hint="eastAsia" w:hAnsi="宋体" w:cs="宋体"/>
                <w:bCs/>
                <w:color w:val="auto"/>
                <w:sz w:val="21"/>
                <w:highlight w:val="none"/>
              </w:rPr>
              <w:t>3、</w:t>
            </w:r>
            <w:r>
              <w:rPr>
                <w:rFonts w:hint="eastAsia" w:hAnsi="宋体" w:cs="宋体"/>
                <w:color w:val="auto"/>
                <w:sz w:val="21"/>
                <w:highlight w:val="none"/>
              </w:rPr>
              <w:t>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pPr>
              <w:pStyle w:val="18"/>
              <w:spacing w:line="420" w:lineRule="exact"/>
              <w:outlineLvl w:val="0"/>
              <w:rPr>
                <w:rFonts w:hAnsi="宋体" w:cs="宋体"/>
                <w:b/>
                <w:color w:val="auto"/>
                <w:sz w:val="21"/>
                <w:highlight w:val="none"/>
              </w:rPr>
            </w:pPr>
            <w:r>
              <w:rPr>
                <w:rFonts w:hint="eastAsia" w:hAnsi="宋体" w:cs="宋体"/>
                <w:b/>
                <w:color w:val="auto"/>
                <w:sz w:val="21"/>
                <w:highlight w:val="none"/>
              </w:rPr>
              <w:t>二、报价分（满分</w:t>
            </w:r>
            <w:r>
              <w:rPr>
                <w:rFonts w:hint="eastAsia" w:hAnsi="宋体" w:cs="宋体"/>
                <w:b/>
                <w:color w:val="auto"/>
                <w:sz w:val="21"/>
                <w:highlight w:val="none"/>
                <w:lang w:val="en-US" w:eastAsia="zh-CN"/>
              </w:rPr>
              <w:t>2</w:t>
            </w:r>
            <w:r>
              <w:rPr>
                <w:rFonts w:hint="eastAsia" w:hAnsi="宋体" w:cs="宋体"/>
                <w:b/>
                <w:color w:val="auto"/>
                <w:sz w:val="21"/>
                <w:highlight w:val="none"/>
              </w:rPr>
              <w:t>0分）</w:t>
            </w:r>
          </w:p>
          <w:p>
            <w:pPr>
              <w:pStyle w:val="18"/>
              <w:spacing w:line="420" w:lineRule="exact"/>
              <w:ind w:firstLine="420" w:firstLineChars="200"/>
              <w:rPr>
                <w:rFonts w:hAnsi="宋体" w:cs="宋体"/>
                <w:bCs/>
                <w:color w:val="auto"/>
                <w:sz w:val="21"/>
                <w:highlight w:val="none"/>
              </w:rPr>
            </w:pPr>
            <w:r>
              <w:rPr>
                <w:rFonts w:hint="eastAsia" w:hAnsi="宋体" w:cs="宋体"/>
                <w:color w:val="auto"/>
                <w:sz w:val="21"/>
                <w:highlight w:val="none"/>
              </w:rPr>
              <w:t>1、</w:t>
            </w:r>
            <w:r>
              <w:rPr>
                <w:rFonts w:hint="eastAsia" w:hAnsi="宋体" w:cs="宋体"/>
                <w:bCs/>
                <w:color w:val="auto"/>
                <w:sz w:val="21"/>
                <w:highlight w:val="none"/>
              </w:rPr>
              <w:t>报价分采用低价优先法计算，满足磋商文件要求且评标价最低的有效供应商的评标价为评标基准价，其报价分为满分。</w:t>
            </w:r>
          </w:p>
          <w:p>
            <w:pPr>
              <w:pStyle w:val="18"/>
              <w:spacing w:line="420" w:lineRule="exact"/>
              <w:ind w:firstLine="420" w:firstLineChars="200"/>
              <w:rPr>
                <w:rFonts w:hAnsi="宋体" w:cs="宋体"/>
                <w:bCs/>
                <w:color w:val="auto"/>
                <w:sz w:val="21"/>
                <w:highlight w:val="none"/>
              </w:rPr>
            </w:pPr>
            <w:r>
              <w:rPr>
                <w:rFonts w:hint="eastAsia" w:hAnsi="宋体" w:cs="宋体"/>
                <w:bCs/>
                <w:color w:val="auto"/>
                <w:sz w:val="21"/>
                <w:highlight w:val="none"/>
              </w:rPr>
              <w:t>2、其他供应商的价格分统一按照下列公式计算：</w:t>
            </w:r>
          </w:p>
          <w:p>
            <w:pPr>
              <w:pStyle w:val="18"/>
              <w:spacing w:line="420" w:lineRule="exact"/>
              <w:rPr>
                <w:rFonts w:hAnsi="宋体" w:cs="宋体"/>
                <w:bCs/>
                <w:color w:val="auto"/>
                <w:kern w:val="2"/>
                <w:sz w:val="21"/>
                <w:highlight w:val="none"/>
              </w:rPr>
            </w:pPr>
            <w:r>
              <w:rPr>
                <w:rFonts w:hint="eastAsia" w:hAnsi="宋体" w:cs="宋体"/>
                <w:bCs/>
                <w:color w:val="auto"/>
                <w:sz w:val="21"/>
                <w:highlight w:val="none"/>
              </w:rPr>
              <w:t>某有效供应商的报价分=（评标基准价／某有效供应商评标价）×</w:t>
            </w:r>
            <w:r>
              <w:rPr>
                <w:rFonts w:hint="eastAsia" w:hAnsi="宋体" w:cs="宋体"/>
                <w:bCs/>
                <w:color w:val="auto"/>
                <w:sz w:val="21"/>
                <w:highlight w:val="none"/>
                <w:lang w:val="en-US" w:eastAsia="zh-CN"/>
              </w:rPr>
              <w:t>2</w:t>
            </w:r>
            <w:r>
              <w:rPr>
                <w:rFonts w:hint="eastAsia" w:hAnsi="宋体" w:cs="宋体"/>
                <w:bCs/>
                <w:color w:val="auto"/>
                <w:sz w:val="21"/>
                <w:highlight w:val="none"/>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77" w:type="dxa"/>
            <w:vMerge w:val="restart"/>
            <w:vAlign w:val="center"/>
          </w:tcPr>
          <w:p>
            <w:pPr>
              <w:adjustRightInd w:val="0"/>
              <w:spacing w:line="360" w:lineRule="auto"/>
              <w:jc w:val="center"/>
              <w:textAlignment w:val="baseline"/>
              <w:rPr>
                <w:rFonts w:ascii="宋体" w:hAnsi="宋体" w:cs="宋体"/>
                <w:b/>
                <w:color w:val="auto"/>
                <w:szCs w:val="21"/>
                <w:highlight w:val="none"/>
              </w:rPr>
            </w:pPr>
            <w:r>
              <w:rPr>
                <w:rFonts w:hint="eastAsia" w:ascii="宋体" w:hAnsi="宋体" w:cs="宋体"/>
                <w:b/>
                <w:color w:val="auto"/>
                <w:szCs w:val="21"/>
                <w:highlight w:val="none"/>
              </w:rPr>
              <w:t>2</w:t>
            </w:r>
          </w:p>
        </w:tc>
        <w:tc>
          <w:tcPr>
            <w:tcW w:w="1107" w:type="dxa"/>
            <w:vMerge w:val="restart"/>
            <w:vAlign w:val="center"/>
          </w:tcPr>
          <w:p>
            <w:pPr>
              <w:adjustRightInd w:val="0"/>
              <w:spacing w:line="360" w:lineRule="auto"/>
              <w:jc w:val="center"/>
              <w:textAlignment w:val="baseline"/>
              <w:rPr>
                <w:rFonts w:ascii="宋体" w:hAnsi="宋体" w:cs="宋体"/>
                <w:b/>
                <w:color w:val="auto"/>
                <w:szCs w:val="21"/>
                <w:highlight w:val="none"/>
              </w:rPr>
            </w:pPr>
            <w:r>
              <w:rPr>
                <w:rFonts w:hint="eastAsia" w:ascii="宋体" w:hAnsi="宋体" w:cs="宋体"/>
                <w:b/>
                <w:color w:val="auto"/>
                <w:szCs w:val="21"/>
                <w:highlight w:val="none"/>
              </w:rPr>
              <w:t>服务水平</w:t>
            </w:r>
          </w:p>
        </w:tc>
        <w:tc>
          <w:tcPr>
            <w:tcW w:w="737" w:type="dxa"/>
            <w:vMerge w:val="restart"/>
            <w:vAlign w:val="center"/>
          </w:tcPr>
          <w:p>
            <w:pPr>
              <w:adjustRightInd w:val="0"/>
              <w:spacing w:line="360" w:lineRule="auto"/>
              <w:jc w:val="center"/>
              <w:textAlignment w:val="baseline"/>
              <w:rPr>
                <w:rFonts w:hint="default" w:ascii="宋体" w:hAnsi="宋体" w:eastAsia="宋体" w:cs="宋体"/>
                <w:b/>
                <w:color w:val="auto"/>
                <w:szCs w:val="21"/>
                <w:highlight w:val="none"/>
                <w:lang w:val="en-US" w:eastAsia="zh-CN"/>
              </w:rPr>
            </w:pPr>
            <w:r>
              <w:rPr>
                <w:rFonts w:hint="eastAsia" w:ascii="宋体" w:hAnsi="宋体" w:cs="宋体"/>
                <w:b/>
                <w:color w:val="auto"/>
                <w:szCs w:val="21"/>
                <w:highlight w:val="none"/>
                <w:lang w:val="en-US" w:eastAsia="zh-CN"/>
              </w:rPr>
              <w:t>64分</w:t>
            </w:r>
          </w:p>
        </w:tc>
        <w:tc>
          <w:tcPr>
            <w:tcW w:w="1548" w:type="dxa"/>
            <w:vAlign w:val="center"/>
          </w:tcPr>
          <w:p>
            <w:pPr>
              <w:spacing w:line="360" w:lineRule="auto"/>
              <w:jc w:val="center"/>
              <w:rPr>
                <w:rFonts w:hint="eastAsia" w:ascii="宋体" w:hAnsi="宋体" w:eastAsia="宋体" w:cs="宋体"/>
                <w:color w:val="auto"/>
                <w:kern w:val="0"/>
                <w:sz w:val="21"/>
                <w:szCs w:val="21"/>
                <w:highlight w:val="none"/>
                <w:lang w:val="en-US" w:eastAsia="zh-CN" w:bidi="ar-SA"/>
              </w:rPr>
            </w:pPr>
            <w:r>
              <w:rPr>
                <w:rFonts w:hint="eastAsia" w:ascii="宋体" w:hAnsi="宋体" w:cs="宋体"/>
                <w:b/>
                <w:bCs/>
                <w:color w:val="auto"/>
                <w:kern w:val="0"/>
                <w:sz w:val="21"/>
                <w:szCs w:val="21"/>
                <w:highlight w:val="none"/>
                <w:lang w:val="en-US" w:eastAsia="zh-CN" w:bidi="ar-SA"/>
              </w:rPr>
              <w:t>服务方案分（满分18分）</w:t>
            </w:r>
          </w:p>
        </w:tc>
        <w:tc>
          <w:tcPr>
            <w:tcW w:w="5170"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由磋商小组根据供应商提供的服务方案确定各供应商所属档次及分值。达不到一档要求或不提供的得0分。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0"/>
                <w:sz w:val="21"/>
                <w:szCs w:val="21"/>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一档 (满分 6 分) ：需求分析笼统或没有需求分析，基本满足要求，采用的方案基本合理。配置有专门的项目服务团队负责人， 且服务保障团队至少配置 5 人 (不含负责人)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二档 (满分 12 分) ：在满足一档的基础上，需求分析具有针对性；按要求逐项展开，细项详细论述，功能满足要求，采用的方案合理、成熟。项目服务团队负责人具有信息系统项目管理 师认证，且服务保障队伍人员数量大于 10 人 (含、不含负责人) ，服务团队中具有至少 5 名高级工程师、3 名高级信息系统项目管理师、2 名信息安全工程师。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三档 (满分 18 分) ：需求分析具有针对性， 按要求逐项展开各功能细项详细论述，完全满足要求，采用的服务方案合理、 成熟并兼顾先进性</w:t>
            </w:r>
            <w:r>
              <w:rPr>
                <w:rFonts w:hint="eastAsia" w:ascii="宋体" w:hAnsi="宋体" w:cs="宋体"/>
                <w:color w:val="auto"/>
                <w:kern w:val="0"/>
                <w:sz w:val="21"/>
                <w:szCs w:val="21"/>
                <w:highlight w:val="none"/>
                <w:lang w:val="en-US" w:eastAsia="zh-CN" w:bidi="ar-SA"/>
              </w:rPr>
              <w:t>。</w:t>
            </w:r>
            <w:r>
              <w:rPr>
                <w:rFonts w:hint="eastAsia" w:ascii="宋体" w:hAnsi="宋体" w:eastAsia="宋体" w:cs="宋体"/>
                <w:color w:val="auto"/>
                <w:kern w:val="0"/>
                <w:sz w:val="21"/>
                <w:szCs w:val="21"/>
                <w:highlight w:val="none"/>
                <w:lang w:val="en-US" w:eastAsia="zh-CN" w:bidi="ar-SA"/>
              </w:rPr>
              <w:t>项目服务团队负责人同时具有信息系统项目管理师、软件设计师和数据库系统工程师认证，且服务保障队伍人员数量大于 20 人 (含、不含负责人) ，服务团队中具有至少 10 名高级工程师、4 名高 级信息系统项目管理师、4 名信息安全工程师。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cs="宋体"/>
                <w:bCs/>
                <w:color w:val="auto"/>
                <w:szCs w:val="21"/>
                <w:highlight w:val="none"/>
                <w:lang w:eastAsia="zh-CN"/>
              </w:rPr>
              <w:t>注：</w:t>
            </w:r>
            <w:r>
              <w:rPr>
                <w:rFonts w:hint="eastAsia" w:ascii="宋体" w:hAnsi="宋体" w:eastAsia="宋体" w:cs="宋体"/>
                <w:bCs/>
                <w:color w:val="auto"/>
                <w:szCs w:val="21"/>
                <w:highlight w:val="none"/>
                <w:lang w:eastAsia="zh-CN"/>
              </w:rPr>
              <w:t>以上所有人员</w:t>
            </w:r>
            <w:r>
              <w:rPr>
                <w:rFonts w:hint="eastAsia" w:ascii="宋体" w:hAnsi="宋体" w:eastAsia="宋体" w:cs="宋体"/>
                <w:bCs/>
                <w:color w:val="auto"/>
                <w:szCs w:val="21"/>
                <w:highlight w:val="none"/>
              </w:rPr>
              <w:t>须提供证明材料及</w:t>
            </w:r>
            <w:r>
              <w:rPr>
                <w:rFonts w:hint="eastAsia" w:ascii="宋体" w:hAnsi="宋体" w:eastAsia="宋体" w:cs="宋体"/>
                <w:bCs/>
                <w:color w:val="auto"/>
                <w:szCs w:val="21"/>
                <w:highlight w:val="none"/>
                <w:lang w:eastAsia="zh-CN"/>
              </w:rPr>
              <w:t>202</w:t>
            </w:r>
            <w:r>
              <w:rPr>
                <w:rFonts w:hint="eastAsia" w:ascii="宋体" w:hAnsi="宋体" w:eastAsia="宋体" w:cs="宋体"/>
                <w:bCs/>
                <w:color w:val="auto"/>
                <w:szCs w:val="21"/>
                <w:highlight w:val="none"/>
                <w:lang w:val="en-US" w:eastAsia="zh-CN"/>
              </w:rPr>
              <w:t>4</w:t>
            </w:r>
            <w:r>
              <w:rPr>
                <w:rFonts w:hint="eastAsia" w:ascii="宋体" w:hAnsi="宋体" w:eastAsia="宋体" w:cs="宋体"/>
                <w:bCs/>
                <w:color w:val="auto"/>
                <w:szCs w:val="21"/>
                <w:highlight w:val="none"/>
                <w:lang w:eastAsia="zh-CN"/>
              </w:rPr>
              <w:t>年1月至</w:t>
            </w:r>
            <w:r>
              <w:rPr>
                <w:rFonts w:hint="eastAsia" w:ascii="宋体" w:hAnsi="宋体" w:cs="宋体"/>
                <w:bCs/>
                <w:color w:val="auto"/>
                <w:szCs w:val="21"/>
                <w:highlight w:val="none"/>
                <w:lang w:eastAsia="zh-CN"/>
              </w:rPr>
              <w:t>2024年8月</w:t>
            </w:r>
            <w:r>
              <w:rPr>
                <w:rFonts w:hint="eastAsia" w:ascii="宋体" w:hAnsi="宋体" w:eastAsia="宋体" w:cs="宋体"/>
                <w:bCs/>
                <w:color w:val="auto"/>
                <w:szCs w:val="21"/>
                <w:highlight w:val="none"/>
                <w:lang w:eastAsia="zh-CN"/>
              </w:rPr>
              <w:t>内连续3个月</w:t>
            </w:r>
            <w:r>
              <w:rPr>
                <w:rFonts w:hint="eastAsia" w:ascii="宋体" w:hAnsi="宋体" w:eastAsia="宋体" w:cs="宋体"/>
                <w:bCs/>
                <w:color w:val="auto"/>
                <w:szCs w:val="21"/>
                <w:highlight w:val="none"/>
              </w:rPr>
              <w:t>供应商为其缴纳社保的证明并加盖供应商公章</w:t>
            </w:r>
            <w:r>
              <w:rPr>
                <w:rFonts w:hint="eastAsia" w:ascii="宋体" w:hAnsi="宋体" w:eastAsia="宋体" w:cs="宋体"/>
                <w:bCs/>
                <w:color w:val="auto"/>
                <w:szCs w:val="21"/>
                <w:highlight w:val="none"/>
                <w:lang w:eastAsia="zh-CN"/>
              </w:rPr>
              <w:t>，不按要求提供资料的不得分</w:t>
            </w:r>
            <w:r>
              <w:rPr>
                <w:rFonts w:hint="eastAsia" w:ascii="宋体" w:hAnsi="宋体" w:eastAsia="宋体" w:cs="宋体"/>
                <w:bCs/>
                <w:color w:val="auto"/>
                <w:szCs w:val="21"/>
                <w:highlight w:val="none"/>
              </w:rPr>
              <w:t>。</w:t>
            </w:r>
            <w:r>
              <w:rPr>
                <w:rFonts w:hint="eastAsia" w:ascii="宋体" w:hAnsi="宋体" w:eastAsia="宋体" w:cs="宋体"/>
                <w:color w:val="auto"/>
                <w:highlight w:val="none"/>
              </w:rPr>
              <w:t>（新成立的公司或新入职的人员提供公司成立日之后次月起或入职到公司之日后次月起到</w:t>
            </w:r>
            <w:r>
              <w:rPr>
                <w:rFonts w:hint="eastAsia" w:ascii="宋体" w:hAnsi="宋体" w:eastAsia="宋体" w:cs="宋体"/>
                <w:color w:val="auto"/>
                <w:highlight w:val="none"/>
                <w:lang w:eastAsia="zh-CN"/>
              </w:rPr>
              <w:t>响应</w:t>
            </w:r>
            <w:r>
              <w:rPr>
                <w:rFonts w:hint="eastAsia" w:ascii="宋体" w:hAnsi="宋体" w:eastAsia="宋体" w:cs="宋体"/>
                <w:color w:val="auto"/>
                <w:highlight w:val="none"/>
              </w:rPr>
              <w:t>文件首次递交截止前一个月的</w:t>
            </w:r>
            <w:r>
              <w:rPr>
                <w:rFonts w:hint="eastAsia" w:ascii="宋体" w:hAnsi="宋体" w:eastAsia="宋体" w:cs="宋体"/>
                <w:color w:val="auto"/>
                <w:highlight w:val="none"/>
                <w:lang w:eastAsia="zh-CN"/>
              </w:rPr>
              <w:t>参保缴纳凭证</w:t>
            </w:r>
            <w:r>
              <w:rPr>
                <w:rFonts w:hint="eastAsia" w:ascii="宋体" w:hAnsi="宋体" w:eastAsia="宋体" w:cs="宋体"/>
                <w:color w:val="auto"/>
                <w:highlight w:val="none"/>
              </w:rPr>
              <w:t>复印件</w:t>
            </w:r>
            <w:r>
              <w:rPr>
                <w:rFonts w:hint="eastAsia" w:ascii="宋体" w:hAnsi="宋体" w:eastAsia="宋体" w:cs="宋体"/>
                <w:color w:val="auto"/>
                <w:highlight w:val="none"/>
                <w:lang w:eastAsia="zh-CN"/>
              </w:rPr>
              <w:t>，退休聘用人员提供聘用合同）。以上人员</w:t>
            </w:r>
            <w:r>
              <w:rPr>
                <w:rFonts w:hint="eastAsia" w:ascii="宋体" w:hAnsi="宋体" w:eastAsia="宋体" w:cs="宋体"/>
                <w:color w:val="auto"/>
                <w:highlight w:val="none"/>
              </w:rPr>
              <w:t>须提供</w:t>
            </w:r>
            <w:r>
              <w:rPr>
                <w:rFonts w:hint="eastAsia" w:ascii="宋体" w:hAnsi="宋体" w:eastAsia="宋体" w:cs="宋体"/>
                <w:color w:val="auto"/>
                <w:highlight w:val="none"/>
                <w:lang w:eastAsia="zh-CN"/>
              </w:rPr>
              <w:t>相应证明材料复印件加盖公章，否则不得分。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3" w:hRule="atLeast"/>
          <w:jc w:val="center"/>
        </w:trPr>
        <w:tc>
          <w:tcPr>
            <w:tcW w:w="677" w:type="dxa"/>
            <w:vMerge w:val="continue"/>
            <w:vAlign w:val="center"/>
          </w:tcPr>
          <w:p>
            <w:pPr>
              <w:adjustRightInd w:val="0"/>
              <w:spacing w:line="360" w:lineRule="auto"/>
              <w:jc w:val="center"/>
              <w:textAlignment w:val="baseline"/>
              <w:rPr>
                <w:rFonts w:ascii="宋体" w:hAnsi="宋体" w:cs="宋体"/>
                <w:b/>
                <w:color w:val="auto"/>
                <w:szCs w:val="21"/>
                <w:highlight w:val="none"/>
              </w:rPr>
            </w:pPr>
          </w:p>
        </w:tc>
        <w:tc>
          <w:tcPr>
            <w:tcW w:w="1107" w:type="dxa"/>
            <w:vMerge w:val="continue"/>
            <w:vAlign w:val="center"/>
          </w:tcPr>
          <w:p>
            <w:pPr>
              <w:adjustRightInd w:val="0"/>
              <w:spacing w:line="360" w:lineRule="auto"/>
              <w:jc w:val="center"/>
              <w:textAlignment w:val="baseline"/>
              <w:rPr>
                <w:rFonts w:ascii="宋体" w:hAnsi="宋体" w:cs="宋体"/>
                <w:b/>
                <w:color w:val="auto"/>
                <w:szCs w:val="21"/>
                <w:highlight w:val="none"/>
              </w:rPr>
            </w:pPr>
          </w:p>
        </w:tc>
        <w:tc>
          <w:tcPr>
            <w:tcW w:w="737" w:type="dxa"/>
            <w:vMerge w:val="continue"/>
            <w:vAlign w:val="center"/>
          </w:tcPr>
          <w:p>
            <w:pPr>
              <w:adjustRightInd w:val="0"/>
              <w:spacing w:line="360" w:lineRule="auto"/>
              <w:jc w:val="center"/>
              <w:textAlignment w:val="baseline"/>
              <w:rPr>
                <w:rFonts w:ascii="宋体" w:hAnsi="宋体" w:cs="宋体"/>
                <w:b/>
                <w:color w:val="auto"/>
                <w:szCs w:val="21"/>
                <w:highlight w:val="none"/>
              </w:rPr>
            </w:pPr>
          </w:p>
        </w:tc>
        <w:tc>
          <w:tcPr>
            <w:tcW w:w="1548" w:type="dxa"/>
            <w:vAlign w:val="center"/>
          </w:tcPr>
          <w:p>
            <w:pPr>
              <w:rPr>
                <w:b/>
                <w:bCs/>
                <w:color w:val="auto"/>
                <w:highlight w:val="none"/>
              </w:rPr>
            </w:pPr>
            <w:r>
              <w:rPr>
                <w:b/>
                <w:bCs/>
                <w:color w:val="auto"/>
                <w:highlight w:val="none"/>
              </w:rPr>
              <w:t>实施组织方案</w:t>
            </w:r>
          </w:p>
          <w:p>
            <w:pPr>
              <w:rPr>
                <w:rFonts w:hAnsi="宋体" w:cs="宋体"/>
                <w:bCs/>
                <w:color w:val="auto"/>
                <w:kern w:val="2"/>
                <w:sz w:val="21"/>
                <w:highlight w:val="none"/>
              </w:rPr>
            </w:pPr>
            <w:r>
              <w:rPr>
                <w:b/>
                <w:bCs/>
                <w:color w:val="auto"/>
                <w:highlight w:val="none"/>
              </w:rPr>
              <w:t>分(满分18 分)</w:t>
            </w:r>
          </w:p>
        </w:tc>
        <w:tc>
          <w:tcPr>
            <w:tcW w:w="5170"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由磋商小组根据供应商提供的实施组织方案确定各供应商所属档次及分值。达不到一档要求或不提供的得0分。</w:t>
            </w:r>
          </w:p>
          <w:p>
            <w:pPr>
              <w:keepNext w:val="0"/>
              <w:keepLines w:val="0"/>
              <w:pageBreakBefore w:val="0"/>
              <w:widowControl/>
              <w:kinsoku w:val="0"/>
              <w:wordWrap/>
              <w:overflowPunct/>
              <w:topLinePunct w:val="0"/>
              <w:autoSpaceDE w:val="0"/>
              <w:autoSpaceDN w:val="0"/>
              <w:bidi w:val="0"/>
              <w:adjustRightInd w:val="0"/>
              <w:snapToGrid w:val="0"/>
              <w:spacing w:before="65" w:line="360" w:lineRule="auto"/>
              <w:ind w:firstLine="420" w:firstLineChars="200"/>
              <w:jc w:val="left"/>
              <w:textAlignment w:val="baseline"/>
              <w:rPr>
                <w:rFonts w:hint="eastAsia" w:ascii="宋体" w:hAnsi="宋体" w:eastAsia="宋体" w:cs="宋体"/>
                <w:snapToGrid w:val="0"/>
                <w:color w:val="auto"/>
                <w:kern w:val="0"/>
                <w:sz w:val="21"/>
                <w:szCs w:val="21"/>
                <w:highlight w:val="none"/>
              </w:rPr>
            </w:pPr>
            <w:r>
              <w:rPr>
                <w:rFonts w:hint="eastAsia" w:ascii="宋体" w:hAnsi="宋体" w:eastAsia="宋体" w:cs="宋体"/>
                <w:color w:val="auto"/>
                <w:sz w:val="21"/>
                <w:szCs w:val="21"/>
                <w:highlight w:val="none"/>
                <w:lang w:val="en-US" w:eastAsia="zh-CN"/>
              </w:rPr>
              <w:t>一档 (满分 6 分) ：具备有项目执行组织措施、项目执行保障措施，但对用户现状及需求的理解不满足采购文件要求，实施组织方案粗糙，整体规划缺</w:t>
            </w:r>
            <w:r>
              <w:rPr>
                <w:rFonts w:hint="eastAsia" w:ascii="宋体" w:hAnsi="宋体" w:eastAsia="宋体" w:cs="宋体"/>
                <w:snapToGrid w:val="0"/>
                <w:color w:val="auto"/>
                <w:spacing w:val="8"/>
                <w:kern w:val="0"/>
                <w:sz w:val="21"/>
                <w:szCs w:val="21"/>
                <w:highlight w:val="none"/>
              </w:rPr>
              <w:t>少</w:t>
            </w:r>
            <w:r>
              <w:rPr>
                <w:rFonts w:hint="eastAsia" w:ascii="宋体" w:hAnsi="宋体" w:eastAsia="宋体" w:cs="宋体"/>
                <w:snapToGrid w:val="0"/>
                <w:color w:val="auto"/>
                <w:spacing w:val="5"/>
                <w:kern w:val="0"/>
                <w:sz w:val="21"/>
                <w:szCs w:val="21"/>
                <w:highlight w:val="none"/>
              </w:rPr>
              <w:t>针对性。</w:t>
            </w:r>
          </w:p>
          <w:p>
            <w:pPr>
              <w:keepNext w:val="0"/>
              <w:keepLines w:val="0"/>
              <w:pageBreakBefore w:val="0"/>
              <w:wordWrap/>
              <w:overflowPunct/>
              <w:topLinePunct w:val="0"/>
              <w:bidi w:val="0"/>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二档 (满分 12 分) ：满足一档的基础上，供应商具备项目执行组织措施、 项目执行保障措施详细可行，对用户现状及需求的理解满足采购文件要求，实施组织方案具体，有简单实施进度计划；实施人员包含 1 名项目经理，商务策 划、培训、质检人员、话务员各 1 人。</w:t>
            </w:r>
          </w:p>
          <w:p>
            <w:pPr>
              <w:keepNext w:val="0"/>
              <w:keepLines w:val="0"/>
              <w:pageBreakBefore w:val="0"/>
              <w:wordWrap/>
              <w:overflowPunct/>
              <w:topLinePunct w:val="0"/>
              <w:bidi w:val="0"/>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三档 (满分 18 分) ：满足二档基础上，人员投入配置合理 (提供人员清单) ，有明确的组织分工，有合理的应急措施，实施进度计划详细明确合理， 项目实施风险控制方法完善可行。实施人员包含 1 名项目经理和 1 名商务策划主管，项目经理同时具有 PMP (或高级信息系统项目管理师) 证书和数据库系 统工程师、注册信息安全专业人员 (CISP) 证书；商务策划主管具备人事部人才交流中心颁发的高级商务策划师证书。</w:t>
            </w:r>
          </w:p>
          <w:p>
            <w:pPr>
              <w:keepNext w:val="0"/>
              <w:keepLines w:val="0"/>
              <w:pageBreakBefore w:val="0"/>
              <w:wordWrap/>
              <w:overflowPunct/>
              <w:topLinePunct w:val="0"/>
              <w:bidi w:val="0"/>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cs="宋体"/>
                <w:bCs/>
                <w:color w:val="auto"/>
                <w:szCs w:val="21"/>
                <w:highlight w:val="none"/>
                <w:lang w:eastAsia="zh-CN"/>
              </w:rPr>
              <w:t>注：</w:t>
            </w:r>
            <w:r>
              <w:rPr>
                <w:rFonts w:hint="eastAsia" w:ascii="宋体" w:hAnsi="宋体" w:eastAsia="宋体" w:cs="宋体"/>
                <w:bCs/>
                <w:color w:val="auto"/>
                <w:szCs w:val="21"/>
                <w:highlight w:val="none"/>
                <w:lang w:eastAsia="zh-CN"/>
              </w:rPr>
              <w:t>以上所有人员</w:t>
            </w:r>
            <w:r>
              <w:rPr>
                <w:rFonts w:hint="eastAsia" w:ascii="宋体" w:hAnsi="宋体" w:eastAsia="宋体" w:cs="宋体"/>
                <w:bCs/>
                <w:color w:val="auto"/>
                <w:szCs w:val="21"/>
                <w:highlight w:val="none"/>
              </w:rPr>
              <w:t>须提供证明材料及</w:t>
            </w:r>
            <w:r>
              <w:rPr>
                <w:rFonts w:hint="eastAsia" w:ascii="宋体" w:hAnsi="宋体" w:eastAsia="宋体" w:cs="宋体"/>
                <w:bCs/>
                <w:color w:val="auto"/>
                <w:szCs w:val="21"/>
                <w:highlight w:val="none"/>
                <w:lang w:eastAsia="zh-CN"/>
              </w:rPr>
              <w:t>202</w:t>
            </w:r>
            <w:r>
              <w:rPr>
                <w:rFonts w:hint="eastAsia" w:ascii="宋体" w:hAnsi="宋体" w:eastAsia="宋体" w:cs="宋体"/>
                <w:bCs/>
                <w:color w:val="auto"/>
                <w:szCs w:val="21"/>
                <w:highlight w:val="none"/>
                <w:lang w:val="en-US" w:eastAsia="zh-CN"/>
              </w:rPr>
              <w:t>4</w:t>
            </w:r>
            <w:r>
              <w:rPr>
                <w:rFonts w:hint="eastAsia" w:ascii="宋体" w:hAnsi="宋体" w:eastAsia="宋体" w:cs="宋体"/>
                <w:bCs/>
                <w:color w:val="auto"/>
                <w:szCs w:val="21"/>
                <w:highlight w:val="none"/>
                <w:lang w:eastAsia="zh-CN"/>
              </w:rPr>
              <w:t>年1月至</w:t>
            </w:r>
            <w:r>
              <w:rPr>
                <w:rFonts w:hint="eastAsia" w:ascii="宋体" w:hAnsi="宋体" w:cs="宋体"/>
                <w:bCs/>
                <w:color w:val="auto"/>
                <w:szCs w:val="21"/>
                <w:highlight w:val="none"/>
                <w:lang w:eastAsia="zh-CN"/>
              </w:rPr>
              <w:t>2024年8月</w:t>
            </w:r>
            <w:r>
              <w:rPr>
                <w:rFonts w:hint="eastAsia" w:ascii="宋体" w:hAnsi="宋体" w:eastAsia="宋体" w:cs="宋体"/>
                <w:bCs/>
                <w:color w:val="auto"/>
                <w:szCs w:val="21"/>
                <w:highlight w:val="none"/>
                <w:lang w:eastAsia="zh-CN"/>
              </w:rPr>
              <w:t>内连续3个月</w:t>
            </w:r>
            <w:r>
              <w:rPr>
                <w:rFonts w:hint="eastAsia" w:ascii="宋体" w:hAnsi="宋体" w:eastAsia="宋体" w:cs="宋体"/>
                <w:bCs/>
                <w:color w:val="auto"/>
                <w:szCs w:val="21"/>
                <w:highlight w:val="none"/>
              </w:rPr>
              <w:t>供应商为其缴纳社保的证明并加盖供应商公章</w:t>
            </w:r>
            <w:r>
              <w:rPr>
                <w:rFonts w:hint="eastAsia" w:ascii="宋体" w:hAnsi="宋体" w:eastAsia="宋体" w:cs="宋体"/>
                <w:bCs/>
                <w:color w:val="auto"/>
                <w:szCs w:val="21"/>
                <w:highlight w:val="none"/>
                <w:lang w:eastAsia="zh-CN"/>
              </w:rPr>
              <w:t>，不按要求提供资料的不得分</w:t>
            </w:r>
            <w:r>
              <w:rPr>
                <w:rFonts w:hint="eastAsia" w:ascii="宋体" w:hAnsi="宋体" w:eastAsia="宋体" w:cs="宋体"/>
                <w:bCs/>
                <w:color w:val="auto"/>
                <w:szCs w:val="21"/>
                <w:highlight w:val="none"/>
              </w:rPr>
              <w:t>。</w:t>
            </w:r>
            <w:r>
              <w:rPr>
                <w:rFonts w:hint="eastAsia" w:ascii="宋体" w:hAnsi="宋体" w:eastAsia="宋体" w:cs="宋体"/>
                <w:color w:val="auto"/>
                <w:highlight w:val="none"/>
              </w:rPr>
              <w:t>（新成立的公司或新入职的人员提供公司成立日之后次月起或入职到公司之日后次月起到</w:t>
            </w:r>
            <w:r>
              <w:rPr>
                <w:rFonts w:hint="eastAsia" w:ascii="宋体" w:hAnsi="宋体" w:eastAsia="宋体" w:cs="宋体"/>
                <w:color w:val="auto"/>
                <w:highlight w:val="none"/>
                <w:lang w:eastAsia="zh-CN"/>
              </w:rPr>
              <w:t>响应</w:t>
            </w:r>
            <w:r>
              <w:rPr>
                <w:rFonts w:hint="eastAsia" w:ascii="宋体" w:hAnsi="宋体" w:eastAsia="宋体" w:cs="宋体"/>
                <w:color w:val="auto"/>
                <w:highlight w:val="none"/>
              </w:rPr>
              <w:t>文件首次递交截止前一个月的</w:t>
            </w:r>
            <w:r>
              <w:rPr>
                <w:rFonts w:hint="eastAsia" w:ascii="宋体" w:hAnsi="宋体" w:eastAsia="宋体" w:cs="宋体"/>
                <w:color w:val="auto"/>
                <w:highlight w:val="none"/>
                <w:lang w:eastAsia="zh-CN"/>
              </w:rPr>
              <w:t>参保缴纳凭证</w:t>
            </w:r>
            <w:r>
              <w:rPr>
                <w:rFonts w:hint="eastAsia" w:ascii="宋体" w:hAnsi="宋体" w:eastAsia="宋体" w:cs="宋体"/>
                <w:color w:val="auto"/>
                <w:highlight w:val="none"/>
              </w:rPr>
              <w:t>复印件</w:t>
            </w:r>
            <w:r>
              <w:rPr>
                <w:rFonts w:hint="eastAsia" w:ascii="宋体" w:hAnsi="宋体" w:eastAsia="宋体" w:cs="宋体"/>
                <w:color w:val="auto"/>
                <w:highlight w:val="none"/>
                <w:lang w:eastAsia="zh-CN"/>
              </w:rPr>
              <w:t>，退休聘用人员提供聘用合同）。以上人员</w:t>
            </w:r>
            <w:r>
              <w:rPr>
                <w:rFonts w:hint="eastAsia" w:ascii="宋体" w:hAnsi="宋体" w:eastAsia="宋体" w:cs="宋体"/>
                <w:color w:val="auto"/>
                <w:highlight w:val="none"/>
              </w:rPr>
              <w:t>须提供</w:t>
            </w:r>
            <w:r>
              <w:rPr>
                <w:rFonts w:hint="eastAsia" w:ascii="宋体" w:hAnsi="宋体" w:eastAsia="宋体" w:cs="宋体"/>
                <w:color w:val="auto"/>
                <w:highlight w:val="none"/>
                <w:lang w:eastAsia="zh-CN"/>
              </w:rPr>
              <w:t>相应证明材料复印件加盖公章，否则不得分。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6" w:hRule="atLeast"/>
          <w:jc w:val="center"/>
        </w:trPr>
        <w:tc>
          <w:tcPr>
            <w:tcW w:w="677" w:type="dxa"/>
            <w:vMerge w:val="continue"/>
            <w:vAlign w:val="center"/>
          </w:tcPr>
          <w:p>
            <w:pPr>
              <w:adjustRightInd w:val="0"/>
              <w:spacing w:line="360" w:lineRule="auto"/>
              <w:jc w:val="center"/>
              <w:textAlignment w:val="baseline"/>
              <w:rPr>
                <w:rFonts w:ascii="宋体" w:hAnsi="宋体" w:cs="宋体"/>
                <w:b/>
                <w:color w:val="auto"/>
                <w:szCs w:val="21"/>
                <w:highlight w:val="none"/>
              </w:rPr>
            </w:pPr>
          </w:p>
        </w:tc>
        <w:tc>
          <w:tcPr>
            <w:tcW w:w="1107" w:type="dxa"/>
            <w:vMerge w:val="continue"/>
            <w:vAlign w:val="center"/>
          </w:tcPr>
          <w:p>
            <w:pPr>
              <w:adjustRightInd w:val="0"/>
              <w:spacing w:line="360" w:lineRule="auto"/>
              <w:jc w:val="center"/>
              <w:textAlignment w:val="baseline"/>
              <w:rPr>
                <w:rFonts w:ascii="宋体" w:hAnsi="宋体" w:cs="宋体"/>
                <w:b/>
                <w:color w:val="auto"/>
                <w:szCs w:val="21"/>
                <w:highlight w:val="none"/>
              </w:rPr>
            </w:pPr>
          </w:p>
        </w:tc>
        <w:tc>
          <w:tcPr>
            <w:tcW w:w="737" w:type="dxa"/>
            <w:vMerge w:val="continue"/>
            <w:vAlign w:val="center"/>
          </w:tcPr>
          <w:p>
            <w:pPr>
              <w:adjustRightInd w:val="0"/>
              <w:spacing w:line="360" w:lineRule="auto"/>
              <w:jc w:val="center"/>
              <w:textAlignment w:val="baseline"/>
              <w:rPr>
                <w:rFonts w:ascii="宋体" w:hAnsi="宋体" w:cs="宋体"/>
                <w:b/>
                <w:color w:val="auto"/>
                <w:szCs w:val="21"/>
                <w:highlight w:val="none"/>
              </w:rPr>
            </w:pPr>
          </w:p>
        </w:tc>
        <w:tc>
          <w:tcPr>
            <w:tcW w:w="1548" w:type="dxa"/>
            <w:vAlign w:val="center"/>
          </w:tcPr>
          <w:p>
            <w:pPr>
              <w:adjustRightInd w:val="0"/>
              <w:spacing w:line="360" w:lineRule="auto"/>
              <w:jc w:val="left"/>
              <w:textAlignment w:val="baseline"/>
              <w:rPr>
                <w:rFonts w:hint="eastAsia" w:ascii="宋体" w:hAnsi="宋体" w:eastAsia="宋体" w:cs="宋体"/>
                <w:b/>
                <w:bCs w:val="0"/>
                <w:color w:val="auto"/>
                <w:szCs w:val="21"/>
                <w:highlight w:val="none"/>
                <w:lang w:val="en-US" w:eastAsia="zh-CN"/>
              </w:rPr>
            </w:pPr>
            <w:r>
              <w:rPr>
                <w:rFonts w:hint="eastAsia" w:ascii="宋体" w:hAnsi="宋体" w:eastAsia="宋体" w:cs="宋体"/>
                <w:b/>
                <w:bCs w:val="0"/>
                <w:color w:val="auto"/>
                <w:szCs w:val="21"/>
                <w:highlight w:val="none"/>
              </w:rPr>
              <w:t>驻场服务分(满</w:t>
            </w:r>
            <w:r>
              <w:rPr>
                <w:rFonts w:hint="eastAsia" w:ascii="宋体" w:hAnsi="宋体" w:eastAsia="宋体" w:cs="宋体"/>
                <w:b/>
                <w:bCs w:val="0"/>
                <w:color w:val="auto"/>
                <w:szCs w:val="21"/>
                <w:highlight w:val="none"/>
                <w:lang w:eastAsia="zh-CN"/>
              </w:rPr>
              <w:t>分</w:t>
            </w:r>
            <w:r>
              <w:rPr>
                <w:rFonts w:hint="eastAsia" w:ascii="宋体" w:hAnsi="宋体" w:eastAsia="宋体" w:cs="宋体"/>
                <w:b/>
                <w:bCs w:val="0"/>
                <w:color w:val="auto"/>
                <w:szCs w:val="21"/>
                <w:highlight w:val="none"/>
                <w:lang w:val="en-US" w:eastAsia="zh-CN"/>
              </w:rPr>
              <w:t>7分）</w:t>
            </w:r>
          </w:p>
        </w:tc>
        <w:tc>
          <w:tcPr>
            <w:tcW w:w="5170" w:type="dxa"/>
            <w:vAlign w:val="center"/>
          </w:tcPr>
          <w:p>
            <w:pPr>
              <w:keepNext w:val="0"/>
              <w:keepLines w:val="0"/>
              <w:widowControl/>
              <w:suppressLineNumbers w:val="0"/>
              <w:spacing w:line="360" w:lineRule="auto"/>
              <w:jc w:val="left"/>
              <w:rPr>
                <w:rFonts w:hint="eastAsia" w:eastAsia="宋体"/>
                <w:color w:val="auto"/>
                <w:sz w:val="21"/>
                <w:szCs w:val="21"/>
                <w:highlight w:val="none"/>
                <w:lang w:eastAsia="zh-CN"/>
              </w:rPr>
            </w:pPr>
            <w:r>
              <w:rPr>
                <w:rFonts w:hint="eastAsia" w:eastAsia="宋体"/>
                <w:color w:val="auto"/>
                <w:sz w:val="21"/>
                <w:szCs w:val="21"/>
                <w:highlight w:val="none"/>
                <w:lang w:eastAsia="zh-CN"/>
              </w:rPr>
              <w:t>拟派 1 人驻场负责知识库采编及维护专员并提供承诺书，得 7 分。</w:t>
            </w:r>
          </w:p>
          <w:p>
            <w:pPr>
              <w:keepNext w:val="0"/>
              <w:keepLines w:val="0"/>
              <w:widowControl/>
              <w:suppressLineNumbers w:val="0"/>
              <w:spacing w:line="360" w:lineRule="auto"/>
              <w:ind w:firstLine="420" w:firstLineChars="200"/>
              <w:jc w:val="left"/>
              <w:rPr>
                <w:rFonts w:hint="eastAsia" w:eastAsia="宋体"/>
                <w:color w:val="auto"/>
                <w:sz w:val="21"/>
                <w:szCs w:val="21"/>
                <w:highlight w:val="none"/>
                <w:lang w:eastAsia="zh-CN"/>
              </w:rPr>
            </w:pPr>
            <w:r>
              <w:rPr>
                <w:rFonts w:hint="eastAsia" w:eastAsia="宋体"/>
                <w:color w:val="auto"/>
                <w:sz w:val="21"/>
                <w:szCs w:val="21"/>
                <w:highlight w:val="none"/>
                <w:lang w:eastAsia="zh-CN"/>
              </w:rPr>
              <w:t>注：未提供承诺书或不承诺驻场或所提供的服务服务方案中未包含承诺书或不承诺驻场内容的，不得分；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77" w:type="dxa"/>
            <w:vMerge w:val="continue"/>
            <w:vAlign w:val="center"/>
          </w:tcPr>
          <w:p>
            <w:pPr>
              <w:adjustRightInd w:val="0"/>
              <w:spacing w:line="360" w:lineRule="auto"/>
              <w:jc w:val="center"/>
              <w:textAlignment w:val="baseline"/>
              <w:rPr>
                <w:rFonts w:ascii="宋体" w:hAnsi="宋体" w:cs="宋体"/>
                <w:b/>
                <w:color w:val="auto"/>
                <w:szCs w:val="21"/>
                <w:highlight w:val="none"/>
              </w:rPr>
            </w:pPr>
          </w:p>
        </w:tc>
        <w:tc>
          <w:tcPr>
            <w:tcW w:w="1107" w:type="dxa"/>
            <w:vMerge w:val="continue"/>
            <w:vAlign w:val="center"/>
          </w:tcPr>
          <w:p>
            <w:pPr>
              <w:adjustRightInd w:val="0"/>
              <w:spacing w:line="360" w:lineRule="auto"/>
              <w:jc w:val="center"/>
              <w:textAlignment w:val="baseline"/>
              <w:rPr>
                <w:rFonts w:ascii="宋体" w:hAnsi="宋体" w:cs="宋体"/>
                <w:b/>
                <w:color w:val="auto"/>
                <w:szCs w:val="21"/>
                <w:highlight w:val="none"/>
              </w:rPr>
            </w:pPr>
          </w:p>
        </w:tc>
        <w:tc>
          <w:tcPr>
            <w:tcW w:w="737" w:type="dxa"/>
            <w:vMerge w:val="continue"/>
            <w:vAlign w:val="center"/>
          </w:tcPr>
          <w:p>
            <w:pPr>
              <w:adjustRightInd w:val="0"/>
              <w:spacing w:line="360" w:lineRule="auto"/>
              <w:jc w:val="center"/>
              <w:textAlignment w:val="baseline"/>
              <w:rPr>
                <w:rFonts w:ascii="宋体" w:hAnsi="宋体" w:cs="宋体"/>
                <w:b/>
                <w:color w:val="auto"/>
                <w:szCs w:val="21"/>
                <w:highlight w:val="none"/>
              </w:rPr>
            </w:pPr>
          </w:p>
        </w:tc>
        <w:tc>
          <w:tcPr>
            <w:tcW w:w="1548" w:type="dxa"/>
            <w:vAlign w:val="top"/>
          </w:tcPr>
          <w:p>
            <w:pPr>
              <w:jc w:val="both"/>
              <w:rPr>
                <w:rFonts w:hint="eastAsia" w:ascii="宋体" w:hAnsi="宋体" w:eastAsia="宋体" w:cs="宋体"/>
                <w:b/>
                <w:bCs w:val="0"/>
                <w:color w:val="auto"/>
                <w:highlight w:val="none"/>
              </w:rPr>
            </w:pPr>
          </w:p>
          <w:p>
            <w:pPr>
              <w:jc w:val="both"/>
              <w:rPr>
                <w:rFonts w:hint="eastAsia" w:ascii="宋体" w:hAnsi="宋体" w:eastAsia="宋体" w:cs="宋体"/>
                <w:b/>
                <w:bCs w:val="0"/>
                <w:color w:val="auto"/>
                <w:highlight w:val="none"/>
                <w:lang w:val="en-US" w:eastAsia="zh-CN"/>
              </w:rPr>
            </w:pPr>
            <w:r>
              <w:rPr>
                <w:rFonts w:hint="eastAsia" w:ascii="宋体" w:hAnsi="宋体" w:eastAsia="宋体" w:cs="宋体"/>
                <w:b/>
                <w:bCs w:val="0"/>
                <w:color w:val="auto"/>
                <w:highlight w:val="none"/>
              </w:rPr>
              <w:t>服务保障方案分(满分21 分)</w:t>
            </w:r>
          </w:p>
        </w:tc>
        <w:tc>
          <w:tcPr>
            <w:tcW w:w="5170"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r>
              <w:rPr>
                <w:rFonts w:hint="eastAsia"/>
                <w:color w:val="auto"/>
                <w:highlight w:val="none"/>
                <w:lang w:val="en-US" w:eastAsia="zh-CN"/>
              </w:rPr>
              <w:t>由磋商小组根据供应商提供的服务保障方案确定各供应商所属档次及分值。达不到一档要求或不提供的得0分。</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一档 (7 分) ：服务保障方案简单、基本满足采购文件要求。</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二档 (14 分) ：供应商服务保障方案全面、可行，服务措施到位，提供服 务保障机构及联系人、技术人员名单等资料，配置培训、质检人员各 1 人，能 更好地为采购单位服务。</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三档 (21分) ：供应商服务保障方案详细、具体、有效，可操作性强，方案包含有项目售后维护、保密承诺及廉洁承诺等，且描述了项目售后维护和应急保障方案的方法以及实现方式，提供服务保障机构及联系人、技术人员名单 等资料，服务保障人员保障到位，配置培训、质检人员各 1 人，其中培训人员 具备信息系统项目管理师，质检人员具备 ITIL 相关认证证书；话务员至少 1 人且具备普通话水平测试等级证书一级乙等或以上；服务承诺和保障措施考虑 周全完整，提供有优惠服务及说明。</w:t>
            </w:r>
          </w:p>
          <w:p>
            <w:pPr>
              <w:spacing w:line="360" w:lineRule="auto"/>
              <w:rPr>
                <w:rFonts w:hint="eastAsia"/>
                <w:color w:val="auto"/>
                <w:highlight w:val="none"/>
                <w:lang w:eastAsia="zh-CN"/>
              </w:rPr>
            </w:pPr>
            <w:r>
              <w:rPr>
                <w:rFonts w:hint="eastAsia" w:ascii="宋体" w:hAnsi="宋体" w:cs="宋体"/>
                <w:bCs/>
                <w:color w:val="auto"/>
                <w:szCs w:val="21"/>
                <w:highlight w:val="none"/>
                <w:lang w:eastAsia="zh-CN"/>
              </w:rPr>
              <w:t>注：</w:t>
            </w:r>
            <w:r>
              <w:rPr>
                <w:rFonts w:hint="eastAsia" w:ascii="宋体" w:hAnsi="宋体" w:eastAsia="宋体" w:cs="宋体"/>
                <w:bCs/>
                <w:color w:val="auto"/>
                <w:szCs w:val="21"/>
                <w:highlight w:val="none"/>
                <w:lang w:eastAsia="zh-CN"/>
              </w:rPr>
              <w:t>以上所有人员</w:t>
            </w:r>
            <w:r>
              <w:rPr>
                <w:rFonts w:hint="eastAsia" w:ascii="宋体" w:hAnsi="宋体" w:eastAsia="宋体" w:cs="宋体"/>
                <w:bCs/>
                <w:color w:val="auto"/>
                <w:szCs w:val="21"/>
                <w:highlight w:val="none"/>
              </w:rPr>
              <w:t>须提供证明材料及</w:t>
            </w:r>
            <w:r>
              <w:rPr>
                <w:rFonts w:hint="eastAsia" w:ascii="宋体" w:hAnsi="宋体" w:eastAsia="宋体" w:cs="宋体"/>
                <w:bCs/>
                <w:color w:val="auto"/>
                <w:szCs w:val="21"/>
                <w:highlight w:val="none"/>
                <w:lang w:eastAsia="zh-CN"/>
              </w:rPr>
              <w:t>202</w:t>
            </w:r>
            <w:r>
              <w:rPr>
                <w:rFonts w:hint="eastAsia" w:ascii="宋体" w:hAnsi="宋体" w:eastAsia="宋体" w:cs="宋体"/>
                <w:bCs/>
                <w:color w:val="auto"/>
                <w:szCs w:val="21"/>
                <w:highlight w:val="none"/>
                <w:lang w:val="en-US" w:eastAsia="zh-CN"/>
              </w:rPr>
              <w:t>4</w:t>
            </w:r>
            <w:r>
              <w:rPr>
                <w:rFonts w:hint="eastAsia" w:ascii="宋体" w:hAnsi="宋体" w:eastAsia="宋体" w:cs="宋体"/>
                <w:bCs/>
                <w:color w:val="auto"/>
                <w:szCs w:val="21"/>
                <w:highlight w:val="none"/>
                <w:lang w:eastAsia="zh-CN"/>
              </w:rPr>
              <w:t>年1月至</w:t>
            </w:r>
            <w:r>
              <w:rPr>
                <w:rFonts w:hint="eastAsia" w:ascii="宋体" w:hAnsi="宋体" w:cs="宋体"/>
                <w:bCs/>
                <w:color w:val="auto"/>
                <w:szCs w:val="21"/>
                <w:highlight w:val="none"/>
                <w:lang w:eastAsia="zh-CN"/>
              </w:rPr>
              <w:t>2024年8月</w:t>
            </w:r>
            <w:r>
              <w:rPr>
                <w:rFonts w:hint="eastAsia" w:ascii="宋体" w:hAnsi="宋体" w:eastAsia="宋体" w:cs="宋体"/>
                <w:bCs/>
                <w:color w:val="auto"/>
                <w:szCs w:val="21"/>
                <w:highlight w:val="none"/>
                <w:lang w:eastAsia="zh-CN"/>
              </w:rPr>
              <w:t>内连续3个月</w:t>
            </w:r>
            <w:r>
              <w:rPr>
                <w:rFonts w:hint="eastAsia" w:ascii="宋体" w:hAnsi="宋体" w:eastAsia="宋体" w:cs="宋体"/>
                <w:bCs/>
                <w:color w:val="auto"/>
                <w:szCs w:val="21"/>
                <w:highlight w:val="none"/>
              </w:rPr>
              <w:t>供应商为其缴纳社保的证明并加盖供应商公章</w:t>
            </w:r>
            <w:r>
              <w:rPr>
                <w:rFonts w:hint="eastAsia" w:ascii="宋体" w:hAnsi="宋体" w:eastAsia="宋体" w:cs="宋体"/>
                <w:bCs/>
                <w:color w:val="auto"/>
                <w:szCs w:val="21"/>
                <w:highlight w:val="none"/>
                <w:lang w:eastAsia="zh-CN"/>
              </w:rPr>
              <w:t>，不按要求提供资料的不得分</w:t>
            </w:r>
            <w:r>
              <w:rPr>
                <w:rFonts w:hint="eastAsia" w:ascii="宋体" w:hAnsi="宋体" w:eastAsia="宋体" w:cs="宋体"/>
                <w:bCs/>
                <w:color w:val="auto"/>
                <w:szCs w:val="21"/>
                <w:highlight w:val="none"/>
              </w:rPr>
              <w:t>。</w:t>
            </w:r>
            <w:r>
              <w:rPr>
                <w:rFonts w:hint="eastAsia" w:ascii="宋体" w:hAnsi="宋体" w:eastAsia="宋体" w:cs="宋体"/>
                <w:color w:val="auto"/>
                <w:highlight w:val="none"/>
              </w:rPr>
              <w:t>（新成立的公司或新入职的人员提供公司成立日之后次月起或入职到公司之日后次月起到</w:t>
            </w:r>
            <w:r>
              <w:rPr>
                <w:rFonts w:hint="eastAsia" w:ascii="宋体" w:hAnsi="宋体" w:eastAsia="宋体" w:cs="宋体"/>
                <w:color w:val="auto"/>
                <w:highlight w:val="none"/>
                <w:lang w:eastAsia="zh-CN"/>
              </w:rPr>
              <w:t>响应</w:t>
            </w:r>
            <w:r>
              <w:rPr>
                <w:rFonts w:hint="eastAsia" w:ascii="宋体" w:hAnsi="宋体" w:eastAsia="宋体" w:cs="宋体"/>
                <w:color w:val="auto"/>
                <w:highlight w:val="none"/>
              </w:rPr>
              <w:t>文件首次递交截止前一个月的</w:t>
            </w:r>
            <w:r>
              <w:rPr>
                <w:rFonts w:hint="eastAsia" w:ascii="宋体" w:hAnsi="宋体" w:eastAsia="宋体" w:cs="宋体"/>
                <w:color w:val="auto"/>
                <w:highlight w:val="none"/>
                <w:lang w:eastAsia="zh-CN"/>
              </w:rPr>
              <w:t>参保缴纳凭证</w:t>
            </w:r>
            <w:r>
              <w:rPr>
                <w:rFonts w:hint="eastAsia" w:ascii="宋体" w:hAnsi="宋体" w:eastAsia="宋体" w:cs="宋体"/>
                <w:color w:val="auto"/>
                <w:highlight w:val="none"/>
              </w:rPr>
              <w:t>复印件</w:t>
            </w:r>
            <w:r>
              <w:rPr>
                <w:rFonts w:hint="eastAsia" w:ascii="宋体" w:hAnsi="宋体" w:eastAsia="宋体" w:cs="宋体"/>
                <w:color w:val="auto"/>
                <w:highlight w:val="none"/>
                <w:lang w:eastAsia="zh-CN"/>
              </w:rPr>
              <w:t>，退休聘用人员提供聘用合同）。以上人员</w:t>
            </w:r>
            <w:r>
              <w:rPr>
                <w:rFonts w:hint="eastAsia" w:ascii="宋体" w:hAnsi="宋体" w:eastAsia="宋体" w:cs="宋体"/>
                <w:color w:val="auto"/>
                <w:highlight w:val="none"/>
              </w:rPr>
              <w:t>须提供</w:t>
            </w:r>
            <w:r>
              <w:rPr>
                <w:rFonts w:hint="eastAsia" w:ascii="宋体" w:hAnsi="宋体" w:eastAsia="宋体" w:cs="宋体"/>
                <w:color w:val="auto"/>
                <w:highlight w:val="none"/>
                <w:lang w:eastAsia="zh-CN"/>
              </w:rPr>
              <w:t>相应证明材料复印件加盖公章，否则不得分。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77" w:type="dxa"/>
            <w:vAlign w:val="center"/>
          </w:tcPr>
          <w:p>
            <w:pPr>
              <w:adjustRightInd w:val="0"/>
              <w:spacing w:line="360" w:lineRule="auto"/>
              <w:jc w:val="center"/>
              <w:textAlignment w:val="baseline"/>
              <w:rPr>
                <w:rFonts w:ascii="宋体" w:hAnsi="宋体" w:cs="宋体"/>
                <w:b/>
                <w:color w:val="auto"/>
                <w:szCs w:val="21"/>
                <w:highlight w:val="none"/>
              </w:rPr>
            </w:pPr>
            <w:r>
              <w:rPr>
                <w:rFonts w:hint="eastAsia" w:ascii="宋体" w:hAnsi="宋体" w:cs="宋体"/>
                <w:b/>
                <w:color w:val="auto"/>
                <w:szCs w:val="21"/>
                <w:highlight w:val="none"/>
              </w:rPr>
              <w:t>3</w:t>
            </w:r>
          </w:p>
        </w:tc>
        <w:tc>
          <w:tcPr>
            <w:tcW w:w="1107" w:type="dxa"/>
            <w:vAlign w:val="center"/>
          </w:tcPr>
          <w:p>
            <w:pPr>
              <w:adjustRightInd w:val="0"/>
              <w:spacing w:line="360" w:lineRule="auto"/>
              <w:jc w:val="center"/>
              <w:textAlignment w:val="baseline"/>
              <w:rPr>
                <w:rFonts w:ascii="宋体" w:hAnsi="宋体" w:cs="宋体"/>
                <w:b/>
                <w:color w:val="auto"/>
                <w:szCs w:val="21"/>
                <w:highlight w:val="none"/>
              </w:rPr>
            </w:pPr>
            <w:r>
              <w:rPr>
                <w:rFonts w:hint="eastAsia" w:ascii="宋体" w:hAnsi="宋体" w:cs="宋体"/>
                <w:b/>
                <w:color w:val="auto"/>
                <w:szCs w:val="21"/>
                <w:highlight w:val="none"/>
              </w:rPr>
              <w:t>商务分</w:t>
            </w:r>
          </w:p>
        </w:tc>
        <w:tc>
          <w:tcPr>
            <w:tcW w:w="737" w:type="dxa"/>
            <w:vAlign w:val="center"/>
          </w:tcPr>
          <w:p>
            <w:pPr>
              <w:adjustRightInd w:val="0"/>
              <w:spacing w:line="360" w:lineRule="auto"/>
              <w:jc w:val="center"/>
              <w:textAlignment w:val="baseline"/>
              <w:rPr>
                <w:rFonts w:hint="default" w:ascii="宋体" w:hAnsi="宋体" w:eastAsia="宋体" w:cs="宋体"/>
                <w:b/>
                <w:color w:val="auto"/>
                <w:szCs w:val="21"/>
                <w:highlight w:val="none"/>
                <w:lang w:val="en-US" w:eastAsia="zh-CN"/>
              </w:rPr>
            </w:pPr>
            <w:r>
              <w:rPr>
                <w:rFonts w:hint="eastAsia" w:ascii="宋体" w:hAnsi="宋体" w:cs="宋体"/>
                <w:b/>
                <w:color w:val="auto"/>
                <w:szCs w:val="21"/>
                <w:highlight w:val="none"/>
                <w:lang w:val="en-US" w:eastAsia="zh-CN"/>
              </w:rPr>
              <w:t>16分</w:t>
            </w:r>
          </w:p>
        </w:tc>
        <w:tc>
          <w:tcPr>
            <w:tcW w:w="671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 供应商近三年 (自2021年以来) 承接过类似项目业绩，每 个得2分，</w:t>
            </w:r>
            <w:r>
              <w:rPr>
                <w:rFonts w:hint="eastAsia" w:ascii="宋体" w:hAnsi="宋体" w:eastAsia="宋体" w:cs="宋体"/>
                <w:b/>
                <w:bCs/>
                <w:color w:val="auto"/>
                <w:highlight w:val="none"/>
                <w:lang w:eastAsia="zh-CN"/>
              </w:rPr>
              <w:t>满分10分。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注：提供合同复印件加盖公章 (如提供框架合同，须另提供该合同的单项合同或采购订单) ，合同复印件应清晰反映采购标的物页、合同日期、签字盖章页。未按以上要求提供证明材料的，不得分。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 供应商具备ISO9001质量管理体系认证证书、ISO14001环境管理体系认证证书、ISO45001职业健康管理体系认证证书的，每提供一个得1分，</w:t>
            </w:r>
            <w:r>
              <w:rPr>
                <w:rFonts w:hint="eastAsia" w:ascii="宋体" w:hAnsi="宋体" w:eastAsia="宋体" w:cs="宋体"/>
                <w:b/>
                <w:bCs/>
                <w:color w:val="auto"/>
                <w:highlight w:val="none"/>
                <w:lang w:eastAsia="zh-CN"/>
              </w:rPr>
              <w:t>满分3 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(3) 供应商具备ISO/IEC27001信息安全管理体系标准认证证书、ISO/IEC20000信息技术服务管理体系认证证书，每提供一个得1.5分，</w:t>
            </w:r>
            <w:r>
              <w:rPr>
                <w:rFonts w:hint="eastAsia" w:ascii="宋体" w:hAnsi="宋体" w:eastAsia="宋体" w:cs="宋体"/>
                <w:b/>
                <w:bCs/>
                <w:color w:val="auto"/>
                <w:highlight w:val="none"/>
                <w:lang w:eastAsia="zh-CN"/>
              </w:rPr>
              <w:t>满分3分。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r>
              <w:rPr>
                <w:rFonts w:hint="eastAsia" w:ascii="宋体" w:hAnsi="宋体" w:eastAsia="宋体" w:cs="宋体"/>
                <w:color w:val="auto"/>
                <w:highlight w:val="none"/>
                <w:lang w:eastAsia="zh-CN"/>
              </w:rPr>
              <w:t>以上材料须提供复印件加盖公章。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239" w:type="dxa"/>
            <w:gridSpan w:val="5"/>
            <w:vAlign w:val="center"/>
          </w:tcPr>
          <w:p>
            <w:pPr>
              <w:pStyle w:val="18"/>
              <w:spacing w:line="360" w:lineRule="auto"/>
              <w:rPr>
                <w:rFonts w:hAnsi="宋体" w:cs="宋体"/>
                <w:bCs/>
                <w:color w:val="auto"/>
                <w:kern w:val="2"/>
                <w:sz w:val="21"/>
                <w:highlight w:val="none"/>
              </w:rPr>
            </w:pPr>
            <w:r>
              <w:rPr>
                <w:rFonts w:hint="eastAsia" w:hAnsi="宋体" w:cs="宋体"/>
                <w:b/>
                <w:bCs/>
                <w:color w:val="auto"/>
                <w:kern w:val="2"/>
                <w:sz w:val="21"/>
                <w:highlight w:val="none"/>
              </w:rPr>
              <w:t>总得分=1+2+3。</w:t>
            </w:r>
          </w:p>
        </w:tc>
      </w:tr>
    </w:tbl>
    <w:p>
      <w:pPr>
        <w:rPr>
          <w:rFonts w:hint="eastAsia" w:ascii="宋体" w:hAnsi="宋体" w:cs="宋体"/>
          <w:bCs/>
          <w:color w:val="auto"/>
          <w:szCs w:val="21"/>
          <w:highlight w:val="none"/>
        </w:rPr>
      </w:pPr>
    </w:p>
    <w:p>
      <w:pPr>
        <w:rPr>
          <w:rFonts w:hint="eastAsia" w:ascii="宋体" w:hAnsi="宋体" w:cs="宋体"/>
          <w:bCs/>
          <w:color w:val="auto"/>
          <w:szCs w:val="21"/>
          <w:highlight w:val="none"/>
        </w:rPr>
      </w:pPr>
    </w:p>
    <w:p>
      <w:pPr>
        <w:rPr>
          <w:rFonts w:hint="default" w:ascii="宋体" w:hAnsi="宋体" w:eastAsia="宋体" w:cs="宋体"/>
          <w:b/>
          <w:bCs w:val="0"/>
          <w:color w:val="auto"/>
          <w:highlight w:val="none"/>
          <w:lang w:val="en-US" w:eastAsia="zh-CN"/>
        </w:rPr>
      </w:pPr>
      <w:r>
        <w:rPr>
          <w:rFonts w:hint="eastAsia" w:ascii="宋体" w:hAnsi="宋体" w:cs="宋体"/>
          <w:b/>
          <w:bCs w:val="0"/>
          <w:color w:val="auto"/>
          <w:highlight w:val="none"/>
          <w:lang w:eastAsia="zh-CN"/>
        </w:rPr>
        <w:t>分标</w:t>
      </w:r>
      <w:r>
        <w:rPr>
          <w:rFonts w:hint="eastAsia" w:ascii="宋体" w:hAnsi="宋体" w:cs="宋体"/>
          <w:b/>
          <w:bCs w:val="0"/>
          <w:color w:val="auto"/>
          <w:highlight w:val="none"/>
          <w:lang w:val="en-US" w:eastAsia="zh-CN"/>
        </w:rPr>
        <w:t>7：</w:t>
      </w:r>
    </w:p>
    <w:tbl>
      <w:tblPr>
        <w:tblStyle w:val="30"/>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1280"/>
        <w:gridCol w:w="709"/>
        <w:gridCol w:w="1559"/>
        <w:gridCol w:w="5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730" w:type="dxa"/>
            <w:vAlign w:val="center"/>
          </w:tcPr>
          <w:p>
            <w:pPr>
              <w:adjustRightInd w:val="0"/>
              <w:spacing w:line="410" w:lineRule="exact"/>
              <w:jc w:val="center"/>
              <w:textAlignment w:val="baseline"/>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序号</w:t>
            </w:r>
          </w:p>
        </w:tc>
        <w:tc>
          <w:tcPr>
            <w:tcW w:w="1280" w:type="dxa"/>
            <w:vAlign w:val="center"/>
          </w:tcPr>
          <w:p>
            <w:pPr>
              <w:adjustRightInd w:val="0"/>
              <w:spacing w:line="410" w:lineRule="exact"/>
              <w:jc w:val="center"/>
              <w:textAlignment w:val="baseline"/>
              <w:rPr>
                <w:rFonts w:ascii="宋体" w:hAnsi="宋体" w:eastAsia="宋体" w:cs="Times New Roman"/>
                <w:color w:val="auto"/>
                <w:szCs w:val="21"/>
                <w:highlight w:val="none"/>
              </w:rPr>
            </w:pPr>
            <w:r>
              <w:rPr>
                <w:rFonts w:hint="eastAsia" w:ascii="宋体" w:hAnsi="宋体" w:eastAsia="宋体" w:cs="Times New Roman"/>
                <w:b/>
                <w:color w:val="auto"/>
                <w:szCs w:val="21"/>
                <w:highlight w:val="none"/>
              </w:rPr>
              <w:t>评审因素</w:t>
            </w:r>
          </w:p>
        </w:tc>
        <w:tc>
          <w:tcPr>
            <w:tcW w:w="709" w:type="dxa"/>
            <w:vAlign w:val="center"/>
          </w:tcPr>
          <w:p>
            <w:pPr>
              <w:adjustRightInd w:val="0"/>
              <w:spacing w:line="410" w:lineRule="exact"/>
              <w:jc w:val="center"/>
              <w:textAlignment w:val="baseline"/>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分值</w:t>
            </w:r>
          </w:p>
        </w:tc>
        <w:tc>
          <w:tcPr>
            <w:tcW w:w="6909" w:type="dxa"/>
            <w:gridSpan w:val="2"/>
            <w:vAlign w:val="center"/>
          </w:tcPr>
          <w:p>
            <w:pPr>
              <w:adjustRightInd w:val="0"/>
              <w:spacing w:line="410" w:lineRule="exact"/>
              <w:jc w:val="center"/>
              <w:textAlignment w:val="baseline"/>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评标标准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30" w:type="dxa"/>
            <w:vAlign w:val="center"/>
          </w:tcPr>
          <w:p>
            <w:pPr>
              <w:adjustRightInd w:val="0"/>
              <w:spacing w:line="360" w:lineRule="auto"/>
              <w:jc w:val="center"/>
              <w:textAlignment w:val="baseline"/>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1</w:t>
            </w:r>
          </w:p>
        </w:tc>
        <w:tc>
          <w:tcPr>
            <w:tcW w:w="1280" w:type="dxa"/>
            <w:vAlign w:val="center"/>
          </w:tcPr>
          <w:p>
            <w:pPr>
              <w:adjustRightInd w:val="0"/>
              <w:spacing w:line="360" w:lineRule="auto"/>
              <w:jc w:val="center"/>
              <w:textAlignment w:val="baseline"/>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报价</w:t>
            </w:r>
          </w:p>
        </w:tc>
        <w:tc>
          <w:tcPr>
            <w:tcW w:w="709" w:type="dxa"/>
            <w:vAlign w:val="center"/>
          </w:tcPr>
          <w:p>
            <w:pPr>
              <w:adjustRightInd w:val="0"/>
              <w:spacing w:line="360" w:lineRule="auto"/>
              <w:jc w:val="center"/>
              <w:textAlignment w:val="baseline"/>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满分20分</w:t>
            </w:r>
          </w:p>
        </w:tc>
        <w:tc>
          <w:tcPr>
            <w:tcW w:w="6909" w:type="dxa"/>
            <w:gridSpan w:val="2"/>
            <w:vAlign w:val="center"/>
          </w:tcPr>
          <w:p>
            <w:pPr>
              <w:spacing w:line="420" w:lineRule="exact"/>
              <w:ind w:firstLine="420" w:firstLineChars="200"/>
              <w:rPr>
                <w:rFonts w:hint="eastAsia" w:ascii="宋体" w:hAnsi="宋体" w:eastAsia="宋体" w:cs="Times New Roman"/>
                <w:bCs/>
                <w:color w:val="auto"/>
                <w:kern w:val="0"/>
                <w:szCs w:val="21"/>
                <w:highlight w:val="none"/>
              </w:rPr>
            </w:pPr>
            <w:r>
              <w:rPr>
                <w:rFonts w:hint="eastAsia" w:ascii="宋体" w:hAnsi="宋体" w:eastAsia="宋体" w:cs="Times New Roman"/>
                <w:bCs/>
                <w:color w:val="auto"/>
                <w:kern w:val="0"/>
                <w:szCs w:val="21"/>
                <w:highlight w:val="none"/>
              </w:rPr>
              <w:t>一、政府采购政策扣除</w:t>
            </w:r>
          </w:p>
          <w:p>
            <w:pPr>
              <w:spacing w:line="420" w:lineRule="exact"/>
              <w:ind w:firstLine="420" w:firstLineChars="200"/>
              <w:rPr>
                <w:rFonts w:hint="eastAsia" w:ascii="宋体" w:hAnsi="宋体" w:eastAsia="宋体" w:cs="Times New Roman"/>
                <w:bCs/>
                <w:color w:val="auto"/>
                <w:kern w:val="0"/>
                <w:szCs w:val="21"/>
                <w:highlight w:val="none"/>
              </w:rPr>
            </w:pPr>
            <w:r>
              <w:rPr>
                <w:rFonts w:hint="eastAsia" w:ascii="宋体" w:hAnsi="宋体" w:eastAsia="宋体" w:cs="Times New Roman"/>
                <w:bCs/>
                <w:color w:val="auto"/>
                <w:kern w:val="0"/>
                <w:szCs w:val="21"/>
                <w:highlight w:val="none"/>
              </w:rPr>
              <w:t>1、根据《政府采购促进中小企业发展管理办法》（财库〔2020〕46号）和《广西壮族自治区财政厅关于持续优化政府采购营商环境推动高质量发展的通知》（桂财采〔2024〕55号）的规定，供应商属于《政府采购促进中小企业发展管理办法》规定的小微企业的，对磋商报价给予10%的扣除，用扣除后的价格参加评审；大中型企业与小微企业组成联合体或者大中型企业向一家或者多家小微企业分包，且联合协议或者分包意向协议约定小微企业的合同份额占到合同总金额30%以上的，对联合体或者大中型企业的报价给予4%的扣除，用扣除后的价格参加评审。符合上述规定对报价给予扣除的，扣除后的价格为评标价，即评标价=最后报价×（1 - 扣除比例）；不符合上述给予扣除情形的，评标价=最后报价。</w:t>
            </w:r>
          </w:p>
          <w:p>
            <w:pPr>
              <w:spacing w:line="420" w:lineRule="exact"/>
              <w:ind w:firstLine="420" w:firstLineChars="200"/>
              <w:rPr>
                <w:rFonts w:hint="eastAsia" w:ascii="宋体" w:hAnsi="宋体" w:eastAsia="宋体" w:cs="Times New Roman"/>
                <w:bCs/>
                <w:color w:val="auto"/>
                <w:kern w:val="0"/>
                <w:szCs w:val="21"/>
                <w:highlight w:val="none"/>
              </w:rPr>
            </w:pPr>
            <w:r>
              <w:rPr>
                <w:rFonts w:hint="eastAsia" w:ascii="宋体" w:hAnsi="宋体" w:eastAsia="宋体" w:cs="Times New Roman"/>
                <w:bCs/>
                <w:color w:val="auto"/>
                <w:kern w:val="0"/>
                <w:szCs w:val="21"/>
                <w:highlight w:val="none"/>
              </w:rPr>
              <w:t>2、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不重复享受政策。</w:t>
            </w:r>
          </w:p>
          <w:p>
            <w:pPr>
              <w:spacing w:line="420" w:lineRule="exact"/>
              <w:ind w:firstLine="420" w:firstLineChars="200"/>
              <w:rPr>
                <w:rFonts w:hint="eastAsia" w:ascii="宋体" w:hAnsi="宋体" w:eastAsia="宋体" w:cs="Times New Roman"/>
                <w:bCs/>
                <w:color w:val="auto"/>
                <w:kern w:val="0"/>
                <w:szCs w:val="21"/>
                <w:highlight w:val="none"/>
              </w:rPr>
            </w:pPr>
            <w:r>
              <w:rPr>
                <w:rFonts w:hint="eastAsia" w:ascii="宋体" w:hAnsi="宋体" w:eastAsia="宋体" w:cs="Times New Roman"/>
                <w:bCs/>
                <w:color w:val="auto"/>
                <w:kern w:val="0"/>
                <w:szCs w:val="21"/>
                <w:highlight w:val="none"/>
              </w:rPr>
              <w:t>3、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pPr>
              <w:spacing w:line="420" w:lineRule="exact"/>
              <w:ind w:firstLine="420" w:firstLineChars="200"/>
              <w:rPr>
                <w:rFonts w:hint="eastAsia" w:ascii="宋体" w:hAnsi="宋体" w:eastAsia="宋体" w:cs="Times New Roman"/>
                <w:bCs/>
                <w:color w:val="auto"/>
                <w:kern w:val="0"/>
                <w:szCs w:val="21"/>
                <w:highlight w:val="none"/>
              </w:rPr>
            </w:pPr>
            <w:r>
              <w:rPr>
                <w:rFonts w:hint="eastAsia" w:ascii="宋体" w:hAnsi="宋体" w:eastAsia="宋体" w:cs="Times New Roman"/>
                <w:bCs/>
                <w:color w:val="auto"/>
                <w:kern w:val="0"/>
                <w:szCs w:val="21"/>
                <w:highlight w:val="none"/>
              </w:rPr>
              <w:t>二、报价分（满分20分）</w:t>
            </w:r>
          </w:p>
          <w:p>
            <w:pPr>
              <w:spacing w:line="420" w:lineRule="exact"/>
              <w:ind w:firstLine="420" w:firstLineChars="200"/>
              <w:rPr>
                <w:rFonts w:ascii="宋体" w:hAnsi="宋体" w:eastAsia="宋体" w:cs="Times New Roman"/>
                <w:bCs/>
                <w:color w:val="auto"/>
                <w:kern w:val="0"/>
                <w:szCs w:val="21"/>
                <w:highlight w:val="none"/>
              </w:rPr>
            </w:pPr>
            <w:r>
              <w:rPr>
                <w:rFonts w:hint="eastAsia" w:ascii="宋体" w:hAnsi="Courier New" w:eastAsia="宋体" w:cs="Times New Roman"/>
                <w:color w:val="auto"/>
                <w:kern w:val="0"/>
                <w:szCs w:val="21"/>
                <w:highlight w:val="none"/>
              </w:rPr>
              <w:t>1、</w:t>
            </w:r>
            <w:r>
              <w:rPr>
                <w:rFonts w:hint="eastAsia" w:ascii="宋体" w:hAnsi="宋体" w:eastAsia="宋体" w:cs="Times New Roman"/>
                <w:bCs/>
                <w:color w:val="auto"/>
                <w:kern w:val="0"/>
                <w:szCs w:val="21"/>
                <w:highlight w:val="none"/>
              </w:rPr>
              <w:t>报价</w:t>
            </w:r>
            <w:r>
              <w:rPr>
                <w:rFonts w:ascii="宋体" w:hAnsi="宋体" w:eastAsia="宋体" w:cs="Times New Roman"/>
                <w:bCs/>
                <w:color w:val="auto"/>
                <w:kern w:val="0"/>
                <w:szCs w:val="21"/>
                <w:highlight w:val="none"/>
              </w:rPr>
              <w:t>分采用低价优先法计算，满足</w:t>
            </w:r>
            <w:r>
              <w:rPr>
                <w:rFonts w:hint="eastAsia" w:ascii="宋体" w:hAnsi="宋体" w:eastAsia="宋体" w:cs="Times New Roman"/>
                <w:bCs/>
                <w:color w:val="auto"/>
                <w:kern w:val="0"/>
                <w:szCs w:val="21"/>
                <w:highlight w:val="none"/>
              </w:rPr>
              <w:t>磋商</w:t>
            </w:r>
            <w:r>
              <w:rPr>
                <w:rFonts w:ascii="宋体" w:hAnsi="宋体" w:eastAsia="宋体" w:cs="Times New Roman"/>
                <w:bCs/>
                <w:color w:val="auto"/>
                <w:kern w:val="0"/>
                <w:szCs w:val="21"/>
                <w:highlight w:val="none"/>
              </w:rPr>
              <w:t>文件要求且</w:t>
            </w:r>
            <w:r>
              <w:rPr>
                <w:rFonts w:hint="eastAsia" w:ascii="宋体" w:hAnsi="宋体" w:eastAsia="宋体" w:cs="Times New Roman"/>
                <w:bCs/>
                <w:color w:val="auto"/>
                <w:kern w:val="0"/>
                <w:szCs w:val="21"/>
                <w:highlight w:val="none"/>
              </w:rPr>
              <w:t>评标价</w:t>
            </w:r>
            <w:r>
              <w:rPr>
                <w:rFonts w:ascii="宋体" w:hAnsi="宋体" w:eastAsia="宋体" w:cs="Times New Roman"/>
                <w:bCs/>
                <w:color w:val="auto"/>
                <w:kern w:val="0"/>
                <w:szCs w:val="21"/>
                <w:highlight w:val="none"/>
              </w:rPr>
              <w:t>最低的</w:t>
            </w:r>
            <w:r>
              <w:rPr>
                <w:rFonts w:hint="eastAsia" w:ascii="宋体" w:hAnsi="宋体" w:eastAsia="宋体" w:cs="Times New Roman"/>
                <w:bCs/>
                <w:color w:val="auto"/>
                <w:kern w:val="0"/>
                <w:szCs w:val="21"/>
                <w:highlight w:val="none"/>
              </w:rPr>
              <w:t>有效供应商的评标价</w:t>
            </w:r>
            <w:r>
              <w:rPr>
                <w:rFonts w:ascii="宋体" w:hAnsi="宋体" w:eastAsia="宋体" w:cs="Times New Roman"/>
                <w:bCs/>
                <w:color w:val="auto"/>
                <w:kern w:val="0"/>
                <w:szCs w:val="21"/>
                <w:highlight w:val="none"/>
              </w:rPr>
              <w:t>为评标基准价，其</w:t>
            </w:r>
            <w:r>
              <w:rPr>
                <w:rFonts w:hint="eastAsia" w:ascii="宋体" w:hAnsi="宋体" w:eastAsia="宋体" w:cs="Times New Roman"/>
                <w:bCs/>
                <w:color w:val="auto"/>
                <w:kern w:val="0"/>
                <w:szCs w:val="21"/>
                <w:highlight w:val="none"/>
              </w:rPr>
              <w:t>报价</w:t>
            </w:r>
            <w:r>
              <w:rPr>
                <w:rFonts w:ascii="宋体" w:hAnsi="宋体" w:eastAsia="宋体" w:cs="Times New Roman"/>
                <w:bCs/>
                <w:color w:val="auto"/>
                <w:kern w:val="0"/>
                <w:szCs w:val="21"/>
                <w:highlight w:val="none"/>
              </w:rPr>
              <w:t>分为满分。</w:t>
            </w:r>
          </w:p>
          <w:p>
            <w:pPr>
              <w:spacing w:line="420" w:lineRule="exact"/>
              <w:ind w:firstLine="420" w:firstLineChars="200"/>
              <w:rPr>
                <w:rFonts w:ascii="宋体" w:hAnsi="宋体" w:eastAsia="宋体" w:cs="Times New Roman"/>
                <w:bCs/>
                <w:color w:val="auto"/>
                <w:kern w:val="0"/>
                <w:szCs w:val="21"/>
                <w:highlight w:val="none"/>
              </w:rPr>
            </w:pPr>
            <w:r>
              <w:rPr>
                <w:rFonts w:hint="eastAsia" w:ascii="宋体" w:hAnsi="宋体" w:eastAsia="宋体" w:cs="Times New Roman"/>
                <w:bCs/>
                <w:color w:val="auto"/>
                <w:kern w:val="0"/>
                <w:szCs w:val="21"/>
                <w:highlight w:val="none"/>
              </w:rPr>
              <w:t>2、</w:t>
            </w:r>
            <w:r>
              <w:rPr>
                <w:rFonts w:ascii="宋体" w:hAnsi="宋体" w:eastAsia="宋体" w:cs="Times New Roman"/>
                <w:bCs/>
                <w:color w:val="auto"/>
                <w:kern w:val="0"/>
                <w:szCs w:val="21"/>
                <w:highlight w:val="none"/>
              </w:rPr>
              <w:t>其他供应商的价格分统一按照下列公式计算：</w:t>
            </w:r>
          </w:p>
          <w:p>
            <w:pPr>
              <w:spacing w:line="420" w:lineRule="exact"/>
              <w:rPr>
                <w:rFonts w:ascii="宋体" w:hAnsi="宋体" w:eastAsia="宋体" w:cs="Courier New"/>
                <w:bCs/>
                <w:color w:val="auto"/>
                <w:szCs w:val="21"/>
                <w:highlight w:val="none"/>
              </w:rPr>
            </w:pPr>
            <w:r>
              <w:rPr>
                <w:rFonts w:hint="eastAsia" w:ascii="宋体" w:hAnsi="宋体" w:eastAsia="宋体" w:cs="Times New Roman"/>
                <w:bCs/>
                <w:color w:val="auto"/>
                <w:kern w:val="0"/>
                <w:szCs w:val="21"/>
                <w:highlight w:val="none"/>
              </w:rPr>
              <w:t>某有效供应商的报价</w:t>
            </w:r>
            <w:r>
              <w:rPr>
                <w:rFonts w:ascii="宋体" w:hAnsi="宋体" w:eastAsia="宋体" w:cs="Times New Roman"/>
                <w:bCs/>
                <w:color w:val="auto"/>
                <w:kern w:val="0"/>
                <w:szCs w:val="21"/>
                <w:highlight w:val="none"/>
              </w:rPr>
              <w:t>分=</w:t>
            </w:r>
            <w:r>
              <w:rPr>
                <w:rFonts w:hint="eastAsia" w:ascii="宋体" w:hAnsi="宋体" w:eastAsia="宋体" w:cs="Times New Roman"/>
                <w:bCs/>
                <w:color w:val="auto"/>
                <w:kern w:val="0"/>
                <w:szCs w:val="21"/>
                <w:highlight w:val="none"/>
              </w:rPr>
              <w:t>（</w:t>
            </w:r>
            <w:r>
              <w:rPr>
                <w:rFonts w:ascii="宋体" w:hAnsi="宋体" w:eastAsia="宋体" w:cs="Times New Roman"/>
                <w:bCs/>
                <w:color w:val="auto"/>
                <w:kern w:val="0"/>
                <w:szCs w:val="21"/>
                <w:highlight w:val="none"/>
              </w:rPr>
              <w:t>评标基准价／</w:t>
            </w:r>
            <w:r>
              <w:rPr>
                <w:rFonts w:hint="eastAsia" w:ascii="宋体" w:hAnsi="宋体" w:eastAsia="宋体" w:cs="Times New Roman"/>
                <w:bCs/>
                <w:color w:val="auto"/>
                <w:kern w:val="0"/>
                <w:szCs w:val="21"/>
                <w:highlight w:val="none"/>
              </w:rPr>
              <w:t>某有效供应商评标价）</w:t>
            </w:r>
            <w:r>
              <w:rPr>
                <w:rFonts w:ascii="宋体" w:hAnsi="宋体" w:eastAsia="宋体" w:cs="Times New Roman"/>
                <w:bCs/>
                <w:color w:val="auto"/>
                <w:kern w:val="0"/>
                <w:szCs w:val="21"/>
                <w:highlight w:val="none"/>
              </w:rPr>
              <w:t>×</w:t>
            </w:r>
            <w:r>
              <w:rPr>
                <w:rFonts w:hint="eastAsia" w:ascii="宋体" w:hAnsi="宋体" w:eastAsia="宋体" w:cs="Times New Roman"/>
                <w:bCs/>
                <w:color w:val="auto"/>
                <w:kern w:val="0"/>
                <w:szCs w:val="21"/>
                <w:highlight w:val="none"/>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30" w:type="dxa"/>
            <w:vMerge w:val="restart"/>
            <w:vAlign w:val="center"/>
          </w:tcPr>
          <w:p>
            <w:pPr>
              <w:adjustRightInd w:val="0"/>
              <w:spacing w:line="360" w:lineRule="auto"/>
              <w:jc w:val="center"/>
              <w:textAlignment w:val="baseline"/>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2</w:t>
            </w:r>
          </w:p>
        </w:tc>
        <w:tc>
          <w:tcPr>
            <w:tcW w:w="1280" w:type="dxa"/>
            <w:vMerge w:val="restart"/>
            <w:vAlign w:val="center"/>
          </w:tcPr>
          <w:p>
            <w:pPr>
              <w:adjustRightInd w:val="0"/>
              <w:spacing w:line="360" w:lineRule="auto"/>
              <w:jc w:val="center"/>
              <w:textAlignment w:val="baseline"/>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服务水平</w:t>
            </w:r>
          </w:p>
        </w:tc>
        <w:tc>
          <w:tcPr>
            <w:tcW w:w="709" w:type="dxa"/>
            <w:vMerge w:val="restart"/>
            <w:vAlign w:val="center"/>
          </w:tcPr>
          <w:p>
            <w:pPr>
              <w:adjustRightInd w:val="0"/>
              <w:spacing w:line="360" w:lineRule="auto"/>
              <w:textAlignment w:val="baseline"/>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满分66分</w:t>
            </w:r>
          </w:p>
        </w:tc>
        <w:tc>
          <w:tcPr>
            <w:tcW w:w="1559" w:type="dxa"/>
            <w:vAlign w:val="center"/>
          </w:tcPr>
          <w:p>
            <w:pPr>
              <w:autoSpaceDE w:val="0"/>
              <w:autoSpaceDN w:val="0"/>
              <w:adjustRightInd w:val="0"/>
              <w:spacing w:line="360" w:lineRule="auto"/>
              <w:jc w:val="center"/>
              <w:rPr>
                <w:rFonts w:ascii="宋体" w:hAnsi="宋体" w:eastAsia="宋体" w:cs="宋体"/>
                <w:bCs/>
                <w:color w:val="auto"/>
                <w:szCs w:val="21"/>
                <w:highlight w:val="none"/>
              </w:rPr>
            </w:pPr>
            <w:r>
              <w:rPr>
                <w:rFonts w:hint="eastAsia" w:ascii="宋体" w:hAnsi="宋体" w:eastAsia="宋体" w:cs="宋体"/>
                <w:b/>
                <w:color w:val="auto"/>
                <w:kern w:val="0"/>
                <w:sz w:val="22"/>
                <w:szCs w:val="21"/>
                <w:highlight w:val="none"/>
              </w:rPr>
              <w:t>服务方案分（满分</w:t>
            </w:r>
            <w:r>
              <w:rPr>
                <w:rFonts w:ascii="宋体" w:hAnsi="宋体" w:eastAsia="宋体" w:cs="宋体"/>
                <w:b/>
                <w:color w:val="auto"/>
                <w:kern w:val="0"/>
                <w:sz w:val="22"/>
                <w:szCs w:val="21"/>
                <w:highlight w:val="none"/>
              </w:rPr>
              <w:t>24</w:t>
            </w:r>
            <w:r>
              <w:rPr>
                <w:rFonts w:hint="eastAsia" w:ascii="宋体" w:hAnsi="宋体" w:eastAsia="宋体" w:cs="宋体"/>
                <w:b/>
                <w:color w:val="auto"/>
                <w:kern w:val="0"/>
                <w:sz w:val="22"/>
                <w:szCs w:val="21"/>
                <w:highlight w:val="none"/>
              </w:rPr>
              <w:t>分）</w:t>
            </w:r>
          </w:p>
        </w:tc>
        <w:tc>
          <w:tcPr>
            <w:tcW w:w="5350" w:type="dxa"/>
            <w:vAlign w:val="center"/>
          </w:tcPr>
          <w:p>
            <w:pPr>
              <w:autoSpaceDE w:val="0"/>
              <w:autoSpaceDN w:val="0"/>
              <w:adjustRightInd w:val="0"/>
              <w:spacing w:line="360" w:lineRule="auto"/>
              <w:ind w:firstLine="420"/>
              <w:jc w:val="left"/>
              <w:rPr>
                <w:rFonts w:ascii="宋体" w:hAnsi="Times New Roman" w:eastAsia="宋体" w:cs="宋体"/>
                <w:bCs/>
                <w:color w:val="auto"/>
                <w:kern w:val="0"/>
                <w:sz w:val="22"/>
                <w:szCs w:val="21"/>
                <w:highlight w:val="none"/>
              </w:rPr>
            </w:pPr>
            <w:r>
              <w:rPr>
                <w:rFonts w:ascii="宋体" w:hAnsi="宋体" w:eastAsia="宋体" w:cs="宋体"/>
                <w:bCs/>
                <w:color w:val="auto"/>
                <w:kern w:val="0"/>
                <w:sz w:val="22"/>
                <w:szCs w:val="21"/>
                <w:highlight w:val="none"/>
              </w:rPr>
              <w:t xml:space="preserve"> </w:t>
            </w:r>
            <w:r>
              <w:rPr>
                <w:rFonts w:hint="eastAsia" w:ascii="宋体" w:hAnsi="宋体" w:eastAsia="宋体" w:cs="宋体"/>
                <w:bCs/>
                <w:color w:val="auto"/>
                <w:kern w:val="0"/>
                <w:sz w:val="22"/>
                <w:szCs w:val="20"/>
                <w:highlight w:val="none"/>
              </w:rPr>
              <w:t>由磋商小组在打分前根据各供应商的服务方案确定各供应商所属档次及得分。</w:t>
            </w:r>
            <w:r>
              <w:rPr>
                <w:rFonts w:hint="eastAsia" w:ascii="宋体" w:hAnsi="宋体" w:eastAsia="宋体" w:cs="宋体"/>
                <w:color w:val="auto"/>
                <w:kern w:val="1"/>
                <w:sz w:val="22"/>
                <w:szCs w:val="21"/>
                <w:highlight w:val="none"/>
              </w:rPr>
              <w:t>达不到一档要求或不提供的得0分。</w:t>
            </w:r>
          </w:p>
          <w:p>
            <w:pPr>
              <w:autoSpaceDE w:val="0"/>
              <w:autoSpaceDN w:val="0"/>
              <w:adjustRightInd w:val="0"/>
              <w:spacing w:line="360" w:lineRule="auto"/>
              <w:ind w:firstLine="420"/>
              <w:jc w:val="left"/>
              <w:rPr>
                <w:rFonts w:ascii="宋体" w:hAnsi="Times New Roman" w:eastAsia="宋体" w:cs="宋体"/>
                <w:bCs/>
                <w:color w:val="auto"/>
                <w:kern w:val="0"/>
                <w:sz w:val="22"/>
                <w:szCs w:val="21"/>
                <w:highlight w:val="none"/>
              </w:rPr>
            </w:pPr>
            <w:r>
              <w:rPr>
                <w:rFonts w:hint="eastAsia" w:ascii="宋体" w:hAnsi="宋体" w:eastAsia="宋体" w:cs="宋体"/>
                <w:bCs/>
                <w:color w:val="auto"/>
                <w:kern w:val="0"/>
                <w:sz w:val="22"/>
                <w:szCs w:val="21"/>
                <w:highlight w:val="none"/>
              </w:rPr>
              <w:t>一档（</w:t>
            </w:r>
            <w:r>
              <w:rPr>
                <w:rFonts w:ascii="宋体" w:hAnsi="宋体" w:eastAsia="宋体" w:cs="宋体"/>
                <w:bCs/>
                <w:color w:val="auto"/>
                <w:kern w:val="0"/>
                <w:sz w:val="22"/>
                <w:szCs w:val="21"/>
                <w:highlight w:val="none"/>
              </w:rPr>
              <w:t>6</w:t>
            </w:r>
            <w:r>
              <w:rPr>
                <w:rFonts w:hint="eastAsia" w:ascii="宋体" w:hAnsi="宋体" w:eastAsia="宋体" w:cs="宋体"/>
                <w:bCs/>
                <w:color w:val="auto"/>
                <w:kern w:val="0"/>
                <w:sz w:val="22"/>
                <w:szCs w:val="21"/>
                <w:highlight w:val="none"/>
              </w:rPr>
              <w:t>分）：服务方案完整，对采购人需求理解，服务内容简单，基本符合要求；</w:t>
            </w:r>
          </w:p>
          <w:p>
            <w:pPr>
              <w:autoSpaceDE w:val="0"/>
              <w:autoSpaceDN w:val="0"/>
              <w:adjustRightInd w:val="0"/>
              <w:spacing w:line="360" w:lineRule="auto"/>
              <w:ind w:firstLine="420"/>
              <w:jc w:val="left"/>
              <w:rPr>
                <w:rFonts w:ascii="宋体" w:hAnsi="Times New Roman" w:eastAsia="宋体" w:cs="宋体"/>
                <w:bCs/>
                <w:color w:val="auto"/>
                <w:kern w:val="0"/>
                <w:sz w:val="22"/>
                <w:szCs w:val="21"/>
                <w:highlight w:val="none"/>
              </w:rPr>
            </w:pPr>
            <w:r>
              <w:rPr>
                <w:rFonts w:hint="eastAsia" w:ascii="宋体" w:hAnsi="宋体" w:eastAsia="宋体" w:cs="宋体"/>
                <w:bCs/>
                <w:color w:val="auto"/>
                <w:kern w:val="0"/>
                <w:sz w:val="22"/>
                <w:szCs w:val="21"/>
                <w:highlight w:val="none"/>
              </w:rPr>
              <w:t>二档（</w:t>
            </w:r>
            <w:r>
              <w:rPr>
                <w:rFonts w:ascii="宋体" w:hAnsi="宋体" w:eastAsia="宋体" w:cs="宋体"/>
                <w:bCs/>
                <w:color w:val="auto"/>
                <w:kern w:val="0"/>
                <w:sz w:val="22"/>
                <w:szCs w:val="21"/>
                <w:highlight w:val="none"/>
              </w:rPr>
              <w:t>12</w:t>
            </w:r>
            <w:r>
              <w:rPr>
                <w:rFonts w:hint="eastAsia" w:ascii="宋体" w:hAnsi="宋体" w:eastAsia="宋体" w:cs="宋体"/>
                <w:bCs/>
                <w:color w:val="auto"/>
                <w:kern w:val="0"/>
                <w:sz w:val="22"/>
                <w:szCs w:val="21"/>
                <w:highlight w:val="none"/>
              </w:rPr>
              <w:t>分）：服务方案完整清晰，对采购人需求理解，方案详细，服务全面；有一定的可操作性。</w:t>
            </w:r>
          </w:p>
          <w:p>
            <w:pPr>
              <w:autoSpaceDE w:val="0"/>
              <w:autoSpaceDN w:val="0"/>
              <w:adjustRightInd w:val="0"/>
              <w:spacing w:line="360" w:lineRule="auto"/>
              <w:ind w:firstLine="420"/>
              <w:jc w:val="left"/>
              <w:rPr>
                <w:rFonts w:ascii="宋体" w:hAnsi="Times New Roman" w:eastAsia="宋体" w:cs="宋体"/>
                <w:bCs/>
                <w:color w:val="auto"/>
                <w:kern w:val="0"/>
                <w:sz w:val="22"/>
                <w:szCs w:val="21"/>
                <w:highlight w:val="none"/>
              </w:rPr>
            </w:pPr>
            <w:r>
              <w:rPr>
                <w:rFonts w:hint="eastAsia" w:ascii="宋体" w:hAnsi="宋体" w:eastAsia="宋体" w:cs="宋体"/>
                <w:bCs/>
                <w:color w:val="auto"/>
                <w:kern w:val="0"/>
                <w:sz w:val="22"/>
                <w:szCs w:val="21"/>
                <w:highlight w:val="none"/>
              </w:rPr>
              <w:t>三档（</w:t>
            </w:r>
            <w:r>
              <w:rPr>
                <w:rFonts w:ascii="宋体" w:hAnsi="宋体" w:eastAsia="宋体" w:cs="宋体"/>
                <w:bCs/>
                <w:color w:val="auto"/>
                <w:kern w:val="0"/>
                <w:sz w:val="22"/>
                <w:szCs w:val="21"/>
                <w:highlight w:val="none"/>
              </w:rPr>
              <w:t>18</w:t>
            </w:r>
            <w:r>
              <w:rPr>
                <w:rFonts w:hint="eastAsia" w:ascii="宋体" w:hAnsi="宋体" w:eastAsia="宋体" w:cs="宋体"/>
                <w:bCs/>
                <w:color w:val="auto"/>
                <w:kern w:val="0"/>
                <w:sz w:val="22"/>
                <w:szCs w:val="21"/>
                <w:highlight w:val="none"/>
              </w:rPr>
              <w:t>分）：服务方案完整清晰，熟练理解采购人需求，方案详细，服务全面，对运营平台的功能理解透彻，思路清晰，富有创意，实用性和可操作性强的。</w:t>
            </w:r>
          </w:p>
          <w:p>
            <w:pPr>
              <w:autoSpaceDE w:val="0"/>
              <w:autoSpaceDN w:val="0"/>
              <w:adjustRightInd w:val="0"/>
              <w:spacing w:line="360" w:lineRule="auto"/>
              <w:ind w:firstLine="420"/>
              <w:jc w:val="left"/>
              <w:rPr>
                <w:rFonts w:ascii="宋体" w:hAnsi="宋体" w:eastAsia="宋体" w:cs="宋体"/>
                <w:bCs/>
                <w:color w:val="auto"/>
                <w:szCs w:val="21"/>
                <w:highlight w:val="none"/>
              </w:rPr>
            </w:pPr>
            <w:r>
              <w:rPr>
                <w:rFonts w:hint="eastAsia" w:ascii="宋体" w:hAnsi="宋体" w:eastAsia="宋体" w:cs="宋体"/>
                <w:bCs/>
                <w:color w:val="auto"/>
                <w:kern w:val="0"/>
                <w:sz w:val="22"/>
                <w:szCs w:val="21"/>
                <w:highlight w:val="none"/>
              </w:rPr>
              <w:t>四档（</w:t>
            </w:r>
            <w:r>
              <w:rPr>
                <w:rFonts w:ascii="宋体" w:hAnsi="宋体" w:eastAsia="宋体" w:cs="宋体"/>
                <w:bCs/>
                <w:color w:val="auto"/>
                <w:kern w:val="0"/>
                <w:sz w:val="22"/>
                <w:szCs w:val="21"/>
                <w:highlight w:val="none"/>
              </w:rPr>
              <w:t>24</w:t>
            </w:r>
            <w:r>
              <w:rPr>
                <w:rFonts w:hint="eastAsia" w:ascii="宋体" w:hAnsi="宋体" w:eastAsia="宋体" w:cs="宋体"/>
                <w:bCs/>
                <w:color w:val="auto"/>
                <w:kern w:val="0"/>
                <w:sz w:val="22"/>
                <w:szCs w:val="21"/>
                <w:highlight w:val="none"/>
              </w:rPr>
              <w:t>分）：服务方案完整清晰，熟练理解用户需求，方案全面，服务全面，对运营平台的功能理解透彻，思路清晰，富有创意，对项目实际情况具有针对性，具有前瞻性、战略性，实用性和可操作性强的。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730" w:type="dxa"/>
            <w:vMerge w:val="continue"/>
            <w:vAlign w:val="center"/>
          </w:tcPr>
          <w:p>
            <w:pPr>
              <w:adjustRightInd w:val="0"/>
              <w:spacing w:line="360" w:lineRule="auto"/>
              <w:jc w:val="center"/>
              <w:textAlignment w:val="baseline"/>
              <w:rPr>
                <w:rFonts w:ascii="宋体" w:hAnsi="宋体" w:eastAsia="宋体" w:cs="Times New Roman"/>
                <w:b/>
                <w:color w:val="auto"/>
                <w:szCs w:val="21"/>
                <w:highlight w:val="none"/>
              </w:rPr>
            </w:pPr>
          </w:p>
        </w:tc>
        <w:tc>
          <w:tcPr>
            <w:tcW w:w="1280" w:type="dxa"/>
            <w:vMerge w:val="continue"/>
            <w:vAlign w:val="center"/>
          </w:tcPr>
          <w:p>
            <w:pPr>
              <w:adjustRightInd w:val="0"/>
              <w:spacing w:line="360" w:lineRule="auto"/>
              <w:jc w:val="center"/>
              <w:textAlignment w:val="baseline"/>
              <w:rPr>
                <w:rFonts w:ascii="宋体" w:hAnsi="宋体" w:eastAsia="宋体" w:cs="Times New Roman"/>
                <w:b/>
                <w:color w:val="auto"/>
                <w:szCs w:val="21"/>
                <w:highlight w:val="none"/>
              </w:rPr>
            </w:pPr>
          </w:p>
        </w:tc>
        <w:tc>
          <w:tcPr>
            <w:tcW w:w="709" w:type="dxa"/>
            <w:vMerge w:val="continue"/>
            <w:vAlign w:val="center"/>
          </w:tcPr>
          <w:p>
            <w:pPr>
              <w:adjustRightInd w:val="0"/>
              <w:spacing w:line="360" w:lineRule="auto"/>
              <w:jc w:val="center"/>
              <w:textAlignment w:val="baseline"/>
              <w:rPr>
                <w:rFonts w:ascii="宋体" w:hAnsi="宋体" w:eastAsia="宋体" w:cs="Times New Roman"/>
                <w:b/>
                <w:color w:val="auto"/>
                <w:szCs w:val="21"/>
                <w:highlight w:val="none"/>
              </w:rPr>
            </w:pPr>
          </w:p>
        </w:tc>
        <w:tc>
          <w:tcPr>
            <w:tcW w:w="1559" w:type="dxa"/>
            <w:vAlign w:val="center"/>
          </w:tcPr>
          <w:p>
            <w:pPr>
              <w:autoSpaceDE w:val="0"/>
              <w:autoSpaceDN w:val="0"/>
              <w:adjustRightInd w:val="0"/>
              <w:spacing w:line="360" w:lineRule="auto"/>
              <w:jc w:val="center"/>
              <w:rPr>
                <w:rFonts w:ascii="宋体" w:hAnsi="宋体" w:eastAsia="宋体" w:cs="宋体"/>
                <w:bCs/>
                <w:color w:val="auto"/>
                <w:szCs w:val="21"/>
                <w:highlight w:val="none"/>
              </w:rPr>
            </w:pPr>
            <w:r>
              <w:rPr>
                <w:rFonts w:hint="eastAsia" w:ascii="宋体" w:hAnsi="宋体" w:eastAsia="宋体" w:cs="宋体"/>
                <w:b/>
                <w:color w:val="auto"/>
                <w:kern w:val="0"/>
                <w:sz w:val="22"/>
                <w:szCs w:val="21"/>
                <w:highlight w:val="none"/>
              </w:rPr>
              <w:t>驻场服务分（满分</w:t>
            </w:r>
            <w:r>
              <w:rPr>
                <w:rFonts w:ascii="宋体" w:hAnsi="宋体" w:eastAsia="宋体" w:cs="宋体"/>
                <w:b/>
                <w:color w:val="auto"/>
                <w:kern w:val="0"/>
                <w:sz w:val="22"/>
                <w:szCs w:val="21"/>
                <w:highlight w:val="none"/>
              </w:rPr>
              <w:t>12</w:t>
            </w:r>
            <w:r>
              <w:rPr>
                <w:rFonts w:hint="eastAsia" w:ascii="宋体" w:hAnsi="宋体" w:eastAsia="宋体" w:cs="宋体"/>
                <w:b/>
                <w:color w:val="auto"/>
                <w:kern w:val="0"/>
                <w:sz w:val="22"/>
                <w:szCs w:val="21"/>
                <w:highlight w:val="none"/>
              </w:rPr>
              <w:t>分）</w:t>
            </w:r>
          </w:p>
        </w:tc>
        <w:tc>
          <w:tcPr>
            <w:tcW w:w="5350" w:type="dxa"/>
            <w:vAlign w:val="center"/>
          </w:tcPr>
          <w:p>
            <w:pPr>
              <w:autoSpaceDE w:val="0"/>
              <w:autoSpaceDN w:val="0"/>
              <w:adjustRightInd w:val="0"/>
              <w:spacing w:line="360" w:lineRule="auto"/>
              <w:ind w:firstLine="420"/>
              <w:jc w:val="left"/>
              <w:rPr>
                <w:rFonts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t>提供主要技术人员驻场服务1年，承诺提供1人得6分，承诺提供2人以上得12分。</w:t>
            </w:r>
          </w:p>
          <w:p>
            <w:pPr>
              <w:autoSpaceDE w:val="0"/>
              <w:autoSpaceDN w:val="0"/>
              <w:adjustRightInd w:val="0"/>
              <w:spacing w:line="360" w:lineRule="auto"/>
              <w:ind w:firstLine="420"/>
              <w:jc w:val="left"/>
              <w:rPr>
                <w:rFonts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lang w:eastAsia="zh-CN"/>
              </w:rPr>
              <w:t>注：以上所有人员</w:t>
            </w:r>
            <w:r>
              <w:rPr>
                <w:rFonts w:hint="eastAsia" w:ascii="Times New Roman" w:hAnsi="Times New Roman" w:eastAsia="宋体" w:cs="Times New Roman"/>
                <w:color w:val="auto"/>
                <w:szCs w:val="24"/>
                <w:highlight w:val="none"/>
              </w:rPr>
              <w:t>须提供证明材料及</w:t>
            </w:r>
            <w:r>
              <w:rPr>
                <w:rFonts w:hint="eastAsia" w:ascii="Times New Roman" w:hAnsi="Times New Roman" w:eastAsia="宋体" w:cs="Times New Roman"/>
                <w:color w:val="auto"/>
                <w:szCs w:val="24"/>
                <w:highlight w:val="none"/>
                <w:lang w:eastAsia="zh-CN"/>
              </w:rPr>
              <w:t>202</w:t>
            </w:r>
            <w:r>
              <w:rPr>
                <w:rFonts w:hint="eastAsia" w:ascii="Times New Roman" w:hAnsi="Times New Roman" w:eastAsia="宋体" w:cs="Times New Roman"/>
                <w:color w:val="auto"/>
                <w:szCs w:val="24"/>
                <w:highlight w:val="none"/>
                <w:lang w:val="en-US" w:eastAsia="zh-CN"/>
              </w:rPr>
              <w:t>4</w:t>
            </w:r>
            <w:r>
              <w:rPr>
                <w:rFonts w:hint="eastAsia" w:ascii="Times New Roman" w:hAnsi="Times New Roman" w:eastAsia="宋体" w:cs="Times New Roman"/>
                <w:color w:val="auto"/>
                <w:szCs w:val="24"/>
                <w:highlight w:val="none"/>
                <w:lang w:eastAsia="zh-CN"/>
              </w:rPr>
              <w:t>年1月至2024年8月内连续3个月</w:t>
            </w:r>
            <w:r>
              <w:rPr>
                <w:rFonts w:hint="eastAsia" w:ascii="Times New Roman" w:hAnsi="Times New Roman" w:eastAsia="宋体" w:cs="Times New Roman"/>
                <w:color w:val="auto"/>
                <w:szCs w:val="24"/>
                <w:highlight w:val="none"/>
              </w:rPr>
              <w:t>供应商为其缴纳社保的证明并加盖供应商公章</w:t>
            </w:r>
            <w:r>
              <w:rPr>
                <w:rFonts w:hint="eastAsia" w:ascii="Times New Roman" w:hAnsi="Times New Roman" w:eastAsia="宋体" w:cs="Times New Roman"/>
                <w:color w:val="auto"/>
                <w:szCs w:val="24"/>
                <w:highlight w:val="none"/>
                <w:lang w:eastAsia="zh-CN"/>
              </w:rPr>
              <w:t>，不按要求提供资料的不得分</w:t>
            </w:r>
            <w:r>
              <w:rPr>
                <w:rFonts w:hint="eastAsia" w:ascii="Times New Roman" w:hAnsi="Times New Roman" w:eastAsia="宋体" w:cs="Times New Roman"/>
                <w:color w:val="auto"/>
                <w:szCs w:val="24"/>
                <w:highlight w:val="none"/>
              </w:rPr>
              <w:t>。（新成立的公司或新入职的人员提供公司成立日之后次月起或入职到公司之日后次月起到</w:t>
            </w:r>
            <w:r>
              <w:rPr>
                <w:rFonts w:hint="eastAsia" w:ascii="Times New Roman" w:hAnsi="Times New Roman" w:eastAsia="宋体" w:cs="Times New Roman"/>
                <w:color w:val="auto"/>
                <w:szCs w:val="24"/>
                <w:highlight w:val="none"/>
                <w:lang w:eastAsia="zh-CN"/>
              </w:rPr>
              <w:t>响应</w:t>
            </w:r>
            <w:r>
              <w:rPr>
                <w:rFonts w:hint="eastAsia" w:ascii="Times New Roman" w:hAnsi="Times New Roman" w:eastAsia="宋体" w:cs="Times New Roman"/>
                <w:color w:val="auto"/>
                <w:szCs w:val="24"/>
                <w:highlight w:val="none"/>
              </w:rPr>
              <w:t>文件首次递交截止前一个月的</w:t>
            </w:r>
            <w:r>
              <w:rPr>
                <w:rFonts w:hint="eastAsia" w:ascii="Times New Roman" w:hAnsi="Times New Roman" w:eastAsia="宋体" w:cs="Times New Roman"/>
                <w:color w:val="auto"/>
                <w:szCs w:val="24"/>
                <w:highlight w:val="none"/>
                <w:lang w:eastAsia="zh-CN"/>
              </w:rPr>
              <w:t>参保缴纳凭证</w:t>
            </w:r>
            <w:r>
              <w:rPr>
                <w:rFonts w:hint="eastAsia" w:ascii="Times New Roman" w:hAnsi="Times New Roman" w:eastAsia="宋体" w:cs="Times New Roman"/>
                <w:color w:val="auto"/>
                <w:szCs w:val="24"/>
                <w:highlight w:val="none"/>
              </w:rPr>
              <w:t>复印件</w:t>
            </w:r>
            <w:r>
              <w:rPr>
                <w:rFonts w:hint="eastAsia" w:ascii="Times New Roman" w:hAnsi="Times New Roman" w:eastAsia="宋体" w:cs="Times New Roman"/>
                <w:color w:val="auto"/>
                <w:szCs w:val="24"/>
                <w:highlight w:val="none"/>
                <w:lang w:eastAsia="zh-CN"/>
              </w:rPr>
              <w:t>，退休聘用人员提供聘用合同）。以上人员</w:t>
            </w:r>
            <w:r>
              <w:rPr>
                <w:rFonts w:hint="eastAsia" w:ascii="Times New Roman" w:hAnsi="Times New Roman" w:eastAsia="宋体" w:cs="Times New Roman"/>
                <w:color w:val="auto"/>
                <w:szCs w:val="24"/>
                <w:highlight w:val="none"/>
              </w:rPr>
              <w:t>须提供</w:t>
            </w:r>
            <w:r>
              <w:rPr>
                <w:rFonts w:hint="eastAsia" w:ascii="Times New Roman" w:hAnsi="Times New Roman" w:eastAsia="宋体" w:cs="Times New Roman"/>
                <w:color w:val="auto"/>
                <w:szCs w:val="24"/>
                <w:highlight w:val="none"/>
                <w:lang w:eastAsia="zh-CN"/>
              </w:rPr>
              <w:t>相应证明材料复印件加盖公章，否则不得分。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730" w:type="dxa"/>
            <w:vMerge w:val="continue"/>
            <w:vAlign w:val="center"/>
          </w:tcPr>
          <w:p>
            <w:pPr>
              <w:adjustRightInd w:val="0"/>
              <w:spacing w:line="360" w:lineRule="auto"/>
              <w:jc w:val="center"/>
              <w:textAlignment w:val="baseline"/>
              <w:rPr>
                <w:rFonts w:ascii="宋体" w:hAnsi="宋体" w:eastAsia="宋体" w:cs="Times New Roman"/>
                <w:b/>
                <w:color w:val="auto"/>
                <w:szCs w:val="21"/>
                <w:highlight w:val="none"/>
              </w:rPr>
            </w:pPr>
          </w:p>
        </w:tc>
        <w:tc>
          <w:tcPr>
            <w:tcW w:w="1280" w:type="dxa"/>
            <w:vMerge w:val="continue"/>
            <w:vAlign w:val="center"/>
          </w:tcPr>
          <w:p>
            <w:pPr>
              <w:adjustRightInd w:val="0"/>
              <w:spacing w:line="360" w:lineRule="auto"/>
              <w:jc w:val="center"/>
              <w:textAlignment w:val="baseline"/>
              <w:rPr>
                <w:rFonts w:ascii="宋体" w:hAnsi="宋体" w:eastAsia="宋体" w:cs="Times New Roman"/>
                <w:b/>
                <w:color w:val="auto"/>
                <w:szCs w:val="21"/>
                <w:highlight w:val="none"/>
              </w:rPr>
            </w:pPr>
          </w:p>
        </w:tc>
        <w:tc>
          <w:tcPr>
            <w:tcW w:w="709" w:type="dxa"/>
            <w:vMerge w:val="continue"/>
            <w:vAlign w:val="center"/>
          </w:tcPr>
          <w:p>
            <w:pPr>
              <w:adjustRightInd w:val="0"/>
              <w:spacing w:line="360" w:lineRule="auto"/>
              <w:jc w:val="center"/>
              <w:textAlignment w:val="baseline"/>
              <w:rPr>
                <w:rFonts w:ascii="宋体" w:hAnsi="宋体" w:eastAsia="宋体" w:cs="Times New Roman"/>
                <w:b/>
                <w:color w:val="auto"/>
                <w:szCs w:val="21"/>
                <w:highlight w:val="none"/>
              </w:rPr>
            </w:pPr>
          </w:p>
        </w:tc>
        <w:tc>
          <w:tcPr>
            <w:tcW w:w="1559" w:type="dxa"/>
            <w:vAlign w:val="center"/>
          </w:tcPr>
          <w:p>
            <w:pPr>
              <w:spacing w:line="360" w:lineRule="auto"/>
              <w:jc w:val="center"/>
              <w:rPr>
                <w:rFonts w:ascii="宋体" w:hAnsi="宋体" w:eastAsia="宋体" w:cs="宋体"/>
                <w:bCs/>
                <w:color w:val="auto"/>
                <w:kern w:val="0"/>
                <w:sz w:val="22"/>
                <w:szCs w:val="21"/>
                <w:highlight w:val="none"/>
              </w:rPr>
            </w:pPr>
            <w:r>
              <w:rPr>
                <w:rFonts w:hint="eastAsia" w:ascii="宋体" w:hAnsi="宋体" w:eastAsia="宋体" w:cs="宋体"/>
                <w:b/>
                <w:color w:val="auto"/>
                <w:kern w:val="0"/>
                <w:sz w:val="22"/>
                <w:szCs w:val="21"/>
                <w:highlight w:val="none"/>
              </w:rPr>
              <w:t>组织实施</w:t>
            </w:r>
            <w:r>
              <w:rPr>
                <w:rFonts w:hint="eastAsia" w:ascii="宋体" w:hAnsi="宋体" w:cs="宋体"/>
                <w:b/>
                <w:color w:val="auto"/>
                <w:kern w:val="0"/>
                <w:sz w:val="22"/>
                <w:szCs w:val="21"/>
                <w:highlight w:val="none"/>
                <w:lang w:eastAsia="zh-CN"/>
              </w:rPr>
              <w:t>方案</w:t>
            </w:r>
            <w:r>
              <w:rPr>
                <w:rFonts w:hint="eastAsia" w:ascii="宋体" w:hAnsi="宋体" w:eastAsia="宋体" w:cs="宋体"/>
                <w:b/>
                <w:color w:val="auto"/>
                <w:kern w:val="0"/>
                <w:sz w:val="22"/>
                <w:szCs w:val="21"/>
                <w:highlight w:val="none"/>
              </w:rPr>
              <w:t>分（满分</w:t>
            </w:r>
            <w:r>
              <w:rPr>
                <w:rFonts w:ascii="宋体" w:hAnsi="宋体" w:eastAsia="宋体" w:cs="宋体"/>
                <w:b/>
                <w:color w:val="auto"/>
                <w:kern w:val="0"/>
                <w:sz w:val="22"/>
                <w:szCs w:val="21"/>
                <w:highlight w:val="none"/>
              </w:rPr>
              <w:t>15</w:t>
            </w:r>
            <w:r>
              <w:rPr>
                <w:rFonts w:hint="eastAsia" w:ascii="宋体" w:hAnsi="宋体" w:eastAsia="宋体" w:cs="宋体"/>
                <w:b/>
                <w:color w:val="auto"/>
                <w:kern w:val="0"/>
                <w:sz w:val="22"/>
                <w:szCs w:val="21"/>
                <w:highlight w:val="none"/>
              </w:rPr>
              <w:t>分）</w:t>
            </w:r>
          </w:p>
        </w:tc>
        <w:tc>
          <w:tcPr>
            <w:tcW w:w="5350" w:type="dxa"/>
            <w:vAlign w:val="center"/>
          </w:tcPr>
          <w:p>
            <w:pPr>
              <w:autoSpaceDE w:val="0"/>
              <w:autoSpaceDN w:val="0"/>
              <w:adjustRightInd w:val="0"/>
              <w:spacing w:line="360" w:lineRule="auto"/>
              <w:ind w:firstLine="420"/>
              <w:jc w:val="left"/>
              <w:rPr>
                <w:rFonts w:ascii="宋体" w:hAnsi="Times New Roman" w:eastAsia="宋体" w:cs="宋体"/>
                <w:bCs/>
                <w:color w:val="auto"/>
                <w:kern w:val="0"/>
                <w:sz w:val="22"/>
                <w:szCs w:val="21"/>
                <w:highlight w:val="none"/>
              </w:rPr>
            </w:pPr>
            <w:r>
              <w:rPr>
                <w:rFonts w:ascii="宋体" w:hAnsi="宋体" w:eastAsia="宋体" w:cs="宋体"/>
                <w:bCs/>
                <w:color w:val="auto"/>
                <w:kern w:val="0"/>
                <w:sz w:val="22"/>
                <w:szCs w:val="21"/>
                <w:highlight w:val="none"/>
              </w:rPr>
              <w:t xml:space="preserve"> </w:t>
            </w:r>
            <w:r>
              <w:rPr>
                <w:rFonts w:hint="eastAsia" w:ascii="宋体" w:hAnsi="宋体" w:eastAsia="宋体" w:cs="宋体"/>
                <w:bCs/>
                <w:color w:val="auto"/>
                <w:kern w:val="0"/>
                <w:sz w:val="22"/>
                <w:szCs w:val="20"/>
                <w:highlight w:val="none"/>
              </w:rPr>
              <w:t>由磋商小组在打分前根据各供应商组织实施</w:t>
            </w:r>
            <w:r>
              <w:rPr>
                <w:rFonts w:hint="eastAsia" w:ascii="宋体" w:hAnsi="宋体" w:eastAsia="宋体" w:cs="宋体"/>
                <w:bCs/>
                <w:color w:val="auto"/>
                <w:kern w:val="0"/>
                <w:sz w:val="22"/>
                <w:szCs w:val="20"/>
                <w:highlight w:val="none"/>
                <w:lang w:eastAsia="zh-CN"/>
              </w:rPr>
              <w:t>方案</w:t>
            </w:r>
            <w:r>
              <w:rPr>
                <w:rFonts w:hint="eastAsia" w:ascii="宋体" w:hAnsi="宋体" w:eastAsia="宋体" w:cs="宋体"/>
                <w:bCs/>
                <w:color w:val="auto"/>
                <w:kern w:val="0"/>
                <w:sz w:val="22"/>
                <w:szCs w:val="20"/>
                <w:highlight w:val="none"/>
              </w:rPr>
              <w:t>的可行性和成熟度确定各供应商所属档次及得分，</w:t>
            </w:r>
            <w:r>
              <w:rPr>
                <w:rFonts w:hint="eastAsia" w:ascii="宋体" w:hAnsi="宋体" w:eastAsia="宋体" w:cs="宋体"/>
                <w:color w:val="auto"/>
                <w:kern w:val="1"/>
                <w:sz w:val="22"/>
                <w:szCs w:val="21"/>
                <w:highlight w:val="none"/>
              </w:rPr>
              <w:t>达不到一档要求或不提供的得0分。</w:t>
            </w:r>
          </w:p>
          <w:p>
            <w:pPr>
              <w:autoSpaceDE w:val="0"/>
              <w:autoSpaceDN w:val="0"/>
              <w:adjustRightInd w:val="0"/>
              <w:spacing w:line="360" w:lineRule="auto"/>
              <w:ind w:firstLine="420"/>
              <w:jc w:val="left"/>
              <w:rPr>
                <w:rFonts w:ascii="宋体" w:hAnsi="Times New Roman" w:eastAsia="宋体" w:cs="宋体"/>
                <w:bCs/>
                <w:color w:val="auto"/>
                <w:kern w:val="0"/>
                <w:sz w:val="22"/>
                <w:szCs w:val="21"/>
                <w:highlight w:val="none"/>
              </w:rPr>
            </w:pPr>
            <w:r>
              <w:rPr>
                <w:rFonts w:hint="eastAsia" w:ascii="宋体" w:hAnsi="宋体" w:eastAsia="宋体" w:cs="宋体"/>
                <w:bCs/>
                <w:color w:val="auto"/>
                <w:kern w:val="0"/>
                <w:sz w:val="22"/>
                <w:szCs w:val="21"/>
                <w:highlight w:val="none"/>
              </w:rPr>
              <w:t>一档（</w:t>
            </w:r>
            <w:r>
              <w:rPr>
                <w:rFonts w:ascii="宋体" w:hAnsi="宋体" w:eastAsia="宋体" w:cs="宋体"/>
                <w:bCs/>
                <w:color w:val="auto"/>
                <w:kern w:val="0"/>
                <w:sz w:val="22"/>
                <w:szCs w:val="21"/>
                <w:highlight w:val="none"/>
              </w:rPr>
              <w:t>5</w:t>
            </w:r>
            <w:r>
              <w:rPr>
                <w:rFonts w:hint="eastAsia" w:ascii="宋体" w:hAnsi="宋体" w:eastAsia="宋体" w:cs="宋体"/>
                <w:bCs/>
                <w:color w:val="auto"/>
                <w:kern w:val="0"/>
                <w:sz w:val="22"/>
                <w:szCs w:val="21"/>
                <w:highlight w:val="none"/>
              </w:rPr>
              <w:t>分）：实施方案完整，实施计划可行，项目管理组织机构及人员职能满足要求。</w:t>
            </w:r>
          </w:p>
          <w:p>
            <w:pPr>
              <w:autoSpaceDE w:val="0"/>
              <w:autoSpaceDN w:val="0"/>
              <w:adjustRightInd w:val="0"/>
              <w:spacing w:line="360" w:lineRule="auto"/>
              <w:ind w:firstLine="420"/>
              <w:jc w:val="left"/>
              <w:rPr>
                <w:rFonts w:ascii="宋体" w:hAnsi="Times New Roman" w:eastAsia="宋体" w:cs="宋体"/>
                <w:bCs/>
                <w:color w:val="auto"/>
                <w:kern w:val="0"/>
                <w:sz w:val="22"/>
                <w:szCs w:val="21"/>
                <w:highlight w:val="none"/>
              </w:rPr>
            </w:pPr>
            <w:r>
              <w:rPr>
                <w:rFonts w:hint="eastAsia" w:ascii="宋体" w:hAnsi="宋体" w:eastAsia="宋体" w:cs="宋体"/>
                <w:bCs/>
                <w:color w:val="auto"/>
                <w:kern w:val="0"/>
                <w:sz w:val="22"/>
                <w:szCs w:val="21"/>
                <w:highlight w:val="none"/>
              </w:rPr>
              <w:t>二档（</w:t>
            </w:r>
            <w:r>
              <w:rPr>
                <w:rFonts w:ascii="宋体" w:hAnsi="宋体" w:eastAsia="宋体" w:cs="宋体"/>
                <w:bCs/>
                <w:color w:val="auto"/>
                <w:kern w:val="0"/>
                <w:sz w:val="22"/>
                <w:szCs w:val="21"/>
                <w:highlight w:val="none"/>
              </w:rPr>
              <w:t>10</w:t>
            </w:r>
            <w:r>
              <w:rPr>
                <w:rFonts w:hint="eastAsia" w:ascii="宋体" w:hAnsi="宋体" w:eastAsia="宋体" w:cs="宋体"/>
                <w:bCs/>
                <w:color w:val="auto"/>
                <w:kern w:val="0"/>
                <w:sz w:val="22"/>
                <w:szCs w:val="21"/>
                <w:highlight w:val="none"/>
              </w:rPr>
              <w:t>分）：实施方案完整清晰，实施计划完整可行，项目管理组织机构及人员职能清晰。</w:t>
            </w:r>
          </w:p>
          <w:p>
            <w:pPr>
              <w:autoSpaceDE w:val="0"/>
              <w:autoSpaceDN w:val="0"/>
              <w:adjustRightInd w:val="0"/>
              <w:spacing w:line="360" w:lineRule="auto"/>
              <w:ind w:firstLine="420"/>
              <w:jc w:val="left"/>
              <w:rPr>
                <w:rFonts w:ascii="Times New Roman" w:hAnsi="宋体" w:eastAsia="宋体" w:cs="宋体"/>
                <w:color w:val="auto"/>
                <w:szCs w:val="24"/>
                <w:highlight w:val="none"/>
              </w:rPr>
            </w:pPr>
            <w:r>
              <w:rPr>
                <w:rFonts w:hint="eastAsia" w:ascii="宋体" w:hAnsi="宋体" w:eastAsia="宋体" w:cs="宋体"/>
                <w:bCs/>
                <w:color w:val="auto"/>
                <w:kern w:val="0"/>
                <w:sz w:val="22"/>
                <w:szCs w:val="21"/>
                <w:highlight w:val="none"/>
              </w:rPr>
              <w:t>三档（</w:t>
            </w:r>
            <w:r>
              <w:rPr>
                <w:rFonts w:ascii="宋体" w:hAnsi="宋体" w:eastAsia="宋体" w:cs="宋体"/>
                <w:bCs/>
                <w:color w:val="auto"/>
                <w:kern w:val="0"/>
                <w:sz w:val="22"/>
                <w:szCs w:val="21"/>
                <w:highlight w:val="none"/>
              </w:rPr>
              <w:t>15</w:t>
            </w:r>
            <w:r>
              <w:rPr>
                <w:rFonts w:hint="eastAsia" w:ascii="宋体" w:hAnsi="宋体" w:eastAsia="宋体" w:cs="宋体"/>
                <w:bCs/>
                <w:color w:val="auto"/>
                <w:kern w:val="0"/>
                <w:sz w:val="22"/>
                <w:szCs w:val="21"/>
                <w:highlight w:val="none"/>
              </w:rPr>
              <w:t>分）：实施方案清晰、针对性强，实施计划完整明晰、可操作性强，项目管理组织机构及人员职能清晰可控。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730" w:type="dxa"/>
            <w:vMerge w:val="continue"/>
            <w:vAlign w:val="center"/>
          </w:tcPr>
          <w:p>
            <w:pPr>
              <w:adjustRightInd w:val="0"/>
              <w:spacing w:line="360" w:lineRule="auto"/>
              <w:jc w:val="center"/>
              <w:textAlignment w:val="baseline"/>
              <w:rPr>
                <w:rFonts w:ascii="宋体" w:hAnsi="宋体" w:eastAsia="宋体" w:cs="Times New Roman"/>
                <w:b/>
                <w:color w:val="auto"/>
                <w:szCs w:val="21"/>
                <w:highlight w:val="none"/>
              </w:rPr>
            </w:pPr>
          </w:p>
        </w:tc>
        <w:tc>
          <w:tcPr>
            <w:tcW w:w="1280" w:type="dxa"/>
            <w:vMerge w:val="continue"/>
            <w:vAlign w:val="center"/>
          </w:tcPr>
          <w:p>
            <w:pPr>
              <w:adjustRightInd w:val="0"/>
              <w:spacing w:line="360" w:lineRule="auto"/>
              <w:jc w:val="center"/>
              <w:textAlignment w:val="baseline"/>
              <w:rPr>
                <w:rFonts w:ascii="宋体" w:hAnsi="宋体" w:eastAsia="宋体" w:cs="Times New Roman"/>
                <w:b/>
                <w:color w:val="auto"/>
                <w:szCs w:val="21"/>
                <w:highlight w:val="none"/>
              </w:rPr>
            </w:pPr>
          </w:p>
        </w:tc>
        <w:tc>
          <w:tcPr>
            <w:tcW w:w="709" w:type="dxa"/>
            <w:vMerge w:val="continue"/>
            <w:vAlign w:val="center"/>
          </w:tcPr>
          <w:p>
            <w:pPr>
              <w:adjustRightInd w:val="0"/>
              <w:spacing w:line="360" w:lineRule="auto"/>
              <w:jc w:val="center"/>
              <w:textAlignment w:val="baseline"/>
              <w:rPr>
                <w:rFonts w:ascii="宋体" w:hAnsi="宋体" w:eastAsia="宋体" w:cs="Times New Roman"/>
                <w:b/>
                <w:color w:val="auto"/>
                <w:szCs w:val="21"/>
                <w:highlight w:val="none"/>
              </w:rPr>
            </w:pPr>
          </w:p>
        </w:tc>
        <w:tc>
          <w:tcPr>
            <w:tcW w:w="1559" w:type="dxa"/>
            <w:vAlign w:val="center"/>
          </w:tcPr>
          <w:p>
            <w:pPr>
              <w:autoSpaceDE w:val="0"/>
              <w:autoSpaceDN w:val="0"/>
              <w:adjustRightInd w:val="0"/>
              <w:spacing w:line="360" w:lineRule="auto"/>
              <w:jc w:val="left"/>
              <w:rPr>
                <w:rFonts w:ascii="宋体" w:hAnsi="Times New Roman" w:eastAsia="宋体" w:cs="宋体"/>
                <w:b/>
                <w:color w:val="auto"/>
                <w:kern w:val="0"/>
                <w:sz w:val="22"/>
                <w:szCs w:val="21"/>
                <w:highlight w:val="none"/>
              </w:rPr>
            </w:pPr>
            <w:r>
              <w:rPr>
                <w:rFonts w:hint="eastAsia" w:ascii="宋体" w:hAnsi="宋体" w:eastAsia="宋体" w:cs="宋体"/>
                <w:b/>
                <w:color w:val="auto"/>
                <w:kern w:val="0"/>
                <w:sz w:val="22"/>
                <w:szCs w:val="21"/>
                <w:highlight w:val="none"/>
              </w:rPr>
              <w:t>服务保障方案分（满分</w:t>
            </w:r>
            <w:r>
              <w:rPr>
                <w:rFonts w:ascii="宋体" w:hAnsi="宋体" w:eastAsia="宋体" w:cs="宋体"/>
                <w:b/>
                <w:color w:val="auto"/>
                <w:kern w:val="0"/>
                <w:sz w:val="22"/>
                <w:szCs w:val="21"/>
                <w:highlight w:val="none"/>
              </w:rPr>
              <w:t>15</w:t>
            </w:r>
            <w:r>
              <w:rPr>
                <w:rFonts w:hint="eastAsia" w:ascii="宋体" w:hAnsi="宋体" w:eastAsia="宋体" w:cs="宋体"/>
                <w:b/>
                <w:color w:val="auto"/>
                <w:kern w:val="0"/>
                <w:sz w:val="22"/>
                <w:szCs w:val="21"/>
                <w:highlight w:val="none"/>
              </w:rPr>
              <w:t>分）</w:t>
            </w:r>
          </w:p>
          <w:p>
            <w:pPr>
              <w:spacing w:line="360" w:lineRule="auto"/>
              <w:jc w:val="center"/>
              <w:rPr>
                <w:rFonts w:ascii="宋体" w:hAnsi="宋体" w:eastAsia="宋体" w:cs="宋体"/>
                <w:bCs/>
                <w:color w:val="auto"/>
                <w:szCs w:val="21"/>
                <w:highlight w:val="none"/>
              </w:rPr>
            </w:pPr>
          </w:p>
        </w:tc>
        <w:tc>
          <w:tcPr>
            <w:tcW w:w="5350" w:type="dxa"/>
            <w:vAlign w:val="center"/>
          </w:tcPr>
          <w:p>
            <w:pPr>
              <w:spacing w:line="360" w:lineRule="auto"/>
              <w:ind w:firstLine="440" w:firstLineChars="200"/>
              <w:jc w:val="left"/>
              <w:rPr>
                <w:rFonts w:ascii="宋体" w:hAnsi="Times New Roman" w:eastAsia="宋体" w:cs="宋体"/>
                <w:bCs/>
                <w:color w:val="auto"/>
                <w:kern w:val="0"/>
                <w:sz w:val="22"/>
                <w:szCs w:val="21"/>
                <w:highlight w:val="none"/>
              </w:rPr>
            </w:pPr>
            <w:r>
              <w:rPr>
                <w:rFonts w:hint="eastAsia" w:ascii="宋体" w:hAnsi="宋体" w:eastAsia="宋体" w:cs="宋体"/>
                <w:bCs/>
                <w:color w:val="auto"/>
                <w:kern w:val="0"/>
                <w:sz w:val="22"/>
                <w:szCs w:val="21"/>
                <w:highlight w:val="none"/>
              </w:rPr>
              <w:t>由磋商小组在打分前根据各供应商服务保障方案内容的完整性、可行性、到达突发现场时间、服务优惠及其他优惠确定各供应商所属档次及得分，</w:t>
            </w:r>
            <w:r>
              <w:rPr>
                <w:rFonts w:hint="eastAsia" w:ascii="宋体" w:hAnsi="宋体" w:eastAsia="宋体" w:cs="宋体"/>
                <w:color w:val="auto"/>
                <w:kern w:val="1"/>
                <w:sz w:val="22"/>
                <w:szCs w:val="21"/>
                <w:highlight w:val="none"/>
              </w:rPr>
              <w:t>达不到一档要求或不提供的得0分</w:t>
            </w:r>
          </w:p>
          <w:p>
            <w:pPr>
              <w:spacing w:line="360" w:lineRule="auto"/>
              <w:ind w:firstLine="440" w:firstLineChars="200"/>
              <w:jc w:val="left"/>
              <w:rPr>
                <w:rFonts w:ascii="宋体" w:hAnsi="Times New Roman" w:eastAsia="宋体" w:cs="宋体"/>
                <w:bCs/>
                <w:color w:val="auto"/>
                <w:kern w:val="0"/>
                <w:sz w:val="22"/>
                <w:szCs w:val="21"/>
                <w:highlight w:val="none"/>
              </w:rPr>
            </w:pPr>
            <w:r>
              <w:rPr>
                <w:rFonts w:hint="eastAsia" w:ascii="宋体" w:hAnsi="宋体" w:eastAsia="宋体" w:cs="宋体"/>
                <w:bCs/>
                <w:color w:val="auto"/>
                <w:kern w:val="0"/>
                <w:sz w:val="22"/>
                <w:szCs w:val="21"/>
                <w:highlight w:val="none"/>
              </w:rPr>
              <w:t>一档（</w:t>
            </w:r>
            <w:r>
              <w:rPr>
                <w:rFonts w:ascii="宋体" w:hAnsi="宋体" w:eastAsia="宋体" w:cs="宋体"/>
                <w:bCs/>
                <w:color w:val="auto"/>
                <w:kern w:val="0"/>
                <w:sz w:val="22"/>
                <w:szCs w:val="21"/>
                <w:highlight w:val="none"/>
              </w:rPr>
              <w:t>5</w:t>
            </w:r>
            <w:r>
              <w:rPr>
                <w:rFonts w:hint="eastAsia" w:ascii="宋体" w:hAnsi="宋体" w:eastAsia="宋体" w:cs="宋体"/>
                <w:bCs/>
                <w:color w:val="auto"/>
                <w:kern w:val="0"/>
                <w:sz w:val="22"/>
                <w:szCs w:val="21"/>
                <w:highlight w:val="none"/>
              </w:rPr>
              <w:t>分）：供应商服务保障方案简单、基本满足采购文件要求。</w:t>
            </w:r>
          </w:p>
          <w:p>
            <w:pPr>
              <w:spacing w:line="360" w:lineRule="auto"/>
              <w:ind w:firstLine="440" w:firstLineChars="200"/>
              <w:jc w:val="left"/>
              <w:rPr>
                <w:rFonts w:ascii="宋体" w:hAnsi="Times New Roman" w:eastAsia="宋体" w:cs="宋体"/>
                <w:bCs/>
                <w:color w:val="auto"/>
                <w:kern w:val="0"/>
                <w:sz w:val="22"/>
                <w:szCs w:val="21"/>
                <w:highlight w:val="none"/>
              </w:rPr>
            </w:pPr>
            <w:r>
              <w:rPr>
                <w:rFonts w:hint="eastAsia" w:ascii="宋体" w:hAnsi="宋体" w:eastAsia="宋体" w:cs="宋体"/>
                <w:bCs/>
                <w:color w:val="auto"/>
                <w:kern w:val="0"/>
                <w:sz w:val="22"/>
                <w:szCs w:val="21"/>
                <w:highlight w:val="none"/>
              </w:rPr>
              <w:t>二档（</w:t>
            </w:r>
            <w:r>
              <w:rPr>
                <w:rFonts w:ascii="宋体" w:hAnsi="宋体" w:eastAsia="宋体" w:cs="宋体"/>
                <w:bCs/>
                <w:color w:val="auto"/>
                <w:kern w:val="0"/>
                <w:sz w:val="22"/>
                <w:szCs w:val="21"/>
                <w:highlight w:val="none"/>
              </w:rPr>
              <w:t>10</w:t>
            </w:r>
            <w:r>
              <w:rPr>
                <w:rFonts w:hint="eastAsia" w:ascii="宋体" w:hAnsi="宋体" w:eastAsia="宋体" w:cs="宋体"/>
                <w:bCs/>
                <w:color w:val="auto"/>
                <w:kern w:val="0"/>
                <w:sz w:val="22"/>
                <w:szCs w:val="21"/>
                <w:highlight w:val="none"/>
              </w:rPr>
              <w:t>分）：供应商服务保障方案全面、可行，服务措施到位，能更好地为采购人服务。</w:t>
            </w:r>
          </w:p>
          <w:p>
            <w:pPr>
              <w:spacing w:line="360" w:lineRule="auto"/>
              <w:ind w:firstLine="440" w:firstLineChars="200"/>
              <w:rPr>
                <w:rFonts w:ascii="Times New Roman" w:hAnsi="宋体" w:eastAsia="宋体" w:cs="宋体"/>
                <w:bCs/>
                <w:color w:val="auto"/>
                <w:szCs w:val="24"/>
                <w:highlight w:val="none"/>
              </w:rPr>
            </w:pPr>
            <w:r>
              <w:rPr>
                <w:rFonts w:hint="eastAsia" w:ascii="宋体" w:hAnsi="宋体" w:eastAsia="宋体" w:cs="宋体"/>
                <w:bCs/>
                <w:color w:val="auto"/>
                <w:kern w:val="0"/>
                <w:sz w:val="22"/>
                <w:szCs w:val="21"/>
                <w:highlight w:val="none"/>
              </w:rPr>
              <w:t>三档（15分）：供应商服务保障方案详细、具体、有效，可操作性强，方案包含有项目售后维护、保密承诺及廉洁承诺等，且描述了项目售后维护和应急保障方案的方法以及实现方式 ，服务保障方案机构及联系人、技术人员名单等资料详细，服务承诺和保障措施考虑周全完整，有额外优惠服务。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30" w:type="dxa"/>
            <w:vAlign w:val="center"/>
          </w:tcPr>
          <w:p>
            <w:pPr>
              <w:adjustRightInd w:val="0"/>
              <w:spacing w:line="360" w:lineRule="auto"/>
              <w:jc w:val="center"/>
              <w:textAlignment w:val="baseline"/>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3</w:t>
            </w:r>
          </w:p>
        </w:tc>
        <w:tc>
          <w:tcPr>
            <w:tcW w:w="1280" w:type="dxa"/>
            <w:vAlign w:val="center"/>
          </w:tcPr>
          <w:p>
            <w:pPr>
              <w:adjustRightInd w:val="0"/>
              <w:spacing w:line="360" w:lineRule="auto"/>
              <w:jc w:val="center"/>
              <w:textAlignment w:val="baseline"/>
              <w:rPr>
                <w:rFonts w:ascii="宋体" w:hAnsi="宋体" w:eastAsia="宋体" w:cs="Times New Roman"/>
                <w:b/>
                <w:color w:val="auto"/>
                <w:szCs w:val="21"/>
                <w:highlight w:val="none"/>
              </w:rPr>
            </w:pPr>
            <w:r>
              <w:rPr>
                <w:rFonts w:hint="eastAsia" w:ascii="宋体" w:hAnsi="宋体" w:cs="Times New Roman"/>
                <w:b/>
                <w:color w:val="auto"/>
                <w:szCs w:val="21"/>
                <w:highlight w:val="none"/>
                <w:lang w:eastAsia="zh-CN"/>
              </w:rPr>
              <w:t>商务分</w:t>
            </w:r>
          </w:p>
        </w:tc>
        <w:tc>
          <w:tcPr>
            <w:tcW w:w="709" w:type="dxa"/>
            <w:vAlign w:val="center"/>
          </w:tcPr>
          <w:p>
            <w:pPr>
              <w:adjustRightInd w:val="0"/>
              <w:spacing w:line="360" w:lineRule="auto"/>
              <w:jc w:val="center"/>
              <w:textAlignment w:val="baseline"/>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满分14分</w:t>
            </w:r>
          </w:p>
        </w:tc>
        <w:tc>
          <w:tcPr>
            <w:tcW w:w="6909" w:type="dxa"/>
            <w:gridSpan w:val="2"/>
            <w:vAlign w:val="center"/>
          </w:tcPr>
          <w:p>
            <w:pPr>
              <w:spacing w:line="360" w:lineRule="auto"/>
              <w:jc w:val="left"/>
              <w:rPr>
                <w:rFonts w:ascii="宋体" w:hAnsi="Times New Roman" w:eastAsia="宋体" w:cs="宋体"/>
                <w:bCs/>
                <w:color w:val="auto"/>
                <w:kern w:val="0"/>
                <w:sz w:val="22"/>
                <w:szCs w:val="20"/>
                <w:highlight w:val="none"/>
              </w:rPr>
            </w:pPr>
            <w:r>
              <w:rPr>
                <w:rFonts w:ascii="宋体" w:hAnsi="宋体" w:eastAsia="宋体" w:cs="宋体"/>
                <w:bCs/>
                <w:color w:val="auto"/>
                <w:kern w:val="0"/>
                <w:sz w:val="22"/>
                <w:szCs w:val="21"/>
                <w:highlight w:val="none"/>
              </w:rPr>
              <w:t>1</w:t>
            </w:r>
            <w:r>
              <w:rPr>
                <w:rFonts w:hint="eastAsia" w:ascii="宋体" w:hAnsi="宋体" w:eastAsia="宋体" w:cs="宋体"/>
                <w:bCs/>
                <w:color w:val="auto"/>
                <w:kern w:val="0"/>
                <w:sz w:val="22"/>
                <w:szCs w:val="21"/>
                <w:highlight w:val="none"/>
              </w:rPr>
              <w:t>、</w:t>
            </w:r>
            <w:r>
              <w:rPr>
                <w:rFonts w:hint="eastAsia" w:ascii="宋体" w:hAnsi="宋体" w:eastAsia="宋体" w:cs="宋体"/>
                <w:bCs/>
                <w:color w:val="auto"/>
                <w:kern w:val="0"/>
                <w:sz w:val="22"/>
                <w:szCs w:val="20"/>
                <w:highlight w:val="none"/>
              </w:rPr>
              <w:t>供应商提供</w:t>
            </w:r>
            <w:r>
              <w:rPr>
                <w:rFonts w:ascii="宋体" w:hAnsi="宋体" w:eastAsia="宋体" w:cs="宋体"/>
                <w:bCs/>
                <w:color w:val="auto"/>
                <w:kern w:val="0"/>
                <w:sz w:val="22"/>
                <w:szCs w:val="20"/>
                <w:highlight w:val="none"/>
              </w:rPr>
              <w:t>2021</w:t>
            </w:r>
            <w:r>
              <w:rPr>
                <w:rFonts w:hint="eastAsia" w:ascii="宋体" w:hAnsi="宋体" w:eastAsia="宋体" w:cs="宋体"/>
                <w:bCs/>
                <w:color w:val="auto"/>
                <w:kern w:val="0"/>
                <w:sz w:val="22"/>
                <w:szCs w:val="20"/>
                <w:highlight w:val="none"/>
              </w:rPr>
              <w:t>年以来</w:t>
            </w:r>
            <w:r>
              <w:rPr>
                <w:rFonts w:hint="eastAsia" w:ascii="宋体" w:hAnsi="宋体" w:eastAsia="宋体" w:cs="宋体"/>
                <w:bCs/>
                <w:color w:val="auto"/>
                <w:kern w:val="0"/>
                <w:sz w:val="22"/>
                <w:szCs w:val="21"/>
                <w:highlight w:val="none"/>
              </w:rPr>
              <w:t>类似</w:t>
            </w:r>
            <w:r>
              <w:rPr>
                <w:rFonts w:hint="eastAsia" w:ascii="宋体" w:hAnsi="宋体" w:eastAsia="宋体" w:cs="宋体"/>
                <w:bCs/>
                <w:color w:val="auto"/>
                <w:kern w:val="0"/>
                <w:sz w:val="22"/>
                <w:szCs w:val="20"/>
                <w:highlight w:val="none"/>
              </w:rPr>
              <w:t>项目业绩，每个得</w:t>
            </w:r>
            <w:r>
              <w:rPr>
                <w:rFonts w:ascii="宋体" w:hAnsi="宋体" w:eastAsia="宋体" w:cs="宋体"/>
                <w:bCs/>
                <w:color w:val="auto"/>
                <w:kern w:val="0"/>
                <w:sz w:val="22"/>
                <w:szCs w:val="20"/>
                <w:highlight w:val="none"/>
              </w:rPr>
              <w:t>2</w:t>
            </w:r>
            <w:r>
              <w:rPr>
                <w:rFonts w:hint="eastAsia" w:ascii="宋体" w:hAnsi="宋体" w:eastAsia="宋体" w:cs="宋体"/>
                <w:bCs/>
                <w:color w:val="auto"/>
                <w:kern w:val="0"/>
                <w:sz w:val="22"/>
                <w:szCs w:val="20"/>
                <w:highlight w:val="none"/>
              </w:rPr>
              <w:t>分，</w:t>
            </w:r>
            <w:r>
              <w:rPr>
                <w:rFonts w:hint="eastAsia" w:ascii="宋体" w:hAnsi="宋体" w:eastAsia="宋体" w:cs="宋体"/>
                <w:b/>
                <w:bCs w:val="0"/>
                <w:color w:val="auto"/>
                <w:kern w:val="0"/>
                <w:sz w:val="22"/>
                <w:szCs w:val="20"/>
                <w:highlight w:val="none"/>
              </w:rPr>
              <w:t>满分</w:t>
            </w:r>
            <w:r>
              <w:rPr>
                <w:rFonts w:ascii="宋体" w:hAnsi="宋体" w:eastAsia="宋体" w:cs="宋体"/>
                <w:b/>
                <w:bCs w:val="0"/>
                <w:color w:val="auto"/>
                <w:kern w:val="0"/>
                <w:sz w:val="22"/>
                <w:szCs w:val="20"/>
                <w:highlight w:val="none"/>
              </w:rPr>
              <w:t>10</w:t>
            </w:r>
            <w:r>
              <w:rPr>
                <w:rFonts w:hint="eastAsia" w:ascii="宋体" w:hAnsi="宋体" w:eastAsia="宋体" w:cs="宋体"/>
                <w:b/>
                <w:bCs w:val="0"/>
                <w:color w:val="auto"/>
                <w:kern w:val="0"/>
                <w:sz w:val="22"/>
                <w:szCs w:val="20"/>
                <w:highlight w:val="none"/>
              </w:rPr>
              <w:t>分</w:t>
            </w:r>
            <w:r>
              <w:rPr>
                <w:rFonts w:hint="eastAsia" w:ascii="宋体" w:hAnsi="宋体" w:eastAsia="宋体" w:cs="宋体"/>
                <w:bCs/>
                <w:color w:val="auto"/>
                <w:kern w:val="0"/>
                <w:sz w:val="22"/>
                <w:szCs w:val="20"/>
                <w:highlight w:val="none"/>
              </w:rPr>
              <w:t>（提供合同或中标（成交）通知书复印件</w:t>
            </w:r>
            <w:r>
              <w:rPr>
                <w:rFonts w:hint="eastAsia" w:ascii="宋体" w:hAnsi="宋体" w:eastAsia="宋体" w:cs="宋体"/>
                <w:bCs/>
                <w:color w:val="auto"/>
                <w:kern w:val="0"/>
                <w:sz w:val="22"/>
                <w:szCs w:val="21"/>
                <w:highlight w:val="none"/>
              </w:rPr>
              <w:t>，原件备查，否则不得分</w:t>
            </w:r>
            <w:r>
              <w:rPr>
                <w:rFonts w:hint="eastAsia" w:ascii="宋体" w:hAnsi="宋体" w:eastAsia="宋体" w:cs="宋体"/>
                <w:bCs/>
                <w:color w:val="auto"/>
                <w:kern w:val="0"/>
                <w:sz w:val="22"/>
                <w:szCs w:val="20"/>
                <w:highlight w:val="none"/>
              </w:rPr>
              <w:t>）。</w:t>
            </w:r>
          </w:p>
          <w:p>
            <w:pPr>
              <w:spacing w:line="360" w:lineRule="auto"/>
              <w:jc w:val="left"/>
              <w:rPr>
                <w:rFonts w:ascii="宋体" w:hAnsi="Times New Roman" w:eastAsia="宋体" w:cs="宋体"/>
                <w:bCs/>
                <w:color w:val="auto"/>
                <w:kern w:val="0"/>
                <w:sz w:val="22"/>
                <w:szCs w:val="21"/>
                <w:highlight w:val="none"/>
              </w:rPr>
            </w:pPr>
            <w:r>
              <w:rPr>
                <w:rFonts w:ascii="宋体" w:hAnsi="宋体" w:eastAsia="宋体" w:cs="宋体"/>
                <w:color w:val="auto"/>
                <w:kern w:val="0"/>
                <w:sz w:val="22"/>
                <w:szCs w:val="21"/>
                <w:highlight w:val="none"/>
              </w:rPr>
              <w:t>2</w:t>
            </w:r>
            <w:r>
              <w:rPr>
                <w:rFonts w:hint="eastAsia" w:ascii="宋体" w:hAnsi="宋体" w:eastAsia="宋体" w:cs="宋体"/>
                <w:color w:val="auto"/>
                <w:kern w:val="0"/>
                <w:sz w:val="22"/>
                <w:szCs w:val="21"/>
                <w:highlight w:val="none"/>
              </w:rPr>
              <w:t>、供应商通过</w:t>
            </w:r>
            <w:r>
              <w:rPr>
                <w:rFonts w:ascii="宋体" w:hAnsi="宋体" w:eastAsia="宋体" w:cs="宋体"/>
                <w:color w:val="auto"/>
                <w:kern w:val="0"/>
                <w:sz w:val="22"/>
                <w:szCs w:val="21"/>
                <w:highlight w:val="none"/>
              </w:rPr>
              <w:t>ISO9001</w:t>
            </w:r>
            <w:r>
              <w:rPr>
                <w:rFonts w:hint="eastAsia" w:ascii="宋体" w:hAnsi="宋体" w:eastAsia="宋体" w:cs="宋体"/>
                <w:color w:val="auto"/>
                <w:kern w:val="0"/>
                <w:sz w:val="22"/>
                <w:szCs w:val="21"/>
                <w:highlight w:val="none"/>
              </w:rPr>
              <w:t>质量管理标准认证，得</w:t>
            </w:r>
            <w:r>
              <w:rPr>
                <w:rFonts w:ascii="宋体" w:hAnsi="宋体" w:eastAsia="宋体" w:cs="宋体"/>
                <w:color w:val="auto"/>
                <w:kern w:val="0"/>
                <w:sz w:val="22"/>
                <w:szCs w:val="21"/>
                <w:highlight w:val="none"/>
              </w:rPr>
              <w:t>1</w:t>
            </w:r>
            <w:r>
              <w:rPr>
                <w:rFonts w:hint="eastAsia" w:ascii="宋体" w:hAnsi="宋体" w:eastAsia="宋体" w:cs="宋体"/>
                <w:color w:val="auto"/>
                <w:kern w:val="0"/>
                <w:sz w:val="22"/>
                <w:szCs w:val="21"/>
                <w:highlight w:val="none"/>
              </w:rPr>
              <w:t>分，</w:t>
            </w:r>
            <w:r>
              <w:rPr>
                <w:rFonts w:hint="eastAsia" w:ascii="宋体" w:hAnsi="宋体" w:eastAsia="宋体" w:cs="宋体"/>
                <w:b/>
                <w:bCs/>
                <w:color w:val="auto"/>
                <w:kern w:val="0"/>
                <w:sz w:val="22"/>
                <w:szCs w:val="21"/>
                <w:highlight w:val="none"/>
              </w:rPr>
              <w:t>满分</w:t>
            </w:r>
            <w:r>
              <w:rPr>
                <w:rFonts w:ascii="宋体" w:hAnsi="宋体" w:eastAsia="宋体" w:cs="宋体"/>
                <w:b/>
                <w:bCs/>
                <w:color w:val="auto"/>
                <w:kern w:val="0"/>
                <w:sz w:val="22"/>
                <w:szCs w:val="21"/>
                <w:highlight w:val="none"/>
              </w:rPr>
              <w:t>1</w:t>
            </w:r>
            <w:r>
              <w:rPr>
                <w:rFonts w:hint="eastAsia" w:ascii="宋体" w:hAnsi="宋体" w:eastAsia="宋体" w:cs="宋体"/>
                <w:b/>
                <w:bCs/>
                <w:color w:val="auto"/>
                <w:kern w:val="0"/>
                <w:sz w:val="22"/>
                <w:szCs w:val="21"/>
                <w:highlight w:val="none"/>
              </w:rPr>
              <w:t>分</w:t>
            </w:r>
            <w:r>
              <w:rPr>
                <w:rFonts w:hint="eastAsia" w:ascii="宋体" w:hAnsi="宋体" w:eastAsia="宋体" w:cs="宋体"/>
                <w:color w:val="auto"/>
                <w:kern w:val="0"/>
                <w:sz w:val="22"/>
                <w:szCs w:val="21"/>
                <w:highlight w:val="none"/>
              </w:rPr>
              <w:t>。</w:t>
            </w:r>
          </w:p>
          <w:p>
            <w:pPr>
              <w:spacing w:line="360" w:lineRule="auto"/>
              <w:jc w:val="left"/>
              <w:rPr>
                <w:rFonts w:ascii="宋体" w:hAnsi="Times New Roman" w:eastAsia="宋体" w:cs="宋体"/>
                <w:color w:val="auto"/>
                <w:kern w:val="0"/>
                <w:sz w:val="22"/>
                <w:szCs w:val="21"/>
                <w:highlight w:val="none"/>
              </w:rPr>
            </w:pPr>
            <w:r>
              <w:rPr>
                <w:rFonts w:ascii="宋体" w:hAnsi="宋体" w:eastAsia="宋体" w:cs="宋体"/>
                <w:color w:val="auto"/>
                <w:kern w:val="0"/>
                <w:sz w:val="22"/>
                <w:szCs w:val="21"/>
                <w:highlight w:val="none"/>
              </w:rPr>
              <w:t>3</w:t>
            </w:r>
            <w:r>
              <w:rPr>
                <w:rFonts w:hint="eastAsia" w:ascii="宋体" w:hAnsi="宋体" w:eastAsia="宋体" w:cs="宋体"/>
                <w:color w:val="auto"/>
                <w:kern w:val="0"/>
                <w:sz w:val="22"/>
                <w:szCs w:val="21"/>
                <w:highlight w:val="none"/>
              </w:rPr>
              <w:t>、供应商获得科学技术奖荣誉证书，得</w:t>
            </w:r>
            <w:r>
              <w:rPr>
                <w:rFonts w:ascii="宋体" w:hAnsi="宋体" w:eastAsia="宋体" w:cs="宋体"/>
                <w:color w:val="auto"/>
                <w:kern w:val="0"/>
                <w:sz w:val="22"/>
                <w:szCs w:val="21"/>
                <w:highlight w:val="none"/>
              </w:rPr>
              <w:t>2</w:t>
            </w:r>
            <w:r>
              <w:rPr>
                <w:rFonts w:hint="eastAsia" w:ascii="宋体" w:hAnsi="宋体" w:eastAsia="宋体" w:cs="宋体"/>
                <w:color w:val="auto"/>
                <w:kern w:val="0"/>
                <w:sz w:val="22"/>
                <w:szCs w:val="21"/>
                <w:highlight w:val="none"/>
              </w:rPr>
              <w:t>分，</w:t>
            </w:r>
            <w:r>
              <w:rPr>
                <w:rFonts w:hint="eastAsia" w:ascii="宋体" w:hAnsi="宋体" w:eastAsia="宋体" w:cs="宋体"/>
                <w:b/>
                <w:bCs/>
                <w:color w:val="auto"/>
                <w:kern w:val="0"/>
                <w:sz w:val="22"/>
                <w:szCs w:val="21"/>
                <w:highlight w:val="none"/>
              </w:rPr>
              <w:t>满分</w:t>
            </w:r>
            <w:r>
              <w:rPr>
                <w:rFonts w:ascii="宋体" w:hAnsi="宋体" w:eastAsia="宋体" w:cs="宋体"/>
                <w:b/>
                <w:bCs/>
                <w:color w:val="auto"/>
                <w:kern w:val="0"/>
                <w:sz w:val="22"/>
                <w:szCs w:val="21"/>
                <w:highlight w:val="none"/>
              </w:rPr>
              <w:t>2</w:t>
            </w:r>
            <w:r>
              <w:rPr>
                <w:rFonts w:hint="eastAsia" w:ascii="宋体" w:hAnsi="宋体" w:eastAsia="宋体" w:cs="宋体"/>
                <w:b/>
                <w:bCs/>
                <w:color w:val="auto"/>
                <w:kern w:val="0"/>
                <w:sz w:val="22"/>
                <w:szCs w:val="21"/>
                <w:highlight w:val="none"/>
              </w:rPr>
              <w:t>分</w:t>
            </w:r>
            <w:r>
              <w:rPr>
                <w:rFonts w:hint="eastAsia" w:ascii="宋体" w:hAnsi="宋体" w:eastAsia="宋体" w:cs="宋体"/>
                <w:color w:val="auto"/>
                <w:kern w:val="0"/>
                <w:sz w:val="22"/>
                <w:szCs w:val="21"/>
                <w:highlight w:val="none"/>
              </w:rPr>
              <w:t>。</w:t>
            </w:r>
          </w:p>
          <w:p>
            <w:pPr>
              <w:spacing w:line="360" w:lineRule="auto"/>
              <w:jc w:val="left"/>
              <w:rPr>
                <w:rFonts w:ascii="宋体" w:hAnsi="宋体" w:eastAsia="宋体" w:cs="宋体"/>
                <w:color w:val="auto"/>
                <w:kern w:val="0"/>
                <w:sz w:val="22"/>
                <w:szCs w:val="21"/>
                <w:highlight w:val="none"/>
              </w:rPr>
            </w:pPr>
            <w:r>
              <w:rPr>
                <w:rFonts w:ascii="宋体" w:hAnsi="宋体" w:eastAsia="宋体" w:cs="宋体"/>
                <w:color w:val="auto"/>
                <w:kern w:val="0"/>
                <w:sz w:val="22"/>
                <w:szCs w:val="21"/>
                <w:highlight w:val="none"/>
              </w:rPr>
              <w:t>4</w:t>
            </w:r>
            <w:r>
              <w:rPr>
                <w:rFonts w:hint="eastAsia" w:ascii="宋体" w:hAnsi="宋体" w:eastAsia="宋体" w:cs="宋体"/>
                <w:color w:val="auto"/>
                <w:kern w:val="0"/>
                <w:sz w:val="22"/>
                <w:szCs w:val="21"/>
                <w:highlight w:val="none"/>
              </w:rPr>
              <w:t>、供应商具</w:t>
            </w:r>
            <w:r>
              <w:rPr>
                <w:rFonts w:hint="eastAsia" w:ascii="宋体" w:hAnsi="宋体" w:cs="宋体"/>
                <w:color w:val="auto"/>
                <w:kern w:val="0"/>
                <w:sz w:val="22"/>
                <w:szCs w:val="21"/>
                <w:highlight w:val="none"/>
                <w:lang w:eastAsia="zh-CN"/>
              </w:rPr>
              <w:t>有</w:t>
            </w:r>
            <w:r>
              <w:rPr>
                <w:rFonts w:hint="eastAsia" w:ascii="宋体" w:hAnsi="宋体" w:eastAsia="宋体" w:cs="宋体"/>
                <w:color w:val="auto"/>
                <w:kern w:val="0"/>
                <w:sz w:val="22"/>
                <w:szCs w:val="21"/>
                <w:highlight w:val="none"/>
              </w:rPr>
              <w:t>信息系统运行维护</w:t>
            </w:r>
            <w:r>
              <w:rPr>
                <w:rFonts w:hint="eastAsia" w:ascii="宋体" w:hAnsi="宋体" w:cs="宋体"/>
                <w:color w:val="auto"/>
                <w:kern w:val="0"/>
                <w:sz w:val="22"/>
                <w:szCs w:val="21"/>
                <w:highlight w:val="none"/>
                <w:lang w:eastAsia="zh-CN"/>
              </w:rPr>
              <w:t>能力证书</w:t>
            </w:r>
            <w:r>
              <w:rPr>
                <w:rFonts w:hint="eastAsia" w:ascii="宋体" w:hAnsi="宋体" w:eastAsia="宋体" w:cs="宋体"/>
                <w:color w:val="auto"/>
                <w:kern w:val="0"/>
                <w:sz w:val="22"/>
                <w:szCs w:val="21"/>
                <w:highlight w:val="none"/>
              </w:rPr>
              <w:t>得</w:t>
            </w:r>
            <w:r>
              <w:rPr>
                <w:rFonts w:ascii="宋体" w:hAnsi="宋体" w:eastAsia="宋体" w:cs="宋体"/>
                <w:color w:val="auto"/>
                <w:kern w:val="0"/>
                <w:sz w:val="22"/>
                <w:szCs w:val="21"/>
                <w:highlight w:val="none"/>
              </w:rPr>
              <w:t>1</w:t>
            </w:r>
            <w:r>
              <w:rPr>
                <w:rFonts w:hint="eastAsia" w:ascii="宋体" w:hAnsi="宋体" w:eastAsia="宋体" w:cs="宋体"/>
                <w:color w:val="auto"/>
                <w:kern w:val="0"/>
                <w:sz w:val="22"/>
                <w:szCs w:val="21"/>
                <w:highlight w:val="none"/>
              </w:rPr>
              <w:t>分，</w:t>
            </w:r>
            <w:r>
              <w:rPr>
                <w:rFonts w:hint="eastAsia" w:ascii="宋体" w:hAnsi="宋体" w:eastAsia="宋体" w:cs="宋体"/>
                <w:b/>
                <w:bCs/>
                <w:color w:val="auto"/>
                <w:kern w:val="0"/>
                <w:sz w:val="22"/>
                <w:szCs w:val="21"/>
                <w:highlight w:val="none"/>
              </w:rPr>
              <w:t>满分</w:t>
            </w:r>
            <w:r>
              <w:rPr>
                <w:rFonts w:ascii="宋体" w:hAnsi="宋体" w:eastAsia="宋体" w:cs="宋体"/>
                <w:b/>
                <w:bCs/>
                <w:color w:val="auto"/>
                <w:kern w:val="0"/>
                <w:sz w:val="22"/>
                <w:szCs w:val="21"/>
                <w:highlight w:val="none"/>
              </w:rPr>
              <w:t>1</w:t>
            </w:r>
            <w:r>
              <w:rPr>
                <w:rFonts w:hint="eastAsia" w:ascii="宋体" w:hAnsi="宋体" w:eastAsia="宋体" w:cs="宋体"/>
                <w:b/>
                <w:bCs/>
                <w:color w:val="auto"/>
                <w:kern w:val="0"/>
                <w:sz w:val="22"/>
                <w:szCs w:val="21"/>
                <w:highlight w:val="none"/>
              </w:rPr>
              <w:t>分</w:t>
            </w:r>
            <w:r>
              <w:rPr>
                <w:rFonts w:hint="eastAsia" w:ascii="宋体" w:hAnsi="宋体" w:eastAsia="宋体" w:cs="宋体"/>
                <w:color w:val="auto"/>
                <w:kern w:val="0"/>
                <w:sz w:val="22"/>
                <w:szCs w:val="21"/>
                <w:highlight w:val="none"/>
              </w:rPr>
              <w:t>。</w:t>
            </w:r>
          </w:p>
          <w:p>
            <w:pPr>
              <w:spacing w:line="360" w:lineRule="auto"/>
              <w:jc w:val="left"/>
              <w:rPr>
                <w:rFonts w:ascii="宋体" w:hAnsi="Times New Roman" w:eastAsia="宋体" w:cs="宋体"/>
                <w:color w:val="auto"/>
                <w:kern w:val="0"/>
                <w:sz w:val="22"/>
                <w:szCs w:val="21"/>
                <w:highlight w:val="none"/>
              </w:rPr>
            </w:pPr>
            <w:r>
              <w:rPr>
                <w:rFonts w:hint="eastAsia" w:ascii="宋体" w:hAnsi="宋体" w:eastAsia="宋体" w:cs="Times New Roman"/>
                <w:bCs/>
                <w:color w:val="auto"/>
                <w:kern w:val="0"/>
                <w:sz w:val="22"/>
                <w:szCs w:val="24"/>
                <w:highlight w:val="none"/>
              </w:rPr>
              <w:t>以上材料须提供复印件加盖公章。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28" w:type="dxa"/>
            <w:gridSpan w:val="5"/>
            <w:vAlign w:val="center"/>
          </w:tcPr>
          <w:p>
            <w:pPr>
              <w:spacing w:line="360" w:lineRule="auto"/>
              <w:rPr>
                <w:rFonts w:ascii="宋体" w:hAnsi="宋体" w:eastAsia="宋体" w:cs="Courier New"/>
                <w:bCs/>
                <w:color w:val="auto"/>
                <w:szCs w:val="21"/>
                <w:highlight w:val="none"/>
              </w:rPr>
            </w:pPr>
            <w:r>
              <w:rPr>
                <w:rFonts w:hint="eastAsia" w:ascii="宋体" w:hAnsi="宋体" w:eastAsia="宋体" w:cs="Courier New"/>
                <w:b/>
                <w:bCs/>
                <w:color w:val="auto"/>
                <w:szCs w:val="21"/>
                <w:highlight w:val="none"/>
              </w:rPr>
              <w:t>总得分=1+2+3。</w:t>
            </w:r>
          </w:p>
        </w:tc>
      </w:tr>
    </w:tbl>
    <w:p>
      <w:pPr>
        <w:rPr>
          <w:rFonts w:hint="eastAsia" w:ascii="宋体" w:hAnsi="宋体" w:cs="宋体"/>
          <w:bCs/>
          <w:color w:val="auto"/>
          <w:szCs w:val="21"/>
          <w:highlight w:val="none"/>
        </w:rPr>
      </w:pPr>
    </w:p>
    <w:p>
      <w:pPr>
        <w:rPr>
          <w:rFonts w:hint="default" w:ascii="宋体" w:hAnsi="宋体" w:eastAsia="宋体" w:cs="宋体"/>
          <w:b/>
          <w:bCs w:val="0"/>
          <w:color w:val="auto"/>
          <w:highlight w:val="none"/>
          <w:lang w:val="en-US" w:eastAsia="zh-CN"/>
        </w:rPr>
      </w:pPr>
      <w:r>
        <w:rPr>
          <w:rFonts w:hint="eastAsia" w:ascii="宋体" w:hAnsi="宋体" w:cs="宋体"/>
          <w:b/>
          <w:bCs w:val="0"/>
          <w:color w:val="auto"/>
          <w:szCs w:val="21"/>
          <w:highlight w:val="none"/>
          <w:lang w:eastAsia="zh-CN"/>
        </w:rPr>
        <w:t>分标</w:t>
      </w:r>
      <w:r>
        <w:rPr>
          <w:rFonts w:hint="eastAsia" w:ascii="宋体" w:hAnsi="宋体" w:cs="宋体"/>
          <w:b/>
          <w:bCs w:val="0"/>
          <w:color w:val="auto"/>
          <w:szCs w:val="21"/>
          <w:highlight w:val="none"/>
          <w:lang w:val="en-US" w:eastAsia="zh-CN"/>
        </w:rPr>
        <w:t>8：</w:t>
      </w:r>
    </w:p>
    <w:tbl>
      <w:tblPr>
        <w:tblStyle w:val="30"/>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1280"/>
        <w:gridCol w:w="709"/>
        <w:gridCol w:w="1559"/>
        <w:gridCol w:w="5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730" w:type="dxa"/>
            <w:vAlign w:val="center"/>
          </w:tcPr>
          <w:p>
            <w:pPr>
              <w:adjustRightInd w:val="0"/>
              <w:spacing w:line="410" w:lineRule="exact"/>
              <w:jc w:val="center"/>
              <w:textAlignment w:val="baseline"/>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序号</w:t>
            </w:r>
          </w:p>
        </w:tc>
        <w:tc>
          <w:tcPr>
            <w:tcW w:w="1280" w:type="dxa"/>
            <w:vAlign w:val="center"/>
          </w:tcPr>
          <w:p>
            <w:pPr>
              <w:adjustRightInd w:val="0"/>
              <w:spacing w:line="410" w:lineRule="exact"/>
              <w:jc w:val="center"/>
              <w:textAlignment w:val="baseline"/>
              <w:rPr>
                <w:rFonts w:ascii="宋体" w:hAnsi="宋体" w:eastAsia="宋体" w:cs="Times New Roman"/>
                <w:color w:val="auto"/>
                <w:szCs w:val="21"/>
                <w:highlight w:val="none"/>
              </w:rPr>
            </w:pPr>
            <w:r>
              <w:rPr>
                <w:rFonts w:hint="eastAsia" w:ascii="宋体" w:hAnsi="宋体" w:eastAsia="宋体" w:cs="Times New Roman"/>
                <w:b/>
                <w:color w:val="auto"/>
                <w:szCs w:val="21"/>
                <w:highlight w:val="none"/>
              </w:rPr>
              <w:t>评审因素</w:t>
            </w:r>
          </w:p>
        </w:tc>
        <w:tc>
          <w:tcPr>
            <w:tcW w:w="709" w:type="dxa"/>
            <w:vAlign w:val="center"/>
          </w:tcPr>
          <w:p>
            <w:pPr>
              <w:adjustRightInd w:val="0"/>
              <w:spacing w:line="410" w:lineRule="exact"/>
              <w:jc w:val="center"/>
              <w:textAlignment w:val="baseline"/>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分值</w:t>
            </w:r>
          </w:p>
        </w:tc>
        <w:tc>
          <w:tcPr>
            <w:tcW w:w="6909" w:type="dxa"/>
            <w:gridSpan w:val="2"/>
            <w:vAlign w:val="center"/>
          </w:tcPr>
          <w:p>
            <w:pPr>
              <w:adjustRightInd w:val="0"/>
              <w:spacing w:line="410" w:lineRule="exact"/>
              <w:jc w:val="center"/>
              <w:textAlignment w:val="baseline"/>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评标标准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30" w:type="dxa"/>
            <w:vAlign w:val="center"/>
          </w:tcPr>
          <w:p>
            <w:pPr>
              <w:adjustRightInd w:val="0"/>
              <w:spacing w:line="360" w:lineRule="auto"/>
              <w:jc w:val="center"/>
              <w:textAlignment w:val="baseline"/>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1</w:t>
            </w:r>
          </w:p>
        </w:tc>
        <w:tc>
          <w:tcPr>
            <w:tcW w:w="1280" w:type="dxa"/>
            <w:vAlign w:val="center"/>
          </w:tcPr>
          <w:p>
            <w:pPr>
              <w:adjustRightInd w:val="0"/>
              <w:spacing w:line="360" w:lineRule="auto"/>
              <w:jc w:val="center"/>
              <w:textAlignment w:val="baseline"/>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报价</w:t>
            </w:r>
          </w:p>
        </w:tc>
        <w:tc>
          <w:tcPr>
            <w:tcW w:w="709" w:type="dxa"/>
            <w:vAlign w:val="center"/>
          </w:tcPr>
          <w:p>
            <w:pPr>
              <w:adjustRightInd w:val="0"/>
              <w:spacing w:line="360" w:lineRule="auto"/>
              <w:jc w:val="center"/>
              <w:textAlignment w:val="baseline"/>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满分20分</w:t>
            </w:r>
          </w:p>
        </w:tc>
        <w:tc>
          <w:tcPr>
            <w:tcW w:w="6909" w:type="dxa"/>
            <w:gridSpan w:val="2"/>
            <w:vAlign w:val="center"/>
          </w:tcPr>
          <w:p>
            <w:pPr>
              <w:pStyle w:val="18"/>
              <w:spacing w:line="360" w:lineRule="auto"/>
              <w:rPr>
                <w:rFonts w:hAnsi="宋体" w:cs="Courier New"/>
                <w:b/>
                <w:bCs/>
                <w:color w:val="auto"/>
                <w:kern w:val="2"/>
                <w:sz w:val="21"/>
                <w:highlight w:val="none"/>
              </w:rPr>
            </w:pPr>
            <w:r>
              <w:rPr>
                <w:rFonts w:hint="eastAsia" w:hAnsi="宋体" w:cs="Courier New"/>
                <w:b/>
                <w:bCs/>
                <w:color w:val="auto"/>
                <w:kern w:val="2"/>
                <w:sz w:val="21"/>
                <w:highlight w:val="none"/>
              </w:rPr>
              <w:t>一、政府采购政策</w:t>
            </w:r>
          </w:p>
          <w:p>
            <w:pPr>
              <w:pStyle w:val="18"/>
              <w:spacing w:line="360" w:lineRule="auto"/>
              <w:ind w:firstLine="420" w:firstLineChars="200"/>
              <w:rPr>
                <w:rFonts w:hAnsi="宋体" w:cs="Courier New"/>
                <w:b/>
                <w:bCs/>
                <w:color w:val="auto"/>
                <w:kern w:val="2"/>
                <w:sz w:val="21"/>
                <w:highlight w:val="none"/>
              </w:rPr>
            </w:pPr>
            <w:r>
              <w:rPr>
                <w:rFonts w:hint="eastAsia" w:hAnsi="宋体"/>
                <w:bCs/>
                <w:color w:val="auto"/>
                <w:sz w:val="21"/>
                <w:highlight w:val="none"/>
              </w:rPr>
              <w:t>本项目属于专门面向中小企业采购的项目，不再享受价格扣除优惠政策。</w:t>
            </w:r>
            <w:bookmarkStart w:id="160" w:name="_GoBack"/>
            <w:bookmarkEnd w:id="160"/>
          </w:p>
          <w:p>
            <w:pPr>
              <w:pStyle w:val="18"/>
              <w:spacing w:line="360" w:lineRule="auto"/>
              <w:rPr>
                <w:rFonts w:hAnsi="宋体"/>
                <w:b/>
                <w:color w:val="auto"/>
                <w:sz w:val="21"/>
                <w:highlight w:val="none"/>
              </w:rPr>
            </w:pPr>
            <w:r>
              <w:rPr>
                <w:rFonts w:hint="eastAsia" w:hAnsi="宋体" w:cs="Courier New"/>
                <w:b/>
                <w:bCs/>
                <w:color w:val="auto"/>
                <w:kern w:val="2"/>
                <w:sz w:val="21"/>
                <w:highlight w:val="none"/>
              </w:rPr>
              <w:t>二、</w:t>
            </w:r>
            <w:r>
              <w:rPr>
                <w:rFonts w:hint="eastAsia" w:hAnsi="宋体"/>
                <w:b/>
                <w:color w:val="auto"/>
                <w:sz w:val="21"/>
                <w:highlight w:val="none"/>
              </w:rPr>
              <w:t>报价分（满分</w:t>
            </w:r>
            <w:r>
              <w:rPr>
                <w:rFonts w:hint="eastAsia" w:hAnsi="宋体"/>
                <w:b/>
                <w:color w:val="auto"/>
                <w:sz w:val="21"/>
                <w:highlight w:val="none"/>
                <w:lang w:val="en-US" w:eastAsia="zh-CN"/>
              </w:rPr>
              <w:t>2</w:t>
            </w:r>
            <w:r>
              <w:rPr>
                <w:rFonts w:hint="eastAsia" w:hAnsi="宋体"/>
                <w:b/>
                <w:color w:val="auto"/>
                <w:sz w:val="21"/>
                <w:highlight w:val="none"/>
              </w:rPr>
              <w:t>0分）</w:t>
            </w:r>
          </w:p>
          <w:p>
            <w:pPr>
              <w:pStyle w:val="18"/>
              <w:spacing w:line="360" w:lineRule="auto"/>
              <w:ind w:firstLine="420" w:firstLineChars="200"/>
              <w:rPr>
                <w:rFonts w:hAnsi="宋体"/>
                <w:bCs/>
                <w:color w:val="auto"/>
                <w:sz w:val="21"/>
                <w:highlight w:val="none"/>
              </w:rPr>
            </w:pPr>
            <w:r>
              <w:rPr>
                <w:rFonts w:hint="eastAsia" w:hAnsi="宋体"/>
                <w:bCs/>
                <w:color w:val="auto"/>
                <w:sz w:val="21"/>
                <w:highlight w:val="none"/>
              </w:rPr>
              <w:t>1、报价分采用低价优先法计算，满足竞争性磋商文件要求的有效供应商最低的最后报价为评标基准价，其报价分为满分。</w:t>
            </w:r>
          </w:p>
          <w:p>
            <w:pPr>
              <w:pStyle w:val="18"/>
              <w:spacing w:line="360" w:lineRule="auto"/>
              <w:ind w:firstLine="420" w:firstLineChars="200"/>
              <w:rPr>
                <w:rFonts w:hAnsi="宋体"/>
                <w:bCs/>
                <w:color w:val="auto"/>
                <w:sz w:val="21"/>
                <w:highlight w:val="none"/>
              </w:rPr>
            </w:pPr>
            <w:r>
              <w:rPr>
                <w:rFonts w:hint="eastAsia" w:hAnsi="宋体"/>
                <w:bCs/>
                <w:color w:val="auto"/>
                <w:sz w:val="21"/>
                <w:highlight w:val="none"/>
              </w:rPr>
              <w:t>2、其他供应商的价格分统一按照下列公式计算：</w:t>
            </w:r>
          </w:p>
          <w:p>
            <w:pPr>
              <w:spacing w:line="420" w:lineRule="exact"/>
              <w:rPr>
                <w:rFonts w:ascii="宋体" w:hAnsi="宋体" w:eastAsia="宋体" w:cs="Courier New"/>
                <w:bCs/>
                <w:color w:val="auto"/>
                <w:szCs w:val="21"/>
                <w:highlight w:val="none"/>
              </w:rPr>
            </w:pPr>
            <w:r>
              <w:rPr>
                <w:rFonts w:hint="eastAsia" w:hAnsi="宋体"/>
                <w:bCs/>
                <w:color w:val="auto"/>
                <w:sz w:val="21"/>
                <w:highlight w:val="none"/>
              </w:rPr>
              <w:t>某有效供应商的报价分=（评标基准价／某有效供应商最后报价）×</w:t>
            </w:r>
            <w:r>
              <w:rPr>
                <w:rFonts w:hint="eastAsia" w:hAnsi="宋体"/>
                <w:bCs/>
                <w:color w:val="auto"/>
                <w:sz w:val="21"/>
                <w:highlight w:val="none"/>
                <w:lang w:val="en-US" w:eastAsia="zh-CN"/>
              </w:rPr>
              <w:t>2</w:t>
            </w:r>
            <w:r>
              <w:rPr>
                <w:rFonts w:hint="eastAsia" w:hAnsi="宋体"/>
                <w:bCs/>
                <w:color w:val="auto"/>
                <w:sz w:val="21"/>
                <w:highlight w:val="none"/>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30" w:type="dxa"/>
            <w:vMerge w:val="restart"/>
            <w:vAlign w:val="center"/>
          </w:tcPr>
          <w:p>
            <w:pPr>
              <w:adjustRightInd w:val="0"/>
              <w:spacing w:line="360" w:lineRule="auto"/>
              <w:jc w:val="center"/>
              <w:textAlignment w:val="baseline"/>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2</w:t>
            </w:r>
          </w:p>
        </w:tc>
        <w:tc>
          <w:tcPr>
            <w:tcW w:w="1280" w:type="dxa"/>
            <w:vMerge w:val="restart"/>
            <w:vAlign w:val="center"/>
          </w:tcPr>
          <w:p>
            <w:pPr>
              <w:adjustRightInd w:val="0"/>
              <w:spacing w:line="360" w:lineRule="auto"/>
              <w:jc w:val="center"/>
              <w:textAlignment w:val="baseline"/>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服务水平</w:t>
            </w:r>
          </w:p>
        </w:tc>
        <w:tc>
          <w:tcPr>
            <w:tcW w:w="709" w:type="dxa"/>
            <w:vMerge w:val="restart"/>
            <w:vAlign w:val="center"/>
          </w:tcPr>
          <w:p>
            <w:pPr>
              <w:adjustRightInd w:val="0"/>
              <w:spacing w:line="360" w:lineRule="auto"/>
              <w:textAlignment w:val="baseline"/>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满分66分</w:t>
            </w:r>
          </w:p>
        </w:tc>
        <w:tc>
          <w:tcPr>
            <w:tcW w:w="1559" w:type="dxa"/>
            <w:vAlign w:val="center"/>
          </w:tcPr>
          <w:p>
            <w:pPr>
              <w:autoSpaceDE w:val="0"/>
              <w:autoSpaceDN w:val="0"/>
              <w:adjustRightInd w:val="0"/>
              <w:spacing w:line="360" w:lineRule="auto"/>
              <w:jc w:val="center"/>
              <w:rPr>
                <w:rFonts w:ascii="宋体" w:hAnsi="宋体" w:eastAsia="宋体" w:cs="宋体"/>
                <w:bCs/>
                <w:color w:val="auto"/>
                <w:szCs w:val="21"/>
                <w:highlight w:val="none"/>
              </w:rPr>
            </w:pPr>
            <w:r>
              <w:rPr>
                <w:rFonts w:hint="eastAsia" w:ascii="宋体" w:hAnsi="宋体" w:eastAsia="宋体" w:cs="宋体"/>
                <w:b/>
                <w:color w:val="auto"/>
                <w:kern w:val="0"/>
                <w:sz w:val="22"/>
                <w:szCs w:val="21"/>
                <w:highlight w:val="none"/>
              </w:rPr>
              <w:t>服务方案分（满分</w:t>
            </w:r>
            <w:r>
              <w:rPr>
                <w:rFonts w:ascii="宋体" w:hAnsi="宋体" w:eastAsia="宋体" w:cs="宋体"/>
                <w:b/>
                <w:color w:val="auto"/>
                <w:kern w:val="0"/>
                <w:sz w:val="22"/>
                <w:szCs w:val="21"/>
                <w:highlight w:val="none"/>
              </w:rPr>
              <w:t>24</w:t>
            </w:r>
            <w:r>
              <w:rPr>
                <w:rFonts w:hint="eastAsia" w:ascii="宋体" w:hAnsi="宋体" w:eastAsia="宋体" w:cs="宋体"/>
                <w:b/>
                <w:color w:val="auto"/>
                <w:kern w:val="0"/>
                <w:sz w:val="22"/>
                <w:szCs w:val="21"/>
                <w:highlight w:val="none"/>
              </w:rPr>
              <w:t>分）</w:t>
            </w:r>
          </w:p>
        </w:tc>
        <w:tc>
          <w:tcPr>
            <w:tcW w:w="5350" w:type="dxa"/>
            <w:vAlign w:val="center"/>
          </w:tcPr>
          <w:p>
            <w:pPr>
              <w:autoSpaceDE w:val="0"/>
              <w:autoSpaceDN w:val="0"/>
              <w:adjustRightInd w:val="0"/>
              <w:spacing w:line="360" w:lineRule="auto"/>
              <w:ind w:firstLine="420"/>
              <w:jc w:val="left"/>
              <w:rPr>
                <w:rFonts w:ascii="宋体" w:hAnsi="Times New Roman" w:eastAsia="宋体" w:cs="宋体"/>
                <w:bCs/>
                <w:color w:val="auto"/>
                <w:kern w:val="0"/>
                <w:sz w:val="22"/>
                <w:szCs w:val="21"/>
                <w:highlight w:val="none"/>
              </w:rPr>
            </w:pPr>
            <w:r>
              <w:rPr>
                <w:rFonts w:ascii="宋体" w:hAnsi="宋体" w:eastAsia="宋体" w:cs="宋体"/>
                <w:bCs/>
                <w:color w:val="auto"/>
                <w:kern w:val="0"/>
                <w:sz w:val="22"/>
                <w:szCs w:val="21"/>
                <w:highlight w:val="none"/>
              </w:rPr>
              <w:t xml:space="preserve"> </w:t>
            </w:r>
            <w:r>
              <w:rPr>
                <w:rFonts w:hint="eastAsia" w:ascii="宋体" w:hAnsi="宋体" w:eastAsia="宋体" w:cs="宋体"/>
                <w:bCs/>
                <w:color w:val="auto"/>
                <w:kern w:val="0"/>
                <w:sz w:val="22"/>
                <w:szCs w:val="20"/>
                <w:highlight w:val="none"/>
              </w:rPr>
              <w:t>由磋商小组在打分前根据各供应商的服务方案确定各供应商所属档次及得分。</w:t>
            </w:r>
            <w:r>
              <w:rPr>
                <w:rFonts w:hint="eastAsia" w:ascii="宋体" w:hAnsi="宋体" w:eastAsia="宋体" w:cs="宋体"/>
                <w:color w:val="auto"/>
                <w:kern w:val="1"/>
                <w:sz w:val="22"/>
                <w:szCs w:val="21"/>
                <w:highlight w:val="none"/>
              </w:rPr>
              <w:t>达不到一档要求或不提供的得0分。</w:t>
            </w:r>
          </w:p>
          <w:p>
            <w:pPr>
              <w:autoSpaceDE w:val="0"/>
              <w:autoSpaceDN w:val="0"/>
              <w:adjustRightInd w:val="0"/>
              <w:spacing w:line="360" w:lineRule="auto"/>
              <w:ind w:firstLine="420"/>
              <w:jc w:val="left"/>
              <w:rPr>
                <w:rFonts w:ascii="宋体" w:hAnsi="Times New Roman" w:eastAsia="宋体" w:cs="宋体"/>
                <w:bCs/>
                <w:color w:val="auto"/>
                <w:kern w:val="0"/>
                <w:sz w:val="22"/>
                <w:szCs w:val="21"/>
                <w:highlight w:val="none"/>
              </w:rPr>
            </w:pPr>
            <w:r>
              <w:rPr>
                <w:rFonts w:hint="eastAsia" w:ascii="宋体" w:hAnsi="宋体" w:eastAsia="宋体" w:cs="宋体"/>
                <w:bCs/>
                <w:color w:val="auto"/>
                <w:kern w:val="0"/>
                <w:sz w:val="22"/>
                <w:szCs w:val="21"/>
                <w:highlight w:val="none"/>
              </w:rPr>
              <w:t>一档（</w:t>
            </w:r>
            <w:r>
              <w:rPr>
                <w:rFonts w:ascii="宋体" w:hAnsi="宋体" w:eastAsia="宋体" w:cs="宋体"/>
                <w:bCs/>
                <w:color w:val="auto"/>
                <w:kern w:val="0"/>
                <w:sz w:val="22"/>
                <w:szCs w:val="21"/>
                <w:highlight w:val="none"/>
              </w:rPr>
              <w:t>6</w:t>
            </w:r>
            <w:r>
              <w:rPr>
                <w:rFonts w:hint="eastAsia" w:ascii="宋体" w:hAnsi="宋体" w:eastAsia="宋体" w:cs="宋体"/>
                <w:bCs/>
                <w:color w:val="auto"/>
                <w:kern w:val="0"/>
                <w:sz w:val="22"/>
                <w:szCs w:val="21"/>
                <w:highlight w:val="none"/>
              </w:rPr>
              <w:t>分）：服务方案完整，对采购人需求理解，服务内容简单，基本符合要求；</w:t>
            </w:r>
          </w:p>
          <w:p>
            <w:pPr>
              <w:autoSpaceDE w:val="0"/>
              <w:autoSpaceDN w:val="0"/>
              <w:adjustRightInd w:val="0"/>
              <w:spacing w:line="360" w:lineRule="auto"/>
              <w:ind w:firstLine="420"/>
              <w:jc w:val="left"/>
              <w:rPr>
                <w:rFonts w:ascii="宋体" w:hAnsi="Times New Roman" w:eastAsia="宋体" w:cs="宋体"/>
                <w:bCs/>
                <w:color w:val="auto"/>
                <w:kern w:val="0"/>
                <w:sz w:val="22"/>
                <w:szCs w:val="21"/>
                <w:highlight w:val="none"/>
              </w:rPr>
            </w:pPr>
            <w:r>
              <w:rPr>
                <w:rFonts w:hint="eastAsia" w:ascii="宋体" w:hAnsi="宋体" w:eastAsia="宋体" w:cs="宋体"/>
                <w:bCs/>
                <w:color w:val="auto"/>
                <w:kern w:val="0"/>
                <w:sz w:val="22"/>
                <w:szCs w:val="21"/>
                <w:highlight w:val="none"/>
              </w:rPr>
              <w:t>二档（</w:t>
            </w:r>
            <w:r>
              <w:rPr>
                <w:rFonts w:ascii="宋体" w:hAnsi="宋体" w:eastAsia="宋体" w:cs="宋体"/>
                <w:bCs/>
                <w:color w:val="auto"/>
                <w:kern w:val="0"/>
                <w:sz w:val="22"/>
                <w:szCs w:val="21"/>
                <w:highlight w:val="none"/>
              </w:rPr>
              <w:t>12</w:t>
            </w:r>
            <w:r>
              <w:rPr>
                <w:rFonts w:hint="eastAsia" w:ascii="宋体" w:hAnsi="宋体" w:eastAsia="宋体" w:cs="宋体"/>
                <w:bCs/>
                <w:color w:val="auto"/>
                <w:kern w:val="0"/>
                <w:sz w:val="22"/>
                <w:szCs w:val="21"/>
                <w:highlight w:val="none"/>
              </w:rPr>
              <w:t>分）：服务方案完整清晰，对采购人需求理解，方案详细，服务全面；有一定的可操作性。</w:t>
            </w:r>
          </w:p>
          <w:p>
            <w:pPr>
              <w:autoSpaceDE w:val="0"/>
              <w:autoSpaceDN w:val="0"/>
              <w:adjustRightInd w:val="0"/>
              <w:spacing w:line="360" w:lineRule="auto"/>
              <w:ind w:firstLine="420"/>
              <w:jc w:val="left"/>
              <w:rPr>
                <w:rFonts w:ascii="宋体" w:hAnsi="Times New Roman" w:eastAsia="宋体" w:cs="宋体"/>
                <w:bCs/>
                <w:color w:val="auto"/>
                <w:kern w:val="0"/>
                <w:sz w:val="22"/>
                <w:szCs w:val="21"/>
                <w:highlight w:val="none"/>
              </w:rPr>
            </w:pPr>
            <w:r>
              <w:rPr>
                <w:rFonts w:hint="eastAsia" w:ascii="宋体" w:hAnsi="宋体" w:eastAsia="宋体" w:cs="宋体"/>
                <w:bCs/>
                <w:color w:val="auto"/>
                <w:kern w:val="0"/>
                <w:sz w:val="22"/>
                <w:szCs w:val="21"/>
                <w:highlight w:val="none"/>
              </w:rPr>
              <w:t>三档（</w:t>
            </w:r>
            <w:r>
              <w:rPr>
                <w:rFonts w:ascii="宋体" w:hAnsi="宋体" w:eastAsia="宋体" w:cs="宋体"/>
                <w:bCs/>
                <w:color w:val="auto"/>
                <w:kern w:val="0"/>
                <w:sz w:val="22"/>
                <w:szCs w:val="21"/>
                <w:highlight w:val="none"/>
              </w:rPr>
              <w:t>18</w:t>
            </w:r>
            <w:r>
              <w:rPr>
                <w:rFonts w:hint="eastAsia" w:ascii="宋体" w:hAnsi="宋体" w:eastAsia="宋体" w:cs="宋体"/>
                <w:bCs/>
                <w:color w:val="auto"/>
                <w:kern w:val="0"/>
                <w:sz w:val="22"/>
                <w:szCs w:val="21"/>
                <w:highlight w:val="none"/>
              </w:rPr>
              <w:t>分）：服务方案完整清晰，熟练理解采购人需求，方案详细，服务全面，对运营平台的功能理解透彻，思路清晰，富有创意，实用性和可操作性强的。</w:t>
            </w:r>
          </w:p>
          <w:p>
            <w:pPr>
              <w:autoSpaceDE w:val="0"/>
              <w:autoSpaceDN w:val="0"/>
              <w:adjustRightInd w:val="0"/>
              <w:spacing w:line="360" w:lineRule="auto"/>
              <w:ind w:firstLine="420"/>
              <w:jc w:val="left"/>
              <w:rPr>
                <w:rFonts w:ascii="宋体" w:hAnsi="宋体" w:eastAsia="宋体" w:cs="宋体"/>
                <w:bCs/>
                <w:color w:val="auto"/>
                <w:szCs w:val="21"/>
                <w:highlight w:val="none"/>
              </w:rPr>
            </w:pPr>
            <w:r>
              <w:rPr>
                <w:rFonts w:hint="eastAsia" w:ascii="宋体" w:hAnsi="宋体" w:eastAsia="宋体" w:cs="宋体"/>
                <w:bCs/>
                <w:color w:val="auto"/>
                <w:kern w:val="0"/>
                <w:sz w:val="22"/>
                <w:szCs w:val="21"/>
                <w:highlight w:val="none"/>
              </w:rPr>
              <w:t>四档（</w:t>
            </w:r>
            <w:r>
              <w:rPr>
                <w:rFonts w:ascii="宋体" w:hAnsi="宋体" w:eastAsia="宋体" w:cs="宋体"/>
                <w:bCs/>
                <w:color w:val="auto"/>
                <w:kern w:val="0"/>
                <w:sz w:val="22"/>
                <w:szCs w:val="21"/>
                <w:highlight w:val="none"/>
              </w:rPr>
              <w:t>24</w:t>
            </w:r>
            <w:r>
              <w:rPr>
                <w:rFonts w:hint="eastAsia" w:ascii="宋体" w:hAnsi="宋体" w:eastAsia="宋体" w:cs="宋体"/>
                <w:bCs/>
                <w:color w:val="auto"/>
                <w:kern w:val="0"/>
                <w:sz w:val="22"/>
                <w:szCs w:val="21"/>
                <w:highlight w:val="none"/>
              </w:rPr>
              <w:t>分）：服务方案完整清晰，熟练理解用户需求，方案全面，服务全面，对运营平台的功能理解透彻，思路清晰，富有创意，对项目实际情况具有针对性，具有前瞻性、战略性，实用性和可操作性强的。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730" w:type="dxa"/>
            <w:vMerge w:val="continue"/>
            <w:vAlign w:val="center"/>
          </w:tcPr>
          <w:p>
            <w:pPr>
              <w:adjustRightInd w:val="0"/>
              <w:spacing w:line="360" w:lineRule="auto"/>
              <w:jc w:val="center"/>
              <w:textAlignment w:val="baseline"/>
              <w:rPr>
                <w:rFonts w:ascii="宋体" w:hAnsi="宋体" w:eastAsia="宋体" w:cs="Times New Roman"/>
                <w:b/>
                <w:color w:val="auto"/>
                <w:szCs w:val="21"/>
                <w:highlight w:val="none"/>
              </w:rPr>
            </w:pPr>
          </w:p>
        </w:tc>
        <w:tc>
          <w:tcPr>
            <w:tcW w:w="1280" w:type="dxa"/>
            <w:vMerge w:val="continue"/>
            <w:vAlign w:val="center"/>
          </w:tcPr>
          <w:p>
            <w:pPr>
              <w:adjustRightInd w:val="0"/>
              <w:spacing w:line="360" w:lineRule="auto"/>
              <w:jc w:val="center"/>
              <w:textAlignment w:val="baseline"/>
              <w:rPr>
                <w:rFonts w:ascii="宋体" w:hAnsi="宋体" w:eastAsia="宋体" w:cs="Times New Roman"/>
                <w:b/>
                <w:color w:val="auto"/>
                <w:szCs w:val="21"/>
                <w:highlight w:val="none"/>
              </w:rPr>
            </w:pPr>
          </w:p>
        </w:tc>
        <w:tc>
          <w:tcPr>
            <w:tcW w:w="709" w:type="dxa"/>
            <w:vMerge w:val="continue"/>
            <w:vAlign w:val="center"/>
          </w:tcPr>
          <w:p>
            <w:pPr>
              <w:adjustRightInd w:val="0"/>
              <w:spacing w:line="360" w:lineRule="auto"/>
              <w:jc w:val="center"/>
              <w:textAlignment w:val="baseline"/>
              <w:rPr>
                <w:rFonts w:ascii="宋体" w:hAnsi="宋体" w:eastAsia="宋体" w:cs="Times New Roman"/>
                <w:b/>
                <w:color w:val="auto"/>
                <w:szCs w:val="21"/>
                <w:highlight w:val="none"/>
              </w:rPr>
            </w:pPr>
          </w:p>
        </w:tc>
        <w:tc>
          <w:tcPr>
            <w:tcW w:w="1559" w:type="dxa"/>
            <w:vAlign w:val="center"/>
          </w:tcPr>
          <w:p>
            <w:pPr>
              <w:autoSpaceDE w:val="0"/>
              <w:autoSpaceDN w:val="0"/>
              <w:adjustRightInd w:val="0"/>
              <w:spacing w:line="360" w:lineRule="auto"/>
              <w:jc w:val="center"/>
              <w:rPr>
                <w:rFonts w:ascii="宋体" w:hAnsi="宋体" w:eastAsia="宋体" w:cs="宋体"/>
                <w:bCs/>
                <w:color w:val="auto"/>
                <w:szCs w:val="21"/>
                <w:highlight w:val="none"/>
              </w:rPr>
            </w:pPr>
            <w:r>
              <w:rPr>
                <w:rFonts w:hint="eastAsia" w:ascii="宋体" w:hAnsi="宋体" w:eastAsia="宋体" w:cs="宋体"/>
                <w:b/>
                <w:color w:val="auto"/>
                <w:kern w:val="0"/>
                <w:sz w:val="22"/>
                <w:szCs w:val="21"/>
                <w:highlight w:val="none"/>
              </w:rPr>
              <w:t>驻场服务分（满分</w:t>
            </w:r>
            <w:r>
              <w:rPr>
                <w:rFonts w:ascii="宋体" w:hAnsi="宋体" w:eastAsia="宋体" w:cs="宋体"/>
                <w:b/>
                <w:color w:val="auto"/>
                <w:kern w:val="0"/>
                <w:sz w:val="22"/>
                <w:szCs w:val="21"/>
                <w:highlight w:val="none"/>
              </w:rPr>
              <w:t>12</w:t>
            </w:r>
            <w:r>
              <w:rPr>
                <w:rFonts w:hint="eastAsia" w:ascii="宋体" w:hAnsi="宋体" w:eastAsia="宋体" w:cs="宋体"/>
                <w:b/>
                <w:color w:val="auto"/>
                <w:kern w:val="0"/>
                <w:sz w:val="22"/>
                <w:szCs w:val="21"/>
                <w:highlight w:val="none"/>
              </w:rPr>
              <w:t>分）</w:t>
            </w:r>
          </w:p>
        </w:tc>
        <w:tc>
          <w:tcPr>
            <w:tcW w:w="5350" w:type="dxa"/>
            <w:vAlign w:val="center"/>
          </w:tcPr>
          <w:p>
            <w:pPr>
              <w:autoSpaceDE w:val="0"/>
              <w:autoSpaceDN w:val="0"/>
              <w:adjustRightInd w:val="0"/>
              <w:spacing w:line="360" w:lineRule="auto"/>
              <w:ind w:firstLine="420"/>
              <w:jc w:val="left"/>
              <w:rPr>
                <w:rFonts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t>提供主要技术人员驻场服务1年，承诺提供1人得6分，承诺提供2人以上得12分。</w:t>
            </w:r>
          </w:p>
          <w:p>
            <w:pPr>
              <w:autoSpaceDE w:val="0"/>
              <w:autoSpaceDN w:val="0"/>
              <w:adjustRightInd w:val="0"/>
              <w:spacing w:line="360" w:lineRule="auto"/>
              <w:ind w:firstLine="420"/>
              <w:jc w:val="left"/>
              <w:rPr>
                <w:rFonts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lang w:eastAsia="zh-CN"/>
              </w:rPr>
              <w:t>注：以上所有人员</w:t>
            </w:r>
            <w:r>
              <w:rPr>
                <w:rFonts w:hint="eastAsia" w:ascii="Times New Roman" w:hAnsi="Times New Roman" w:eastAsia="宋体" w:cs="Times New Roman"/>
                <w:color w:val="auto"/>
                <w:szCs w:val="24"/>
                <w:highlight w:val="none"/>
              </w:rPr>
              <w:t>须提供证明材料及</w:t>
            </w:r>
            <w:r>
              <w:rPr>
                <w:rFonts w:hint="eastAsia" w:ascii="Times New Roman" w:hAnsi="Times New Roman" w:eastAsia="宋体" w:cs="Times New Roman"/>
                <w:color w:val="auto"/>
                <w:szCs w:val="24"/>
                <w:highlight w:val="none"/>
                <w:lang w:eastAsia="zh-CN"/>
              </w:rPr>
              <w:t>202</w:t>
            </w:r>
            <w:r>
              <w:rPr>
                <w:rFonts w:hint="eastAsia" w:ascii="Times New Roman" w:hAnsi="Times New Roman" w:eastAsia="宋体" w:cs="Times New Roman"/>
                <w:color w:val="auto"/>
                <w:szCs w:val="24"/>
                <w:highlight w:val="none"/>
                <w:lang w:val="en-US" w:eastAsia="zh-CN"/>
              </w:rPr>
              <w:t>4</w:t>
            </w:r>
            <w:r>
              <w:rPr>
                <w:rFonts w:hint="eastAsia" w:ascii="Times New Roman" w:hAnsi="Times New Roman" w:eastAsia="宋体" w:cs="Times New Roman"/>
                <w:color w:val="auto"/>
                <w:szCs w:val="24"/>
                <w:highlight w:val="none"/>
                <w:lang w:eastAsia="zh-CN"/>
              </w:rPr>
              <w:t>年1月至2024年8月内连续3个月</w:t>
            </w:r>
            <w:r>
              <w:rPr>
                <w:rFonts w:hint="eastAsia" w:ascii="Times New Roman" w:hAnsi="Times New Roman" w:eastAsia="宋体" w:cs="Times New Roman"/>
                <w:color w:val="auto"/>
                <w:szCs w:val="24"/>
                <w:highlight w:val="none"/>
              </w:rPr>
              <w:t>供应商为其缴纳社保的证明并加盖供应商公章</w:t>
            </w:r>
            <w:r>
              <w:rPr>
                <w:rFonts w:hint="eastAsia" w:ascii="Times New Roman" w:hAnsi="Times New Roman" w:eastAsia="宋体" w:cs="Times New Roman"/>
                <w:color w:val="auto"/>
                <w:szCs w:val="24"/>
                <w:highlight w:val="none"/>
                <w:lang w:eastAsia="zh-CN"/>
              </w:rPr>
              <w:t>，不按要求提供资料的不得分</w:t>
            </w:r>
            <w:r>
              <w:rPr>
                <w:rFonts w:hint="eastAsia" w:ascii="Times New Roman" w:hAnsi="Times New Roman" w:eastAsia="宋体" w:cs="Times New Roman"/>
                <w:color w:val="auto"/>
                <w:szCs w:val="24"/>
                <w:highlight w:val="none"/>
              </w:rPr>
              <w:t>。（新成立的公司或新入职的人员提供公司成立日之后次月起或入职到公司之日后次月起到</w:t>
            </w:r>
            <w:r>
              <w:rPr>
                <w:rFonts w:hint="eastAsia" w:ascii="Times New Roman" w:hAnsi="Times New Roman" w:eastAsia="宋体" w:cs="Times New Roman"/>
                <w:color w:val="auto"/>
                <w:szCs w:val="24"/>
                <w:highlight w:val="none"/>
                <w:lang w:eastAsia="zh-CN"/>
              </w:rPr>
              <w:t>响应</w:t>
            </w:r>
            <w:r>
              <w:rPr>
                <w:rFonts w:hint="eastAsia" w:ascii="Times New Roman" w:hAnsi="Times New Roman" w:eastAsia="宋体" w:cs="Times New Roman"/>
                <w:color w:val="auto"/>
                <w:szCs w:val="24"/>
                <w:highlight w:val="none"/>
              </w:rPr>
              <w:t>文件首次递交截止前一个月的</w:t>
            </w:r>
            <w:r>
              <w:rPr>
                <w:rFonts w:hint="eastAsia" w:ascii="Times New Roman" w:hAnsi="Times New Roman" w:eastAsia="宋体" w:cs="Times New Roman"/>
                <w:color w:val="auto"/>
                <w:szCs w:val="24"/>
                <w:highlight w:val="none"/>
                <w:lang w:eastAsia="zh-CN"/>
              </w:rPr>
              <w:t>参保缴纳凭证</w:t>
            </w:r>
            <w:r>
              <w:rPr>
                <w:rFonts w:hint="eastAsia" w:ascii="Times New Roman" w:hAnsi="Times New Roman" w:eastAsia="宋体" w:cs="Times New Roman"/>
                <w:color w:val="auto"/>
                <w:szCs w:val="24"/>
                <w:highlight w:val="none"/>
              </w:rPr>
              <w:t>复印件</w:t>
            </w:r>
            <w:r>
              <w:rPr>
                <w:rFonts w:hint="eastAsia" w:ascii="Times New Roman" w:hAnsi="Times New Roman" w:eastAsia="宋体" w:cs="Times New Roman"/>
                <w:color w:val="auto"/>
                <w:szCs w:val="24"/>
                <w:highlight w:val="none"/>
                <w:lang w:eastAsia="zh-CN"/>
              </w:rPr>
              <w:t>，退休聘用人员提供聘用合同）。以上人员</w:t>
            </w:r>
            <w:r>
              <w:rPr>
                <w:rFonts w:hint="eastAsia" w:ascii="Times New Roman" w:hAnsi="Times New Roman" w:eastAsia="宋体" w:cs="Times New Roman"/>
                <w:color w:val="auto"/>
                <w:szCs w:val="24"/>
                <w:highlight w:val="none"/>
              </w:rPr>
              <w:t>须提供</w:t>
            </w:r>
            <w:r>
              <w:rPr>
                <w:rFonts w:hint="eastAsia" w:ascii="Times New Roman" w:hAnsi="Times New Roman" w:eastAsia="宋体" w:cs="Times New Roman"/>
                <w:color w:val="auto"/>
                <w:szCs w:val="24"/>
                <w:highlight w:val="none"/>
                <w:lang w:eastAsia="zh-CN"/>
              </w:rPr>
              <w:t>相应证明材料复印件加盖公章，否则不得分。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730" w:type="dxa"/>
            <w:vMerge w:val="continue"/>
            <w:vAlign w:val="center"/>
          </w:tcPr>
          <w:p>
            <w:pPr>
              <w:adjustRightInd w:val="0"/>
              <w:spacing w:line="360" w:lineRule="auto"/>
              <w:jc w:val="center"/>
              <w:textAlignment w:val="baseline"/>
              <w:rPr>
                <w:rFonts w:ascii="宋体" w:hAnsi="宋体" w:eastAsia="宋体" w:cs="Times New Roman"/>
                <w:b/>
                <w:color w:val="auto"/>
                <w:szCs w:val="21"/>
                <w:highlight w:val="none"/>
              </w:rPr>
            </w:pPr>
          </w:p>
        </w:tc>
        <w:tc>
          <w:tcPr>
            <w:tcW w:w="1280" w:type="dxa"/>
            <w:vMerge w:val="continue"/>
            <w:vAlign w:val="center"/>
          </w:tcPr>
          <w:p>
            <w:pPr>
              <w:adjustRightInd w:val="0"/>
              <w:spacing w:line="360" w:lineRule="auto"/>
              <w:jc w:val="center"/>
              <w:textAlignment w:val="baseline"/>
              <w:rPr>
                <w:rFonts w:ascii="宋体" w:hAnsi="宋体" w:eastAsia="宋体" w:cs="Times New Roman"/>
                <w:b/>
                <w:color w:val="auto"/>
                <w:szCs w:val="21"/>
                <w:highlight w:val="none"/>
              </w:rPr>
            </w:pPr>
          </w:p>
        </w:tc>
        <w:tc>
          <w:tcPr>
            <w:tcW w:w="709" w:type="dxa"/>
            <w:vMerge w:val="continue"/>
            <w:vAlign w:val="center"/>
          </w:tcPr>
          <w:p>
            <w:pPr>
              <w:adjustRightInd w:val="0"/>
              <w:spacing w:line="360" w:lineRule="auto"/>
              <w:jc w:val="center"/>
              <w:textAlignment w:val="baseline"/>
              <w:rPr>
                <w:rFonts w:ascii="宋体" w:hAnsi="宋体" w:eastAsia="宋体" w:cs="Times New Roman"/>
                <w:b/>
                <w:color w:val="auto"/>
                <w:szCs w:val="21"/>
                <w:highlight w:val="none"/>
              </w:rPr>
            </w:pPr>
          </w:p>
        </w:tc>
        <w:tc>
          <w:tcPr>
            <w:tcW w:w="1559" w:type="dxa"/>
            <w:vAlign w:val="center"/>
          </w:tcPr>
          <w:p>
            <w:pPr>
              <w:spacing w:line="360" w:lineRule="auto"/>
              <w:jc w:val="center"/>
              <w:rPr>
                <w:rFonts w:ascii="宋体" w:hAnsi="宋体" w:eastAsia="宋体" w:cs="宋体"/>
                <w:bCs/>
                <w:color w:val="auto"/>
                <w:kern w:val="0"/>
                <w:sz w:val="22"/>
                <w:szCs w:val="21"/>
                <w:highlight w:val="none"/>
              </w:rPr>
            </w:pPr>
            <w:r>
              <w:rPr>
                <w:rFonts w:hint="eastAsia" w:ascii="宋体" w:hAnsi="宋体" w:eastAsia="宋体" w:cs="宋体"/>
                <w:b/>
                <w:color w:val="auto"/>
                <w:kern w:val="0"/>
                <w:sz w:val="22"/>
                <w:szCs w:val="21"/>
                <w:highlight w:val="none"/>
              </w:rPr>
              <w:t>组织实施</w:t>
            </w:r>
            <w:r>
              <w:rPr>
                <w:rFonts w:hint="eastAsia" w:ascii="宋体" w:hAnsi="宋体" w:cs="宋体"/>
                <w:b/>
                <w:color w:val="auto"/>
                <w:kern w:val="0"/>
                <w:sz w:val="22"/>
                <w:szCs w:val="21"/>
                <w:highlight w:val="none"/>
                <w:lang w:eastAsia="zh-CN"/>
              </w:rPr>
              <w:t>方案</w:t>
            </w:r>
            <w:r>
              <w:rPr>
                <w:rFonts w:hint="eastAsia" w:ascii="宋体" w:hAnsi="宋体" w:eastAsia="宋体" w:cs="宋体"/>
                <w:b/>
                <w:color w:val="auto"/>
                <w:kern w:val="0"/>
                <w:sz w:val="22"/>
                <w:szCs w:val="21"/>
                <w:highlight w:val="none"/>
              </w:rPr>
              <w:t>分（满分</w:t>
            </w:r>
            <w:r>
              <w:rPr>
                <w:rFonts w:ascii="宋体" w:hAnsi="宋体" w:eastAsia="宋体" w:cs="宋体"/>
                <w:b/>
                <w:color w:val="auto"/>
                <w:kern w:val="0"/>
                <w:sz w:val="22"/>
                <w:szCs w:val="21"/>
                <w:highlight w:val="none"/>
              </w:rPr>
              <w:t>15</w:t>
            </w:r>
            <w:r>
              <w:rPr>
                <w:rFonts w:hint="eastAsia" w:ascii="宋体" w:hAnsi="宋体" w:eastAsia="宋体" w:cs="宋体"/>
                <w:b/>
                <w:color w:val="auto"/>
                <w:kern w:val="0"/>
                <w:sz w:val="22"/>
                <w:szCs w:val="21"/>
                <w:highlight w:val="none"/>
              </w:rPr>
              <w:t>分）</w:t>
            </w:r>
          </w:p>
        </w:tc>
        <w:tc>
          <w:tcPr>
            <w:tcW w:w="5350" w:type="dxa"/>
            <w:vAlign w:val="center"/>
          </w:tcPr>
          <w:p>
            <w:pPr>
              <w:autoSpaceDE w:val="0"/>
              <w:autoSpaceDN w:val="0"/>
              <w:adjustRightInd w:val="0"/>
              <w:spacing w:line="360" w:lineRule="auto"/>
              <w:ind w:firstLine="420"/>
              <w:jc w:val="left"/>
              <w:rPr>
                <w:rFonts w:ascii="宋体" w:hAnsi="Times New Roman" w:eastAsia="宋体" w:cs="宋体"/>
                <w:bCs/>
                <w:color w:val="auto"/>
                <w:kern w:val="0"/>
                <w:sz w:val="22"/>
                <w:szCs w:val="21"/>
                <w:highlight w:val="none"/>
              </w:rPr>
            </w:pPr>
            <w:r>
              <w:rPr>
                <w:rFonts w:ascii="宋体" w:hAnsi="宋体" w:eastAsia="宋体" w:cs="宋体"/>
                <w:bCs/>
                <w:color w:val="auto"/>
                <w:kern w:val="0"/>
                <w:sz w:val="22"/>
                <w:szCs w:val="21"/>
                <w:highlight w:val="none"/>
              </w:rPr>
              <w:t xml:space="preserve"> </w:t>
            </w:r>
            <w:r>
              <w:rPr>
                <w:rFonts w:hint="eastAsia" w:ascii="宋体" w:hAnsi="宋体" w:eastAsia="宋体" w:cs="宋体"/>
                <w:bCs/>
                <w:color w:val="auto"/>
                <w:kern w:val="0"/>
                <w:sz w:val="22"/>
                <w:szCs w:val="20"/>
                <w:highlight w:val="none"/>
              </w:rPr>
              <w:t>由磋商小组在打分前根据各供应商组织实施</w:t>
            </w:r>
            <w:r>
              <w:rPr>
                <w:rFonts w:hint="eastAsia" w:ascii="宋体" w:hAnsi="宋体" w:eastAsia="宋体" w:cs="宋体"/>
                <w:bCs/>
                <w:color w:val="auto"/>
                <w:kern w:val="0"/>
                <w:sz w:val="22"/>
                <w:szCs w:val="20"/>
                <w:highlight w:val="none"/>
                <w:lang w:eastAsia="zh-CN"/>
              </w:rPr>
              <w:t>方案</w:t>
            </w:r>
            <w:r>
              <w:rPr>
                <w:rFonts w:hint="eastAsia" w:ascii="宋体" w:hAnsi="宋体" w:eastAsia="宋体" w:cs="宋体"/>
                <w:bCs/>
                <w:color w:val="auto"/>
                <w:kern w:val="0"/>
                <w:sz w:val="22"/>
                <w:szCs w:val="20"/>
                <w:highlight w:val="none"/>
              </w:rPr>
              <w:t>的可行性和成熟度确定各供应商所属档次及得分，</w:t>
            </w:r>
            <w:r>
              <w:rPr>
                <w:rFonts w:hint="eastAsia" w:ascii="宋体" w:hAnsi="宋体" w:eastAsia="宋体" w:cs="宋体"/>
                <w:color w:val="auto"/>
                <w:kern w:val="1"/>
                <w:sz w:val="22"/>
                <w:szCs w:val="21"/>
                <w:highlight w:val="none"/>
              </w:rPr>
              <w:t>达不到一档要求或不提供的得0分。</w:t>
            </w:r>
          </w:p>
          <w:p>
            <w:pPr>
              <w:autoSpaceDE w:val="0"/>
              <w:autoSpaceDN w:val="0"/>
              <w:adjustRightInd w:val="0"/>
              <w:spacing w:line="360" w:lineRule="auto"/>
              <w:ind w:firstLine="420"/>
              <w:jc w:val="left"/>
              <w:rPr>
                <w:rFonts w:ascii="宋体" w:hAnsi="Times New Roman" w:eastAsia="宋体" w:cs="宋体"/>
                <w:bCs/>
                <w:color w:val="auto"/>
                <w:kern w:val="0"/>
                <w:sz w:val="22"/>
                <w:szCs w:val="21"/>
                <w:highlight w:val="none"/>
              </w:rPr>
            </w:pPr>
            <w:r>
              <w:rPr>
                <w:rFonts w:hint="eastAsia" w:ascii="宋体" w:hAnsi="宋体" w:eastAsia="宋体" w:cs="宋体"/>
                <w:bCs/>
                <w:color w:val="auto"/>
                <w:kern w:val="0"/>
                <w:sz w:val="22"/>
                <w:szCs w:val="21"/>
                <w:highlight w:val="none"/>
              </w:rPr>
              <w:t>一档（</w:t>
            </w:r>
            <w:r>
              <w:rPr>
                <w:rFonts w:ascii="宋体" w:hAnsi="宋体" w:eastAsia="宋体" w:cs="宋体"/>
                <w:bCs/>
                <w:color w:val="auto"/>
                <w:kern w:val="0"/>
                <w:sz w:val="22"/>
                <w:szCs w:val="21"/>
                <w:highlight w:val="none"/>
              </w:rPr>
              <w:t>5</w:t>
            </w:r>
            <w:r>
              <w:rPr>
                <w:rFonts w:hint="eastAsia" w:ascii="宋体" w:hAnsi="宋体" w:eastAsia="宋体" w:cs="宋体"/>
                <w:bCs/>
                <w:color w:val="auto"/>
                <w:kern w:val="0"/>
                <w:sz w:val="22"/>
                <w:szCs w:val="21"/>
                <w:highlight w:val="none"/>
              </w:rPr>
              <w:t>分）：实施方案完整，实施计划可行，项目管理组织机构及人员职能满足要求。</w:t>
            </w:r>
          </w:p>
          <w:p>
            <w:pPr>
              <w:autoSpaceDE w:val="0"/>
              <w:autoSpaceDN w:val="0"/>
              <w:adjustRightInd w:val="0"/>
              <w:spacing w:line="360" w:lineRule="auto"/>
              <w:ind w:firstLine="420"/>
              <w:jc w:val="left"/>
              <w:rPr>
                <w:rFonts w:ascii="宋体" w:hAnsi="Times New Roman" w:eastAsia="宋体" w:cs="宋体"/>
                <w:bCs/>
                <w:color w:val="auto"/>
                <w:kern w:val="0"/>
                <w:sz w:val="22"/>
                <w:szCs w:val="21"/>
                <w:highlight w:val="none"/>
              </w:rPr>
            </w:pPr>
            <w:r>
              <w:rPr>
                <w:rFonts w:hint="eastAsia" w:ascii="宋体" w:hAnsi="宋体" w:eastAsia="宋体" w:cs="宋体"/>
                <w:bCs/>
                <w:color w:val="auto"/>
                <w:kern w:val="0"/>
                <w:sz w:val="22"/>
                <w:szCs w:val="21"/>
                <w:highlight w:val="none"/>
              </w:rPr>
              <w:t>二档（</w:t>
            </w:r>
            <w:r>
              <w:rPr>
                <w:rFonts w:ascii="宋体" w:hAnsi="宋体" w:eastAsia="宋体" w:cs="宋体"/>
                <w:bCs/>
                <w:color w:val="auto"/>
                <w:kern w:val="0"/>
                <w:sz w:val="22"/>
                <w:szCs w:val="21"/>
                <w:highlight w:val="none"/>
              </w:rPr>
              <w:t>10</w:t>
            </w:r>
            <w:r>
              <w:rPr>
                <w:rFonts w:hint="eastAsia" w:ascii="宋体" w:hAnsi="宋体" w:eastAsia="宋体" w:cs="宋体"/>
                <w:bCs/>
                <w:color w:val="auto"/>
                <w:kern w:val="0"/>
                <w:sz w:val="22"/>
                <w:szCs w:val="21"/>
                <w:highlight w:val="none"/>
              </w:rPr>
              <w:t>分）：实施方案完整清晰，实施计划完整可行，项目管理组织机构及人员职能清晰。</w:t>
            </w:r>
          </w:p>
          <w:p>
            <w:pPr>
              <w:autoSpaceDE w:val="0"/>
              <w:autoSpaceDN w:val="0"/>
              <w:adjustRightInd w:val="0"/>
              <w:spacing w:line="360" w:lineRule="auto"/>
              <w:ind w:firstLine="420"/>
              <w:jc w:val="left"/>
              <w:rPr>
                <w:rFonts w:ascii="Times New Roman" w:hAnsi="宋体" w:eastAsia="宋体" w:cs="宋体"/>
                <w:color w:val="auto"/>
                <w:szCs w:val="24"/>
                <w:highlight w:val="none"/>
              </w:rPr>
            </w:pPr>
            <w:r>
              <w:rPr>
                <w:rFonts w:hint="eastAsia" w:ascii="宋体" w:hAnsi="宋体" w:eastAsia="宋体" w:cs="宋体"/>
                <w:bCs/>
                <w:color w:val="auto"/>
                <w:kern w:val="0"/>
                <w:sz w:val="22"/>
                <w:szCs w:val="21"/>
                <w:highlight w:val="none"/>
              </w:rPr>
              <w:t>三档（</w:t>
            </w:r>
            <w:r>
              <w:rPr>
                <w:rFonts w:ascii="宋体" w:hAnsi="宋体" w:eastAsia="宋体" w:cs="宋体"/>
                <w:bCs/>
                <w:color w:val="auto"/>
                <w:kern w:val="0"/>
                <w:sz w:val="22"/>
                <w:szCs w:val="21"/>
                <w:highlight w:val="none"/>
              </w:rPr>
              <w:t>15</w:t>
            </w:r>
            <w:r>
              <w:rPr>
                <w:rFonts w:hint="eastAsia" w:ascii="宋体" w:hAnsi="宋体" w:eastAsia="宋体" w:cs="宋体"/>
                <w:bCs/>
                <w:color w:val="auto"/>
                <w:kern w:val="0"/>
                <w:sz w:val="22"/>
                <w:szCs w:val="21"/>
                <w:highlight w:val="none"/>
              </w:rPr>
              <w:t>分）：实施方案清晰、针对性强，实施计划完整明晰、可操作性强，项目管理组织机构及人员职能清晰可控。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730" w:type="dxa"/>
            <w:vMerge w:val="continue"/>
            <w:vAlign w:val="center"/>
          </w:tcPr>
          <w:p>
            <w:pPr>
              <w:adjustRightInd w:val="0"/>
              <w:spacing w:line="360" w:lineRule="auto"/>
              <w:jc w:val="center"/>
              <w:textAlignment w:val="baseline"/>
              <w:rPr>
                <w:rFonts w:ascii="宋体" w:hAnsi="宋体" w:eastAsia="宋体" w:cs="Times New Roman"/>
                <w:b/>
                <w:color w:val="auto"/>
                <w:szCs w:val="21"/>
                <w:highlight w:val="none"/>
              </w:rPr>
            </w:pPr>
          </w:p>
        </w:tc>
        <w:tc>
          <w:tcPr>
            <w:tcW w:w="1280" w:type="dxa"/>
            <w:vMerge w:val="continue"/>
            <w:vAlign w:val="center"/>
          </w:tcPr>
          <w:p>
            <w:pPr>
              <w:adjustRightInd w:val="0"/>
              <w:spacing w:line="360" w:lineRule="auto"/>
              <w:jc w:val="center"/>
              <w:textAlignment w:val="baseline"/>
              <w:rPr>
                <w:rFonts w:ascii="宋体" w:hAnsi="宋体" w:eastAsia="宋体" w:cs="Times New Roman"/>
                <w:b/>
                <w:color w:val="auto"/>
                <w:szCs w:val="21"/>
                <w:highlight w:val="none"/>
              </w:rPr>
            </w:pPr>
          </w:p>
        </w:tc>
        <w:tc>
          <w:tcPr>
            <w:tcW w:w="709" w:type="dxa"/>
            <w:vMerge w:val="continue"/>
            <w:vAlign w:val="center"/>
          </w:tcPr>
          <w:p>
            <w:pPr>
              <w:adjustRightInd w:val="0"/>
              <w:spacing w:line="360" w:lineRule="auto"/>
              <w:jc w:val="center"/>
              <w:textAlignment w:val="baseline"/>
              <w:rPr>
                <w:rFonts w:ascii="宋体" w:hAnsi="宋体" w:eastAsia="宋体" w:cs="Times New Roman"/>
                <w:b/>
                <w:color w:val="auto"/>
                <w:szCs w:val="21"/>
                <w:highlight w:val="none"/>
              </w:rPr>
            </w:pPr>
          </w:p>
        </w:tc>
        <w:tc>
          <w:tcPr>
            <w:tcW w:w="1559" w:type="dxa"/>
            <w:vAlign w:val="center"/>
          </w:tcPr>
          <w:p>
            <w:pPr>
              <w:autoSpaceDE w:val="0"/>
              <w:autoSpaceDN w:val="0"/>
              <w:adjustRightInd w:val="0"/>
              <w:spacing w:line="360" w:lineRule="auto"/>
              <w:jc w:val="left"/>
              <w:rPr>
                <w:rFonts w:ascii="宋体" w:hAnsi="Times New Roman" w:eastAsia="宋体" w:cs="宋体"/>
                <w:b/>
                <w:color w:val="auto"/>
                <w:kern w:val="0"/>
                <w:sz w:val="22"/>
                <w:szCs w:val="21"/>
                <w:highlight w:val="none"/>
              </w:rPr>
            </w:pPr>
            <w:r>
              <w:rPr>
                <w:rFonts w:hint="eastAsia" w:ascii="宋体" w:hAnsi="宋体" w:eastAsia="宋体" w:cs="宋体"/>
                <w:b/>
                <w:color w:val="auto"/>
                <w:kern w:val="0"/>
                <w:sz w:val="22"/>
                <w:szCs w:val="21"/>
                <w:highlight w:val="none"/>
              </w:rPr>
              <w:t>服务保障方案分（满分</w:t>
            </w:r>
            <w:r>
              <w:rPr>
                <w:rFonts w:ascii="宋体" w:hAnsi="宋体" w:eastAsia="宋体" w:cs="宋体"/>
                <w:b/>
                <w:color w:val="auto"/>
                <w:kern w:val="0"/>
                <w:sz w:val="22"/>
                <w:szCs w:val="21"/>
                <w:highlight w:val="none"/>
              </w:rPr>
              <w:t>15</w:t>
            </w:r>
            <w:r>
              <w:rPr>
                <w:rFonts w:hint="eastAsia" w:ascii="宋体" w:hAnsi="宋体" w:eastAsia="宋体" w:cs="宋体"/>
                <w:b/>
                <w:color w:val="auto"/>
                <w:kern w:val="0"/>
                <w:sz w:val="22"/>
                <w:szCs w:val="21"/>
                <w:highlight w:val="none"/>
              </w:rPr>
              <w:t>分）</w:t>
            </w:r>
          </w:p>
          <w:p>
            <w:pPr>
              <w:spacing w:line="360" w:lineRule="auto"/>
              <w:jc w:val="center"/>
              <w:rPr>
                <w:rFonts w:ascii="宋体" w:hAnsi="宋体" w:eastAsia="宋体" w:cs="宋体"/>
                <w:bCs/>
                <w:color w:val="auto"/>
                <w:szCs w:val="21"/>
                <w:highlight w:val="none"/>
              </w:rPr>
            </w:pPr>
          </w:p>
        </w:tc>
        <w:tc>
          <w:tcPr>
            <w:tcW w:w="5350" w:type="dxa"/>
            <w:vAlign w:val="center"/>
          </w:tcPr>
          <w:p>
            <w:pPr>
              <w:spacing w:line="360" w:lineRule="auto"/>
              <w:ind w:firstLine="440" w:firstLineChars="200"/>
              <w:jc w:val="left"/>
              <w:rPr>
                <w:rFonts w:ascii="宋体" w:hAnsi="Times New Roman" w:eastAsia="宋体" w:cs="宋体"/>
                <w:bCs/>
                <w:color w:val="auto"/>
                <w:kern w:val="0"/>
                <w:sz w:val="22"/>
                <w:szCs w:val="21"/>
                <w:highlight w:val="none"/>
              </w:rPr>
            </w:pPr>
            <w:r>
              <w:rPr>
                <w:rFonts w:hint="eastAsia" w:ascii="宋体" w:hAnsi="宋体" w:eastAsia="宋体" w:cs="宋体"/>
                <w:bCs/>
                <w:color w:val="auto"/>
                <w:kern w:val="0"/>
                <w:sz w:val="22"/>
                <w:szCs w:val="21"/>
                <w:highlight w:val="none"/>
              </w:rPr>
              <w:t>由磋商小组在打分前根据各供应商服务保障方案内容的完整性、可行性、到达突发现场时间、服务优惠及其他优惠确定各供应商所属档次及得分，</w:t>
            </w:r>
            <w:r>
              <w:rPr>
                <w:rFonts w:hint="eastAsia" w:ascii="宋体" w:hAnsi="宋体" w:eastAsia="宋体" w:cs="宋体"/>
                <w:color w:val="auto"/>
                <w:kern w:val="1"/>
                <w:sz w:val="22"/>
                <w:szCs w:val="21"/>
                <w:highlight w:val="none"/>
              </w:rPr>
              <w:t>达不到一档要求或不提供的得0分</w:t>
            </w:r>
          </w:p>
          <w:p>
            <w:pPr>
              <w:spacing w:line="360" w:lineRule="auto"/>
              <w:ind w:firstLine="440" w:firstLineChars="200"/>
              <w:jc w:val="left"/>
              <w:rPr>
                <w:rFonts w:ascii="宋体" w:hAnsi="Times New Roman" w:eastAsia="宋体" w:cs="宋体"/>
                <w:bCs/>
                <w:color w:val="auto"/>
                <w:kern w:val="0"/>
                <w:sz w:val="22"/>
                <w:szCs w:val="21"/>
                <w:highlight w:val="none"/>
              </w:rPr>
            </w:pPr>
            <w:r>
              <w:rPr>
                <w:rFonts w:hint="eastAsia" w:ascii="宋体" w:hAnsi="宋体" w:eastAsia="宋体" w:cs="宋体"/>
                <w:bCs/>
                <w:color w:val="auto"/>
                <w:kern w:val="0"/>
                <w:sz w:val="22"/>
                <w:szCs w:val="21"/>
                <w:highlight w:val="none"/>
              </w:rPr>
              <w:t>一档（</w:t>
            </w:r>
            <w:r>
              <w:rPr>
                <w:rFonts w:ascii="宋体" w:hAnsi="宋体" w:eastAsia="宋体" w:cs="宋体"/>
                <w:bCs/>
                <w:color w:val="auto"/>
                <w:kern w:val="0"/>
                <w:sz w:val="22"/>
                <w:szCs w:val="21"/>
                <w:highlight w:val="none"/>
              </w:rPr>
              <w:t>5</w:t>
            </w:r>
            <w:r>
              <w:rPr>
                <w:rFonts w:hint="eastAsia" w:ascii="宋体" w:hAnsi="宋体" w:eastAsia="宋体" w:cs="宋体"/>
                <w:bCs/>
                <w:color w:val="auto"/>
                <w:kern w:val="0"/>
                <w:sz w:val="22"/>
                <w:szCs w:val="21"/>
                <w:highlight w:val="none"/>
              </w:rPr>
              <w:t>分）：供应商服务保障方案简单、基本满足采购文件要求。</w:t>
            </w:r>
          </w:p>
          <w:p>
            <w:pPr>
              <w:spacing w:line="360" w:lineRule="auto"/>
              <w:ind w:firstLine="440" w:firstLineChars="200"/>
              <w:jc w:val="left"/>
              <w:rPr>
                <w:rFonts w:ascii="宋体" w:hAnsi="Times New Roman" w:eastAsia="宋体" w:cs="宋体"/>
                <w:bCs/>
                <w:color w:val="auto"/>
                <w:kern w:val="0"/>
                <w:sz w:val="22"/>
                <w:szCs w:val="21"/>
                <w:highlight w:val="none"/>
              </w:rPr>
            </w:pPr>
            <w:r>
              <w:rPr>
                <w:rFonts w:hint="eastAsia" w:ascii="宋体" w:hAnsi="宋体" w:eastAsia="宋体" w:cs="宋体"/>
                <w:bCs/>
                <w:color w:val="auto"/>
                <w:kern w:val="0"/>
                <w:sz w:val="22"/>
                <w:szCs w:val="21"/>
                <w:highlight w:val="none"/>
              </w:rPr>
              <w:t>二档（</w:t>
            </w:r>
            <w:r>
              <w:rPr>
                <w:rFonts w:ascii="宋体" w:hAnsi="宋体" w:eastAsia="宋体" w:cs="宋体"/>
                <w:bCs/>
                <w:color w:val="auto"/>
                <w:kern w:val="0"/>
                <w:sz w:val="22"/>
                <w:szCs w:val="21"/>
                <w:highlight w:val="none"/>
              </w:rPr>
              <w:t>10</w:t>
            </w:r>
            <w:r>
              <w:rPr>
                <w:rFonts w:hint="eastAsia" w:ascii="宋体" w:hAnsi="宋体" w:eastAsia="宋体" w:cs="宋体"/>
                <w:bCs/>
                <w:color w:val="auto"/>
                <w:kern w:val="0"/>
                <w:sz w:val="22"/>
                <w:szCs w:val="21"/>
                <w:highlight w:val="none"/>
              </w:rPr>
              <w:t>分）：供应商服务保障方案全面、可行，服务措施到位，能更好地为采购人服务。</w:t>
            </w:r>
          </w:p>
          <w:p>
            <w:pPr>
              <w:spacing w:line="360" w:lineRule="auto"/>
              <w:ind w:firstLine="440" w:firstLineChars="200"/>
              <w:rPr>
                <w:rFonts w:ascii="Times New Roman" w:hAnsi="宋体" w:eastAsia="宋体" w:cs="宋体"/>
                <w:bCs/>
                <w:color w:val="auto"/>
                <w:szCs w:val="24"/>
                <w:highlight w:val="none"/>
              </w:rPr>
            </w:pPr>
            <w:r>
              <w:rPr>
                <w:rFonts w:hint="eastAsia" w:ascii="宋体" w:hAnsi="宋体" w:eastAsia="宋体" w:cs="宋体"/>
                <w:bCs/>
                <w:color w:val="auto"/>
                <w:kern w:val="0"/>
                <w:sz w:val="22"/>
                <w:szCs w:val="21"/>
                <w:highlight w:val="none"/>
              </w:rPr>
              <w:t>三档（15分）：供应商服务保障方案详细、具体、有效，可操作性强，方案包含有项目售后维护、保密承诺及廉洁承诺等，且描述了项目售后维护和应急保障方案的方法以及实现方式 ，服务保障方案机构及联系人、技术人员名单等资料详细，服务承诺和保障措施考虑周全完整，有额外优惠服务。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30" w:type="dxa"/>
            <w:vAlign w:val="center"/>
          </w:tcPr>
          <w:p>
            <w:pPr>
              <w:adjustRightInd w:val="0"/>
              <w:spacing w:line="360" w:lineRule="auto"/>
              <w:jc w:val="center"/>
              <w:textAlignment w:val="baseline"/>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3</w:t>
            </w:r>
          </w:p>
        </w:tc>
        <w:tc>
          <w:tcPr>
            <w:tcW w:w="1280" w:type="dxa"/>
            <w:vAlign w:val="center"/>
          </w:tcPr>
          <w:p>
            <w:pPr>
              <w:adjustRightInd w:val="0"/>
              <w:spacing w:line="360" w:lineRule="auto"/>
              <w:jc w:val="center"/>
              <w:textAlignment w:val="baseline"/>
              <w:rPr>
                <w:rFonts w:ascii="宋体" w:hAnsi="宋体" w:eastAsia="宋体" w:cs="Times New Roman"/>
                <w:b/>
                <w:color w:val="auto"/>
                <w:szCs w:val="21"/>
                <w:highlight w:val="none"/>
              </w:rPr>
            </w:pPr>
            <w:r>
              <w:rPr>
                <w:rFonts w:hint="eastAsia" w:ascii="宋体" w:hAnsi="宋体" w:cs="Times New Roman"/>
                <w:b/>
                <w:color w:val="auto"/>
                <w:szCs w:val="21"/>
                <w:highlight w:val="none"/>
                <w:lang w:eastAsia="zh-CN"/>
              </w:rPr>
              <w:t>商务分</w:t>
            </w:r>
          </w:p>
        </w:tc>
        <w:tc>
          <w:tcPr>
            <w:tcW w:w="709" w:type="dxa"/>
            <w:vAlign w:val="center"/>
          </w:tcPr>
          <w:p>
            <w:pPr>
              <w:adjustRightInd w:val="0"/>
              <w:spacing w:line="360" w:lineRule="auto"/>
              <w:jc w:val="center"/>
              <w:textAlignment w:val="baseline"/>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满分14分</w:t>
            </w:r>
          </w:p>
        </w:tc>
        <w:tc>
          <w:tcPr>
            <w:tcW w:w="6909" w:type="dxa"/>
            <w:gridSpan w:val="2"/>
            <w:vAlign w:val="center"/>
          </w:tcPr>
          <w:p>
            <w:pPr>
              <w:spacing w:line="360" w:lineRule="auto"/>
              <w:jc w:val="left"/>
              <w:rPr>
                <w:rFonts w:ascii="宋体" w:hAnsi="Times New Roman" w:eastAsia="宋体" w:cs="宋体"/>
                <w:bCs/>
                <w:color w:val="auto"/>
                <w:kern w:val="0"/>
                <w:sz w:val="22"/>
                <w:szCs w:val="20"/>
                <w:highlight w:val="none"/>
              </w:rPr>
            </w:pPr>
            <w:r>
              <w:rPr>
                <w:rFonts w:ascii="宋体" w:hAnsi="宋体" w:eastAsia="宋体" w:cs="宋体"/>
                <w:bCs/>
                <w:color w:val="auto"/>
                <w:kern w:val="0"/>
                <w:sz w:val="22"/>
                <w:szCs w:val="21"/>
                <w:highlight w:val="none"/>
              </w:rPr>
              <w:t>1</w:t>
            </w:r>
            <w:r>
              <w:rPr>
                <w:rFonts w:hint="eastAsia" w:ascii="宋体" w:hAnsi="宋体" w:eastAsia="宋体" w:cs="宋体"/>
                <w:bCs/>
                <w:color w:val="auto"/>
                <w:kern w:val="0"/>
                <w:sz w:val="22"/>
                <w:szCs w:val="21"/>
                <w:highlight w:val="none"/>
              </w:rPr>
              <w:t>、</w:t>
            </w:r>
            <w:r>
              <w:rPr>
                <w:rFonts w:hint="eastAsia" w:ascii="宋体" w:hAnsi="宋体" w:eastAsia="宋体" w:cs="宋体"/>
                <w:bCs/>
                <w:color w:val="auto"/>
                <w:kern w:val="0"/>
                <w:sz w:val="22"/>
                <w:szCs w:val="20"/>
                <w:highlight w:val="none"/>
              </w:rPr>
              <w:t>供应商提供</w:t>
            </w:r>
            <w:r>
              <w:rPr>
                <w:rFonts w:ascii="宋体" w:hAnsi="宋体" w:eastAsia="宋体" w:cs="宋体"/>
                <w:bCs/>
                <w:color w:val="auto"/>
                <w:kern w:val="0"/>
                <w:sz w:val="22"/>
                <w:szCs w:val="20"/>
                <w:highlight w:val="none"/>
              </w:rPr>
              <w:t>2021</w:t>
            </w:r>
            <w:r>
              <w:rPr>
                <w:rFonts w:hint="eastAsia" w:ascii="宋体" w:hAnsi="宋体" w:eastAsia="宋体" w:cs="宋体"/>
                <w:bCs/>
                <w:color w:val="auto"/>
                <w:kern w:val="0"/>
                <w:sz w:val="22"/>
                <w:szCs w:val="20"/>
                <w:highlight w:val="none"/>
              </w:rPr>
              <w:t>年以来</w:t>
            </w:r>
            <w:r>
              <w:rPr>
                <w:rFonts w:hint="eastAsia" w:ascii="宋体" w:hAnsi="宋体" w:eastAsia="宋体" w:cs="宋体"/>
                <w:bCs/>
                <w:color w:val="auto"/>
                <w:kern w:val="0"/>
                <w:sz w:val="22"/>
                <w:szCs w:val="21"/>
                <w:highlight w:val="none"/>
              </w:rPr>
              <w:t>类似</w:t>
            </w:r>
            <w:r>
              <w:rPr>
                <w:rFonts w:hint="eastAsia" w:ascii="宋体" w:hAnsi="宋体" w:eastAsia="宋体" w:cs="宋体"/>
                <w:bCs/>
                <w:color w:val="auto"/>
                <w:kern w:val="0"/>
                <w:sz w:val="22"/>
                <w:szCs w:val="20"/>
                <w:highlight w:val="none"/>
              </w:rPr>
              <w:t>项目业绩，每个得</w:t>
            </w:r>
            <w:r>
              <w:rPr>
                <w:rFonts w:ascii="宋体" w:hAnsi="宋体" w:eastAsia="宋体" w:cs="宋体"/>
                <w:bCs/>
                <w:color w:val="auto"/>
                <w:kern w:val="0"/>
                <w:sz w:val="22"/>
                <w:szCs w:val="20"/>
                <w:highlight w:val="none"/>
              </w:rPr>
              <w:t>2</w:t>
            </w:r>
            <w:r>
              <w:rPr>
                <w:rFonts w:hint="eastAsia" w:ascii="宋体" w:hAnsi="宋体" w:eastAsia="宋体" w:cs="宋体"/>
                <w:bCs/>
                <w:color w:val="auto"/>
                <w:kern w:val="0"/>
                <w:sz w:val="22"/>
                <w:szCs w:val="20"/>
                <w:highlight w:val="none"/>
              </w:rPr>
              <w:t>分，</w:t>
            </w:r>
            <w:r>
              <w:rPr>
                <w:rFonts w:hint="eastAsia" w:ascii="宋体" w:hAnsi="宋体" w:eastAsia="宋体" w:cs="宋体"/>
                <w:b/>
                <w:bCs w:val="0"/>
                <w:color w:val="auto"/>
                <w:kern w:val="0"/>
                <w:sz w:val="22"/>
                <w:szCs w:val="20"/>
                <w:highlight w:val="none"/>
              </w:rPr>
              <w:t>满分</w:t>
            </w:r>
            <w:r>
              <w:rPr>
                <w:rFonts w:ascii="宋体" w:hAnsi="宋体" w:eastAsia="宋体" w:cs="宋体"/>
                <w:b/>
                <w:bCs w:val="0"/>
                <w:color w:val="auto"/>
                <w:kern w:val="0"/>
                <w:sz w:val="22"/>
                <w:szCs w:val="20"/>
                <w:highlight w:val="none"/>
              </w:rPr>
              <w:t>10</w:t>
            </w:r>
            <w:r>
              <w:rPr>
                <w:rFonts w:hint="eastAsia" w:ascii="宋体" w:hAnsi="宋体" w:eastAsia="宋体" w:cs="宋体"/>
                <w:b/>
                <w:bCs w:val="0"/>
                <w:color w:val="auto"/>
                <w:kern w:val="0"/>
                <w:sz w:val="22"/>
                <w:szCs w:val="20"/>
                <w:highlight w:val="none"/>
              </w:rPr>
              <w:t>分</w:t>
            </w:r>
            <w:r>
              <w:rPr>
                <w:rFonts w:hint="eastAsia" w:ascii="宋体" w:hAnsi="宋体" w:eastAsia="宋体" w:cs="宋体"/>
                <w:bCs/>
                <w:color w:val="auto"/>
                <w:kern w:val="0"/>
                <w:sz w:val="22"/>
                <w:szCs w:val="20"/>
                <w:highlight w:val="none"/>
              </w:rPr>
              <w:t>（提供合同或中标（成交）通知书复印件</w:t>
            </w:r>
            <w:r>
              <w:rPr>
                <w:rFonts w:hint="eastAsia" w:ascii="宋体" w:hAnsi="宋体" w:eastAsia="宋体" w:cs="宋体"/>
                <w:bCs/>
                <w:color w:val="auto"/>
                <w:kern w:val="0"/>
                <w:sz w:val="22"/>
                <w:szCs w:val="21"/>
                <w:highlight w:val="none"/>
              </w:rPr>
              <w:t>，原件备查，否则不得分</w:t>
            </w:r>
            <w:r>
              <w:rPr>
                <w:rFonts w:hint="eastAsia" w:ascii="宋体" w:hAnsi="宋体" w:eastAsia="宋体" w:cs="宋体"/>
                <w:bCs/>
                <w:color w:val="auto"/>
                <w:kern w:val="0"/>
                <w:sz w:val="22"/>
                <w:szCs w:val="20"/>
                <w:highlight w:val="none"/>
              </w:rPr>
              <w:t>）。</w:t>
            </w:r>
          </w:p>
          <w:p>
            <w:pPr>
              <w:spacing w:line="360" w:lineRule="auto"/>
              <w:jc w:val="left"/>
              <w:rPr>
                <w:rFonts w:ascii="宋体" w:hAnsi="Times New Roman" w:eastAsia="宋体" w:cs="宋体"/>
                <w:bCs/>
                <w:color w:val="auto"/>
                <w:kern w:val="0"/>
                <w:sz w:val="22"/>
                <w:szCs w:val="21"/>
                <w:highlight w:val="none"/>
              </w:rPr>
            </w:pPr>
            <w:r>
              <w:rPr>
                <w:rFonts w:ascii="宋体" w:hAnsi="宋体" w:eastAsia="宋体" w:cs="宋体"/>
                <w:color w:val="auto"/>
                <w:kern w:val="0"/>
                <w:sz w:val="22"/>
                <w:szCs w:val="21"/>
                <w:highlight w:val="none"/>
              </w:rPr>
              <w:t>2</w:t>
            </w:r>
            <w:r>
              <w:rPr>
                <w:rFonts w:hint="eastAsia" w:ascii="宋体" w:hAnsi="宋体" w:eastAsia="宋体" w:cs="宋体"/>
                <w:color w:val="auto"/>
                <w:kern w:val="0"/>
                <w:sz w:val="22"/>
                <w:szCs w:val="21"/>
                <w:highlight w:val="none"/>
              </w:rPr>
              <w:t>、供应商通过</w:t>
            </w:r>
            <w:r>
              <w:rPr>
                <w:rFonts w:ascii="宋体" w:hAnsi="宋体" w:eastAsia="宋体" w:cs="宋体"/>
                <w:color w:val="auto"/>
                <w:kern w:val="0"/>
                <w:sz w:val="22"/>
                <w:szCs w:val="21"/>
                <w:highlight w:val="none"/>
              </w:rPr>
              <w:t>ISO9001</w:t>
            </w:r>
            <w:r>
              <w:rPr>
                <w:rFonts w:hint="eastAsia" w:ascii="宋体" w:hAnsi="宋体" w:eastAsia="宋体" w:cs="宋体"/>
                <w:color w:val="auto"/>
                <w:kern w:val="0"/>
                <w:sz w:val="22"/>
                <w:szCs w:val="21"/>
                <w:highlight w:val="none"/>
              </w:rPr>
              <w:t>质量管理标准认证，得</w:t>
            </w:r>
            <w:r>
              <w:rPr>
                <w:rFonts w:ascii="宋体" w:hAnsi="宋体" w:eastAsia="宋体" w:cs="宋体"/>
                <w:color w:val="auto"/>
                <w:kern w:val="0"/>
                <w:sz w:val="22"/>
                <w:szCs w:val="21"/>
                <w:highlight w:val="none"/>
              </w:rPr>
              <w:t>1</w:t>
            </w:r>
            <w:r>
              <w:rPr>
                <w:rFonts w:hint="eastAsia" w:ascii="宋体" w:hAnsi="宋体" w:eastAsia="宋体" w:cs="宋体"/>
                <w:color w:val="auto"/>
                <w:kern w:val="0"/>
                <w:sz w:val="22"/>
                <w:szCs w:val="21"/>
                <w:highlight w:val="none"/>
              </w:rPr>
              <w:t>分，</w:t>
            </w:r>
            <w:r>
              <w:rPr>
                <w:rFonts w:hint="eastAsia" w:ascii="宋体" w:hAnsi="宋体" w:eastAsia="宋体" w:cs="宋体"/>
                <w:b/>
                <w:bCs/>
                <w:color w:val="auto"/>
                <w:kern w:val="0"/>
                <w:sz w:val="22"/>
                <w:szCs w:val="21"/>
                <w:highlight w:val="none"/>
              </w:rPr>
              <w:t>满分</w:t>
            </w:r>
            <w:r>
              <w:rPr>
                <w:rFonts w:ascii="宋体" w:hAnsi="宋体" w:eastAsia="宋体" w:cs="宋体"/>
                <w:b/>
                <w:bCs/>
                <w:color w:val="auto"/>
                <w:kern w:val="0"/>
                <w:sz w:val="22"/>
                <w:szCs w:val="21"/>
                <w:highlight w:val="none"/>
              </w:rPr>
              <w:t>1</w:t>
            </w:r>
            <w:r>
              <w:rPr>
                <w:rFonts w:hint="eastAsia" w:ascii="宋体" w:hAnsi="宋体" w:eastAsia="宋体" w:cs="宋体"/>
                <w:b/>
                <w:bCs/>
                <w:color w:val="auto"/>
                <w:kern w:val="0"/>
                <w:sz w:val="22"/>
                <w:szCs w:val="21"/>
                <w:highlight w:val="none"/>
              </w:rPr>
              <w:t>分</w:t>
            </w:r>
            <w:r>
              <w:rPr>
                <w:rFonts w:hint="eastAsia" w:ascii="宋体" w:hAnsi="宋体" w:eastAsia="宋体" w:cs="宋体"/>
                <w:color w:val="auto"/>
                <w:kern w:val="0"/>
                <w:sz w:val="22"/>
                <w:szCs w:val="21"/>
                <w:highlight w:val="none"/>
              </w:rPr>
              <w:t>。</w:t>
            </w:r>
          </w:p>
          <w:p>
            <w:pPr>
              <w:spacing w:line="360" w:lineRule="auto"/>
              <w:jc w:val="left"/>
              <w:rPr>
                <w:rFonts w:ascii="宋体" w:hAnsi="Times New Roman" w:eastAsia="宋体" w:cs="宋体"/>
                <w:color w:val="auto"/>
                <w:kern w:val="0"/>
                <w:sz w:val="22"/>
                <w:szCs w:val="21"/>
                <w:highlight w:val="none"/>
              </w:rPr>
            </w:pPr>
            <w:r>
              <w:rPr>
                <w:rFonts w:ascii="宋体" w:hAnsi="宋体" w:eastAsia="宋体" w:cs="宋体"/>
                <w:color w:val="auto"/>
                <w:kern w:val="0"/>
                <w:sz w:val="22"/>
                <w:szCs w:val="21"/>
                <w:highlight w:val="none"/>
              </w:rPr>
              <w:t>3</w:t>
            </w:r>
            <w:r>
              <w:rPr>
                <w:rFonts w:hint="eastAsia" w:ascii="宋体" w:hAnsi="宋体" w:eastAsia="宋体" w:cs="宋体"/>
                <w:color w:val="auto"/>
                <w:kern w:val="0"/>
                <w:sz w:val="22"/>
                <w:szCs w:val="21"/>
                <w:highlight w:val="none"/>
              </w:rPr>
              <w:t>、供应商获得科学技术奖荣誉证书，得</w:t>
            </w:r>
            <w:r>
              <w:rPr>
                <w:rFonts w:ascii="宋体" w:hAnsi="宋体" w:eastAsia="宋体" w:cs="宋体"/>
                <w:color w:val="auto"/>
                <w:kern w:val="0"/>
                <w:sz w:val="22"/>
                <w:szCs w:val="21"/>
                <w:highlight w:val="none"/>
              </w:rPr>
              <w:t>2</w:t>
            </w:r>
            <w:r>
              <w:rPr>
                <w:rFonts w:hint="eastAsia" w:ascii="宋体" w:hAnsi="宋体" w:eastAsia="宋体" w:cs="宋体"/>
                <w:color w:val="auto"/>
                <w:kern w:val="0"/>
                <w:sz w:val="22"/>
                <w:szCs w:val="21"/>
                <w:highlight w:val="none"/>
              </w:rPr>
              <w:t>分，</w:t>
            </w:r>
            <w:r>
              <w:rPr>
                <w:rFonts w:hint="eastAsia" w:ascii="宋体" w:hAnsi="宋体" w:eastAsia="宋体" w:cs="宋体"/>
                <w:b/>
                <w:bCs/>
                <w:color w:val="auto"/>
                <w:kern w:val="0"/>
                <w:sz w:val="22"/>
                <w:szCs w:val="21"/>
                <w:highlight w:val="none"/>
              </w:rPr>
              <w:t>满分</w:t>
            </w:r>
            <w:r>
              <w:rPr>
                <w:rFonts w:ascii="宋体" w:hAnsi="宋体" w:eastAsia="宋体" w:cs="宋体"/>
                <w:b/>
                <w:bCs/>
                <w:color w:val="auto"/>
                <w:kern w:val="0"/>
                <w:sz w:val="22"/>
                <w:szCs w:val="21"/>
                <w:highlight w:val="none"/>
              </w:rPr>
              <w:t>2</w:t>
            </w:r>
            <w:r>
              <w:rPr>
                <w:rFonts w:hint="eastAsia" w:ascii="宋体" w:hAnsi="宋体" w:eastAsia="宋体" w:cs="宋体"/>
                <w:b/>
                <w:bCs/>
                <w:color w:val="auto"/>
                <w:kern w:val="0"/>
                <w:sz w:val="22"/>
                <w:szCs w:val="21"/>
                <w:highlight w:val="none"/>
              </w:rPr>
              <w:t>分</w:t>
            </w:r>
            <w:r>
              <w:rPr>
                <w:rFonts w:hint="eastAsia" w:ascii="宋体" w:hAnsi="宋体" w:eastAsia="宋体" w:cs="宋体"/>
                <w:color w:val="auto"/>
                <w:kern w:val="0"/>
                <w:sz w:val="22"/>
                <w:szCs w:val="21"/>
                <w:highlight w:val="none"/>
              </w:rPr>
              <w:t>。</w:t>
            </w:r>
          </w:p>
          <w:p>
            <w:pPr>
              <w:spacing w:line="360" w:lineRule="auto"/>
              <w:jc w:val="left"/>
              <w:rPr>
                <w:rFonts w:ascii="宋体" w:hAnsi="宋体" w:eastAsia="宋体" w:cs="宋体"/>
                <w:color w:val="auto"/>
                <w:kern w:val="0"/>
                <w:sz w:val="22"/>
                <w:szCs w:val="21"/>
                <w:highlight w:val="none"/>
              </w:rPr>
            </w:pPr>
            <w:r>
              <w:rPr>
                <w:rFonts w:ascii="宋体" w:hAnsi="宋体" w:eastAsia="宋体" w:cs="宋体"/>
                <w:color w:val="auto"/>
                <w:kern w:val="0"/>
                <w:sz w:val="22"/>
                <w:szCs w:val="21"/>
                <w:highlight w:val="none"/>
              </w:rPr>
              <w:t>4</w:t>
            </w:r>
            <w:r>
              <w:rPr>
                <w:rFonts w:hint="eastAsia" w:ascii="宋体" w:hAnsi="宋体" w:eastAsia="宋体" w:cs="宋体"/>
                <w:color w:val="auto"/>
                <w:kern w:val="0"/>
                <w:sz w:val="22"/>
                <w:szCs w:val="21"/>
                <w:highlight w:val="none"/>
              </w:rPr>
              <w:t>、供应商具</w:t>
            </w:r>
            <w:r>
              <w:rPr>
                <w:rFonts w:hint="eastAsia" w:ascii="宋体" w:hAnsi="宋体" w:cs="宋体"/>
                <w:color w:val="auto"/>
                <w:kern w:val="0"/>
                <w:sz w:val="22"/>
                <w:szCs w:val="21"/>
                <w:highlight w:val="none"/>
                <w:lang w:eastAsia="zh-CN"/>
              </w:rPr>
              <w:t>有</w:t>
            </w:r>
            <w:r>
              <w:rPr>
                <w:rFonts w:hint="eastAsia" w:ascii="宋体" w:hAnsi="宋体" w:eastAsia="宋体" w:cs="宋体"/>
                <w:color w:val="auto"/>
                <w:kern w:val="0"/>
                <w:sz w:val="22"/>
                <w:szCs w:val="21"/>
                <w:highlight w:val="none"/>
              </w:rPr>
              <w:t>信息系统运行维护</w:t>
            </w:r>
            <w:r>
              <w:rPr>
                <w:rFonts w:hint="eastAsia" w:ascii="宋体" w:hAnsi="宋体" w:cs="宋体"/>
                <w:color w:val="auto"/>
                <w:kern w:val="0"/>
                <w:sz w:val="22"/>
                <w:szCs w:val="21"/>
                <w:highlight w:val="none"/>
                <w:lang w:eastAsia="zh-CN"/>
              </w:rPr>
              <w:t>能力证书</w:t>
            </w:r>
            <w:r>
              <w:rPr>
                <w:rFonts w:hint="eastAsia" w:ascii="宋体" w:hAnsi="宋体" w:eastAsia="宋体" w:cs="宋体"/>
                <w:color w:val="auto"/>
                <w:kern w:val="0"/>
                <w:sz w:val="22"/>
                <w:szCs w:val="21"/>
                <w:highlight w:val="none"/>
              </w:rPr>
              <w:t>得</w:t>
            </w:r>
            <w:r>
              <w:rPr>
                <w:rFonts w:ascii="宋体" w:hAnsi="宋体" w:eastAsia="宋体" w:cs="宋体"/>
                <w:color w:val="auto"/>
                <w:kern w:val="0"/>
                <w:sz w:val="22"/>
                <w:szCs w:val="21"/>
                <w:highlight w:val="none"/>
              </w:rPr>
              <w:t>1</w:t>
            </w:r>
            <w:r>
              <w:rPr>
                <w:rFonts w:hint="eastAsia" w:ascii="宋体" w:hAnsi="宋体" w:eastAsia="宋体" w:cs="宋体"/>
                <w:color w:val="auto"/>
                <w:kern w:val="0"/>
                <w:sz w:val="22"/>
                <w:szCs w:val="21"/>
                <w:highlight w:val="none"/>
              </w:rPr>
              <w:t>分，</w:t>
            </w:r>
            <w:r>
              <w:rPr>
                <w:rFonts w:hint="eastAsia" w:ascii="宋体" w:hAnsi="宋体" w:eastAsia="宋体" w:cs="宋体"/>
                <w:b/>
                <w:bCs/>
                <w:color w:val="auto"/>
                <w:kern w:val="0"/>
                <w:sz w:val="22"/>
                <w:szCs w:val="21"/>
                <w:highlight w:val="none"/>
              </w:rPr>
              <w:t>满分</w:t>
            </w:r>
            <w:r>
              <w:rPr>
                <w:rFonts w:ascii="宋体" w:hAnsi="宋体" w:eastAsia="宋体" w:cs="宋体"/>
                <w:b/>
                <w:bCs/>
                <w:color w:val="auto"/>
                <w:kern w:val="0"/>
                <w:sz w:val="22"/>
                <w:szCs w:val="21"/>
                <w:highlight w:val="none"/>
              </w:rPr>
              <w:t>1</w:t>
            </w:r>
            <w:r>
              <w:rPr>
                <w:rFonts w:hint="eastAsia" w:ascii="宋体" w:hAnsi="宋体" w:eastAsia="宋体" w:cs="宋体"/>
                <w:b/>
                <w:bCs/>
                <w:color w:val="auto"/>
                <w:kern w:val="0"/>
                <w:sz w:val="22"/>
                <w:szCs w:val="21"/>
                <w:highlight w:val="none"/>
              </w:rPr>
              <w:t>分</w:t>
            </w:r>
            <w:r>
              <w:rPr>
                <w:rFonts w:hint="eastAsia" w:ascii="宋体" w:hAnsi="宋体" w:eastAsia="宋体" w:cs="宋体"/>
                <w:color w:val="auto"/>
                <w:kern w:val="0"/>
                <w:sz w:val="22"/>
                <w:szCs w:val="21"/>
                <w:highlight w:val="none"/>
              </w:rPr>
              <w:t>。</w:t>
            </w:r>
          </w:p>
          <w:p>
            <w:pPr>
              <w:spacing w:line="360" w:lineRule="auto"/>
              <w:jc w:val="left"/>
              <w:rPr>
                <w:rFonts w:ascii="宋体" w:hAnsi="Times New Roman" w:eastAsia="宋体" w:cs="宋体"/>
                <w:color w:val="auto"/>
                <w:kern w:val="0"/>
                <w:sz w:val="22"/>
                <w:szCs w:val="21"/>
                <w:highlight w:val="none"/>
              </w:rPr>
            </w:pPr>
            <w:r>
              <w:rPr>
                <w:rFonts w:hint="eastAsia" w:ascii="宋体" w:hAnsi="宋体" w:eastAsia="宋体" w:cs="Times New Roman"/>
                <w:bCs/>
                <w:color w:val="auto"/>
                <w:kern w:val="0"/>
                <w:sz w:val="22"/>
                <w:szCs w:val="24"/>
                <w:highlight w:val="none"/>
              </w:rPr>
              <w:t>以上材料须提供复印件加盖公章。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28" w:type="dxa"/>
            <w:gridSpan w:val="5"/>
            <w:vAlign w:val="center"/>
          </w:tcPr>
          <w:p>
            <w:pPr>
              <w:spacing w:line="360" w:lineRule="auto"/>
              <w:rPr>
                <w:rFonts w:ascii="宋体" w:hAnsi="宋体" w:eastAsia="宋体" w:cs="Courier New"/>
                <w:bCs/>
                <w:color w:val="auto"/>
                <w:szCs w:val="21"/>
                <w:highlight w:val="none"/>
              </w:rPr>
            </w:pPr>
            <w:r>
              <w:rPr>
                <w:rFonts w:hint="eastAsia" w:ascii="宋体" w:hAnsi="宋体" w:eastAsia="宋体" w:cs="Courier New"/>
                <w:b/>
                <w:bCs/>
                <w:color w:val="auto"/>
                <w:szCs w:val="21"/>
                <w:highlight w:val="none"/>
              </w:rPr>
              <w:t>总得分=1+2+3。</w:t>
            </w:r>
          </w:p>
        </w:tc>
      </w:tr>
    </w:tbl>
    <w:p>
      <w:pPr>
        <w:rPr>
          <w:rFonts w:hint="eastAsia" w:ascii="宋体" w:hAnsi="宋体" w:cs="宋体"/>
          <w:bCs/>
          <w:color w:val="auto"/>
          <w:szCs w:val="21"/>
          <w:highlight w:val="none"/>
        </w:rPr>
      </w:pPr>
    </w:p>
    <w:p>
      <w:pPr>
        <w:rPr>
          <w:rFonts w:ascii="宋体" w:hAnsi="宋体" w:cs="宋体"/>
          <w:color w:val="auto"/>
          <w:highlight w:val="none"/>
        </w:rPr>
      </w:pPr>
      <w:r>
        <w:rPr>
          <w:rFonts w:hint="eastAsia" w:ascii="宋体" w:hAnsi="宋体" w:cs="宋体"/>
          <w:bCs/>
          <w:color w:val="auto"/>
          <w:szCs w:val="21"/>
          <w:highlight w:val="none"/>
        </w:rPr>
        <w:t>7.由磋商小组根据综合评分情况，按照评审得分由高到低顺序推荐3名以上成交候选供应商，并编写评审报告。符合本章第</w:t>
      </w:r>
      <w:r>
        <w:rPr>
          <w:rFonts w:hint="eastAsia" w:ascii="宋体" w:hAnsi="宋体" w:cs="宋体"/>
          <w:color w:val="auto"/>
          <w:szCs w:val="21"/>
          <w:highlight w:val="none"/>
        </w:rPr>
        <w:t>2.7、3.</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、4.3</w:t>
      </w:r>
      <w:r>
        <w:rPr>
          <w:rFonts w:hint="eastAsia" w:ascii="宋体" w:hAnsi="宋体" w:cs="宋体"/>
          <w:bCs/>
          <w:color w:val="auto"/>
          <w:szCs w:val="21"/>
          <w:highlight w:val="none"/>
        </w:rPr>
        <w:t>条情形的，可以推荐2家成交候选供应商。评审得分相同的，按照最后报价（不计算价格折扣）由低到高的顺序推荐。评审得分且最后报价（不计算价格折扣）相同的，按照技术指标优劣顺序推荐（</w:t>
      </w:r>
      <w:r>
        <w:rPr>
          <w:rFonts w:hint="eastAsia" w:ascii="宋体" w:hAnsi="宋体" w:cs="宋体"/>
          <w:color w:val="auto"/>
          <w:szCs w:val="21"/>
          <w:highlight w:val="none"/>
        </w:rPr>
        <w:t>按综合评分中服务水平、履约能力得分高低依次确定</w:t>
      </w:r>
      <w:r>
        <w:rPr>
          <w:rFonts w:hint="eastAsia" w:ascii="宋体" w:hAnsi="宋体" w:cs="宋体"/>
          <w:bCs/>
          <w:color w:val="auto"/>
          <w:szCs w:val="21"/>
          <w:highlight w:val="none"/>
        </w:rPr>
        <w:t>）。</w:t>
      </w: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pStyle w:val="5"/>
        <w:jc w:val="center"/>
        <w:rPr>
          <w:rFonts w:ascii="宋体" w:hAnsi="宋体" w:cs="宋体"/>
          <w:color w:val="auto"/>
          <w:highlight w:val="none"/>
        </w:rPr>
      </w:pPr>
      <w:bookmarkStart w:id="54" w:name="_Toc74323460"/>
      <w:r>
        <w:rPr>
          <w:rFonts w:hint="eastAsia" w:ascii="宋体" w:hAnsi="宋体" w:cs="宋体"/>
          <w:color w:val="auto"/>
          <w:highlight w:val="none"/>
        </w:rPr>
        <w:br w:type="page"/>
      </w:r>
      <w:r>
        <w:rPr>
          <w:rFonts w:hint="eastAsia" w:ascii="宋体" w:hAnsi="宋体" w:cs="宋体"/>
          <w:color w:val="auto"/>
          <w:highlight w:val="none"/>
        </w:rPr>
        <w:t>第五章 响应文件格式</w:t>
      </w:r>
      <w:bookmarkEnd w:id="54"/>
    </w:p>
    <w:p>
      <w:pPr>
        <w:spacing w:line="240" w:lineRule="atLeast"/>
        <w:rPr>
          <w:rFonts w:ascii="宋体" w:hAnsi="宋体" w:cs="宋体"/>
          <w:b/>
          <w:color w:val="auto"/>
          <w:sz w:val="32"/>
          <w:szCs w:val="32"/>
          <w:highlight w:val="none"/>
        </w:rPr>
      </w:pPr>
    </w:p>
    <w:p>
      <w:pPr>
        <w:spacing w:line="240" w:lineRule="atLeast"/>
        <w:rPr>
          <w:rFonts w:ascii="宋体" w:hAnsi="宋体" w:cs="宋体"/>
          <w:b/>
          <w:color w:val="auto"/>
          <w:sz w:val="32"/>
          <w:szCs w:val="32"/>
          <w:highlight w:val="none"/>
        </w:rPr>
      </w:pPr>
    </w:p>
    <w:p>
      <w:pPr>
        <w:spacing w:line="240" w:lineRule="atLeast"/>
        <w:rPr>
          <w:rFonts w:ascii="宋体" w:hAnsi="宋体" w:cs="宋体"/>
          <w:b/>
          <w:color w:val="auto"/>
          <w:sz w:val="32"/>
          <w:szCs w:val="32"/>
          <w:highlight w:val="none"/>
        </w:rPr>
      </w:pPr>
    </w:p>
    <w:p>
      <w:pPr>
        <w:spacing w:line="240" w:lineRule="atLeast"/>
        <w:rPr>
          <w:rFonts w:ascii="宋体" w:hAnsi="宋体" w:cs="宋体"/>
          <w:b/>
          <w:color w:val="auto"/>
          <w:sz w:val="32"/>
          <w:szCs w:val="32"/>
          <w:highlight w:val="none"/>
        </w:rPr>
      </w:pPr>
    </w:p>
    <w:p>
      <w:pPr>
        <w:spacing w:line="240" w:lineRule="atLeast"/>
        <w:rPr>
          <w:rFonts w:ascii="宋体" w:hAnsi="宋体" w:cs="宋体"/>
          <w:b/>
          <w:color w:val="auto"/>
          <w:sz w:val="32"/>
          <w:szCs w:val="32"/>
          <w:highlight w:val="none"/>
        </w:rPr>
      </w:pPr>
    </w:p>
    <w:p>
      <w:pPr>
        <w:spacing w:line="240" w:lineRule="atLeast"/>
        <w:rPr>
          <w:rFonts w:ascii="宋体" w:hAnsi="宋体" w:cs="宋体"/>
          <w:b/>
          <w:color w:val="auto"/>
          <w:sz w:val="32"/>
          <w:szCs w:val="32"/>
          <w:highlight w:val="none"/>
        </w:rPr>
      </w:pPr>
    </w:p>
    <w:p>
      <w:pPr>
        <w:spacing w:line="240" w:lineRule="atLeast"/>
        <w:rPr>
          <w:rFonts w:ascii="宋体" w:hAnsi="宋体" w:cs="宋体"/>
          <w:b/>
          <w:color w:val="auto"/>
          <w:sz w:val="32"/>
          <w:szCs w:val="32"/>
          <w:highlight w:val="none"/>
        </w:rPr>
      </w:pPr>
    </w:p>
    <w:p>
      <w:pPr>
        <w:spacing w:line="240" w:lineRule="atLeast"/>
        <w:rPr>
          <w:rFonts w:ascii="宋体" w:hAnsi="宋体" w:cs="宋体"/>
          <w:b/>
          <w:color w:val="auto"/>
          <w:sz w:val="32"/>
          <w:szCs w:val="32"/>
          <w:highlight w:val="none"/>
        </w:rPr>
      </w:pPr>
    </w:p>
    <w:p>
      <w:pPr>
        <w:spacing w:line="240" w:lineRule="atLeast"/>
        <w:rPr>
          <w:rFonts w:ascii="宋体" w:hAnsi="宋体" w:cs="宋体"/>
          <w:b/>
          <w:color w:val="auto"/>
          <w:sz w:val="32"/>
          <w:szCs w:val="32"/>
          <w:highlight w:val="none"/>
        </w:rPr>
      </w:pPr>
    </w:p>
    <w:p>
      <w:pPr>
        <w:spacing w:line="240" w:lineRule="atLeast"/>
        <w:rPr>
          <w:rFonts w:ascii="宋体" w:hAnsi="宋体" w:cs="宋体"/>
          <w:bCs/>
          <w:color w:val="auto"/>
          <w:sz w:val="32"/>
          <w:szCs w:val="32"/>
          <w:highlight w:val="none"/>
        </w:rPr>
      </w:pPr>
    </w:p>
    <w:p>
      <w:pPr>
        <w:rPr>
          <w:rFonts w:ascii="宋体" w:hAnsi="宋体" w:cs="宋体"/>
          <w:b/>
          <w:color w:val="auto"/>
          <w:sz w:val="32"/>
          <w:szCs w:val="32"/>
          <w:highlight w:val="none"/>
        </w:rPr>
      </w:pPr>
      <w:bookmarkStart w:id="55" w:name="_Toc35611438"/>
      <w:bookmarkStart w:id="56" w:name="_Toc44229899"/>
      <w:bookmarkStart w:id="57" w:name="_Toc31728084"/>
      <w:bookmarkStart w:id="58" w:name="_Toc35611516"/>
      <w:bookmarkStart w:id="59" w:name="_Toc31723070"/>
      <w:bookmarkStart w:id="60" w:name="_Toc71365925"/>
      <w:r>
        <w:rPr>
          <w:rFonts w:hint="eastAsia" w:ascii="宋体" w:hAnsi="宋体" w:cs="宋体"/>
          <w:b/>
          <w:color w:val="auto"/>
          <w:sz w:val="32"/>
          <w:szCs w:val="32"/>
          <w:highlight w:val="none"/>
        </w:rPr>
        <w:br w:type="page"/>
      </w:r>
      <w:r>
        <w:rPr>
          <w:rFonts w:hint="eastAsia" w:ascii="宋体" w:hAnsi="宋体" w:cs="宋体"/>
          <w:b/>
          <w:color w:val="auto"/>
          <w:sz w:val="32"/>
          <w:szCs w:val="32"/>
          <w:highlight w:val="none"/>
        </w:rPr>
        <w:t>一、资格证明文件格式</w:t>
      </w:r>
      <w:bookmarkEnd w:id="55"/>
      <w:bookmarkEnd w:id="56"/>
      <w:bookmarkEnd w:id="57"/>
      <w:bookmarkEnd w:id="58"/>
      <w:bookmarkEnd w:id="59"/>
      <w:bookmarkEnd w:id="60"/>
    </w:p>
    <w:p>
      <w:pPr>
        <w:snapToGrid w:val="0"/>
        <w:spacing w:before="156" w:beforeLines="50" w:after="50" w:line="360" w:lineRule="auto"/>
        <w:jc w:val="left"/>
        <w:rPr>
          <w:rFonts w:ascii="宋体" w:hAnsi="宋体" w:cs="宋体"/>
          <w:b/>
          <w:color w:val="auto"/>
          <w:sz w:val="24"/>
          <w:highlight w:val="none"/>
        </w:rPr>
      </w:pPr>
      <w:r>
        <w:rPr>
          <w:rFonts w:hint="eastAsia" w:ascii="宋体" w:hAnsi="宋体" w:cs="宋体"/>
          <w:b/>
          <w:color w:val="auto"/>
          <w:sz w:val="32"/>
          <w:szCs w:val="32"/>
          <w:highlight w:val="none"/>
        </w:rPr>
        <w:t>1.资格证明文件封面格式：</w:t>
      </w:r>
      <w:r>
        <w:rPr>
          <w:rFonts w:hint="eastAsia" w:ascii="宋体" w:hAnsi="宋体" w:cs="宋体"/>
          <w:b/>
          <w:color w:val="auto"/>
          <w:sz w:val="24"/>
          <w:highlight w:val="none"/>
        </w:rPr>
        <w:t xml:space="preserve"> </w:t>
      </w:r>
    </w:p>
    <w:p>
      <w:pPr>
        <w:snapToGrid w:val="0"/>
        <w:spacing w:before="156" w:beforeLines="50" w:after="50"/>
        <w:rPr>
          <w:rFonts w:ascii="宋体" w:hAnsi="宋体" w:cs="宋体"/>
          <w:bCs/>
          <w:color w:val="auto"/>
          <w:sz w:val="32"/>
          <w:szCs w:val="20"/>
          <w:highlight w:val="none"/>
        </w:rPr>
      </w:pPr>
      <w:r>
        <w:rPr>
          <w:rFonts w:hint="eastAsia" w:ascii="宋体" w:hAnsi="宋体" w:cs="宋体"/>
          <w:color w:val="auto"/>
          <w:sz w:val="24"/>
          <w:highlight w:val="none"/>
        </w:rPr>
        <w:t xml:space="preserve">                                                    </w:t>
      </w:r>
    </w:p>
    <w:p>
      <w:pPr>
        <w:snapToGrid w:val="0"/>
        <w:spacing w:before="156" w:beforeLines="50" w:after="50"/>
        <w:rPr>
          <w:rFonts w:ascii="宋体" w:hAnsi="宋体" w:cs="宋体"/>
          <w:color w:val="auto"/>
          <w:sz w:val="24"/>
          <w:szCs w:val="20"/>
          <w:highlight w:val="none"/>
        </w:rPr>
      </w:pPr>
    </w:p>
    <w:p>
      <w:pPr>
        <w:snapToGrid w:val="0"/>
        <w:spacing w:before="156" w:beforeLines="50" w:after="50"/>
        <w:jc w:val="center"/>
        <w:rPr>
          <w:rFonts w:ascii="宋体" w:hAnsi="宋体" w:cs="宋体"/>
          <w:bCs/>
          <w:color w:val="auto"/>
          <w:sz w:val="84"/>
          <w:szCs w:val="84"/>
          <w:highlight w:val="none"/>
        </w:rPr>
      </w:pPr>
      <w:r>
        <w:rPr>
          <w:rFonts w:hint="eastAsia" w:ascii="宋体" w:hAnsi="宋体" w:cs="宋体"/>
          <w:bCs/>
          <w:color w:val="auto"/>
          <w:sz w:val="84"/>
          <w:szCs w:val="84"/>
          <w:highlight w:val="none"/>
        </w:rPr>
        <w:t>响  应  文  件</w:t>
      </w:r>
    </w:p>
    <w:p>
      <w:pPr>
        <w:snapToGrid w:val="0"/>
        <w:spacing w:before="156" w:beforeLines="50" w:after="50"/>
        <w:jc w:val="center"/>
        <w:rPr>
          <w:rFonts w:ascii="宋体" w:hAnsi="宋体" w:cs="宋体"/>
          <w:bCs/>
          <w:color w:val="auto"/>
          <w:sz w:val="44"/>
          <w:szCs w:val="44"/>
          <w:highlight w:val="none"/>
        </w:rPr>
      </w:pPr>
    </w:p>
    <w:p>
      <w:pPr>
        <w:snapToGrid w:val="0"/>
        <w:spacing w:before="156" w:beforeLines="50" w:after="50"/>
        <w:jc w:val="center"/>
        <w:rPr>
          <w:rFonts w:ascii="宋体" w:hAnsi="宋体" w:cs="宋体"/>
          <w:bCs/>
          <w:color w:val="auto"/>
          <w:sz w:val="32"/>
          <w:szCs w:val="32"/>
          <w:highlight w:val="none"/>
        </w:rPr>
      </w:pPr>
      <w:r>
        <w:rPr>
          <w:rFonts w:hint="eastAsia" w:ascii="宋体" w:hAnsi="宋体" w:cs="宋体"/>
          <w:bCs/>
          <w:color w:val="auto"/>
          <w:sz w:val="32"/>
          <w:szCs w:val="32"/>
          <w:highlight w:val="none"/>
        </w:rPr>
        <w:t>资  格  证  明  文  件</w:t>
      </w:r>
    </w:p>
    <w:p>
      <w:pPr>
        <w:snapToGrid w:val="0"/>
        <w:spacing w:before="156" w:beforeLines="50" w:after="50"/>
        <w:rPr>
          <w:rFonts w:ascii="宋体" w:hAnsi="宋体" w:cs="宋体"/>
          <w:bCs/>
          <w:color w:val="auto"/>
          <w:sz w:val="24"/>
          <w:szCs w:val="20"/>
          <w:highlight w:val="none"/>
        </w:rPr>
      </w:pPr>
    </w:p>
    <w:p>
      <w:pPr>
        <w:snapToGrid w:val="0"/>
        <w:spacing w:before="156" w:beforeLines="50" w:after="50"/>
        <w:rPr>
          <w:rFonts w:ascii="宋体" w:hAnsi="宋体" w:cs="宋体"/>
          <w:bCs/>
          <w:color w:val="auto"/>
          <w:sz w:val="24"/>
          <w:szCs w:val="20"/>
          <w:highlight w:val="none"/>
        </w:rPr>
      </w:pPr>
    </w:p>
    <w:p>
      <w:pPr>
        <w:snapToGrid w:val="0"/>
        <w:spacing w:before="156" w:beforeLines="50" w:after="50"/>
        <w:rPr>
          <w:rFonts w:ascii="宋体" w:hAnsi="宋体" w:cs="宋体"/>
          <w:bCs/>
          <w:color w:val="auto"/>
          <w:sz w:val="24"/>
          <w:szCs w:val="20"/>
          <w:highlight w:val="none"/>
        </w:rPr>
      </w:pPr>
    </w:p>
    <w:p>
      <w:pPr>
        <w:snapToGrid w:val="0"/>
        <w:spacing w:before="156" w:beforeLines="50" w:after="50"/>
        <w:ind w:firstLine="640" w:firstLineChars="200"/>
        <w:rPr>
          <w:rFonts w:ascii="宋体" w:hAnsi="宋体" w:cs="宋体"/>
          <w:bCs/>
          <w:color w:val="auto"/>
          <w:sz w:val="32"/>
          <w:szCs w:val="32"/>
          <w:highlight w:val="none"/>
        </w:rPr>
      </w:pPr>
      <w:r>
        <w:rPr>
          <w:rFonts w:hint="eastAsia" w:ascii="宋体" w:hAnsi="宋体" w:cs="宋体"/>
          <w:bCs/>
          <w:color w:val="auto"/>
          <w:sz w:val="32"/>
          <w:szCs w:val="32"/>
          <w:highlight w:val="none"/>
        </w:rPr>
        <w:t>项目名称：</w:t>
      </w:r>
    </w:p>
    <w:p>
      <w:pPr>
        <w:snapToGrid w:val="0"/>
        <w:spacing w:before="156" w:beforeLines="50" w:after="50"/>
        <w:ind w:firstLine="720" w:firstLineChars="225"/>
        <w:rPr>
          <w:rFonts w:ascii="宋体" w:hAnsi="宋体" w:cs="宋体"/>
          <w:bCs/>
          <w:color w:val="auto"/>
          <w:sz w:val="32"/>
          <w:szCs w:val="32"/>
          <w:highlight w:val="none"/>
        </w:rPr>
      </w:pPr>
    </w:p>
    <w:p>
      <w:pPr>
        <w:snapToGrid w:val="0"/>
        <w:spacing w:before="156" w:beforeLines="50" w:after="50"/>
        <w:ind w:firstLine="720" w:firstLineChars="225"/>
        <w:rPr>
          <w:rFonts w:ascii="宋体" w:hAnsi="宋体" w:cs="宋体"/>
          <w:bCs/>
          <w:color w:val="auto"/>
          <w:sz w:val="32"/>
          <w:szCs w:val="32"/>
          <w:highlight w:val="none"/>
        </w:rPr>
      </w:pPr>
      <w:r>
        <w:rPr>
          <w:rFonts w:hint="eastAsia" w:ascii="宋体" w:hAnsi="宋体" w:cs="宋体"/>
          <w:bCs/>
          <w:color w:val="auto"/>
          <w:sz w:val="32"/>
          <w:szCs w:val="32"/>
          <w:highlight w:val="none"/>
        </w:rPr>
        <w:t>项目编号：</w:t>
      </w:r>
    </w:p>
    <w:p>
      <w:pPr>
        <w:snapToGrid w:val="0"/>
        <w:spacing w:before="156" w:beforeLines="50" w:after="50"/>
        <w:ind w:firstLine="720" w:firstLineChars="225"/>
        <w:rPr>
          <w:rFonts w:ascii="宋体" w:hAnsi="宋体" w:cs="宋体"/>
          <w:bCs/>
          <w:color w:val="auto"/>
          <w:sz w:val="32"/>
          <w:szCs w:val="32"/>
          <w:highlight w:val="none"/>
        </w:rPr>
      </w:pPr>
      <w:r>
        <w:rPr>
          <w:rFonts w:hint="eastAsia" w:ascii="宋体" w:hAnsi="宋体" w:cs="宋体"/>
          <w:bCs/>
          <w:color w:val="auto"/>
          <w:sz w:val="32"/>
          <w:szCs w:val="32"/>
          <w:highlight w:val="none"/>
        </w:rPr>
        <w:t xml:space="preserve"> </w:t>
      </w:r>
    </w:p>
    <w:p>
      <w:pPr>
        <w:snapToGrid w:val="0"/>
        <w:spacing w:before="156" w:beforeLines="50" w:after="50"/>
        <w:ind w:firstLine="720" w:firstLineChars="225"/>
        <w:rPr>
          <w:rFonts w:ascii="宋体" w:hAnsi="宋体" w:cs="宋体"/>
          <w:bCs/>
          <w:color w:val="auto"/>
          <w:sz w:val="32"/>
          <w:szCs w:val="32"/>
          <w:highlight w:val="none"/>
        </w:rPr>
      </w:pPr>
      <w:r>
        <w:rPr>
          <w:rFonts w:hint="eastAsia" w:ascii="宋体" w:hAnsi="宋体" w:cs="宋体"/>
          <w:bCs/>
          <w:color w:val="auto"/>
          <w:sz w:val="32"/>
          <w:szCs w:val="32"/>
          <w:highlight w:val="none"/>
        </w:rPr>
        <w:t>所竞分标：</w:t>
      </w:r>
    </w:p>
    <w:p>
      <w:pPr>
        <w:snapToGrid w:val="0"/>
        <w:spacing w:before="156" w:beforeLines="50" w:after="50"/>
        <w:ind w:firstLine="720" w:firstLineChars="225"/>
        <w:rPr>
          <w:rFonts w:ascii="宋体" w:hAnsi="宋体" w:cs="宋体"/>
          <w:bCs/>
          <w:color w:val="auto"/>
          <w:sz w:val="32"/>
          <w:szCs w:val="32"/>
          <w:highlight w:val="none"/>
        </w:rPr>
      </w:pPr>
    </w:p>
    <w:p>
      <w:pPr>
        <w:pStyle w:val="9"/>
        <w:snapToGrid w:val="0"/>
        <w:spacing w:before="50" w:after="50"/>
        <w:ind w:firstLine="720" w:firstLineChars="225"/>
        <w:rPr>
          <w:rFonts w:ascii="宋体" w:hAnsi="宋体" w:cs="宋体"/>
          <w:bCs/>
          <w:color w:val="auto"/>
          <w:sz w:val="32"/>
          <w:szCs w:val="32"/>
          <w:highlight w:val="none"/>
        </w:rPr>
      </w:pPr>
      <w:r>
        <w:rPr>
          <w:rFonts w:hint="eastAsia" w:ascii="宋体" w:hAnsi="宋体" w:cs="宋体"/>
          <w:bCs/>
          <w:color w:val="auto"/>
          <w:sz w:val="32"/>
          <w:szCs w:val="32"/>
          <w:highlight w:val="none"/>
        </w:rPr>
        <w:t>供应商名称：</w:t>
      </w:r>
    </w:p>
    <w:p>
      <w:pPr>
        <w:pStyle w:val="9"/>
        <w:snapToGrid w:val="0"/>
        <w:spacing w:before="50" w:after="50"/>
        <w:ind w:firstLine="720" w:firstLineChars="225"/>
        <w:rPr>
          <w:rFonts w:ascii="宋体" w:hAnsi="宋体" w:cs="宋体"/>
          <w:bCs/>
          <w:color w:val="auto"/>
          <w:sz w:val="32"/>
          <w:szCs w:val="32"/>
          <w:highlight w:val="none"/>
        </w:rPr>
      </w:pPr>
    </w:p>
    <w:p>
      <w:pPr>
        <w:pStyle w:val="9"/>
        <w:snapToGrid w:val="0"/>
        <w:spacing w:before="50" w:after="50"/>
        <w:ind w:firstLine="720" w:firstLineChars="225"/>
        <w:rPr>
          <w:rFonts w:ascii="宋体" w:hAnsi="宋体" w:cs="宋体"/>
          <w:bCs/>
          <w:color w:val="auto"/>
          <w:sz w:val="32"/>
          <w:szCs w:val="32"/>
          <w:highlight w:val="none"/>
        </w:rPr>
      </w:pPr>
    </w:p>
    <w:p>
      <w:pPr>
        <w:pStyle w:val="9"/>
        <w:snapToGrid w:val="0"/>
        <w:spacing w:before="50" w:after="50"/>
        <w:ind w:firstLine="1280" w:firstLineChars="400"/>
        <w:rPr>
          <w:rFonts w:ascii="宋体" w:hAnsi="宋体" w:cs="宋体"/>
          <w:bCs/>
          <w:color w:val="auto"/>
          <w:sz w:val="32"/>
          <w:szCs w:val="32"/>
          <w:highlight w:val="none"/>
        </w:rPr>
      </w:pPr>
    </w:p>
    <w:p>
      <w:pPr>
        <w:snapToGrid w:val="0"/>
        <w:spacing w:before="156" w:beforeLines="50" w:after="50"/>
        <w:jc w:val="center"/>
        <w:rPr>
          <w:rFonts w:ascii="宋体" w:hAnsi="宋体" w:cs="宋体"/>
          <w:color w:val="auto"/>
          <w:sz w:val="32"/>
          <w:szCs w:val="32"/>
          <w:highlight w:val="none"/>
        </w:rPr>
      </w:pPr>
      <w:r>
        <w:rPr>
          <w:rFonts w:hint="eastAsia" w:ascii="宋体" w:hAnsi="宋体" w:cs="宋体"/>
          <w:color w:val="auto"/>
          <w:sz w:val="32"/>
          <w:szCs w:val="32"/>
          <w:highlight w:val="none"/>
        </w:rPr>
        <w:t>年    月    日</w:t>
      </w:r>
    </w:p>
    <w:p>
      <w:pPr>
        <w:snapToGrid w:val="0"/>
        <w:spacing w:before="156" w:beforeLines="50" w:after="50" w:line="360" w:lineRule="auto"/>
        <w:ind w:left="142"/>
        <w:jc w:val="left"/>
        <w:rPr>
          <w:rFonts w:ascii="宋体" w:hAnsi="宋体" w:cs="宋体"/>
          <w:b/>
          <w:bCs/>
          <w:color w:val="auto"/>
          <w:sz w:val="32"/>
          <w:szCs w:val="32"/>
          <w:highlight w:val="none"/>
        </w:rPr>
      </w:pPr>
      <w:r>
        <w:rPr>
          <w:rFonts w:hint="eastAsia" w:ascii="宋体" w:hAnsi="宋体" w:cs="宋体"/>
          <w:color w:val="auto"/>
          <w:sz w:val="24"/>
          <w:highlight w:val="none"/>
        </w:rPr>
        <w:br w:type="page"/>
      </w:r>
      <w:r>
        <w:rPr>
          <w:rFonts w:hint="eastAsia" w:ascii="宋体" w:hAnsi="宋体" w:cs="宋体"/>
          <w:b/>
          <w:bCs/>
          <w:color w:val="auto"/>
          <w:sz w:val="32"/>
          <w:szCs w:val="32"/>
          <w:highlight w:val="none"/>
        </w:rPr>
        <w:t>2.资格证明文件目录</w:t>
      </w:r>
    </w:p>
    <w:p>
      <w:pPr>
        <w:snapToGrid w:val="0"/>
        <w:spacing w:before="156" w:beforeLines="50" w:after="50" w:line="360" w:lineRule="auto"/>
        <w:ind w:firstLine="645"/>
        <w:rPr>
          <w:rFonts w:ascii="宋体" w:hAnsi="宋体" w:cs="宋体"/>
          <w:color w:val="auto"/>
          <w:sz w:val="32"/>
          <w:szCs w:val="32"/>
          <w:highlight w:val="none"/>
        </w:rPr>
      </w:pPr>
      <w:r>
        <w:rPr>
          <w:rFonts w:hint="eastAsia" w:ascii="宋体" w:hAnsi="宋体" w:cs="宋体"/>
          <w:color w:val="auto"/>
          <w:sz w:val="32"/>
          <w:szCs w:val="32"/>
          <w:highlight w:val="none"/>
        </w:rPr>
        <w:t>根据磋商文件规定及供应商提供的材料自行编写目录（部分格式后附）。</w:t>
      </w:r>
    </w:p>
    <w:p>
      <w:pPr>
        <w:snapToGrid w:val="0"/>
        <w:spacing w:before="156" w:beforeLines="50" w:after="50"/>
        <w:rPr>
          <w:rFonts w:ascii="宋体" w:hAnsi="宋体" w:cs="宋体"/>
          <w:color w:val="auto"/>
          <w:sz w:val="24"/>
          <w:szCs w:val="20"/>
          <w:highlight w:val="none"/>
        </w:rPr>
      </w:pPr>
      <w:r>
        <w:rPr>
          <w:rFonts w:hint="eastAsia" w:ascii="宋体" w:hAnsi="宋体" w:cs="宋体"/>
          <w:color w:val="auto"/>
          <w:sz w:val="24"/>
          <w:szCs w:val="20"/>
          <w:highlight w:val="none"/>
        </w:rPr>
        <w:t xml:space="preserve"> </w:t>
      </w:r>
    </w:p>
    <w:p>
      <w:pPr>
        <w:spacing w:line="300" w:lineRule="auto"/>
        <w:rPr>
          <w:rFonts w:ascii="宋体" w:hAnsi="宋体" w:cs="宋体"/>
          <w:color w:val="auto"/>
          <w:szCs w:val="21"/>
          <w:highlight w:val="none"/>
        </w:rPr>
      </w:pPr>
    </w:p>
    <w:p>
      <w:pPr>
        <w:spacing w:line="300" w:lineRule="auto"/>
        <w:rPr>
          <w:rFonts w:ascii="宋体" w:hAnsi="宋体" w:cs="宋体"/>
          <w:color w:val="auto"/>
          <w:szCs w:val="21"/>
          <w:highlight w:val="none"/>
        </w:rPr>
      </w:pPr>
    </w:p>
    <w:p>
      <w:pPr>
        <w:spacing w:line="300" w:lineRule="auto"/>
        <w:rPr>
          <w:rFonts w:ascii="宋体" w:hAnsi="宋体" w:cs="宋体"/>
          <w:color w:val="auto"/>
          <w:szCs w:val="21"/>
          <w:highlight w:val="none"/>
        </w:rPr>
      </w:pPr>
    </w:p>
    <w:p>
      <w:pPr>
        <w:spacing w:line="300" w:lineRule="auto"/>
        <w:rPr>
          <w:rFonts w:ascii="宋体" w:hAnsi="宋体" w:cs="宋体"/>
          <w:color w:val="auto"/>
          <w:szCs w:val="21"/>
          <w:highlight w:val="none"/>
        </w:rPr>
      </w:pPr>
    </w:p>
    <w:p>
      <w:pPr>
        <w:spacing w:line="300" w:lineRule="auto"/>
        <w:rPr>
          <w:rFonts w:ascii="宋体" w:hAnsi="宋体" w:cs="宋体"/>
          <w:color w:val="auto"/>
          <w:szCs w:val="21"/>
          <w:highlight w:val="none"/>
        </w:rPr>
      </w:pPr>
    </w:p>
    <w:p>
      <w:pPr>
        <w:spacing w:line="300" w:lineRule="auto"/>
        <w:rPr>
          <w:rFonts w:ascii="宋体" w:hAnsi="宋体" w:cs="宋体"/>
          <w:color w:val="auto"/>
          <w:szCs w:val="21"/>
          <w:highlight w:val="none"/>
        </w:rPr>
      </w:pPr>
    </w:p>
    <w:p>
      <w:pPr>
        <w:spacing w:line="300" w:lineRule="auto"/>
        <w:rPr>
          <w:rFonts w:ascii="宋体" w:hAnsi="宋体" w:cs="宋体"/>
          <w:color w:val="auto"/>
          <w:szCs w:val="21"/>
          <w:highlight w:val="none"/>
        </w:rPr>
      </w:pPr>
    </w:p>
    <w:p>
      <w:pPr>
        <w:spacing w:line="300" w:lineRule="auto"/>
        <w:rPr>
          <w:rFonts w:ascii="宋体" w:hAnsi="宋体" w:cs="宋体"/>
          <w:color w:val="auto"/>
          <w:szCs w:val="21"/>
          <w:highlight w:val="none"/>
        </w:rPr>
      </w:pPr>
    </w:p>
    <w:p>
      <w:pPr>
        <w:spacing w:line="300" w:lineRule="auto"/>
        <w:rPr>
          <w:rFonts w:ascii="宋体" w:hAnsi="宋体" w:cs="宋体"/>
          <w:color w:val="auto"/>
          <w:szCs w:val="21"/>
          <w:highlight w:val="none"/>
        </w:rPr>
      </w:pPr>
    </w:p>
    <w:p>
      <w:pPr>
        <w:spacing w:line="300" w:lineRule="auto"/>
        <w:rPr>
          <w:rFonts w:ascii="宋体" w:hAnsi="宋体" w:cs="宋体"/>
          <w:color w:val="auto"/>
          <w:szCs w:val="21"/>
          <w:highlight w:val="none"/>
        </w:rPr>
      </w:pPr>
    </w:p>
    <w:p>
      <w:pPr>
        <w:spacing w:line="300" w:lineRule="auto"/>
        <w:rPr>
          <w:rFonts w:ascii="宋体" w:hAnsi="宋体" w:cs="宋体"/>
          <w:color w:val="auto"/>
          <w:szCs w:val="21"/>
          <w:highlight w:val="none"/>
        </w:rPr>
      </w:pPr>
    </w:p>
    <w:p>
      <w:pPr>
        <w:spacing w:line="300" w:lineRule="auto"/>
        <w:rPr>
          <w:rFonts w:ascii="宋体" w:hAnsi="宋体" w:cs="宋体"/>
          <w:color w:val="auto"/>
          <w:szCs w:val="21"/>
          <w:highlight w:val="none"/>
        </w:rPr>
      </w:pPr>
    </w:p>
    <w:p>
      <w:pPr>
        <w:spacing w:line="300" w:lineRule="auto"/>
        <w:rPr>
          <w:rFonts w:ascii="宋体" w:hAnsi="宋体" w:cs="宋体"/>
          <w:color w:val="auto"/>
          <w:szCs w:val="21"/>
          <w:highlight w:val="none"/>
        </w:rPr>
      </w:pPr>
    </w:p>
    <w:p>
      <w:pPr>
        <w:spacing w:line="300" w:lineRule="auto"/>
        <w:rPr>
          <w:rFonts w:ascii="宋体" w:hAnsi="宋体" w:cs="宋体"/>
          <w:color w:val="auto"/>
          <w:szCs w:val="21"/>
          <w:highlight w:val="none"/>
        </w:rPr>
      </w:pPr>
    </w:p>
    <w:p>
      <w:pPr>
        <w:spacing w:line="300" w:lineRule="auto"/>
        <w:rPr>
          <w:rFonts w:ascii="宋体" w:hAnsi="宋体" w:cs="宋体"/>
          <w:color w:val="auto"/>
          <w:szCs w:val="21"/>
          <w:highlight w:val="none"/>
        </w:rPr>
      </w:pPr>
    </w:p>
    <w:p>
      <w:pPr>
        <w:spacing w:line="320" w:lineRule="exact"/>
        <w:jc w:val="left"/>
        <w:rPr>
          <w:rFonts w:ascii="宋体" w:hAnsi="宋体" w:cs="宋体"/>
          <w:color w:val="auto"/>
          <w:szCs w:val="21"/>
          <w:highlight w:val="none"/>
        </w:rPr>
      </w:pPr>
      <w:r>
        <w:rPr>
          <w:rFonts w:hint="eastAsia" w:ascii="宋体" w:hAnsi="宋体" w:cs="宋体"/>
          <w:color w:val="auto"/>
          <w:szCs w:val="21"/>
          <w:highlight w:val="none"/>
        </w:rPr>
        <w:br w:type="page"/>
      </w:r>
      <w:r>
        <w:rPr>
          <w:rFonts w:hint="eastAsia" w:ascii="宋体" w:hAnsi="宋体" w:cs="宋体"/>
          <w:color w:val="auto"/>
          <w:szCs w:val="21"/>
          <w:highlight w:val="none"/>
        </w:rPr>
        <w:t xml:space="preserve"> </w:t>
      </w:r>
    </w:p>
    <w:p>
      <w:pPr>
        <w:wordWrap w:val="0"/>
        <w:spacing w:before="156" w:beforeLines="50" w:after="50" w:line="320" w:lineRule="exact"/>
        <w:ind w:right="482" w:firstLine="210" w:firstLineChars="100"/>
        <w:contextualSpacing/>
        <w:jc w:val="center"/>
        <w:rPr>
          <w:rFonts w:ascii="宋体" w:hAnsi="宋体" w:cs="宋体"/>
          <w:color w:val="auto"/>
          <w:szCs w:val="21"/>
          <w:highlight w:val="none"/>
        </w:rPr>
      </w:pPr>
    </w:p>
    <w:p>
      <w:pPr>
        <w:spacing w:line="320" w:lineRule="exact"/>
        <w:jc w:val="center"/>
        <w:rPr>
          <w:rFonts w:ascii="宋体" w:hAnsi="宋体" w:cs="宋体"/>
          <w:b/>
          <w:color w:val="auto"/>
          <w:sz w:val="32"/>
          <w:szCs w:val="32"/>
          <w:highlight w:val="none"/>
        </w:rPr>
      </w:pPr>
      <w:r>
        <w:rPr>
          <w:rFonts w:hint="eastAsia" w:ascii="宋体" w:hAnsi="宋体" w:cs="宋体"/>
          <w:b/>
          <w:color w:val="auto"/>
          <w:sz w:val="32"/>
          <w:szCs w:val="32"/>
          <w:highlight w:val="none"/>
        </w:rPr>
        <w:t>供应商直接控股、管理关系信息表</w:t>
      </w:r>
    </w:p>
    <w:p>
      <w:pPr>
        <w:snapToGrid w:val="0"/>
        <w:spacing w:before="156" w:beforeLines="50" w:after="50" w:line="360" w:lineRule="auto"/>
        <w:jc w:val="center"/>
        <w:rPr>
          <w:rFonts w:ascii="宋体" w:hAnsi="宋体" w:cs="宋体"/>
          <w:b/>
          <w:color w:val="auto"/>
          <w:sz w:val="24"/>
          <w:highlight w:val="none"/>
        </w:rPr>
      </w:pPr>
    </w:p>
    <w:p>
      <w:pPr>
        <w:spacing w:line="360" w:lineRule="auto"/>
        <w:contextualSpacing/>
        <w:jc w:val="center"/>
        <w:rPr>
          <w:rFonts w:ascii="宋体" w:hAnsi="宋体" w:cs="宋体"/>
          <w:b/>
          <w:color w:val="auto"/>
          <w:sz w:val="32"/>
          <w:szCs w:val="32"/>
          <w:highlight w:val="none"/>
        </w:rPr>
      </w:pPr>
      <w:r>
        <w:rPr>
          <w:rFonts w:hint="eastAsia" w:ascii="宋体" w:hAnsi="宋体" w:cs="宋体"/>
          <w:b/>
          <w:color w:val="auto"/>
          <w:sz w:val="32"/>
          <w:szCs w:val="32"/>
          <w:highlight w:val="none"/>
        </w:rPr>
        <w:t>供应商直接控股股东信息表</w:t>
      </w:r>
    </w:p>
    <w:p>
      <w:pPr>
        <w:spacing w:line="360" w:lineRule="auto"/>
        <w:contextualSpacing/>
        <w:jc w:val="center"/>
        <w:rPr>
          <w:rFonts w:ascii="宋体" w:hAnsi="宋体" w:cs="宋体"/>
          <w:b/>
          <w:color w:val="auto"/>
          <w:sz w:val="24"/>
          <w:highlight w:val="none"/>
        </w:rPr>
      </w:pPr>
    </w:p>
    <w:tbl>
      <w:tblPr>
        <w:tblStyle w:val="30"/>
        <w:tblW w:w="0" w:type="auto"/>
        <w:jc w:val="center"/>
        <w:shd w:val="clear" w:color="auto" w:fill="FBFBFB"/>
        <w:tblLayout w:type="fixed"/>
        <w:tblCellMar>
          <w:top w:w="0" w:type="dxa"/>
          <w:left w:w="0" w:type="dxa"/>
          <w:bottom w:w="0" w:type="dxa"/>
          <w:right w:w="0" w:type="dxa"/>
        </w:tblCellMar>
      </w:tblPr>
      <w:tblGrid>
        <w:gridCol w:w="880"/>
        <w:gridCol w:w="2655"/>
        <w:gridCol w:w="1455"/>
        <w:gridCol w:w="4287"/>
        <w:gridCol w:w="870"/>
      </w:tblGrid>
      <w:tr>
        <w:tblPrEx>
          <w:shd w:val="clear" w:color="auto" w:fill="FBFBFB"/>
          <w:tblCellMar>
            <w:top w:w="0" w:type="dxa"/>
            <w:left w:w="0" w:type="dxa"/>
            <w:bottom w:w="0" w:type="dxa"/>
            <w:right w:w="0" w:type="dxa"/>
          </w:tblCellMar>
        </w:tblPrEx>
        <w:trPr>
          <w:tblHeade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contextualSpacing/>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contextualSpacing/>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直接控股股东名称</w:t>
            </w: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contextualSpacing/>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出资比例</w:t>
            </w: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contextualSpacing/>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身份证号码或者统一社会信用代码</w:t>
            </w: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contextualSpacing/>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highlight w:val="none"/>
              </w:rPr>
            </w:pPr>
          </w:p>
        </w:tc>
      </w:tr>
      <w:tr>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highlight w:val="none"/>
              </w:rPr>
            </w:pPr>
          </w:p>
        </w:tc>
      </w:tr>
      <w:tr>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highlight w:val="none"/>
              </w:rPr>
            </w:pPr>
          </w:p>
        </w:tc>
      </w:tr>
      <w:tr>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highlight w:val="none"/>
              </w:rPr>
            </w:pPr>
          </w:p>
        </w:tc>
      </w:tr>
    </w:tbl>
    <w:p>
      <w:pPr>
        <w:spacing w:line="360" w:lineRule="auto"/>
        <w:contextualSpacing/>
        <w:jc w:val="left"/>
        <w:rPr>
          <w:rFonts w:ascii="宋体" w:hAnsi="宋体" w:cs="宋体"/>
          <w:color w:val="auto"/>
          <w:sz w:val="24"/>
          <w:highlight w:val="none"/>
        </w:rPr>
      </w:pPr>
      <w:r>
        <w:rPr>
          <w:rFonts w:hint="eastAsia" w:ascii="宋体" w:hAnsi="宋体" w:cs="宋体"/>
          <w:color w:val="auto"/>
          <w:sz w:val="24"/>
          <w:highlight w:val="none"/>
        </w:rPr>
        <w:t>注：</w:t>
      </w:r>
    </w:p>
    <w:p>
      <w:pPr>
        <w:spacing w:line="360" w:lineRule="auto"/>
        <w:ind w:firstLine="480" w:firstLineChars="200"/>
        <w:contextualSpacing/>
        <w:jc w:val="left"/>
        <w:rPr>
          <w:rFonts w:ascii="宋体" w:hAnsi="宋体" w:cs="宋体"/>
          <w:color w:val="auto"/>
          <w:sz w:val="24"/>
          <w:highlight w:val="none"/>
        </w:rPr>
      </w:pPr>
      <w:r>
        <w:rPr>
          <w:rFonts w:hint="eastAsia" w:ascii="宋体" w:hAnsi="宋体" w:cs="宋体"/>
          <w:color w:val="auto"/>
          <w:sz w:val="24"/>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pPr>
        <w:spacing w:line="360" w:lineRule="auto"/>
        <w:ind w:firstLine="480" w:firstLineChars="200"/>
        <w:contextualSpacing/>
        <w:jc w:val="left"/>
        <w:rPr>
          <w:rFonts w:ascii="宋体" w:hAnsi="宋体" w:cs="宋体"/>
          <w:color w:val="auto"/>
          <w:sz w:val="24"/>
          <w:highlight w:val="none"/>
        </w:rPr>
      </w:pPr>
      <w:r>
        <w:rPr>
          <w:rFonts w:hint="eastAsia" w:ascii="宋体" w:hAnsi="宋体" w:cs="宋体"/>
          <w:color w:val="auto"/>
          <w:sz w:val="24"/>
          <w:highlight w:val="none"/>
        </w:rPr>
        <w:t>2.本表所指的控股关系仅限于直接控股关系，不包括间接的控股关系。公司实际控制人与公司之间的关系不属于本表所指的直接控股关系。</w:t>
      </w:r>
    </w:p>
    <w:p>
      <w:pPr>
        <w:spacing w:line="360" w:lineRule="auto"/>
        <w:ind w:firstLine="480" w:firstLineChars="200"/>
        <w:contextualSpacing/>
        <w:jc w:val="left"/>
        <w:rPr>
          <w:rFonts w:ascii="宋体" w:hAnsi="宋体" w:cs="宋体"/>
          <w:color w:val="auto"/>
          <w:sz w:val="24"/>
          <w:highlight w:val="none"/>
        </w:rPr>
      </w:pPr>
      <w:r>
        <w:rPr>
          <w:rFonts w:hint="eastAsia" w:ascii="宋体" w:hAnsi="宋体" w:cs="宋体"/>
          <w:color w:val="auto"/>
          <w:sz w:val="24"/>
          <w:highlight w:val="none"/>
        </w:rPr>
        <w:t>3.供应商不存在直接控股股东的，则填“无”。</w:t>
      </w:r>
    </w:p>
    <w:p>
      <w:pPr>
        <w:snapToGrid w:val="0"/>
        <w:spacing w:line="360" w:lineRule="auto"/>
        <w:jc w:val="left"/>
        <w:rPr>
          <w:rFonts w:ascii="宋体" w:hAnsi="宋体" w:cs="宋体"/>
          <w:color w:val="auto"/>
          <w:sz w:val="24"/>
          <w:highlight w:val="none"/>
        </w:rPr>
      </w:pPr>
    </w:p>
    <w:p>
      <w:pPr>
        <w:snapToGrid w:val="0"/>
        <w:spacing w:line="360" w:lineRule="auto"/>
        <w:jc w:val="left"/>
        <w:rPr>
          <w:rFonts w:ascii="宋体" w:hAnsi="宋体" w:cs="宋体"/>
          <w:color w:val="auto"/>
          <w:sz w:val="24"/>
          <w:highlight w:val="none"/>
        </w:rPr>
      </w:pPr>
    </w:p>
    <w:p>
      <w:pPr>
        <w:snapToGrid w:val="0"/>
        <w:spacing w:line="360" w:lineRule="auto"/>
        <w:jc w:val="left"/>
        <w:rPr>
          <w:rFonts w:ascii="宋体" w:hAnsi="宋体" w:cs="宋体"/>
          <w:color w:val="auto"/>
          <w:sz w:val="24"/>
          <w:highlight w:val="none"/>
        </w:rPr>
      </w:pPr>
    </w:p>
    <w:p>
      <w:pPr>
        <w:snapToGrid w:val="0"/>
        <w:spacing w:before="156" w:beforeLines="50" w:line="360" w:lineRule="auto"/>
        <w:ind w:right="480" w:firstLine="3480" w:firstLineChars="1450"/>
        <w:rPr>
          <w:rFonts w:ascii="宋体" w:hAnsi="宋体" w:cs="宋体"/>
          <w:color w:val="auto"/>
          <w:sz w:val="24"/>
          <w:highlight w:val="none"/>
          <w:u w:val="single"/>
        </w:rPr>
      </w:pPr>
      <w:r>
        <w:rPr>
          <w:rFonts w:hint="eastAsia" w:ascii="宋体" w:hAnsi="宋体" w:cs="宋体"/>
          <w:color w:val="auto"/>
          <w:sz w:val="24"/>
          <w:highlight w:val="none"/>
        </w:rPr>
        <w:t>法定代表人或者委托代理人签字：</w:t>
      </w:r>
      <w:r>
        <w:rPr>
          <w:rFonts w:hint="eastAsia" w:ascii="宋体" w:hAnsi="宋体" w:cs="宋体"/>
          <w:color w:val="auto"/>
          <w:sz w:val="24"/>
          <w:highlight w:val="none"/>
          <w:u w:val="single"/>
        </w:rPr>
        <w:t xml:space="preserve">                </w:t>
      </w:r>
    </w:p>
    <w:p>
      <w:pPr>
        <w:snapToGrid w:val="0"/>
        <w:spacing w:before="156" w:beforeLines="50" w:after="50" w:line="360" w:lineRule="auto"/>
        <w:ind w:right="480" w:firstLine="3480" w:firstLineChars="1450"/>
        <w:rPr>
          <w:rFonts w:ascii="宋体" w:hAnsi="宋体" w:cs="宋体"/>
          <w:color w:val="auto"/>
          <w:sz w:val="24"/>
          <w:highlight w:val="none"/>
          <w:u w:val="single"/>
        </w:rPr>
      </w:pPr>
      <w:r>
        <w:rPr>
          <w:rFonts w:hint="eastAsia" w:ascii="宋体" w:hAnsi="宋体" w:cs="宋体"/>
          <w:color w:val="auto"/>
          <w:sz w:val="24"/>
          <w:highlight w:val="none"/>
        </w:rPr>
        <w:t>供应商（盖公章 ）：</w:t>
      </w:r>
      <w:r>
        <w:rPr>
          <w:rFonts w:hint="eastAsia" w:ascii="宋体" w:hAnsi="宋体" w:cs="宋体"/>
          <w:color w:val="auto"/>
          <w:sz w:val="24"/>
          <w:highlight w:val="none"/>
          <w:u w:val="single"/>
        </w:rPr>
        <w:t xml:space="preserve">                           </w:t>
      </w:r>
    </w:p>
    <w:p>
      <w:pPr>
        <w:snapToGrid w:val="0"/>
        <w:spacing w:before="156" w:beforeLines="50" w:after="50" w:line="360" w:lineRule="auto"/>
        <w:ind w:right="480" w:firstLine="5280" w:firstLineChars="2200"/>
        <w:rPr>
          <w:rFonts w:ascii="宋体" w:hAnsi="宋体" w:cs="宋体"/>
          <w:color w:val="auto"/>
          <w:sz w:val="28"/>
          <w:szCs w:val="28"/>
          <w:highlight w:val="none"/>
        </w:rPr>
      </w:pPr>
      <w:r>
        <w:rPr>
          <w:rFonts w:hint="eastAsia" w:ascii="宋体" w:hAnsi="宋体" w:cs="宋体"/>
          <w:color w:val="auto"/>
          <w:sz w:val="24"/>
          <w:highlight w:val="none"/>
        </w:rPr>
        <w:t>年    月    日</w:t>
      </w:r>
    </w:p>
    <w:p>
      <w:pPr>
        <w:snapToGrid w:val="0"/>
        <w:jc w:val="center"/>
        <w:rPr>
          <w:rFonts w:ascii="宋体" w:hAnsi="宋体" w:cs="宋体"/>
          <w:b/>
          <w:color w:val="auto"/>
          <w:sz w:val="28"/>
          <w:szCs w:val="28"/>
          <w:highlight w:val="none"/>
        </w:rPr>
      </w:pPr>
      <w:r>
        <w:rPr>
          <w:rFonts w:hint="eastAsia" w:ascii="宋体" w:hAnsi="宋体" w:cs="宋体"/>
          <w:b/>
          <w:color w:val="auto"/>
          <w:sz w:val="28"/>
          <w:szCs w:val="28"/>
          <w:highlight w:val="none"/>
        </w:rPr>
        <w:br w:type="page"/>
      </w:r>
    </w:p>
    <w:p>
      <w:pPr>
        <w:spacing w:line="320" w:lineRule="exact"/>
        <w:jc w:val="center"/>
        <w:rPr>
          <w:rFonts w:ascii="宋体" w:hAnsi="宋体" w:cs="宋体"/>
          <w:b/>
          <w:color w:val="auto"/>
          <w:sz w:val="32"/>
          <w:szCs w:val="32"/>
          <w:highlight w:val="none"/>
        </w:rPr>
      </w:pPr>
      <w:r>
        <w:rPr>
          <w:rFonts w:hint="eastAsia" w:ascii="宋体" w:hAnsi="宋体" w:cs="宋体"/>
          <w:b/>
          <w:color w:val="auto"/>
          <w:sz w:val="32"/>
          <w:szCs w:val="32"/>
          <w:highlight w:val="none"/>
        </w:rPr>
        <w:t>供应商直接管理关系信息表</w:t>
      </w:r>
    </w:p>
    <w:p>
      <w:pPr>
        <w:snapToGrid w:val="0"/>
        <w:spacing w:line="360" w:lineRule="auto"/>
        <w:jc w:val="center"/>
        <w:rPr>
          <w:rFonts w:ascii="宋体" w:hAnsi="宋体" w:cs="宋体"/>
          <w:b/>
          <w:color w:val="auto"/>
          <w:sz w:val="24"/>
          <w:highlight w:val="none"/>
        </w:rPr>
      </w:pPr>
    </w:p>
    <w:tbl>
      <w:tblPr>
        <w:tblStyle w:val="30"/>
        <w:tblW w:w="0" w:type="auto"/>
        <w:jc w:val="center"/>
        <w:shd w:val="clear" w:color="auto" w:fill="FBFBFB"/>
        <w:tblLayout w:type="fixed"/>
        <w:tblCellMar>
          <w:top w:w="0" w:type="dxa"/>
          <w:left w:w="0" w:type="dxa"/>
          <w:bottom w:w="0" w:type="dxa"/>
          <w:right w:w="0" w:type="dxa"/>
        </w:tblCellMar>
      </w:tblPr>
      <w:tblGrid>
        <w:gridCol w:w="808"/>
        <w:gridCol w:w="3600"/>
        <w:gridCol w:w="3555"/>
        <w:gridCol w:w="1689"/>
      </w:tblGrid>
      <w:tr>
        <w:tblPrEx>
          <w:shd w:val="clear" w:color="auto" w:fill="FBFBFB"/>
          <w:tblCellMar>
            <w:top w:w="0" w:type="dxa"/>
            <w:left w:w="0" w:type="dxa"/>
            <w:bottom w:w="0" w:type="dxa"/>
            <w:right w:w="0" w:type="dxa"/>
          </w:tblCellMar>
        </w:tblPrEx>
        <w:trPr>
          <w:tblHeade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contextualSpacing/>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contextualSpacing/>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直接管理关系单位名称</w:t>
            </w: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contextualSpacing/>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统一社会信用代码</w:t>
            </w: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contextualSpacing/>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highlight w:val="none"/>
              </w:rPr>
            </w:pPr>
          </w:p>
        </w:tc>
      </w:tr>
      <w:tr>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highlight w:val="none"/>
              </w:rPr>
            </w:pPr>
          </w:p>
        </w:tc>
      </w:tr>
      <w:tr>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highlight w:val="none"/>
              </w:rPr>
            </w:pPr>
          </w:p>
        </w:tc>
      </w:tr>
      <w:tr>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highlight w:val="none"/>
              </w:rPr>
            </w:pPr>
          </w:p>
        </w:tc>
      </w:tr>
    </w:tbl>
    <w:p>
      <w:pPr>
        <w:spacing w:line="360" w:lineRule="auto"/>
        <w:contextualSpacing/>
        <w:jc w:val="left"/>
        <w:rPr>
          <w:rFonts w:ascii="宋体" w:hAnsi="宋体" w:cs="宋体"/>
          <w:color w:val="auto"/>
          <w:sz w:val="24"/>
          <w:highlight w:val="none"/>
        </w:rPr>
      </w:pPr>
      <w:r>
        <w:rPr>
          <w:rFonts w:hint="eastAsia" w:ascii="宋体" w:hAnsi="宋体" w:cs="宋体"/>
          <w:color w:val="auto"/>
          <w:sz w:val="24"/>
          <w:highlight w:val="none"/>
        </w:rPr>
        <w:t>注：</w:t>
      </w:r>
    </w:p>
    <w:p>
      <w:pPr>
        <w:spacing w:line="360" w:lineRule="auto"/>
        <w:ind w:firstLine="480" w:firstLineChars="200"/>
        <w:contextualSpacing/>
        <w:jc w:val="left"/>
        <w:rPr>
          <w:rFonts w:ascii="宋体" w:hAnsi="宋体" w:cs="宋体"/>
          <w:color w:val="auto"/>
          <w:sz w:val="24"/>
          <w:highlight w:val="none"/>
        </w:rPr>
      </w:pPr>
      <w:r>
        <w:rPr>
          <w:rFonts w:hint="eastAsia" w:ascii="宋体" w:hAnsi="宋体" w:cs="宋体"/>
          <w:color w:val="auto"/>
          <w:sz w:val="24"/>
          <w:highlight w:val="none"/>
        </w:rPr>
        <w:t>1.管理关系：是指不具有出资持股关系的其他单位之间存在的管理与被管理关系，如一些上下级关系的事业单位和团体组织。</w:t>
      </w:r>
    </w:p>
    <w:p>
      <w:pPr>
        <w:spacing w:line="360" w:lineRule="auto"/>
        <w:ind w:firstLine="480" w:firstLineChars="200"/>
        <w:contextualSpacing/>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pacing w:val="-6"/>
          <w:sz w:val="24"/>
          <w:highlight w:val="none"/>
        </w:rPr>
        <w:t>本表所指的管理关系仅限于直接管理关系，不包括间接的管理关系。</w:t>
      </w:r>
    </w:p>
    <w:p>
      <w:pPr>
        <w:spacing w:line="360" w:lineRule="auto"/>
        <w:ind w:firstLine="480" w:firstLineChars="200"/>
        <w:contextualSpacing/>
        <w:jc w:val="left"/>
        <w:rPr>
          <w:rFonts w:ascii="宋体" w:hAnsi="宋体" w:cs="宋体"/>
          <w:color w:val="auto"/>
          <w:sz w:val="24"/>
          <w:highlight w:val="none"/>
        </w:rPr>
      </w:pPr>
      <w:r>
        <w:rPr>
          <w:rFonts w:hint="eastAsia" w:ascii="宋体" w:hAnsi="宋体" w:cs="宋体"/>
          <w:color w:val="auto"/>
          <w:sz w:val="24"/>
          <w:highlight w:val="none"/>
        </w:rPr>
        <w:t>3.供应商不存在直接管理关系的，则填“无”。</w:t>
      </w:r>
    </w:p>
    <w:p>
      <w:pPr>
        <w:spacing w:line="360" w:lineRule="auto"/>
        <w:contextualSpacing/>
        <w:jc w:val="left"/>
        <w:rPr>
          <w:rFonts w:ascii="宋体" w:hAnsi="宋体" w:cs="宋体"/>
          <w:color w:val="auto"/>
          <w:sz w:val="24"/>
          <w:highlight w:val="none"/>
        </w:rPr>
      </w:pPr>
    </w:p>
    <w:p>
      <w:pPr>
        <w:spacing w:line="360" w:lineRule="auto"/>
        <w:contextualSpacing/>
        <w:jc w:val="left"/>
        <w:rPr>
          <w:rFonts w:ascii="宋体" w:hAnsi="宋体" w:cs="宋体"/>
          <w:color w:val="auto"/>
          <w:sz w:val="24"/>
          <w:highlight w:val="none"/>
        </w:rPr>
      </w:pPr>
    </w:p>
    <w:p>
      <w:pPr>
        <w:spacing w:line="360" w:lineRule="auto"/>
        <w:contextualSpacing/>
        <w:jc w:val="left"/>
        <w:rPr>
          <w:rFonts w:ascii="宋体" w:hAnsi="宋体" w:cs="宋体"/>
          <w:color w:val="auto"/>
          <w:sz w:val="24"/>
          <w:highlight w:val="none"/>
        </w:rPr>
      </w:pPr>
    </w:p>
    <w:p>
      <w:pPr>
        <w:spacing w:line="360" w:lineRule="auto"/>
        <w:contextualSpacing/>
        <w:jc w:val="left"/>
        <w:rPr>
          <w:rFonts w:ascii="宋体" w:hAnsi="宋体" w:cs="宋体"/>
          <w:color w:val="auto"/>
          <w:sz w:val="24"/>
          <w:highlight w:val="none"/>
        </w:rPr>
      </w:pPr>
    </w:p>
    <w:p>
      <w:pPr>
        <w:spacing w:line="360" w:lineRule="auto"/>
        <w:contextualSpacing/>
        <w:jc w:val="left"/>
        <w:rPr>
          <w:rFonts w:ascii="宋体" w:hAnsi="宋体" w:cs="宋体"/>
          <w:color w:val="auto"/>
          <w:sz w:val="24"/>
          <w:highlight w:val="none"/>
        </w:rPr>
      </w:pPr>
    </w:p>
    <w:p>
      <w:pPr>
        <w:spacing w:line="360" w:lineRule="auto"/>
        <w:contextualSpacing/>
        <w:jc w:val="left"/>
        <w:rPr>
          <w:rFonts w:ascii="宋体" w:hAnsi="宋体" w:cs="宋体"/>
          <w:color w:val="auto"/>
          <w:sz w:val="24"/>
          <w:highlight w:val="none"/>
        </w:rPr>
      </w:pPr>
    </w:p>
    <w:p>
      <w:pPr>
        <w:spacing w:line="360" w:lineRule="auto"/>
        <w:ind w:right="480" w:firstLine="3360" w:firstLineChars="1400"/>
        <w:contextualSpacing/>
        <w:rPr>
          <w:rFonts w:ascii="宋体" w:hAnsi="宋体" w:cs="宋体"/>
          <w:color w:val="auto"/>
          <w:sz w:val="24"/>
          <w:highlight w:val="none"/>
          <w:u w:val="single"/>
        </w:rPr>
      </w:pPr>
      <w:r>
        <w:rPr>
          <w:rFonts w:hint="eastAsia" w:ascii="宋体" w:hAnsi="宋体" w:cs="宋体"/>
          <w:color w:val="auto"/>
          <w:sz w:val="24"/>
          <w:highlight w:val="none"/>
        </w:rPr>
        <w:t>法定代表人或者委托代理人签字：</w:t>
      </w:r>
      <w:r>
        <w:rPr>
          <w:rFonts w:hint="eastAsia" w:ascii="宋体" w:hAnsi="宋体" w:cs="宋体"/>
          <w:color w:val="auto"/>
          <w:sz w:val="24"/>
          <w:highlight w:val="none"/>
          <w:u w:val="single"/>
        </w:rPr>
        <w:t xml:space="preserve">               </w:t>
      </w:r>
    </w:p>
    <w:p>
      <w:pPr>
        <w:spacing w:line="360" w:lineRule="auto"/>
        <w:ind w:right="480" w:firstLine="3360" w:firstLineChars="1400"/>
        <w:contextualSpacing/>
        <w:rPr>
          <w:rFonts w:ascii="宋体" w:hAnsi="宋体" w:cs="宋体"/>
          <w:color w:val="auto"/>
          <w:sz w:val="24"/>
          <w:highlight w:val="none"/>
        </w:rPr>
      </w:pPr>
      <w:r>
        <w:rPr>
          <w:rFonts w:hint="eastAsia" w:ascii="宋体" w:hAnsi="宋体" w:cs="宋体"/>
          <w:color w:val="auto"/>
          <w:sz w:val="24"/>
          <w:highlight w:val="none"/>
        </w:rPr>
        <w:t>供应商（盖公章）：</w:t>
      </w:r>
      <w:r>
        <w:rPr>
          <w:rFonts w:hint="eastAsia" w:ascii="宋体" w:hAnsi="宋体" w:cs="宋体"/>
          <w:color w:val="auto"/>
          <w:sz w:val="24"/>
          <w:highlight w:val="none"/>
          <w:u w:val="single"/>
        </w:rPr>
        <w:t xml:space="preserve">                </w:t>
      </w:r>
    </w:p>
    <w:p>
      <w:pPr>
        <w:spacing w:line="360" w:lineRule="auto"/>
        <w:ind w:right="480" w:firstLine="240" w:firstLineChars="100"/>
        <w:contextualSpacing/>
        <w:jc w:val="center"/>
        <w:rPr>
          <w:rFonts w:ascii="宋体" w:hAnsi="宋体" w:cs="宋体"/>
          <w:color w:val="auto"/>
          <w:sz w:val="28"/>
          <w:szCs w:val="28"/>
          <w:highlight w:val="none"/>
        </w:rPr>
      </w:pPr>
      <w:r>
        <w:rPr>
          <w:rFonts w:hint="eastAsia" w:ascii="宋体" w:hAnsi="宋体" w:cs="宋体"/>
          <w:color w:val="auto"/>
          <w:sz w:val="24"/>
          <w:highlight w:val="none"/>
        </w:rPr>
        <w:t xml:space="preserve">                                        年    月    日</w:t>
      </w:r>
    </w:p>
    <w:p>
      <w:pPr>
        <w:spacing w:line="320" w:lineRule="exact"/>
        <w:jc w:val="center"/>
        <w:rPr>
          <w:rFonts w:ascii="宋体" w:hAnsi="宋体" w:cs="宋体"/>
          <w:b/>
          <w:color w:val="auto"/>
          <w:sz w:val="32"/>
          <w:szCs w:val="32"/>
          <w:highlight w:val="none"/>
        </w:rPr>
      </w:pPr>
      <w:r>
        <w:rPr>
          <w:rFonts w:hint="eastAsia" w:ascii="宋体" w:hAnsi="宋体" w:cs="宋体"/>
          <w:color w:val="auto"/>
          <w:sz w:val="28"/>
          <w:szCs w:val="28"/>
          <w:highlight w:val="none"/>
        </w:rPr>
        <w:br w:type="page"/>
      </w:r>
      <w:r>
        <w:rPr>
          <w:rFonts w:hint="eastAsia" w:ascii="宋体" w:hAnsi="宋体" w:cs="宋体"/>
          <w:b/>
          <w:color w:val="auto"/>
          <w:sz w:val="32"/>
          <w:szCs w:val="32"/>
          <w:highlight w:val="none"/>
        </w:rPr>
        <w:t>竞标声明</w:t>
      </w:r>
    </w:p>
    <w:p>
      <w:pPr>
        <w:spacing w:line="320" w:lineRule="exact"/>
        <w:jc w:val="center"/>
        <w:rPr>
          <w:rFonts w:ascii="宋体" w:hAnsi="宋体" w:cs="宋体"/>
          <w:color w:val="auto"/>
          <w:sz w:val="24"/>
          <w:szCs w:val="20"/>
          <w:highlight w:val="none"/>
        </w:rPr>
      </w:pPr>
    </w:p>
    <w:p>
      <w:pPr>
        <w:spacing w:line="360" w:lineRule="auto"/>
        <w:contextualSpacing/>
        <w:rPr>
          <w:rFonts w:ascii="宋体" w:hAnsi="宋体" w:cs="宋体"/>
          <w:color w:val="auto"/>
          <w:sz w:val="24"/>
          <w:highlight w:val="none"/>
        </w:rPr>
      </w:pPr>
      <w:r>
        <w:rPr>
          <w:rFonts w:hint="eastAsia" w:ascii="宋体" w:hAnsi="宋体" w:cs="宋体"/>
          <w:color w:val="auto"/>
          <w:sz w:val="24"/>
          <w:highlight w:val="none"/>
        </w:rPr>
        <w:t>致：</w:t>
      </w:r>
      <w:r>
        <w:rPr>
          <w:rFonts w:hint="eastAsia" w:ascii="宋体" w:hAnsi="宋体" w:cs="宋体"/>
          <w:color w:val="auto"/>
          <w:sz w:val="24"/>
          <w:highlight w:val="none"/>
          <w:u w:val="single"/>
        </w:rPr>
        <w:t>（采购人名称）</w:t>
      </w:r>
      <w:r>
        <w:rPr>
          <w:rFonts w:hint="eastAsia" w:ascii="宋体" w:hAnsi="宋体" w:cs="宋体"/>
          <w:color w:val="auto"/>
          <w:sz w:val="24"/>
          <w:highlight w:val="none"/>
        </w:rPr>
        <w:t>：</w:t>
      </w:r>
    </w:p>
    <w:p>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u w:val="single"/>
        </w:rPr>
        <w:t>（供应商名称）</w:t>
      </w:r>
      <w:r>
        <w:rPr>
          <w:rFonts w:hint="eastAsia" w:ascii="宋体" w:hAnsi="宋体" w:cs="宋体"/>
          <w:color w:val="auto"/>
          <w:sz w:val="24"/>
          <w:highlight w:val="none"/>
        </w:rPr>
        <w:t>系中华人民共和国合法供应商，经营地址</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我方愿意参加贵方组织的</w:t>
      </w:r>
      <w:r>
        <w:rPr>
          <w:rFonts w:hint="eastAsia" w:ascii="宋体" w:hAnsi="宋体" w:cs="宋体"/>
          <w:color w:val="auto"/>
          <w:sz w:val="24"/>
          <w:highlight w:val="none"/>
          <w:u w:val="single"/>
        </w:rPr>
        <w:t>（项目名称）</w:t>
      </w:r>
      <w:r>
        <w:rPr>
          <w:rFonts w:hint="eastAsia" w:ascii="宋体" w:hAnsi="宋体" w:cs="宋体"/>
          <w:color w:val="auto"/>
          <w:sz w:val="24"/>
          <w:highlight w:val="none"/>
        </w:rPr>
        <w:t>项目的竞标，为便于贵方公正、择优地确定成交供应商及其竞标产品和服务，我方就本次竞标有关事项郑重声明如下：</w:t>
      </w:r>
    </w:p>
    <w:p>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1.我方向贵方提交的所有响应文件、资料都是准确的和真实的。</w:t>
      </w:r>
    </w:p>
    <w:p>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2.我方不是为本次采购项目提供整体设计、规范编制或者项目管理、监理、检测等服务的供应商。</w:t>
      </w:r>
    </w:p>
    <w:p>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3.在此，我方宣布同意如下：</w:t>
      </w:r>
    </w:p>
    <w:p>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（1）将按磋商文件的约定履行合同责任和义务；</w:t>
      </w:r>
    </w:p>
    <w:p>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（2）已详细审查全部磋商文件，包括澄清或者更正公告（如有）；</w:t>
      </w:r>
    </w:p>
    <w:p>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（3）同意提供按照贵方可能要求的与磋商有关的一切数据或者资料；</w:t>
      </w:r>
    </w:p>
    <w:p>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（4）响应磋商文件规定的竞标有效期。</w:t>
      </w:r>
    </w:p>
    <w:p>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4.我方承诺符合《中华人民共和国政府采购法》第二十二条规定：</w:t>
      </w:r>
    </w:p>
    <w:p>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（2）具有良好的商业信誉和健全的财务会计制度；</w:t>
      </w:r>
    </w:p>
    <w:p>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（6）法律、行政法规规定的其他条件。</w:t>
      </w:r>
    </w:p>
    <w:p>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6.根据《中华人民共和国政府采购法实施条例》第五十条要求对政府采购合同进行公告，但政府采购合同中涉及国家秘密、商业秘密的内容除外。我方就对本次响应文件进行注明如下：（两项内容中必须选择一项）</w:t>
      </w:r>
    </w:p>
    <w:p>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□我方本次响应文件</w:t>
      </w:r>
      <w:r>
        <w:rPr>
          <w:rFonts w:hint="eastAsia" w:ascii="宋体" w:hAnsi="宋体" w:cs="宋体"/>
          <w:color w:val="auto"/>
          <w:kern w:val="0"/>
          <w:sz w:val="24"/>
          <w:highlight w:val="none"/>
        </w:rPr>
        <w:t>内容中</w:t>
      </w:r>
      <w:r>
        <w:rPr>
          <w:rFonts w:hint="eastAsia" w:ascii="宋体" w:hAnsi="宋体" w:cs="宋体"/>
          <w:color w:val="auto"/>
          <w:sz w:val="24"/>
          <w:highlight w:val="none"/>
        </w:rPr>
        <w:t>未</w:t>
      </w:r>
      <w:r>
        <w:rPr>
          <w:rFonts w:hint="eastAsia" w:ascii="宋体" w:hAnsi="宋体" w:cs="宋体"/>
          <w:color w:val="auto"/>
          <w:kern w:val="0"/>
          <w:sz w:val="24"/>
          <w:highlight w:val="none"/>
        </w:rPr>
        <w:t>涉及商业秘密；</w:t>
      </w:r>
    </w:p>
    <w:p>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□我方本次响应文件</w:t>
      </w:r>
      <w:r>
        <w:rPr>
          <w:rFonts w:hint="eastAsia" w:ascii="宋体" w:hAnsi="宋体" w:cs="宋体"/>
          <w:color w:val="auto"/>
          <w:kern w:val="0"/>
          <w:sz w:val="24"/>
          <w:highlight w:val="none"/>
        </w:rPr>
        <w:t>涉及商业秘密的内容有：</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pPr>
        <w:pStyle w:val="18"/>
        <w:spacing w:line="360" w:lineRule="auto"/>
        <w:ind w:firstLine="480" w:firstLineChars="200"/>
        <w:contextualSpacing/>
        <w:rPr>
          <w:rFonts w:hAnsi="宋体" w:cs="宋体"/>
          <w:color w:val="auto"/>
          <w:sz w:val="24"/>
          <w:szCs w:val="24"/>
          <w:highlight w:val="none"/>
          <w:u w:val="single"/>
        </w:rPr>
      </w:pPr>
      <w:r>
        <w:rPr>
          <w:rFonts w:hint="eastAsia" w:hAnsi="宋体" w:cs="宋体"/>
          <w:color w:val="auto"/>
          <w:sz w:val="24"/>
          <w:szCs w:val="24"/>
          <w:highlight w:val="none"/>
        </w:rPr>
        <w:t>7.与本磋商有关的一切正式往来信函请寄：</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邮政编号：</w:t>
      </w:r>
      <w:r>
        <w:rPr>
          <w:rFonts w:hint="eastAsia" w:hAnsi="宋体" w:cs="宋体"/>
          <w:color w:val="auto"/>
          <w:sz w:val="24"/>
          <w:szCs w:val="24"/>
          <w:highlight w:val="none"/>
          <w:u w:val="single"/>
        </w:rPr>
        <w:t xml:space="preserve">        </w:t>
      </w:r>
    </w:p>
    <w:p>
      <w:pPr>
        <w:pStyle w:val="18"/>
        <w:spacing w:line="360" w:lineRule="auto"/>
        <w:ind w:firstLine="480" w:firstLineChars="200"/>
        <w:contextualSpacing/>
        <w:rPr>
          <w:rFonts w:hAnsi="宋体" w:cs="宋体"/>
          <w:color w:val="auto"/>
          <w:sz w:val="24"/>
          <w:szCs w:val="24"/>
          <w:highlight w:val="none"/>
        </w:rPr>
      </w:pPr>
      <w:r>
        <w:rPr>
          <w:rFonts w:hint="eastAsia" w:hAnsi="宋体" w:cs="宋体"/>
          <w:color w:val="auto"/>
          <w:sz w:val="24"/>
          <w:szCs w:val="24"/>
          <w:highlight w:val="none"/>
        </w:rPr>
        <w:t>电话/传真：</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 xml:space="preserve"> 电子函件：</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 xml:space="preserve">    </w:t>
      </w:r>
    </w:p>
    <w:p>
      <w:pPr>
        <w:pStyle w:val="17"/>
        <w:tabs>
          <w:tab w:val="left" w:pos="939"/>
        </w:tabs>
        <w:spacing w:line="360" w:lineRule="auto"/>
        <w:ind w:left="141" w:leftChars="67" w:firstLine="360" w:firstLineChars="150"/>
        <w:rPr>
          <w:rFonts w:ascii="宋体" w:hAnsi="宋体" w:cs="宋体"/>
          <w:color w:val="auto"/>
          <w:sz w:val="24"/>
          <w:highlight w:val="none"/>
        </w:rPr>
      </w:pPr>
      <w:r>
        <w:rPr>
          <w:rFonts w:hint="eastAsia" w:ascii="宋体" w:hAnsi="宋体" w:cs="宋体"/>
          <w:color w:val="auto"/>
          <w:sz w:val="24"/>
          <w:highlight w:val="none"/>
        </w:rPr>
        <w:t>开户银行：</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帐号：</w:t>
      </w:r>
      <w:r>
        <w:rPr>
          <w:rFonts w:hint="eastAsia" w:ascii="宋体" w:hAnsi="宋体" w:cs="宋体"/>
          <w:color w:val="auto"/>
          <w:sz w:val="24"/>
          <w:highlight w:val="none"/>
          <w:u w:val="single"/>
        </w:rPr>
        <w:t xml:space="preserve">                               </w:t>
      </w:r>
    </w:p>
    <w:p>
      <w:pPr>
        <w:pStyle w:val="17"/>
        <w:tabs>
          <w:tab w:val="left" w:pos="939"/>
        </w:tabs>
        <w:spacing w:line="360" w:lineRule="auto"/>
        <w:ind w:left="0" w:leftChars="0" w:firstLine="480" w:firstLineChars="200"/>
        <w:rPr>
          <w:rFonts w:ascii="宋体" w:hAnsi="宋体" w:cs="宋体"/>
          <w:color w:val="auto"/>
          <w:sz w:val="24"/>
          <w:highlight w:val="none"/>
        </w:rPr>
      </w:pPr>
      <w:r>
        <w:rPr>
          <w:rFonts w:hint="eastAsia" w:ascii="宋体" w:hAnsi="宋体" w:cs="宋体"/>
          <w:color w:val="auto"/>
          <w:sz w:val="24"/>
          <w:highlight w:val="none"/>
        </w:rPr>
        <w:t>8.以上事项如有虚假或者隐瞒，我方愿意承担一切后果，并不再寻求任何旨在减轻或者免除法律责任的辩解。</w:t>
      </w:r>
    </w:p>
    <w:p>
      <w:pPr>
        <w:pStyle w:val="17"/>
        <w:tabs>
          <w:tab w:val="left" w:pos="939"/>
        </w:tabs>
        <w:spacing w:line="360" w:lineRule="auto"/>
        <w:ind w:left="141" w:leftChars="67" w:firstLine="360" w:firstLineChars="150"/>
        <w:rPr>
          <w:rFonts w:ascii="宋体" w:hAnsi="宋体" w:cs="宋体"/>
          <w:color w:val="auto"/>
          <w:sz w:val="24"/>
          <w:highlight w:val="none"/>
        </w:rPr>
      </w:pPr>
      <w:r>
        <w:rPr>
          <w:rFonts w:hint="eastAsia" w:ascii="宋体" w:hAnsi="宋体" w:cs="宋体"/>
          <w:color w:val="auto"/>
          <w:sz w:val="24"/>
          <w:highlight w:val="none"/>
        </w:rPr>
        <w:t>特此承诺。</w:t>
      </w:r>
    </w:p>
    <w:p>
      <w:pPr>
        <w:pStyle w:val="17"/>
        <w:tabs>
          <w:tab w:val="left" w:pos="939"/>
        </w:tabs>
        <w:spacing w:line="360" w:lineRule="auto"/>
        <w:ind w:left="0" w:leftChars="0" w:firstLine="482" w:firstLineChars="200"/>
        <w:rPr>
          <w:rFonts w:ascii="宋体" w:hAnsi="宋体" w:cs="宋体"/>
          <w:b/>
          <w:color w:val="auto"/>
          <w:sz w:val="24"/>
          <w:highlight w:val="none"/>
        </w:rPr>
      </w:pPr>
      <w:r>
        <w:rPr>
          <w:rFonts w:hint="eastAsia" w:ascii="宋体" w:hAnsi="宋体" w:cs="宋体"/>
          <w:b/>
          <w:color w:val="auto"/>
          <w:sz w:val="24"/>
          <w:highlight w:val="none"/>
        </w:rPr>
        <w:t>注：如为联合体竞标，盖章处须加盖联合体各方公章并由联合体各方法定代表人签署，否则其响应文件按无效响应处理。</w:t>
      </w:r>
    </w:p>
    <w:p>
      <w:pPr>
        <w:pStyle w:val="17"/>
        <w:tabs>
          <w:tab w:val="left" w:pos="939"/>
        </w:tabs>
        <w:spacing w:line="360" w:lineRule="auto"/>
        <w:ind w:left="0" w:leftChars="0" w:firstLine="480" w:firstLineChars="200"/>
        <w:rPr>
          <w:rFonts w:ascii="宋体" w:hAnsi="宋体" w:cs="宋体"/>
          <w:color w:val="auto"/>
          <w:sz w:val="24"/>
          <w:highlight w:val="none"/>
        </w:rPr>
      </w:pPr>
    </w:p>
    <w:p>
      <w:pPr>
        <w:spacing w:line="360" w:lineRule="auto"/>
        <w:ind w:firstLine="4320" w:firstLineChars="1800"/>
        <w:contextualSpacing/>
        <w:rPr>
          <w:rFonts w:ascii="宋体" w:hAnsi="宋体" w:cs="宋体"/>
          <w:color w:val="auto"/>
          <w:sz w:val="24"/>
          <w:highlight w:val="none"/>
        </w:rPr>
      </w:pPr>
      <w:r>
        <w:rPr>
          <w:rFonts w:hint="eastAsia" w:ascii="宋体" w:hAnsi="宋体" w:cs="宋体"/>
          <w:color w:val="auto"/>
          <w:sz w:val="24"/>
          <w:highlight w:val="none"/>
        </w:rPr>
        <w:t>法定代表人（签字）：</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pPr>
        <w:spacing w:line="360" w:lineRule="auto"/>
        <w:ind w:firstLine="4320" w:firstLineChars="1800"/>
        <w:contextualSpacing/>
        <w:rPr>
          <w:rFonts w:ascii="宋体" w:hAnsi="宋体" w:cs="宋体"/>
          <w:color w:val="auto"/>
          <w:sz w:val="24"/>
          <w:highlight w:val="none"/>
          <w:u w:val="single"/>
        </w:rPr>
      </w:pPr>
      <w:r>
        <w:rPr>
          <w:rFonts w:hint="eastAsia" w:ascii="宋体" w:hAnsi="宋体" w:cs="宋体"/>
          <w:color w:val="auto"/>
          <w:sz w:val="24"/>
          <w:highlight w:val="none"/>
        </w:rPr>
        <w:t>供应商（盖公章）：</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pPr>
        <w:spacing w:line="360" w:lineRule="auto"/>
        <w:ind w:right="480" w:firstLine="240" w:firstLineChars="100"/>
        <w:contextualSpacing/>
        <w:jc w:val="center"/>
        <w:rPr>
          <w:rFonts w:ascii="宋体" w:hAnsi="宋体" w:cs="宋体"/>
          <w:color w:val="auto"/>
          <w:sz w:val="24"/>
          <w:highlight w:val="none"/>
        </w:rPr>
      </w:pPr>
      <w:r>
        <w:rPr>
          <w:rFonts w:hint="eastAsia" w:ascii="宋体" w:hAnsi="宋体" w:cs="宋体"/>
          <w:color w:val="auto"/>
          <w:sz w:val="24"/>
          <w:highlight w:val="none"/>
        </w:rPr>
        <w:t xml:space="preserve">                                                   年    月    日</w:t>
      </w:r>
    </w:p>
    <w:p>
      <w:pPr>
        <w:pStyle w:val="9"/>
        <w:overflowPunct w:val="0"/>
        <w:spacing w:line="520" w:lineRule="exact"/>
        <w:ind w:firstLine="0"/>
        <w:jc w:val="center"/>
        <w:rPr>
          <w:rFonts w:ascii="宋体" w:hAnsi="宋体" w:cs="宋体"/>
          <w:color w:val="auto"/>
          <w:sz w:val="44"/>
          <w:szCs w:val="44"/>
          <w:highlight w:val="none"/>
        </w:rPr>
      </w:pPr>
      <w:r>
        <w:rPr>
          <w:rFonts w:hint="eastAsia" w:ascii="宋体" w:hAnsi="宋体" w:cs="宋体"/>
          <w:color w:val="auto"/>
          <w:sz w:val="24"/>
          <w:highlight w:val="none"/>
        </w:rPr>
        <w:br w:type="page"/>
      </w:r>
      <w:r>
        <w:rPr>
          <w:rFonts w:hint="eastAsia" w:ascii="宋体" w:hAnsi="宋体" w:cs="宋体"/>
          <w:color w:val="auto"/>
          <w:sz w:val="44"/>
          <w:szCs w:val="44"/>
          <w:highlight w:val="none"/>
        </w:rPr>
        <w:t>联合体竞标协议书</w:t>
      </w:r>
    </w:p>
    <w:p>
      <w:pPr>
        <w:pStyle w:val="9"/>
        <w:overflowPunct w:val="0"/>
        <w:spacing w:line="360" w:lineRule="auto"/>
        <w:ind w:firstLine="0"/>
        <w:rPr>
          <w:rFonts w:ascii="宋体" w:hAnsi="宋体" w:cs="宋体"/>
          <w:color w:val="auto"/>
          <w:sz w:val="24"/>
          <w:szCs w:val="24"/>
          <w:highlight w:val="none"/>
        </w:rPr>
      </w:pPr>
    </w:p>
    <w:p>
      <w:pPr>
        <w:pStyle w:val="9"/>
        <w:overflowPunct w:val="0"/>
        <w:spacing w:line="360" w:lineRule="auto"/>
        <w:ind w:firstLine="480" w:firstLineChars="200"/>
        <w:contextualSpacing/>
        <w:rPr>
          <w:rFonts w:ascii="宋体" w:hAnsi="宋体" w:cs="宋体"/>
          <w:color w:val="auto"/>
          <w:sz w:val="24"/>
          <w:szCs w:val="24"/>
          <w:highlight w:val="none"/>
        </w:rPr>
      </w:pP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（所有成员单位名称）自愿组成</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（联合体名称）联合体，共同参加</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（项目名称）采购项目竞标。现就联合体竞标事宜订立如下协议。</w:t>
      </w:r>
    </w:p>
    <w:p>
      <w:pPr>
        <w:pStyle w:val="9"/>
        <w:overflowPunct w:val="0"/>
        <w:spacing w:line="360" w:lineRule="auto"/>
        <w:ind w:firstLine="480" w:firstLineChars="200"/>
        <w:contextualSpacing/>
        <w:rPr>
          <w:rFonts w:ascii="宋体" w:hAnsi="宋体" w:cs="宋体"/>
          <w:color w:val="auto"/>
          <w:sz w:val="24"/>
          <w:szCs w:val="24"/>
          <w:highlight w:val="none"/>
        </w:rPr>
      </w:pPr>
      <w:r>
        <w:rPr>
          <w:rFonts w:hint="eastAsia" w:ascii="宋体" w:hAnsi="宋体" w:cs="宋体"/>
          <w:color w:val="auto"/>
          <w:sz w:val="24"/>
          <w:szCs w:val="24"/>
          <w:highlight w:val="none"/>
        </w:rPr>
        <w:t>1.</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ab/>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（某成员单位名称）为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（联合体名称）牵头人。</w:t>
      </w:r>
    </w:p>
    <w:p>
      <w:pPr>
        <w:pStyle w:val="9"/>
        <w:overflowPunct w:val="0"/>
        <w:spacing w:line="360" w:lineRule="auto"/>
        <w:ind w:firstLine="480" w:firstLineChars="200"/>
        <w:contextualSpacing/>
        <w:rPr>
          <w:rFonts w:ascii="宋体" w:hAnsi="宋体" w:cs="宋体"/>
          <w:color w:val="auto"/>
          <w:sz w:val="24"/>
          <w:szCs w:val="24"/>
          <w:highlight w:val="none"/>
        </w:rPr>
      </w:pPr>
      <w:r>
        <w:rPr>
          <w:rFonts w:hint="eastAsia" w:ascii="宋体" w:hAnsi="宋体" w:cs="宋体"/>
          <w:color w:val="auto"/>
          <w:sz w:val="24"/>
          <w:szCs w:val="24"/>
          <w:highlight w:val="none"/>
        </w:rPr>
        <w:t>2.联合体各成员授权牵头人代表联合体参加竞标活动，签署文件及对文件的盖章，提交和接收相关的资料、信息及指示，进行合同磋商活动，负责合同实施阶段的组织和协调工作，以及处理与本竞标项目有关的一切事宜。</w:t>
      </w:r>
    </w:p>
    <w:p>
      <w:pPr>
        <w:pStyle w:val="9"/>
        <w:overflowPunct w:val="0"/>
        <w:spacing w:line="360" w:lineRule="auto"/>
        <w:ind w:firstLine="480" w:firstLineChars="200"/>
        <w:contextualSpacing/>
        <w:rPr>
          <w:rFonts w:ascii="宋体" w:hAnsi="宋体" w:cs="宋体"/>
          <w:color w:val="auto"/>
          <w:sz w:val="24"/>
          <w:szCs w:val="24"/>
          <w:highlight w:val="none"/>
        </w:rPr>
      </w:pPr>
      <w:r>
        <w:rPr>
          <w:rFonts w:hint="eastAsia" w:ascii="宋体" w:hAnsi="宋体" w:cs="宋体"/>
          <w:color w:val="auto"/>
          <w:sz w:val="24"/>
          <w:szCs w:val="24"/>
          <w:highlight w:val="none"/>
        </w:rPr>
        <w:t>3.联合体牵头人在本项目中签署和盖章的一切文件和处理的一切事宜，联合体各成员均予以承认。联合体各成员将严格按照磋商文件、响应文件和合同的要求全面履行义务，并向采购人承担连带责任。</w:t>
      </w:r>
    </w:p>
    <w:p>
      <w:pPr>
        <w:pStyle w:val="9"/>
        <w:overflowPunct w:val="0"/>
        <w:spacing w:line="360" w:lineRule="auto"/>
        <w:ind w:firstLine="480" w:firstLineChars="200"/>
        <w:contextualSpacing/>
        <w:rPr>
          <w:rFonts w:ascii="宋体" w:hAnsi="宋体" w:cs="宋体"/>
          <w:color w:val="auto"/>
          <w:sz w:val="24"/>
          <w:szCs w:val="24"/>
          <w:highlight w:val="none"/>
        </w:rPr>
      </w:pPr>
      <w:r>
        <w:rPr>
          <w:rFonts w:hint="eastAsia" w:ascii="宋体" w:hAnsi="宋体" w:cs="宋体"/>
          <w:color w:val="auto"/>
          <w:sz w:val="24"/>
          <w:szCs w:val="24"/>
          <w:highlight w:val="none"/>
        </w:rPr>
        <w:t>4.联合体各成员单位内部的职责分工如下：</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pPr>
        <w:pStyle w:val="9"/>
        <w:overflowPunct w:val="0"/>
        <w:spacing w:line="360" w:lineRule="auto"/>
        <w:ind w:firstLine="480" w:firstLineChars="200"/>
        <w:contextualSpacing/>
        <w:rPr>
          <w:rFonts w:ascii="宋体" w:hAnsi="宋体" w:cs="宋体"/>
          <w:color w:val="auto"/>
          <w:sz w:val="24"/>
          <w:szCs w:val="24"/>
          <w:highlight w:val="none"/>
        </w:rPr>
      </w:pPr>
      <w:r>
        <w:rPr>
          <w:rFonts w:hint="eastAsia" w:ascii="宋体" w:hAnsi="宋体" w:cs="宋体"/>
          <w:color w:val="auto"/>
          <w:sz w:val="24"/>
          <w:szCs w:val="24"/>
          <w:highlight w:val="none"/>
        </w:rPr>
        <w:t>5.本</w:t>
      </w:r>
      <w:r>
        <w:rPr>
          <w:rFonts w:hint="eastAsia" w:ascii="宋体" w:hAnsi="宋体" w:cs="宋体"/>
          <w:color w:val="auto"/>
          <w:spacing w:val="-6"/>
          <w:sz w:val="24"/>
          <w:szCs w:val="24"/>
          <w:highlight w:val="none"/>
        </w:rPr>
        <w:t>协议书自所有成员单位法定代表人（单位负责人）或者其委托代理人签字或者盖单位章之日起生效，合同履行完毕后自动失效。</w:t>
      </w:r>
    </w:p>
    <w:p>
      <w:pPr>
        <w:pStyle w:val="9"/>
        <w:overflowPunct w:val="0"/>
        <w:spacing w:line="360" w:lineRule="auto"/>
        <w:ind w:firstLine="480" w:firstLineChars="200"/>
        <w:contextualSpacing/>
        <w:rPr>
          <w:rFonts w:ascii="宋体" w:hAnsi="宋体" w:cs="宋体"/>
          <w:color w:val="auto"/>
          <w:sz w:val="24"/>
          <w:szCs w:val="24"/>
          <w:highlight w:val="none"/>
        </w:rPr>
      </w:pPr>
      <w:r>
        <w:rPr>
          <w:rFonts w:hint="eastAsia" w:ascii="宋体" w:hAnsi="宋体" w:cs="宋体"/>
          <w:color w:val="auto"/>
          <w:sz w:val="24"/>
          <w:szCs w:val="24"/>
          <w:highlight w:val="none"/>
        </w:rPr>
        <w:t>6.本协议书一式</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ab/>
      </w:r>
      <w:r>
        <w:rPr>
          <w:rFonts w:hint="eastAsia" w:ascii="宋体" w:hAnsi="宋体" w:cs="宋体"/>
          <w:color w:val="auto"/>
          <w:sz w:val="24"/>
          <w:szCs w:val="24"/>
          <w:highlight w:val="none"/>
        </w:rPr>
        <w:t>份，联合体成员和采购人各执一份。</w:t>
      </w:r>
    </w:p>
    <w:p>
      <w:pPr>
        <w:pStyle w:val="9"/>
        <w:overflowPunct w:val="0"/>
        <w:spacing w:line="360" w:lineRule="auto"/>
        <w:ind w:firstLine="480" w:firstLineChars="200"/>
        <w:contextualSpacing/>
        <w:rPr>
          <w:rFonts w:ascii="宋体" w:hAnsi="宋体" w:cs="宋体"/>
          <w:color w:val="auto"/>
          <w:sz w:val="24"/>
          <w:szCs w:val="24"/>
          <w:highlight w:val="none"/>
        </w:rPr>
      </w:pPr>
      <w:r>
        <w:rPr>
          <w:rFonts w:hint="eastAsia" w:ascii="宋体" w:hAnsi="宋体" w:cs="宋体"/>
          <w:color w:val="auto"/>
          <w:sz w:val="24"/>
          <w:szCs w:val="24"/>
          <w:highlight w:val="none"/>
        </w:rPr>
        <w:t>注：本协议书由法定代表人（单位负责人）签字的，应附法定代表人（单位负责人）身份证明书；由委托代理人签字的，应附联合体协议签订授权委托书（格式自拟）。</w:t>
      </w:r>
    </w:p>
    <w:p>
      <w:pPr>
        <w:pStyle w:val="9"/>
        <w:overflowPunct w:val="0"/>
        <w:spacing w:line="360" w:lineRule="auto"/>
        <w:ind w:firstLineChars="175"/>
        <w:contextualSpacing/>
        <w:rPr>
          <w:rFonts w:ascii="宋体" w:hAnsi="宋体" w:cs="宋体"/>
          <w:color w:val="auto"/>
          <w:sz w:val="24"/>
          <w:szCs w:val="24"/>
          <w:highlight w:val="none"/>
        </w:rPr>
      </w:pPr>
    </w:p>
    <w:p>
      <w:pPr>
        <w:pStyle w:val="9"/>
        <w:overflowPunct w:val="0"/>
        <w:spacing w:line="360" w:lineRule="auto"/>
        <w:ind w:firstLine="0"/>
        <w:contextualSpacing/>
        <w:rPr>
          <w:rFonts w:ascii="宋体" w:hAnsi="宋体" w:cs="宋体"/>
          <w:color w:val="auto"/>
          <w:sz w:val="24"/>
          <w:szCs w:val="24"/>
          <w:highlight w:val="none"/>
        </w:rPr>
      </w:pPr>
      <w:r>
        <w:rPr>
          <w:rFonts w:hint="eastAsia" w:ascii="宋体" w:hAnsi="宋体" w:cs="宋体"/>
          <w:color w:val="auto"/>
          <w:sz w:val="24"/>
          <w:szCs w:val="24"/>
          <w:highlight w:val="none"/>
        </w:rPr>
        <w:t>联合体牵头人名称（盖公章）：</w:t>
      </w:r>
    </w:p>
    <w:p>
      <w:pPr>
        <w:pStyle w:val="9"/>
        <w:overflowPunct w:val="0"/>
        <w:spacing w:line="360" w:lineRule="auto"/>
        <w:ind w:firstLine="0"/>
        <w:contextualSpacing/>
        <w:rPr>
          <w:rFonts w:ascii="宋体" w:hAnsi="宋体" w:cs="宋体"/>
          <w:color w:val="auto"/>
          <w:sz w:val="24"/>
          <w:szCs w:val="24"/>
          <w:highlight w:val="none"/>
        </w:rPr>
      </w:pPr>
      <w:r>
        <w:rPr>
          <w:rFonts w:hint="eastAsia" w:ascii="宋体" w:hAnsi="宋体" w:cs="宋体"/>
          <w:color w:val="auto"/>
          <w:sz w:val="24"/>
          <w:szCs w:val="24"/>
          <w:highlight w:val="none"/>
        </w:rPr>
        <w:t>法定代表人（单位负责人）或者其委托代理人（签字）：</w:t>
      </w:r>
    </w:p>
    <w:p>
      <w:pPr>
        <w:pStyle w:val="9"/>
        <w:overflowPunct w:val="0"/>
        <w:spacing w:line="360" w:lineRule="auto"/>
        <w:ind w:firstLine="0"/>
        <w:contextualSpacing/>
        <w:rPr>
          <w:rFonts w:ascii="宋体" w:hAnsi="宋体" w:cs="宋体"/>
          <w:color w:val="auto"/>
          <w:sz w:val="24"/>
          <w:szCs w:val="24"/>
          <w:highlight w:val="none"/>
        </w:rPr>
      </w:pPr>
    </w:p>
    <w:p>
      <w:pPr>
        <w:pStyle w:val="9"/>
        <w:overflowPunct w:val="0"/>
        <w:spacing w:line="360" w:lineRule="auto"/>
        <w:ind w:firstLine="0"/>
        <w:contextualSpacing/>
        <w:rPr>
          <w:rFonts w:ascii="宋体" w:hAnsi="宋体" w:cs="宋体"/>
          <w:color w:val="auto"/>
          <w:sz w:val="24"/>
          <w:szCs w:val="24"/>
          <w:highlight w:val="none"/>
        </w:rPr>
      </w:pPr>
      <w:r>
        <w:rPr>
          <w:rFonts w:hint="eastAsia" w:ascii="宋体" w:hAnsi="宋体" w:cs="宋体"/>
          <w:color w:val="auto"/>
          <w:sz w:val="24"/>
          <w:szCs w:val="24"/>
          <w:highlight w:val="none"/>
        </w:rPr>
        <w:t>联合体成员名称（盖公章）：</w:t>
      </w:r>
    </w:p>
    <w:p>
      <w:pPr>
        <w:pStyle w:val="9"/>
        <w:overflowPunct w:val="0"/>
        <w:spacing w:line="360" w:lineRule="auto"/>
        <w:ind w:firstLine="0"/>
        <w:contextualSpacing/>
        <w:rPr>
          <w:rFonts w:ascii="宋体" w:hAnsi="宋体" w:cs="宋体"/>
          <w:color w:val="auto"/>
          <w:sz w:val="24"/>
          <w:szCs w:val="24"/>
          <w:highlight w:val="none"/>
        </w:rPr>
      </w:pPr>
      <w:r>
        <w:rPr>
          <w:rFonts w:hint="eastAsia" w:ascii="宋体" w:hAnsi="宋体" w:cs="宋体"/>
          <w:color w:val="auto"/>
          <w:sz w:val="24"/>
          <w:szCs w:val="24"/>
          <w:highlight w:val="none"/>
        </w:rPr>
        <w:t>法定代表人（单位负责人）或者其委托代理人（签字）：</w:t>
      </w:r>
    </w:p>
    <w:p>
      <w:pPr>
        <w:pStyle w:val="9"/>
        <w:overflowPunct w:val="0"/>
        <w:spacing w:line="360" w:lineRule="auto"/>
        <w:ind w:firstLine="0"/>
        <w:contextualSpacing/>
        <w:rPr>
          <w:rFonts w:ascii="宋体" w:hAnsi="宋体" w:cs="宋体"/>
          <w:color w:val="auto"/>
          <w:sz w:val="24"/>
          <w:szCs w:val="24"/>
          <w:highlight w:val="none"/>
        </w:rPr>
      </w:pPr>
    </w:p>
    <w:p>
      <w:pPr>
        <w:pStyle w:val="9"/>
        <w:overflowPunct w:val="0"/>
        <w:spacing w:line="360" w:lineRule="auto"/>
        <w:ind w:firstLine="0"/>
        <w:contextualSpacing/>
        <w:rPr>
          <w:rFonts w:ascii="宋体" w:hAnsi="宋体" w:cs="宋体"/>
          <w:color w:val="auto"/>
          <w:sz w:val="24"/>
          <w:szCs w:val="24"/>
          <w:highlight w:val="none"/>
        </w:rPr>
      </w:pPr>
      <w:r>
        <w:rPr>
          <w:rFonts w:hint="eastAsia" w:ascii="宋体" w:hAnsi="宋体" w:cs="宋体"/>
          <w:color w:val="auto"/>
          <w:sz w:val="24"/>
          <w:szCs w:val="24"/>
          <w:highlight w:val="none"/>
        </w:rPr>
        <w:t>联合体成员名称（盖公章）：</w:t>
      </w:r>
    </w:p>
    <w:p>
      <w:pPr>
        <w:pStyle w:val="9"/>
        <w:overflowPunct w:val="0"/>
        <w:spacing w:line="360" w:lineRule="auto"/>
        <w:ind w:firstLine="0"/>
        <w:contextualSpacing/>
        <w:rPr>
          <w:rFonts w:ascii="宋体" w:hAnsi="宋体" w:cs="宋体"/>
          <w:color w:val="auto"/>
          <w:sz w:val="24"/>
          <w:szCs w:val="24"/>
          <w:highlight w:val="none"/>
        </w:rPr>
      </w:pPr>
      <w:r>
        <w:rPr>
          <w:rFonts w:hint="eastAsia" w:ascii="宋体" w:hAnsi="宋体" w:cs="宋体"/>
          <w:color w:val="auto"/>
          <w:sz w:val="24"/>
          <w:szCs w:val="24"/>
          <w:highlight w:val="none"/>
        </w:rPr>
        <w:t>法定代表人（单位负责人）或者其委托代理人（签字）：</w:t>
      </w:r>
    </w:p>
    <w:p>
      <w:pPr>
        <w:pStyle w:val="9"/>
        <w:overflowPunct w:val="0"/>
        <w:spacing w:line="360" w:lineRule="auto"/>
        <w:ind w:firstLine="0"/>
        <w:contextualSpacing/>
        <w:rPr>
          <w:rFonts w:ascii="宋体" w:hAnsi="宋体" w:cs="宋体"/>
          <w:color w:val="auto"/>
          <w:sz w:val="24"/>
          <w:szCs w:val="24"/>
          <w:highlight w:val="none"/>
        </w:rPr>
      </w:pPr>
      <w:r>
        <w:rPr>
          <w:rFonts w:hint="eastAsia" w:ascii="宋体" w:hAnsi="宋体" w:cs="宋体"/>
          <w:color w:val="auto"/>
          <w:sz w:val="24"/>
          <w:szCs w:val="24"/>
          <w:highlight w:val="none"/>
        </w:rPr>
        <w:t>……</w:t>
      </w:r>
    </w:p>
    <w:p>
      <w:pPr>
        <w:spacing w:line="360" w:lineRule="auto"/>
        <w:ind w:right="480" w:firstLine="240" w:firstLineChars="100"/>
        <w:contextualSpacing/>
        <w:jc w:val="center"/>
        <w:rPr>
          <w:rFonts w:ascii="宋体" w:hAnsi="宋体" w:cs="宋体"/>
          <w:b/>
          <w:bCs/>
          <w:color w:val="auto"/>
          <w:sz w:val="32"/>
          <w:szCs w:val="32"/>
          <w:highlight w:val="none"/>
        </w:rPr>
      </w:pPr>
      <w:r>
        <w:rPr>
          <w:rFonts w:hint="eastAsia" w:ascii="宋体" w:hAnsi="宋体" w:cs="宋体"/>
          <w:color w:val="auto"/>
          <w:sz w:val="24"/>
          <w:highlight w:val="none"/>
        </w:rPr>
        <w:t xml:space="preserve">                                                年  </w:t>
      </w:r>
      <w:r>
        <w:rPr>
          <w:rFonts w:hint="eastAsia" w:ascii="宋体" w:hAnsi="宋体" w:cs="宋体"/>
          <w:color w:val="auto"/>
          <w:sz w:val="24"/>
          <w:highlight w:val="none"/>
        </w:rPr>
        <w:tab/>
      </w:r>
      <w:r>
        <w:rPr>
          <w:rFonts w:hint="eastAsia" w:ascii="宋体" w:hAnsi="宋体" w:cs="宋体"/>
          <w:color w:val="auto"/>
          <w:sz w:val="24"/>
          <w:highlight w:val="none"/>
        </w:rPr>
        <w:t xml:space="preserve">月  </w:t>
      </w:r>
      <w:r>
        <w:rPr>
          <w:rFonts w:hint="eastAsia" w:ascii="宋体" w:hAnsi="宋体" w:cs="宋体"/>
          <w:color w:val="auto"/>
          <w:sz w:val="24"/>
          <w:highlight w:val="none"/>
        </w:rPr>
        <w:tab/>
      </w:r>
      <w:r>
        <w:rPr>
          <w:rFonts w:hint="eastAsia" w:ascii="宋体" w:hAnsi="宋体" w:cs="宋体"/>
          <w:color w:val="auto"/>
          <w:sz w:val="24"/>
          <w:highlight w:val="none"/>
        </w:rPr>
        <w:t>日</w:t>
      </w:r>
    </w:p>
    <w:p>
      <w:pPr>
        <w:snapToGrid w:val="0"/>
        <w:spacing w:before="156" w:beforeLines="50" w:after="50" w:line="360" w:lineRule="auto"/>
        <w:ind w:right="480"/>
        <w:rPr>
          <w:rFonts w:ascii="宋体" w:hAnsi="宋体" w:cs="宋体"/>
          <w:b/>
          <w:color w:val="auto"/>
          <w:sz w:val="32"/>
          <w:szCs w:val="32"/>
          <w:highlight w:val="none"/>
        </w:rPr>
      </w:pPr>
      <w:r>
        <w:rPr>
          <w:rFonts w:hint="eastAsia" w:ascii="宋体" w:hAnsi="宋体" w:cs="宋体"/>
          <w:b/>
          <w:bCs/>
          <w:color w:val="auto"/>
          <w:sz w:val="32"/>
          <w:szCs w:val="32"/>
          <w:highlight w:val="none"/>
        </w:rPr>
        <w:br w:type="page"/>
      </w:r>
      <w:r>
        <w:rPr>
          <w:rFonts w:hint="eastAsia" w:ascii="宋体" w:hAnsi="宋体" w:cs="宋体"/>
          <w:b/>
          <w:bCs/>
          <w:color w:val="auto"/>
          <w:sz w:val="32"/>
          <w:szCs w:val="32"/>
          <w:highlight w:val="none"/>
        </w:rPr>
        <w:t>二、</w:t>
      </w:r>
      <w:r>
        <w:rPr>
          <w:rFonts w:hint="eastAsia" w:ascii="宋体" w:hAnsi="宋体" w:cs="宋体"/>
          <w:b/>
          <w:color w:val="auto"/>
          <w:sz w:val="32"/>
          <w:szCs w:val="32"/>
          <w:highlight w:val="none"/>
        </w:rPr>
        <w:t>报价商务技术文件格式</w:t>
      </w:r>
    </w:p>
    <w:p>
      <w:pPr>
        <w:snapToGrid w:val="0"/>
        <w:spacing w:before="156" w:beforeLines="50" w:after="50" w:line="360" w:lineRule="auto"/>
        <w:jc w:val="left"/>
        <w:rPr>
          <w:rFonts w:ascii="宋体" w:hAnsi="宋体" w:cs="宋体"/>
          <w:b/>
          <w:color w:val="auto"/>
          <w:sz w:val="32"/>
          <w:szCs w:val="32"/>
          <w:highlight w:val="none"/>
        </w:rPr>
      </w:pPr>
      <w:r>
        <w:rPr>
          <w:rFonts w:hint="eastAsia" w:ascii="宋体" w:hAnsi="宋体" w:cs="宋体"/>
          <w:b/>
          <w:color w:val="auto"/>
          <w:sz w:val="32"/>
          <w:szCs w:val="32"/>
          <w:highlight w:val="none"/>
        </w:rPr>
        <w:t>1.报价商务技术文件封面格式</w:t>
      </w:r>
    </w:p>
    <w:p>
      <w:pPr>
        <w:snapToGrid w:val="0"/>
        <w:spacing w:before="156" w:beforeLines="50" w:after="50"/>
        <w:rPr>
          <w:rFonts w:ascii="宋体" w:hAnsi="宋体" w:cs="宋体"/>
          <w:bCs/>
          <w:color w:val="auto"/>
          <w:sz w:val="32"/>
          <w:szCs w:val="20"/>
          <w:highlight w:val="none"/>
        </w:rPr>
      </w:pPr>
      <w:r>
        <w:rPr>
          <w:rFonts w:hint="eastAsia" w:ascii="宋体" w:hAnsi="宋体" w:cs="宋体"/>
          <w:color w:val="auto"/>
          <w:sz w:val="24"/>
          <w:highlight w:val="none"/>
        </w:rPr>
        <w:t xml:space="preserve">                                                   </w:t>
      </w:r>
    </w:p>
    <w:p>
      <w:pPr>
        <w:snapToGrid w:val="0"/>
        <w:spacing w:before="156" w:beforeLines="50" w:after="50"/>
        <w:rPr>
          <w:rFonts w:ascii="宋体" w:hAnsi="宋体" w:cs="宋体"/>
          <w:color w:val="auto"/>
          <w:sz w:val="24"/>
          <w:szCs w:val="20"/>
          <w:highlight w:val="none"/>
        </w:rPr>
      </w:pPr>
    </w:p>
    <w:p>
      <w:pPr>
        <w:snapToGrid w:val="0"/>
        <w:spacing w:before="156" w:beforeLines="50" w:after="50"/>
        <w:jc w:val="center"/>
        <w:rPr>
          <w:rFonts w:ascii="宋体" w:hAnsi="宋体" w:cs="宋体"/>
          <w:bCs/>
          <w:color w:val="auto"/>
          <w:sz w:val="84"/>
          <w:szCs w:val="84"/>
          <w:highlight w:val="none"/>
        </w:rPr>
      </w:pPr>
      <w:r>
        <w:rPr>
          <w:rFonts w:hint="eastAsia" w:ascii="宋体" w:hAnsi="宋体" w:cs="宋体"/>
          <w:bCs/>
          <w:color w:val="auto"/>
          <w:sz w:val="84"/>
          <w:szCs w:val="84"/>
          <w:highlight w:val="none"/>
        </w:rPr>
        <w:t>响  应  文  件</w:t>
      </w:r>
    </w:p>
    <w:p>
      <w:pPr>
        <w:snapToGrid w:val="0"/>
        <w:spacing w:before="156" w:beforeLines="50" w:after="50"/>
        <w:jc w:val="center"/>
        <w:rPr>
          <w:rFonts w:ascii="宋体" w:hAnsi="宋体" w:cs="宋体"/>
          <w:bCs/>
          <w:color w:val="auto"/>
          <w:sz w:val="32"/>
          <w:szCs w:val="32"/>
          <w:highlight w:val="none"/>
        </w:rPr>
      </w:pPr>
      <w:r>
        <w:rPr>
          <w:rFonts w:hint="eastAsia" w:ascii="宋体" w:hAnsi="宋体" w:cs="宋体"/>
          <w:bCs/>
          <w:color w:val="auto"/>
          <w:sz w:val="32"/>
          <w:szCs w:val="32"/>
          <w:highlight w:val="none"/>
        </w:rPr>
        <w:t>报  价  商  务  技  术  文  件</w:t>
      </w:r>
    </w:p>
    <w:p>
      <w:pPr>
        <w:snapToGrid w:val="0"/>
        <w:spacing w:before="156" w:beforeLines="50" w:after="50"/>
        <w:rPr>
          <w:rFonts w:ascii="宋体" w:hAnsi="宋体" w:cs="宋体"/>
          <w:bCs/>
          <w:color w:val="auto"/>
          <w:sz w:val="24"/>
          <w:szCs w:val="20"/>
          <w:highlight w:val="none"/>
        </w:rPr>
      </w:pPr>
    </w:p>
    <w:p>
      <w:pPr>
        <w:snapToGrid w:val="0"/>
        <w:spacing w:before="156" w:beforeLines="50" w:after="50"/>
        <w:rPr>
          <w:rFonts w:ascii="宋体" w:hAnsi="宋体" w:cs="宋体"/>
          <w:bCs/>
          <w:color w:val="auto"/>
          <w:sz w:val="24"/>
          <w:szCs w:val="20"/>
          <w:highlight w:val="none"/>
        </w:rPr>
      </w:pPr>
    </w:p>
    <w:p>
      <w:pPr>
        <w:snapToGrid w:val="0"/>
        <w:spacing w:before="156" w:beforeLines="50" w:after="50"/>
        <w:rPr>
          <w:rFonts w:ascii="宋体" w:hAnsi="宋体" w:cs="宋体"/>
          <w:bCs/>
          <w:color w:val="auto"/>
          <w:sz w:val="24"/>
          <w:szCs w:val="20"/>
          <w:highlight w:val="none"/>
        </w:rPr>
      </w:pPr>
    </w:p>
    <w:p>
      <w:pPr>
        <w:snapToGrid w:val="0"/>
        <w:spacing w:before="156" w:beforeLines="50" w:after="50"/>
        <w:rPr>
          <w:rFonts w:ascii="宋体" w:hAnsi="宋体" w:cs="宋体"/>
          <w:bCs/>
          <w:color w:val="auto"/>
          <w:sz w:val="24"/>
          <w:szCs w:val="20"/>
          <w:highlight w:val="none"/>
        </w:rPr>
      </w:pPr>
    </w:p>
    <w:p>
      <w:pPr>
        <w:snapToGrid w:val="0"/>
        <w:spacing w:before="156" w:beforeLines="50" w:after="50"/>
        <w:rPr>
          <w:rFonts w:ascii="宋体" w:hAnsi="宋体" w:cs="宋体"/>
          <w:bCs/>
          <w:color w:val="auto"/>
          <w:sz w:val="24"/>
          <w:szCs w:val="20"/>
          <w:highlight w:val="none"/>
        </w:rPr>
      </w:pPr>
    </w:p>
    <w:p>
      <w:pPr>
        <w:snapToGrid w:val="0"/>
        <w:spacing w:before="156" w:beforeLines="50" w:after="50"/>
        <w:ind w:firstLine="640" w:firstLineChars="200"/>
        <w:rPr>
          <w:rFonts w:ascii="宋体" w:hAnsi="宋体" w:cs="宋体"/>
          <w:bCs/>
          <w:color w:val="auto"/>
          <w:sz w:val="32"/>
          <w:szCs w:val="32"/>
          <w:highlight w:val="none"/>
        </w:rPr>
      </w:pPr>
      <w:r>
        <w:rPr>
          <w:rFonts w:hint="eastAsia" w:ascii="宋体" w:hAnsi="宋体" w:cs="宋体"/>
          <w:bCs/>
          <w:color w:val="auto"/>
          <w:sz w:val="32"/>
          <w:szCs w:val="32"/>
          <w:highlight w:val="none"/>
        </w:rPr>
        <w:t>项目名称：</w:t>
      </w:r>
    </w:p>
    <w:p>
      <w:pPr>
        <w:snapToGrid w:val="0"/>
        <w:spacing w:before="156" w:beforeLines="50" w:after="50"/>
        <w:ind w:firstLine="720" w:firstLineChars="225"/>
        <w:rPr>
          <w:rFonts w:ascii="宋体" w:hAnsi="宋体" w:cs="宋体"/>
          <w:bCs/>
          <w:color w:val="auto"/>
          <w:sz w:val="32"/>
          <w:szCs w:val="32"/>
          <w:highlight w:val="none"/>
        </w:rPr>
      </w:pPr>
    </w:p>
    <w:p>
      <w:pPr>
        <w:snapToGrid w:val="0"/>
        <w:spacing w:before="156" w:beforeLines="50" w:after="50"/>
        <w:ind w:firstLine="640" w:firstLineChars="200"/>
        <w:rPr>
          <w:rFonts w:ascii="宋体" w:hAnsi="宋体" w:cs="宋体"/>
          <w:bCs/>
          <w:color w:val="auto"/>
          <w:sz w:val="32"/>
          <w:szCs w:val="32"/>
          <w:highlight w:val="none"/>
        </w:rPr>
      </w:pPr>
      <w:r>
        <w:rPr>
          <w:rFonts w:hint="eastAsia" w:ascii="宋体" w:hAnsi="宋体" w:cs="宋体"/>
          <w:bCs/>
          <w:color w:val="auto"/>
          <w:sz w:val="32"/>
          <w:szCs w:val="32"/>
          <w:highlight w:val="none"/>
        </w:rPr>
        <w:t>项目编号：</w:t>
      </w:r>
    </w:p>
    <w:p>
      <w:pPr>
        <w:snapToGrid w:val="0"/>
        <w:spacing w:before="156" w:beforeLines="50" w:after="50"/>
        <w:ind w:firstLine="720" w:firstLineChars="225"/>
        <w:rPr>
          <w:rFonts w:ascii="宋体" w:hAnsi="宋体" w:cs="宋体"/>
          <w:bCs/>
          <w:color w:val="auto"/>
          <w:sz w:val="32"/>
          <w:szCs w:val="32"/>
          <w:highlight w:val="none"/>
        </w:rPr>
      </w:pPr>
      <w:r>
        <w:rPr>
          <w:rFonts w:hint="eastAsia" w:ascii="宋体" w:hAnsi="宋体" w:cs="宋体"/>
          <w:bCs/>
          <w:color w:val="auto"/>
          <w:sz w:val="32"/>
          <w:szCs w:val="32"/>
          <w:highlight w:val="none"/>
        </w:rPr>
        <w:t xml:space="preserve"> </w:t>
      </w:r>
    </w:p>
    <w:p>
      <w:pPr>
        <w:snapToGrid w:val="0"/>
        <w:spacing w:before="156" w:beforeLines="50" w:after="50"/>
        <w:ind w:firstLine="640" w:firstLineChars="200"/>
        <w:rPr>
          <w:rFonts w:ascii="宋体" w:hAnsi="宋体" w:cs="宋体"/>
          <w:bCs/>
          <w:color w:val="auto"/>
          <w:sz w:val="32"/>
          <w:szCs w:val="32"/>
          <w:highlight w:val="none"/>
        </w:rPr>
      </w:pPr>
      <w:r>
        <w:rPr>
          <w:rFonts w:hint="eastAsia" w:ascii="宋体" w:hAnsi="宋体" w:cs="宋体"/>
          <w:bCs/>
          <w:color w:val="auto"/>
          <w:sz w:val="32"/>
          <w:szCs w:val="32"/>
          <w:highlight w:val="none"/>
        </w:rPr>
        <w:t>所竞分标：</w:t>
      </w:r>
    </w:p>
    <w:p>
      <w:pPr>
        <w:snapToGrid w:val="0"/>
        <w:spacing w:before="156" w:beforeLines="50" w:after="50"/>
        <w:ind w:firstLine="720" w:firstLineChars="225"/>
        <w:rPr>
          <w:rFonts w:ascii="宋体" w:hAnsi="宋体" w:cs="宋体"/>
          <w:bCs/>
          <w:color w:val="auto"/>
          <w:sz w:val="32"/>
          <w:szCs w:val="32"/>
          <w:highlight w:val="none"/>
        </w:rPr>
      </w:pPr>
    </w:p>
    <w:p>
      <w:pPr>
        <w:pStyle w:val="9"/>
        <w:snapToGrid w:val="0"/>
        <w:spacing w:before="50" w:after="50"/>
        <w:ind w:firstLine="640" w:firstLineChars="200"/>
        <w:rPr>
          <w:rFonts w:ascii="宋体" w:hAnsi="宋体" w:cs="宋体"/>
          <w:bCs/>
          <w:color w:val="auto"/>
          <w:sz w:val="32"/>
          <w:szCs w:val="32"/>
          <w:highlight w:val="none"/>
        </w:rPr>
      </w:pPr>
      <w:r>
        <w:rPr>
          <w:rFonts w:hint="eastAsia" w:ascii="宋体" w:hAnsi="宋体" w:cs="宋体"/>
          <w:bCs/>
          <w:color w:val="auto"/>
          <w:sz w:val="32"/>
          <w:szCs w:val="32"/>
          <w:highlight w:val="none"/>
        </w:rPr>
        <w:t>供应商名称：</w:t>
      </w:r>
    </w:p>
    <w:p>
      <w:pPr>
        <w:pStyle w:val="9"/>
        <w:snapToGrid w:val="0"/>
        <w:spacing w:before="50" w:after="50"/>
        <w:ind w:firstLine="720" w:firstLineChars="225"/>
        <w:rPr>
          <w:rFonts w:ascii="宋体" w:hAnsi="宋体" w:cs="宋体"/>
          <w:bCs/>
          <w:color w:val="auto"/>
          <w:sz w:val="32"/>
          <w:szCs w:val="32"/>
          <w:highlight w:val="none"/>
        </w:rPr>
      </w:pPr>
    </w:p>
    <w:p>
      <w:pPr>
        <w:pStyle w:val="9"/>
        <w:snapToGrid w:val="0"/>
        <w:spacing w:before="50" w:after="50"/>
        <w:ind w:firstLine="720" w:firstLineChars="225"/>
        <w:rPr>
          <w:rFonts w:ascii="宋体" w:hAnsi="宋体" w:cs="宋体"/>
          <w:bCs/>
          <w:color w:val="auto"/>
          <w:sz w:val="32"/>
          <w:szCs w:val="32"/>
          <w:highlight w:val="none"/>
        </w:rPr>
      </w:pPr>
    </w:p>
    <w:p>
      <w:pPr>
        <w:pStyle w:val="9"/>
        <w:snapToGrid w:val="0"/>
        <w:spacing w:before="50" w:after="50"/>
        <w:ind w:firstLine="1280" w:firstLineChars="400"/>
        <w:rPr>
          <w:rFonts w:ascii="宋体" w:hAnsi="宋体" w:cs="宋体"/>
          <w:bCs/>
          <w:color w:val="auto"/>
          <w:sz w:val="32"/>
          <w:szCs w:val="32"/>
          <w:highlight w:val="none"/>
        </w:rPr>
      </w:pPr>
    </w:p>
    <w:p>
      <w:pPr>
        <w:snapToGrid w:val="0"/>
        <w:spacing w:before="156" w:beforeLines="50" w:after="50"/>
        <w:jc w:val="center"/>
        <w:rPr>
          <w:rFonts w:ascii="宋体" w:hAnsi="宋体" w:cs="宋体"/>
          <w:color w:val="auto"/>
          <w:sz w:val="32"/>
          <w:szCs w:val="32"/>
          <w:highlight w:val="none"/>
        </w:rPr>
      </w:pPr>
      <w:r>
        <w:rPr>
          <w:rFonts w:hint="eastAsia" w:ascii="宋体" w:hAnsi="宋体" w:cs="宋体"/>
          <w:color w:val="auto"/>
          <w:sz w:val="32"/>
          <w:szCs w:val="32"/>
          <w:highlight w:val="none"/>
        </w:rPr>
        <w:t>年    月    日</w:t>
      </w:r>
    </w:p>
    <w:p>
      <w:pPr>
        <w:snapToGrid w:val="0"/>
        <w:spacing w:before="156" w:beforeLines="50" w:after="50" w:line="360" w:lineRule="auto"/>
        <w:ind w:left="142"/>
        <w:jc w:val="left"/>
        <w:rPr>
          <w:rFonts w:ascii="宋体" w:hAnsi="宋体" w:cs="宋体"/>
          <w:b/>
          <w:bCs/>
          <w:color w:val="auto"/>
          <w:sz w:val="24"/>
          <w:highlight w:val="none"/>
        </w:rPr>
      </w:pPr>
      <w:r>
        <w:rPr>
          <w:rFonts w:hint="eastAsia" w:ascii="宋体" w:hAnsi="宋体" w:cs="宋体"/>
          <w:color w:val="auto"/>
          <w:sz w:val="24"/>
          <w:highlight w:val="none"/>
        </w:rPr>
        <w:br w:type="page"/>
      </w:r>
      <w:r>
        <w:rPr>
          <w:rFonts w:hint="eastAsia" w:ascii="宋体" w:hAnsi="宋体" w:cs="宋体"/>
          <w:b/>
          <w:bCs/>
          <w:color w:val="auto"/>
          <w:sz w:val="32"/>
          <w:szCs w:val="32"/>
          <w:highlight w:val="none"/>
        </w:rPr>
        <w:t>2.报价商务技术文件目录</w:t>
      </w:r>
    </w:p>
    <w:p>
      <w:pPr>
        <w:snapToGrid w:val="0"/>
        <w:spacing w:before="156" w:beforeLines="50" w:after="50" w:line="360" w:lineRule="auto"/>
        <w:ind w:firstLine="640" w:firstLineChars="200"/>
        <w:rPr>
          <w:rFonts w:ascii="宋体" w:hAnsi="宋体" w:cs="宋体"/>
          <w:color w:val="auto"/>
          <w:sz w:val="32"/>
          <w:szCs w:val="32"/>
          <w:highlight w:val="none"/>
        </w:rPr>
      </w:pPr>
      <w:r>
        <w:rPr>
          <w:rFonts w:hint="eastAsia" w:ascii="宋体" w:hAnsi="宋体" w:cs="宋体"/>
          <w:color w:val="auto"/>
          <w:sz w:val="32"/>
          <w:szCs w:val="32"/>
          <w:highlight w:val="none"/>
        </w:rPr>
        <w:t>根据磋商文件规定及供应商提供的材料自行编写目录（部分格式后附）。</w:t>
      </w:r>
    </w:p>
    <w:p>
      <w:pPr>
        <w:spacing w:line="400" w:lineRule="exact"/>
        <w:rPr>
          <w:rFonts w:ascii="宋体" w:hAnsi="宋体" w:cs="宋体"/>
          <w:color w:val="auto"/>
          <w:sz w:val="32"/>
          <w:szCs w:val="32"/>
          <w:highlight w:val="none"/>
        </w:rPr>
      </w:pPr>
    </w:p>
    <w:p>
      <w:pPr>
        <w:spacing w:line="520" w:lineRule="exact"/>
        <w:jc w:val="center"/>
        <w:rPr>
          <w:rFonts w:ascii="宋体" w:hAnsi="宋体" w:cs="宋体"/>
          <w:color w:val="auto"/>
          <w:sz w:val="32"/>
          <w:szCs w:val="32"/>
          <w:highlight w:val="none"/>
        </w:rPr>
      </w:pPr>
      <w:r>
        <w:rPr>
          <w:rFonts w:hint="eastAsia" w:ascii="宋体" w:hAnsi="宋体" w:cs="宋体"/>
          <w:color w:val="auto"/>
          <w:sz w:val="44"/>
          <w:szCs w:val="44"/>
          <w:highlight w:val="none"/>
        </w:rPr>
        <w:br w:type="page"/>
      </w:r>
      <w:r>
        <w:rPr>
          <w:rFonts w:hint="eastAsia" w:ascii="宋体" w:hAnsi="宋体" w:cs="宋体"/>
          <w:color w:val="auto"/>
          <w:sz w:val="44"/>
          <w:szCs w:val="44"/>
          <w:highlight w:val="none"/>
        </w:rPr>
        <w:t>无串通竞标行为的承诺函</w:t>
      </w:r>
    </w:p>
    <w:p>
      <w:pPr>
        <w:spacing w:line="360" w:lineRule="auto"/>
        <w:ind w:firstLine="640" w:firstLineChars="200"/>
        <w:contextualSpacing/>
        <w:rPr>
          <w:rFonts w:ascii="宋体" w:hAnsi="宋体" w:cs="宋体"/>
          <w:color w:val="auto"/>
          <w:sz w:val="32"/>
          <w:szCs w:val="32"/>
          <w:highlight w:val="none"/>
        </w:rPr>
      </w:pPr>
    </w:p>
    <w:p>
      <w:pPr>
        <w:spacing w:line="360" w:lineRule="auto"/>
        <w:ind w:firstLine="482" w:firstLineChars="200"/>
        <w:contextualSpacing/>
        <w:rPr>
          <w:rFonts w:ascii="宋体" w:hAnsi="宋体" w:cs="宋体"/>
          <w:b/>
          <w:bCs/>
          <w:color w:val="auto"/>
          <w:sz w:val="24"/>
          <w:highlight w:val="none"/>
        </w:rPr>
      </w:pPr>
      <w:r>
        <w:rPr>
          <w:rFonts w:hint="eastAsia" w:ascii="宋体" w:hAnsi="宋体" w:cs="宋体"/>
          <w:b/>
          <w:bCs/>
          <w:color w:val="auto"/>
          <w:sz w:val="24"/>
          <w:highlight w:val="none"/>
        </w:rPr>
        <w:t>一、我方承诺无下列相互串通竞标的情形：</w:t>
      </w:r>
    </w:p>
    <w:p>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 xml:space="preserve">1.不同供应商的响应文件由同一单位或者个人编制； </w:t>
      </w:r>
    </w:p>
    <w:p>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2.不同供应商委托同一单位或者个人办理竞标事宜；</w:t>
      </w:r>
    </w:p>
    <w:p>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3.不同供应商的响应文件载明的项目管理员为同一个人；</w:t>
      </w:r>
    </w:p>
    <w:p>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4.不</w:t>
      </w:r>
      <w:r>
        <w:rPr>
          <w:rFonts w:hint="eastAsia" w:ascii="宋体" w:hAnsi="宋体" w:cs="宋体"/>
          <w:color w:val="auto"/>
          <w:spacing w:val="-6"/>
          <w:sz w:val="24"/>
          <w:highlight w:val="none"/>
        </w:rPr>
        <w:t>同供应商的响应文件异常一致或者竞标报价呈规律性差异；</w:t>
      </w:r>
    </w:p>
    <w:p>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5.不同供应商的响应文件相互混装；</w:t>
      </w:r>
    </w:p>
    <w:p>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6.不同供应商的磋商保证金从同一单位或者个人账户转出。</w:t>
      </w:r>
    </w:p>
    <w:p>
      <w:pPr>
        <w:spacing w:line="360" w:lineRule="auto"/>
        <w:ind w:firstLine="482" w:firstLineChars="200"/>
        <w:contextualSpacing/>
        <w:rPr>
          <w:rFonts w:ascii="宋体" w:hAnsi="宋体" w:cs="宋体"/>
          <w:b/>
          <w:bCs/>
          <w:color w:val="auto"/>
          <w:sz w:val="24"/>
          <w:highlight w:val="none"/>
        </w:rPr>
      </w:pPr>
      <w:r>
        <w:rPr>
          <w:rFonts w:hint="eastAsia" w:ascii="宋体" w:hAnsi="宋体" w:cs="宋体"/>
          <w:b/>
          <w:bCs/>
          <w:color w:val="auto"/>
          <w:sz w:val="24"/>
          <w:highlight w:val="none"/>
        </w:rPr>
        <w:t>二、我方承诺无下列恶意串通的情形：</w:t>
      </w:r>
    </w:p>
    <w:p>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1.供应商直接或者间接从采购人或者采购代理机构处获得其他供应商的相关信息并修改其响应文件；</w:t>
      </w:r>
    </w:p>
    <w:p>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2.供应商按照采购人或者采购代理机构的授意撤换、修改响应文件；</w:t>
      </w:r>
    </w:p>
    <w:p>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3.供</w:t>
      </w:r>
      <w:r>
        <w:rPr>
          <w:rFonts w:hint="eastAsia" w:ascii="宋体" w:hAnsi="宋体" w:cs="宋体"/>
          <w:color w:val="auto"/>
          <w:spacing w:val="-6"/>
          <w:sz w:val="24"/>
          <w:highlight w:val="none"/>
        </w:rPr>
        <w:t>应商之间协商报价、技术方案等响应文件的实质性内容；</w:t>
      </w:r>
    </w:p>
    <w:p>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4.属于同一集团、协会、商会等组织成员的供应商按照该组织要求协同参加政府采购活动；</w:t>
      </w:r>
    </w:p>
    <w:p>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5.供应商之间事先约定一致抬高或者压低竞标报价，或者在竞争性磋商项目中事先约定轮流以高价位或者低价位成交，或者事先约定由某一特定供应商成交，然后再参加竞标；</w:t>
      </w:r>
    </w:p>
    <w:p>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6.供应商之间商定部分供应商放弃参加政府采购活动或者放弃成交；</w:t>
      </w:r>
    </w:p>
    <w:p>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7.供应商与采购人或者采购代理机构之间、供应商相互之间，为</w:t>
      </w:r>
      <w:r>
        <w:rPr>
          <w:rFonts w:hint="eastAsia" w:ascii="宋体" w:hAnsi="宋体" w:cs="宋体"/>
          <w:color w:val="auto"/>
          <w:spacing w:val="-6"/>
          <w:sz w:val="24"/>
          <w:highlight w:val="none"/>
        </w:rPr>
        <w:t>谋求特定供应商成交或者排斥其他供应商的其他串通行为。</w:t>
      </w:r>
    </w:p>
    <w:p>
      <w:pPr>
        <w:spacing w:line="360" w:lineRule="auto"/>
        <w:ind w:firstLine="480" w:firstLineChars="200"/>
        <w:contextualSpacing/>
        <w:rPr>
          <w:rFonts w:ascii="宋体" w:hAnsi="宋体" w:cs="宋体"/>
          <w:color w:val="auto"/>
          <w:sz w:val="24"/>
          <w:highlight w:val="none"/>
        </w:rPr>
      </w:pPr>
    </w:p>
    <w:p>
      <w:pPr>
        <w:spacing w:line="360" w:lineRule="auto"/>
        <w:ind w:firstLine="482" w:firstLineChars="200"/>
        <w:contextualSpacing/>
        <w:rPr>
          <w:rFonts w:ascii="宋体" w:hAnsi="宋体" w:cs="宋体"/>
          <w:b/>
          <w:bCs/>
          <w:color w:val="auto"/>
          <w:sz w:val="24"/>
          <w:highlight w:val="none"/>
        </w:rPr>
      </w:pPr>
      <w:r>
        <w:rPr>
          <w:rFonts w:hint="eastAsia" w:ascii="宋体" w:hAnsi="宋体" w:cs="宋体"/>
          <w:b/>
          <w:bCs/>
          <w:color w:val="auto"/>
          <w:sz w:val="24"/>
          <w:highlight w:val="none"/>
        </w:rPr>
        <w:t>以上情形一经核查属实，我方愿意承担一切后果，并不再寻求任何旨在减轻或者免除法律责任的辩解。</w:t>
      </w:r>
    </w:p>
    <w:p>
      <w:pPr>
        <w:spacing w:line="360" w:lineRule="auto"/>
        <w:contextualSpacing/>
        <w:rPr>
          <w:rFonts w:ascii="宋体" w:hAnsi="宋体" w:cs="宋体"/>
          <w:color w:val="auto"/>
          <w:sz w:val="24"/>
          <w:highlight w:val="none"/>
        </w:rPr>
      </w:pPr>
    </w:p>
    <w:p>
      <w:pPr>
        <w:spacing w:line="360" w:lineRule="auto"/>
        <w:ind w:firstLine="3600" w:firstLineChars="1500"/>
        <w:contextualSpacing/>
        <w:rPr>
          <w:rFonts w:ascii="宋体" w:hAnsi="宋体" w:cs="宋体"/>
          <w:color w:val="auto"/>
          <w:sz w:val="24"/>
          <w:highlight w:val="none"/>
        </w:rPr>
      </w:pPr>
      <w:r>
        <w:rPr>
          <w:rFonts w:hint="eastAsia" w:ascii="宋体" w:hAnsi="宋体" w:cs="宋体"/>
          <w:color w:val="auto"/>
          <w:sz w:val="24"/>
          <w:highlight w:val="none"/>
        </w:rPr>
        <w:t>供应商（盖公章）：</w:t>
      </w:r>
    </w:p>
    <w:p>
      <w:pPr>
        <w:spacing w:line="360" w:lineRule="auto"/>
        <w:ind w:firstLine="480" w:firstLineChars="200"/>
        <w:contextualSpacing/>
        <w:jc w:val="center"/>
        <w:rPr>
          <w:rFonts w:ascii="宋体" w:hAnsi="宋体" w:cs="宋体"/>
          <w:color w:val="auto"/>
          <w:sz w:val="32"/>
          <w:szCs w:val="32"/>
          <w:highlight w:val="none"/>
        </w:rPr>
      </w:pPr>
      <w:r>
        <w:rPr>
          <w:rFonts w:hint="eastAsia" w:ascii="宋体" w:hAnsi="宋体" w:cs="宋体"/>
          <w:color w:val="auto"/>
          <w:sz w:val="24"/>
          <w:highlight w:val="none"/>
        </w:rPr>
        <w:t xml:space="preserve">                               年   月   日</w:t>
      </w:r>
    </w:p>
    <w:p>
      <w:pPr>
        <w:pStyle w:val="23"/>
        <w:tabs>
          <w:tab w:val="right" w:leader="dot" w:pos="8398"/>
        </w:tabs>
        <w:rPr>
          <w:color w:val="auto"/>
          <w:highlight w:val="none"/>
        </w:rPr>
      </w:pPr>
      <w:r>
        <w:rPr>
          <w:rFonts w:hint="eastAsia" w:ascii="宋体" w:hAnsi="宋体" w:cs="宋体"/>
          <w:bCs/>
          <w:color w:val="auto"/>
          <w:sz w:val="44"/>
          <w:szCs w:val="44"/>
          <w:highlight w:val="none"/>
        </w:rPr>
        <w:br w:type="page"/>
      </w:r>
    </w:p>
    <w:p>
      <w:pPr>
        <w:spacing w:line="520" w:lineRule="exact"/>
        <w:jc w:val="center"/>
        <w:rPr>
          <w:rFonts w:hint="eastAsia" w:ascii="宋体" w:hAnsi="宋体" w:cs="宋体"/>
          <w:bCs/>
          <w:color w:val="auto"/>
          <w:sz w:val="32"/>
          <w:szCs w:val="32"/>
          <w:highlight w:val="none"/>
        </w:rPr>
      </w:pPr>
      <w:r>
        <w:rPr>
          <w:rFonts w:hint="eastAsia" w:ascii="宋体" w:hAnsi="宋体" w:cs="宋体"/>
          <w:bCs/>
          <w:color w:val="auto"/>
          <w:sz w:val="44"/>
          <w:szCs w:val="44"/>
          <w:highlight w:val="none"/>
        </w:rPr>
        <w:t>竞  标  报  价  表</w:t>
      </w:r>
    </w:p>
    <w:p>
      <w:pPr>
        <w:spacing w:line="440" w:lineRule="exact"/>
        <w:jc w:val="center"/>
        <w:rPr>
          <w:rFonts w:hint="eastAsia" w:ascii="宋体" w:hAnsi="宋体" w:cs="宋体"/>
          <w:bCs/>
          <w:color w:val="auto"/>
          <w:sz w:val="32"/>
          <w:szCs w:val="32"/>
          <w:highlight w:val="none"/>
        </w:rPr>
      </w:pPr>
    </w:p>
    <w:p>
      <w:pPr>
        <w:spacing w:line="360" w:lineRule="auto"/>
        <w:contextualSpacing/>
        <w:rPr>
          <w:rFonts w:hint="eastAsia"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项目编号：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r>
        <w:rPr>
          <w:rFonts w:hint="eastAsia" w:ascii="宋体" w:hAnsi="宋体" w:cs="宋体"/>
          <w:color w:val="auto"/>
          <w:sz w:val="24"/>
          <w:highlight w:val="none"/>
          <w:lang w:eastAsia="zh-CN"/>
        </w:rPr>
        <w:t>分标号：</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p>
    <w:p>
      <w:pPr>
        <w:spacing w:line="360" w:lineRule="auto"/>
        <w:contextualSpacing/>
        <w:rPr>
          <w:rFonts w:hint="eastAsia" w:ascii="宋体" w:hAnsi="宋体" w:cs="宋体"/>
          <w:color w:val="auto"/>
          <w:sz w:val="24"/>
          <w:highlight w:val="none"/>
        </w:rPr>
      </w:pPr>
      <w:r>
        <w:rPr>
          <w:rFonts w:hint="eastAsia" w:ascii="宋体" w:hAnsi="宋体" w:cs="宋体"/>
          <w:color w:val="auto"/>
          <w:sz w:val="24"/>
          <w:highlight w:val="none"/>
        </w:rPr>
        <w:t>供应商名称：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pPr>
        <w:spacing w:line="360" w:lineRule="auto"/>
        <w:contextualSpacing/>
        <w:rPr>
          <w:rFonts w:hint="eastAsia" w:ascii="宋体" w:hAnsi="宋体" w:cs="宋体"/>
          <w:color w:val="auto"/>
          <w:sz w:val="24"/>
          <w:highlight w:val="none"/>
        </w:rPr>
      </w:pPr>
      <w:r>
        <w:rPr>
          <w:rFonts w:hint="eastAsia" w:ascii="宋体" w:hAnsi="宋体" w:cs="宋体"/>
          <w:color w:val="auto"/>
          <w:sz w:val="24"/>
          <w:highlight w:val="none"/>
        </w:rPr>
        <w:t xml:space="preserve">                                                单位：元</w:t>
      </w:r>
    </w:p>
    <w:tbl>
      <w:tblPr>
        <w:tblStyle w:val="30"/>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2989"/>
        <w:gridCol w:w="1009"/>
        <w:gridCol w:w="767"/>
        <w:gridCol w:w="2044"/>
        <w:gridCol w:w="1303"/>
        <w:gridCol w:w="13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773" w:type="dxa"/>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jc w:val="center"/>
              <w:rPr>
                <w:rFonts w:hint="eastAsia" w:ascii="宋体" w:hAnsi="宋体" w:cs="宋体"/>
                <w:color w:val="auto"/>
                <w:sz w:val="24"/>
                <w:highlight w:val="none"/>
              </w:rPr>
            </w:pPr>
            <w:r>
              <w:rPr>
                <w:rFonts w:hint="eastAsia" w:ascii="宋体" w:hAnsi="宋体" w:cs="宋体"/>
                <w:color w:val="auto"/>
                <w:sz w:val="24"/>
                <w:highlight w:val="none"/>
              </w:rPr>
              <w:t>序号</w:t>
            </w:r>
          </w:p>
        </w:tc>
        <w:tc>
          <w:tcPr>
            <w:tcW w:w="2989" w:type="dxa"/>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jc w:val="center"/>
              <w:rPr>
                <w:rFonts w:hint="eastAsia" w:ascii="宋体" w:hAnsi="宋体" w:cs="宋体"/>
                <w:color w:val="auto"/>
                <w:sz w:val="24"/>
                <w:highlight w:val="none"/>
              </w:rPr>
            </w:pPr>
            <w:r>
              <w:rPr>
                <w:rFonts w:hint="eastAsia" w:ascii="宋体" w:hAnsi="宋体" w:cs="宋体"/>
                <w:color w:val="auto"/>
                <w:sz w:val="24"/>
                <w:highlight w:val="none"/>
                <w:lang w:eastAsia="zh-CN"/>
              </w:rPr>
              <w:t>标的的</w:t>
            </w:r>
            <w:r>
              <w:rPr>
                <w:rFonts w:hint="eastAsia" w:ascii="宋体" w:hAnsi="宋体" w:cs="宋体"/>
                <w:color w:val="auto"/>
                <w:sz w:val="24"/>
                <w:highlight w:val="none"/>
              </w:rPr>
              <w:t>名称</w:t>
            </w:r>
          </w:p>
        </w:tc>
        <w:tc>
          <w:tcPr>
            <w:tcW w:w="1009" w:type="dxa"/>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jc w:val="center"/>
              <w:rPr>
                <w:rFonts w:hint="eastAsia" w:ascii="宋体" w:hAnsi="宋体" w:cs="宋体"/>
                <w:color w:val="auto"/>
                <w:sz w:val="24"/>
                <w:highlight w:val="none"/>
              </w:rPr>
            </w:pPr>
            <w:r>
              <w:rPr>
                <w:rFonts w:hint="eastAsia" w:ascii="宋体" w:hAnsi="宋体" w:cs="宋体"/>
                <w:color w:val="auto"/>
                <w:sz w:val="24"/>
                <w:highlight w:val="none"/>
              </w:rPr>
              <w:t>数量</w:t>
            </w:r>
          </w:p>
        </w:tc>
        <w:tc>
          <w:tcPr>
            <w:tcW w:w="767" w:type="dxa"/>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jc w:val="center"/>
              <w:rPr>
                <w:rFonts w:hint="eastAsia" w:ascii="宋体" w:hAnsi="宋体" w:cs="宋体"/>
                <w:color w:val="auto"/>
                <w:sz w:val="24"/>
                <w:highlight w:val="none"/>
              </w:rPr>
            </w:pPr>
            <w:r>
              <w:rPr>
                <w:rFonts w:hint="eastAsia" w:ascii="宋体" w:hAnsi="宋体" w:cs="宋体"/>
                <w:color w:val="auto"/>
                <w:sz w:val="24"/>
                <w:highlight w:val="none"/>
              </w:rPr>
              <w:t>单位</w:t>
            </w:r>
          </w:p>
        </w:tc>
        <w:tc>
          <w:tcPr>
            <w:tcW w:w="2044" w:type="dxa"/>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jc w:val="center"/>
              <w:rPr>
                <w:rFonts w:hint="eastAsia" w:ascii="宋体" w:hAnsi="宋体" w:cs="宋体"/>
                <w:color w:val="auto"/>
                <w:sz w:val="24"/>
                <w:highlight w:val="none"/>
              </w:rPr>
            </w:pPr>
            <w:r>
              <w:rPr>
                <w:rFonts w:hint="eastAsia" w:ascii="宋体" w:hAnsi="宋体" w:cs="宋体"/>
                <w:color w:val="auto"/>
                <w:sz w:val="24"/>
                <w:highlight w:val="none"/>
              </w:rPr>
              <w:t>单价</w:t>
            </w:r>
          </w:p>
        </w:tc>
        <w:tc>
          <w:tcPr>
            <w:tcW w:w="1303" w:type="dxa"/>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jc w:val="center"/>
              <w:rPr>
                <w:rFonts w:hint="eastAsia" w:ascii="宋体" w:hAnsi="宋体" w:cs="宋体"/>
                <w:color w:val="auto"/>
                <w:sz w:val="24"/>
                <w:highlight w:val="none"/>
              </w:rPr>
            </w:pPr>
            <w:r>
              <w:rPr>
                <w:rFonts w:hint="eastAsia" w:ascii="宋体" w:hAnsi="宋体" w:cs="宋体"/>
                <w:color w:val="auto"/>
                <w:sz w:val="24"/>
                <w:highlight w:val="none"/>
              </w:rPr>
              <w:t>总价</w:t>
            </w:r>
          </w:p>
        </w:tc>
        <w:tc>
          <w:tcPr>
            <w:tcW w:w="1327" w:type="dxa"/>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jc w:val="center"/>
              <w:rPr>
                <w:rFonts w:hint="eastAsia" w:ascii="宋体" w:hAnsi="宋体" w:cs="宋体"/>
                <w:color w:val="auto"/>
                <w:sz w:val="24"/>
                <w:highlight w:val="none"/>
              </w:rPr>
            </w:pPr>
            <w:r>
              <w:rPr>
                <w:rFonts w:hint="eastAsia" w:ascii="宋体" w:hAnsi="宋体" w:cs="宋体"/>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773" w:type="dxa"/>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2989" w:type="dxa"/>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jc w:val="center"/>
              <w:rPr>
                <w:rFonts w:hint="eastAsia" w:ascii="宋体" w:hAnsi="宋体" w:cs="宋体"/>
                <w:color w:val="auto"/>
                <w:sz w:val="24"/>
                <w:highlight w:val="none"/>
              </w:rPr>
            </w:pPr>
          </w:p>
        </w:tc>
        <w:tc>
          <w:tcPr>
            <w:tcW w:w="1009" w:type="dxa"/>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jc w:val="center"/>
              <w:rPr>
                <w:rFonts w:hint="eastAsia" w:ascii="宋体" w:hAnsi="宋体" w:cs="宋体"/>
                <w:color w:val="auto"/>
                <w:sz w:val="24"/>
                <w:highlight w:val="none"/>
              </w:rPr>
            </w:pPr>
          </w:p>
        </w:tc>
        <w:tc>
          <w:tcPr>
            <w:tcW w:w="767" w:type="dxa"/>
            <w:tcBorders>
              <w:top w:val="single" w:color="auto" w:sz="4" w:space="0"/>
              <w:left w:val="single" w:color="auto" w:sz="4" w:space="0"/>
              <w:bottom w:val="single" w:color="auto" w:sz="4" w:space="0"/>
              <w:right w:val="single" w:color="auto" w:sz="4" w:space="0"/>
            </w:tcBorders>
            <w:noWrap w:val="0"/>
            <w:vAlign w:val="top"/>
          </w:tcPr>
          <w:p>
            <w:pPr>
              <w:spacing w:line="360" w:lineRule="auto"/>
              <w:contextualSpacing/>
              <w:rPr>
                <w:rFonts w:hint="eastAsia" w:ascii="宋体" w:hAnsi="宋体" w:cs="宋体"/>
                <w:color w:val="auto"/>
                <w:sz w:val="24"/>
                <w:highlight w:val="none"/>
              </w:rPr>
            </w:pPr>
          </w:p>
        </w:tc>
        <w:tc>
          <w:tcPr>
            <w:tcW w:w="2044" w:type="dxa"/>
            <w:tcBorders>
              <w:top w:val="single" w:color="auto" w:sz="4" w:space="0"/>
              <w:left w:val="single" w:color="auto" w:sz="4" w:space="0"/>
              <w:bottom w:val="single" w:color="auto" w:sz="4" w:space="0"/>
              <w:right w:val="single" w:color="auto" w:sz="4" w:space="0"/>
            </w:tcBorders>
            <w:noWrap w:val="0"/>
            <w:vAlign w:val="top"/>
          </w:tcPr>
          <w:p>
            <w:pPr>
              <w:spacing w:line="360" w:lineRule="auto"/>
              <w:contextualSpacing/>
              <w:rPr>
                <w:rFonts w:hint="eastAsia" w:ascii="宋体" w:hAnsi="宋体" w:cs="宋体"/>
                <w:color w:val="auto"/>
                <w:sz w:val="24"/>
                <w:highlight w:val="none"/>
              </w:rPr>
            </w:pPr>
          </w:p>
        </w:tc>
        <w:tc>
          <w:tcPr>
            <w:tcW w:w="1303" w:type="dxa"/>
            <w:tcBorders>
              <w:top w:val="single" w:color="auto" w:sz="4" w:space="0"/>
              <w:left w:val="single" w:color="auto" w:sz="4" w:space="0"/>
              <w:bottom w:val="single" w:color="auto" w:sz="4" w:space="0"/>
              <w:right w:val="single" w:color="auto" w:sz="4" w:space="0"/>
            </w:tcBorders>
            <w:noWrap w:val="0"/>
            <w:vAlign w:val="top"/>
          </w:tcPr>
          <w:p>
            <w:pPr>
              <w:spacing w:line="360" w:lineRule="auto"/>
              <w:contextualSpacing/>
              <w:rPr>
                <w:rFonts w:hint="eastAsia" w:ascii="宋体" w:hAnsi="宋体" w:cs="宋体"/>
                <w:color w:val="auto"/>
                <w:sz w:val="24"/>
                <w:highlight w:val="none"/>
              </w:rPr>
            </w:pPr>
          </w:p>
        </w:tc>
        <w:tc>
          <w:tcPr>
            <w:tcW w:w="1327" w:type="dxa"/>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10212" w:type="dxa"/>
            <w:gridSpan w:val="7"/>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rPr>
                <w:rFonts w:hint="eastAsia" w:ascii="宋体" w:hAnsi="宋体" w:cs="宋体"/>
                <w:color w:val="auto"/>
                <w:sz w:val="24"/>
                <w:highlight w:val="none"/>
              </w:rPr>
            </w:pPr>
            <w:r>
              <w:rPr>
                <w:rFonts w:hint="eastAsia" w:ascii="宋体" w:hAnsi="宋体" w:cs="宋体"/>
                <w:color w:val="auto"/>
                <w:sz w:val="24"/>
                <w:highlight w:val="none"/>
              </w:rPr>
              <w:t>合计金额大写：人民币</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10212" w:type="dxa"/>
            <w:gridSpan w:val="7"/>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rPr>
                <w:rFonts w:hint="eastAsia" w:ascii="宋体" w:hAnsi="宋体" w:cs="宋体"/>
                <w:color w:val="auto"/>
                <w:sz w:val="24"/>
                <w:highlight w:val="none"/>
              </w:rPr>
            </w:pPr>
            <w:r>
              <w:rPr>
                <w:rFonts w:hint="eastAsia" w:ascii="宋体" w:hAnsi="宋体" w:cs="宋体"/>
                <w:color w:val="auto"/>
                <w:sz w:val="24"/>
                <w:highlight w:val="none"/>
              </w:rPr>
              <w:t>合同履约期限</w:t>
            </w:r>
            <w:r>
              <w:rPr>
                <w:rFonts w:hint="eastAsia" w:ascii="宋体" w:hAnsi="宋体" w:cs="宋体"/>
                <w:color w:val="auto"/>
                <w:sz w:val="24"/>
                <w:highlight w:val="none"/>
                <w:lang w:eastAsia="zh-CN"/>
              </w:rPr>
              <w:t>：</w:t>
            </w:r>
          </w:p>
        </w:tc>
      </w:tr>
    </w:tbl>
    <w:p>
      <w:pPr>
        <w:spacing w:line="360" w:lineRule="auto"/>
        <w:contextualSpacing/>
        <w:jc w:val="left"/>
        <w:rPr>
          <w:rFonts w:hint="eastAsia" w:ascii="宋体" w:hAnsi="宋体" w:cs="宋体"/>
          <w:color w:val="auto"/>
          <w:sz w:val="24"/>
          <w:highlight w:val="none"/>
        </w:rPr>
      </w:pPr>
    </w:p>
    <w:p>
      <w:pPr>
        <w:spacing w:line="360" w:lineRule="auto"/>
        <w:contextualSpacing/>
        <w:jc w:val="left"/>
        <w:rPr>
          <w:rFonts w:hint="eastAsia" w:ascii="宋体" w:hAnsi="宋体" w:cs="宋体"/>
          <w:color w:val="auto"/>
          <w:sz w:val="24"/>
          <w:highlight w:val="none"/>
        </w:rPr>
      </w:pPr>
      <w:r>
        <w:rPr>
          <w:rFonts w:hint="eastAsia" w:ascii="宋体" w:hAnsi="宋体" w:cs="宋体"/>
          <w:color w:val="auto"/>
          <w:sz w:val="24"/>
          <w:highlight w:val="none"/>
        </w:rPr>
        <w:t xml:space="preserve">注: </w:t>
      </w:r>
    </w:p>
    <w:p>
      <w:pPr>
        <w:spacing w:line="360" w:lineRule="auto"/>
        <w:ind w:firstLine="480" w:firstLineChars="200"/>
        <w:contextualSpacing/>
        <w:jc w:val="left"/>
        <w:rPr>
          <w:rFonts w:hint="eastAsia" w:ascii="宋体" w:hAnsi="宋体" w:cs="宋体"/>
          <w:color w:val="auto"/>
          <w:sz w:val="24"/>
          <w:highlight w:val="none"/>
        </w:rPr>
      </w:pPr>
      <w:r>
        <w:rPr>
          <w:rFonts w:hint="eastAsia" w:ascii="宋体" w:hAnsi="宋体" w:cs="宋体"/>
          <w:color w:val="auto"/>
          <w:sz w:val="24"/>
          <w:highlight w:val="none"/>
        </w:rPr>
        <w:t>1.供应商的报价表必须加盖供应商公章并由法定代表人或者委托代理人签字，</w:t>
      </w:r>
      <w:r>
        <w:rPr>
          <w:rFonts w:hint="eastAsia" w:ascii="宋体" w:hAnsi="宋体" w:cs="宋体"/>
          <w:b/>
          <w:color w:val="auto"/>
          <w:sz w:val="24"/>
          <w:highlight w:val="none"/>
        </w:rPr>
        <w:t>否则其响应文件按无效响应处理</w:t>
      </w:r>
      <w:r>
        <w:rPr>
          <w:rFonts w:hint="eastAsia" w:ascii="宋体" w:hAnsi="宋体" w:cs="宋体"/>
          <w:color w:val="auto"/>
          <w:sz w:val="24"/>
          <w:highlight w:val="none"/>
        </w:rPr>
        <w:t>。</w:t>
      </w:r>
    </w:p>
    <w:p>
      <w:pPr>
        <w:spacing w:line="360" w:lineRule="auto"/>
        <w:ind w:firstLine="480" w:firstLineChars="200"/>
        <w:contextualSpacing/>
        <w:jc w:val="left"/>
        <w:rPr>
          <w:rFonts w:hint="eastAsia" w:ascii="宋体" w:hAnsi="宋体" w:cs="宋体"/>
          <w:b/>
          <w:color w:val="auto"/>
          <w:sz w:val="24"/>
          <w:highlight w:val="none"/>
        </w:rPr>
      </w:pPr>
      <w:r>
        <w:rPr>
          <w:rFonts w:hint="eastAsia" w:ascii="宋体" w:hAnsi="宋体" w:cs="宋体"/>
          <w:bCs/>
          <w:color w:val="auto"/>
          <w:sz w:val="24"/>
          <w:highlight w:val="none"/>
        </w:rPr>
        <w:t>2.</w:t>
      </w:r>
      <w:r>
        <w:rPr>
          <w:rFonts w:hint="eastAsia" w:ascii="宋体" w:hAnsi="宋体" w:cs="宋体"/>
          <w:color w:val="auto"/>
          <w:sz w:val="24"/>
          <w:highlight w:val="none"/>
        </w:rPr>
        <w:t>报价一经涂改，应在涂改处加盖供应商公章或者由法定代表人或者委托代理人签字或者盖章</w:t>
      </w:r>
      <w:r>
        <w:rPr>
          <w:rFonts w:hint="eastAsia" w:ascii="宋体" w:hAnsi="宋体" w:cs="宋体"/>
          <w:b/>
          <w:color w:val="auto"/>
          <w:sz w:val="24"/>
          <w:highlight w:val="none"/>
        </w:rPr>
        <w:t>，否则其响应文件按无效响应处理。</w:t>
      </w:r>
    </w:p>
    <w:p>
      <w:pPr>
        <w:spacing w:line="360" w:lineRule="auto"/>
        <w:ind w:firstLine="480" w:firstLineChars="200"/>
        <w:contextualSpacing/>
        <w:jc w:val="left"/>
        <w:rPr>
          <w:rFonts w:hint="eastAsia" w:ascii="宋体" w:hAnsi="宋体" w:cs="宋体"/>
          <w:b/>
          <w:color w:val="auto"/>
          <w:sz w:val="24"/>
          <w:highlight w:val="none"/>
        </w:rPr>
      </w:pPr>
      <w:r>
        <w:rPr>
          <w:rFonts w:hint="eastAsia" w:ascii="宋体" w:hAnsi="宋体" w:cs="宋体"/>
          <w:color w:val="auto"/>
          <w:sz w:val="24"/>
          <w:highlight w:val="none"/>
        </w:rPr>
        <w:t>3.如为联合体竞标，“供应商名称”处必须列明联合体各方名称，标注联合体牵头人名称，</w:t>
      </w:r>
      <w:r>
        <w:rPr>
          <w:rFonts w:hint="eastAsia" w:ascii="宋体" w:hAnsi="宋体" w:cs="宋体"/>
          <w:b/>
          <w:color w:val="auto"/>
          <w:sz w:val="24"/>
          <w:highlight w:val="none"/>
        </w:rPr>
        <w:t>否则其响应文件按无效响应处理。</w:t>
      </w:r>
    </w:p>
    <w:p>
      <w:pPr>
        <w:spacing w:line="360" w:lineRule="auto"/>
        <w:ind w:firstLine="480" w:firstLineChars="200"/>
        <w:contextualSpacing/>
        <w:jc w:val="left"/>
        <w:rPr>
          <w:rFonts w:hint="eastAsia" w:ascii="宋体" w:hAnsi="宋体" w:cs="宋体"/>
          <w:color w:val="auto"/>
          <w:sz w:val="24"/>
          <w:highlight w:val="none"/>
        </w:rPr>
      </w:pPr>
      <w:r>
        <w:rPr>
          <w:rFonts w:hint="eastAsia" w:ascii="宋体" w:hAnsi="宋体" w:cs="宋体"/>
          <w:color w:val="auto"/>
          <w:sz w:val="24"/>
          <w:highlight w:val="none"/>
        </w:rPr>
        <w:t>4.如为联合体竞标，盖章处须加盖联合体各方公章，</w:t>
      </w:r>
      <w:bookmarkStart w:id="61" w:name="_Hlk65851776"/>
      <w:r>
        <w:rPr>
          <w:rFonts w:hint="eastAsia" w:ascii="宋体" w:hAnsi="宋体" w:cs="宋体"/>
          <w:b/>
          <w:color w:val="auto"/>
          <w:sz w:val="24"/>
          <w:highlight w:val="none"/>
        </w:rPr>
        <w:t>否则其响应文件按无效响应处理。</w:t>
      </w:r>
      <w:bookmarkEnd w:id="61"/>
    </w:p>
    <w:p>
      <w:pPr>
        <w:spacing w:line="360" w:lineRule="auto"/>
        <w:ind w:right="-817" w:rightChars="-389"/>
        <w:contextualSpacing/>
        <w:rPr>
          <w:rFonts w:hint="eastAsia" w:ascii="宋体" w:hAnsi="宋体" w:cs="宋体"/>
          <w:color w:val="auto"/>
          <w:sz w:val="24"/>
          <w:highlight w:val="none"/>
        </w:rPr>
      </w:pPr>
    </w:p>
    <w:p>
      <w:pPr>
        <w:spacing w:line="360" w:lineRule="auto"/>
        <w:ind w:right="-817" w:rightChars="-389" w:firstLine="2640" w:firstLineChars="1100"/>
        <w:contextualSpacing/>
        <w:rPr>
          <w:rFonts w:hint="eastAsia" w:ascii="宋体" w:hAnsi="宋体" w:cs="宋体"/>
          <w:color w:val="auto"/>
          <w:sz w:val="24"/>
          <w:highlight w:val="none"/>
        </w:rPr>
      </w:pPr>
      <w:r>
        <w:rPr>
          <w:rFonts w:hint="eastAsia" w:ascii="宋体" w:hAnsi="宋体" w:cs="宋体"/>
          <w:color w:val="auto"/>
          <w:sz w:val="24"/>
          <w:highlight w:val="none"/>
        </w:rPr>
        <w:t xml:space="preserve">法定代表人或者委托代理人（签字）：                    </w:t>
      </w:r>
    </w:p>
    <w:p>
      <w:pPr>
        <w:spacing w:line="360" w:lineRule="auto"/>
        <w:ind w:right="-817" w:rightChars="-389" w:firstLine="2640" w:firstLineChars="1100"/>
        <w:contextualSpacing/>
        <w:rPr>
          <w:rFonts w:hint="eastAsia" w:ascii="宋体" w:hAnsi="宋体" w:cs="宋体"/>
          <w:color w:val="auto"/>
          <w:sz w:val="24"/>
          <w:highlight w:val="none"/>
        </w:rPr>
      </w:pPr>
      <w:r>
        <w:rPr>
          <w:rFonts w:hint="eastAsia" w:ascii="宋体" w:hAnsi="宋体" w:cs="宋体"/>
          <w:color w:val="auto"/>
          <w:sz w:val="24"/>
          <w:highlight w:val="none"/>
        </w:rPr>
        <w:t xml:space="preserve">供应商（盖公章）：      </w:t>
      </w:r>
    </w:p>
    <w:p>
      <w:pPr>
        <w:spacing w:line="360" w:lineRule="auto"/>
        <w:ind w:right="-817" w:rightChars="-389" w:firstLine="4080" w:firstLineChars="1700"/>
        <w:contextualSpacing/>
        <w:rPr>
          <w:rFonts w:hint="eastAsia" w:ascii="宋体" w:hAnsi="宋体" w:cs="宋体"/>
          <w:b/>
          <w:color w:val="auto"/>
          <w:sz w:val="24"/>
          <w:highlight w:val="none"/>
        </w:rPr>
      </w:pPr>
      <w:r>
        <w:rPr>
          <w:rFonts w:hint="eastAsia" w:ascii="宋体" w:hAnsi="宋体" w:cs="宋体"/>
          <w:color w:val="auto"/>
          <w:sz w:val="24"/>
          <w:highlight w:val="none"/>
        </w:rPr>
        <w:t>日期：   年   月   日</w:t>
      </w:r>
    </w:p>
    <w:p>
      <w:pPr>
        <w:spacing w:before="312" w:beforeLines="100" w:after="156" w:afterLines="50" w:line="520" w:lineRule="exact"/>
        <w:jc w:val="center"/>
        <w:rPr>
          <w:rFonts w:ascii="宋体" w:hAnsi="宋体" w:cs="宋体"/>
          <w:color w:val="auto"/>
          <w:sz w:val="32"/>
          <w:szCs w:val="32"/>
          <w:highlight w:val="none"/>
        </w:rPr>
      </w:pPr>
      <w:r>
        <w:rPr>
          <w:rFonts w:hint="eastAsia" w:ascii="宋体" w:hAnsi="宋体" w:cs="宋体"/>
          <w:b/>
          <w:color w:val="auto"/>
          <w:sz w:val="32"/>
          <w:szCs w:val="32"/>
          <w:highlight w:val="none"/>
        </w:rPr>
        <w:br w:type="page"/>
      </w:r>
      <w:r>
        <w:rPr>
          <w:rFonts w:hint="eastAsia" w:ascii="宋体" w:hAnsi="宋体" w:cs="宋体"/>
          <w:bCs/>
          <w:color w:val="auto"/>
          <w:sz w:val="44"/>
          <w:szCs w:val="44"/>
          <w:highlight w:val="none"/>
        </w:rPr>
        <w:t>法定代表人身份证明</w:t>
      </w:r>
    </w:p>
    <w:p>
      <w:pPr>
        <w:spacing w:line="360" w:lineRule="auto"/>
        <w:ind w:left="540"/>
        <w:contextualSpacing/>
        <w:rPr>
          <w:rFonts w:ascii="宋体" w:hAnsi="宋体" w:cs="宋体"/>
          <w:color w:val="auto"/>
          <w:sz w:val="32"/>
          <w:szCs w:val="32"/>
          <w:highlight w:val="none"/>
        </w:rPr>
      </w:pPr>
    </w:p>
    <w:p>
      <w:pPr>
        <w:spacing w:line="360" w:lineRule="auto"/>
        <w:ind w:left="540"/>
        <w:contextualSpacing/>
        <w:rPr>
          <w:rFonts w:ascii="宋体" w:hAnsi="宋体" w:cs="宋体"/>
          <w:color w:val="auto"/>
          <w:sz w:val="24"/>
          <w:highlight w:val="none"/>
        </w:rPr>
      </w:pPr>
      <w:r>
        <w:rPr>
          <w:rFonts w:hint="eastAsia" w:ascii="宋体" w:hAnsi="宋体" w:cs="宋体"/>
          <w:color w:val="auto"/>
          <w:sz w:val="24"/>
          <w:highlight w:val="none"/>
        </w:rPr>
        <w:t>供应商名称：</w:t>
      </w:r>
      <w:r>
        <w:rPr>
          <w:rFonts w:hint="eastAsia" w:ascii="宋体" w:hAnsi="宋体" w:cs="宋体"/>
          <w:color w:val="auto"/>
          <w:sz w:val="24"/>
          <w:highlight w:val="none"/>
          <w:u w:val="single"/>
        </w:rPr>
        <w:t xml:space="preserve">                                                        </w:t>
      </w:r>
    </w:p>
    <w:p>
      <w:pPr>
        <w:spacing w:line="360" w:lineRule="auto"/>
        <w:ind w:left="540"/>
        <w:contextualSpacing/>
        <w:rPr>
          <w:rFonts w:ascii="宋体" w:hAnsi="宋体" w:cs="宋体"/>
          <w:color w:val="auto"/>
          <w:sz w:val="24"/>
          <w:highlight w:val="none"/>
        </w:rPr>
      </w:pPr>
      <w:r>
        <w:rPr>
          <w:rFonts w:hint="eastAsia" w:ascii="宋体" w:hAnsi="宋体" w:cs="宋体"/>
          <w:color w:val="auto"/>
          <w:sz w:val="24"/>
          <w:highlight w:val="none"/>
        </w:rPr>
        <w:t>地    址：</w:t>
      </w:r>
      <w:r>
        <w:rPr>
          <w:rFonts w:hint="eastAsia" w:ascii="宋体" w:hAnsi="宋体" w:cs="宋体"/>
          <w:color w:val="auto"/>
          <w:sz w:val="24"/>
          <w:highlight w:val="none"/>
          <w:u w:val="single"/>
        </w:rPr>
        <w:t xml:space="preserve">                                                        </w:t>
      </w:r>
    </w:p>
    <w:p>
      <w:pPr>
        <w:spacing w:line="360" w:lineRule="auto"/>
        <w:ind w:left="540"/>
        <w:contextualSpacing/>
        <w:rPr>
          <w:rFonts w:ascii="宋体" w:hAnsi="宋体" w:cs="宋体"/>
          <w:color w:val="auto"/>
          <w:sz w:val="24"/>
          <w:highlight w:val="none"/>
        </w:rPr>
      </w:pPr>
      <w:r>
        <w:rPr>
          <w:rFonts w:hint="eastAsia" w:ascii="宋体" w:hAnsi="宋体" w:cs="宋体"/>
          <w:color w:val="auto"/>
          <w:sz w:val="24"/>
          <w:highlight w:val="none"/>
        </w:rPr>
        <w:t>姓    名：</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性     别：</w:t>
      </w:r>
      <w:r>
        <w:rPr>
          <w:rFonts w:hint="eastAsia" w:ascii="宋体" w:hAnsi="宋体" w:cs="宋体"/>
          <w:color w:val="auto"/>
          <w:sz w:val="24"/>
          <w:highlight w:val="none"/>
          <w:u w:val="single"/>
        </w:rPr>
        <w:t xml:space="preserve">                </w:t>
      </w:r>
    </w:p>
    <w:p>
      <w:pPr>
        <w:spacing w:line="360" w:lineRule="auto"/>
        <w:ind w:left="540"/>
        <w:contextualSpacing/>
        <w:rPr>
          <w:rFonts w:ascii="宋体" w:hAnsi="宋体" w:cs="宋体"/>
          <w:color w:val="auto"/>
          <w:sz w:val="24"/>
          <w:highlight w:val="none"/>
          <w:u w:val="single"/>
        </w:rPr>
      </w:pPr>
      <w:r>
        <w:rPr>
          <w:rFonts w:hint="eastAsia" w:ascii="宋体" w:hAnsi="宋体" w:cs="宋体"/>
          <w:color w:val="auto"/>
          <w:sz w:val="24"/>
          <w:highlight w:val="none"/>
        </w:rPr>
        <w:t>年    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职     务：</w:t>
      </w:r>
      <w:r>
        <w:rPr>
          <w:rFonts w:hint="eastAsia" w:ascii="宋体" w:hAnsi="宋体" w:cs="宋体"/>
          <w:color w:val="auto"/>
          <w:sz w:val="24"/>
          <w:highlight w:val="none"/>
          <w:u w:val="single"/>
        </w:rPr>
        <w:t xml:space="preserve">                </w:t>
      </w:r>
    </w:p>
    <w:p>
      <w:pPr>
        <w:spacing w:line="360" w:lineRule="auto"/>
        <w:ind w:left="540"/>
        <w:contextualSpacing/>
        <w:rPr>
          <w:rFonts w:ascii="宋体" w:hAnsi="宋体" w:cs="宋体"/>
          <w:color w:val="auto"/>
          <w:sz w:val="24"/>
          <w:highlight w:val="none"/>
        </w:rPr>
      </w:pPr>
      <w:r>
        <w:rPr>
          <w:rFonts w:hint="eastAsia" w:ascii="宋体" w:hAnsi="宋体" w:cs="宋体"/>
          <w:color w:val="auto"/>
          <w:sz w:val="24"/>
          <w:highlight w:val="none"/>
        </w:rPr>
        <w:t>身份证号码：</w:t>
      </w:r>
      <w:r>
        <w:rPr>
          <w:rFonts w:hint="eastAsia" w:ascii="宋体" w:hAnsi="宋体" w:cs="宋体"/>
          <w:color w:val="auto"/>
          <w:sz w:val="24"/>
          <w:highlight w:val="none"/>
          <w:u w:val="single"/>
        </w:rPr>
        <w:t xml:space="preserve">                                        </w:t>
      </w:r>
    </w:p>
    <w:p>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系</w:t>
      </w:r>
      <w:r>
        <w:rPr>
          <w:rFonts w:hint="eastAsia" w:ascii="宋体" w:hAnsi="宋体" w:cs="宋体"/>
          <w:color w:val="auto"/>
          <w:sz w:val="24"/>
          <w:highlight w:val="none"/>
          <w:u w:val="single"/>
        </w:rPr>
        <w:t>（供应商名称）</w:t>
      </w:r>
      <w:r>
        <w:rPr>
          <w:rFonts w:hint="eastAsia" w:ascii="宋体" w:hAnsi="宋体" w:cs="宋体"/>
          <w:color w:val="auto"/>
          <w:sz w:val="24"/>
          <w:highlight w:val="none"/>
        </w:rPr>
        <w:t>的法定代表人。</w:t>
      </w:r>
    </w:p>
    <w:p>
      <w:pPr>
        <w:spacing w:line="360" w:lineRule="auto"/>
        <w:ind w:left="540"/>
        <w:contextualSpacing/>
        <w:rPr>
          <w:rFonts w:ascii="宋体" w:hAnsi="宋体" w:cs="宋体"/>
          <w:color w:val="auto"/>
          <w:sz w:val="24"/>
          <w:highlight w:val="none"/>
        </w:rPr>
      </w:pPr>
      <w:r>
        <w:rPr>
          <w:rFonts w:hint="eastAsia" w:ascii="宋体" w:hAnsi="宋体" w:cs="宋体"/>
          <w:color w:val="auto"/>
          <w:sz w:val="24"/>
          <w:highlight w:val="none"/>
        </w:rPr>
        <w:t>特此证明。</w:t>
      </w:r>
    </w:p>
    <w:p>
      <w:pPr>
        <w:spacing w:line="360" w:lineRule="auto"/>
        <w:ind w:left="540"/>
        <w:contextualSpacing/>
        <w:rPr>
          <w:rFonts w:ascii="宋体" w:hAnsi="宋体" w:cs="宋体"/>
          <w:color w:val="auto"/>
          <w:sz w:val="24"/>
          <w:highlight w:val="none"/>
        </w:rPr>
      </w:pPr>
    </w:p>
    <w:p>
      <w:pPr>
        <w:spacing w:line="360" w:lineRule="auto"/>
        <w:ind w:left="540"/>
        <w:contextualSpacing/>
        <w:rPr>
          <w:rFonts w:ascii="宋体" w:hAnsi="宋体" w:cs="宋体"/>
          <w:color w:val="auto"/>
          <w:sz w:val="24"/>
          <w:highlight w:val="none"/>
        </w:rPr>
      </w:pPr>
    </w:p>
    <w:p>
      <w:pPr>
        <w:spacing w:line="360" w:lineRule="auto"/>
        <w:ind w:left="540"/>
        <w:contextualSpacing/>
        <w:rPr>
          <w:rFonts w:ascii="宋体" w:hAnsi="宋体" w:cs="宋体"/>
          <w:color w:val="auto"/>
          <w:sz w:val="24"/>
          <w:highlight w:val="none"/>
        </w:rPr>
      </w:pPr>
    </w:p>
    <w:p>
      <w:pPr>
        <w:spacing w:line="360" w:lineRule="auto"/>
        <w:ind w:left="540"/>
        <w:contextualSpacing/>
        <w:rPr>
          <w:rFonts w:ascii="宋体" w:hAnsi="宋体" w:cs="宋体"/>
          <w:color w:val="auto"/>
          <w:sz w:val="24"/>
          <w:highlight w:val="none"/>
        </w:rPr>
      </w:pPr>
      <w:r>
        <w:rPr>
          <w:rFonts w:hint="eastAsia" w:ascii="宋体" w:hAnsi="宋体" w:cs="宋体"/>
          <w:color w:val="auto"/>
          <w:sz w:val="24"/>
          <w:highlight w:val="none"/>
        </w:rPr>
        <w:t>附件：法定代表人有效身份证正反面复印件</w:t>
      </w:r>
    </w:p>
    <w:p>
      <w:pPr>
        <w:spacing w:line="360" w:lineRule="auto"/>
        <w:ind w:left="540"/>
        <w:contextualSpacing/>
        <w:rPr>
          <w:rFonts w:ascii="宋体" w:hAnsi="宋体" w:cs="宋体"/>
          <w:color w:val="auto"/>
          <w:sz w:val="24"/>
          <w:highlight w:val="none"/>
        </w:rPr>
      </w:pPr>
    </w:p>
    <w:p>
      <w:pPr>
        <w:spacing w:line="360" w:lineRule="auto"/>
        <w:ind w:left="540"/>
        <w:contextualSpacing/>
        <w:jc w:val="center"/>
        <w:rPr>
          <w:rFonts w:ascii="宋体" w:hAnsi="宋体" w:cs="宋体"/>
          <w:color w:val="auto"/>
          <w:sz w:val="24"/>
          <w:highlight w:val="none"/>
        </w:rPr>
      </w:pP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供应商（盖公章）：</w:t>
      </w:r>
      <w:r>
        <w:rPr>
          <w:rFonts w:hint="eastAsia" w:ascii="宋体" w:hAnsi="宋体" w:cs="宋体"/>
          <w:color w:val="auto"/>
          <w:sz w:val="24"/>
          <w:highlight w:val="none"/>
          <w:u w:val="single"/>
        </w:rPr>
        <w:t xml:space="preserve">               </w:t>
      </w:r>
    </w:p>
    <w:p>
      <w:pPr>
        <w:spacing w:line="360" w:lineRule="auto"/>
        <w:ind w:firstLine="6960" w:firstLineChars="2900"/>
        <w:contextualSpacing/>
        <w:rPr>
          <w:rFonts w:ascii="宋体" w:hAnsi="宋体" w:cs="宋体"/>
          <w:color w:val="auto"/>
          <w:sz w:val="24"/>
          <w:highlight w:val="none"/>
        </w:rPr>
      </w:pP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pPr>
        <w:spacing w:line="360" w:lineRule="auto"/>
        <w:contextualSpacing/>
        <w:jc w:val="center"/>
        <w:rPr>
          <w:rFonts w:ascii="宋体" w:hAnsi="宋体" w:cs="宋体"/>
          <w:b/>
          <w:color w:val="auto"/>
          <w:sz w:val="24"/>
          <w:highlight w:val="none"/>
        </w:rPr>
      </w:pPr>
    </w:p>
    <w:p>
      <w:pPr>
        <w:spacing w:line="360" w:lineRule="auto"/>
        <w:contextualSpacing/>
        <w:jc w:val="left"/>
        <w:rPr>
          <w:rFonts w:ascii="宋体" w:hAnsi="宋体" w:cs="宋体"/>
          <w:color w:val="auto"/>
          <w:sz w:val="24"/>
          <w:highlight w:val="none"/>
        </w:rPr>
      </w:pPr>
    </w:p>
    <w:p>
      <w:pPr>
        <w:spacing w:line="360" w:lineRule="auto"/>
        <w:contextualSpacing/>
        <w:jc w:val="left"/>
        <w:rPr>
          <w:rFonts w:ascii="宋体" w:hAnsi="宋体" w:cs="宋体"/>
          <w:color w:val="auto"/>
          <w:sz w:val="24"/>
          <w:highlight w:val="none"/>
        </w:rPr>
      </w:pPr>
      <w:r>
        <w:rPr>
          <w:rFonts w:hint="eastAsia" w:ascii="宋体" w:hAnsi="宋体" w:cs="宋体"/>
          <w:color w:val="auto"/>
          <w:sz w:val="24"/>
          <w:highlight w:val="none"/>
        </w:rPr>
        <w:t>注：自然人竞标的无需提供，联合体竞标的只需牵头人出具。</w:t>
      </w:r>
    </w:p>
    <w:p>
      <w:pPr>
        <w:adjustRightInd w:val="0"/>
        <w:snapToGrid w:val="0"/>
        <w:spacing w:line="300" w:lineRule="auto"/>
        <w:jc w:val="left"/>
        <w:rPr>
          <w:rFonts w:ascii="宋体" w:hAnsi="宋体" w:cs="宋体"/>
          <w:b/>
          <w:color w:val="auto"/>
          <w:szCs w:val="21"/>
          <w:highlight w:val="none"/>
        </w:rPr>
      </w:pPr>
    </w:p>
    <w:p>
      <w:pPr>
        <w:spacing w:line="500" w:lineRule="exact"/>
        <w:jc w:val="center"/>
        <w:rPr>
          <w:rFonts w:ascii="宋体" w:hAnsi="宋体" w:cs="宋体"/>
          <w:color w:val="auto"/>
          <w:sz w:val="44"/>
          <w:szCs w:val="44"/>
          <w:highlight w:val="none"/>
        </w:rPr>
      </w:pPr>
      <w:r>
        <w:rPr>
          <w:rFonts w:hint="eastAsia" w:ascii="宋体" w:hAnsi="宋体" w:cs="宋体"/>
          <w:color w:val="auto"/>
          <w:sz w:val="44"/>
          <w:szCs w:val="44"/>
          <w:highlight w:val="none"/>
        </w:rPr>
        <w:br w:type="page"/>
      </w:r>
      <w:r>
        <w:rPr>
          <w:rFonts w:hint="eastAsia" w:ascii="宋体" w:hAnsi="宋体" w:cs="宋体"/>
          <w:color w:val="auto"/>
          <w:sz w:val="44"/>
          <w:szCs w:val="44"/>
          <w:highlight w:val="none"/>
        </w:rPr>
        <w:t xml:space="preserve"> </w:t>
      </w:r>
    </w:p>
    <w:p>
      <w:pPr>
        <w:spacing w:line="520" w:lineRule="exact"/>
        <w:jc w:val="center"/>
        <w:rPr>
          <w:rFonts w:ascii="宋体" w:hAnsi="宋体" w:cs="宋体"/>
          <w:color w:val="auto"/>
          <w:sz w:val="44"/>
          <w:szCs w:val="44"/>
          <w:highlight w:val="none"/>
        </w:rPr>
      </w:pPr>
      <w:bookmarkStart w:id="62" w:name="_Hlk65853643"/>
      <w:r>
        <w:rPr>
          <w:rFonts w:hint="eastAsia" w:ascii="宋体" w:hAnsi="宋体" w:cs="宋体"/>
          <w:color w:val="auto"/>
          <w:sz w:val="44"/>
          <w:szCs w:val="44"/>
          <w:highlight w:val="none"/>
        </w:rPr>
        <w:t>授权委托书</w:t>
      </w:r>
    </w:p>
    <w:p>
      <w:pPr>
        <w:spacing w:line="520" w:lineRule="exact"/>
        <w:jc w:val="center"/>
        <w:rPr>
          <w:rFonts w:ascii="宋体" w:hAnsi="宋体" w:cs="宋体"/>
          <w:color w:val="auto"/>
          <w:sz w:val="32"/>
          <w:szCs w:val="32"/>
          <w:highlight w:val="none"/>
        </w:rPr>
      </w:pPr>
      <w:r>
        <w:rPr>
          <w:rFonts w:hint="eastAsia" w:ascii="宋体" w:hAnsi="宋体" w:cs="宋体"/>
          <w:color w:val="auto"/>
          <w:sz w:val="32"/>
          <w:szCs w:val="32"/>
          <w:highlight w:val="none"/>
        </w:rPr>
        <w:t>（非联合体竞标格式）</w:t>
      </w:r>
    </w:p>
    <w:p>
      <w:pPr>
        <w:spacing w:line="520" w:lineRule="exact"/>
        <w:jc w:val="center"/>
        <w:rPr>
          <w:rFonts w:ascii="宋体" w:hAnsi="宋体" w:cs="宋体"/>
          <w:color w:val="auto"/>
          <w:sz w:val="44"/>
          <w:szCs w:val="44"/>
          <w:highlight w:val="none"/>
        </w:rPr>
      </w:pPr>
      <w:r>
        <w:rPr>
          <w:rFonts w:hint="eastAsia" w:ascii="宋体" w:hAnsi="宋体" w:cs="宋体"/>
          <w:color w:val="auto"/>
          <w:sz w:val="32"/>
          <w:szCs w:val="32"/>
          <w:highlight w:val="none"/>
        </w:rPr>
        <w:t>（如有委托时）</w:t>
      </w:r>
    </w:p>
    <w:p>
      <w:pPr>
        <w:spacing w:line="520" w:lineRule="exact"/>
        <w:rPr>
          <w:rFonts w:ascii="宋体" w:hAnsi="宋体" w:cs="宋体"/>
          <w:color w:val="auto"/>
          <w:sz w:val="32"/>
          <w:szCs w:val="32"/>
          <w:highlight w:val="none"/>
        </w:rPr>
      </w:pPr>
    </w:p>
    <w:p>
      <w:pPr>
        <w:spacing w:line="360" w:lineRule="auto"/>
        <w:rPr>
          <w:rFonts w:ascii="宋体" w:hAnsi="宋体" w:cs="宋体"/>
          <w:color w:val="auto"/>
          <w:sz w:val="24"/>
          <w:highlight w:val="none"/>
        </w:rPr>
      </w:pPr>
      <w:r>
        <w:rPr>
          <w:rFonts w:hint="eastAsia" w:ascii="宋体" w:hAnsi="宋体" w:cs="宋体"/>
          <w:color w:val="auto"/>
          <w:sz w:val="24"/>
          <w:highlight w:val="none"/>
        </w:rPr>
        <w:t>致：</w:t>
      </w:r>
      <w:r>
        <w:rPr>
          <w:rFonts w:hint="eastAsia" w:ascii="宋体" w:hAnsi="宋体" w:cs="宋体"/>
          <w:color w:val="auto"/>
          <w:sz w:val="24"/>
          <w:highlight w:val="none"/>
          <w:u w:val="single"/>
        </w:rPr>
        <w:t>（采购人名称）</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w:t>
      </w:r>
      <w:r>
        <w:rPr>
          <w:rFonts w:hint="eastAsia" w:ascii="宋体" w:hAnsi="宋体" w:cs="宋体"/>
          <w:color w:val="auto"/>
          <w:sz w:val="24"/>
          <w:highlight w:val="none"/>
          <w:u w:val="single"/>
        </w:rPr>
        <w:t xml:space="preserve">  （姓名）  </w:t>
      </w:r>
      <w:r>
        <w:rPr>
          <w:rFonts w:hint="eastAsia" w:ascii="宋体" w:hAnsi="宋体" w:cs="宋体"/>
          <w:color w:val="auto"/>
          <w:sz w:val="24"/>
          <w:highlight w:val="none"/>
        </w:rPr>
        <w:t>系</w:t>
      </w:r>
      <w:r>
        <w:rPr>
          <w:rFonts w:hint="eastAsia" w:ascii="宋体" w:hAnsi="宋体" w:cs="宋体"/>
          <w:color w:val="auto"/>
          <w:sz w:val="24"/>
          <w:highlight w:val="none"/>
          <w:u w:val="single"/>
        </w:rPr>
        <w:t xml:space="preserve">  （供应商名称）  </w:t>
      </w:r>
      <w:r>
        <w:rPr>
          <w:rFonts w:hint="eastAsia" w:ascii="宋体" w:hAnsi="宋体" w:cs="宋体"/>
          <w:color w:val="auto"/>
          <w:sz w:val="24"/>
          <w:highlight w:val="none"/>
        </w:rPr>
        <w:t>的（</w:t>
      </w:r>
      <w:r>
        <w:rPr>
          <w:rFonts w:hint="eastAsia" w:ascii="宋体" w:hAnsi="宋体" w:cs="宋体"/>
          <w:color w:val="auto"/>
          <w:sz w:val="24"/>
          <w:highlight w:val="none"/>
          <w:u w:val="single"/>
        </w:rPr>
        <w:t>法定代表人/负责人/自然人本人</w:t>
      </w:r>
      <w:r>
        <w:rPr>
          <w:rFonts w:hint="eastAsia" w:ascii="宋体" w:hAnsi="宋体" w:cs="宋体"/>
          <w:color w:val="auto"/>
          <w:sz w:val="24"/>
          <w:highlight w:val="none"/>
        </w:rPr>
        <w:t>），现授权</w:t>
      </w:r>
      <w:r>
        <w:rPr>
          <w:rFonts w:hint="eastAsia" w:ascii="宋体" w:hAnsi="宋体" w:cs="宋体"/>
          <w:color w:val="auto"/>
          <w:sz w:val="24"/>
          <w:highlight w:val="none"/>
          <w:u w:val="single"/>
        </w:rPr>
        <w:t xml:space="preserve"> （姓名） </w:t>
      </w:r>
      <w:r>
        <w:rPr>
          <w:rFonts w:hint="eastAsia" w:ascii="宋体" w:hAnsi="宋体" w:cs="宋体"/>
          <w:color w:val="auto"/>
          <w:sz w:val="24"/>
          <w:highlight w:val="none"/>
        </w:rPr>
        <w:t>以我方的名义参加</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项目的竞标活动，并代表我方全权办理针对上述项目的所有采购程序和环节的具体事务和签署相关文件。</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我方对委托代理人的签字事项负全部责任。</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本授权书自签署之日起生效，在撤销授权的书面通知以前，本授权书一直有效。委托代理人在授权书有效期内签署的所有文件不因授权的撤销而失效。</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委托代理人无转委托权，特此委托。</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附：法定代表人身份证明及委托代理人有效身份证正反面复印件</w:t>
      </w:r>
    </w:p>
    <w:p>
      <w:pPr>
        <w:spacing w:line="360" w:lineRule="auto"/>
        <w:rPr>
          <w:rFonts w:ascii="宋体" w:hAnsi="宋体" w:cs="宋体"/>
          <w:color w:val="auto"/>
          <w:sz w:val="24"/>
          <w:highlight w:val="none"/>
        </w:rPr>
      </w:pP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委托代理人（签字）：         法定代表人（签字或者盖章）：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委托代理人身份证号码：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供应商（盖公章）：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年    月    日</w:t>
      </w:r>
    </w:p>
    <w:p>
      <w:pPr>
        <w:spacing w:line="360" w:lineRule="auto"/>
        <w:rPr>
          <w:rFonts w:ascii="宋体" w:hAnsi="宋体" w:cs="宋体"/>
          <w:color w:val="auto"/>
          <w:sz w:val="24"/>
          <w:highlight w:val="none"/>
        </w:rPr>
      </w:pPr>
    </w:p>
    <w:p>
      <w:pPr>
        <w:spacing w:line="360" w:lineRule="auto"/>
        <w:rPr>
          <w:rFonts w:ascii="宋体" w:hAnsi="宋体" w:cs="宋体"/>
          <w:color w:val="auto"/>
          <w:sz w:val="24"/>
          <w:highlight w:val="none"/>
        </w:rPr>
      </w:pPr>
      <w:r>
        <w:rPr>
          <w:rFonts w:hint="eastAsia" w:ascii="宋体" w:hAnsi="宋体" w:cs="宋体"/>
          <w:color w:val="auto"/>
          <w:sz w:val="24"/>
          <w:highlight w:val="none"/>
        </w:rPr>
        <w:t>注：1. 法定代表人必须在授权委托书上亲笔签字或者盖章，委托代理人必须在授权委托书上亲笔签字，</w:t>
      </w:r>
      <w:r>
        <w:rPr>
          <w:rFonts w:hint="eastAsia" w:ascii="宋体" w:hAnsi="宋体" w:cs="宋体"/>
          <w:b/>
          <w:color w:val="auto"/>
          <w:sz w:val="24"/>
          <w:highlight w:val="none"/>
        </w:rPr>
        <w:t>否则其响应文件按无效响应处理。</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bookmarkStart w:id="63" w:name="_Hlk65853109"/>
      <w:bookmarkStart w:id="64" w:name="_Hlk65853542"/>
      <w:r>
        <w:rPr>
          <w:rFonts w:hint="eastAsia" w:ascii="宋体" w:hAnsi="宋体" w:cs="宋体"/>
          <w:color w:val="auto"/>
          <w:sz w:val="24"/>
          <w:highlight w:val="none"/>
        </w:rPr>
        <w:t>法人、其他组织竞标时“我方”是指“我单位”，自然人竞标时“我方”是指“本人”。</w:t>
      </w:r>
      <w:bookmarkEnd w:id="63"/>
    </w:p>
    <w:bookmarkEnd w:id="64"/>
    <w:p>
      <w:pPr>
        <w:spacing w:line="360" w:lineRule="auto"/>
        <w:ind w:firstLine="420" w:firstLineChars="200"/>
        <w:jc w:val="left"/>
        <w:rPr>
          <w:rFonts w:ascii="宋体" w:hAnsi="宋体" w:cs="宋体"/>
          <w:color w:val="auto"/>
          <w:szCs w:val="21"/>
          <w:highlight w:val="none"/>
        </w:rPr>
      </w:pPr>
    </w:p>
    <w:p>
      <w:pPr>
        <w:spacing w:line="500" w:lineRule="exact"/>
        <w:jc w:val="center"/>
        <w:rPr>
          <w:rFonts w:ascii="宋体" w:hAnsi="宋体" w:cs="宋体"/>
          <w:color w:val="auto"/>
          <w:sz w:val="44"/>
          <w:szCs w:val="44"/>
          <w:highlight w:val="none"/>
        </w:rPr>
      </w:pPr>
      <w:r>
        <w:rPr>
          <w:rFonts w:hint="eastAsia" w:ascii="宋体" w:hAnsi="宋体" w:cs="宋体"/>
          <w:color w:val="auto"/>
          <w:szCs w:val="21"/>
          <w:highlight w:val="none"/>
        </w:rPr>
        <w:br w:type="page"/>
      </w:r>
      <w:r>
        <w:rPr>
          <w:rFonts w:hint="eastAsia" w:ascii="宋体" w:hAnsi="宋体" w:cs="宋体"/>
          <w:color w:val="auto"/>
          <w:sz w:val="44"/>
          <w:szCs w:val="44"/>
          <w:highlight w:val="none"/>
        </w:rPr>
        <w:t>授权委托书</w:t>
      </w:r>
    </w:p>
    <w:p>
      <w:pPr>
        <w:spacing w:line="500" w:lineRule="exact"/>
        <w:jc w:val="center"/>
        <w:rPr>
          <w:rFonts w:ascii="宋体" w:hAnsi="宋体" w:cs="宋体"/>
          <w:color w:val="auto"/>
          <w:sz w:val="32"/>
          <w:szCs w:val="32"/>
          <w:highlight w:val="none"/>
        </w:rPr>
      </w:pPr>
      <w:r>
        <w:rPr>
          <w:rFonts w:hint="eastAsia" w:ascii="宋体" w:hAnsi="宋体" w:cs="宋体"/>
          <w:color w:val="auto"/>
          <w:sz w:val="32"/>
          <w:szCs w:val="32"/>
          <w:highlight w:val="none"/>
        </w:rPr>
        <w:t>（联合体竞标格式）</w:t>
      </w:r>
    </w:p>
    <w:p>
      <w:pPr>
        <w:spacing w:line="500" w:lineRule="exact"/>
        <w:jc w:val="center"/>
        <w:rPr>
          <w:rFonts w:ascii="宋体" w:hAnsi="宋体" w:cs="宋体"/>
          <w:color w:val="auto"/>
          <w:sz w:val="44"/>
          <w:szCs w:val="44"/>
          <w:highlight w:val="none"/>
        </w:rPr>
      </w:pPr>
      <w:r>
        <w:rPr>
          <w:rFonts w:hint="eastAsia" w:ascii="宋体" w:hAnsi="宋体" w:cs="宋体"/>
          <w:color w:val="auto"/>
          <w:sz w:val="32"/>
          <w:szCs w:val="32"/>
          <w:highlight w:val="none"/>
        </w:rPr>
        <w:t>（如有委托时）</w:t>
      </w:r>
    </w:p>
    <w:p>
      <w:pPr>
        <w:spacing w:line="500" w:lineRule="exact"/>
        <w:jc w:val="center"/>
        <w:rPr>
          <w:rFonts w:ascii="宋体" w:hAnsi="宋体" w:cs="宋体"/>
          <w:color w:val="auto"/>
          <w:sz w:val="44"/>
          <w:szCs w:val="44"/>
          <w:highlight w:val="none"/>
        </w:rPr>
      </w:pPr>
    </w:p>
    <w:p>
      <w:pPr>
        <w:spacing w:line="500" w:lineRule="exact"/>
        <w:jc w:val="center"/>
        <w:rPr>
          <w:rFonts w:ascii="宋体" w:hAnsi="宋体" w:cs="宋体"/>
          <w:color w:val="auto"/>
          <w:sz w:val="32"/>
          <w:szCs w:val="32"/>
          <w:highlight w:val="none"/>
        </w:rPr>
      </w:pP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本授权委托书声明：根据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（牵头人名称）与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（联合体其他成员名称）签订的《联合体竞标协议书》的内容，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（牵头人名称）的法定代表人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（姓名）现授权</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（姓名）为联合委托代理人，并代表我方全权办理针对上述项目的所有采购程序和环节的具体事务和签署相关文件。</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我方对委托代理人的签字事项负全部责任。</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本授权书自签署之日起生效，在撤销授权的书面通知以前，本授权书一直有效。委托代理人在授权书有效期内签署的所有文件不因授权的撤销而失效。</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委托代理人无转委托权，特此委托。</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附：法定代表人身份证明及委托代理人有效身份证正反面复印件</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牵头人法定代表人（签字或者盖章）：</w:t>
      </w:r>
    </w:p>
    <w:p>
      <w:pPr>
        <w:spacing w:line="360" w:lineRule="auto"/>
        <w:ind w:firstLine="3120" w:firstLineChars="1300"/>
        <w:rPr>
          <w:rFonts w:ascii="宋体" w:hAnsi="宋体" w:cs="宋体"/>
          <w:color w:val="auto"/>
          <w:sz w:val="24"/>
          <w:highlight w:val="none"/>
        </w:rPr>
      </w:pPr>
      <w:r>
        <w:rPr>
          <w:rFonts w:hint="eastAsia" w:ascii="宋体" w:hAnsi="宋体" w:cs="宋体"/>
          <w:color w:val="auto"/>
          <w:sz w:val="24"/>
          <w:highlight w:val="none"/>
        </w:rPr>
        <w:t>牵头人（盖公章）：</w:t>
      </w:r>
    </w:p>
    <w:p>
      <w:pPr>
        <w:spacing w:line="360" w:lineRule="auto"/>
        <w:ind w:firstLine="3840" w:firstLineChars="1600"/>
        <w:rPr>
          <w:rFonts w:ascii="宋体" w:hAnsi="宋体" w:cs="宋体"/>
          <w:color w:val="auto"/>
          <w:sz w:val="24"/>
          <w:highlight w:val="none"/>
        </w:rPr>
      </w:pPr>
      <w:r>
        <w:rPr>
          <w:rFonts w:hint="eastAsia" w:ascii="宋体" w:hAnsi="宋体" w:cs="宋体"/>
          <w:color w:val="auto"/>
          <w:sz w:val="24"/>
          <w:highlight w:val="none"/>
        </w:rPr>
        <w:t>日期：    年   月   日</w:t>
      </w:r>
    </w:p>
    <w:p>
      <w:pPr>
        <w:spacing w:line="360" w:lineRule="auto"/>
        <w:rPr>
          <w:rFonts w:ascii="宋体" w:hAnsi="宋体" w:cs="宋体"/>
          <w:color w:val="auto"/>
          <w:sz w:val="24"/>
          <w:highlight w:val="none"/>
        </w:rPr>
      </w:pPr>
    </w:p>
    <w:p>
      <w:pPr>
        <w:spacing w:line="360" w:lineRule="auto"/>
        <w:ind w:firstLine="3120" w:firstLineChars="1300"/>
        <w:rPr>
          <w:rFonts w:ascii="宋体" w:hAnsi="宋体" w:cs="宋体"/>
          <w:color w:val="auto"/>
          <w:sz w:val="24"/>
          <w:highlight w:val="none"/>
        </w:rPr>
      </w:pPr>
      <w:r>
        <w:rPr>
          <w:rFonts w:hint="eastAsia" w:ascii="宋体" w:hAnsi="宋体" w:cs="宋体"/>
          <w:color w:val="auto"/>
          <w:sz w:val="24"/>
          <w:highlight w:val="none"/>
        </w:rPr>
        <w:t>被授权人（签字）：</w:t>
      </w:r>
    </w:p>
    <w:p>
      <w:pPr>
        <w:spacing w:line="360" w:lineRule="auto"/>
        <w:ind w:firstLine="3840" w:firstLineChars="1600"/>
        <w:rPr>
          <w:rFonts w:ascii="宋体" w:hAnsi="宋体" w:cs="宋体"/>
          <w:color w:val="auto"/>
          <w:sz w:val="24"/>
          <w:highlight w:val="none"/>
        </w:rPr>
      </w:pPr>
      <w:r>
        <w:rPr>
          <w:rFonts w:hint="eastAsia" w:ascii="宋体" w:hAnsi="宋体" w:cs="宋体"/>
          <w:color w:val="auto"/>
          <w:sz w:val="24"/>
          <w:highlight w:val="none"/>
        </w:rPr>
        <w:t>日期：    年   月   日</w:t>
      </w:r>
    </w:p>
    <w:p>
      <w:pPr>
        <w:spacing w:line="360" w:lineRule="auto"/>
        <w:rPr>
          <w:rFonts w:ascii="宋体" w:hAnsi="宋体" w:cs="宋体"/>
          <w:color w:val="auto"/>
          <w:sz w:val="24"/>
          <w:highlight w:val="none"/>
        </w:rPr>
      </w:pPr>
    </w:p>
    <w:p>
      <w:pPr>
        <w:spacing w:line="360" w:lineRule="auto"/>
        <w:rPr>
          <w:rFonts w:ascii="宋体" w:hAnsi="宋体" w:cs="宋体"/>
          <w:color w:val="auto"/>
          <w:sz w:val="24"/>
          <w:highlight w:val="none"/>
        </w:rPr>
      </w:pPr>
      <w:r>
        <w:rPr>
          <w:rFonts w:hint="eastAsia" w:ascii="宋体" w:hAnsi="宋体" w:cs="宋体"/>
          <w:color w:val="auto"/>
          <w:sz w:val="24"/>
          <w:highlight w:val="none"/>
        </w:rPr>
        <w:t>注：1. 法定代表人必须在授权委托书上亲笔签字或者盖章，委托代理人必须在授权委托书上亲笔签字，</w:t>
      </w:r>
      <w:r>
        <w:rPr>
          <w:rFonts w:hint="eastAsia" w:ascii="宋体" w:hAnsi="宋体" w:cs="宋体"/>
          <w:b/>
          <w:color w:val="auto"/>
          <w:sz w:val="24"/>
          <w:highlight w:val="none"/>
        </w:rPr>
        <w:t>否则其响应文件按无效响应处理。</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2.本授权委托书应由联合体牵头人的法定代表人按上述规定签署。</w:t>
      </w:r>
    </w:p>
    <w:p>
      <w:pPr>
        <w:spacing w:line="360" w:lineRule="auto"/>
        <w:ind w:firstLine="480" w:firstLineChars="200"/>
        <w:jc w:val="left"/>
        <w:rPr>
          <w:rFonts w:ascii="宋体" w:hAnsi="宋体" w:cs="宋体"/>
          <w:color w:val="auto"/>
          <w:spacing w:val="-11"/>
          <w:sz w:val="24"/>
          <w:highlight w:val="none"/>
        </w:rPr>
      </w:pPr>
      <w:r>
        <w:rPr>
          <w:rFonts w:hint="eastAsia" w:ascii="宋体" w:hAnsi="宋体" w:cs="宋体"/>
          <w:color w:val="auto"/>
          <w:sz w:val="24"/>
          <w:highlight w:val="none"/>
        </w:rPr>
        <w:t>3.</w:t>
      </w:r>
      <w:r>
        <w:rPr>
          <w:rFonts w:hint="eastAsia" w:ascii="宋体" w:hAnsi="宋体" w:cs="宋体"/>
          <w:color w:val="auto"/>
          <w:spacing w:val="-11"/>
          <w:sz w:val="24"/>
          <w:highlight w:val="none"/>
        </w:rPr>
        <w:t>法人、其他组织竞标时“我方”是指“我单位”，自然人竞标时“我方”是指“本人”。</w:t>
      </w:r>
    </w:p>
    <w:bookmarkEnd w:id="62"/>
    <w:p>
      <w:pPr>
        <w:spacing w:line="500" w:lineRule="exact"/>
        <w:jc w:val="center"/>
        <w:rPr>
          <w:rFonts w:ascii="宋体" w:hAnsi="宋体" w:cs="宋体"/>
          <w:bCs/>
          <w:color w:val="auto"/>
          <w:sz w:val="44"/>
          <w:szCs w:val="44"/>
          <w:highlight w:val="none"/>
        </w:rPr>
      </w:pPr>
      <w:r>
        <w:rPr>
          <w:rFonts w:hint="eastAsia" w:ascii="宋体" w:hAnsi="宋体" w:cs="宋体"/>
          <w:color w:val="auto"/>
          <w:sz w:val="32"/>
          <w:szCs w:val="32"/>
          <w:highlight w:val="none"/>
        </w:rPr>
        <w:br w:type="page"/>
      </w:r>
      <w:r>
        <w:rPr>
          <w:rFonts w:hint="eastAsia" w:ascii="宋体" w:hAnsi="宋体" w:cs="宋体"/>
          <w:bCs/>
          <w:color w:val="auto"/>
          <w:sz w:val="44"/>
          <w:szCs w:val="44"/>
          <w:highlight w:val="none"/>
        </w:rPr>
        <w:t>商务要求偏离表</w:t>
      </w:r>
    </w:p>
    <w:p>
      <w:pPr>
        <w:spacing w:line="360" w:lineRule="auto"/>
        <w:contextualSpacing/>
        <w:jc w:val="left"/>
        <w:rPr>
          <w:rFonts w:ascii="宋体" w:hAnsi="宋体" w:cs="宋体"/>
          <w:color w:val="auto"/>
          <w:sz w:val="24"/>
          <w:highlight w:val="none"/>
        </w:rPr>
      </w:pPr>
    </w:p>
    <w:p>
      <w:pPr>
        <w:pStyle w:val="18"/>
        <w:spacing w:line="360" w:lineRule="auto"/>
        <w:contextualSpacing/>
        <w:rPr>
          <w:rFonts w:hAnsi="宋体" w:cs="宋体"/>
          <w:color w:val="auto"/>
          <w:sz w:val="24"/>
          <w:szCs w:val="24"/>
          <w:highlight w:val="none"/>
        </w:rPr>
      </w:pPr>
      <w:r>
        <w:rPr>
          <w:rFonts w:hint="eastAsia" w:hAnsi="宋体" w:cs="宋体"/>
          <w:color w:val="auto"/>
          <w:sz w:val="24"/>
          <w:szCs w:val="24"/>
          <w:highlight w:val="none"/>
        </w:rPr>
        <w:t>所竞分标：</w:t>
      </w:r>
      <w:r>
        <w:rPr>
          <w:rFonts w:hint="eastAsia" w:hAnsi="宋体" w:cs="宋体"/>
          <w:color w:val="auto"/>
          <w:sz w:val="24"/>
          <w:szCs w:val="24"/>
          <w:highlight w:val="none"/>
          <w:u w:val="single"/>
        </w:rPr>
        <w:t xml:space="preserve">              </w:t>
      </w:r>
    </w:p>
    <w:p>
      <w:pPr>
        <w:spacing w:line="360" w:lineRule="auto"/>
        <w:contextualSpacing/>
        <w:jc w:val="left"/>
        <w:rPr>
          <w:rFonts w:ascii="宋体" w:hAnsi="宋体" w:cs="宋体"/>
          <w:color w:val="auto"/>
          <w:sz w:val="24"/>
          <w:highlight w:val="none"/>
          <w:u w:val="single"/>
        </w:rPr>
      </w:pPr>
    </w:p>
    <w:tbl>
      <w:tblPr>
        <w:tblStyle w:val="30"/>
        <w:tblpPr w:leftFromText="180" w:rightFromText="180" w:vertAnchor="text" w:horzAnchor="margin" w:tblpY="-9"/>
        <w:tblOverlap w:val="never"/>
        <w:tblW w:w="930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78"/>
        <w:gridCol w:w="2668"/>
        <w:gridCol w:w="2350"/>
        <w:gridCol w:w="211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2178"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ascii="宋体" w:hAnsi="宋体" w:cs="宋体"/>
                <w:color w:val="auto"/>
                <w:sz w:val="24"/>
                <w:highlight w:val="none"/>
              </w:rPr>
            </w:pPr>
            <w:r>
              <w:rPr>
                <w:rFonts w:hint="eastAsia" w:ascii="宋体" w:hAnsi="宋体" w:cs="宋体"/>
                <w:color w:val="auto"/>
                <w:sz w:val="24"/>
                <w:highlight w:val="none"/>
              </w:rPr>
              <w:t>项目</w:t>
            </w:r>
          </w:p>
        </w:tc>
        <w:tc>
          <w:tcPr>
            <w:tcW w:w="2668"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ascii="宋体" w:hAnsi="宋体" w:cs="宋体"/>
                <w:color w:val="auto"/>
                <w:sz w:val="24"/>
                <w:highlight w:val="none"/>
              </w:rPr>
            </w:pPr>
            <w:r>
              <w:rPr>
                <w:rFonts w:hint="eastAsia" w:ascii="宋体" w:hAnsi="宋体" w:cs="宋体"/>
                <w:color w:val="auto"/>
                <w:sz w:val="24"/>
                <w:highlight w:val="none"/>
              </w:rPr>
              <w:t>磋商文件商务要求</w:t>
            </w:r>
          </w:p>
        </w:tc>
        <w:tc>
          <w:tcPr>
            <w:tcW w:w="2350"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ascii="宋体" w:hAnsi="宋体" w:cs="宋体"/>
                <w:color w:val="auto"/>
                <w:sz w:val="24"/>
                <w:highlight w:val="none"/>
              </w:rPr>
            </w:pPr>
            <w:r>
              <w:rPr>
                <w:rFonts w:hint="eastAsia" w:ascii="宋体" w:hAnsi="宋体" w:cs="宋体"/>
                <w:color w:val="auto"/>
                <w:sz w:val="24"/>
                <w:highlight w:val="none"/>
              </w:rPr>
              <w:t>供应商的响应</w:t>
            </w:r>
          </w:p>
        </w:tc>
        <w:tc>
          <w:tcPr>
            <w:tcW w:w="2112"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ascii="宋体" w:hAnsi="宋体" w:cs="宋体"/>
                <w:color w:val="auto"/>
                <w:sz w:val="24"/>
                <w:highlight w:val="none"/>
              </w:rPr>
            </w:pPr>
            <w:r>
              <w:rPr>
                <w:rFonts w:hint="eastAsia" w:ascii="宋体" w:hAnsi="宋体" w:cs="宋体"/>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217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r>
              <w:rPr>
                <w:rFonts w:hint="eastAsia" w:ascii="宋体" w:hAnsi="宋体" w:cs="宋体"/>
                <w:bCs/>
                <w:color w:val="auto"/>
                <w:szCs w:val="21"/>
                <w:highlight w:val="none"/>
              </w:rPr>
              <w:t>磋商报价要求</w:t>
            </w:r>
          </w:p>
        </w:tc>
        <w:tc>
          <w:tcPr>
            <w:tcW w:w="2668"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ascii="宋体" w:hAnsi="宋体" w:cs="宋体"/>
                <w:color w:val="auto"/>
                <w:sz w:val="24"/>
                <w:highlight w:val="none"/>
              </w:rPr>
            </w:pPr>
          </w:p>
        </w:tc>
        <w:tc>
          <w:tcPr>
            <w:tcW w:w="2350"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ascii="宋体" w:hAnsi="宋体" w:cs="宋体"/>
                <w:color w:val="auto"/>
                <w:sz w:val="24"/>
                <w:highlight w:val="none"/>
              </w:rPr>
            </w:pPr>
          </w:p>
        </w:tc>
        <w:tc>
          <w:tcPr>
            <w:tcW w:w="2112"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217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r>
              <w:rPr>
                <w:rFonts w:hint="eastAsia" w:ascii="宋体" w:hAnsi="宋体" w:cs="宋体"/>
                <w:color w:val="auto"/>
                <w:szCs w:val="21"/>
                <w:highlight w:val="none"/>
              </w:rPr>
              <w:t>合同履约期限（服务期限）和服务地点</w:t>
            </w:r>
          </w:p>
        </w:tc>
        <w:tc>
          <w:tcPr>
            <w:tcW w:w="2668"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ascii="宋体" w:hAnsi="宋体" w:cs="宋体"/>
                <w:color w:val="auto"/>
                <w:sz w:val="24"/>
                <w:highlight w:val="none"/>
              </w:rPr>
            </w:pPr>
          </w:p>
        </w:tc>
        <w:tc>
          <w:tcPr>
            <w:tcW w:w="2350" w:type="dxa"/>
            <w:tcBorders>
              <w:top w:val="single" w:color="auto" w:sz="4" w:space="0"/>
              <w:left w:val="single" w:color="auto" w:sz="4" w:space="0"/>
              <w:bottom w:val="single" w:color="auto" w:sz="4" w:space="0"/>
              <w:right w:val="single" w:color="auto" w:sz="4" w:space="0"/>
            </w:tcBorders>
            <w:vAlign w:val="center"/>
          </w:tcPr>
          <w:p>
            <w:pPr>
              <w:spacing w:line="360" w:lineRule="auto"/>
              <w:ind w:left="43"/>
              <w:contextualSpacing/>
              <w:jc w:val="center"/>
              <w:rPr>
                <w:rFonts w:ascii="宋体" w:hAnsi="宋体" w:cs="宋体"/>
                <w:color w:val="auto"/>
                <w:sz w:val="24"/>
                <w:highlight w:val="none"/>
              </w:rPr>
            </w:pPr>
          </w:p>
        </w:tc>
        <w:tc>
          <w:tcPr>
            <w:tcW w:w="2112" w:type="dxa"/>
            <w:tcBorders>
              <w:top w:val="single" w:color="auto" w:sz="4" w:space="0"/>
              <w:left w:val="single" w:color="auto" w:sz="4" w:space="0"/>
              <w:bottom w:val="single" w:color="auto" w:sz="4" w:space="0"/>
              <w:right w:val="single" w:color="auto" w:sz="4" w:space="0"/>
            </w:tcBorders>
            <w:vAlign w:val="center"/>
          </w:tcPr>
          <w:p>
            <w:pPr>
              <w:spacing w:line="360" w:lineRule="auto"/>
              <w:ind w:left="43"/>
              <w:contextualSpacing/>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78"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ascii="宋体" w:hAnsi="宋体" w:cs="宋体"/>
                <w:color w:val="auto"/>
                <w:sz w:val="24"/>
                <w:highlight w:val="none"/>
              </w:rPr>
            </w:pPr>
            <w:r>
              <w:rPr>
                <w:rFonts w:hint="eastAsia" w:ascii="宋体" w:hAnsi="宋体" w:cs="宋体"/>
                <w:color w:val="auto"/>
                <w:sz w:val="24"/>
                <w:highlight w:val="none"/>
              </w:rPr>
              <w:t>…</w:t>
            </w:r>
          </w:p>
        </w:tc>
        <w:tc>
          <w:tcPr>
            <w:tcW w:w="2668"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ascii="宋体" w:hAnsi="宋体" w:cs="宋体"/>
                <w:color w:val="auto"/>
                <w:sz w:val="24"/>
                <w:highlight w:val="none"/>
              </w:rPr>
            </w:pPr>
          </w:p>
        </w:tc>
        <w:tc>
          <w:tcPr>
            <w:tcW w:w="2350"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ascii="宋体" w:hAnsi="宋体" w:cs="宋体"/>
                <w:color w:val="auto"/>
                <w:sz w:val="24"/>
                <w:highlight w:val="none"/>
              </w:rPr>
            </w:pPr>
          </w:p>
        </w:tc>
        <w:tc>
          <w:tcPr>
            <w:tcW w:w="2112"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78"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hint="eastAsia" w:ascii="宋体" w:hAnsi="宋体" w:cs="宋体"/>
                <w:color w:val="auto"/>
                <w:sz w:val="24"/>
                <w:highlight w:val="none"/>
              </w:rPr>
            </w:pPr>
            <w:r>
              <w:rPr>
                <w:rFonts w:hint="eastAsia" w:ascii="宋体" w:hAnsi="宋体" w:cs="宋体"/>
                <w:color w:val="auto"/>
                <w:sz w:val="24"/>
                <w:highlight w:val="none"/>
              </w:rPr>
              <w:t>…</w:t>
            </w:r>
          </w:p>
        </w:tc>
        <w:tc>
          <w:tcPr>
            <w:tcW w:w="2668"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ascii="宋体" w:hAnsi="宋体" w:cs="宋体"/>
                <w:color w:val="auto"/>
                <w:sz w:val="24"/>
                <w:highlight w:val="none"/>
              </w:rPr>
            </w:pPr>
          </w:p>
        </w:tc>
        <w:tc>
          <w:tcPr>
            <w:tcW w:w="2350"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ascii="宋体" w:hAnsi="宋体" w:cs="宋体"/>
                <w:color w:val="auto"/>
                <w:sz w:val="24"/>
                <w:highlight w:val="none"/>
              </w:rPr>
            </w:pPr>
          </w:p>
        </w:tc>
        <w:tc>
          <w:tcPr>
            <w:tcW w:w="2112"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ascii="宋体" w:hAnsi="宋体" w:cs="宋体"/>
                <w:color w:val="auto"/>
                <w:sz w:val="24"/>
                <w:highlight w:val="none"/>
              </w:rPr>
            </w:pPr>
          </w:p>
        </w:tc>
      </w:tr>
    </w:tbl>
    <w:p>
      <w:pPr>
        <w:pStyle w:val="15"/>
        <w:spacing w:after="0" w:line="360" w:lineRule="auto"/>
        <w:ind w:firstLine="240" w:firstLineChars="100"/>
        <w:contextualSpacing/>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w:t>
      </w:r>
    </w:p>
    <w:p>
      <w:pPr>
        <w:pStyle w:val="15"/>
        <w:spacing w:after="0" w:line="360" w:lineRule="auto"/>
        <w:ind w:firstLine="240" w:firstLineChars="100"/>
        <w:contextualSpacing/>
        <w:rPr>
          <w:rFonts w:ascii="宋体" w:hAnsi="宋体" w:cs="宋体"/>
          <w:color w:val="auto"/>
          <w:kern w:val="0"/>
          <w:sz w:val="24"/>
          <w:szCs w:val="24"/>
          <w:highlight w:val="none"/>
        </w:rPr>
      </w:pPr>
    </w:p>
    <w:p>
      <w:pPr>
        <w:pStyle w:val="15"/>
        <w:spacing w:after="0" w:line="360" w:lineRule="auto"/>
        <w:ind w:firstLine="240" w:firstLineChars="100"/>
        <w:contextualSpacing/>
        <w:rPr>
          <w:rFonts w:ascii="宋体" w:hAnsi="宋体" w:cs="宋体"/>
          <w:color w:val="auto"/>
          <w:kern w:val="0"/>
          <w:sz w:val="24"/>
          <w:szCs w:val="24"/>
          <w:highlight w:val="none"/>
        </w:rPr>
      </w:pPr>
    </w:p>
    <w:p>
      <w:pPr>
        <w:pStyle w:val="15"/>
        <w:spacing w:after="0" w:line="360" w:lineRule="auto"/>
        <w:ind w:firstLine="240" w:firstLineChars="100"/>
        <w:contextualSpacing/>
        <w:rPr>
          <w:rFonts w:ascii="宋体" w:hAnsi="宋体" w:cs="宋体"/>
          <w:color w:val="auto"/>
          <w:kern w:val="0"/>
          <w:sz w:val="24"/>
          <w:szCs w:val="24"/>
          <w:highlight w:val="none"/>
        </w:rPr>
      </w:pPr>
    </w:p>
    <w:p>
      <w:pPr>
        <w:pStyle w:val="15"/>
        <w:spacing w:after="0" w:line="360" w:lineRule="auto"/>
        <w:ind w:firstLine="240" w:firstLineChars="100"/>
        <w:contextualSpacing/>
        <w:rPr>
          <w:rFonts w:ascii="宋体" w:hAnsi="宋体" w:cs="宋体"/>
          <w:color w:val="auto"/>
          <w:kern w:val="0"/>
          <w:sz w:val="24"/>
          <w:szCs w:val="24"/>
          <w:highlight w:val="none"/>
        </w:rPr>
      </w:pPr>
    </w:p>
    <w:p>
      <w:pPr>
        <w:pStyle w:val="15"/>
        <w:spacing w:after="0" w:line="360" w:lineRule="auto"/>
        <w:ind w:firstLine="240" w:firstLineChars="100"/>
        <w:contextualSpacing/>
        <w:rPr>
          <w:rFonts w:ascii="宋体" w:hAnsi="宋体" w:cs="宋体"/>
          <w:color w:val="auto"/>
          <w:kern w:val="0"/>
          <w:sz w:val="24"/>
          <w:szCs w:val="24"/>
          <w:highlight w:val="none"/>
        </w:rPr>
      </w:pPr>
    </w:p>
    <w:p>
      <w:pPr>
        <w:pStyle w:val="15"/>
        <w:spacing w:after="0" w:line="360" w:lineRule="auto"/>
        <w:ind w:firstLine="240" w:firstLineChars="100"/>
        <w:contextualSpacing/>
        <w:rPr>
          <w:rFonts w:ascii="宋体" w:hAnsi="宋体" w:cs="宋体"/>
          <w:color w:val="auto"/>
          <w:kern w:val="0"/>
          <w:sz w:val="24"/>
          <w:szCs w:val="24"/>
          <w:highlight w:val="none"/>
        </w:rPr>
      </w:pPr>
      <w:r>
        <w:rPr>
          <w:rFonts w:hint="eastAsia" w:ascii="宋体" w:hAnsi="宋体" w:cs="宋体"/>
          <w:color w:val="auto"/>
          <w:kern w:val="0"/>
          <w:sz w:val="24"/>
          <w:szCs w:val="24"/>
          <w:highlight w:val="none"/>
        </w:rPr>
        <w:t>注：</w:t>
      </w:r>
    </w:p>
    <w:p>
      <w:pPr>
        <w:pStyle w:val="15"/>
        <w:spacing w:after="0" w:line="360" w:lineRule="auto"/>
        <w:contextualSpacing/>
        <w:rPr>
          <w:rFonts w:ascii="宋体" w:hAnsi="宋体" w:cs="宋体"/>
          <w:color w:val="auto"/>
          <w:kern w:val="0"/>
          <w:sz w:val="24"/>
          <w:szCs w:val="24"/>
          <w:highlight w:val="none"/>
        </w:rPr>
      </w:pPr>
      <w:r>
        <w:rPr>
          <w:rFonts w:hint="eastAsia" w:ascii="宋体" w:hAnsi="宋体" w:cs="宋体"/>
          <w:color w:val="auto"/>
          <w:kern w:val="0"/>
          <w:sz w:val="24"/>
          <w:szCs w:val="24"/>
          <w:highlight w:val="none"/>
        </w:rPr>
        <w:t>1. 说明：应对照磋商文件“第三章 采购需求”中的商务要求逐条作出明确响应，并作出偏离说明。</w:t>
      </w:r>
    </w:p>
    <w:p>
      <w:pPr>
        <w:spacing w:line="360" w:lineRule="auto"/>
        <w:contextualSpacing/>
        <w:jc w:val="left"/>
        <w:rPr>
          <w:rFonts w:ascii="宋体" w:hAnsi="宋体" w:cs="宋体"/>
          <w:color w:val="auto"/>
          <w:sz w:val="24"/>
          <w:highlight w:val="none"/>
          <w:u w:val="single"/>
        </w:rPr>
      </w:pPr>
      <w:r>
        <w:rPr>
          <w:rFonts w:hint="eastAsia" w:ascii="宋体" w:hAnsi="宋体" w:cs="宋体"/>
          <w:color w:val="auto"/>
          <w:kern w:val="0"/>
          <w:sz w:val="24"/>
          <w:highlight w:val="none"/>
        </w:rPr>
        <w:t>2.供应商应根据自身的承诺，对照磋商文件要求在“偏离说明”中注明“正偏离”、“负偏离”或者“无偏离”。既不属于“正偏离”也不属于“负偏离”即为“无偏离”。</w:t>
      </w:r>
    </w:p>
    <w:p>
      <w:pPr>
        <w:spacing w:line="360" w:lineRule="auto"/>
        <w:ind w:right="-817" w:rightChars="-389"/>
        <w:contextualSpacing/>
        <w:rPr>
          <w:rFonts w:ascii="宋体" w:hAnsi="宋体" w:cs="宋体"/>
          <w:color w:val="auto"/>
          <w:sz w:val="24"/>
          <w:highlight w:val="none"/>
        </w:rPr>
      </w:pPr>
    </w:p>
    <w:p>
      <w:pPr>
        <w:spacing w:line="360" w:lineRule="auto"/>
        <w:ind w:right="-817" w:rightChars="-389" w:firstLine="4800" w:firstLineChars="2000"/>
        <w:contextualSpacing/>
        <w:rPr>
          <w:rFonts w:ascii="宋体" w:hAnsi="宋体" w:cs="宋体"/>
          <w:color w:val="auto"/>
          <w:sz w:val="24"/>
          <w:highlight w:val="none"/>
        </w:rPr>
      </w:pPr>
      <w:r>
        <w:rPr>
          <w:rFonts w:hint="eastAsia" w:ascii="宋体" w:hAnsi="宋体" w:cs="宋体"/>
          <w:color w:val="auto"/>
          <w:sz w:val="24"/>
          <w:highlight w:val="none"/>
        </w:rPr>
        <w:t xml:space="preserve">法定代表人或者委托代理人（签字）：                    </w:t>
      </w:r>
    </w:p>
    <w:p>
      <w:pPr>
        <w:spacing w:line="360" w:lineRule="auto"/>
        <w:ind w:right="-817" w:rightChars="-389" w:firstLine="4800" w:firstLineChars="2000"/>
        <w:contextualSpacing/>
        <w:rPr>
          <w:rFonts w:ascii="宋体" w:hAnsi="宋体" w:cs="宋体"/>
          <w:color w:val="auto"/>
          <w:sz w:val="24"/>
          <w:highlight w:val="none"/>
        </w:rPr>
      </w:pPr>
      <w:r>
        <w:rPr>
          <w:rFonts w:hint="eastAsia" w:ascii="宋体" w:hAnsi="宋体" w:cs="宋体"/>
          <w:color w:val="auto"/>
          <w:sz w:val="24"/>
          <w:highlight w:val="none"/>
        </w:rPr>
        <w:t xml:space="preserve">供应商（盖公章）：      </w:t>
      </w:r>
    </w:p>
    <w:p>
      <w:pPr>
        <w:spacing w:line="360" w:lineRule="auto"/>
        <w:ind w:right="-817" w:rightChars="-389" w:firstLine="4800" w:firstLineChars="2000"/>
        <w:contextualSpacing/>
        <w:rPr>
          <w:rFonts w:ascii="宋体" w:hAnsi="宋体" w:cs="宋体"/>
          <w:b/>
          <w:color w:val="auto"/>
          <w:sz w:val="32"/>
          <w:szCs w:val="32"/>
          <w:highlight w:val="none"/>
        </w:rPr>
      </w:pPr>
      <w:r>
        <w:rPr>
          <w:rFonts w:hint="eastAsia" w:ascii="宋体" w:hAnsi="宋体" w:cs="宋体"/>
          <w:color w:val="auto"/>
          <w:sz w:val="24"/>
          <w:highlight w:val="none"/>
        </w:rPr>
        <w:t>日期：   年   月   日</w:t>
      </w:r>
    </w:p>
    <w:p>
      <w:pPr>
        <w:adjustRightInd w:val="0"/>
        <w:snapToGrid w:val="0"/>
        <w:spacing w:line="520" w:lineRule="exact"/>
        <w:ind w:firstLine="7040" w:firstLineChars="1600"/>
        <w:jc w:val="center"/>
        <w:rPr>
          <w:rFonts w:ascii="宋体" w:hAnsi="宋体" w:cs="宋体"/>
          <w:bCs/>
          <w:color w:val="auto"/>
          <w:sz w:val="44"/>
          <w:szCs w:val="44"/>
          <w:highlight w:val="none"/>
        </w:rPr>
      </w:pPr>
    </w:p>
    <w:p>
      <w:pPr>
        <w:adjustRightInd w:val="0"/>
        <w:snapToGrid w:val="0"/>
        <w:spacing w:line="520" w:lineRule="exact"/>
        <w:ind w:firstLine="7040" w:firstLineChars="1600"/>
        <w:jc w:val="center"/>
        <w:rPr>
          <w:rFonts w:ascii="宋体" w:hAnsi="宋体" w:cs="宋体"/>
          <w:bCs/>
          <w:color w:val="auto"/>
          <w:sz w:val="44"/>
          <w:szCs w:val="44"/>
          <w:highlight w:val="none"/>
        </w:rPr>
      </w:pPr>
    </w:p>
    <w:p>
      <w:pPr>
        <w:adjustRightInd w:val="0"/>
        <w:snapToGrid w:val="0"/>
        <w:spacing w:line="520" w:lineRule="exact"/>
        <w:ind w:firstLine="7040" w:firstLineChars="1600"/>
        <w:jc w:val="center"/>
        <w:rPr>
          <w:rFonts w:ascii="宋体" w:hAnsi="宋体" w:cs="宋体"/>
          <w:bCs/>
          <w:color w:val="auto"/>
          <w:sz w:val="44"/>
          <w:szCs w:val="44"/>
          <w:highlight w:val="none"/>
        </w:rPr>
      </w:pPr>
    </w:p>
    <w:p>
      <w:pPr>
        <w:adjustRightInd w:val="0"/>
        <w:snapToGrid w:val="0"/>
        <w:spacing w:line="520" w:lineRule="exact"/>
        <w:ind w:firstLine="7040" w:firstLineChars="1600"/>
        <w:jc w:val="center"/>
        <w:rPr>
          <w:rFonts w:ascii="宋体" w:hAnsi="宋体" w:cs="宋体"/>
          <w:bCs/>
          <w:color w:val="auto"/>
          <w:sz w:val="44"/>
          <w:szCs w:val="44"/>
          <w:highlight w:val="none"/>
        </w:rPr>
      </w:pPr>
    </w:p>
    <w:p>
      <w:pPr>
        <w:adjustRightInd w:val="0"/>
        <w:snapToGrid w:val="0"/>
        <w:spacing w:line="520" w:lineRule="exact"/>
        <w:rPr>
          <w:rFonts w:ascii="宋体" w:hAnsi="宋体" w:cs="宋体"/>
          <w:color w:val="auto"/>
          <w:szCs w:val="21"/>
          <w:highlight w:val="none"/>
          <w:u w:val="single"/>
        </w:rPr>
      </w:pPr>
    </w:p>
    <w:p>
      <w:pPr>
        <w:adjustRightInd w:val="0"/>
        <w:snapToGrid w:val="0"/>
        <w:spacing w:line="300" w:lineRule="auto"/>
        <w:jc w:val="center"/>
        <w:rPr>
          <w:rFonts w:ascii="宋体" w:hAnsi="宋体" w:cs="宋体"/>
          <w:bCs/>
          <w:color w:val="auto"/>
          <w:sz w:val="44"/>
          <w:szCs w:val="44"/>
          <w:highlight w:val="none"/>
        </w:rPr>
      </w:pPr>
      <w:r>
        <w:rPr>
          <w:rFonts w:hint="eastAsia" w:ascii="宋体" w:hAnsi="宋体" w:cs="宋体"/>
          <w:bCs/>
          <w:color w:val="auto"/>
          <w:sz w:val="44"/>
          <w:szCs w:val="44"/>
          <w:highlight w:val="none"/>
        </w:rPr>
        <w:br w:type="page"/>
      </w:r>
      <w:r>
        <w:rPr>
          <w:rFonts w:hint="eastAsia" w:ascii="宋体" w:hAnsi="宋体" w:cs="宋体"/>
          <w:bCs/>
          <w:color w:val="auto"/>
          <w:sz w:val="44"/>
          <w:szCs w:val="44"/>
          <w:highlight w:val="none"/>
        </w:rPr>
        <w:t>技术要求偏离表</w:t>
      </w:r>
    </w:p>
    <w:p>
      <w:pPr>
        <w:spacing w:line="520" w:lineRule="exact"/>
        <w:rPr>
          <w:rFonts w:ascii="宋体" w:hAnsi="宋体" w:cs="宋体"/>
          <w:color w:val="auto"/>
          <w:sz w:val="32"/>
          <w:szCs w:val="32"/>
          <w:highlight w:val="none"/>
        </w:rPr>
      </w:pPr>
    </w:p>
    <w:p>
      <w:pPr>
        <w:spacing w:line="360" w:lineRule="auto"/>
        <w:contextualSpacing/>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single"/>
        </w:rPr>
        <w:t xml:space="preserve">                 </w:t>
      </w:r>
    </w:p>
    <w:p>
      <w:pPr>
        <w:spacing w:line="360" w:lineRule="auto"/>
        <w:contextualSpacing/>
        <w:rPr>
          <w:rFonts w:ascii="宋体" w:hAnsi="宋体" w:cs="宋体"/>
          <w:color w:val="auto"/>
          <w:sz w:val="24"/>
          <w:highlight w:val="none"/>
        </w:rPr>
      </w:pPr>
      <w:r>
        <w:rPr>
          <w:rFonts w:hint="eastAsia" w:ascii="宋体" w:hAnsi="宋体" w:cs="宋体"/>
          <w:color w:val="auto"/>
          <w:sz w:val="24"/>
          <w:highlight w:val="none"/>
        </w:rPr>
        <w:t>采购项目名称：</w:t>
      </w:r>
      <w:r>
        <w:rPr>
          <w:rFonts w:hint="eastAsia" w:ascii="宋体" w:hAnsi="宋体" w:cs="宋体"/>
          <w:color w:val="auto"/>
          <w:sz w:val="24"/>
          <w:highlight w:val="none"/>
          <w:u w:val="single"/>
        </w:rPr>
        <w:t xml:space="preserve">                 </w:t>
      </w:r>
    </w:p>
    <w:p>
      <w:pPr>
        <w:spacing w:line="360" w:lineRule="auto"/>
        <w:contextualSpacing/>
        <w:rPr>
          <w:rFonts w:ascii="宋体" w:hAnsi="宋体" w:cs="宋体"/>
          <w:color w:val="auto"/>
          <w:sz w:val="24"/>
          <w:highlight w:val="none"/>
          <w:u w:val="single"/>
        </w:rPr>
      </w:pPr>
      <w:r>
        <w:rPr>
          <w:rFonts w:hint="eastAsia" w:ascii="宋体" w:hAnsi="宋体" w:cs="宋体"/>
          <w:color w:val="auto"/>
          <w:sz w:val="24"/>
          <w:highlight w:val="none"/>
        </w:rPr>
        <w:t>分标号：</w:t>
      </w:r>
      <w:r>
        <w:rPr>
          <w:rFonts w:hint="eastAsia" w:ascii="宋体" w:hAnsi="宋体" w:cs="宋体"/>
          <w:color w:val="auto"/>
          <w:sz w:val="24"/>
          <w:highlight w:val="none"/>
          <w:u w:val="single"/>
        </w:rPr>
        <w:t xml:space="preserve">                       </w:t>
      </w:r>
    </w:p>
    <w:tbl>
      <w:tblPr>
        <w:tblStyle w:val="30"/>
        <w:tblW w:w="5000"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1014"/>
        <w:gridCol w:w="1014"/>
        <w:gridCol w:w="3368"/>
        <w:gridCol w:w="3031"/>
        <w:gridCol w:w="165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03" w:type="pct"/>
            <w:vAlign w:val="center"/>
          </w:tcPr>
          <w:p>
            <w:pPr>
              <w:pStyle w:val="16"/>
              <w:spacing w:line="360" w:lineRule="auto"/>
              <w:ind w:firstLine="0" w:firstLineChars="0"/>
              <w:contextualSpacing/>
              <w:jc w:val="center"/>
              <w:rPr>
                <w:rFonts w:ascii="宋体" w:hAnsi="宋体" w:eastAsia="宋体" w:cs="宋体"/>
                <w:color w:val="auto"/>
                <w:kern w:val="2"/>
                <w:sz w:val="24"/>
                <w:szCs w:val="24"/>
                <w:highlight w:val="none"/>
              </w:rPr>
            </w:pPr>
            <w:bookmarkStart w:id="65" w:name="_Toc173066401"/>
            <w:bookmarkStart w:id="66" w:name="_Toc373333689"/>
            <w:bookmarkStart w:id="67" w:name="_Toc173211900"/>
            <w:bookmarkStart w:id="68" w:name="_Toc301781611"/>
            <w:bookmarkStart w:id="69" w:name="_Toc254970588"/>
            <w:bookmarkStart w:id="70" w:name="_Toc295404981"/>
            <w:bookmarkStart w:id="71" w:name="_Toc297193185"/>
            <w:bookmarkStart w:id="72" w:name="_Toc383699906"/>
            <w:bookmarkStart w:id="73" w:name="_Toc254970729"/>
            <w:r>
              <w:rPr>
                <w:rFonts w:hint="eastAsia" w:ascii="宋体" w:hAnsi="宋体" w:eastAsia="宋体" w:cs="宋体"/>
                <w:color w:val="auto"/>
                <w:kern w:val="2"/>
                <w:sz w:val="24"/>
                <w:szCs w:val="24"/>
                <w:highlight w:val="none"/>
              </w:rPr>
              <w:t>序号</w:t>
            </w:r>
            <w:bookmarkEnd w:id="65"/>
            <w:bookmarkEnd w:id="66"/>
            <w:bookmarkEnd w:id="67"/>
            <w:bookmarkEnd w:id="68"/>
            <w:bookmarkEnd w:id="69"/>
            <w:bookmarkEnd w:id="70"/>
            <w:bookmarkEnd w:id="71"/>
            <w:bookmarkEnd w:id="72"/>
            <w:bookmarkEnd w:id="73"/>
          </w:p>
        </w:tc>
        <w:tc>
          <w:tcPr>
            <w:tcW w:w="503" w:type="pct"/>
            <w:tcBorders>
              <w:right w:val="single" w:color="auto" w:sz="4" w:space="0"/>
            </w:tcBorders>
            <w:vAlign w:val="center"/>
          </w:tcPr>
          <w:p>
            <w:pPr>
              <w:pStyle w:val="16"/>
              <w:spacing w:line="360" w:lineRule="auto"/>
              <w:ind w:firstLine="0" w:firstLineChars="0"/>
              <w:contextualSpacing/>
              <w:jc w:val="center"/>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名称</w:t>
            </w:r>
          </w:p>
        </w:tc>
        <w:tc>
          <w:tcPr>
            <w:tcW w:w="1670" w:type="pct"/>
            <w:tcBorders>
              <w:left w:val="single" w:color="auto" w:sz="4" w:space="0"/>
            </w:tcBorders>
            <w:vAlign w:val="center"/>
          </w:tcPr>
          <w:p>
            <w:pPr>
              <w:pStyle w:val="16"/>
              <w:spacing w:line="360" w:lineRule="auto"/>
              <w:ind w:firstLine="0" w:firstLineChars="0"/>
              <w:contextualSpacing/>
              <w:jc w:val="center"/>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磋商文件技术要求</w:t>
            </w:r>
          </w:p>
        </w:tc>
        <w:tc>
          <w:tcPr>
            <w:tcW w:w="1503" w:type="pct"/>
            <w:vAlign w:val="center"/>
          </w:tcPr>
          <w:p>
            <w:pPr>
              <w:pStyle w:val="16"/>
              <w:spacing w:line="360" w:lineRule="auto"/>
              <w:ind w:firstLine="0" w:firstLineChars="0"/>
              <w:contextualSpacing/>
              <w:jc w:val="center"/>
              <w:rPr>
                <w:rFonts w:ascii="宋体" w:hAnsi="宋体" w:eastAsia="宋体" w:cs="宋体"/>
                <w:color w:val="auto"/>
                <w:kern w:val="2"/>
                <w:sz w:val="24"/>
                <w:szCs w:val="24"/>
                <w:highlight w:val="none"/>
              </w:rPr>
            </w:pPr>
            <w:bookmarkStart w:id="74" w:name="_Toc301781613"/>
            <w:bookmarkStart w:id="75" w:name="_Toc173066403"/>
            <w:bookmarkStart w:id="76" w:name="_Toc373333691"/>
            <w:bookmarkStart w:id="77" w:name="_Toc254970731"/>
            <w:bookmarkStart w:id="78" w:name="_Toc297193187"/>
            <w:bookmarkStart w:id="79" w:name="_Toc383699908"/>
            <w:bookmarkStart w:id="80" w:name="_Toc295404983"/>
            <w:bookmarkStart w:id="81" w:name="_Toc254970590"/>
            <w:bookmarkStart w:id="82" w:name="_Toc173211902"/>
            <w:r>
              <w:rPr>
                <w:rFonts w:hint="eastAsia" w:ascii="宋体" w:hAnsi="宋体" w:eastAsia="宋体" w:cs="宋体"/>
                <w:color w:val="auto"/>
                <w:kern w:val="2"/>
                <w:sz w:val="24"/>
                <w:szCs w:val="24"/>
                <w:highlight w:val="none"/>
              </w:rPr>
              <w:t>竞标响应</w:t>
            </w:r>
            <w:bookmarkEnd w:id="74"/>
            <w:bookmarkEnd w:id="75"/>
            <w:bookmarkEnd w:id="76"/>
            <w:bookmarkEnd w:id="77"/>
            <w:bookmarkEnd w:id="78"/>
            <w:bookmarkEnd w:id="79"/>
            <w:bookmarkEnd w:id="80"/>
            <w:bookmarkEnd w:id="81"/>
            <w:bookmarkEnd w:id="82"/>
          </w:p>
        </w:tc>
        <w:tc>
          <w:tcPr>
            <w:tcW w:w="820" w:type="pct"/>
            <w:vAlign w:val="center"/>
          </w:tcPr>
          <w:p>
            <w:pPr>
              <w:pStyle w:val="16"/>
              <w:spacing w:line="360" w:lineRule="auto"/>
              <w:ind w:firstLine="0" w:firstLineChars="0"/>
              <w:contextualSpacing/>
              <w:jc w:val="center"/>
              <w:rPr>
                <w:rFonts w:ascii="宋体" w:hAnsi="宋体" w:eastAsia="宋体" w:cs="宋体"/>
                <w:color w:val="auto"/>
                <w:kern w:val="2"/>
                <w:sz w:val="24"/>
                <w:szCs w:val="24"/>
                <w:highlight w:val="none"/>
              </w:rPr>
            </w:pPr>
            <w:bookmarkStart w:id="83" w:name="_Toc254970591"/>
            <w:bookmarkStart w:id="84" w:name="_Toc301781614"/>
            <w:bookmarkStart w:id="85" w:name="_Toc254970732"/>
            <w:bookmarkStart w:id="86" w:name="_Toc373333692"/>
            <w:bookmarkStart w:id="87" w:name="_Toc173066404"/>
            <w:bookmarkStart w:id="88" w:name="_Toc173211903"/>
            <w:bookmarkStart w:id="89" w:name="_Toc383699909"/>
            <w:bookmarkStart w:id="90" w:name="_Toc297193188"/>
            <w:bookmarkStart w:id="91" w:name="_Toc295404984"/>
            <w:r>
              <w:rPr>
                <w:rFonts w:hint="eastAsia" w:ascii="宋体" w:hAnsi="宋体" w:eastAsia="宋体" w:cs="宋体"/>
                <w:color w:val="auto"/>
                <w:kern w:val="2"/>
                <w:sz w:val="24"/>
                <w:szCs w:val="24"/>
                <w:highlight w:val="none"/>
              </w:rPr>
              <w:t>偏离</w:t>
            </w:r>
            <w:bookmarkEnd w:id="83"/>
            <w:bookmarkEnd w:id="84"/>
            <w:bookmarkEnd w:id="85"/>
            <w:bookmarkEnd w:id="86"/>
            <w:bookmarkEnd w:id="87"/>
            <w:bookmarkEnd w:id="88"/>
            <w:bookmarkEnd w:id="89"/>
            <w:bookmarkEnd w:id="90"/>
            <w:bookmarkEnd w:id="91"/>
            <w:bookmarkStart w:id="92" w:name="_Toc301781615"/>
            <w:bookmarkStart w:id="93" w:name="_Toc295404985"/>
            <w:bookmarkStart w:id="94" w:name="_Toc173211904"/>
            <w:bookmarkStart w:id="95" w:name="_Toc373333693"/>
            <w:bookmarkStart w:id="96" w:name="_Toc173066405"/>
            <w:bookmarkStart w:id="97" w:name="_Toc254970592"/>
            <w:bookmarkStart w:id="98" w:name="_Toc297193189"/>
            <w:bookmarkStart w:id="99" w:name="_Toc254970733"/>
            <w:bookmarkStart w:id="100" w:name="_Toc383699910"/>
            <w:r>
              <w:rPr>
                <w:rFonts w:hint="eastAsia" w:ascii="宋体" w:hAnsi="宋体" w:eastAsia="宋体" w:cs="宋体"/>
                <w:color w:val="auto"/>
                <w:kern w:val="2"/>
                <w:sz w:val="24"/>
                <w:szCs w:val="24"/>
                <w:highlight w:val="none"/>
              </w:rPr>
              <w:t>说明</w:t>
            </w:r>
            <w:bookmarkEnd w:id="92"/>
            <w:bookmarkEnd w:id="93"/>
            <w:bookmarkEnd w:id="94"/>
            <w:bookmarkEnd w:id="95"/>
            <w:bookmarkEnd w:id="96"/>
            <w:bookmarkEnd w:id="97"/>
            <w:bookmarkEnd w:id="98"/>
            <w:bookmarkEnd w:id="99"/>
            <w:bookmarkEnd w:id="100"/>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03" w:type="pct"/>
            <w:vAlign w:val="center"/>
          </w:tcPr>
          <w:p>
            <w:pPr>
              <w:pStyle w:val="16"/>
              <w:spacing w:line="360" w:lineRule="auto"/>
              <w:ind w:firstLine="0" w:firstLineChars="0"/>
              <w:contextualSpacing/>
              <w:jc w:val="center"/>
              <w:rPr>
                <w:rFonts w:ascii="宋体" w:hAnsi="宋体" w:eastAsia="宋体" w:cs="宋体"/>
                <w:color w:val="auto"/>
                <w:kern w:val="2"/>
                <w:sz w:val="24"/>
                <w:szCs w:val="24"/>
                <w:highlight w:val="none"/>
              </w:rPr>
            </w:pPr>
            <w:bookmarkStart w:id="101" w:name="_Toc173066406"/>
            <w:bookmarkStart w:id="102" w:name="_Toc254970734"/>
            <w:bookmarkStart w:id="103" w:name="_Toc373333694"/>
            <w:bookmarkStart w:id="104" w:name="_Toc295404986"/>
            <w:bookmarkStart w:id="105" w:name="_Toc301781616"/>
            <w:bookmarkStart w:id="106" w:name="_Toc297193190"/>
            <w:bookmarkStart w:id="107" w:name="_Toc173211905"/>
            <w:bookmarkStart w:id="108" w:name="_Toc383699911"/>
            <w:bookmarkStart w:id="109" w:name="_Toc254970593"/>
            <w:r>
              <w:rPr>
                <w:rFonts w:hint="eastAsia" w:ascii="宋体" w:hAnsi="宋体" w:eastAsia="宋体" w:cs="宋体"/>
                <w:color w:val="auto"/>
                <w:kern w:val="2"/>
                <w:sz w:val="24"/>
                <w:szCs w:val="24"/>
                <w:highlight w:val="none"/>
              </w:rPr>
              <w:t>1</w:t>
            </w:r>
            <w:bookmarkEnd w:id="101"/>
            <w:bookmarkEnd w:id="102"/>
            <w:bookmarkEnd w:id="103"/>
            <w:bookmarkEnd w:id="104"/>
            <w:bookmarkEnd w:id="105"/>
            <w:bookmarkEnd w:id="106"/>
            <w:bookmarkEnd w:id="107"/>
            <w:bookmarkEnd w:id="108"/>
            <w:bookmarkEnd w:id="109"/>
          </w:p>
        </w:tc>
        <w:tc>
          <w:tcPr>
            <w:tcW w:w="503" w:type="pct"/>
            <w:tcBorders>
              <w:right w:val="single" w:color="auto" w:sz="4" w:space="0"/>
            </w:tcBorders>
            <w:vAlign w:val="center"/>
          </w:tcPr>
          <w:p>
            <w:pPr>
              <w:pStyle w:val="16"/>
              <w:spacing w:line="360" w:lineRule="auto"/>
              <w:ind w:firstLine="0" w:firstLineChars="0"/>
              <w:contextualSpacing/>
              <w:jc w:val="center"/>
              <w:rPr>
                <w:rFonts w:ascii="宋体" w:hAnsi="宋体" w:eastAsia="宋体" w:cs="宋体"/>
                <w:color w:val="auto"/>
                <w:kern w:val="2"/>
                <w:sz w:val="24"/>
                <w:szCs w:val="24"/>
                <w:highlight w:val="none"/>
              </w:rPr>
            </w:pPr>
          </w:p>
        </w:tc>
        <w:tc>
          <w:tcPr>
            <w:tcW w:w="1670" w:type="pct"/>
            <w:tcBorders>
              <w:left w:val="single" w:color="auto" w:sz="4" w:space="0"/>
            </w:tcBorders>
            <w:vAlign w:val="center"/>
          </w:tcPr>
          <w:p>
            <w:pPr>
              <w:pStyle w:val="16"/>
              <w:spacing w:line="360" w:lineRule="auto"/>
              <w:ind w:firstLine="0" w:firstLineChars="0"/>
              <w:contextualSpacing/>
              <w:jc w:val="center"/>
              <w:rPr>
                <w:rFonts w:ascii="宋体" w:hAnsi="宋体" w:eastAsia="宋体" w:cs="宋体"/>
                <w:color w:val="auto"/>
                <w:kern w:val="2"/>
                <w:sz w:val="24"/>
                <w:szCs w:val="24"/>
                <w:highlight w:val="none"/>
              </w:rPr>
            </w:pPr>
          </w:p>
        </w:tc>
        <w:tc>
          <w:tcPr>
            <w:tcW w:w="1503" w:type="pct"/>
            <w:vAlign w:val="center"/>
          </w:tcPr>
          <w:p>
            <w:pPr>
              <w:pStyle w:val="16"/>
              <w:spacing w:line="360" w:lineRule="auto"/>
              <w:ind w:firstLine="0" w:firstLineChars="0"/>
              <w:contextualSpacing/>
              <w:jc w:val="center"/>
              <w:rPr>
                <w:rFonts w:ascii="宋体" w:hAnsi="宋体" w:eastAsia="宋体" w:cs="宋体"/>
                <w:color w:val="auto"/>
                <w:kern w:val="2"/>
                <w:sz w:val="24"/>
                <w:szCs w:val="24"/>
                <w:highlight w:val="none"/>
              </w:rPr>
            </w:pPr>
          </w:p>
        </w:tc>
        <w:tc>
          <w:tcPr>
            <w:tcW w:w="820" w:type="pct"/>
            <w:vAlign w:val="center"/>
          </w:tcPr>
          <w:p>
            <w:pPr>
              <w:pStyle w:val="16"/>
              <w:spacing w:line="360" w:lineRule="auto"/>
              <w:ind w:firstLine="0" w:firstLineChars="0"/>
              <w:contextualSpacing/>
              <w:jc w:val="center"/>
              <w:rPr>
                <w:rFonts w:ascii="宋体" w:hAnsi="宋体" w:eastAsia="宋体" w:cs="宋体"/>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03" w:type="pct"/>
            <w:vAlign w:val="center"/>
          </w:tcPr>
          <w:p>
            <w:pPr>
              <w:pStyle w:val="16"/>
              <w:spacing w:line="360" w:lineRule="auto"/>
              <w:ind w:firstLine="0" w:firstLineChars="0"/>
              <w:contextualSpacing/>
              <w:jc w:val="center"/>
              <w:rPr>
                <w:rFonts w:ascii="宋体" w:hAnsi="宋体" w:eastAsia="宋体" w:cs="宋体"/>
                <w:color w:val="auto"/>
                <w:kern w:val="2"/>
                <w:sz w:val="24"/>
                <w:szCs w:val="24"/>
                <w:highlight w:val="none"/>
              </w:rPr>
            </w:pPr>
            <w:bookmarkStart w:id="110" w:name="_Toc254970735"/>
            <w:bookmarkStart w:id="111" w:name="_Toc173066407"/>
            <w:bookmarkStart w:id="112" w:name="_Toc297193191"/>
            <w:bookmarkStart w:id="113" w:name="_Toc173211906"/>
            <w:bookmarkStart w:id="114" w:name="_Toc301781617"/>
            <w:bookmarkStart w:id="115" w:name="_Toc383699912"/>
            <w:bookmarkStart w:id="116" w:name="_Toc254970594"/>
            <w:bookmarkStart w:id="117" w:name="_Toc295404987"/>
            <w:bookmarkStart w:id="118" w:name="_Toc373333695"/>
            <w:r>
              <w:rPr>
                <w:rFonts w:hint="eastAsia" w:ascii="宋体" w:hAnsi="宋体" w:eastAsia="宋体" w:cs="宋体"/>
                <w:color w:val="auto"/>
                <w:kern w:val="2"/>
                <w:sz w:val="24"/>
                <w:szCs w:val="24"/>
                <w:highlight w:val="none"/>
              </w:rPr>
              <w:t>2</w:t>
            </w:r>
            <w:bookmarkEnd w:id="110"/>
            <w:bookmarkEnd w:id="111"/>
            <w:bookmarkEnd w:id="112"/>
            <w:bookmarkEnd w:id="113"/>
            <w:bookmarkEnd w:id="114"/>
            <w:bookmarkEnd w:id="115"/>
            <w:bookmarkEnd w:id="116"/>
            <w:bookmarkEnd w:id="117"/>
            <w:bookmarkEnd w:id="118"/>
          </w:p>
        </w:tc>
        <w:tc>
          <w:tcPr>
            <w:tcW w:w="503" w:type="pct"/>
            <w:tcBorders>
              <w:right w:val="single" w:color="auto" w:sz="4" w:space="0"/>
            </w:tcBorders>
            <w:vAlign w:val="center"/>
          </w:tcPr>
          <w:p>
            <w:pPr>
              <w:pStyle w:val="16"/>
              <w:spacing w:line="360" w:lineRule="auto"/>
              <w:ind w:firstLine="0" w:firstLineChars="0"/>
              <w:contextualSpacing/>
              <w:jc w:val="center"/>
              <w:rPr>
                <w:rFonts w:ascii="宋体" w:hAnsi="宋体" w:eastAsia="宋体" w:cs="宋体"/>
                <w:color w:val="auto"/>
                <w:kern w:val="2"/>
                <w:sz w:val="24"/>
                <w:szCs w:val="24"/>
                <w:highlight w:val="none"/>
              </w:rPr>
            </w:pPr>
          </w:p>
        </w:tc>
        <w:tc>
          <w:tcPr>
            <w:tcW w:w="1670" w:type="pct"/>
            <w:tcBorders>
              <w:left w:val="single" w:color="auto" w:sz="4" w:space="0"/>
            </w:tcBorders>
            <w:vAlign w:val="center"/>
          </w:tcPr>
          <w:p>
            <w:pPr>
              <w:pStyle w:val="16"/>
              <w:spacing w:line="360" w:lineRule="auto"/>
              <w:ind w:firstLine="0" w:firstLineChars="0"/>
              <w:contextualSpacing/>
              <w:jc w:val="center"/>
              <w:rPr>
                <w:rFonts w:ascii="宋体" w:hAnsi="宋体" w:eastAsia="宋体" w:cs="宋体"/>
                <w:color w:val="auto"/>
                <w:kern w:val="2"/>
                <w:sz w:val="24"/>
                <w:szCs w:val="24"/>
                <w:highlight w:val="none"/>
              </w:rPr>
            </w:pPr>
          </w:p>
        </w:tc>
        <w:tc>
          <w:tcPr>
            <w:tcW w:w="1503" w:type="pct"/>
            <w:vAlign w:val="center"/>
          </w:tcPr>
          <w:p>
            <w:pPr>
              <w:pStyle w:val="16"/>
              <w:spacing w:line="360" w:lineRule="auto"/>
              <w:ind w:firstLine="0" w:firstLineChars="0"/>
              <w:contextualSpacing/>
              <w:jc w:val="center"/>
              <w:rPr>
                <w:rFonts w:ascii="宋体" w:hAnsi="宋体" w:eastAsia="宋体" w:cs="宋体"/>
                <w:color w:val="auto"/>
                <w:kern w:val="2"/>
                <w:sz w:val="24"/>
                <w:szCs w:val="24"/>
                <w:highlight w:val="none"/>
              </w:rPr>
            </w:pPr>
          </w:p>
        </w:tc>
        <w:tc>
          <w:tcPr>
            <w:tcW w:w="820" w:type="pct"/>
            <w:vAlign w:val="center"/>
          </w:tcPr>
          <w:p>
            <w:pPr>
              <w:pStyle w:val="16"/>
              <w:spacing w:line="360" w:lineRule="auto"/>
              <w:ind w:firstLine="0" w:firstLineChars="0"/>
              <w:contextualSpacing/>
              <w:jc w:val="center"/>
              <w:rPr>
                <w:rFonts w:ascii="宋体" w:hAnsi="宋体" w:eastAsia="宋体" w:cs="宋体"/>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03" w:type="pct"/>
            <w:vAlign w:val="center"/>
          </w:tcPr>
          <w:p>
            <w:pPr>
              <w:pStyle w:val="16"/>
              <w:spacing w:line="360" w:lineRule="auto"/>
              <w:ind w:firstLine="0" w:firstLineChars="0"/>
              <w:contextualSpacing/>
              <w:jc w:val="center"/>
              <w:rPr>
                <w:rFonts w:ascii="宋体" w:hAnsi="宋体" w:eastAsia="宋体" w:cs="宋体"/>
                <w:color w:val="auto"/>
                <w:kern w:val="2"/>
                <w:sz w:val="24"/>
                <w:szCs w:val="24"/>
                <w:highlight w:val="none"/>
              </w:rPr>
            </w:pPr>
            <w:bookmarkStart w:id="119" w:name="_Toc254970736"/>
            <w:bookmarkStart w:id="120" w:name="_Toc254970595"/>
            <w:bookmarkStart w:id="121" w:name="_Toc373333696"/>
            <w:bookmarkStart w:id="122" w:name="_Toc301781618"/>
            <w:bookmarkStart w:id="123" w:name="_Toc173211907"/>
            <w:bookmarkStart w:id="124" w:name="_Toc297193192"/>
            <w:bookmarkStart w:id="125" w:name="_Toc173066408"/>
            <w:bookmarkStart w:id="126" w:name="_Toc383699913"/>
            <w:bookmarkStart w:id="127" w:name="_Toc295404988"/>
            <w:r>
              <w:rPr>
                <w:rFonts w:hint="eastAsia" w:ascii="宋体" w:hAnsi="宋体" w:eastAsia="宋体" w:cs="宋体"/>
                <w:color w:val="auto"/>
                <w:kern w:val="2"/>
                <w:sz w:val="24"/>
                <w:szCs w:val="24"/>
                <w:highlight w:val="none"/>
              </w:rPr>
              <w:t>3</w:t>
            </w:r>
            <w:bookmarkEnd w:id="119"/>
            <w:bookmarkEnd w:id="120"/>
            <w:bookmarkEnd w:id="121"/>
            <w:bookmarkEnd w:id="122"/>
            <w:bookmarkEnd w:id="123"/>
            <w:bookmarkEnd w:id="124"/>
            <w:bookmarkEnd w:id="125"/>
            <w:bookmarkEnd w:id="126"/>
            <w:bookmarkEnd w:id="127"/>
          </w:p>
        </w:tc>
        <w:tc>
          <w:tcPr>
            <w:tcW w:w="503" w:type="pct"/>
            <w:tcBorders>
              <w:right w:val="single" w:color="auto" w:sz="4" w:space="0"/>
            </w:tcBorders>
            <w:vAlign w:val="center"/>
          </w:tcPr>
          <w:p>
            <w:pPr>
              <w:pStyle w:val="16"/>
              <w:spacing w:line="360" w:lineRule="auto"/>
              <w:ind w:firstLine="0" w:firstLineChars="0"/>
              <w:contextualSpacing/>
              <w:jc w:val="center"/>
              <w:rPr>
                <w:rFonts w:ascii="宋体" w:hAnsi="宋体" w:eastAsia="宋体" w:cs="宋体"/>
                <w:color w:val="auto"/>
                <w:kern w:val="2"/>
                <w:sz w:val="24"/>
                <w:szCs w:val="24"/>
                <w:highlight w:val="none"/>
              </w:rPr>
            </w:pPr>
          </w:p>
        </w:tc>
        <w:tc>
          <w:tcPr>
            <w:tcW w:w="1670" w:type="pct"/>
            <w:tcBorders>
              <w:left w:val="single" w:color="auto" w:sz="4" w:space="0"/>
            </w:tcBorders>
            <w:vAlign w:val="center"/>
          </w:tcPr>
          <w:p>
            <w:pPr>
              <w:pStyle w:val="16"/>
              <w:spacing w:line="360" w:lineRule="auto"/>
              <w:ind w:firstLine="0" w:firstLineChars="0"/>
              <w:contextualSpacing/>
              <w:jc w:val="center"/>
              <w:rPr>
                <w:rFonts w:ascii="宋体" w:hAnsi="宋体" w:eastAsia="宋体" w:cs="宋体"/>
                <w:color w:val="auto"/>
                <w:kern w:val="2"/>
                <w:sz w:val="24"/>
                <w:szCs w:val="24"/>
                <w:highlight w:val="none"/>
              </w:rPr>
            </w:pPr>
          </w:p>
        </w:tc>
        <w:tc>
          <w:tcPr>
            <w:tcW w:w="1503" w:type="pct"/>
            <w:vAlign w:val="center"/>
          </w:tcPr>
          <w:p>
            <w:pPr>
              <w:pStyle w:val="16"/>
              <w:spacing w:line="360" w:lineRule="auto"/>
              <w:ind w:firstLine="0" w:firstLineChars="0"/>
              <w:contextualSpacing/>
              <w:jc w:val="center"/>
              <w:rPr>
                <w:rFonts w:ascii="宋体" w:hAnsi="宋体" w:eastAsia="宋体" w:cs="宋体"/>
                <w:color w:val="auto"/>
                <w:kern w:val="2"/>
                <w:sz w:val="24"/>
                <w:szCs w:val="24"/>
                <w:highlight w:val="none"/>
              </w:rPr>
            </w:pPr>
          </w:p>
        </w:tc>
        <w:tc>
          <w:tcPr>
            <w:tcW w:w="820" w:type="pct"/>
            <w:vAlign w:val="center"/>
          </w:tcPr>
          <w:p>
            <w:pPr>
              <w:pStyle w:val="16"/>
              <w:spacing w:line="360" w:lineRule="auto"/>
              <w:ind w:firstLine="0" w:firstLineChars="0"/>
              <w:contextualSpacing/>
              <w:jc w:val="center"/>
              <w:rPr>
                <w:rFonts w:ascii="宋体" w:hAnsi="宋体" w:eastAsia="宋体" w:cs="宋体"/>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03" w:type="pct"/>
            <w:vAlign w:val="center"/>
          </w:tcPr>
          <w:p>
            <w:pPr>
              <w:pStyle w:val="16"/>
              <w:spacing w:line="360" w:lineRule="auto"/>
              <w:ind w:firstLine="0" w:firstLineChars="0"/>
              <w:contextualSpacing/>
              <w:jc w:val="center"/>
              <w:rPr>
                <w:rFonts w:ascii="宋体" w:hAnsi="宋体" w:eastAsia="宋体" w:cs="宋体"/>
                <w:color w:val="auto"/>
                <w:kern w:val="2"/>
                <w:sz w:val="24"/>
                <w:szCs w:val="24"/>
                <w:highlight w:val="none"/>
              </w:rPr>
            </w:pPr>
            <w:bookmarkStart w:id="128" w:name="_Toc301781619"/>
            <w:bookmarkStart w:id="129" w:name="_Toc373333697"/>
            <w:bookmarkStart w:id="130" w:name="_Toc173211908"/>
            <w:bookmarkStart w:id="131" w:name="_Toc383699914"/>
            <w:bookmarkStart w:id="132" w:name="_Toc173066409"/>
            <w:bookmarkStart w:id="133" w:name="_Toc295404989"/>
            <w:bookmarkStart w:id="134" w:name="_Toc254970596"/>
            <w:bookmarkStart w:id="135" w:name="_Toc297193193"/>
            <w:bookmarkStart w:id="136" w:name="_Toc254970737"/>
            <w:r>
              <w:rPr>
                <w:rFonts w:hint="eastAsia" w:ascii="宋体" w:hAnsi="宋体" w:eastAsia="宋体" w:cs="宋体"/>
                <w:color w:val="auto"/>
                <w:kern w:val="2"/>
                <w:sz w:val="24"/>
                <w:szCs w:val="24"/>
                <w:highlight w:val="none"/>
              </w:rPr>
              <w:t>4</w:t>
            </w:r>
            <w:bookmarkEnd w:id="128"/>
            <w:bookmarkEnd w:id="129"/>
            <w:bookmarkEnd w:id="130"/>
            <w:bookmarkEnd w:id="131"/>
            <w:bookmarkEnd w:id="132"/>
            <w:bookmarkEnd w:id="133"/>
            <w:bookmarkEnd w:id="134"/>
            <w:bookmarkEnd w:id="135"/>
            <w:bookmarkEnd w:id="136"/>
          </w:p>
        </w:tc>
        <w:tc>
          <w:tcPr>
            <w:tcW w:w="503" w:type="pct"/>
            <w:tcBorders>
              <w:right w:val="single" w:color="auto" w:sz="4" w:space="0"/>
            </w:tcBorders>
            <w:vAlign w:val="center"/>
          </w:tcPr>
          <w:p>
            <w:pPr>
              <w:pStyle w:val="16"/>
              <w:spacing w:line="360" w:lineRule="auto"/>
              <w:ind w:firstLine="0" w:firstLineChars="0"/>
              <w:contextualSpacing/>
              <w:jc w:val="center"/>
              <w:rPr>
                <w:rFonts w:ascii="宋体" w:hAnsi="宋体" w:eastAsia="宋体" w:cs="宋体"/>
                <w:color w:val="auto"/>
                <w:kern w:val="2"/>
                <w:sz w:val="24"/>
                <w:szCs w:val="24"/>
                <w:highlight w:val="none"/>
              </w:rPr>
            </w:pPr>
          </w:p>
        </w:tc>
        <w:tc>
          <w:tcPr>
            <w:tcW w:w="1670" w:type="pct"/>
            <w:tcBorders>
              <w:left w:val="single" w:color="auto" w:sz="4" w:space="0"/>
            </w:tcBorders>
            <w:vAlign w:val="center"/>
          </w:tcPr>
          <w:p>
            <w:pPr>
              <w:pStyle w:val="16"/>
              <w:spacing w:line="360" w:lineRule="auto"/>
              <w:ind w:firstLine="0" w:firstLineChars="0"/>
              <w:contextualSpacing/>
              <w:jc w:val="center"/>
              <w:rPr>
                <w:rFonts w:ascii="宋体" w:hAnsi="宋体" w:eastAsia="宋体" w:cs="宋体"/>
                <w:color w:val="auto"/>
                <w:kern w:val="2"/>
                <w:sz w:val="24"/>
                <w:szCs w:val="24"/>
                <w:highlight w:val="none"/>
              </w:rPr>
            </w:pPr>
          </w:p>
        </w:tc>
        <w:tc>
          <w:tcPr>
            <w:tcW w:w="1503" w:type="pct"/>
            <w:vAlign w:val="center"/>
          </w:tcPr>
          <w:p>
            <w:pPr>
              <w:pStyle w:val="16"/>
              <w:spacing w:line="360" w:lineRule="auto"/>
              <w:ind w:firstLine="0" w:firstLineChars="0"/>
              <w:contextualSpacing/>
              <w:jc w:val="center"/>
              <w:rPr>
                <w:rFonts w:ascii="宋体" w:hAnsi="宋体" w:eastAsia="宋体" w:cs="宋体"/>
                <w:color w:val="auto"/>
                <w:kern w:val="2"/>
                <w:sz w:val="24"/>
                <w:szCs w:val="24"/>
                <w:highlight w:val="none"/>
              </w:rPr>
            </w:pPr>
          </w:p>
        </w:tc>
        <w:tc>
          <w:tcPr>
            <w:tcW w:w="820" w:type="pct"/>
            <w:vAlign w:val="center"/>
          </w:tcPr>
          <w:p>
            <w:pPr>
              <w:pStyle w:val="16"/>
              <w:spacing w:line="360" w:lineRule="auto"/>
              <w:ind w:firstLine="0" w:firstLineChars="0"/>
              <w:contextualSpacing/>
              <w:jc w:val="center"/>
              <w:rPr>
                <w:rFonts w:ascii="宋体" w:hAnsi="宋体" w:eastAsia="宋体" w:cs="宋体"/>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03" w:type="pct"/>
            <w:vAlign w:val="center"/>
          </w:tcPr>
          <w:p>
            <w:pPr>
              <w:pStyle w:val="16"/>
              <w:spacing w:line="360" w:lineRule="auto"/>
              <w:ind w:firstLine="0" w:firstLineChars="0"/>
              <w:contextualSpacing/>
              <w:jc w:val="center"/>
              <w:rPr>
                <w:rFonts w:ascii="宋体" w:hAnsi="宋体" w:eastAsia="宋体" w:cs="宋体"/>
                <w:color w:val="auto"/>
                <w:kern w:val="2"/>
                <w:sz w:val="24"/>
                <w:szCs w:val="24"/>
                <w:highlight w:val="none"/>
              </w:rPr>
            </w:pPr>
            <w:bookmarkStart w:id="137" w:name="_Toc373333698"/>
            <w:bookmarkStart w:id="138" w:name="_Toc173066410"/>
            <w:bookmarkStart w:id="139" w:name="_Toc254970738"/>
            <w:bookmarkStart w:id="140" w:name="_Toc301781620"/>
            <w:bookmarkStart w:id="141" w:name="_Toc383699915"/>
            <w:bookmarkStart w:id="142" w:name="_Toc295404990"/>
            <w:bookmarkStart w:id="143" w:name="_Toc173211909"/>
            <w:bookmarkStart w:id="144" w:name="_Toc254970597"/>
            <w:bookmarkStart w:id="145" w:name="_Toc297193194"/>
            <w:r>
              <w:rPr>
                <w:rFonts w:hint="eastAsia" w:ascii="宋体" w:hAnsi="宋体" w:eastAsia="宋体" w:cs="宋体"/>
                <w:color w:val="auto"/>
                <w:kern w:val="2"/>
                <w:sz w:val="24"/>
                <w:szCs w:val="24"/>
                <w:highlight w:val="none"/>
              </w:rPr>
              <w:t>5</w:t>
            </w:r>
            <w:bookmarkEnd w:id="137"/>
            <w:bookmarkEnd w:id="138"/>
            <w:bookmarkEnd w:id="139"/>
            <w:bookmarkEnd w:id="140"/>
            <w:bookmarkEnd w:id="141"/>
            <w:bookmarkEnd w:id="142"/>
            <w:bookmarkEnd w:id="143"/>
            <w:bookmarkEnd w:id="144"/>
            <w:bookmarkEnd w:id="145"/>
          </w:p>
        </w:tc>
        <w:tc>
          <w:tcPr>
            <w:tcW w:w="503" w:type="pct"/>
            <w:tcBorders>
              <w:right w:val="single" w:color="auto" w:sz="4" w:space="0"/>
            </w:tcBorders>
            <w:vAlign w:val="center"/>
          </w:tcPr>
          <w:p>
            <w:pPr>
              <w:pStyle w:val="16"/>
              <w:spacing w:line="360" w:lineRule="auto"/>
              <w:ind w:firstLine="0" w:firstLineChars="0"/>
              <w:contextualSpacing/>
              <w:jc w:val="center"/>
              <w:rPr>
                <w:rFonts w:ascii="宋体" w:hAnsi="宋体" w:eastAsia="宋体" w:cs="宋体"/>
                <w:color w:val="auto"/>
                <w:kern w:val="2"/>
                <w:sz w:val="24"/>
                <w:szCs w:val="24"/>
                <w:highlight w:val="none"/>
              </w:rPr>
            </w:pPr>
          </w:p>
        </w:tc>
        <w:tc>
          <w:tcPr>
            <w:tcW w:w="1670" w:type="pct"/>
            <w:tcBorders>
              <w:left w:val="single" w:color="auto" w:sz="4" w:space="0"/>
            </w:tcBorders>
            <w:vAlign w:val="center"/>
          </w:tcPr>
          <w:p>
            <w:pPr>
              <w:pStyle w:val="16"/>
              <w:spacing w:line="360" w:lineRule="auto"/>
              <w:ind w:firstLine="0" w:firstLineChars="0"/>
              <w:contextualSpacing/>
              <w:jc w:val="center"/>
              <w:rPr>
                <w:rFonts w:ascii="宋体" w:hAnsi="宋体" w:eastAsia="宋体" w:cs="宋体"/>
                <w:color w:val="auto"/>
                <w:kern w:val="2"/>
                <w:sz w:val="24"/>
                <w:szCs w:val="24"/>
                <w:highlight w:val="none"/>
              </w:rPr>
            </w:pPr>
          </w:p>
        </w:tc>
        <w:tc>
          <w:tcPr>
            <w:tcW w:w="1503" w:type="pct"/>
            <w:vAlign w:val="center"/>
          </w:tcPr>
          <w:p>
            <w:pPr>
              <w:pStyle w:val="16"/>
              <w:spacing w:line="360" w:lineRule="auto"/>
              <w:ind w:firstLine="0" w:firstLineChars="0"/>
              <w:contextualSpacing/>
              <w:jc w:val="center"/>
              <w:rPr>
                <w:rFonts w:ascii="宋体" w:hAnsi="宋体" w:eastAsia="宋体" w:cs="宋体"/>
                <w:color w:val="auto"/>
                <w:kern w:val="2"/>
                <w:sz w:val="24"/>
                <w:szCs w:val="24"/>
                <w:highlight w:val="none"/>
              </w:rPr>
            </w:pPr>
          </w:p>
        </w:tc>
        <w:tc>
          <w:tcPr>
            <w:tcW w:w="820" w:type="pct"/>
            <w:vAlign w:val="center"/>
          </w:tcPr>
          <w:p>
            <w:pPr>
              <w:pStyle w:val="16"/>
              <w:spacing w:line="360" w:lineRule="auto"/>
              <w:ind w:firstLine="0" w:firstLineChars="0"/>
              <w:contextualSpacing/>
              <w:jc w:val="center"/>
              <w:rPr>
                <w:rFonts w:ascii="宋体" w:hAnsi="宋体" w:eastAsia="宋体" w:cs="宋体"/>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503" w:type="pct"/>
            <w:vAlign w:val="center"/>
          </w:tcPr>
          <w:p>
            <w:pPr>
              <w:pStyle w:val="16"/>
              <w:spacing w:line="360" w:lineRule="auto"/>
              <w:ind w:firstLine="0" w:firstLineChars="0"/>
              <w:contextualSpacing/>
              <w:jc w:val="center"/>
              <w:rPr>
                <w:rFonts w:ascii="宋体" w:hAnsi="宋体" w:eastAsia="宋体" w:cs="宋体"/>
                <w:color w:val="auto"/>
                <w:kern w:val="2"/>
                <w:sz w:val="24"/>
                <w:szCs w:val="24"/>
                <w:highlight w:val="none"/>
              </w:rPr>
            </w:pPr>
            <w:bookmarkStart w:id="146" w:name="_Toc383699916"/>
            <w:bookmarkStart w:id="147" w:name="_Toc373333699"/>
            <w:bookmarkStart w:id="148" w:name="_Toc173066415"/>
            <w:bookmarkStart w:id="149" w:name="_Toc297193195"/>
            <w:bookmarkStart w:id="150" w:name="_Toc173211914"/>
            <w:bookmarkStart w:id="151" w:name="_Toc295404991"/>
            <w:bookmarkStart w:id="152" w:name="_Toc254970743"/>
            <w:bookmarkStart w:id="153" w:name="_Toc254970602"/>
            <w:bookmarkStart w:id="154" w:name="_Toc301781621"/>
            <w:r>
              <w:rPr>
                <w:rFonts w:hint="eastAsia" w:ascii="宋体" w:hAnsi="宋体" w:eastAsia="宋体" w:cs="宋体"/>
                <w:color w:val="auto"/>
                <w:kern w:val="2"/>
                <w:sz w:val="24"/>
                <w:szCs w:val="24"/>
                <w:highlight w:val="none"/>
              </w:rPr>
              <w:t>…</w:t>
            </w:r>
            <w:bookmarkEnd w:id="146"/>
            <w:bookmarkEnd w:id="147"/>
            <w:bookmarkEnd w:id="148"/>
            <w:bookmarkEnd w:id="149"/>
            <w:bookmarkEnd w:id="150"/>
            <w:bookmarkEnd w:id="151"/>
            <w:bookmarkEnd w:id="152"/>
            <w:bookmarkEnd w:id="153"/>
            <w:bookmarkEnd w:id="154"/>
          </w:p>
        </w:tc>
        <w:tc>
          <w:tcPr>
            <w:tcW w:w="503" w:type="pct"/>
            <w:tcBorders>
              <w:right w:val="single" w:color="auto" w:sz="4" w:space="0"/>
            </w:tcBorders>
            <w:vAlign w:val="center"/>
          </w:tcPr>
          <w:p>
            <w:pPr>
              <w:pStyle w:val="16"/>
              <w:spacing w:line="360" w:lineRule="auto"/>
              <w:ind w:firstLine="0" w:firstLineChars="0"/>
              <w:contextualSpacing/>
              <w:jc w:val="center"/>
              <w:rPr>
                <w:rFonts w:ascii="宋体" w:hAnsi="宋体" w:eastAsia="宋体" w:cs="宋体"/>
                <w:color w:val="auto"/>
                <w:kern w:val="2"/>
                <w:sz w:val="24"/>
                <w:szCs w:val="24"/>
                <w:highlight w:val="none"/>
              </w:rPr>
            </w:pPr>
          </w:p>
        </w:tc>
        <w:tc>
          <w:tcPr>
            <w:tcW w:w="1670" w:type="pct"/>
            <w:tcBorders>
              <w:left w:val="single" w:color="auto" w:sz="4" w:space="0"/>
            </w:tcBorders>
            <w:vAlign w:val="center"/>
          </w:tcPr>
          <w:p>
            <w:pPr>
              <w:pStyle w:val="16"/>
              <w:spacing w:line="360" w:lineRule="auto"/>
              <w:ind w:firstLine="0" w:firstLineChars="0"/>
              <w:contextualSpacing/>
              <w:jc w:val="center"/>
              <w:rPr>
                <w:rFonts w:ascii="宋体" w:hAnsi="宋体" w:eastAsia="宋体" w:cs="宋体"/>
                <w:color w:val="auto"/>
                <w:kern w:val="2"/>
                <w:sz w:val="24"/>
                <w:szCs w:val="24"/>
                <w:highlight w:val="none"/>
              </w:rPr>
            </w:pPr>
          </w:p>
        </w:tc>
        <w:tc>
          <w:tcPr>
            <w:tcW w:w="1503" w:type="pct"/>
            <w:vAlign w:val="center"/>
          </w:tcPr>
          <w:p>
            <w:pPr>
              <w:pStyle w:val="16"/>
              <w:spacing w:line="360" w:lineRule="auto"/>
              <w:ind w:firstLine="0" w:firstLineChars="0"/>
              <w:contextualSpacing/>
              <w:jc w:val="center"/>
              <w:rPr>
                <w:rFonts w:ascii="宋体" w:hAnsi="宋体" w:eastAsia="宋体" w:cs="宋体"/>
                <w:color w:val="auto"/>
                <w:kern w:val="2"/>
                <w:sz w:val="24"/>
                <w:szCs w:val="24"/>
                <w:highlight w:val="none"/>
              </w:rPr>
            </w:pPr>
          </w:p>
        </w:tc>
        <w:tc>
          <w:tcPr>
            <w:tcW w:w="820" w:type="pct"/>
            <w:tcBorders>
              <w:right w:val="single" w:color="auto" w:sz="4" w:space="0"/>
            </w:tcBorders>
            <w:vAlign w:val="center"/>
          </w:tcPr>
          <w:p>
            <w:pPr>
              <w:pStyle w:val="16"/>
              <w:spacing w:line="360" w:lineRule="auto"/>
              <w:ind w:firstLine="0" w:firstLineChars="0"/>
              <w:contextualSpacing/>
              <w:jc w:val="center"/>
              <w:rPr>
                <w:rFonts w:ascii="宋体" w:hAnsi="宋体" w:eastAsia="宋体" w:cs="宋体"/>
                <w:color w:val="auto"/>
                <w:kern w:val="2"/>
                <w:sz w:val="24"/>
                <w:szCs w:val="24"/>
                <w:highlight w:val="none"/>
              </w:rPr>
            </w:pPr>
          </w:p>
        </w:tc>
      </w:tr>
    </w:tbl>
    <w:p>
      <w:pPr>
        <w:adjustRightInd w:val="0"/>
        <w:spacing w:line="360" w:lineRule="auto"/>
        <w:contextualSpacing/>
        <w:rPr>
          <w:rFonts w:ascii="宋体" w:hAnsi="宋体" w:cs="宋体"/>
          <w:color w:val="auto"/>
          <w:sz w:val="24"/>
          <w:highlight w:val="none"/>
        </w:rPr>
      </w:pPr>
    </w:p>
    <w:p>
      <w:pPr>
        <w:pStyle w:val="16"/>
        <w:spacing w:line="360" w:lineRule="auto"/>
        <w:ind w:firstLine="0" w:firstLineChars="0"/>
        <w:contextualSpacing/>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p>
    <w:p>
      <w:pPr>
        <w:pStyle w:val="16"/>
        <w:spacing w:line="360" w:lineRule="auto"/>
        <w:ind w:firstLine="0" w:firstLineChars="0"/>
        <w:contextualSpacing/>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 说明：应对照磋商文件“第三章 采购需求”中</w:t>
      </w:r>
      <w:r>
        <w:rPr>
          <w:rFonts w:hint="eastAsia" w:ascii="宋体" w:hAnsi="宋体" w:eastAsia="宋体" w:cs="宋体"/>
          <w:color w:val="auto"/>
          <w:sz w:val="24"/>
          <w:szCs w:val="24"/>
          <w:highlight w:val="none"/>
          <w:lang w:eastAsia="zh-CN"/>
        </w:rPr>
        <w:t>的技术要求</w:t>
      </w:r>
      <w:r>
        <w:rPr>
          <w:rFonts w:hint="eastAsia" w:ascii="宋体" w:hAnsi="宋体" w:eastAsia="宋体" w:cs="宋体"/>
          <w:color w:val="auto"/>
          <w:sz w:val="24"/>
          <w:szCs w:val="24"/>
          <w:highlight w:val="none"/>
        </w:rPr>
        <w:t>逐条作出明确响应，并作出偏离说明。</w:t>
      </w:r>
    </w:p>
    <w:p>
      <w:pPr>
        <w:pStyle w:val="16"/>
        <w:spacing w:line="360" w:lineRule="auto"/>
        <w:ind w:firstLine="0" w:firstLineChars="0"/>
        <w:contextualSpacing/>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2.供应商应根据自身的承诺，对照磋商文件要求，在“偏离说明”中注明“正偏离”、“负偏离”或者“无偏离”。既不属于“正偏离”也不属于“负偏离”即为“无偏离”。</w:t>
      </w:r>
    </w:p>
    <w:p>
      <w:pPr>
        <w:spacing w:line="360" w:lineRule="auto"/>
        <w:ind w:right="-817" w:rightChars="-389"/>
        <w:contextualSpacing/>
        <w:rPr>
          <w:rFonts w:ascii="宋体" w:hAnsi="宋体" w:cs="宋体"/>
          <w:color w:val="auto"/>
          <w:sz w:val="24"/>
          <w:highlight w:val="none"/>
        </w:rPr>
      </w:pPr>
    </w:p>
    <w:p>
      <w:pPr>
        <w:spacing w:line="360" w:lineRule="auto"/>
        <w:ind w:right="-817" w:rightChars="-389" w:firstLine="960" w:firstLineChars="400"/>
        <w:contextualSpacing/>
        <w:rPr>
          <w:rFonts w:ascii="宋体" w:hAnsi="宋体" w:cs="宋体"/>
          <w:color w:val="auto"/>
          <w:sz w:val="24"/>
          <w:highlight w:val="none"/>
        </w:rPr>
      </w:pPr>
      <w:r>
        <w:rPr>
          <w:rFonts w:hint="eastAsia" w:ascii="宋体" w:hAnsi="宋体" w:cs="宋体"/>
          <w:color w:val="auto"/>
          <w:sz w:val="24"/>
          <w:highlight w:val="none"/>
        </w:rPr>
        <w:t xml:space="preserve">法定代表人或者委托代理人（签字）：                    </w:t>
      </w:r>
    </w:p>
    <w:p>
      <w:pPr>
        <w:spacing w:line="360" w:lineRule="auto"/>
        <w:ind w:right="-817" w:rightChars="-389" w:firstLine="2640" w:firstLineChars="1100"/>
        <w:contextualSpacing/>
        <w:rPr>
          <w:rFonts w:ascii="宋体" w:hAnsi="宋体" w:cs="宋体"/>
          <w:color w:val="auto"/>
          <w:sz w:val="24"/>
          <w:highlight w:val="none"/>
        </w:rPr>
      </w:pPr>
      <w:r>
        <w:rPr>
          <w:rFonts w:hint="eastAsia" w:ascii="宋体" w:hAnsi="宋体" w:cs="宋体"/>
          <w:color w:val="auto"/>
          <w:sz w:val="24"/>
          <w:highlight w:val="none"/>
        </w:rPr>
        <w:t xml:space="preserve">供应商（盖公章）：      </w:t>
      </w:r>
    </w:p>
    <w:p>
      <w:pPr>
        <w:spacing w:line="360" w:lineRule="auto"/>
        <w:ind w:right="-817" w:rightChars="-389" w:firstLine="4080" w:firstLineChars="1700"/>
        <w:contextualSpacing/>
        <w:rPr>
          <w:rFonts w:ascii="宋体" w:hAnsi="宋体" w:cs="宋体"/>
          <w:color w:val="auto"/>
          <w:sz w:val="24"/>
          <w:highlight w:val="none"/>
        </w:rPr>
      </w:pPr>
      <w:r>
        <w:rPr>
          <w:rFonts w:hint="eastAsia" w:ascii="宋体" w:hAnsi="宋体" w:cs="宋体"/>
          <w:color w:val="auto"/>
          <w:sz w:val="24"/>
          <w:highlight w:val="none"/>
        </w:rPr>
        <w:t>日期：   年   月   日</w:t>
      </w:r>
    </w:p>
    <w:p>
      <w:pPr>
        <w:snapToGrid w:val="0"/>
        <w:spacing w:before="156" w:beforeLines="50" w:after="50"/>
        <w:ind w:left="142"/>
        <w:jc w:val="left"/>
        <w:rPr>
          <w:rFonts w:ascii="宋体" w:hAnsi="宋体" w:cs="宋体"/>
          <w:b/>
          <w:color w:val="auto"/>
          <w:sz w:val="24"/>
          <w:highlight w:val="none"/>
        </w:rPr>
      </w:pPr>
      <w:r>
        <w:rPr>
          <w:rFonts w:hint="eastAsia" w:ascii="宋体" w:hAnsi="宋体" w:cs="宋体"/>
          <w:color w:val="auto"/>
          <w:sz w:val="24"/>
          <w:highlight w:val="none"/>
        </w:rPr>
        <w:br w:type="page"/>
      </w:r>
      <w:r>
        <w:rPr>
          <w:rFonts w:hint="eastAsia" w:ascii="宋体" w:hAnsi="宋体" w:cs="宋体"/>
          <w:b/>
          <w:color w:val="auto"/>
          <w:sz w:val="24"/>
          <w:highlight w:val="none"/>
        </w:rPr>
        <w:t>项目实施人员一览表格式</w:t>
      </w:r>
    </w:p>
    <w:p>
      <w:pPr>
        <w:snapToGrid w:val="0"/>
        <w:spacing w:before="156" w:beforeLines="50" w:after="50"/>
        <w:ind w:left="142"/>
        <w:jc w:val="left"/>
        <w:rPr>
          <w:rFonts w:ascii="宋体" w:hAnsi="宋体" w:cs="宋体"/>
          <w:b/>
          <w:color w:val="auto"/>
          <w:sz w:val="24"/>
          <w:highlight w:val="none"/>
        </w:rPr>
      </w:pPr>
    </w:p>
    <w:p>
      <w:pPr>
        <w:spacing w:line="360" w:lineRule="auto"/>
        <w:ind w:left="142"/>
        <w:contextualSpacing/>
        <w:jc w:val="center"/>
        <w:rPr>
          <w:rFonts w:ascii="宋体" w:hAnsi="宋体" w:cs="宋体"/>
          <w:b/>
          <w:color w:val="auto"/>
          <w:sz w:val="32"/>
          <w:szCs w:val="32"/>
          <w:highlight w:val="none"/>
        </w:rPr>
      </w:pPr>
      <w:r>
        <w:rPr>
          <w:rFonts w:hint="eastAsia" w:ascii="宋体" w:hAnsi="宋体" w:cs="宋体"/>
          <w:b/>
          <w:color w:val="auto"/>
          <w:sz w:val="32"/>
          <w:szCs w:val="32"/>
          <w:highlight w:val="none"/>
        </w:rPr>
        <w:t>项目实施人员一览表</w:t>
      </w:r>
    </w:p>
    <w:p>
      <w:pPr>
        <w:pStyle w:val="18"/>
        <w:spacing w:line="360" w:lineRule="auto"/>
        <w:contextualSpacing/>
        <w:rPr>
          <w:rFonts w:hAnsi="宋体" w:cs="宋体"/>
          <w:color w:val="auto"/>
          <w:sz w:val="24"/>
          <w:szCs w:val="24"/>
          <w:highlight w:val="none"/>
        </w:rPr>
      </w:pPr>
      <w:r>
        <w:rPr>
          <w:rFonts w:hint="eastAsia" w:hAnsi="宋体" w:cs="宋体"/>
          <w:color w:val="auto"/>
          <w:sz w:val="24"/>
          <w:szCs w:val="24"/>
          <w:highlight w:val="none"/>
        </w:rPr>
        <w:t>所竞分标：</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分标</w:t>
      </w:r>
    </w:p>
    <w:tbl>
      <w:tblPr>
        <w:tblStyle w:val="30"/>
        <w:tblW w:w="104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2905"/>
        <w:gridCol w:w="1309"/>
        <w:gridCol w:w="2196"/>
        <w:gridCol w:w="24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pacing w:line="360" w:lineRule="auto"/>
              <w:contextualSpacing/>
              <w:jc w:val="center"/>
              <w:rPr>
                <w:rFonts w:ascii="宋体" w:hAnsi="宋体" w:cs="宋体"/>
                <w:color w:val="auto"/>
                <w:sz w:val="24"/>
                <w:szCs w:val="20"/>
                <w:highlight w:val="none"/>
              </w:rPr>
            </w:pPr>
            <w:r>
              <w:rPr>
                <w:rFonts w:hint="eastAsia" w:ascii="宋体" w:hAnsi="宋体" w:cs="宋体"/>
                <w:color w:val="auto"/>
                <w:sz w:val="24"/>
                <w:szCs w:val="20"/>
                <w:highlight w:val="none"/>
              </w:rPr>
              <w:t>姓名</w:t>
            </w:r>
          </w:p>
        </w:tc>
        <w:tc>
          <w:tcPr>
            <w:tcW w:w="709" w:type="dxa"/>
            <w:vAlign w:val="center"/>
          </w:tcPr>
          <w:p>
            <w:pPr>
              <w:spacing w:line="360" w:lineRule="auto"/>
              <w:contextualSpacing/>
              <w:jc w:val="center"/>
              <w:rPr>
                <w:rFonts w:ascii="宋体" w:hAnsi="宋体" w:cs="宋体"/>
                <w:color w:val="auto"/>
                <w:sz w:val="24"/>
                <w:szCs w:val="20"/>
                <w:highlight w:val="none"/>
              </w:rPr>
            </w:pPr>
            <w:r>
              <w:rPr>
                <w:rFonts w:hint="eastAsia" w:ascii="宋体" w:hAnsi="宋体" w:cs="宋体"/>
                <w:color w:val="auto"/>
                <w:sz w:val="24"/>
                <w:szCs w:val="20"/>
                <w:highlight w:val="none"/>
              </w:rPr>
              <w:t>职务</w:t>
            </w:r>
          </w:p>
        </w:tc>
        <w:tc>
          <w:tcPr>
            <w:tcW w:w="2905" w:type="dxa"/>
            <w:vAlign w:val="center"/>
          </w:tcPr>
          <w:p>
            <w:pPr>
              <w:spacing w:line="360" w:lineRule="auto"/>
              <w:contextualSpacing/>
              <w:jc w:val="center"/>
              <w:rPr>
                <w:rFonts w:ascii="宋体" w:hAnsi="宋体" w:cs="宋体"/>
                <w:color w:val="auto"/>
                <w:sz w:val="24"/>
                <w:szCs w:val="20"/>
                <w:highlight w:val="none"/>
              </w:rPr>
            </w:pPr>
            <w:r>
              <w:rPr>
                <w:rFonts w:hint="eastAsia" w:ascii="宋体" w:hAnsi="宋体" w:cs="宋体"/>
                <w:color w:val="auto"/>
                <w:sz w:val="24"/>
                <w:szCs w:val="20"/>
                <w:highlight w:val="none"/>
              </w:rPr>
              <w:t>专业技术资格（职称）或者职业资格或者执业资格证或者其他证书</w:t>
            </w:r>
          </w:p>
        </w:tc>
        <w:tc>
          <w:tcPr>
            <w:tcW w:w="1309" w:type="dxa"/>
            <w:vAlign w:val="center"/>
          </w:tcPr>
          <w:p>
            <w:pPr>
              <w:spacing w:line="360" w:lineRule="auto"/>
              <w:contextualSpacing/>
              <w:jc w:val="center"/>
              <w:rPr>
                <w:rFonts w:ascii="宋体" w:hAnsi="宋体" w:cs="宋体"/>
                <w:color w:val="auto"/>
                <w:sz w:val="24"/>
                <w:szCs w:val="20"/>
                <w:highlight w:val="none"/>
              </w:rPr>
            </w:pPr>
            <w:r>
              <w:rPr>
                <w:rFonts w:hint="eastAsia" w:ascii="宋体" w:hAnsi="宋体" w:cs="宋体"/>
                <w:color w:val="auto"/>
                <w:sz w:val="24"/>
                <w:szCs w:val="20"/>
                <w:highlight w:val="none"/>
              </w:rPr>
              <w:t>证书编号</w:t>
            </w:r>
          </w:p>
        </w:tc>
        <w:tc>
          <w:tcPr>
            <w:tcW w:w="2196" w:type="dxa"/>
            <w:vAlign w:val="center"/>
          </w:tcPr>
          <w:p>
            <w:pPr>
              <w:spacing w:line="360" w:lineRule="auto"/>
              <w:contextualSpacing/>
              <w:jc w:val="center"/>
              <w:rPr>
                <w:rFonts w:ascii="宋体" w:hAnsi="宋体" w:cs="宋体"/>
                <w:color w:val="auto"/>
                <w:sz w:val="24"/>
                <w:szCs w:val="20"/>
                <w:highlight w:val="none"/>
              </w:rPr>
            </w:pPr>
            <w:r>
              <w:rPr>
                <w:rFonts w:hint="eastAsia" w:ascii="宋体" w:hAnsi="宋体" w:cs="宋体"/>
                <w:color w:val="auto"/>
                <w:sz w:val="24"/>
                <w:szCs w:val="20"/>
                <w:highlight w:val="none"/>
              </w:rPr>
              <w:t>参加本单位</w:t>
            </w:r>
          </w:p>
          <w:p>
            <w:pPr>
              <w:spacing w:line="360" w:lineRule="auto"/>
              <w:contextualSpacing/>
              <w:jc w:val="center"/>
              <w:rPr>
                <w:rFonts w:ascii="宋体" w:hAnsi="宋体" w:cs="宋体"/>
                <w:color w:val="auto"/>
                <w:sz w:val="24"/>
                <w:szCs w:val="20"/>
                <w:highlight w:val="none"/>
              </w:rPr>
            </w:pPr>
            <w:r>
              <w:rPr>
                <w:rFonts w:hint="eastAsia" w:ascii="宋体" w:hAnsi="宋体" w:cs="宋体"/>
                <w:color w:val="auto"/>
                <w:sz w:val="24"/>
                <w:szCs w:val="20"/>
                <w:highlight w:val="none"/>
              </w:rPr>
              <w:t>工作时间</w:t>
            </w:r>
          </w:p>
        </w:tc>
        <w:tc>
          <w:tcPr>
            <w:tcW w:w="2468" w:type="dxa"/>
            <w:vAlign w:val="center"/>
          </w:tcPr>
          <w:p>
            <w:pPr>
              <w:spacing w:line="360" w:lineRule="auto"/>
              <w:contextualSpacing/>
              <w:jc w:val="center"/>
              <w:rPr>
                <w:rFonts w:ascii="宋体" w:hAnsi="宋体" w:cs="宋体"/>
                <w:color w:val="auto"/>
                <w:sz w:val="24"/>
                <w:szCs w:val="20"/>
                <w:highlight w:val="none"/>
              </w:rPr>
            </w:pPr>
            <w:r>
              <w:rPr>
                <w:rFonts w:hint="eastAsia" w:ascii="宋体" w:hAnsi="宋体" w:cs="宋体"/>
                <w:color w:val="auto"/>
                <w:sz w:val="24"/>
                <w:szCs w:val="20"/>
                <w:highlight w:val="none"/>
              </w:rPr>
              <w:t>劳动合同编号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pacing w:line="360" w:lineRule="auto"/>
              <w:contextualSpacing/>
              <w:jc w:val="center"/>
              <w:rPr>
                <w:rFonts w:ascii="宋体" w:hAnsi="宋体" w:cs="宋体"/>
                <w:color w:val="auto"/>
                <w:sz w:val="24"/>
                <w:szCs w:val="20"/>
                <w:highlight w:val="none"/>
              </w:rPr>
            </w:pPr>
          </w:p>
        </w:tc>
        <w:tc>
          <w:tcPr>
            <w:tcW w:w="709" w:type="dxa"/>
            <w:vAlign w:val="center"/>
          </w:tcPr>
          <w:p>
            <w:pPr>
              <w:spacing w:line="360" w:lineRule="auto"/>
              <w:contextualSpacing/>
              <w:jc w:val="center"/>
              <w:rPr>
                <w:rFonts w:ascii="宋体" w:hAnsi="宋体" w:cs="宋体"/>
                <w:color w:val="auto"/>
                <w:sz w:val="24"/>
                <w:szCs w:val="20"/>
                <w:highlight w:val="none"/>
              </w:rPr>
            </w:pPr>
          </w:p>
        </w:tc>
        <w:tc>
          <w:tcPr>
            <w:tcW w:w="2905" w:type="dxa"/>
            <w:vAlign w:val="center"/>
          </w:tcPr>
          <w:p>
            <w:pPr>
              <w:spacing w:line="360" w:lineRule="auto"/>
              <w:contextualSpacing/>
              <w:jc w:val="center"/>
              <w:rPr>
                <w:rFonts w:ascii="宋体" w:hAnsi="宋体" w:cs="宋体"/>
                <w:color w:val="auto"/>
                <w:sz w:val="24"/>
                <w:szCs w:val="20"/>
                <w:highlight w:val="none"/>
              </w:rPr>
            </w:pPr>
          </w:p>
        </w:tc>
        <w:tc>
          <w:tcPr>
            <w:tcW w:w="1309" w:type="dxa"/>
            <w:vAlign w:val="center"/>
          </w:tcPr>
          <w:p>
            <w:pPr>
              <w:spacing w:line="360" w:lineRule="auto"/>
              <w:contextualSpacing/>
              <w:jc w:val="center"/>
              <w:rPr>
                <w:rFonts w:ascii="宋体" w:hAnsi="宋体" w:cs="宋体"/>
                <w:color w:val="auto"/>
                <w:sz w:val="24"/>
                <w:szCs w:val="20"/>
                <w:highlight w:val="none"/>
              </w:rPr>
            </w:pPr>
          </w:p>
        </w:tc>
        <w:tc>
          <w:tcPr>
            <w:tcW w:w="2196" w:type="dxa"/>
            <w:vAlign w:val="center"/>
          </w:tcPr>
          <w:p>
            <w:pPr>
              <w:spacing w:line="360" w:lineRule="auto"/>
              <w:contextualSpacing/>
              <w:jc w:val="center"/>
              <w:rPr>
                <w:rFonts w:ascii="宋体" w:hAnsi="宋体" w:cs="宋体"/>
                <w:color w:val="auto"/>
                <w:sz w:val="24"/>
                <w:szCs w:val="20"/>
                <w:highlight w:val="none"/>
              </w:rPr>
            </w:pPr>
          </w:p>
        </w:tc>
        <w:tc>
          <w:tcPr>
            <w:tcW w:w="2468" w:type="dxa"/>
            <w:vAlign w:val="center"/>
          </w:tcPr>
          <w:p>
            <w:pPr>
              <w:spacing w:line="360" w:lineRule="auto"/>
              <w:contextualSpacing/>
              <w:jc w:val="center"/>
              <w:rPr>
                <w:rFonts w:ascii="宋体" w:hAnsi="宋体" w:cs="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pacing w:line="360" w:lineRule="auto"/>
              <w:contextualSpacing/>
              <w:jc w:val="center"/>
              <w:rPr>
                <w:rFonts w:ascii="宋体" w:hAnsi="宋体" w:cs="宋体"/>
                <w:color w:val="auto"/>
                <w:sz w:val="24"/>
                <w:szCs w:val="20"/>
                <w:highlight w:val="none"/>
              </w:rPr>
            </w:pPr>
          </w:p>
        </w:tc>
        <w:tc>
          <w:tcPr>
            <w:tcW w:w="709" w:type="dxa"/>
            <w:vAlign w:val="center"/>
          </w:tcPr>
          <w:p>
            <w:pPr>
              <w:spacing w:line="360" w:lineRule="auto"/>
              <w:contextualSpacing/>
              <w:jc w:val="center"/>
              <w:rPr>
                <w:rFonts w:ascii="宋体" w:hAnsi="宋体" w:cs="宋体"/>
                <w:color w:val="auto"/>
                <w:sz w:val="24"/>
                <w:szCs w:val="20"/>
                <w:highlight w:val="none"/>
              </w:rPr>
            </w:pPr>
          </w:p>
        </w:tc>
        <w:tc>
          <w:tcPr>
            <w:tcW w:w="2905" w:type="dxa"/>
            <w:vAlign w:val="center"/>
          </w:tcPr>
          <w:p>
            <w:pPr>
              <w:spacing w:line="360" w:lineRule="auto"/>
              <w:contextualSpacing/>
              <w:jc w:val="center"/>
              <w:rPr>
                <w:rFonts w:ascii="宋体" w:hAnsi="宋体" w:cs="宋体"/>
                <w:color w:val="auto"/>
                <w:sz w:val="24"/>
                <w:szCs w:val="20"/>
                <w:highlight w:val="none"/>
              </w:rPr>
            </w:pPr>
          </w:p>
        </w:tc>
        <w:tc>
          <w:tcPr>
            <w:tcW w:w="1309" w:type="dxa"/>
            <w:vAlign w:val="center"/>
          </w:tcPr>
          <w:p>
            <w:pPr>
              <w:spacing w:line="360" w:lineRule="auto"/>
              <w:contextualSpacing/>
              <w:jc w:val="center"/>
              <w:rPr>
                <w:rFonts w:ascii="宋体" w:hAnsi="宋体" w:cs="宋体"/>
                <w:color w:val="auto"/>
                <w:sz w:val="24"/>
                <w:szCs w:val="20"/>
                <w:highlight w:val="none"/>
              </w:rPr>
            </w:pPr>
          </w:p>
        </w:tc>
        <w:tc>
          <w:tcPr>
            <w:tcW w:w="2196" w:type="dxa"/>
            <w:vAlign w:val="center"/>
          </w:tcPr>
          <w:p>
            <w:pPr>
              <w:spacing w:line="360" w:lineRule="auto"/>
              <w:contextualSpacing/>
              <w:jc w:val="center"/>
              <w:rPr>
                <w:rFonts w:ascii="宋体" w:hAnsi="宋体" w:cs="宋体"/>
                <w:color w:val="auto"/>
                <w:sz w:val="24"/>
                <w:szCs w:val="20"/>
                <w:highlight w:val="none"/>
              </w:rPr>
            </w:pPr>
          </w:p>
        </w:tc>
        <w:tc>
          <w:tcPr>
            <w:tcW w:w="2468" w:type="dxa"/>
            <w:vAlign w:val="center"/>
          </w:tcPr>
          <w:p>
            <w:pPr>
              <w:spacing w:line="360" w:lineRule="auto"/>
              <w:contextualSpacing/>
              <w:jc w:val="center"/>
              <w:rPr>
                <w:rFonts w:ascii="宋体" w:hAnsi="宋体" w:cs="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pacing w:line="360" w:lineRule="auto"/>
              <w:contextualSpacing/>
              <w:jc w:val="center"/>
              <w:rPr>
                <w:rFonts w:ascii="宋体" w:hAnsi="宋体" w:cs="宋体"/>
                <w:color w:val="auto"/>
                <w:sz w:val="24"/>
                <w:szCs w:val="20"/>
                <w:highlight w:val="none"/>
              </w:rPr>
            </w:pPr>
          </w:p>
        </w:tc>
        <w:tc>
          <w:tcPr>
            <w:tcW w:w="709" w:type="dxa"/>
            <w:vAlign w:val="center"/>
          </w:tcPr>
          <w:p>
            <w:pPr>
              <w:spacing w:line="360" w:lineRule="auto"/>
              <w:contextualSpacing/>
              <w:jc w:val="center"/>
              <w:rPr>
                <w:rFonts w:ascii="宋体" w:hAnsi="宋体" w:cs="宋体"/>
                <w:color w:val="auto"/>
                <w:sz w:val="24"/>
                <w:szCs w:val="20"/>
                <w:highlight w:val="none"/>
              </w:rPr>
            </w:pPr>
          </w:p>
        </w:tc>
        <w:tc>
          <w:tcPr>
            <w:tcW w:w="2905" w:type="dxa"/>
            <w:vAlign w:val="center"/>
          </w:tcPr>
          <w:p>
            <w:pPr>
              <w:spacing w:line="360" w:lineRule="auto"/>
              <w:contextualSpacing/>
              <w:jc w:val="center"/>
              <w:rPr>
                <w:rFonts w:ascii="宋体" w:hAnsi="宋体" w:cs="宋体"/>
                <w:color w:val="auto"/>
                <w:sz w:val="24"/>
                <w:szCs w:val="20"/>
                <w:highlight w:val="none"/>
              </w:rPr>
            </w:pPr>
          </w:p>
        </w:tc>
        <w:tc>
          <w:tcPr>
            <w:tcW w:w="1309" w:type="dxa"/>
            <w:vAlign w:val="center"/>
          </w:tcPr>
          <w:p>
            <w:pPr>
              <w:spacing w:line="360" w:lineRule="auto"/>
              <w:contextualSpacing/>
              <w:jc w:val="center"/>
              <w:rPr>
                <w:rFonts w:ascii="宋体" w:hAnsi="宋体" w:cs="宋体"/>
                <w:color w:val="auto"/>
                <w:sz w:val="24"/>
                <w:szCs w:val="20"/>
                <w:highlight w:val="none"/>
              </w:rPr>
            </w:pPr>
          </w:p>
        </w:tc>
        <w:tc>
          <w:tcPr>
            <w:tcW w:w="2196" w:type="dxa"/>
            <w:vAlign w:val="center"/>
          </w:tcPr>
          <w:p>
            <w:pPr>
              <w:spacing w:line="360" w:lineRule="auto"/>
              <w:contextualSpacing/>
              <w:jc w:val="center"/>
              <w:rPr>
                <w:rFonts w:ascii="宋体" w:hAnsi="宋体" w:cs="宋体"/>
                <w:color w:val="auto"/>
                <w:sz w:val="24"/>
                <w:szCs w:val="20"/>
                <w:highlight w:val="none"/>
              </w:rPr>
            </w:pPr>
          </w:p>
        </w:tc>
        <w:tc>
          <w:tcPr>
            <w:tcW w:w="2468" w:type="dxa"/>
            <w:vAlign w:val="center"/>
          </w:tcPr>
          <w:p>
            <w:pPr>
              <w:spacing w:line="360" w:lineRule="auto"/>
              <w:contextualSpacing/>
              <w:jc w:val="center"/>
              <w:rPr>
                <w:rFonts w:ascii="宋体" w:hAnsi="宋体" w:cs="宋体"/>
                <w:color w:val="auto"/>
                <w:sz w:val="24"/>
                <w:szCs w:val="20"/>
                <w:highlight w:val="none"/>
              </w:rPr>
            </w:pPr>
          </w:p>
        </w:tc>
      </w:tr>
    </w:tbl>
    <w:p>
      <w:pPr>
        <w:spacing w:line="360" w:lineRule="auto"/>
        <w:contextualSpacing/>
        <w:jc w:val="left"/>
        <w:rPr>
          <w:rFonts w:ascii="宋体" w:hAnsi="宋体" w:cs="宋体"/>
          <w:color w:val="auto"/>
          <w:sz w:val="24"/>
          <w:szCs w:val="20"/>
          <w:highlight w:val="none"/>
        </w:rPr>
      </w:pPr>
      <w:r>
        <w:rPr>
          <w:rFonts w:hint="eastAsia" w:ascii="宋体" w:hAnsi="宋体" w:cs="宋体"/>
          <w:color w:val="auto"/>
          <w:sz w:val="24"/>
          <w:szCs w:val="20"/>
          <w:highlight w:val="none"/>
        </w:rPr>
        <w:t>注：</w:t>
      </w:r>
    </w:p>
    <w:p>
      <w:pPr>
        <w:spacing w:line="360" w:lineRule="auto"/>
        <w:contextualSpacing/>
        <w:jc w:val="left"/>
        <w:rPr>
          <w:rFonts w:ascii="宋体" w:hAnsi="宋体" w:cs="宋体"/>
          <w:color w:val="auto"/>
          <w:sz w:val="24"/>
          <w:szCs w:val="20"/>
          <w:highlight w:val="none"/>
        </w:rPr>
      </w:pPr>
      <w:r>
        <w:rPr>
          <w:rFonts w:hint="eastAsia" w:ascii="宋体" w:hAnsi="宋体" w:cs="宋体"/>
          <w:color w:val="auto"/>
          <w:sz w:val="24"/>
          <w:szCs w:val="20"/>
          <w:highlight w:val="none"/>
        </w:rPr>
        <w:t>1.在填写时，如本表格不适合供应商的实际情况，可根据本表格式自行制表填写。</w:t>
      </w:r>
    </w:p>
    <w:p>
      <w:pPr>
        <w:spacing w:line="360" w:lineRule="auto"/>
        <w:contextualSpacing/>
        <w:jc w:val="left"/>
        <w:rPr>
          <w:rFonts w:ascii="宋体" w:hAnsi="宋体" w:cs="宋体"/>
          <w:color w:val="auto"/>
          <w:sz w:val="24"/>
          <w:szCs w:val="20"/>
          <w:highlight w:val="none"/>
        </w:rPr>
      </w:pPr>
      <w:r>
        <w:rPr>
          <w:rFonts w:hint="eastAsia" w:ascii="宋体" w:hAnsi="宋体" w:cs="宋体"/>
          <w:color w:val="auto"/>
          <w:sz w:val="24"/>
          <w:szCs w:val="20"/>
          <w:highlight w:val="none"/>
        </w:rPr>
        <w:t>2.供应商应当附本表所列证书的复印件并加盖供应商公章。</w:t>
      </w:r>
    </w:p>
    <w:p>
      <w:pPr>
        <w:spacing w:line="360" w:lineRule="auto"/>
        <w:contextualSpacing/>
        <w:rPr>
          <w:rFonts w:ascii="宋体" w:hAnsi="宋体" w:cs="宋体"/>
          <w:color w:val="auto"/>
          <w:spacing w:val="20"/>
          <w:sz w:val="24"/>
          <w:szCs w:val="20"/>
          <w:highlight w:val="none"/>
          <w:u w:val="single"/>
        </w:rPr>
      </w:pPr>
      <w:r>
        <w:rPr>
          <w:rFonts w:hint="eastAsia" w:ascii="宋体" w:hAnsi="宋体" w:cs="宋体"/>
          <w:color w:val="auto"/>
          <w:sz w:val="24"/>
          <w:highlight w:val="none"/>
        </w:rPr>
        <w:t>法定代表人或者委托代理人</w:t>
      </w:r>
      <w:r>
        <w:rPr>
          <w:rFonts w:hint="eastAsia" w:ascii="宋体" w:hAnsi="宋体" w:cs="宋体"/>
          <w:color w:val="auto"/>
          <w:spacing w:val="20"/>
          <w:sz w:val="24"/>
          <w:highlight w:val="none"/>
        </w:rPr>
        <w:t>签字：</w:t>
      </w:r>
      <w:r>
        <w:rPr>
          <w:rFonts w:hint="eastAsia" w:ascii="宋体" w:hAnsi="宋体" w:cs="宋体"/>
          <w:color w:val="auto"/>
          <w:spacing w:val="20"/>
          <w:sz w:val="24"/>
          <w:highlight w:val="none"/>
          <w:u w:val="single"/>
        </w:rPr>
        <w:t xml:space="preserve">        </w:t>
      </w:r>
    </w:p>
    <w:p>
      <w:pPr>
        <w:spacing w:line="360" w:lineRule="auto"/>
        <w:contextualSpacing/>
        <w:jc w:val="left"/>
        <w:rPr>
          <w:rFonts w:ascii="宋体" w:hAnsi="宋体" w:cs="宋体"/>
          <w:color w:val="auto"/>
          <w:sz w:val="24"/>
          <w:szCs w:val="20"/>
          <w:highlight w:val="none"/>
        </w:rPr>
      </w:pPr>
      <w:r>
        <w:rPr>
          <w:rFonts w:hint="eastAsia" w:ascii="宋体" w:hAnsi="宋体" w:cs="宋体"/>
          <w:color w:val="auto"/>
          <w:spacing w:val="20"/>
          <w:sz w:val="24"/>
          <w:highlight w:val="none"/>
        </w:rPr>
        <w:t>供应商（盖公章）：</w:t>
      </w:r>
      <w:r>
        <w:rPr>
          <w:rFonts w:hint="eastAsia" w:ascii="宋体" w:hAnsi="宋体" w:cs="宋体"/>
          <w:color w:val="auto"/>
          <w:spacing w:val="20"/>
          <w:sz w:val="24"/>
          <w:highlight w:val="none"/>
          <w:u w:val="single"/>
        </w:rPr>
        <w:t xml:space="preserve">            </w:t>
      </w:r>
      <w:r>
        <w:rPr>
          <w:rFonts w:hint="eastAsia" w:ascii="宋体" w:hAnsi="宋体" w:cs="宋体"/>
          <w:color w:val="auto"/>
          <w:spacing w:val="20"/>
          <w:sz w:val="24"/>
          <w:highlight w:val="none"/>
        </w:rPr>
        <w:t xml:space="preserve">              日 期：</w:t>
      </w:r>
      <w:r>
        <w:rPr>
          <w:rFonts w:hint="eastAsia" w:ascii="宋体" w:hAnsi="宋体" w:cs="宋体"/>
          <w:color w:val="auto"/>
          <w:spacing w:val="20"/>
          <w:sz w:val="24"/>
          <w:highlight w:val="none"/>
          <w:u w:val="single"/>
        </w:rPr>
        <w:t xml:space="preserve">         </w:t>
      </w:r>
    </w:p>
    <w:p>
      <w:pPr>
        <w:snapToGrid w:val="0"/>
        <w:spacing w:before="50" w:after="156" w:afterLines="50"/>
        <w:jc w:val="left"/>
        <w:rPr>
          <w:rFonts w:ascii="宋体" w:hAnsi="宋体" w:cs="宋体"/>
          <w:color w:val="auto"/>
          <w:sz w:val="24"/>
          <w:szCs w:val="20"/>
          <w:highlight w:val="none"/>
        </w:rPr>
      </w:pPr>
    </w:p>
    <w:p>
      <w:pPr>
        <w:snapToGrid w:val="0"/>
        <w:spacing w:before="50" w:after="50" w:line="360" w:lineRule="auto"/>
        <w:ind w:right="-817" w:rightChars="-389" w:firstLine="5461" w:firstLineChars="1700"/>
        <w:rPr>
          <w:rFonts w:ascii="宋体" w:hAnsi="宋体" w:cs="宋体"/>
          <w:b/>
          <w:color w:val="auto"/>
          <w:sz w:val="32"/>
          <w:szCs w:val="32"/>
          <w:highlight w:val="none"/>
        </w:rPr>
      </w:pPr>
    </w:p>
    <w:p>
      <w:pPr>
        <w:spacing w:line="300" w:lineRule="auto"/>
        <w:rPr>
          <w:rFonts w:ascii="宋体" w:hAnsi="宋体" w:cs="宋体"/>
          <w:color w:val="auto"/>
          <w:szCs w:val="21"/>
          <w:highlight w:val="none"/>
        </w:rPr>
      </w:pPr>
      <w:r>
        <w:rPr>
          <w:rFonts w:hint="eastAsia" w:ascii="宋体" w:hAnsi="宋体" w:cs="宋体"/>
          <w:b/>
          <w:bCs/>
          <w:color w:val="auto"/>
          <w:sz w:val="24"/>
          <w:highlight w:val="none"/>
        </w:rPr>
        <w:br w:type="page"/>
      </w:r>
      <w:r>
        <w:rPr>
          <w:rFonts w:hint="eastAsia" w:ascii="宋体" w:hAnsi="宋体" w:cs="宋体"/>
          <w:b/>
          <w:bCs/>
          <w:color w:val="auto"/>
          <w:sz w:val="24"/>
          <w:highlight w:val="none"/>
        </w:rPr>
        <w:t>其他文书、文件格式</w:t>
      </w:r>
    </w:p>
    <w:p>
      <w:pPr>
        <w:jc w:val="center"/>
        <w:rPr>
          <w:rFonts w:ascii="宋体" w:hAnsi="宋体" w:cs="宋体"/>
          <w:color w:val="auto"/>
          <w:sz w:val="44"/>
          <w:szCs w:val="44"/>
          <w:highlight w:val="none"/>
        </w:rPr>
      </w:pPr>
      <w:bookmarkStart w:id="155" w:name="_Toc71365926"/>
      <w:r>
        <w:rPr>
          <w:rFonts w:hint="eastAsia" w:ascii="宋体" w:hAnsi="宋体" w:cs="宋体"/>
          <w:color w:val="auto"/>
          <w:sz w:val="44"/>
          <w:szCs w:val="44"/>
          <w:highlight w:val="none"/>
        </w:rPr>
        <w:t>中小企业声明函（服务）</w:t>
      </w:r>
      <w:bookmarkEnd w:id="155"/>
    </w:p>
    <w:p>
      <w:pPr>
        <w:spacing w:before="2" w:line="500" w:lineRule="exact"/>
        <w:ind w:firstLine="708" w:firstLineChars="294"/>
        <w:rPr>
          <w:rFonts w:ascii="宋体" w:hAnsi="宋体" w:cs="宋体"/>
          <w:b/>
          <w:bCs/>
          <w:color w:val="auto"/>
          <w:sz w:val="24"/>
          <w:highlight w:val="none"/>
        </w:rPr>
      </w:pPr>
    </w:p>
    <w:p>
      <w:pPr>
        <w:pStyle w:val="3"/>
        <w:spacing w:line="500" w:lineRule="exact"/>
        <w:ind w:right="142" w:firstLine="705" w:firstLineChars="294"/>
        <w:rPr>
          <w:rFonts w:ascii="宋体" w:hAnsi="宋体" w:cs="宋体"/>
          <w:color w:val="auto"/>
          <w:sz w:val="24"/>
          <w:highlight w:val="none"/>
        </w:rPr>
      </w:pPr>
      <w:r>
        <w:rPr>
          <w:rFonts w:hint="eastAsia" w:ascii="宋体" w:hAnsi="宋体" w:cs="宋体"/>
          <w:color w:val="auto"/>
          <w:sz w:val="24"/>
          <w:highlight w:val="none"/>
        </w:rPr>
        <w:t>本公司（联合体）郑重声明，根据《政府采购促进中小企业发展管理办法》（财库﹝2020﹞46号）的规定，本公司（联合体）参加</w:t>
      </w:r>
      <w:r>
        <w:rPr>
          <w:rFonts w:hint="eastAsia" w:ascii="宋体" w:hAnsi="宋体" w:cs="宋体"/>
          <w:color w:val="auto"/>
          <w:sz w:val="24"/>
          <w:highlight w:val="none"/>
          <w:u w:val="single"/>
        </w:rPr>
        <w:t>（单位名称）</w:t>
      </w:r>
      <w:r>
        <w:rPr>
          <w:rFonts w:hint="eastAsia" w:ascii="宋体" w:hAnsi="宋体" w:cs="宋体"/>
          <w:color w:val="auto"/>
          <w:sz w:val="24"/>
          <w:highlight w:val="none"/>
        </w:rPr>
        <w:t>的</w:t>
      </w:r>
      <w:r>
        <w:rPr>
          <w:rFonts w:hint="eastAsia" w:ascii="宋体" w:hAnsi="宋体" w:cs="宋体"/>
          <w:color w:val="auto"/>
          <w:sz w:val="24"/>
          <w:highlight w:val="none"/>
          <w:u w:val="single"/>
        </w:rPr>
        <w:t>（项目名称）</w:t>
      </w:r>
      <w:r>
        <w:rPr>
          <w:rFonts w:hint="eastAsia" w:ascii="宋体" w:hAnsi="宋体" w:cs="宋体"/>
          <w:color w:val="auto"/>
          <w:sz w:val="24"/>
          <w:highlight w:val="none"/>
        </w:rPr>
        <w:t>采购活动，服务全部由符合政策要求的中小企业承接。相关企业（含联合体中的中小企业、签订分包意向协议的中小企业）的具体情况如下：</w:t>
      </w:r>
    </w:p>
    <w:p>
      <w:pPr>
        <w:tabs>
          <w:tab w:val="left" w:pos="1384"/>
          <w:tab w:val="left" w:pos="4562"/>
          <w:tab w:val="left" w:pos="6803"/>
        </w:tabs>
        <w:spacing w:before="13" w:line="500" w:lineRule="exact"/>
        <w:ind w:right="142" w:firstLine="772" w:firstLineChars="322"/>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u w:val="single"/>
        </w:rPr>
        <w:t>（标的名称）</w:t>
      </w:r>
      <w:r>
        <w:rPr>
          <w:rFonts w:hint="eastAsia" w:ascii="宋体" w:hAnsi="宋体" w:cs="宋体"/>
          <w:color w:val="auto"/>
          <w:sz w:val="24"/>
          <w:highlight w:val="none"/>
        </w:rPr>
        <w:t>，属于</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w:t>
      </w:r>
      <w:r>
        <w:rPr>
          <w:rFonts w:hint="eastAsia" w:ascii="宋体" w:hAnsi="宋体" w:cs="宋体"/>
          <w:color w:val="auto"/>
          <w:kern w:val="24"/>
          <w:sz w:val="24"/>
          <w:highlight w:val="none"/>
        </w:rPr>
        <w:t>承接企业</w:t>
      </w:r>
      <w:r>
        <w:rPr>
          <w:rFonts w:hint="eastAsia" w:ascii="宋体" w:hAnsi="宋体" w:cs="宋体"/>
          <w:color w:val="auto"/>
          <w:sz w:val="24"/>
          <w:highlight w:val="none"/>
        </w:rPr>
        <w:t>为</w:t>
      </w:r>
      <w:r>
        <w:rPr>
          <w:rFonts w:hint="eastAsia" w:ascii="宋体" w:hAnsi="宋体" w:cs="宋体"/>
          <w:color w:val="auto"/>
          <w:sz w:val="24"/>
          <w:highlight w:val="none"/>
          <w:u w:val="single"/>
        </w:rPr>
        <w:t>（企业名称）</w:t>
      </w:r>
      <w:r>
        <w:rPr>
          <w:rFonts w:hint="eastAsia" w:ascii="宋体" w:hAnsi="宋体" w:cs="宋体"/>
          <w:color w:val="auto"/>
          <w:sz w:val="24"/>
          <w:highlight w:val="none"/>
        </w:rPr>
        <w:t>，从业人员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（中型企业、小型企业、微型企业）</w:t>
      </w:r>
      <w:r>
        <w:rPr>
          <w:rFonts w:hint="eastAsia" w:ascii="宋体" w:hAnsi="宋体" w:cs="宋体"/>
          <w:color w:val="auto"/>
          <w:sz w:val="24"/>
          <w:highlight w:val="none"/>
        </w:rPr>
        <w:t>；</w:t>
      </w:r>
    </w:p>
    <w:p>
      <w:pPr>
        <w:tabs>
          <w:tab w:val="left" w:pos="1065"/>
          <w:tab w:val="left" w:pos="4262"/>
          <w:tab w:val="left" w:pos="6477"/>
        </w:tabs>
        <w:spacing w:before="20" w:line="500" w:lineRule="exact"/>
        <w:ind w:right="84" w:firstLine="772" w:firstLineChars="322"/>
        <w:rPr>
          <w:rFonts w:ascii="宋体" w:hAnsi="宋体" w:cs="宋体"/>
          <w:color w:val="auto"/>
          <w:sz w:val="24"/>
          <w:highlight w:val="none"/>
          <w:u w:val="single"/>
        </w:rPr>
      </w:pPr>
      <w:r>
        <w:rPr>
          <w:rFonts w:hint="eastAsia" w:ascii="宋体" w:hAnsi="宋体" w:cs="宋体"/>
          <w:color w:val="auto"/>
          <w:sz w:val="24"/>
          <w:highlight w:val="none"/>
        </w:rPr>
        <w:t>2.</w:t>
      </w:r>
      <w:r>
        <w:rPr>
          <w:rFonts w:hint="eastAsia" w:ascii="宋体" w:hAnsi="宋体" w:cs="宋体"/>
          <w:color w:val="auto"/>
          <w:sz w:val="24"/>
          <w:highlight w:val="none"/>
          <w:u w:val="single"/>
        </w:rPr>
        <w:t>（标的名称）</w:t>
      </w:r>
      <w:r>
        <w:rPr>
          <w:rFonts w:hint="eastAsia" w:ascii="宋体" w:hAnsi="宋体" w:cs="宋体"/>
          <w:color w:val="auto"/>
          <w:sz w:val="24"/>
          <w:highlight w:val="none"/>
        </w:rPr>
        <w:t>，属于</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w:t>
      </w:r>
      <w:r>
        <w:rPr>
          <w:rFonts w:hint="eastAsia" w:ascii="宋体" w:hAnsi="宋体" w:cs="宋体"/>
          <w:color w:val="auto"/>
          <w:kern w:val="24"/>
          <w:sz w:val="24"/>
          <w:highlight w:val="none"/>
        </w:rPr>
        <w:t>承接企业</w:t>
      </w:r>
      <w:r>
        <w:rPr>
          <w:rFonts w:hint="eastAsia" w:ascii="宋体" w:hAnsi="宋体" w:cs="宋体"/>
          <w:color w:val="auto"/>
          <w:sz w:val="24"/>
          <w:highlight w:val="none"/>
        </w:rPr>
        <w:t>为</w:t>
      </w:r>
      <w:r>
        <w:rPr>
          <w:rFonts w:hint="eastAsia" w:ascii="宋体" w:hAnsi="宋体" w:cs="宋体"/>
          <w:color w:val="auto"/>
          <w:sz w:val="24"/>
          <w:highlight w:val="none"/>
          <w:u w:val="single"/>
        </w:rPr>
        <w:t>（企业名称）</w:t>
      </w:r>
      <w:r>
        <w:rPr>
          <w:rFonts w:hint="eastAsia" w:ascii="宋体" w:hAnsi="宋体" w:cs="宋体"/>
          <w:color w:val="auto"/>
          <w:sz w:val="24"/>
          <w:highlight w:val="none"/>
        </w:rPr>
        <w:t>，从业人员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（中型企业、小型企业、微型企业）</w:t>
      </w:r>
      <w:r>
        <w:rPr>
          <w:rFonts w:hint="eastAsia" w:ascii="宋体" w:hAnsi="宋体" w:cs="宋体"/>
          <w:color w:val="auto"/>
          <w:sz w:val="24"/>
          <w:highlight w:val="none"/>
        </w:rPr>
        <w:t>；</w:t>
      </w:r>
    </w:p>
    <w:p>
      <w:pPr>
        <w:pStyle w:val="3"/>
        <w:spacing w:before="34" w:line="500" w:lineRule="exact"/>
        <w:ind w:right="142" w:firstLine="705" w:firstLineChars="294"/>
        <w:rPr>
          <w:rFonts w:ascii="宋体" w:hAnsi="宋体" w:cs="宋体"/>
          <w:color w:val="auto"/>
          <w:sz w:val="24"/>
          <w:highlight w:val="none"/>
        </w:rPr>
      </w:pPr>
      <w:r>
        <w:rPr>
          <w:rFonts w:hint="eastAsia" w:ascii="宋体" w:hAnsi="宋体" w:cs="宋体"/>
          <w:color w:val="auto"/>
          <w:sz w:val="24"/>
          <w:highlight w:val="none"/>
        </w:rPr>
        <w:t xml:space="preserve">…… </w:t>
      </w:r>
    </w:p>
    <w:p>
      <w:pPr>
        <w:pStyle w:val="3"/>
        <w:spacing w:before="34" w:line="500" w:lineRule="exact"/>
        <w:ind w:right="142" w:firstLine="705" w:firstLineChars="294"/>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pPr>
        <w:pStyle w:val="3"/>
        <w:spacing w:before="25" w:line="500" w:lineRule="exact"/>
        <w:ind w:right="142" w:firstLine="705" w:firstLineChars="294"/>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pPr>
        <w:pStyle w:val="3"/>
        <w:spacing w:before="56" w:line="500" w:lineRule="exact"/>
        <w:ind w:right="1808" w:firstLine="705" w:firstLineChars="294"/>
        <w:rPr>
          <w:rFonts w:ascii="宋体" w:hAnsi="宋体" w:cs="宋体"/>
          <w:color w:val="auto"/>
          <w:sz w:val="24"/>
          <w:highlight w:val="none"/>
        </w:rPr>
      </w:pPr>
    </w:p>
    <w:p>
      <w:pPr>
        <w:pStyle w:val="3"/>
        <w:spacing w:before="56" w:line="500" w:lineRule="exact"/>
        <w:ind w:right="650" w:firstLine="5625" w:firstLineChars="2344"/>
        <w:rPr>
          <w:rFonts w:ascii="宋体" w:hAnsi="宋体" w:cs="宋体"/>
          <w:color w:val="auto"/>
          <w:sz w:val="24"/>
          <w:highlight w:val="none"/>
        </w:rPr>
      </w:pPr>
      <w:r>
        <w:rPr>
          <w:rFonts w:hint="eastAsia" w:ascii="宋体" w:hAnsi="宋体" w:cs="宋体"/>
          <w:color w:val="auto"/>
          <w:sz w:val="24"/>
          <w:highlight w:val="none"/>
        </w:rPr>
        <w:t xml:space="preserve">企业名称（章）： </w:t>
      </w:r>
    </w:p>
    <w:p>
      <w:pPr>
        <w:pStyle w:val="3"/>
        <w:spacing w:before="56" w:line="500" w:lineRule="exact"/>
        <w:ind w:right="1808" w:firstLine="5625" w:firstLineChars="2344"/>
        <w:rPr>
          <w:rFonts w:ascii="宋体" w:hAnsi="宋体" w:cs="宋体"/>
          <w:color w:val="auto"/>
          <w:sz w:val="24"/>
          <w:highlight w:val="none"/>
        </w:rPr>
      </w:pPr>
      <w:r>
        <w:rPr>
          <w:rFonts w:hint="eastAsia" w:ascii="宋体" w:hAnsi="宋体" w:cs="宋体"/>
          <w:color w:val="auto"/>
          <w:sz w:val="24"/>
          <w:highlight w:val="none"/>
        </w:rPr>
        <w:t>日 期：</w:t>
      </w:r>
    </w:p>
    <w:p>
      <w:pPr>
        <w:spacing w:line="520" w:lineRule="exact"/>
        <w:jc w:val="left"/>
        <w:rPr>
          <w:rFonts w:ascii="宋体" w:hAnsi="宋体" w:cs="宋体"/>
          <w:color w:val="auto"/>
          <w:sz w:val="24"/>
          <w:highlight w:val="none"/>
        </w:rPr>
      </w:pPr>
      <w:r>
        <w:rPr>
          <w:rFonts w:hint="eastAsia" w:ascii="宋体" w:hAnsi="宋体" w:cs="宋体"/>
          <w:color w:val="auto"/>
          <w:sz w:val="24"/>
          <w:highlight w:val="none"/>
        </w:rPr>
        <w:t>注：享受《政府采购促进中小企业发展管理办法》（财库〔2020〕46号）规定的中小企业扶持政策的，采购人、采购代理机构应当随成交结果公开成交供应商的《中小企业声明函》。从业人员、营业收入、资产总额填报上一年度数据，无上一年度数据的新成立企业可不填报。</w:t>
      </w:r>
    </w:p>
    <w:p>
      <w:pPr>
        <w:spacing w:line="520" w:lineRule="exact"/>
        <w:jc w:val="center"/>
        <w:rPr>
          <w:rFonts w:ascii="宋体" w:hAnsi="宋体" w:cs="宋体"/>
          <w:color w:val="auto"/>
          <w:sz w:val="24"/>
          <w:highlight w:val="none"/>
        </w:rPr>
      </w:pPr>
    </w:p>
    <w:p>
      <w:pPr>
        <w:pStyle w:val="18"/>
        <w:jc w:val="left"/>
        <w:rPr>
          <w:rFonts w:hAnsi="宋体" w:cs="宋体"/>
          <w:color w:val="auto"/>
          <w:sz w:val="32"/>
          <w:szCs w:val="32"/>
          <w:highlight w:val="none"/>
        </w:rPr>
      </w:pPr>
      <w:r>
        <w:rPr>
          <w:rFonts w:hint="eastAsia" w:hAnsi="宋体" w:cs="宋体"/>
          <w:color w:val="auto"/>
          <w:sz w:val="24"/>
          <w:highlight w:val="none"/>
        </w:rPr>
        <w:br w:type="page"/>
      </w:r>
      <w:r>
        <w:rPr>
          <w:rFonts w:hint="eastAsia" w:hAnsi="宋体" w:cs="宋体"/>
          <w:color w:val="auto"/>
          <w:sz w:val="32"/>
          <w:szCs w:val="32"/>
          <w:highlight w:val="none"/>
        </w:rPr>
        <w:t>附：</w:t>
      </w:r>
    </w:p>
    <w:p>
      <w:pPr>
        <w:jc w:val="center"/>
        <w:rPr>
          <w:rFonts w:ascii="宋体" w:hAnsi="宋体" w:cs="宋体"/>
          <w:color w:val="auto"/>
          <w:sz w:val="44"/>
          <w:szCs w:val="44"/>
          <w:highlight w:val="none"/>
        </w:rPr>
      </w:pPr>
      <w:r>
        <w:rPr>
          <w:rFonts w:hint="eastAsia" w:ascii="宋体" w:hAnsi="宋体" w:cs="宋体"/>
          <w:color w:val="auto"/>
          <w:sz w:val="44"/>
          <w:szCs w:val="44"/>
          <w:highlight w:val="none"/>
        </w:rPr>
        <w:t>中小微企业划型标准</w:t>
      </w:r>
    </w:p>
    <w:p>
      <w:pPr>
        <w:ind w:left="1871"/>
        <w:rPr>
          <w:rFonts w:ascii="宋体" w:hAnsi="宋体" w:cs="宋体"/>
          <w:color w:val="auto"/>
          <w:szCs w:val="21"/>
          <w:highlight w:val="none"/>
        </w:rPr>
      </w:pPr>
    </w:p>
    <w:tbl>
      <w:tblPr>
        <w:tblStyle w:val="30"/>
        <w:tblW w:w="7983" w:type="dxa"/>
        <w:jc w:val="center"/>
        <w:tblLayout w:type="fixed"/>
        <w:tblCellMar>
          <w:top w:w="0" w:type="dxa"/>
          <w:left w:w="108" w:type="dxa"/>
          <w:bottom w:w="0" w:type="dxa"/>
          <w:right w:w="108" w:type="dxa"/>
        </w:tblCellMar>
      </w:tblPr>
      <w:tblGrid>
        <w:gridCol w:w="1701"/>
        <w:gridCol w:w="1384"/>
        <w:gridCol w:w="913"/>
        <w:gridCol w:w="1620"/>
        <w:gridCol w:w="1440"/>
        <w:gridCol w:w="925"/>
      </w:tblGrid>
      <w:tr>
        <w:tblPrEx>
          <w:tblCellMar>
            <w:top w:w="0" w:type="dxa"/>
            <w:left w:w="108" w:type="dxa"/>
            <w:bottom w:w="0" w:type="dxa"/>
            <w:right w:w="108" w:type="dxa"/>
          </w:tblCellMar>
        </w:tblPrEx>
        <w:trPr>
          <w:trHeight w:val="285" w:hRule="atLeast"/>
          <w:jc w:val="center"/>
        </w:trPr>
        <w:tc>
          <w:tcPr>
            <w:tcW w:w="170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color w:val="auto"/>
                <w:kern w:val="0"/>
                <w:sz w:val="24"/>
                <w:highlight w:val="none"/>
              </w:rPr>
            </w:pPr>
            <w:r>
              <w:rPr>
                <w:rFonts w:hint="eastAsia" w:ascii="宋体" w:hAnsi="宋体" w:cs="宋体"/>
                <w:b/>
                <w:color w:val="auto"/>
                <w:kern w:val="0"/>
                <w:sz w:val="24"/>
                <w:highlight w:val="none"/>
              </w:rPr>
              <w:t>行业名称</w:t>
            </w:r>
          </w:p>
        </w:tc>
        <w:tc>
          <w:tcPr>
            <w:tcW w:w="1384"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b/>
                <w:color w:val="auto"/>
                <w:kern w:val="0"/>
                <w:sz w:val="24"/>
                <w:highlight w:val="none"/>
              </w:rPr>
            </w:pPr>
            <w:r>
              <w:rPr>
                <w:rFonts w:hint="eastAsia" w:ascii="宋体" w:hAnsi="宋体" w:cs="宋体"/>
                <w:b/>
                <w:color w:val="auto"/>
                <w:kern w:val="0"/>
                <w:sz w:val="24"/>
                <w:highlight w:val="none"/>
              </w:rPr>
              <w:t>指标名称</w:t>
            </w:r>
          </w:p>
        </w:tc>
        <w:tc>
          <w:tcPr>
            <w:tcW w:w="913"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b/>
                <w:color w:val="auto"/>
                <w:kern w:val="0"/>
                <w:sz w:val="24"/>
                <w:highlight w:val="none"/>
              </w:rPr>
            </w:pPr>
            <w:r>
              <w:rPr>
                <w:rFonts w:hint="eastAsia" w:ascii="宋体" w:hAnsi="宋体" w:cs="宋体"/>
                <w:b/>
                <w:color w:val="auto"/>
                <w:kern w:val="0"/>
                <w:sz w:val="24"/>
                <w:highlight w:val="none"/>
              </w:rPr>
              <w:t>计量单位</w:t>
            </w:r>
          </w:p>
        </w:tc>
        <w:tc>
          <w:tcPr>
            <w:tcW w:w="1620"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b/>
                <w:color w:val="auto"/>
                <w:kern w:val="0"/>
                <w:sz w:val="24"/>
                <w:highlight w:val="none"/>
              </w:rPr>
            </w:pPr>
            <w:r>
              <w:rPr>
                <w:rFonts w:hint="eastAsia" w:ascii="宋体" w:hAnsi="宋体" w:cs="宋体"/>
                <w:b/>
                <w:color w:val="auto"/>
                <w:kern w:val="0"/>
                <w:sz w:val="24"/>
                <w:highlight w:val="none"/>
              </w:rPr>
              <w:t>中型</w:t>
            </w:r>
          </w:p>
        </w:tc>
        <w:tc>
          <w:tcPr>
            <w:tcW w:w="1440"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b/>
                <w:color w:val="auto"/>
                <w:kern w:val="0"/>
                <w:sz w:val="24"/>
                <w:highlight w:val="none"/>
              </w:rPr>
            </w:pPr>
            <w:r>
              <w:rPr>
                <w:rFonts w:hint="eastAsia" w:ascii="宋体" w:hAnsi="宋体" w:cs="宋体"/>
                <w:b/>
                <w:color w:val="auto"/>
                <w:kern w:val="0"/>
                <w:sz w:val="24"/>
                <w:highlight w:val="none"/>
              </w:rPr>
              <w:t>小型</w:t>
            </w:r>
          </w:p>
        </w:tc>
        <w:tc>
          <w:tcPr>
            <w:tcW w:w="925"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b/>
                <w:color w:val="auto"/>
                <w:kern w:val="0"/>
                <w:sz w:val="24"/>
                <w:highlight w:val="none"/>
              </w:rPr>
            </w:pPr>
            <w:r>
              <w:rPr>
                <w:rFonts w:hint="eastAsia" w:ascii="宋体" w:hAnsi="宋体" w:cs="宋体"/>
                <w:b/>
                <w:color w:val="auto"/>
                <w:kern w:val="0"/>
                <w:sz w:val="24"/>
                <w:highlight w:val="none"/>
              </w:rPr>
              <w:t>微型</w:t>
            </w:r>
          </w:p>
        </w:tc>
      </w:tr>
      <w:tr>
        <w:tblPrEx>
          <w:tblCellMar>
            <w:top w:w="0" w:type="dxa"/>
            <w:left w:w="108" w:type="dxa"/>
            <w:bottom w:w="0" w:type="dxa"/>
            <w:right w:w="108" w:type="dxa"/>
          </w:tblCellMar>
        </w:tblPrEx>
        <w:trPr>
          <w:trHeight w:val="225" w:hRule="atLeast"/>
          <w:jc w:val="center"/>
        </w:trPr>
        <w:tc>
          <w:tcPr>
            <w:tcW w:w="1701" w:type="dxa"/>
            <w:tcBorders>
              <w:top w:val="nil"/>
              <w:left w:val="single" w:color="auto" w:sz="4" w:space="0"/>
              <w:bottom w:val="single" w:color="auto" w:sz="4" w:space="0"/>
              <w:right w:val="single" w:color="auto" w:sz="4" w:space="0"/>
            </w:tcBorders>
            <w:vAlign w:val="bottom"/>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农、林、牧、渔</w:t>
            </w:r>
          </w:p>
        </w:tc>
        <w:tc>
          <w:tcPr>
            <w:tcW w:w="1384"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500≤Y＜20000</w:t>
            </w:r>
          </w:p>
        </w:tc>
        <w:tc>
          <w:tcPr>
            <w:tcW w:w="144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50≤Y＜500</w:t>
            </w:r>
          </w:p>
        </w:tc>
        <w:tc>
          <w:tcPr>
            <w:tcW w:w="925"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w:t>
            </w:r>
          </w:p>
        </w:tc>
      </w:tr>
      <w:tr>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工业</w:t>
            </w:r>
          </w:p>
        </w:tc>
        <w:tc>
          <w:tcPr>
            <w:tcW w:w="1384"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4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925"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2000≤Y＜40000</w:t>
            </w:r>
          </w:p>
        </w:tc>
        <w:tc>
          <w:tcPr>
            <w:tcW w:w="144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300≤Y＜2000</w:t>
            </w:r>
          </w:p>
        </w:tc>
        <w:tc>
          <w:tcPr>
            <w:tcW w:w="925"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w:t>
            </w:r>
          </w:p>
        </w:tc>
      </w:tr>
      <w:tr>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建筑业</w:t>
            </w:r>
          </w:p>
        </w:tc>
        <w:tc>
          <w:tcPr>
            <w:tcW w:w="1384"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6000≤Y＜80000</w:t>
            </w:r>
          </w:p>
        </w:tc>
        <w:tc>
          <w:tcPr>
            <w:tcW w:w="144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300≤Y＜6000</w:t>
            </w:r>
          </w:p>
        </w:tc>
        <w:tc>
          <w:tcPr>
            <w:tcW w:w="925"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w:t>
            </w:r>
          </w:p>
        </w:tc>
      </w:tr>
      <w:tr>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91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5000≤Z＜80000</w:t>
            </w:r>
          </w:p>
        </w:tc>
        <w:tc>
          <w:tcPr>
            <w:tcW w:w="144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300≤Z＜5000</w:t>
            </w:r>
          </w:p>
        </w:tc>
        <w:tc>
          <w:tcPr>
            <w:tcW w:w="925"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Z＜300</w:t>
            </w:r>
          </w:p>
        </w:tc>
      </w:tr>
      <w:tr>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批发业</w:t>
            </w:r>
          </w:p>
        </w:tc>
        <w:tc>
          <w:tcPr>
            <w:tcW w:w="1384"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20≤X＜200</w:t>
            </w:r>
          </w:p>
        </w:tc>
        <w:tc>
          <w:tcPr>
            <w:tcW w:w="144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5≤X＜20</w:t>
            </w:r>
          </w:p>
        </w:tc>
        <w:tc>
          <w:tcPr>
            <w:tcW w:w="925"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X＜5</w:t>
            </w:r>
          </w:p>
        </w:tc>
      </w:tr>
      <w:tr>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5000≤Y＜40000</w:t>
            </w:r>
          </w:p>
        </w:tc>
        <w:tc>
          <w:tcPr>
            <w:tcW w:w="144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1000≤Y＜5000</w:t>
            </w:r>
          </w:p>
        </w:tc>
        <w:tc>
          <w:tcPr>
            <w:tcW w:w="925"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w:t>
            </w:r>
          </w:p>
        </w:tc>
      </w:tr>
      <w:tr>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零售业</w:t>
            </w:r>
          </w:p>
        </w:tc>
        <w:tc>
          <w:tcPr>
            <w:tcW w:w="1384"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50≤X＜300</w:t>
            </w:r>
          </w:p>
        </w:tc>
        <w:tc>
          <w:tcPr>
            <w:tcW w:w="144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10≤X＜50</w:t>
            </w:r>
          </w:p>
        </w:tc>
        <w:tc>
          <w:tcPr>
            <w:tcW w:w="925"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500≤Y＜20000</w:t>
            </w:r>
          </w:p>
        </w:tc>
        <w:tc>
          <w:tcPr>
            <w:tcW w:w="144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100≤Y＜500</w:t>
            </w:r>
          </w:p>
        </w:tc>
        <w:tc>
          <w:tcPr>
            <w:tcW w:w="925"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交通运输业</w:t>
            </w:r>
          </w:p>
        </w:tc>
        <w:tc>
          <w:tcPr>
            <w:tcW w:w="1384"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4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925"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3000≤Y＜30000</w:t>
            </w:r>
          </w:p>
        </w:tc>
        <w:tc>
          <w:tcPr>
            <w:tcW w:w="144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200≤Y＜3000</w:t>
            </w:r>
          </w:p>
        </w:tc>
        <w:tc>
          <w:tcPr>
            <w:tcW w:w="925"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w:t>
            </w:r>
          </w:p>
        </w:tc>
      </w:tr>
      <w:tr>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仓储业</w:t>
            </w:r>
          </w:p>
        </w:tc>
        <w:tc>
          <w:tcPr>
            <w:tcW w:w="1384"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100≤X＜200</w:t>
            </w:r>
          </w:p>
        </w:tc>
        <w:tc>
          <w:tcPr>
            <w:tcW w:w="144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20≤X＜100</w:t>
            </w:r>
          </w:p>
        </w:tc>
        <w:tc>
          <w:tcPr>
            <w:tcW w:w="925"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1000≤Y＜30000</w:t>
            </w:r>
          </w:p>
        </w:tc>
        <w:tc>
          <w:tcPr>
            <w:tcW w:w="144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925"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邮政业</w:t>
            </w:r>
          </w:p>
        </w:tc>
        <w:tc>
          <w:tcPr>
            <w:tcW w:w="1384"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4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925"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2000≤Y＜30000</w:t>
            </w:r>
          </w:p>
        </w:tc>
        <w:tc>
          <w:tcPr>
            <w:tcW w:w="144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925"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住宿业</w:t>
            </w:r>
          </w:p>
        </w:tc>
        <w:tc>
          <w:tcPr>
            <w:tcW w:w="1384"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44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25"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2000≤Y＜10000</w:t>
            </w:r>
          </w:p>
        </w:tc>
        <w:tc>
          <w:tcPr>
            <w:tcW w:w="144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925"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餐饮业</w:t>
            </w:r>
          </w:p>
        </w:tc>
        <w:tc>
          <w:tcPr>
            <w:tcW w:w="1384"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44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25"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2000≤Y＜10000</w:t>
            </w:r>
          </w:p>
        </w:tc>
        <w:tc>
          <w:tcPr>
            <w:tcW w:w="144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925"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信息传输业</w:t>
            </w:r>
          </w:p>
        </w:tc>
        <w:tc>
          <w:tcPr>
            <w:tcW w:w="1384"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100≤X＜2000</w:t>
            </w:r>
          </w:p>
        </w:tc>
        <w:tc>
          <w:tcPr>
            <w:tcW w:w="144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25"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1000≤Y＜100000</w:t>
            </w:r>
          </w:p>
        </w:tc>
        <w:tc>
          <w:tcPr>
            <w:tcW w:w="144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925"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软件和信息技术服务业</w:t>
            </w:r>
          </w:p>
        </w:tc>
        <w:tc>
          <w:tcPr>
            <w:tcW w:w="1384"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44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25"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1000≤Y＜10000</w:t>
            </w:r>
          </w:p>
        </w:tc>
        <w:tc>
          <w:tcPr>
            <w:tcW w:w="144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50≤Y＜1000</w:t>
            </w:r>
          </w:p>
        </w:tc>
        <w:tc>
          <w:tcPr>
            <w:tcW w:w="925"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w:t>
            </w:r>
          </w:p>
        </w:tc>
      </w:tr>
      <w:tr>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房地产开发经营</w:t>
            </w:r>
          </w:p>
        </w:tc>
        <w:tc>
          <w:tcPr>
            <w:tcW w:w="1384"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1000≤Y＜200000</w:t>
            </w:r>
          </w:p>
        </w:tc>
        <w:tc>
          <w:tcPr>
            <w:tcW w:w="144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100≤X＜1000</w:t>
            </w:r>
          </w:p>
        </w:tc>
        <w:tc>
          <w:tcPr>
            <w:tcW w:w="925"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w:t>
            </w:r>
          </w:p>
        </w:tc>
      </w:tr>
      <w:tr>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91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5000≤Z＜10000</w:t>
            </w:r>
          </w:p>
        </w:tc>
        <w:tc>
          <w:tcPr>
            <w:tcW w:w="144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2000≤Y＜5000</w:t>
            </w:r>
          </w:p>
        </w:tc>
        <w:tc>
          <w:tcPr>
            <w:tcW w:w="925"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Y＜2000</w:t>
            </w:r>
          </w:p>
        </w:tc>
      </w:tr>
      <w:tr>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物业管理</w:t>
            </w:r>
          </w:p>
        </w:tc>
        <w:tc>
          <w:tcPr>
            <w:tcW w:w="1384"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4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925"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w:t>
            </w:r>
          </w:p>
        </w:tc>
      </w:tr>
      <w:tr>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1000≤Y＜5000</w:t>
            </w:r>
          </w:p>
        </w:tc>
        <w:tc>
          <w:tcPr>
            <w:tcW w:w="144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500≤Y＜1000</w:t>
            </w:r>
          </w:p>
        </w:tc>
        <w:tc>
          <w:tcPr>
            <w:tcW w:w="925"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Y＜500</w:t>
            </w:r>
          </w:p>
        </w:tc>
      </w:tr>
      <w:tr>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租赁和商务服务业</w:t>
            </w:r>
          </w:p>
        </w:tc>
        <w:tc>
          <w:tcPr>
            <w:tcW w:w="1384"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44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25"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91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8000≤Z＜120000</w:t>
            </w:r>
          </w:p>
        </w:tc>
        <w:tc>
          <w:tcPr>
            <w:tcW w:w="144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100≤Z＜8000</w:t>
            </w:r>
          </w:p>
        </w:tc>
        <w:tc>
          <w:tcPr>
            <w:tcW w:w="925"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tblPrEx>
          <w:tblCellMar>
            <w:top w:w="0" w:type="dxa"/>
            <w:left w:w="108" w:type="dxa"/>
            <w:bottom w:w="0" w:type="dxa"/>
            <w:right w:w="108" w:type="dxa"/>
          </w:tblCellMar>
        </w:tblPrEx>
        <w:trPr>
          <w:trHeight w:val="225" w:hRule="atLeast"/>
          <w:jc w:val="center"/>
        </w:trPr>
        <w:tc>
          <w:tcPr>
            <w:tcW w:w="1701" w:type="dxa"/>
            <w:tcBorders>
              <w:top w:val="nil"/>
              <w:left w:val="single" w:color="auto" w:sz="4" w:space="0"/>
              <w:bottom w:val="single" w:color="auto" w:sz="4" w:space="0"/>
              <w:right w:val="single" w:color="auto" w:sz="4" w:space="0"/>
            </w:tcBorders>
            <w:vAlign w:val="bottom"/>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其他未列明行业</w:t>
            </w:r>
          </w:p>
        </w:tc>
        <w:tc>
          <w:tcPr>
            <w:tcW w:w="1384"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44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25"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bl>
    <w:p>
      <w:pPr>
        <w:spacing w:line="360" w:lineRule="auto"/>
        <w:ind w:firstLine="525" w:firstLineChars="250"/>
        <w:rPr>
          <w:rFonts w:ascii="宋体" w:hAnsi="宋体" w:cs="宋体"/>
          <w:color w:val="auto"/>
          <w:szCs w:val="21"/>
          <w:highlight w:val="none"/>
        </w:rPr>
      </w:pPr>
    </w:p>
    <w:p>
      <w:pPr>
        <w:spacing w:line="360" w:lineRule="auto"/>
        <w:ind w:firstLine="525" w:firstLineChars="250"/>
        <w:rPr>
          <w:rFonts w:ascii="宋体" w:hAnsi="宋体" w:cs="宋体"/>
          <w:color w:val="auto"/>
          <w:szCs w:val="21"/>
          <w:highlight w:val="none"/>
        </w:rPr>
      </w:pPr>
      <w:r>
        <w:rPr>
          <w:rFonts w:hint="eastAsia" w:ascii="宋体" w:hAnsi="宋体" w:cs="宋体"/>
          <w:color w:val="auto"/>
          <w:szCs w:val="21"/>
          <w:highlight w:val="none"/>
        </w:rPr>
        <w:t>说明：上述标准参照《关于印发中小企业划型标准规定的通知》（工信部联企业[2011]300号），大型、中型和小型企业须同时满足所列指标的下限，否则下划一档；微型企业只须满足所列指标中的一项即可。</w:t>
      </w:r>
    </w:p>
    <w:p>
      <w:pPr>
        <w:spacing w:line="520" w:lineRule="exact"/>
        <w:jc w:val="center"/>
        <w:rPr>
          <w:rFonts w:ascii="宋体" w:hAnsi="宋体" w:cs="宋体"/>
          <w:color w:val="auto"/>
          <w:sz w:val="32"/>
          <w:szCs w:val="32"/>
          <w:highlight w:val="none"/>
        </w:rPr>
      </w:pPr>
      <w:r>
        <w:rPr>
          <w:rFonts w:hint="eastAsia" w:ascii="宋体" w:hAnsi="宋体" w:cs="宋体"/>
          <w:color w:val="auto"/>
          <w:sz w:val="24"/>
          <w:highlight w:val="none"/>
        </w:rPr>
        <w:br w:type="page"/>
      </w:r>
      <w:r>
        <w:rPr>
          <w:rFonts w:hint="eastAsia" w:ascii="宋体" w:hAnsi="宋体" w:cs="宋体"/>
          <w:color w:val="auto"/>
          <w:sz w:val="44"/>
          <w:szCs w:val="44"/>
          <w:highlight w:val="none"/>
        </w:rPr>
        <w:t>残疾人福利性单位声明函</w:t>
      </w:r>
    </w:p>
    <w:p>
      <w:pPr>
        <w:spacing w:line="360" w:lineRule="auto"/>
        <w:contextualSpacing/>
        <w:rPr>
          <w:rFonts w:ascii="宋体" w:hAnsi="宋体" w:cs="宋体"/>
          <w:color w:val="auto"/>
          <w:sz w:val="32"/>
          <w:szCs w:val="32"/>
          <w:highlight w:val="none"/>
        </w:rPr>
      </w:pPr>
    </w:p>
    <w:p>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单位的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pPr>
        <w:spacing w:line="360" w:lineRule="auto"/>
        <w:contextualSpacing/>
        <w:rPr>
          <w:rFonts w:ascii="宋体" w:hAnsi="宋体" w:cs="宋体"/>
          <w:color w:val="auto"/>
          <w:sz w:val="24"/>
          <w:highlight w:val="none"/>
        </w:rPr>
      </w:pPr>
    </w:p>
    <w:p>
      <w:pPr>
        <w:spacing w:line="360" w:lineRule="auto"/>
        <w:contextualSpacing/>
        <w:rPr>
          <w:rFonts w:ascii="宋体" w:hAnsi="宋体" w:cs="宋体"/>
          <w:color w:val="auto"/>
          <w:sz w:val="24"/>
          <w:highlight w:val="none"/>
        </w:rPr>
      </w:pPr>
    </w:p>
    <w:p>
      <w:pPr>
        <w:spacing w:line="360" w:lineRule="auto"/>
        <w:contextualSpacing/>
        <w:rPr>
          <w:rFonts w:ascii="宋体" w:hAnsi="宋体" w:cs="宋体"/>
          <w:color w:val="auto"/>
          <w:sz w:val="24"/>
          <w:highlight w:val="none"/>
        </w:rPr>
      </w:pPr>
    </w:p>
    <w:p>
      <w:pPr>
        <w:spacing w:line="360" w:lineRule="auto"/>
        <w:ind w:firstLine="2400" w:firstLineChars="1000"/>
        <w:contextualSpacing/>
        <w:rPr>
          <w:rFonts w:ascii="宋体" w:hAnsi="宋体" w:cs="宋体"/>
          <w:color w:val="auto"/>
          <w:sz w:val="24"/>
          <w:highlight w:val="none"/>
        </w:rPr>
      </w:pPr>
      <w:r>
        <w:rPr>
          <w:rFonts w:hint="eastAsia" w:ascii="宋体" w:hAnsi="宋体" w:cs="宋体"/>
          <w:color w:val="auto"/>
          <w:sz w:val="24"/>
          <w:highlight w:val="none"/>
        </w:rPr>
        <w:t>单位名称（盖章）：</w:t>
      </w:r>
    </w:p>
    <w:p>
      <w:pPr>
        <w:spacing w:line="360" w:lineRule="auto"/>
        <w:ind w:firstLine="3600" w:firstLineChars="1500"/>
        <w:contextualSpacing/>
        <w:rPr>
          <w:rFonts w:ascii="宋体" w:hAnsi="宋体" w:cs="宋体"/>
          <w:color w:val="auto"/>
          <w:sz w:val="24"/>
          <w:highlight w:val="none"/>
        </w:rPr>
      </w:pPr>
      <w:r>
        <w:rPr>
          <w:rFonts w:hint="eastAsia" w:ascii="宋体" w:hAnsi="宋体" w:cs="宋体"/>
          <w:color w:val="auto"/>
          <w:sz w:val="24"/>
          <w:highlight w:val="none"/>
        </w:rPr>
        <w:t>日  期：</w:t>
      </w:r>
    </w:p>
    <w:p>
      <w:pPr>
        <w:spacing w:line="360" w:lineRule="auto"/>
        <w:contextualSpacing/>
        <w:rPr>
          <w:rFonts w:ascii="宋体" w:hAnsi="宋体" w:cs="宋体"/>
          <w:color w:val="auto"/>
          <w:sz w:val="24"/>
          <w:highlight w:val="none"/>
        </w:rPr>
      </w:pPr>
    </w:p>
    <w:p>
      <w:pPr>
        <w:spacing w:line="360" w:lineRule="auto"/>
        <w:contextualSpacing/>
        <w:rPr>
          <w:rFonts w:ascii="宋体" w:hAnsi="宋体" w:cs="宋体"/>
          <w:color w:val="auto"/>
          <w:sz w:val="24"/>
          <w:highlight w:val="none"/>
        </w:rPr>
      </w:pPr>
    </w:p>
    <w:p>
      <w:pPr>
        <w:spacing w:line="360" w:lineRule="auto"/>
        <w:contextualSpacing/>
        <w:rPr>
          <w:rFonts w:ascii="宋体" w:hAnsi="宋体" w:cs="宋体"/>
          <w:color w:val="auto"/>
          <w:sz w:val="24"/>
          <w:highlight w:val="none"/>
        </w:rPr>
      </w:pPr>
    </w:p>
    <w:p>
      <w:pPr>
        <w:spacing w:line="360" w:lineRule="auto"/>
        <w:contextualSpacing/>
        <w:rPr>
          <w:rFonts w:ascii="宋体" w:hAnsi="宋体" w:cs="宋体"/>
          <w:color w:val="auto"/>
          <w:sz w:val="24"/>
          <w:highlight w:val="none"/>
        </w:rPr>
      </w:pPr>
      <w:r>
        <w:rPr>
          <w:rFonts w:hint="eastAsia" w:ascii="宋体" w:hAnsi="宋体" w:cs="宋体"/>
          <w:color w:val="auto"/>
          <w:sz w:val="24"/>
          <w:highlight w:val="none"/>
        </w:rPr>
        <w:t>注：请根据自己的真实情况出具《残疾人福利性单位声明函》。依法享受中小企业优惠政策的，采购人或者采购代理机构在公告中标结果时，同时公告其《残疾人福利性单位声明函》，接受社会监督。</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p>
    <w:p>
      <w:pPr>
        <w:spacing w:line="360" w:lineRule="auto"/>
        <w:jc w:val="center"/>
        <w:rPr>
          <w:rFonts w:ascii="宋体" w:hAnsi="宋体" w:cs="宋体"/>
          <w:b/>
          <w:bCs/>
          <w:color w:val="auto"/>
          <w:sz w:val="32"/>
          <w:szCs w:val="32"/>
          <w:highlight w:val="none"/>
        </w:rPr>
      </w:pPr>
      <w:r>
        <w:rPr>
          <w:rFonts w:hint="eastAsia" w:ascii="宋体" w:hAnsi="宋体" w:cs="宋体"/>
          <w:color w:val="auto"/>
          <w:sz w:val="44"/>
          <w:szCs w:val="44"/>
          <w:highlight w:val="none"/>
        </w:rPr>
        <w:t>质疑函</w:t>
      </w:r>
      <w:r>
        <w:rPr>
          <w:rFonts w:hint="eastAsia" w:ascii="宋体" w:hAnsi="宋体" w:cs="宋体"/>
          <w:color w:val="auto"/>
          <w:sz w:val="28"/>
          <w:szCs w:val="28"/>
          <w:highlight w:val="none"/>
        </w:rPr>
        <w:t>（格式）</w:t>
      </w:r>
    </w:p>
    <w:p>
      <w:pPr>
        <w:pStyle w:val="18"/>
        <w:spacing w:line="360" w:lineRule="auto"/>
        <w:ind w:firstLine="482" w:firstLineChars="200"/>
        <w:contextualSpacing/>
        <w:rPr>
          <w:rFonts w:hAnsi="宋体" w:cs="宋体"/>
          <w:b/>
          <w:bCs/>
          <w:color w:val="auto"/>
          <w:sz w:val="24"/>
          <w:szCs w:val="24"/>
          <w:highlight w:val="none"/>
        </w:rPr>
      </w:pPr>
      <w:r>
        <w:rPr>
          <w:rFonts w:hint="eastAsia" w:hAnsi="宋体" w:cs="宋体"/>
          <w:b/>
          <w:bCs/>
          <w:color w:val="auto"/>
          <w:sz w:val="24"/>
          <w:szCs w:val="24"/>
          <w:highlight w:val="none"/>
        </w:rPr>
        <w:t>一、质疑供应商基本信息：</w:t>
      </w:r>
    </w:p>
    <w:p>
      <w:pPr>
        <w:pStyle w:val="18"/>
        <w:spacing w:line="360" w:lineRule="auto"/>
        <w:ind w:firstLine="480" w:firstLineChars="200"/>
        <w:contextualSpacing/>
        <w:rPr>
          <w:rFonts w:hAnsi="宋体" w:cs="宋体"/>
          <w:bCs/>
          <w:color w:val="auto"/>
          <w:sz w:val="24"/>
          <w:szCs w:val="24"/>
          <w:highlight w:val="none"/>
          <w:u w:val="single"/>
        </w:rPr>
      </w:pPr>
      <w:r>
        <w:rPr>
          <w:rFonts w:hint="eastAsia" w:hAnsi="宋体" w:cs="宋体"/>
          <w:bCs/>
          <w:color w:val="auto"/>
          <w:sz w:val="24"/>
          <w:szCs w:val="24"/>
          <w:highlight w:val="none"/>
        </w:rPr>
        <w:t>质疑供应商：</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 xml:space="preserve">                 </w:t>
      </w:r>
    </w:p>
    <w:p>
      <w:pPr>
        <w:pStyle w:val="18"/>
        <w:spacing w:line="360" w:lineRule="auto"/>
        <w:ind w:firstLine="480" w:firstLineChars="200"/>
        <w:contextualSpacing/>
        <w:rPr>
          <w:rFonts w:hAnsi="宋体" w:cs="宋体"/>
          <w:bCs/>
          <w:color w:val="auto"/>
          <w:sz w:val="24"/>
          <w:szCs w:val="24"/>
          <w:highlight w:val="none"/>
        </w:rPr>
      </w:pPr>
      <w:r>
        <w:rPr>
          <w:rFonts w:hint="eastAsia" w:hAnsi="宋体" w:cs="宋体"/>
          <w:bCs/>
          <w:color w:val="auto"/>
          <w:sz w:val="24"/>
          <w:szCs w:val="24"/>
          <w:highlight w:val="none"/>
        </w:rPr>
        <w:t>地址：</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邮编：</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 xml:space="preserve">                 </w:t>
      </w:r>
    </w:p>
    <w:p>
      <w:pPr>
        <w:pStyle w:val="18"/>
        <w:spacing w:line="360" w:lineRule="auto"/>
        <w:ind w:firstLine="480" w:firstLineChars="200"/>
        <w:contextualSpacing/>
        <w:rPr>
          <w:rFonts w:hAnsi="宋体" w:cs="宋体"/>
          <w:bCs/>
          <w:color w:val="auto"/>
          <w:sz w:val="24"/>
          <w:szCs w:val="24"/>
          <w:highlight w:val="none"/>
        </w:rPr>
      </w:pPr>
      <w:r>
        <w:rPr>
          <w:rFonts w:hint="eastAsia" w:hAnsi="宋体" w:cs="宋体"/>
          <w:bCs/>
          <w:color w:val="auto"/>
          <w:sz w:val="24"/>
          <w:szCs w:val="24"/>
          <w:highlight w:val="none"/>
        </w:rPr>
        <w:t>联系人：</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联系电话：</w:t>
      </w:r>
      <w:r>
        <w:rPr>
          <w:rFonts w:hint="eastAsia" w:hAnsi="宋体" w:cs="宋体"/>
          <w:bCs/>
          <w:color w:val="auto"/>
          <w:sz w:val="24"/>
          <w:szCs w:val="24"/>
          <w:highlight w:val="none"/>
          <w:u w:val="single"/>
        </w:rPr>
        <w:t xml:space="preserve">                 </w:t>
      </w:r>
    </w:p>
    <w:p>
      <w:pPr>
        <w:pStyle w:val="18"/>
        <w:spacing w:line="360" w:lineRule="auto"/>
        <w:ind w:firstLine="480" w:firstLineChars="200"/>
        <w:contextualSpacing/>
        <w:rPr>
          <w:rFonts w:hAnsi="宋体" w:cs="宋体"/>
          <w:bCs/>
          <w:color w:val="auto"/>
          <w:sz w:val="24"/>
          <w:szCs w:val="24"/>
          <w:highlight w:val="none"/>
        </w:rPr>
      </w:pPr>
      <w:r>
        <w:rPr>
          <w:rFonts w:hint="eastAsia" w:hAnsi="宋体" w:cs="宋体"/>
          <w:bCs/>
          <w:color w:val="auto"/>
          <w:sz w:val="24"/>
          <w:szCs w:val="24"/>
          <w:highlight w:val="none"/>
        </w:rPr>
        <w:t>授权代表：</w:t>
      </w:r>
      <w:r>
        <w:rPr>
          <w:rFonts w:hint="eastAsia" w:hAnsi="宋体" w:cs="宋体"/>
          <w:bCs/>
          <w:color w:val="auto"/>
          <w:sz w:val="24"/>
          <w:szCs w:val="24"/>
          <w:highlight w:val="none"/>
          <w:u w:val="single"/>
        </w:rPr>
        <w:t xml:space="preserve">                      </w:t>
      </w:r>
    </w:p>
    <w:p>
      <w:pPr>
        <w:pStyle w:val="18"/>
        <w:spacing w:line="360" w:lineRule="auto"/>
        <w:ind w:firstLine="480" w:firstLineChars="200"/>
        <w:contextualSpacing/>
        <w:rPr>
          <w:rFonts w:hAnsi="宋体" w:cs="宋体"/>
          <w:bCs/>
          <w:color w:val="auto"/>
          <w:sz w:val="24"/>
          <w:szCs w:val="24"/>
          <w:highlight w:val="none"/>
          <w:u w:val="single"/>
        </w:rPr>
      </w:pPr>
      <w:r>
        <w:rPr>
          <w:rFonts w:hint="eastAsia" w:hAnsi="宋体" w:cs="宋体"/>
          <w:bCs/>
          <w:color w:val="auto"/>
          <w:sz w:val="24"/>
          <w:szCs w:val="24"/>
          <w:highlight w:val="none"/>
        </w:rPr>
        <w:t>联系电话：</w:t>
      </w:r>
      <w:r>
        <w:rPr>
          <w:rFonts w:hint="eastAsia" w:hAnsi="宋体" w:cs="宋体"/>
          <w:bCs/>
          <w:color w:val="auto"/>
          <w:sz w:val="24"/>
          <w:szCs w:val="24"/>
          <w:highlight w:val="none"/>
          <w:u w:val="single"/>
        </w:rPr>
        <w:t xml:space="preserve">                      </w:t>
      </w:r>
    </w:p>
    <w:p>
      <w:pPr>
        <w:pStyle w:val="18"/>
        <w:spacing w:line="360" w:lineRule="auto"/>
        <w:ind w:firstLine="480" w:firstLineChars="200"/>
        <w:contextualSpacing/>
        <w:rPr>
          <w:rFonts w:hAnsi="宋体" w:cs="宋体"/>
          <w:bCs/>
          <w:color w:val="auto"/>
          <w:sz w:val="24"/>
          <w:szCs w:val="24"/>
          <w:highlight w:val="none"/>
        </w:rPr>
      </w:pPr>
      <w:r>
        <w:rPr>
          <w:rFonts w:hint="eastAsia" w:hAnsi="宋体" w:cs="宋体"/>
          <w:bCs/>
          <w:color w:val="auto"/>
          <w:sz w:val="24"/>
          <w:szCs w:val="24"/>
          <w:highlight w:val="none"/>
        </w:rPr>
        <w:t>地址：</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邮编：</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 xml:space="preserve">     </w:t>
      </w:r>
    </w:p>
    <w:p>
      <w:pPr>
        <w:pStyle w:val="18"/>
        <w:spacing w:line="360" w:lineRule="auto"/>
        <w:ind w:firstLine="482" w:firstLineChars="200"/>
        <w:contextualSpacing/>
        <w:rPr>
          <w:rFonts w:hAnsi="宋体" w:cs="宋体"/>
          <w:b/>
          <w:bCs/>
          <w:color w:val="auto"/>
          <w:sz w:val="24"/>
          <w:szCs w:val="24"/>
          <w:highlight w:val="none"/>
        </w:rPr>
      </w:pPr>
      <w:r>
        <w:rPr>
          <w:rFonts w:hint="eastAsia" w:hAnsi="宋体" w:cs="宋体"/>
          <w:b/>
          <w:bCs/>
          <w:color w:val="auto"/>
          <w:sz w:val="24"/>
          <w:szCs w:val="24"/>
          <w:highlight w:val="none"/>
        </w:rPr>
        <w:t>二、质疑项目基本情况：</w:t>
      </w:r>
    </w:p>
    <w:p>
      <w:pPr>
        <w:pStyle w:val="18"/>
        <w:spacing w:line="360" w:lineRule="auto"/>
        <w:ind w:left="25" w:leftChars="12" w:firstLine="472" w:firstLineChars="197"/>
        <w:contextualSpacing/>
        <w:rPr>
          <w:rFonts w:hAnsi="宋体" w:cs="宋体"/>
          <w:color w:val="auto"/>
          <w:sz w:val="24"/>
          <w:szCs w:val="24"/>
          <w:highlight w:val="none"/>
        </w:rPr>
      </w:pPr>
      <w:r>
        <w:rPr>
          <w:rFonts w:hint="eastAsia" w:hAnsi="宋体" w:cs="宋体"/>
          <w:bCs/>
          <w:color w:val="auto"/>
          <w:sz w:val="24"/>
          <w:szCs w:val="24"/>
          <w:highlight w:val="none"/>
        </w:rPr>
        <w:t>质疑</w:t>
      </w:r>
      <w:r>
        <w:rPr>
          <w:rFonts w:hint="eastAsia" w:hAnsi="宋体" w:cs="宋体"/>
          <w:color w:val="auto"/>
          <w:sz w:val="24"/>
          <w:szCs w:val="24"/>
          <w:highlight w:val="none"/>
        </w:rPr>
        <w:t>项目的名称：</w:t>
      </w:r>
      <w:r>
        <w:rPr>
          <w:rFonts w:hint="eastAsia" w:hAnsi="宋体" w:cs="宋体"/>
          <w:bCs/>
          <w:color w:val="auto"/>
          <w:sz w:val="24"/>
          <w:szCs w:val="24"/>
          <w:highlight w:val="none"/>
          <w:u w:val="single"/>
        </w:rPr>
        <w:t xml:space="preserve">                                     </w:t>
      </w:r>
    </w:p>
    <w:p>
      <w:pPr>
        <w:pStyle w:val="18"/>
        <w:spacing w:line="360" w:lineRule="auto"/>
        <w:ind w:left="25" w:leftChars="12" w:firstLine="472" w:firstLineChars="197"/>
        <w:contextualSpacing/>
        <w:rPr>
          <w:rFonts w:hAnsi="宋体" w:cs="宋体"/>
          <w:color w:val="auto"/>
          <w:sz w:val="24"/>
          <w:szCs w:val="24"/>
          <w:highlight w:val="none"/>
        </w:rPr>
      </w:pPr>
      <w:r>
        <w:rPr>
          <w:rFonts w:hint="eastAsia" w:hAnsi="宋体" w:cs="宋体"/>
          <w:bCs/>
          <w:color w:val="auto"/>
          <w:sz w:val="24"/>
          <w:szCs w:val="24"/>
          <w:highlight w:val="none"/>
        </w:rPr>
        <w:t>质疑</w:t>
      </w:r>
      <w:r>
        <w:rPr>
          <w:rFonts w:hint="eastAsia" w:hAnsi="宋体" w:cs="宋体"/>
          <w:color w:val="auto"/>
          <w:sz w:val="24"/>
          <w:szCs w:val="24"/>
          <w:highlight w:val="none"/>
        </w:rPr>
        <w:t>项目的编号：</w:t>
      </w:r>
      <w:r>
        <w:rPr>
          <w:rFonts w:hint="eastAsia" w:hAnsi="宋体" w:cs="宋体"/>
          <w:bCs/>
          <w:color w:val="auto"/>
          <w:sz w:val="24"/>
          <w:szCs w:val="24"/>
          <w:highlight w:val="none"/>
          <w:u w:val="single"/>
        </w:rPr>
        <w:t xml:space="preserve">                                     </w:t>
      </w:r>
    </w:p>
    <w:p>
      <w:pPr>
        <w:pStyle w:val="18"/>
        <w:spacing w:line="360" w:lineRule="auto"/>
        <w:ind w:left="25" w:leftChars="12" w:firstLine="472" w:firstLineChars="197"/>
        <w:contextualSpacing/>
        <w:rPr>
          <w:rFonts w:hAnsi="宋体" w:cs="宋体"/>
          <w:color w:val="auto"/>
          <w:sz w:val="24"/>
          <w:szCs w:val="24"/>
          <w:highlight w:val="none"/>
        </w:rPr>
      </w:pPr>
      <w:r>
        <w:rPr>
          <w:rFonts w:hint="eastAsia" w:hAnsi="宋体" w:cs="宋体"/>
          <w:color w:val="auto"/>
          <w:sz w:val="24"/>
          <w:szCs w:val="24"/>
          <w:highlight w:val="none"/>
        </w:rPr>
        <w:t>采购人名称：</w:t>
      </w:r>
      <w:r>
        <w:rPr>
          <w:rFonts w:hint="eastAsia" w:hAnsi="宋体" w:cs="宋体"/>
          <w:bCs/>
          <w:color w:val="auto"/>
          <w:sz w:val="24"/>
          <w:szCs w:val="24"/>
          <w:highlight w:val="none"/>
          <w:u w:val="single"/>
        </w:rPr>
        <w:t xml:space="preserve">                                         </w:t>
      </w:r>
    </w:p>
    <w:p>
      <w:pPr>
        <w:pStyle w:val="18"/>
        <w:spacing w:line="360" w:lineRule="auto"/>
        <w:ind w:left="25" w:leftChars="12" w:firstLine="472" w:firstLineChars="197"/>
        <w:contextualSpacing/>
        <w:rPr>
          <w:rFonts w:hAnsi="宋体" w:cs="宋体"/>
          <w:color w:val="auto"/>
          <w:sz w:val="24"/>
          <w:szCs w:val="24"/>
          <w:highlight w:val="none"/>
        </w:rPr>
      </w:pPr>
      <w:r>
        <w:rPr>
          <w:rFonts w:hint="eastAsia" w:hAnsi="宋体" w:cs="宋体"/>
          <w:color w:val="auto"/>
          <w:sz w:val="24"/>
          <w:szCs w:val="24"/>
          <w:highlight w:val="none"/>
        </w:rPr>
        <w:t>质疑事项：</w:t>
      </w:r>
    </w:p>
    <w:p>
      <w:pPr>
        <w:pStyle w:val="18"/>
        <w:spacing w:line="360" w:lineRule="auto"/>
        <w:ind w:left="25" w:leftChars="12" w:firstLine="352" w:firstLineChars="147"/>
        <w:contextualSpacing/>
        <w:rPr>
          <w:rFonts w:hAnsi="宋体" w:cs="宋体"/>
          <w:color w:val="auto"/>
          <w:sz w:val="24"/>
          <w:szCs w:val="24"/>
          <w:highlight w:val="none"/>
        </w:rPr>
      </w:pPr>
      <w:r>
        <w:rPr>
          <w:rFonts w:hint="eastAsia" w:hAnsi="宋体" w:cs="宋体"/>
          <w:color w:val="auto"/>
          <w:sz w:val="24"/>
          <w:szCs w:val="24"/>
          <w:highlight w:val="none"/>
        </w:rPr>
        <w:t>□采购文件   采购文件获取日期：</w:t>
      </w:r>
      <w:r>
        <w:rPr>
          <w:rFonts w:hint="eastAsia" w:hAnsi="宋体" w:cs="宋体"/>
          <w:bCs/>
          <w:color w:val="auto"/>
          <w:sz w:val="24"/>
          <w:szCs w:val="24"/>
          <w:highlight w:val="none"/>
          <w:u w:val="single"/>
        </w:rPr>
        <w:t xml:space="preserve">                                   </w:t>
      </w:r>
    </w:p>
    <w:p>
      <w:pPr>
        <w:pStyle w:val="18"/>
        <w:spacing w:line="360" w:lineRule="auto"/>
        <w:ind w:left="25" w:leftChars="12" w:firstLine="352" w:firstLineChars="147"/>
        <w:contextualSpacing/>
        <w:rPr>
          <w:rFonts w:hAnsi="宋体" w:cs="宋体"/>
          <w:color w:val="auto"/>
          <w:sz w:val="24"/>
          <w:szCs w:val="24"/>
          <w:highlight w:val="none"/>
        </w:rPr>
      </w:pPr>
      <w:r>
        <w:rPr>
          <w:rFonts w:hint="eastAsia" w:hAnsi="宋体" w:cs="宋体"/>
          <w:color w:val="auto"/>
          <w:sz w:val="24"/>
          <w:szCs w:val="24"/>
          <w:highlight w:val="none"/>
        </w:rPr>
        <w:t xml:space="preserve">□采购过程   </w:t>
      </w:r>
    </w:p>
    <w:p>
      <w:pPr>
        <w:pStyle w:val="18"/>
        <w:spacing w:line="360" w:lineRule="auto"/>
        <w:ind w:left="25" w:leftChars="12" w:firstLine="352" w:firstLineChars="147"/>
        <w:contextualSpacing/>
        <w:rPr>
          <w:rFonts w:hAnsi="宋体" w:cs="宋体"/>
          <w:bCs/>
          <w:color w:val="auto"/>
          <w:sz w:val="24"/>
          <w:szCs w:val="24"/>
          <w:highlight w:val="none"/>
          <w:u w:val="single"/>
        </w:rPr>
      </w:pPr>
      <w:r>
        <w:rPr>
          <w:rFonts w:hint="eastAsia" w:hAnsi="宋体" w:cs="宋体"/>
          <w:color w:val="auto"/>
          <w:sz w:val="24"/>
          <w:szCs w:val="24"/>
          <w:highlight w:val="none"/>
        </w:rPr>
        <w:t xml:space="preserve">□成交结果   </w:t>
      </w:r>
    </w:p>
    <w:p>
      <w:pPr>
        <w:pStyle w:val="18"/>
        <w:spacing w:line="360" w:lineRule="auto"/>
        <w:ind w:left="25" w:leftChars="12" w:firstLine="472" w:firstLineChars="196"/>
        <w:contextualSpacing/>
        <w:rPr>
          <w:rFonts w:hAnsi="宋体" w:cs="宋体"/>
          <w:b/>
          <w:color w:val="auto"/>
          <w:sz w:val="24"/>
          <w:szCs w:val="24"/>
          <w:highlight w:val="none"/>
        </w:rPr>
      </w:pPr>
      <w:r>
        <w:rPr>
          <w:rFonts w:hint="eastAsia" w:hAnsi="宋体" w:cs="宋体"/>
          <w:b/>
          <w:color w:val="auto"/>
          <w:sz w:val="24"/>
          <w:szCs w:val="24"/>
          <w:highlight w:val="none"/>
        </w:rPr>
        <w:t>三、质疑事项具体内容</w:t>
      </w:r>
    </w:p>
    <w:p>
      <w:pPr>
        <w:pStyle w:val="18"/>
        <w:spacing w:line="360" w:lineRule="auto"/>
        <w:ind w:left="25" w:leftChars="12" w:firstLine="472" w:firstLineChars="197"/>
        <w:contextualSpacing/>
        <w:rPr>
          <w:rFonts w:hAnsi="宋体" w:cs="宋体"/>
          <w:color w:val="auto"/>
          <w:sz w:val="24"/>
          <w:szCs w:val="24"/>
          <w:highlight w:val="none"/>
        </w:rPr>
      </w:pPr>
      <w:r>
        <w:rPr>
          <w:rFonts w:hint="eastAsia" w:hAnsi="宋体" w:cs="宋体"/>
          <w:color w:val="auto"/>
          <w:sz w:val="24"/>
          <w:szCs w:val="24"/>
          <w:highlight w:val="none"/>
        </w:rPr>
        <w:t>质疑事项1：</w:t>
      </w:r>
      <w:r>
        <w:rPr>
          <w:rFonts w:hint="eastAsia" w:hAnsi="宋体" w:cs="宋体"/>
          <w:bCs/>
          <w:color w:val="auto"/>
          <w:sz w:val="24"/>
          <w:szCs w:val="24"/>
          <w:highlight w:val="none"/>
          <w:u w:val="single"/>
        </w:rPr>
        <w:t xml:space="preserve">                                                                    </w:t>
      </w:r>
    </w:p>
    <w:p>
      <w:pPr>
        <w:pStyle w:val="18"/>
        <w:spacing w:line="360" w:lineRule="auto"/>
        <w:ind w:left="25" w:leftChars="12" w:firstLine="472" w:firstLineChars="197"/>
        <w:contextualSpacing/>
        <w:rPr>
          <w:rFonts w:hAnsi="宋体" w:cs="宋体"/>
          <w:color w:val="auto"/>
          <w:sz w:val="24"/>
          <w:szCs w:val="24"/>
          <w:highlight w:val="none"/>
        </w:rPr>
      </w:pPr>
      <w:r>
        <w:rPr>
          <w:rFonts w:hint="eastAsia" w:hAnsi="宋体" w:cs="宋体"/>
          <w:color w:val="auto"/>
          <w:sz w:val="24"/>
          <w:szCs w:val="24"/>
          <w:highlight w:val="none"/>
        </w:rPr>
        <w:t>事实依据：</w:t>
      </w:r>
      <w:r>
        <w:rPr>
          <w:rFonts w:hint="eastAsia" w:hAnsi="宋体" w:cs="宋体"/>
          <w:bCs/>
          <w:color w:val="auto"/>
          <w:sz w:val="24"/>
          <w:szCs w:val="24"/>
          <w:highlight w:val="none"/>
          <w:u w:val="single"/>
        </w:rPr>
        <w:t xml:space="preserve">                                                                      </w:t>
      </w:r>
    </w:p>
    <w:p>
      <w:pPr>
        <w:pStyle w:val="18"/>
        <w:spacing w:line="360" w:lineRule="auto"/>
        <w:ind w:left="25" w:leftChars="12" w:firstLine="472" w:firstLineChars="197"/>
        <w:contextualSpacing/>
        <w:rPr>
          <w:rFonts w:hAnsi="宋体" w:cs="宋体"/>
          <w:color w:val="auto"/>
          <w:sz w:val="24"/>
          <w:szCs w:val="24"/>
          <w:highlight w:val="none"/>
        </w:rPr>
      </w:pPr>
      <w:r>
        <w:rPr>
          <w:rFonts w:hint="eastAsia" w:hAnsi="宋体" w:cs="宋体"/>
          <w:color w:val="auto"/>
          <w:sz w:val="24"/>
          <w:szCs w:val="24"/>
          <w:highlight w:val="none"/>
        </w:rPr>
        <w:t>法律依据：</w:t>
      </w:r>
      <w:r>
        <w:rPr>
          <w:rFonts w:hint="eastAsia" w:hAnsi="宋体" w:cs="宋体"/>
          <w:color w:val="auto"/>
          <w:sz w:val="24"/>
          <w:szCs w:val="24"/>
          <w:highlight w:val="none"/>
          <w:u w:val="single"/>
        </w:rPr>
        <w:t xml:space="preserve">                                                        </w:t>
      </w:r>
      <w:r>
        <w:rPr>
          <w:rFonts w:hint="eastAsia" w:hAnsi="宋体" w:cs="宋体"/>
          <w:bCs/>
          <w:color w:val="auto"/>
          <w:sz w:val="24"/>
          <w:szCs w:val="24"/>
          <w:highlight w:val="none"/>
          <w:u w:val="single"/>
        </w:rPr>
        <w:t xml:space="preserve">               </w:t>
      </w:r>
    </w:p>
    <w:p>
      <w:pPr>
        <w:pStyle w:val="18"/>
        <w:spacing w:line="360" w:lineRule="auto"/>
        <w:ind w:left="25" w:leftChars="12" w:firstLine="472" w:firstLineChars="197"/>
        <w:contextualSpacing/>
        <w:rPr>
          <w:rFonts w:hAnsi="宋体" w:cs="宋体"/>
          <w:color w:val="auto"/>
          <w:sz w:val="24"/>
          <w:szCs w:val="24"/>
          <w:highlight w:val="none"/>
        </w:rPr>
      </w:pPr>
      <w:r>
        <w:rPr>
          <w:rFonts w:hint="eastAsia" w:hAnsi="宋体" w:cs="宋体"/>
          <w:color w:val="auto"/>
          <w:sz w:val="24"/>
          <w:szCs w:val="24"/>
          <w:highlight w:val="none"/>
        </w:rPr>
        <w:t>质疑事项2</w:t>
      </w:r>
    </w:p>
    <w:p>
      <w:pPr>
        <w:pStyle w:val="18"/>
        <w:spacing w:line="360" w:lineRule="auto"/>
        <w:ind w:left="25" w:leftChars="12" w:firstLine="472" w:firstLineChars="197"/>
        <w:contextualSpacing/>
        <w:rPr>
          <w:rFonts w:hAnsi="宋体" w:cs="宋体"/>
          <w:color w:val="auto"/>
          <w:sz w:val="24"/>
          <w:szCs w:val="24"/>
          <w:highlight w:val="none"/>
        </w:rPr>
      </w:pPr>
      <w:r>
        <w:rPr>
          <w:rFonts w:hint="eastAsia" w:hAnsi="宋体" w:cs="宋体"/>
          <w:color w:val="auto"/>
          <w:sz w:val="24"/>
          <w:szCs w:val="24"/>
          <w:highlight w:val="none"/>
        </w:rPr>
        <w:t>……</w:t>
      </w:r>
    </w:p>
    <w:p>
      <w:pPr>
        <w:pStyle w:val="18"/>
        <w:spacing w:line="360" w:lineRule="auto"/>
        <w:ind w:left="25" w:leftChars="12" w:firstLine="472" w:firstLineChars="197"/>
        <w:contextualSpacing/>
        <w:rPr>
          <w:rFonts w:hAnsi="宋体" w:cs="宋体"/>
          <w:color w:val="auto"/>
          <w:sz w:val="24"/>
          <w:szCs w:val="24"/>
          <w:highlight w:val="none"/>
        </w:rPr>
      </w:pPr>
      <w:r>
        <w:rPr>
          <w:rFonts w:hint="eastAsia" w:hAnsi="宋体" w:cs="宋体"/>
          <w:color w:val="auto"/>
          <w:sz w:val="24"/>
          <w:szCs w:val="24"/>
          <w:highlight w:val="none"/>
        </w:rPr>
        <w:t>四、与质疑事项相关的质疑请求：</w:t>
      </w:r>
    </w:p>
    <w:p>
      <w:pPr>
        <w:pStyle w:val="18"/>
        <w:spacing w:line="360" w:lineRule="auto"/>
        <w:ind w:left="25" w:leftChars="12" w:firstLine="472" w:firstLineChars="197"/>
        <w:contextualSpacing/>
        <w:rPr>
          <w:rFonts w:hAnsi="宋体" w:cs="宋体"/>
          <w:color w:val="auto"/>
          <w:sz w:val="24"/>
          <w:szCs w:val="24"/>
          <w:highlight w:val="none"/>
        </w:rPr>
      </w:pPr>
      <w:r>
        <w:rPr>
          <w:rFonts w:hint="eastAsia" w:hAnsi="宋体" w:cs="宋体"/>
          <w:color w:val="auto"/>
          <w:sz w:val="24"/>
          <w:szCs w:val="24"/>
          <w:highlight w:val="none"/>
        </w:rPr>
        <w:t>请求：</w:t>
      </w:r>
      <w:r>
        <w:rPr>
          <w:rFonts w:hint="eastAsia" w:hAnsi="宋体" w:cs="宋体"/>
          <w:bCs/>
          <w:color w:val="auto"/>
          <w:sz w:val="24"/>
          <w:szCs w:val="24"/>
          <w:highlight w:val="none"/>
          <w:u w:val="single"/>
        </w:rPr>
        <w:t xml:space="preserve">                                                                </w:t>
      </w:r>
    </w:p>
    <w:p>
      <w:pPr>
        <w:pStyle w:val="18"/>
        <w:spacing w:line="360" w:lineRule="auto"/>
        <w:ind w:left="25" w:leftChars="12" w:firstLine="352" w:firstLineChars="147"/>
        <w:contextualSpacing/>
        <w:rPr>
          <w:rFonts w:hAnsi="宋体" w:cs="宋体"/>
          <w:color w:val="auto"/>
          <w:sz w:val="24"/>
          <w:szCs w:val="24"/>
          <w:highlight w:val="none"/>
        </w:rPr>
      </w:pPr>
    </w:p>
    <w:p>
      <w:pPr>
        <w:pStyle w:val="18"/>
        <w:spacing w:line="360" w:lineRule="auto"/>
        <w:ind w:left="25" w:leftChars="12" w:firstLine="472" w:firstLineChars="197"/>
        <w:contextualSpacing/>
        <w:rPr>
          <w:rFonts w:hAnsi="宋体" w:cs="宋体"/>
          <w:color w:val="auto"/>
          <w:sz w:val="24"/>
          <w:szCs w:val="24"/>
          <w:highlight w:val="none"/>
        </w:rPr>
      </w:pPr>
      <w:r>
        <w:rPr>
          <w:rFonts w:hint="eastAsia" w:hAnsi="宋体" w:cs="宋体"/>
          <w:color w:val="auto"/>
          <w:sz w:val="24"/>
          <w:szCs w:val="24"/>
          <w:highlight w:val="none"/>
        </w:rPr>
        <w:t>签字（签章）：                                       公章：</w:t>
      </w:r>
    </w:p>
    <w:p>
      <w:pPr>
        <w:pStyle w:val="18"/>
        <w:spacing w:line="360" w:lineRule="auto"/>
        <w:ind w:firstLine="480" w:firstLineChars="200"/>
        <w:contextualSpacing/>
        <w:rPr>
          <w:rFonts w:hAnsi="宋体" w:cs="宋体"/>
          <w:b/>
          <w:color w:val="auto"/>
          <w:sz w:val="24"/>
          <w:szCs w:val="24"/>
          <w:highlight w:val="none"/>
        </w:rPr>
      </w:pPr>
      <w:r>
        <w:rPr>
          <w:rFonts w:hint="eastAsia" w:hAnsi="宋体" w:cs="宋体"/>
          <w:color w:val="auto"/>
          <w:sz w:val="24"/>
          <w:szCs w:val="24"/>
          <w:highlight w:val="none"/>
        </w:rPr>
        <w:t>日期：</w:t>
      </w:r>
    </w:p>
    <w:p>
      <w:pPr>
        <w:pStyle w:val="18"/>
        <w:spacing w:line="360" w:lineRule="auto"/>
        <w:contextualSpacing/>
        <w:rPr>
          <w:rFonts w:hAnsi="宋体" w:cs="宋体"/>
          <w:b/>
          <w:color w:val="auto"/>
          <w:sz w:val="24"/>
          <w:szCs w:val="24"/>
          <w:highlight w:val="none"/>
        </w:rPr>
      </w:pPr>
      <w:r>
        <w:rPr>
          <w:rFonts w:hint="eastAsia" w:hAnsi="宋体" w:cs="宋体"/>
          <w:b/>
          <w:color w:val="auto"/>
          <w:sz w:val="24"/>
          <w:szCs w:val="24"/>
          <w:highlight w:val="none"/>
        </w:rPr>
        <w:t>说明：</w:t>
      </w:r>
    </w:p>
    <w:p>
      <w:pPr>
        <w:pStyle w:val="18"/>
        <w:spacing w:line="360" w:lineRule="auto"/>
        <w:ind w:left="25" w:leftChars="12" w:firstLine="354" w:firstLineChars="147"/>
        <w:contextualSpacing/>
        <w:rPr>
          <w:rFonts w:hAnsi="宋体" w:cs="宋体"/>
          <w:b/>
          <w:bCs/>
          <w:color w:val="auto"/>
          <w:sz w:val="24"/>
          <w:szCs w:val="24"/>
          <w:highlight w:val="none"/>
        </w:rPr>
      </w:pPr>
      <w:r>
        <w:rPr>
          <w:rFonts w:hint="eastAsia" w:hAnsi="宋体" w:cs="宋体"/>
          <w:b/>
          <w:color w:val="auto"/>
          <w:sz w:val="24"/>
          <w:szCs w:val="24"/>
          <w:highlight w:val="none"/>
        </w:rPr>
        <w:t>1.供应商提出质疑时，应提交质疑函和必要的证明材料</w:t>
      </w:r>
      <w:r>
        <w:rPr>
          <w:rFonts w:hint="eastAsia" w:hAnsi="宋体" w:cs="宋体"/>
          <w:b/>
          <w:bCs/>
          <w:color w:val="auto"/>
          <w:sz w:val="24"/>
          <w:szCs w:val="24"/>
          <w:highlight w:val="none"/>
        </w:rPr>
        <w:t>。</w:t>
      </w:r>
    </w:p>
    <w:p>
      <w:pPr>
        <w:pStyle w:val="18"/>
        <w:spacing w:line="360" w:lineRule="auto"/>
        <w:ind w:left="25" w:leftChars="12" w:firstLine="354" w:firstLineChars="147"/>
        <w:contextualSpacing/>
        <w:rPr>
          <w:rFonts w:hAnsi="宋体" w:cs="宋体"/>
          <w:b/>
          <w:color w:val="auto"/>
          <w:sz w:val="24"/>
          <w:szCs w:val="24"/>
          <w:highlight w:val="none"/>
        </w:rPr>
      </w:pPr>
      <w:r>
        <w:rPr>
          <w:rFonts w:hint="eastAsia" w:hAnsi="宋体" w:cs="宋体"/>
          <w:b/>
          <w:color w:val="auto"/>
          <w:sz w:val="24"/>
          <w:szCs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pStyle w:val="18"/>
        <w:spacing w:line="360" w:lineRule="auto"/>
        <w:ind w:left="25" w:leftChars="12" w:firstLine="354" w:firstLineChars="147"/>
        <w:contextualSpacing/>
        <w:rPr>
          <w:rFonts w:hAnsi="宋体" w:cs="宋体"/>
          <w:b/>
          <w:color w:val="auto"/>
          <w:sz w:val="24"/>
          <w:szCs w:val="24"/>
          <w:highlight w:val="none"/>
        </w:rPr>
      </w:pPr>
      <w:r>
        <w:rPr>
          <w:rFonts w:hint="eastAsia" w:hAnsi="宋体" w:cs="宋体"/>
          <w:b/>
          <w:color w:val="auto"/>
          <w:sz w:val="24"/>
          <w:szCs w:val="24"/>
          <w:highlight w:val="none"/>
        </w:rPr>
        <w:t>3.质疑函的质疑事项应具体、明确，并有必要的事实依据和法律依据。</w:t>
      </w:r>
    </w:p>
    <w:p>
      <w:pPr>
        <w:pStyle w:val="18"/>
        <w:spacing w:line="360" w:lineRule="auto"/>
        <w:ind w:left="25" w:leftChars="12" w:firstLine="354" w:firstLineChars="147"/>
        <w:contextualSpacing/>
        <w:rPr>
          <w:rFonts w:hAnsi="宋体" w:cs="宋体"/>
          <w:b/>
          <w:color w:val="auto"/>
          <w:sz w:val="24"/>
          <w:szCs w:val="24"/>
          <w:highlight w:val="none"/>
        </w:rPr>
      </w:pPr>
      <w:r>
        <w:rPr>
          <w:rFonts w:hint="eastAsia" w:hAnsi="宋体" w:cs="宋体"/>
          <w:b/>
          <w:color w:val="auto"/>
          <w:sz w:val="24"/>
          <w:szCs w:val="24"/>
          <w:highlight w:val="none"/>
        </w:rPr>
        <w:t>4.质疑函的质疑请求应与质疑事项相关。</w:t>
      </w:r>
    </w:p>
    <w:p>
      <w:pPr>
        <w:pStyle w:val="18"/>
        <w:spacing w:line="360" w:lineRule="auto"/>
        <w:ind w:left="25" w:leftChars="12" w:firstLine="354" w:firstLineChars="147"/>
        <w:contextualSpacing/>
        <w:rPr>
          <w:rFonts w:hAnsi="宋体" w:cs="宋体"/>
          <w:b/>
          <w:color w:val="auto"/>
          <w:highlight w:val="none"/>
        </w:rPr>
      </w:pPr>
      <w:r>
        <w:rPr>
          <w:rFonts w:hint="eastAsia" w:hAnsi="宋体" w:cs="宋体"/>
          <w:b/>
          <w:color w:val="auto"/>
          <w:sz w:val="24"/>
          <w:szCs w:val="24"/>
          <w:highlight w:val="none"/>
        </w:rPr>
        <w:t>5.质疑供应商为法人或者其他组织的，质疑函应由法定代表人、主要负责人，或者其授权代表签字或者盖章，并加盖公章。</w:t>
      </w:r>
    </w:p>
    <w:p>
      <w:pPr>
        <w:pStyle w:val="18"/>
        <w:snapToGrid w:val="0"/>
        <w:rPr>
          <w:rFonts w:hAnsi="宋体" w:cs="宋体"/>
          <w:b/>
          <w:color w:val="auto"/>
          <w:sz w:val="24"/>
          <w:szCs w:val="24"/>
          <w:highlight w:val="none"/>
        </w:rPr>
      </w:pPr>
    </w:p>
    <w:p>
      <w:pPr>
        <w:rPr>
          <w:rFonts w:ascii="宋体" w:hAnsi="宋体" w:cs="宋体"/>
          <w:color w:val="auto"/>
          <w:sz w:val="32"/>
          <w:szCs w:val="40"/>
          <w:highlight w:val="none"/>
        </w:rPr>
      </w:pPr>
    </w:p>
    <w:p>
      <w:pPr>
        <w:rPr>
          <w:rFonts w:ascii="宋体" w:hAnsi="宋体" w:cs="宋体"/>
          <w:color w:val="auto"/>
          <w:sz w:val="32"/>
          <w:szCs w:val="40"/>
          <w:highlight w:val="none"/>
        </w:rPr>
      </w:pPr>
    </w:p>
    <w:p>
      <w:pPr>
        <w:rPr>
          <w:rFonts w:ascii="宋体" w:hAnsi="宋体" w:cs="宋体"/>
          <w:color w:val="auto"/>
          <w:sz w:val="32"/>
          <w:szCs w:val="40"/>
          <w:highlight w:val="none"/>
        </w:rPr>
      </w:pPr>
    </w:p>
    <w:p>
      <w:pPr>
        <w:rPr>
          <w:rFonts w:ascii="宋体" w:hAnsi="宋体" w:cs="宋体"/>
          <w:color w:val="auto"/>
          <w:sz w:val="32"/>
          <w:szCs w:val="40"/>
          <w:highlight w:val="none"/>
        </w:rPr>
      </w:pPr>
    </w:p>
    <w:p>
      <w:pPr>
        <w:rPr>
          <w:rFonts w:ascii="宋体" w:hAnsi="宋体" w:cs="宋体"/>
          <w:color w:val="auto"/>
          <w:sz w:val="32"/>
          <w:szCs w:val="40"/>
          <w:highlight w:val="none"/>
        </w:rPr>
      </w:pPr>
    </w:p>
    <w:p>
      <w:pPr>
        <w:rPr>
          <w:rFonts w:ascii="宋体" w:hAnsi="宋体" w:cs="宋体"/>
          <w:color w:val="auto"/>
          <w:sz w:val="32"/>
          <w:szCs w:val="40"/>
          <w:highlight w:val="none"/>
        </w:rPr>
      </w:pPr>
    </w:p>
    <w:p>
      <w:pPr>
        <w:rPr>
          <w:rFonts w:ascii="宋体" w:hAnsi="宋体" w:cs="宋体"/>
          <w:color w:val="auto"/>
          <w:sz w:val="32"/>
          <w:szCs w:val="40"/>
          <w:highlight w:val="none"/>
        </w:rPr>
      </w:pPr>
    </w:p>
    <w:p>
      <w:pPr>
        <w:rPr>
          <w:rFonts w:ascii="宋体" w:hAnsi="宋体" w:cs="宋体"/>
          <w:color w:val="auto"/>
          <w:sz w:val="32"/>
          <w:szCs w:val="40"/>
          <w:highlight w:val="none"/>
        </w:rPr>
      </w:pPr>
    </w:p>
    <w:p>
      <w:pPr>
        <w:rPr>
          <w:rFonts w:ascii="宋体" w:hAnsi="宋体" w:cs="宋体"/>
          <w:color w:val="auto"/>
          <w:sz w:val="32"/>
          <w:szCs w:val="40"/>
          <w:highlight w:val="none"/>
        </w:rPr>
      </w:pPr>
    </w:p>
    <w:p>
      <w:pPr>
        <w:rPr>
          <w:rFonts w:ascii="宋体" w:hAnsi="宋体" w:cs="宋体"/>
          <w:color w:val="auto"/>
          <w:sz w:val="32"/>
          <w:szCs w:val="40"/>
          <w:highlight w:val="none"/>
        </w:rPr>
      </w:pPr>
    </w:p>
    <w:p>
      <w:pPr>
        <w:rPr>
          <w:rFonts w:ascii="宋体" w:hAnsi="宋体" w:cs="宋体"/>
          <w:color w:val="auto"/>
          <w:sz w:val="32"/>
          <w:szCs w:val="40"/>
          <w:highlight w:val="none"/>
        </w:rPr>
      </w:pPr>
    </w:p>
    <w:p>
      <w:pPr>
        <w:rPr>
          <w:rFonts w:ascii="宋体" w:hAnsi="宋体" w:cs="宋体"/>
          <w:color w:val="auto"/>
          <w:sz w:val="32"/>
          <w:szCs w:val="40"/>
          <w:highlight w:val="none"/>
        </w:rPr>
      </w:pPr>
    </w:p>
    <w:p>
      <w:pPr>
        <w:rPr>
          <w:rFonts w:ascii="宋体" w:hAnsi="宋体" w:cs="宋体"/>
          <w:color w:val="auto"/>
          <w:sz w:val="32"/>
          <w:szCs w:val="40"/>
          <w:highlight w:val="none"/>
        </w:rPr>
      </w:pPr>
    </w:p>
    <w:p>
      <w:pPr>
        <w:rPr>
          <w:rFonts w:ascii="宋体" w:hAnsi="宋体" w:cs="宋体"/>
          <w:color w:val="auto"/>
          <w:sz w:val="32"/>
          <w:szCs w:val="40"/>
          <w:highlight w:val="none"/>
        </w:rPr>
      </w:pPr>
    </w:p>
    <w:p>
      <w:pPr>
        <w:spacing w:line="360" w:lineRule="auto"/>
        <w:jc w:val="center"/>
        <w:rPr>
          <w:rFonts w:ascii="宋体" w:hAnsi="宋体" w:cs="宋体"/>
          <w:color w:val="auto"/>
          <w:sz w:val="24"/>
          <w:highlight w:val="none"/>
        </w:rPr>
      </w:pPr>
      <w:r>
        <w:rPr>
          <w:rFonts w:hint="eastAsia" w:ascii="宋体" w:hAnsi="宋体" w:cs="宋体"/>
          <w:color w:val="auto"/>
          <w:sz w:val="44"/>
          <w:szCs w:val="44"/>
          <w:highlight w:val="none"/>
        </w:rPr>
        <w:br w:type="page"/>
      </w:r>
      <w:r>
        <w:rPr>
          <w:rFonts w:hint="eastAsia" w:ascii="宋体" w:hAnsi="宋体" w:cs="宋体"/>
          <w:color w:val="auto"/>
          <w:sz w:val="44"/>
          <w:szCs w:val="44"/>
          <w:highlight w:val="none"/>
        </w:rPr>
        <w:t>投诉书</w:t>
      </w:r>
      <w:r>
        <w:rPr>
          <w:rFonts w:hint="eastAsia" w:ascii="宋体" w:hAnsi="宋体" w:cs="宋体"/>
          <w:color w:val="auto"/>
          <w:sz w:val="28"/>
          <w:szCs w:val="28"/>
          <w:highlight w:val="none"/>
        </w:rPr>
        <w:t>（格式）</w:t>
      </w:r>
    </w:p>
    <w:p>
      <w:pPr>
        <w:pStyle w:val="18"/>
        <w:snapToGrid w:val="0"/>
        <w:spacing w:line="360" w:lineRule="auto"/>
        <w:ind w:firstLine="482" w:firstLineChars="200"/>
        <w:rPr>
          <w:rFonts w:hAnsi="宋体" w:cs="宋体"/>
          <w:b/>
          <w:bCs/>
          <w:color w:val="auto"/>
          <w:sz w:val="24"/>
          <w:szCs w:val="24"/>
          <w:highlight w:val="none"/>
        </w:rPr>
      </w:pPr>
      <w:r>
        <w:rPr>
          <w:rFonts w:hint="eastAsia" w:hAnsi="宋体" w:cs="宋体"/>
          <w:b/>
          <w:bCs/>
          <w:color w:val="auto"/>
          <w:sz w:val="24"/>
          <w:szCs w:val="24"/>
          <w:highlight w:val="none"/>
        </w:rPr>
        <w:t>一、投诉相关主体基本情况：</w:t>
      </w:r>
    </w:p>
    <w:p>
      <w:pPr>
        <w:pStyle w:val="18"/>
        <w:snapToGrid w:val="0"/>
        <w:spacing w:line="360" w:lineRule="auto"/>
        <w:ind w:firstLine="480" w:firstLineChars="200"/>
        <w:rPr>
          <w:rFonts w:hAnsi="宋体" w:cs="宋体"/>
          <w:bCs/>
          <w:color w:val="auto"/>
          <w:sz w:val="24"/>
          <w:szCs w:val="24"/>
          <w:highlight w:val="none"/>
          <w:u w:val="single"/>
        </w:rPr>
      </w:pPr>
      <w:r>
        <w:rPr>
          <w:rFonts w:hint="eastAsia" w:hAnsi="宋体" w:cs="宋体"/>
          <w:bCs/>
          <w:color w:val="auto"/>
          <w:sz w:val="24"/>
          <w:szCs w:val="24"/>
          <w:highlight w:val="none"/>
        </w:rPr>
        <w:t>供应商：</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 xml:space="preserve">                 </w:t>
      </w:r>
    </w:p>
    <w:p>
      <w:pPr>
        <w:pStyle w:val="18"/>
        <w:snapToGrid w:val="0"/>
        <w:spacing w:line="360" w:lineRule="auto"/>
        <w:ind w:firstLine="480" w:firstLineChars="200"/>
        <w:rPr>
          <w:rFonts w:hAnsi="宋体" w:cs="宋体"/>
          <w:bCs/>
          <w:color w:val="auto"/>
          <w:sz w:val="24"/>
          <w:szCs w:val="24"/>
          <w:highlight w:val="none"/>
        </w:rPr>
      </w:pPr>
      <w:r>
        <w:rPr>
          <w:rFonts w:hint="eastAsia" w:hAnsi="宋体" w:cs="宋体"/>
          <w:bCs/>
          <w:color w:val="auto"/>
          <w:sz w:val="24"/>
          <w:szCs w:val="24"/>
          <w:highlight w:val="none"/>
        </w:rPr>
        <w:t>地址：</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邮编：</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 xml:space="preserve">                 </w:t>
      </w:r>
    </w:p>
    <w:p>
      <w:pPr>
        <w:pStyle w:val="18"/>
        <w:snapToGrid w:val="0"/>
        <w:spacing w:line="360" w:lineRule="auto"/>
        <w:ind w:firstLine="480" w:firstLineChars="200"/>
        <w:rPr>
          <w:rFonts w:hAnsi="宋体" w:cs="宋体"/>
          <w:bCs/>
          <w:color w:val="auto"/>
          <w:sz w:val="24"/>
          <w:szCs w:val="24"/>
          <w:highlight w:val="none"/>
          <w:u w:val="single"/>
        </w:rPr>
      </w:pPr>
      <w:r>
        <w:rPr>
          <w:rFonts w:hint="eastAsia" w:hAnsi="宋体" w:cs="宋体"/>
          <w:bCs/>
          <w:color w:val="auto"/>
          <w:sz w:val="24"/>
          <w:szCs w:val="24"/>
          <w:highlight w:val="none"/>
        </w:rPr>
        <w:t>法定代表人/主要负责人：</w:t>
      </w:r>
      <w:r>
        <w:rPr>
          <w:rFonts w:hint="eastAsia" w:hAnsi="宋体" w:cs="宋体"/>
          <w:bCs/>
          <w:color w:val="auto"/>
          <w:sz w:val="24"/>
          <w:szCs w:val="24"/>
          <w:highlight w:val="none"/>
          <w:u w:val="single"/>
        </w:rPr>
        <w:t xml:space="preserve">                                                         </w:t>
      </w:r>
    </w:p>
    <w:p>
      <w:pPr>
        <w:pStyle w:val="18"/>
        <w:snapToGrid w:val="0"/>
        <w:spacing w:line="360" w:lineRule="auto"/>
        <w:ind w:firstLine="480" w:firstLineChars="200"/>
        <w:rPr>
          <w:rFonts w:hAnsi="宋体" w:cs="宋体"/>
          <w:bCs/>
          <w:color w:val="auto"/>
          <w:sz w:val="24"/>
          <w:szCs w:val="24"/>
          <w:highlight w:val="none"/>
        </w:rPr>
      </w:pPr>
      <w:r>
        <w:rPr>
          <w:rFonts w:hint="eastAsia" w:hAnsi="宋体" w:cs="宋体"/>
          <w:bCs/>
          <w:color w:val="auto"/>
          <w:sz w:val="24"/>
          <w:szCs w:val="24"/>
          <w:highlight w:val="none"/>
        </w:rPr>
        <w:t>联系电话：</w:t>
      </w:r>
      <w:r>
        <w:rPr>
          <w:rFonts w:hint="eastAsia" w:hAnsi="宋体" w:cs="宋体"/>
          <w:bCs/>
          <w:color w:val="auto"/>
          <w:sz w:val="24"/>
          <w:szCs w:val="24"/>
          <w:highlight w:val="none"/>
          <w:u w:val="single"/>
        </w:rPr>
        <w:t xml:space="preserve">                                         </w:t>
      </w:r>
    </w:p>
    <w:p>
      <w:pPr>
        <w:pStyle w:val="18"/>
        <w:snapToGrid w:val="0"/>
        <w:spacing w:line="360" w:lineRule="auto"/>
        <w:ind w:firstLine="480" w:firstLineChars="200"/>
        <w:rPr>
          <w:rFonts w:hAnsi="宋体" w:cs="宋体"/>
          <w:bCs/>
          <w:color w:val="auto"/>
          <w:sz w:val="24"/>
          <w:szCs w:val="24"/>
          <w:highlight w:val="none"/>
          <w:u w:val="single"/>
        </w:rPr>
      </w:pPr>
      <w:r>
        <w:rPr>
          <w:rFonts w:hint="eastAsia" w:hAnsi="宋体" w:cs="宋体"/>
          <w:bCs/>
          <w:color w:val="auto"/>
          <w:sz w:val="24"/>
          <w:szCs w:val="24"/>
          <w:highlight w:val="none"/>
        </w:rPr>
        <w:t>授权代表：</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联系电话：</w:t>
      </w:r>
      <w:r>
        <w:rPr>
          <w:rFonts w:hint="eastAsia" w:hAnsi="宋体" w:cs="宋体"/>
          <w:bCs/>
          <w:color w:val="auto"/>
          <w:sz w:val="24"/>
          <w:szCs w:val="24"/>
          <w:highlight w:val="none"/>
          <w:u w:val="single"/>
        </w:rPr>
        <w:t xml:space="preserve">                   </w:t>
      </w:r>
    </w:p>
    <w:p>
      <w:pPr>
        <w:pStyle w:val="18"/>
        <w:snapToGrid w:val="0"/>
        <w:spacing w:line="360" w:lineRule="auto"/>
        <w:ind w:firstLine="480" w:firstLineChars="200"/>
        <w:rPr>
          <w:rFonts w:hAnsi="宋体" w:cs="宋体"/>
          <w:bCs/>
          <w:color w:val="auto"/>
          <w:sz w:val="24"/>
          <w:szCs w:val="24"/>
          <w:highlight w:val="none"/>
          <w:u w:val="single"/>
        </w:rPr>
      </w:pPr>
      <w:r>
        <w:rPr>
          <w:rFonts w:hint="eastAsia" w:hAnsi="宋体" w:cs="宋体"/>
          <w:bCs/>
          <w:color w:val="auto"/>
          <w:sz w:val="24"/>
          <w:szCs w:val="24"/>
          <w:highlight w:val="none"/>
        </w:rPr>
        <w:t>地址：</w:t>
      </w:r>
      <w:r>
        <w:rPr>
          <w:rFonts w:hint="eastAsia" w:hAnsi="宋体" w:cs="宋体"/>
          <w:bCs/>
          <w:color w:val="auto"/>
          <w:sz w:val="24"/>
          <w:szCs w:val="24"/>
          <w:highlight w:val="none"/>
          <w:u w:val="single"/>
        </w:rPr>
        <w:t xml:space="preserve">                                                            </w:t>
      </w:r>
    </w:p>
    <w:p>
      <w:pPr>
        <w:pStyle w:val="18"/>
        <w:snapToGrid w:val="0"/>
        <w:spacing w:line="360" w:lineRule="auto"/>
        <w:ind w:firstLine="480" w:firstLineChars="200"/>
        <w:rPr>
          <w:rFonts w:hAnsi="宋体" w:cs="宋体"/>
          <w:bCs/>
          <w:color w:val="auto"/>
          <w:sz w:val="24"/>
          <w:szCs w:val="24"/>
          <w:highlight w:val="none"/>
        </w:rPr>
      </w:pPr>
      <w:r>
        <w:rPr>
          <w:rFonts w:hint="eastAsia" w:hAnsi="宋体" w:cs="宋体"/>
          <w:bCs/>
          <w:color w:val="auto"/>
          <w:sz w:val="24"/>
          <w:szCs w:val="24"/>
          <w:highlight w:val="none"/>
        </w:rPr>
        <w:t>邮编：</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 xml:space="preserve">   </w:t>
      </w:r>
    </w:p>
    <w:p>
      <w:pPr>
        <w:pStyle w:val="18"/>
        <w:snapToGrid w:val="0"/>
        <w:spacing w:line="360" w:lineRule="auto"/>
        <w:ind w:firstLine="480" w:firstLineChars="200"/>
        <w:rPr>
          <w:rFonts w:hAnsi="宋体" w:cs="宋体"/>
          <w:bCs/>
          <w:color w:val="auto"/>
          <w:sz w:val="24"/>
          <w:szCs w:val="24"/>
          <w:highlight w:val="none"/>
        </w:rPr>
      </w:pPr>
      <w:r>
        <w:rPr>
          <w:rFonts w:hint="eastAsia" w:hAnsi="宋体" w:cs="宋体"/>
          <w:bCs/>
          <w:color w:val="auto"/>
          <w:sz w:val="24"/>
          <w:szCs w:val="24"/>
          <w:highlight w:val="none"/>
        </w:rPr>
        <w:t>被投诉人1：</w:t>
      </w:r>
    </w:p>
    <w:p>
      <w:pPr>
        <w:pStyle w:val="18"/>
        <w:snapToGrid w:val="0"/>
        <w:spacing w:line="360" w:lineRule="auto"/>
        <w:ind w:firstLine="480" w:firstLineChars="200"/>
        <w:rPr>
          <w:rFonts w:hAnsi="宋体" w:cs="宋体"/>
          <w:bCs/>
          <w:color w:val="auto"/>
          <w:sz w:val="24"/>
          <w:szCs w:val="24"/>
          <w:highlight w:val="none"/>
          <w:u w:val="single"/>
        </w:rPr>
      </w:pPr>
      <w:r>
        <w:rPr>
          <w:rFonts w:hint="eastAsia" w:hAnsi="宋体" w:cs="宋体"/>
          <w:bCs/>
          <w:color w:val="auto"/>
          <w:sz w:val="24"/>
          <w:szCs w:val="24"/>
          <w:highlight w:val="none"/>
        </w:rPr>
        <w:t>地址：</w:t>
      </w:r>
      <w:r>
        <w:rPr>
          <w:rFonts w:hint="eastAsia" w:hAnsi="宋体" w:cs="宋体"/>
          <w:bCs/>
          <w:color w:val="auto"/>
          <w:sz w:val="24"/>
          <w:szCs w:val="24"/>
          <w:highlight w:val="none"/>
          <w:u w:val="single"/>
        </w:rPr>
        <w:t xml:space="preserve">                                                            </w:t>
      </w:r>
    </w:p>
    <w:p>
      <w:pPr>
        <w:pStyle w:val="18"/>
        <w:snapToGrid w:val="0"/>
        <w:spacing w:line="360" w:lineRule="auto"/>
        <w:ind w:firstLine="480" w:firstLineChars="200"/>
        <w:rPr>
          <w:rFonts w:hAnsi="宋体" w:cs="宋体"/>
          <w:bCs/>
          <w:color w:val="auto"/>
          <w:sz w:val="24"/>
          <w:szCs w:val="24"/>
          <w:highlight w:val="none"/>
        </w:rPr>
      </w:pPr>
      <w:r>
        <w:rPr>
          <w:rFonts w:hint="eastAsia" w:hAnsi="宋体" w:cs="宋体"/>
          <w:bCs/>
          <w:color w:val="auto"/>
          <w:sz w:val="24"/>
          <w:szCs w:val="24"/>
          <w:highlight w:val="none"/>
        </w:rPr>
        <w:t>邮编：</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 xml:space="preserve">  </w:t>
      </w:r>
    </w:p>
    <w:p>
      <w:pPr>
        <w:pStyle w:val="18"/>
        <w:snapToGrid w:val="0"/>
        <w:spacing w:line="360" w:lineRule="auto"/>
        <w:ind w:firstLine="480" w:firstLineChars="200"/>
        <w:rPr>
          <w:rFonts w:hAnsi="宋体" w:cs="宋体"/>
          <w:bCs/>
          <w:color w:val="auto"/>
          <w:sz w:val="24"/>
          <w:szCs w:val="24"/>
          <w:highlight w:val="none"/>
          <w:u w:val="single"/>
        </w:rPr>
      </w:pPr>
      <w:r>
        <w:rPr>
          <w:rFonts w:hint="eastAsia" w:hAnsi="宋体" w:cs="宋体"/>
          <w:bCs/>
          <w:color w:val="auto"/>
          <w:sz w:val="24"/>
          <w:szCs w:val="24"/>
          <w:highlight w:val="none"/>
        </w:rPr>
        <w:t>联系人：</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联系电话：</w:t>
      </w:r>
      <w:r>
        <w:rPr>
          <w:rFonts w:hint="eastAsia" w:hAnsi="宋体" w:cs="宋体"/>
          <w:bCs/>
          <w:color w:val="auto"/>
          <w:sz w:val="24"/>
          <w:szCs w:val="24"/>
          <w:highlight w:val="none"/>
          <w:u w:val="single"/>
        </w:rPr>
        <w:t xml:space="preserve">                </w:t>
      </w:r>
    </w:p>
    <w:p>
      <w:pPr>
        <w:pStyle w:val="18"/>
        <w:snapToGrid w:val="0"/>
        <w:spacing w:line="360" w:lineRule="auto"/>
        <w:ind w:firstLine="480" w:firstLineChars="200"/>
        <w:rPr>
          <w:rFonts w:hAnsi="宋体" w:cs="宋体"/>
          <w:bCs/>
          <w:color w:val="auto"/>
          <w:sz w:val="24"/>
          <w:szCs w:val="24"/>
          <w:highlight w:val="none"/>
        </w:rPr>
      </w:pPr>
      <w:r>
        <w:rPr>
          <w:rFonts w:hint="eastAsia" w:hAnsi="宋体" w:cs="宋体"/>
          <w:bCs/>
          <w:color w:val="auto"/>
          <w:sz w:val="24"/>
          <w:szCs w:val="24"/>
          <w:highlight w:val="none"/>
        </w:rPr>
        <w:t>被投诉人2：</w:t>
      </w:r>
    </w:p>
    <w:p>
      <w:pPr>
        <w:pStyle w:val="18"/>
        <w:snapToGrid w:val="0"/>
        <w:spacing w:line="360" w:lineRule="auto"/>
        <w:ind w:firstLine="480" w:firstLineChars="200"/>
        <w:rPr>
          <w:rFonts w:hAnsi="宋体" w:cs="宋体"/>
          <w:bCs/>
          <w:color w:val="auto"/>
          <w:sz w:val="24"/>
          <w:szCs w:val="24"/>
          <w:highlight w:val="none"/>
        </w:rPr>
      </w:pPr>
      <w:r>
        <w:rPr>
          <w:rFonts w:hint="eastAsia" w:hAnsi="宋体" w:cs="宋体"/>
          <w:bCs/>
          <w:color w:val="auto"/>
          <w:sz w:val="24"/>
          <w:szCs w:val="24"/>
          <w:highlight w:val="none"/>
        </w:rPr>
        <w:t>……</w:t>
      </w:r>
    </w:p>
    <w:p>
      <w:pPr>
        <w:pStyle w:val="18"/>
        <w:snapToGrid w:val="0"/>
        <w:spacing w:line="360" w:lineRule="auto"/>
        <w:ind w:firstLine="480" w:firstLineChars="200"/>
        <w:rPr>
          <w:rFonts w:hAnsi="宋体" w:cs="宋体"/>
          <w:bCs/>
          <w:color w:val="auto"/>
          <w:sz w:val="24"/>
          <w:szCs w:val="24"/>
          <w:highlight w:val="none"/>
          <w:u w:val="single"/>
        </w:rPr>
      </w:pPr>
      <w:r>
        <w:rPr>
          <w:rFonts w:hint="eastAsia" w:hAnsi="宋体" w:cs="宋体"/>
          <w:bCs/>
          <w:color w:val="auto"/>
          <w:sz w:val="24"/>
          <w:szCs w:val="24"/>
          <w:highlight w:val="none"/>
        </w:rPr>
        <w:t>相关供应商：</w:t>
      </w:r>
      <w:r>
        <w:rPr>
          <w:rFonts w:hint="eastAsia" w:hAnsi="宋体" w:cs="宋体"/>
          <w:bCs/>
          <w:color w:val="auto"/>
          <w:sz w:val="24"/>
          <w:szCs w:val="24"/>
          <w:highlight w:val="none"/>
          <w:u w:val="single"/>
        </w:rPr>
        <w:t xml:space="preserve">                                                                       </w:t>
      </w:r>
    </w:p>
    <w:p>
      <w:pPr>
        <w:pStyle w:val="18"/>
        <w:snapToGrid w:val="0"/>
        <w:spacing w:line="360" w:lineRule="auto"/>
        <w:ind w:firstLine="480" w:firstLineChars="200"/>
        <w:rPr>
          <w:rFonts w:hAnsi="宋体" w:cs="宋体"/>
          <w:bCs/>
          <w:color w:val="auto"/>
          <w:sz w:val="24"/>
          <w:szCs w:val="24"/>
          <w:highlight w:val="none"/>
          <w:u w:val="single"/>
        </w:rPr>
      </w:pPr>
      <w:r>
        <w:rPr>
          <w:rFonts w:hint="eastAsia" w:hAnsi="宋体" w:cs="宋体"/>
          <w:bCs/>
          <w:color w:val="auto"/>
          <w:sz w:val="24"/>
          <w:szCs w:val="24"/>
          <w:highlight w:val="none"/>
        </w:rPr>
        <w:t>地址：</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邮编：</w:t>
      </w:r>
      <w:r>
        <w:rPr>
          <w:rFonts w:hint="eastAsia" w:hAnsi="宋体" w:cs="宋体"/>
          <w:bCs/>
          <w:color w:val="auto"/>
          <w:sz w:val="24"/>
          <w:szCs w:val="24"/>
          <w:highlight w:val="none"/>
          <w:u w:val="single"/>
        </w:rPr>
        <w:t xml:space="preserve">                         </w:t>
      </w:r>
    </w:p>
    <w:p>
      <w:pPr>
        <w:pStyle w:val="18"/>
        <w:snapToGrid w:val="0"/>
        <w:spacing w:line="360" w:lineRule="auto"/>
        <w:ind w:firstLine="480" w:firstLineChars="200"/>
        <w:rPr>
          <w:rFonts w:hAnsi="宋体" w:cs="宋体"/>
          <w:bCs/>
          <w:color w:val="auto"/>
          <w:sz w:val="24"/>
          <w:szCs w:val="24"/>
          <w:highlight w:val="none"/>
        </w:rPr>
      </w:pPr>
      <w:r>
        <w:rPr>
          <w:rFonts w:hint="eastAsia" w:hAnsi="宋体" w:cs="宋体"/>
          <w:bCs/>
          <w:color w:val="auto"/>
          <w:sz w:val="24"/>
          <w:szCs w:val="24"/>
          <w:highlight w:val="none"/>
        </w:rPr>
        <w:t>联系人：</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联系电话：</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 xml:space="preserve">                </w:t>
      </w:r>
    </w:p>
    <w:p>
      <w:pPr>
        <w:pStyle w:val="18"/>
        <w:snapToGrid w:val="0"/>
        <w:spacing w:line="360" w:lineRule="auto"/>
        <w:ind w:firstLine="482" w:firstLineChars="200"/>
        <w:rPr>
          <w:rFonts w:hAnsi="宋体" w:cs="宋体"/>
          <w:b/>
          <w:bCs/>
          <w:color w:val="auto"/>
          <w:sz w:val="24"/>
          <w:szCs w:val="24"/>
          <w:highlight w:val="none"/>
        </w:rPr>
      </w:pPr>
      <w:r>
        <w:rPr>
          <w:rFonts w:hint="eastAsia" w:hAnsi="宋体" w:cs="宋体"/>
          <w:b/>
          <w:bCs/>
          <w:color w:val="auto"/>
          <w:sz w:val="24"/>
          <w:szCs w:val="24"/>
          <w:highlight w:val="none"/>
        </w:rPr>
        <w:t>二、投诉项目基本情况：</w:t>
      </w:r>
    </w:p>
    <w:p>
      <w:pPr>
        <w:pStyle w:val="18"/>
        <w:spacing w:line="360" w:lineRule="auto"/>
        <w:ind w:left="25" w:leftChars="12" w:firstLine="472" w:firstLineChars="197"/>
        <w:rPr>
          <w:rFonts w:hAnsi="宋体" w:cs="宋体"/>
          <w:color w:val="auto"/>
          <w:sz w:val="24"/>
          <w:szCs w:val="24"/>
          <w:highlight w:val="none"/>
        </w:rPr>
      </w:pPr>
      <w:r>
        <w:rPr>
          <w:rFonts w:hint="eastAsia" w:hAnsi="宋体" w:cs="宋体"/>
          <w:bCs/>
          <w:color w:val="auto"/>
          <w:sz w:val="24"/>
          <w:szCs w:val="24"/>
          <w:highlight w:val="none"/>
        </w:rPr>
        <w:t>采购</w:t>
      </w:r>
      <w:r>
        <w:rPr>
          <w:rFonts w:hint="eastAsia" w:hAnsi="宋体" w:cs="宋体"/>
          <w:color w:val="auto"/>
          <w:sz w:val="24"/>
          <w:szCs w:val="24"/>
          <w:highlight w:val="none"/>
        </w:rPr>
        <w:t>项目的名称：</w:t>
      </w:r>
      <w:r>
        <w:rPr>
          <w:rFonts w:hint="eastAsia" w:hAnsi="宋体" w:cs="宋体"/>
          <w:bCs/>
          <w:color w:val="auto"/>
          <w:sz w:val="24"/>
          <w:szCs w:val="24"/>
          <w:highlight w:val="none"/>
          <w:u w:val="single"/>
        </w:rPr>
        <w:t xml:space="preserve">                                                                   </w:t>
      </w:r>
    </w:p>
    <w:p>
      <w:pPr>
        <w:pStyle w:val="18"/>
        <w:spacing w:line="360" w:lineRule="auto"/>
        <w:ind w:left="25" w:leftChars="12" w:firstLine="472" w:firstLineChars="197"/>
        <w:rPr>
          <w:rFonts w:hAnsi="宋体" w:cs="宋体"/>
          <w:color w:val="auto"/>
          <w:sz w:val="24"/>
          <w:szCs w:val="24"/>
          <w:highlight w:val="none"/>
        </w:rPr>
      </w:pPr>
      <w:r>
        <w:rPr>
          <w:rFonts w:hint="eastAsia" w:hAnsi="宋体" w:cs="宋体"/>
          <w:bCs/>
          <w:color w:val="auto"/>
          <w:sz w:val="24"/>
          <w:szCs w:val="24"/>
          <w:highlight w:val="none"/>
        </w:rPr>
        <w:t>采购</w:t>
      </w:r>
      <w:r>
        <w:rPr>
          <w:rFonts w:hint="eastAsia" w:hAnsi="宋体" w:cs="宋体"/>
          <w:color w:val="auto"/>
          <w:sz w:val="24"/>
          <w:szCs w:val="24"/>
          <w:highlight w:val="none"/>
        </w:rPr>
        <w:t>项目的编号：</w:t>
      </w:r>
      <w:r>
        <w:rPr>
          <w:rFonts w:hint="eastAsia" w:hAnsi="宋体" w:cs="宋体"/>
          <w:bCs/>
          <w:color w:val="auto"/>
          <w:sz w:val="24"/>
          <w:szCs w:val="24"/>
          <w:highlight w:val="none"/>
          <w:u w:val="single"/>
        </w:rPr>
        <w:t xml:space="preserve">                                          </w:t>
      </w:r>
    </w:p>
    <w:p>
      <w:pPr>
        <w:pStyle w:val="18"/>
        <w:spacing w:line="360" w:lineRule="auto"/>
        <w:ind w:left="25" w:leftChars="12" w:firstLine="472" w:firstLineChars="197"/>
        <w:rPr>
          <w:rFonts w:hAnsi="宋体" w:cs="宋体"/>
          <w:bCs/>
          <w:color w:val="auto"/>
          <w:sz w:val="24"/>
          <w:szCs w:val="24"/>
          <w:highlight w:val="none"/>
          <w:u w:val="single"/>
        </w:rPr>
      </w:pPr>
      <w:r>
        <w:rPr>
          <w:rFonts w:hint="eastAsia" w:hAnsi="宋体" w:cs="宋体"/>
          <w:color w:val="auto"/>
          <w:sz w:val="24"/>
          <w:szCs w:val="24"/>
          <w:highlight w:val="none"/>
        </w:rPr>
        <w:t>采购人名称：</w:t>
      </w:r>
      <w:r>
        <w:rPr>
          <w:rFonts w:hint="eastAsia" w:hAnsi="宋体" w:cs="宋体"/>
          <w:bCs/>
          <w:color w:val="auto"/>
          <w:sz w:val="24"/>
          <w:szCs w:val="24"/>
          <w:highlight w:val="none"/>
          <w:u w:val="single"/>
        </w:rPr>
        <w:t xml:space="preserve">                                                                        </w:t>
      </w:r>
    </w:p>
    <w:p>
      <w:pPr>
        <w:pStyle w:val="18"/>
        <w:spacing w:line="360" w:lineRule="auto"/>
        <w:ind w:left="25" w:leftChars="12" w:firstLine="472" w:firstLineChars="197"/>
        <w:rPr>
          <w:rFonts w:hAnsi="宋体" w:cs="宋体"/>
          <w:bCs/>
          <w:color w:val="auto"/>
          <w:sz w:val="24"/>
          <w:szCs w:val="24"/>
          <w:highlight w:val="none"/>
          <w:u w:val="single"/>
        </w:rPr>
      </w:pPr>
      <w:r>
        <w:rPr>
          <w:rFonts w:hint="eastAsia" w:hAnsi="宋体" w:cs="宋体"/>
          <w:color w:val="auto"/>
          <w:sz w:val="24"/>
          <w:szCs w:val="24"/>
          <w:highlight w:val="none"/>
        </w:rPr>
        <w:t>代理机构名称：</w:t>
      </w:r>
      <w:r>
        <w:rPr>
          <w:rFonts w:hint="eastAsia" w:hAnsi="宋体" w:cs="宋体"/>
          <w:bCs/>
          <w:color w:val="auto"/>
          <w:sz w:val="24"/>
          <w:szCs w:val="24"/>
          <w:highlight w:val="none"/>
          <w:u w:val="single"/>
        </w:rPr>
        <w:t xml:space="preserve">                                                                      </w:t>
      </w:r>
    </w:p>
    <w:p>
      <w:pPr>
        <w:pStyle w:val="18"/>
        <w:spacing w:line="360" w:lineRule="auto"/>
        <w:ind w:left="25" w:leftChars="12" w:firstLine="472" w:firstLineChars="197"/>
        <w:rPr>
          <w:rFonts w:hAnsi="宋体" w:cs="宋体"/>
          <w:bCs/>
          <w:color w:val="auto"/>
          <w:sz w:val="24"/>
          <w:szCs w:val="24"/>
          <w:highlight w:val="none"/>
          <w:u w:val="single"/>
        </w:rPr>
      </w:pPr>
      <w:r>
        <w:rPr>
          <w:rFonts w:hint="eastAsia" w:hAnsi="宋体" w:cs="宋体"/>
          <w:bCs/>
          <w:color w:val="auto"/>
          <w:sz w:val="24"/>
          <w:szCs w:val="24"/>
          <w:highlight w:val="none"/>
        </w:rPr>
        <w:t>竞争性磋商文件公告：</w:t>
      </w:r>
      <w:r>
        <w:rPr>
          <w:rFonts w:hint="eastAsia" w:hAnsi="宋体" w:cs="宋体"/>
          <w:bCs/>
          <w:color w:val="auto"/>
          <w:sz w:val="24"/>
          <w:szCs w:val="24"/>
          <w:highlight w:val="none"/>
          <w:u w:val="single"/>
        </w:rPr>
        <w:t>是/否</w:t>
      </w:r>
      <w:r>
        <w:rPr>
          <w:rFonts w:hint="eastAsia" w:hAnsi="宋体" w:cs="宋体"/>
          <w:bCs/>
          <w:color w:val="auto"/>
          <w:sz w:val="24"/>
          <w:szCs w:val="24"/>
          <w:highlight w:val="none"/>
        </w:rPr>
        <w:t>公告期限：</w:t>
      </w:r>
      <w:r>
        <w:rPr>
          <w:rFonts w:hint="eastAsia" w:hAnsi="宋体" w:cs="宋体"/>
          <w:bCs/>
          <w:color w:val="auto"/>
          <w:sz w:val="24"/>
          <w:szCs w:val="24"/>
          <w:highlight w:val="none"/>
          <w:u w:val="single"/>
        </w:rPr>
        <w:t xml:space="preserve">                                                       </w:t>
      </w:r>
    </w:p>
    <w:p>
      <w:pPr>
        <w:pStyle w:val="18"/>
        <w:spacing w:line="360" w:lineRule="auto"/>
        <w:ind w:left="25" w:leftChars="12" w:firstLine="472" w:firstLineChars="197"/>
        <w:rPr>
          <w:rFonts w:hAnsi="宋体" w:cs="宋体"/>
          <w:b/>
          <w:color w:val="auto"/>
          <w:sz w:val="24"/>
          <w:szCs w:val="24"/>
          <w:highlight w:val="none"/>
        </w:rPr>
      </w:pPr>
      <w:r>
        <w:rPr>
          <w:rFonts w:hint="eastAsia" w:hAnsi="宋体" w:cs="宋体"/>
          <w:bCs/>
          <w:color w:val="auto"/>
          <w:sz w:val="24"/>
          <w:szCs w:val="24"/>
          <w:highlight w:val="none"/>
        </w:rPr>
        <w:t>采购结果公告：</w:t>
      </w:r>
      <w:r>
        <w:rPr>
          <w:rFonts w:hint="eastAsia" w:hAnsi="宋体" w:cs="宋体"/>
          <w:bCs/>
          <w:color w:val="auto"/>
          <w:sz w:val="24"/>
          <w:szCs w:val="24"/>
          <w:highlight w:val="none"/>
          <w:u w:val="single"/>
        </w:rPr>
        <w:t>是/否</w:t>
      </w:r>
      <w:r>
        <w:rPr>
          <w:rFonts w:hint="eastAsia" w:hAnsi="宋体" w:cs="宋体"/>
          <w:bCs/>
          <w:color w:val="auto"/>
          <w:sz w:val="24"/>
          <w:szCs w:val="24"/>
          <w:highlight w:val="none"/>
        </w:rPr>
        <w:t>公告期限：</w:t>
      </w:r>
      <w:r>
        <w:rPr>
          <w:rFonts w:hint="eastAsia" w:hAnsi="宋体" w:cs="宋体"/>
          <w:bCs/>
          <w:color w:val="auto"/>
          <w:sz w:val="24"/>
          <w:szCs w:val="24"/>
          <w:highlight w:val="none"/>
          <w:u w:val="single"/>
        </w:rPr>
        <w:t xml:space="preserve">                                                       </w:t>
      </w:r>
    </w:p>
    <w:p>
      <w:pPr>
        <w:pStyle w:val="18"/>
        <w:spacing w:line="360" w:lineRule="auto"/>
        <w:ind w:left="25" w:leftChars="12" w:firstLine="472" w:firstLineChars="196"/>
        <w:rPr>
          <w:rFonts w:hAnsi="宋体" w:cs="宋体"/>
          <w:b/>
          <w:color w:val="auto"/>
          <w:sz w:val="24"/>
          <w:szCs w:val="24"/>
          <w:highlight w:val="none"/>
        </w:rPr>
      </w:pPr>
      <w:r>
        <w:rPr>
          <w:rFonts w:hint="eastAsia" w:hAnsi="宋体" w:cs="宋体"/>
          <w:b/>
          <w:color w:val="auto"/>
          <w:sz w:val="24"/>
          <w:szCs w:val="24"/>
          <w:highlight w:val="none"/>
        </w:rPr>
        <w:t>三、质疑基本情况</w:t>
      </w:r>
    </w:p>
    <w:p>
      <w:pPr>
        <w:pStyle w:val="18"/>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投诉人于</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年</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月</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日，向</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提出质疑，质疑事项为：</w:t>
      </w:r>
    </w:p>
    <w:p>
      <w:pPr>
        <w:pStyle w:val="18"/>
        <w:spacing w:line="360" w:lineRule="auto"/>
        <w:ind w:firstLine="241"/>
        <w:rPr>
          <w:rFonts w:hAnsi="宋体" w:cs="宋体"/>
          <w:bCs/>
          <w:color w:val="auto"/>
          <w:sz w:val="24"/>
          <w:szCs w:val="24"/>
          <w:highlight w:val="none"/>
          <w:u w:val="single"/>
        </w:rPr>
      </w:pPr>
      <w:r>
        <w:rPr>
          <w:rFonts w:hint="eastAsia" w:hAnsi="宋体" w:cs="宋体"/>
          <w:color w:val="auto"/>
          <w:sz w:val="24"/>
          <w:szCs w:val="24"/>
          <w:highlight w:val="none"/>
        </w:rPr>
        <w:t xml:space="preserve">    </w:t>
      </w:r>
      <w:r>
        <w:rPr>
          <w:rFonts w:hint="eastAsia" w:hAnsi="宋体" w:cs="宋体"/>
          <w:bCs/>
          <w:color w:val="auto"/>
          <w:sz w:val="24"/>
          <w:szCs w:val="24"/>
          <w:highlight w:val="none"/>
          <w:u w:val="single"/>
        </w:rPr>
        <w:t xml:space="preserve">                                                                                      </w:t>
      </w:r>
    </w:p>
    <w:p>
      <w:pPr>
        <w:pStyle w:val="18"/>
        <w:spacing w:line="360" w:lineRule="auto"/>
        <w:ind w:firstLine="241"/>
        <w:rPr>
          <w:rFonts w:hAnsi="宋体" w:cs="宋体"/>
          <w:bCs/>
          <w:color w:val="auto"/>
          <w:sz w:val="24"/>
          <w:szCs w:val="24"/>
          <w:highlight w:val="none"/>
          <w:u w:val="single"/>
        </w:rPr>
      </w:pPr>
      <w:r>
        <w:rPr>
          <w:rFonts w:hint="eastAsia" w:hAnsi="宋体" w:cs="宋体"/>
          <w:bCs/>
          <w:color w:val="auto"/>
          <w:sz w:val="24"/>
          <w:szCs w:val="24"/>
          <w:highlight w:val="none"/>
        </w:rPr>
        <w:t xml:space="preserve">    </w:t>
      </w:r>
      <w:r>
        <w:rPr>
          <w:rFonts w:hint="eastAsia" w:hAnsi="宋体" w:cs="宋体"/>
          <w:bCs/>
          <w:color w:val="auto"/>
          <w:sz w:val="24"/>
          <w:szCs w:val="24"/>
          <w:highlight w:val="none"/>
          <w:u w:val="single"/>
        </w:rPr>
        <w:t xml:space="preserve">                                                                                      </w:t>
      </w:r>
    </w:p>
    <w:p>
      <w:pPr>
        <w:pStyle w:val="18"/>
        <w:spacing w:line="360" w:lineRule="auto"/>
        <w:ind w:firstLine="480" w:firstLineChars="200"/>
        <w:rPr>
          <w:rFonts w:hAnsi="宋体" w:cs="宋体"/>
          <w:color w:val="auto"/>
          <w:sz w:val="24"/>
          <w:szCs w:val="24"/>
          <w:highlight w:val="none"/>
        </w:rPr>
      </w:pPr>
      <w:r>
        <w:rPr>
          <w:rFonts w:hint="eastAsia" w:hAnsi="宋体" w:cs="宋体"/>
          <w:bCs/>
          <w:color w:val="auto"/>
          <w:sz w:val="24"/>
          <w:szCs w:val="24"/>
          <w:highlight w:val="none"/>
          <w:u w:val="single"/>
        </w:rPr>
        <w:t>采购人/代理机构</w:t>
      </w:r>
      <w:r>
        <w:rPr>
          <w:rFonts w:hint="eastAsia" w:hAnsi="宋体" w:cs="宋体"/>
          <w:bCs/>
          <w:color w:val="auto"/>
          <w:sz w:val="24"/>
          <w:szCs w:val="24"/>
          <w:highlight w:val="none"/>
        </w:rPr>
        <w:t>于</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年</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月</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日，</w:t>
      </w:r>
      <w:r>
        <w:rPr>
          <w:rFonts w:hint="eastAsia" w:hAnsi="宋体" w:cs="宋体"/>
          <w:bCs/>
          <w:color w:val="auto"/>
          <w:sz w:val="24"/>
          <w:szCs w:val="24"/>
          <w:highlight w:val="none"/>
        </w:rPr>
        <w:t xml:space="preserve">就质疑事项作出了答复/没有在法定期限内作出答复。                                                                                             </w:t>
      </w:r>
    </w:p>
    <w:p>
      <w:pPr>
        <w:pStyle w:val="18"/>
        <w:spacing w:line="360" w:lineRule="auto"/>
        <w:ind w:left="25" w:leftChars="12" w:firstLine="472" w:firstLineChars="196"/>
        <w:rPr>
          <w:rFonts w:hAnsi="宋体" w:cs="宋体"/>
          <w:b/>
          <w:color w:val="auto"/>
          <w:sz w:val="24"/>
          <w:szCs w:val="24"/>
          <w:highlight w:val="none"/>
        </w:rPr>
      </w:pPr>
      <w:r>
        <w:rPr>
          <w:rFonts w:hint="eastAsia" w:hAnsi="宋体" w:cs="宋体"/>
          <w:b/>
          <w:color w:val="auto"/>
          <w:sz w:val="24"/>
          <w:szCs w:val="24"/>
          <w:highlight w:val="none"/>
        </w:rPr>
        <w:t>四、投诉事项具体内容</w:t>
      </w:r>
    </w:p>
    <w:p>
      <w:pPr>
        <w:pStyle w:val="18"/>
        <w:spacing w:line="360" w:lineRule="auto"/>
        <w:ind w:left="25" w:leftChars="12" w:firstLine="472" w:firstLineChars="197"/>
        <w:rPr>
          <w:rFonts w:hAnsi="宋体" w:cs="宋体"/>
          <w:bCs/>
          <w:color w:val="auto"/>
          <w:sz w:val="24"/>
          <w:szCs w:val="24"/>
          <w:highlight w:val="none"/>
          <w:u w:val="single"/>
        </w:rPr>
      </w:pPr>
      <w:r>
        <w:rPr>
          <w:rFonts w:hint="eastAsia" w:hAnsi="宋体" w:cs="宋体"/>
          <w:color w:val="auto"/>
          <w:sz w:val="24"/>
          <w:szCs w:val="24"/>
          <w:highlight w:val="none"/>
        </w:rPr>
        <w:t>投诉事项1：</w:t>
      </w:r>
      <w:r>
        <w:rPr>
          <w:rFonts w:hint="eastAsia" w:hAnsi="宋体" w:cs="宋体"/>
          <w:bCs/>
          <w:color w:val="auto"/>
          <w:sz w:val="24"/>
          <w:szCs w:val="24"/>
          <w:highlight w:val="none"/>
          <w:u w:val="single"/>
        </w:rPr>
        <w:t xml:space="preserve">                                                                           </w:t>
      </w:r>
    </w:p>
    <w:p>
      <w:pPr>
        <w:pStyle w:val="18"/>
        <w:spacing w:line="360" w:lineRule="auto"/>
        <w:ind w:firstLine="480" w:firstLineChars="200"/>
        <w:rPr>
          <w:rFonts w:hAnsi="宋体" w:cs="宋体"/>
          <w:bCs/>
          <w:color w:val="auto"/>
          <w:sz w:val="24"/>
          <w:szCs w:val="24"/>
          <w:highlight w:val="none"/>
          <w:u w:val="single"/>
        </w:rPr>
      </w:pPr>
      <w:r>
        <w:rPr>
          <w:rFonts w:hint="eastAsia" w:hAnsi="宋体" w:cs="宋体"/>
          <w:bCs/>
          <w:color w:val="auto"/>
          <w:sz w:val="24"/>
          <w:szCs w:val="24"/>
          <w:highlight w:val="none"/>
        </w:rPr>
        <w:t>事实依据：</w:t>
      </w:r>
      <w:r>
        <w:rPr>
          <w:rFonts w:hint="eastAsia" w:hAnsi="宋体" w:cs="宋体"/>
          <w:color w:val="auto"/>
          <w:sz w:val="24"/>
          <w:szCs w:val="24"/>
          <w:highlight w:val="none"/>
        </w:rPr>
        <w:t xml:space="preserve"> </w:t>
      </w:r>
      <w:r>
        <w:rPr>
          <w:rFonts w:hint="eastAsia" w:hAnsi="宋体" w:cs="宋体"/>
          <w:bCs/>
          <w:color w:val="auto"/>
          <w:sz w:val="24"/>
          <w:szCs w:val="24"/>
          <w:highlight w:val="none"/>
          <w:u w:val="single"/>
        </w:rPr>
        <w:t xml:space="preserve">                                                                                      </w:t>
      </w:r>
    </w:p>
    <w:p>
      <w:pPr>
        <w:pStyle w:val="18"/>
        <w:spacing w:line="360" w:lineRule="auto"/>
        <w:ind w:left="25" w:leftChars="12" w:firstLine="472" w:firstLineChars="197"/>
        <w:rPr>
          <w:rFonts w:hAnsi="宋体" w:cs="宋体"/>
          <w:color w:val="auto"/>
          <w:sz w:val="24"/>
          <w:szCs w:val="24"/>
          <w:highlight w:val="none"/>
        </w:rPr>
      </w:pPr>
      <w:r>
        <w:rPr>
          <w:rFonts w:hint="eastAsia" w:hAnsi="宋体" w:cs="宋体"/>
          <w:bCs/>
          <w:color w:val="auto"/>
          <w:sz w:val="24"/>
          <w:szCs w:val="24"/>
          <w:highlight w:val="none"/>
          <w:u w:val="single"/>
        </w:rPr>
        <w:t xml:space="preserve">                                                                                        </w:t>
      </w:r>
    </w:p>
    <w:p>
      <w:pPr>
        <w:pStyle w:val="18"/>
        <w:spacing w:line="360" w:lineRule="auto"/>
        <w:ind w:firstLine="480" w:firstLineChars="200"/>
        <w:rPr>
          <w:rFonts w:hAnsi="宋体" w:cs="宋体"/>
          <w:bCs/>
          <w:color w:val="auto"/>
          <w:sz w:val="24"/>
          <w:szCs w:val="24"/>
          <w:highlight w:val="none"/>
          <w:u w:val="single"/>
        </w:rPr>
      </w:pPr>
      <w:r>
        <w:rPr>
          <w:rFonts w:hint="eastAsia" w:hAnsi="宋体" w:cs="宋体"/>
          <w:bCs/>
          <w:color w:val="auto"/>
          <w:sz w:val="24"/>
          <w:szCs w:val="24"/>
          <w:highlight w:val="none"/>
        </w:rPr>
        <w:t>法律依据：</w:t>
      </w:r>
      <w:r>
        <w:rPr>
          <w:rFonts w:hint="eastAsia" w:hAnsi="宋体" w:cs="宋体"/>
          <w:color w:val="auto"/>
          <w:sz w:val="24"/>
          <w:szCs w:val="24"/>
          <w:highlight w:val="none"/>
        </w:rPr>
        <w:t xml:space="preserve"> </w:t>
      </w:r>
      <w:r>
        <w:rPr>
          <w:rFonts w:hint="eastAsia" w:hAnsi="宋体" w:cs="宋体"/>
          <w:bCs/>
          <w:color w:val="auto"/>
          <w:sz w:val="24"/>
          <w:szCs w:val="24"/>
          <w:highlight w:val="none"/>
          <w:u w:val="single"/>
        </w:rPr>
        <w:t xml:space="preserve">                                                                                      </w:t>
      </w:r>
    </w:p>
    <w:p>
      <w:pPr>
        <w:pStyle w:val="18"/>
        <w:spacing w:line="360" w:lineRule="auto"/>
        <w:ind w:left="25" w:leftChars="12" w:firstLine="352" w:firstLineChars="147"/>
        <w:rPr>
          <w:rFonts w:hAnsi="宋体" w:cs="宋体"/>
          <w:bCs/>
          <w:color w:val="auto"/>
          <w:sz w:val="24"/>
          <w:szCs w:val="24"/>
          <w:highlight w:val="none"/>
          <w:u w:val="single"/>
        </w:rPr>
      </w:pPr>
      <w:r>
        <w:rPr>
          <w:rFonts w:hint="eastAsia" w:hAnsi="宋体" w:cs="宋体"/>
          <w:bCs/>
          <w:color w:val="auto"/>
          <w:sz w:val="24"/>
          <w:szCs w:val="24"/>
          <w:highlight w:val="none"/>
        </w:rPr>
        <w:t xml:space="preserve"> </w:t>
      </w:r>
      <w:r>
        <w:rPr>
          <w:rFonts w:hint="eastAsia" w:hAnsi="宋体" w:cs="宋体"/>
          <w:bCs/>
          <w:color w:val="auto"/>
          <w:sz w:val="24"/>
          <w:szCs w:val="24"/>
          <w:highlight w:val="none"/>
          <w:u w:val="single"/>
        </w:rPr>
        <w:t xml:space="preserve">                                                                                        </w:t>
      </w:r>
    </w:p>
    <w:p>
      <w:pPr>
        <w:pStyle w:val="18"/>
        <w:spacing w:line="360" w:lineRule="auto"/>
        <w:ind w:left="25" w:leftChars="12" w:firstLine="472" w:firstLineChars="197"/>
        <w:rPr>
          <w:rFonts w:hAnsi="宋体" w:cs="宋体"/>
          <w:bCs/>
          <w:color w:val="auto"/>
          <w:sz w:val="24"/>
          <w:szCs w:val="24"/>
          <w:highlight w:val="none"/>
        </w:rPr>
      </w:pPr>
      <w:r>
        <w:rPr>
          <w:rFonts w:hint="eastAsia" w:hAnsi="宋体" w:cs="宋体"/>
          <w:color w:val="auto"/>
          <w:sz w:val="24"/>
          <w:szCs w:val="24"/>
          <w:highlight w:val="none"/>
        </w:rPr>
        <w:t xml:space="preserve">投诉事项2  </w:t>
      </w:r>
      <w:r>
        <w:rPr>
          <w:rFonts w:hint="eastAsia" w:hAnsi="宋体" w:cs="宋体"/>
          <w:bCs/>
          <w:color w:val="auto"/>
          <w:sz w:val="24"/>
          <w:szCs w:val="24"/>
          <w:highlight w:val="none"/>
        </w:rPr>
        <w:t xml:space="preserve">   </w:t>
      </w:r>
    </w:p>
    <w:p>
      <w:pPr>
        <w:pStyle w:val="18"/>
        <w:spacing w:line="360" w:lineRule="auto"/>
        <w:ind w:left="25" w:leftChars="12" w:firstLine="472" w:firstLineChars="197"/>
        <w:rPr>
          <w:rFonts w:hAnsi="宋体" w:cs="宋体"/>
          <w:bCs/>
          <w:color w:val="auto"/>
          <w:sz w:val="24"/>
          <w:szCs w:val="24"/>
          <w:highlight w:val="none"/>
        </w:rPr>
      </w:pPr>
      <w:r>
        <w:rPr>
          <w:rFonts w:hint="eastAsia" w:hAnsi="宋体" w:cs="宋体"/>
          <w:bCs/>
          <w:color w:val="auto"/>
          <w:sz w:val="24"/>
          <w:szCs w:val="24"/>
          <w:highlight w:val="none"/>
        </w:rPr>
        <w:t>……</w:t>
      </w:r>
    </w:p>
    <w:p>
      <w:pPr>
        <w:pStyle w:val="18"/>
        <w:spacing w:line="360" w:lineRule="auto"/>
        <w:ind w:left="25" w:leftChars="12" w:firstLine="472" w:firstLineChars="196"/>
        <w:rPr>
          <w:rFonts w:hAnsi="宋体" w:cs="宋体"/>
          <w:b/>
          <w:color w:val="auto"/>
          <w:sz w:val="24"/>
          <w:szCs w:val="24"/>
          <w:highlight w:val="none"/>
        </w:rPr>
      </w:pPr>
      <w:r>
        <w:rPr>
          <w:rFonts w:hint="eastAsia" w:hAnsi="宋体" w:cs="宋体"/>
          <w:b/>
          <w:color w:val="auto"/>
          <w:sz w:val="24"/>
          <w:szCs w:val="24"/>
          <w:highlight w:val="none"/>
        </w:rPr>
        <w:t>五、与投诉事项相关的投诉请求：</w:t>
      </w:r>
    </w:p>
    <w:p>
      <w:pPr>
        <w:pStyle w:val="18"/>
        <w:spacing w:line="360" w:lineRule="auto"/>
        <w:ind w:left="25" w:leftChars="12" w:firstLine="472" w:firstLineChars="197"/>
        <w:rPr>
          <w:rFonts w:hAnsi="宋体" w:cs="宋体"/>
          <w:color w:val="auto"/>
          <w:sz w:val="24"/>
          <w:szCs w:val="24"/>
          <w:highlight w:val="none"/>
        </w:rPr>
      </w:pPr>
      <w:r>
        <w:rPr>
          <w:rFonts w:hint="eastAsia" w:hAnsi="宋体" w:cs="宋体"/>
          <w:color w:val="auto"/>
          <w:sz w:val="24"/>
          <w:szCs w:val="24"/>
          <w:highlight w:val="none"/>
        </w:rPr>
        <w:t>请求：</w:t>
      </w:r>
      <w:r>
        <w:rPr>
          <w:rFonts w:hint="eastAsia" w:hAnsi="宋体" w:cs="宋体"/>
          <w:bCs/>
          <w:color w:val="auto"/>
          <w:sz w:val="24"/>
          <w:szCs w:val="24"/>
          <w:highlight w:val="none"/>
          <w:u w:val="single"/>
        </w:rPr>
        <w:t xml:space="preserve">                                                                                 </w:t>
      </w:r>
    </w:p>
    <w:p>
      <w:pPr>
        <w:pStyle w:val="18"/>
        <w:spacing w:line="360" w:lineRule="auto"/>
        <w:ind w:left="25" w:leftChars="12" w:firstLine="352" w:firstLineChars="147"/>
        <w:rPr>
          <w:rFonts w:hAnsi="宋体" w:cs="宋体"/>
          <w:color w:val="auto"/>
          <w:sz w:val="24"/>
          <w:szCs w:val="24"/>
          <w:highlight w:val="none"/>
        </w:rPr>
      </w:pPr>
    </w:p>
    <w:p>
      <w:pPr>
        <w:pStyle w:val="18"/>
        <w:spacing w:line="360" w:lineRule="auto"/>
        <w:ind w:left="25" w:leftChars="12" w:firstLine="472" w:firstLineChars="197"/>
        <w:rPr>
          <w:rFonts w:hAnsi="宋体" w:cs="宋体"/>
          <w:color w:val="auto"/>
          <w:sz w:val="24"/>
          <w:szCs w:val="24"/>
          <w:highlight w:val="none"/>
        </w:rPr>
      </w:pPr>
      <w:r>
        <w:rPr>
          <w:rFonts w:hint="eastAsia" w:hAnsi="宋体" w:cs="宋体"/>
          <w:color w:val="auto"/>
          <w:sz w:val="24"/>
          <w:szCs w:val="24"/>
          <w:highlight w:val="none"/>
        </w:rPr>
        <w:t>签字（签章）：                                       公章：</w:t>
      </w:r>
    </w:p>
    <w:p>
      <w:pPr>
        <w:pStyle w:val="18"/>
        <w:spacing w:line="360" w:lineRule="auto"/>
        <w:ind w:left="25" w:leftChars="12" w:firstLine="352" w:firstLineChars="147"/>
        <w:rPr>
          <w:rFonts w:hAnsi="宋体" w:cs="宋体"/>
          <w:color w:val="auto"/>
          <w:sz w:val="24"/>
          <w:szCs w:val="24"/>
          <w:highlight w:val="none"/>
        </w:rPr>
      </w:pPr>
    </w:p>
    <w:p>
      <w:pPr>
        <w:pStyle w:val="18"/>
        <w:spacing w:line="360" w:lineRule="auto"/>
        <w:ind w:left="25" w:leftChars="12" w:firstLine="472" w:firstLineChars="197"/>
        <w:rPr>
          <w:rFonts w:hAnsi="宋体" w:cs="宋体"/>
          <w:color w:val="auto"/>
          <w:sz w:val="24"/>
          <w:szCs w:val="24"/>
          <w:highlight w:val="none"/>
        </w:rPr>
      </w:pPr>
      <w:r>
        <w:rPr>
          <w:rFonts w:hint="eastAsia" w:hAnsi="宋体" w:cs="宋体"/>
          <w:color w:val="auto"/>
          <w:sz w:val="24"/>
          <w:szCs w:val="24"/>
          <w:highlight w:val="none"/>
        </w:rPr>
        <w:t>日期：</w:t>
      </w:r>
    </w:p>
    <w:p>
      <w:pPr>
        <w:pStyle w:val="18"/>
        <w:spacing w:line="360" w:lineRule="auto"/>
        <w:ind w:left="25" w:leftChars="12" w:firstLine="472" w:firstLineChars="197"/>
        <w:rPr>
          <w:rFonts w:hAnsi="宋体" w:cs="宋体"/>
          <w:b/>
          <w:color w:val="auto"/>
          <w:sz w:val="24"/>
          <w:szCs w:val="24"/>
          <w:highlight w:val="none"/>
        </w:rPr>
      </w:pPr>
      <w:r>
        <w:rPr>
          <w:rFonts w:hint="eastAsia" w:hAnsi="宋体" w:cs="宋体"/>
          <w:bCs/>
          <w:color w:val="auto"/>
          <w:sz w:val="24"/>
          <w:szCs w:val="24"/>
          <w:highlight w:val="none"/>
        </w:rPr>
        <w:t xml:space="preserve">                                                                                 </w:t>
      </w:r>
    </w:p>
    <w:p>
      <w:pPr>
        <w:pStyle w:val="18"/>
        <w:snapToGrid w:val="0"/>
        <w:spacing w:line="360" w:lineRule="auto"/>
        <w:rPr>
          <w:rFonts w:hAnsi="宋体" w:cs="宋体"/>
          <w:b/>
          <w:color w:val="auto"/>
          <w:sz w:val="24"/>
          <w:szCs w:val="24"/>
          <w:highlight w:val="none"/>
        </w:rPr>
      </w:pPr>
      <w:r>
        <w:rPr>
          <w:rFonts w:hint="eastAsia" w:hAnsi="宋体" w:cs="宋体"/>
          <w:b/>
          <w:color w:val="auto"/>
          <w:sz w:val="24"/>
          <w:szCs w:val="24"/>
          <w:highlight w:val="none"/>
        </w:rPr>
        <w:t>说明：</w:t>
      </w:r>
    </w:p>
    <w:p>
      <w:pPr>
        <w:pStyle w:val="18"/>
        <w:spacing w:line="360" w:lineRule="auto"/>
        <w:ind w:left="25" w:leftChars="12" w:firstLine="354" w:firstLineChars="147"/>
        <w:rPr>
          <w:rFonts w:hAnsi="宋体" w:cs="宋体"/>
          <w:b/>
          <w:bCs/>
          <w:color w:val="auto"/>
          <w:sz w:val="24"/>
          <w:szCs w:val="24"/>
          <w:highlight w:val="none"/>
        </w:rPr>
      </w:pPr>
      <w:r>
        <w:rPr>
          <w:rFonts w:hint="eastAsia" w:hAnsi="宋体" w:cs="宋体"/>
          <w:b/>
          <w:color w:val="auto"/>
          <w:sz w:val="24"/>
          <w:szCs w:val="24"/>
          <w:highlight w:val="none"/>
        </w:rPr>
        <w:t>1.投诉人提起投诉时，应当提交投诉书和必要的证明材料，并按照被投诉人和与投诉事项有关的供应商数量提供投诉书副本</w:t>
      </w:r>
      <w:r>
        <w:rPr>
          <w:rFonts w:hint="eastAsia" w:hAnsi="宋体" w:cs="宋体"/>
          <w:b/>
          <w:bCs/>
          <w:color w:val="auto"/>
          <w:sz w:val="24"/>
          <w:szCs w:val="24"/>
          <w:highlight w:val="none"/>
        </w:rPr>
        <w:t>。</w:t>
      </w:r>
    </w:p>
    <w:p>
      <w:pPr>
        <w:pStyle w:val="18"/>
        <w:spacing w:line="360" w:lineRule="auto"/>
        <w:ind w:left="25" w:leftChars="12" w:firstLine="354" w:firstLineChars="147"/>
        <w:rPr>
          <w:rFonts w:hAnsi="宋体" w:cs="宋体"/>
          <w:b/>
          <w:color w:val="auto"/>
          <w:sz w:val="24"/>
          <w:szCs w:val="24"/>
          <w:highlight w:val="none"/>
        </w:rPr>
      </w:pPr>
      <w:r>
        <w:rPr>
          <w:rFonts w:hint="eastAsia" w:hAnsi="宋体" w:cs="宋体"/>
          <w:b/>
          <w:color w:val="auto"/>
          <w:sz w:val="24"/>
          <w:szCs w:val="24"/>
          <w:highlight w:val="none"/>
        </w:rPr>
        <w:t>2.投诉人若委托代理人进行投诉的，投诉书应按要求列明“授权代表”的有关内容，并在附件中提交由投诉人签署的授权委托书。授权委托书应当载明代理人的姓名或者名称、代理事项、具体权限、期限和相关事项。</w:t>
      </w:r>
    </w:p>
    <w:p>
      <w:pPr>
        <w:pStyle w:val="18"/>
        <w:spacing w:line="360" w:lineRule="auto"/>
        <w:ind w:left="25" w:leftChars="12" w:firstLine="354" w:firstLineChars="147"/>
        <w:rPr>
          <w:rFonts w:hAnsi="宋体" w:cs="宋体"/>
          <w:b/>
          <w:color w:val="auto"/>
          <w:sz w:val="24"/>
          <w:szCs w:val="24"/>
          <w:highlight w:val="none"/>
        </w:rPr>
      </w:pPr>
      <w:r>
        <w:rPr>
          <w:rFonts w:hint="eastAsia" w:hAnsi="宋体" w:cs="宋体"/>
          <w:b/>
          <w:color w:val="auto"/>
          <w:sz w:val="24"/>
          <w:szCs w:val="24"/>
          <w:highlight w:val="none"/>
        </w:rPr>
        <w:t>3.投诉书应简要列明质疑事项，质疑函、质疑答复等作为附件材料提供。</w:t>
      </w:r>
    </w:p>
    <w:p>
      <w:pPr>
        <w:pStyle w:val="18"/>
        <w:spacing w:line="360" w:lineRule="auto"/>
        <w:ind w:left="25" w:leftChars="12" w:firstLine="354" w:firstLineChars="147"/>
        <w:rPr>
          <w:rFonts w:hAnsi="宋体" w:cs="宋体"/>
          <w:b/>
          <w:color w:val="auto"/>
          <w:sz w:val="24"/>
          <w:szCs w:val="24"/>
          <w:highlight w:val="none"/>
        </w:rPr>
      </w:pPr>
      <w:r>
        <w:rPr>
          <w:rFonts w:hint="eastAsia" w:hAnsi="宋体" w:cs="宋体"/>
          <w:b/>
          <w:color w:val="auto"/>
          <w:sz w:val="24"/>
          <w:szCs w:val="24"/>
          <w:highlight w:val="none"/>
        </w:rPr>
        <w:t>4.投诉书的投诉事项应具体、明确，并有必要的事实依据和法律依据。</w:t>
      </w:r>
    </w:p>
    <w:p>
      <w:pPr>
        <w:pStyle w:val="18"/>
        <w:spacing w:line="360" w:lineRule="auto"/>
        <w:ind w:left="25" w:leftChars="12" w:firstLine="354" w:firstLineChars="147"/>
        <w:rPr>
          <w:rFonts w:hAnsi="宋体" w:cs="宋体"/>
          <w:b/>
          <w:color w:val="auto"/>
          <w:sz w:val="24"/>
          <w:szCs w:val="24"/>
          <w:highlight w:val="none"/>
        </w:rPr>
      </w:pPr>
      <w:r>
        <w:rPr>
          <w:rFonts w:hint="eastAsia" w:hAnsi="宋体" w:cs="宋体"/>
          <w:b/>
          <w:color w:val="auto"/>
          <w:sz w:val="24"/>
          <w:szCs w:val="24"/>
          <w:highlight w:val="none"/>
        </w:rPr>
        <w:t>5.投诉书的投诉请求应与投诉事项相关。</w:t>
      </w:r>
    </w:p>
    <w:p>
      <w:pPr>
        <w:pStyle w:val="18"/>
        <w:spacing w:line="360" w:lineRule="auto"/>
        <w:ind w:left="25" w:leftChars="12" w:firstLine="354" w:firstLineChars="147"/>
        <w:rPr>
          <w:rFonts w:hAnsi="宋体" w:cs="宋体"/>
          <w:b/>
          <w:color w:val="auto"/>
          <w:highlight w:val="none"/>
        </w:rPr>
      </w:pPr>
      <w:r>
        <w:rPr>
          <w:rFonts w:hint="eastAsia" w:hAnsi="宋体" w:cs="宋体"/>
          <w:b/>
          <w:color w:val="auto"/>
          <w:sz w:val="24"/>
          <w:szCs w:val="24"/>
          <w:highlight w:val="none"/>
        </w:rPr>
        <w:t>6.投诉人为法人或者其他组织的，投诉书应由法定代表人、主要负责人，或者其授权代表签字或者盖章，并加盖公章。</w:t>
      </w:r>
    </w:p>
    <w:p>
      <w:pPr>
        <w:pStyle w:val="5"/>
        <w:rPr>
          <w:rFonts w:hint="eastAsia"/>
          <w:color w:val="auto"/>
          <w:highlight w:val="none"/>
        </w:rPr>
      </w:pPr>
      <w:bookmarkStart w:id="156" w:name="_Toc20110"/>
      <w:bookmarkStart w:id="157" w:name="_Toc10662"/>
      <w:bookmarkStart w:id="158" w:name="_Toc1723"/>
      <w:bookmarkStart w:id="159" w:name="_Toc74323461"/>
      <w:r>
        <w:rPr>
          <w:rFonts w:hint="eastAsia"/>
          <w:color w:val="auto"/>
          <w:highlight w:val="none"/>
        </w:rPr>
        <w:t>第六章 合同文本</w:t>
      </w:r>
      <w:bookmarkEnd w:id="156"/>
      <w:bookmarkEnd w:id="157"/>
      <w:bookmarkEnd w:id="158"/>
      <w:bookmarkEnd w:id="159"/>
    </w:p>
    <w:p>
      <w:pPr>
        <w:spacing w:line="520" w:lineRule="exact"/>
        <w:rPr>
          <w:rFonts w:hint="eastAsia" w:ascii="宋体" w:hAnsi="宋体" w:cs="宋体"/>
          <w:b/>
          <w:color w:val="auto"/>
          <w:sz w:val="32"/>
          <w:szCs w:val="32"/>
          <w:highlight w:val="none"/>
        </w:rPr>
      </w:pPr>
    </w:p>
    <w:p>
      <w:pPr>
        <w:spacing w:line="360" w:lineRule="auto"/>
        <w:ind w:right="800"/>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分标：</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 xml:space="preserve">                                                          </w:t>
      </w:r>
    </w:p>
    <w:p>
      <w:pPr>
        <w:spacing w:line="360" w:lineRule="auto"/>
        <w:ind w:right="800"/>
        <w:rPr>
          <w:rFonts w:ascii="宋体" w:hAnsi="宋体" w:cs="宋体"/>
          <w:color w:val="auto"/>
          <w:szCs w:val="21"/>
          <w:highlight w:val="none"/>
        </w:rPr>
      </w:pPr>
      <w:r>
        <w:rPr>
          <w:rFonts w:hint="eastAsia" w:ascii="宋体" w:hAnsi="宋体" w:cs="宋体"/>
          <w:color w:val="auto"/>
          <w:szCs w:val="21"/>
          <w:highlight w:val="none"/>
        </w:rPr>
        <w:t>采购计划号：</w:t>
      </w:r>
      <w:r>
        <w:rPr>
          <w:rFonts w:hint="eastAsia" w:ascii="宋体" w:hAnsi="宋体" w:cs="宋体"/>
          <w:color w:val="auto"/>
          <w:szCs w:val="21"/>
          <w:highlight w:val="none"/>
          <w:u w:val="single"/>
          <w:lang w:val="en-US" w:eastAsia="zh-CN"/>
        </w:rPr>
        <w:t xml:space="preserve">                </w:t>
      </w:r>
      <w:r>
        <w:rPr>
          <w:rFonts w:ascii="宋体" w:hAnsi="宋体" w:cs="宋体"/>
          <w:color w:val="auto"/>
          <w:szCs w:val="21"/>
          <w:highlight w:val="none"/>
        </w:rPr>
        <w:t xml:space="preserve"> </w:t>
      </w:r>
    </w:p>
    <w:p>
      <w:pPr>
        <w:spacing w:line="360" w:lineRule="auto"/>
        <w:ind w:right="800"/>
        <w:rPr>
          <w:rFonts w:hint="default" w:ascii="宋体" w:hAnsi="宋体" w:eastAsia="宋体" w:cs="宋体"/>
          <w:bCs/>
          <w:color w:val="auto"/>
          <w:szCs w:val="21"/>
          <w:highlight w:val="none"/>
          <w:u w:val="single"/>
          <w:lang w:val="en-US" w:eastAsia="zh-CN"/>
        </w:rPr>
      </w:pPr>
      <w:r>
        <w:rPr>
          <w:rFonts w:hint="eastAsia" w:ascii="宋体" w:hAnsi="宋体" w:cs="宋体"/>
          <w:bCs/>
          <w:color w:val="auto"/>
          <w:szCs w:val="21"/>
          <w:highlight w:val="none"/>
        </w:rPr>
        <w:t>合同编号：</w:t>
      </w:r>
      <w:r>
        <w:rPr>
          <w:rFonts w:hint="eastAsia" w:ascii="宋体" w:hAnsi="宋体" w:cs="宋体"/>
          <w:color w:val="auto"/>
          <w:szCs w:val="21"/>
          <w:highlight w:val="none"/>
          <w:u w:val="single"/>
          <w:lang w:val="en-US" w:eastAsia="zh-CN"/>
        </w:rPr>
        <w:t xml:space="preserve">                  </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采购人（甲方）：</w:t>
      </w:r>
      <w:r>
        <w:rPr>
          <w:rFonts w:hint="eastAsia" w:ascii="宋体" w:hAnsi="宋体" w:cs="宋体"/>
          <w:color w:val="auto"/>
          <w:szCs w:val="21"/>
          <w:highlight w:val="none"/>
          <w:u w:val="single"/>
        </w:rPr>
        <w:t>广西壮族自治区农业信息中心</w:t>
      </w:r>
      <w:r>
        <w:rPr>
          <w:rFonts w:hint="eastAsia" w:ascii="宋体" w:hAnsi="宋体" w:cs="宋体"/>
          <w:color w:val="auto"/>
          <w:szCs w:val="21"/>
          <w:highlight w:val="none"/>
        </w:rPr>
        <w:t xml:space="preserve">   </w:t>
      </w:r>
    </w:p>
    <w:p>
      <w:pPr>
        <w:spacing w:line="360" w:lineRule="auto"/>
        <w:rPr>
          <w:rFonts w:ascii="宋体" w:hAnsi="宋体" w:cs="宋体"/>
          <w:color w:val="auto"/>
          <w:szCs w:val="21"/>
          <w:highlight w:val="none"/>
          <w:u w:val="single"/>
        </w:rPr>
      </w:pPr>
      <w:r>
        <w:rPr>
          <w:rFonts w:hint="eastAsia" w:ascii="宋体" w:hAnsi="宋体" w:cs="宋体"/>
          <w:color w:val="auto"/>
          <w:szCs w:val="21"/>
          <w:highlight w:val="none"/>
        </w:rPr>
        <w:t>供应商（乙方）：</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 xml:space="preserve">    </w:t>
      </w:r>
    </w:p>
    <w:p>
      <w:pPr>
        <w:spacing w:line="360" w:lineRule="auto"/>
        <w:ind w:left="1050" w:hanging="1050" w:hangingChars="500"/>
        <w:rPr>
          <w:rFonts w:hint="default" w:ascii="宋体" w:hAnsi="宋体" w:cs="宋体"/>
          <w:color w:val="auto"/>
          <w:szCs w:val="21"/>
          <w:highlight w:val="none"/>
          <w:u w:val="single"/>
          <w:lang w:val="en-US" w:eastAsia="zh-CN"/>
        </w:rPr>
      </w:pPr>
      <w:r>
        <w:rPr>
          <w:rFonts w:hint="eastAsia" w:ascii="宋体" w:hAnsi="宋体" w:cs="宋体"/>
          <w:color w:val="auto"/>
          <w:szCs w:val="21"/>
          <w:highlight w:val="none"/>
        </w:rPr>
        <w:t>项目名称：</w:t>
      </w:r>
      <w:r>
        <w:rPr>
          <w:rFonts w:hint="eastAsia" w:ascii="宋体" w:hAnsi="宋体" w:cs="宋体"/>
          <w:color w:val="auto"/>
          <w:szCs w:val="21"/>
          <w:highlight w:val="none"/>
          <w:u w:val="single"/>
          <w:lang w:val="en-US" w:eastAsia="zh-CN"/>
        </w:rPr>
        <w:t xml:space="preserve">                                      </w:t>
      </w:r>
    </w:p>
    <w:p>
      <w:pPr>
        <w:spacing w:line="360" w:lineRule="auto"/>
        <w:rPr>
          <w:rFonts w:hint="default" w:ascii="宋体" w:hAnsi="宋体" w:cs="宋体"/>
          <w:color w:val="auto"/>
          <w:szCs w:val="21"/>
          <w:highlight w:val="none"/>
          <w:u w:val="single"/>
          <w:lang w:val="en-US"/>
        </w:rPr>
      </w:pPr>
      <w:r>
        <w:rPr>
          <w:rFonts w:hint="eastAsia" w:ascii="宋体" w:hAnsi="宋体" w:cs="宋体"/>
          <w:color w:val="auto"/>
          <w:szCs w:val="21"/>
          <w:highlight w:val="none"/>
        </w:rPr>
        <w:t>项目编号：</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none"/>
          <w:lang w:val="en-US" w:eastAsia="zh-CN"/>
        </w:rPr>
        <w:t xml:space="preserve"> </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签订地点：</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pPr>
        <w:spacing w:line="360" w:lineRule="auto"/>
        <w:rPr>
          <w:rFonts w:hint="eastAsia" w:ascii="宋体" w:hAnsi="宋体" w:cs="宋体"/>
          <w:color w:val="auto"/>
          <w:szCs w:val="21"/>
          <w:highlight w:val="none"/>
          <w:u w:val="single"/>
        </w:rPr>
      </w:pPr>
      <w:r>
        <w:rPr>
          <w:rFonts w:hint="eastAsia" w:ascii="宋体" w:hAnsi="宋体" w:cs="宋体"/>
          <w:color w:val="auto"/>
          <w:szCs w:val="21"/>
          <w:highlight w:val="none"/>
        </w:rPr>
        <w:t>签订时间：</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 xml:space="preserve">     </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本合同为中小企业预留合同：</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根据《中华人民共和国政府采购法》、《中华人民共和国民法典》等法律、法规规定，按照磋商文件规定条款和乙方响应文件及其承诺，甲乙双方签订本合同。</w:t>
      </w:r>
    </w:p>
    <w:p>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第一条　合同标的</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1、项目一览表</w:t>
      </w:r>
    </w:p>
    <w:tbl>
      <w:tblPr>
        <w:tblStyle w:val="30"/>
        <w:tblW w:w="10396"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1072"/>
        <w:gridCol w:w="2342"/>
        <w:gridCol w:w="1902"/>
        <w:gridCol w:w="681"/>
        <w:gridCol w:w="642"/>
        <w:gridCol w:w="1779"/>
        <w:gridCol w:w="13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6" w:hRule="atLeast"/>
        </w:trPr>
        <w:tc>
          <w:tcPr>
            <w:tcW w:w="63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107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标项名称</w:t>
            </w:r>
          </w:p>
        </w:tc>
        <w:tc>
          <w:tcPr>
            <w:tcW w:w="234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标的的名称</w:t>
            </w:r>
          </w:p>
        </w:tc>
        <w:tc>
          <w:tcPr>
            <w:tcW w:w="190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服务内容</w:t>
            </w:r>
          </w:p>
        </w:tc>
        <w:tc>
          <w:tcPr>
            <w:tcW w:w="68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数量</w:t>
            </w:r>
          </w:p>
        </w:tc>
        <w:tc>
          <w:tcPr>
            <w:tcW w:w="64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单位</w:t>
            </w:r>
          </w:p>
        </w:tc>
        <w:tc>
          <w:tcPr>
            <w:tcW w:w="177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单  价</w:t>
            </w:r>
          </w:p>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（元）</w:t>
            </w:r>
          </w:p>
        </w:tc>
        <w:tc>
          <w:tcPr>
            <w:tcW w:w="134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 xml:space="preserve">总 </w:t>
            </w:r>
            <w:r>
              <w:rPr>
                <w:rFonts w:ascii="宋体" w:hAnsi="宋体" w:cs="宋体"/>
                <w:color w:val="auto"/>
                <w:szCs w:val="21"/>
                <w:highlight w:val="none"/>
              </w:rPr>
              <w:t xml:space="preserve"> </w:t>
            </w:r>
            <w:r>
              <w:rPr>
                <w:rFonts w:hint="eastAsia" w:ascii="宋体" w:hAnsi="宋体" w:cs="宋体"/>
                <w:color w:val="auto"/>
                <w:szCs w:val="21"/>
                <w:highlight w:val="none"/>
              </w:rPr>
              <w:t>价</w:t>
            </w:r>
          </w:p>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trPr>
        <w:tc>
          <w:tcPr>
            <w:tcW w:w="636" w:type="dxa"/>
            <w:tcBorders>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Cs w:val="21"/>
                <w:highlight w:val="none"/>
                <w:lang w:val="en-US" w:eastAsia="zh-CN"/>
              </w:rPr>
            </w:pPr>
          </w:p>
        </w:tc>
        <w:tc>
          <w:tcPr>
            <w:tcW w:w="1072" w:type="dxa"/>
            <w:tcBorders>
              <w:left w:val="single" w:color="auto" w:sz="4" w:space="0"/>
              <w:bottom w:val="single" w:color="auto" w:sz="4" w:space="0"/>
              <w:right w:val="single" w:color="auto" w:sz="4" w:space="0"/>
            </w:tcBorders>
            <w:noWrap w:val="0"/>
            <w:vAlign w:val="center"/>
          </w:tcPr>
          <w:p>
            <w:pPr>
              <w:widowControl/>
              <w:spacing w:line="360" w:lineRule="auto"/>
              <w:jc w:val="center"/>
              <w:textAlignment w:val="center"/>
              <w:rPr>
                <w:rFonts w:hint="eastAsia" w:ascii="宋体" w:hAnsi="宋体" w:cs="宋体"/>
                <w:color w:val="auto"/>
                <w:szCs w:val="21"/>
                <w:highlight w:val="none"/>
              </w:rPr>
            </w:pPr>
          </w:p>
        </w:tc>
        <w:tc>
          <w:tcPr>
            <w:tcW w:w="2342"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textAlignment w:val="center"/>
              <w:rPr>
                <w:rFonts w:hint="eastAsia" w:ascii="宋体" w:hAnsi="宋体" w:eastAsia="宋体" w:cs="Times New Roman"/>
                <w:color w:val="auto"/>
                <w:szCs w:val="21"/>
                <w:highlight w:val="none"/>
              </w:rPr>
            </w:pPr>
          </w:p>
        </w:tc>
        <w:tc>
          <w:tcPr>
            <w:tcW w:w="190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lang w:eastAsia="zh-CN"/>
              </w:rPr>
            </w:pPr>
          </w:p>
        </w:tc>
        <w:tc>
          <w:tcPr>
            <w:tcW w:w="68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auto"/>
                <w:szCs w:val="21"/>
                <w:highlight w:val="none"/>
                <w:lang w:val="en-US" w:eastAsia="zh-CN"/>
              </w:rPr>
            </w:pPr>
          </w:p>
        </w:tc>
        <w:tc>
          <w:tcPr>
            <w:tcW w:w="64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auto"/>
                <w:szCs w:val="21"/>
                <w:highlight w:val="none"/>
                <w:lang w:eastAsia="zh-CN"/>
              </w:rPr>
            </w:pPr>
          </w:p>
        </w:tc>
        <w:tc>
          <w:tcPr>
            <w:tcW w:w="177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auto"/>
                <w:szCs w:val="21"/>
                <w:highlight w:val="none"/>
                <w:lang w:val="en-US" w:eastAsia="zh-CN"/>
              </w:rPr>
            </w:pPr>
          </w:p>
        </w:tc>
        <w:tc>
          <w:tcPr>
            <w:tcW w:w="134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auto"/>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trPr>
        <w:tc>
          <w:tcPr>
            <w:tcW w:w="10396" w:type="dxa"/>
            <w:gridSpan w:val="8"/>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详见报价表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6" w:hRule="atLeast"/>
        </w:trPr>
        <w:tc>
          <w:tcPr>
            <w:tcW w:w="10396" w:type="dxa"/>
            <w:gridSpan w:val="8"/>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合计金额（大写）：</w:t>
            </w:r>
            <w:r>
              <w:rPr>
                <w:rFonts w:hint="eastAsia" w:ascii="宋体" w:hAnsi="宋体" w:cs="宋体"/>
                <w:color w:val="auto"/>
                <w:szCs w:val="21"/>
                <w:highlight w:val="none"/>
                <w:u w:val="none"/>
                <w:lang w:eastAsia="zh-CN"/>
              </w:rPr>
              <w:t>人民币</w:t>
            </w:r>
            <w:r>
              <w:rPr>
                <w:rFonts w:hint="eastAsia" w:ascii="宋体" w:hAnsi="宋体" w:cs="宋体"/>
                <w:color w:val="auto"/>
                <w:szCs w:val="21"/>
                <w:highlight w:val="none"/>
                <w:u w:val="none"/>
                <w:lang w:val="en-US" w:eastAsia="zh-CN"/>
              </w:rPr>
              <w:t xml:space="preserve">  </w:t>
            </w:r>
            <w:r>
              <w:rPr>
                <w:rFonts w:hint="eastAsia" w:ascii="宋体" w:hAnsi="宋体" w:cs="宋体"/>
                <w:color w:val="auto"/>
                <w:szCs w:val="21"/>
                <w:highlight w:val="none"/>
                <w:u w:val="none"/>
                <w:lang w:eastAsia="zh-CN"/>
              </w:rPr>
              <w:t>（</w:t>
            </w:r>
            <w:r>
              <w:rPr>
                <w:rFonts w:hint="default" w:ascii="宋体" w:hAnsi="宋体" w:cs="宋体"/>
                <w:color w:val="auto"/>
                <w:szCs w:val="21"/>
                <w:highlight w:val="none"/>
                <w:u w:val="none"/>
                <w:lang w:eastAsia="zh-CN"/>
              </w:rPr>
              <w:t>¥</w:t>
            </w:r>
            <w:r>
              <w:rPr>
                <w:rFonts w:hint="eastAsia" w:ascii="宋体" w:hAnsi="宋体" w:cs="宋体"/>
                <w:color w:val="auto"/>
                <w:szCs w:val="21"/>
                <w:highlight w:val="none"/>
                <w:u w:val="none"/>
                <w:lang w:val="en-US" w:eastAsia="zh-CN"/>
              </w:rPr>
              <w:t xml:space="preserve">      ）</w:t>
            </w:r>
            <w:r>
              <w:rPr>
                <w:rFonts w:hint="eastAsia" w:ascii="宋体" w:hAnsi="宋体" w:cs="宋体"/>
                <w:color w:val="auto"/>
                <w:szCs w:val="21"/>
                <w:highlight w:val="none"/>
              </w:rPr>
              <w:t xml:space="preserve">              </w:t>
            </w:r>
          </w:p>
        </w:tc>
      </w:tr>
    </w:tbl>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合同合计金额包括但不限于满足本次竞标全部采购需求所应提供的服务，以及伴随的货物和工程（如有）的价格；包含竞标服务、货物、工程的成本、运输（含保险）、安装（如有）、调试、检验、技术服务、培训、税费等所有费用。如磋商文件对其另有规定的，从其规定。</w:t>
      </w:r>
    </w:p>
    <w:p>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第二条　质量保证</w:t>
      </w:r>
    </w:p>
    <w:p>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乙方所提供的服务及服务内容必须与响应文件承诺相一致，有国家强制性标准的，还必须符合国家强制性标准的规定，没有国家强制性标准但有其他强制性标准的，必须符合其他强制性标准的规定。</w:t>
      </w:r>
    </w:p>
    <w:p>
      <w:pPr>
        <w:spacing w:line="360" w:lineRule="auto"/>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第三条　权利保证</w:t>
      </w:r>
    </w:p>
    <w:p>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1、乙方应保证所提供服务在使用时不会侵犯任何第三方的专利权、商标权、著作权等知识产权及其他合法权利，且所有权、处分权等没有受到任何限制。</w:t>
      </w:r>
    </w:p>
    <w:p>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没有甲方事先书面同意，乙方不得将由甲方提供的有关合同或者任何合同条文、规格、计划、图纸、样品或者资料提供给与履行本合同无关的任何其他人。即使向履行本合同有关的人员提供，也应注意保密并限于履行合同的必需范围。乙方的保密义务持续有效，不因为本合同履行终止、解除或者无效而解除。</w:t>
      </w:r>
    </w:p>
    <w:p>
      <w:pPr>
        <w:spacing w:line="360" w:lineRule="auto"/>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第四条　交付和验收</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1、合同履行期限：</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，服务地点：</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2、乙方应按响应文件的承诺向甲方提供相应的服务，并提供所服务内容的相关技术资料。</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3、乙方提供不符合响应文件和本合同规定的服务成果，甲方有权拒绝接受。</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乙方完成服务后应及时书面通知甲方进行验收，甲方应在收到通知后七个工作日内进行验收，逾期不开始验收的，乙方可视同验收合格。验收合格后由甲乙双方签署验收单并加盖采购人公章，甲乙双方各执一份。</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5、甲乙双方应按照《广西壮族自治区政府采购项目履约验收管理办法》、双方合同、响应文件验收。</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6、甲方在初步验收或者最终验收过程中如发现乙方提供的服务成果不满足响应文件及本合同规定的，可暂缓向乙方付款，直到乙方及时完善并提交相应的服务成果且经甲方验收合格后，方可办理付款。</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7、甲方验收时以书面形式提出异议的，乙方应自收到甲方书面异议后五个工作日内及时予以解决，否则甲方有权不出具服务验收合格单。</w:t>
      </w:r>
    </w:p>
    <w:p>
      <w:pPr>
        <w:snapToGrid w:val="0"/>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 xml:space="preserve">第五条  </w:t>
      </w:r>
      <w:r>
        <w:rPr>
          <w:rFonts w:hint="eastAsia" w:ascii="宋体" w:hAnsi="宋体" w:cs="宋体"/>
          <w:b/>
          <w:color w:val="auto"/>
          <w:szCs w:val="21"/>
          <w:highlight w:val="none"/>
          <w:lang w:eastAsia="zh-CN"/>
        </w:rPr>
        <w:t>后续服务</w:t>
      </w:r>
      <w:r>
        <w:rPr>
          <w:rFonts w:hint="eastAsia" w:ascii="宋体" w:hAnsi="宋体" w:cs="宋体"/>
          <w:b/>
          <w:color w:val="auto"/>
          <w:szCs w:val="21"/>
          <w:highlight w:val="none"/>
        </w:rPr>
        <w:t>及培训</w:t>
      </w:r>
    </w:p>
    <w:p>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1、乙方应按照国家有关法律法规和本合同所附的《</w:t>
      </w:r>
      <w:r>
        <w:rPr>
          <w:rFonts w:hint="eastAsia" w:ascii="宋体" w:hAnsi="宋体" w:cs="宋体"/>
          <w:color w:val="auto"/>
          <w:szCs w:val="21"/>
          <w:highlight w:val="none"/>
          <w:lang w:eastAsia="zh-CN"/>
        </w:rPr>
        <w:t>后续服务</w:t>
      </w:r>
      <w:r>
        <w:rPr>
          <w:rFonts w:hint="eastAsia" w:ascii="宋体" w:hAnsi="宋体" w:cs="宋体"/>
          <w:color w:val="auto"/>
          <w:szCs w:val="21"/>
          <w:highlight w:val="none"/>
        </w:rPr>
        <w:t>承诺》要求为甲方提供相应的</w:t>
      </w:r>
      <w:r>
        <w:rPr>
          <w:rFonts w:hint="eastAsia" w:ascii="宋体" w:hAnsi="宋体" w:cs="宋体"/>
          <w:color w:val="auto"/>
          <w:szCs w:val="21"/>
          <w:highlight w:val="none"/>
          <w:lang w:eastAsia="zh-CN"/>
        </w:rPr>
        <w:t>后续服务</w:t>
      </w:r>
      <w:r>
        <w:rPr>
          <w:rFonts w:hint="eastAsia" w:ascii="宋体" w:hAnsi="宋体" w:cs="宋体"/>
          <w:color w:val="auto"/>
          <w:szCs w:val="21"/>
          <w:highlight w:val="none"/>
        </w:rPr>
        <w:t>。</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2、甲方应提供必要测试条件（如场地、电源、水源等）。</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3、乙方负责甲方有关人员的培训。培训时间、地点：</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snapToGrid w:val="0"/>
        <w:spacing w:line="360" w:lineRule="auto"/>
        <w:ind w:firstLine="422" w:firstLineChars="200"/>
        <w:rPr>
          <w:rFonts w:hint="eastAsia" w:ascii="宋体" w:hAnsi="宋体" w:cs="宋体"/>
          <w:color w:val="auto"/>
          <w:szCs w:val="21"/>
          <w:highlight w:val="none"/>
          <w:u w:val="single"/>
        </w:rPr>
      </w:pPr>
      <w:r>
        <w:rPr>
          <w:rFonts w:hint="eastAsia" w:ascii="宋体" w:hAnsi="宋体" w:cs="宋体"/>
          <w:b/>
          <w:color w:val="auto"/>
          <w:szCs w:val="21"/>
          <w:highlight w:val="none"/>
        </w:rPr>
        <w:t>第六条　付款方式</w:t>
      </w:r>
    </w:p>
    <w:p>
      <w:pPr>
        <w:snapToGrid w:val="0"/>
        <w:spacing w:line="360" w:lineRule="auto"/>
        <w:ind w:firstLine="420" w:firstLineChars="200"/>
        <w:rPr>
          <w:rFonts w:hint="default" w:ascii="宋体" w:hAnsi="宋体" w:cs="宋体"/>
          <w:bCs/>
          <w:color w:val="auto"/>
          <w:szCs w:val="21"/>
          <w:highlight w:val="none"/>
          <w:u w:val="single"/>
        </w:rPr>
      </w:pPr>
      <w:r>
        <w:rPr>
          <w:rFonts w:hint="eastAsia" w:ascii="宋体" w:hAnsi="宋体" w:cs="宋体"/>
          <w:bCs/>
          <w:color w:val="auto"/>
          <w:szCs w:val="21"/>
          <w:highlight w:val="none"/>
        </w:rPr>
        <w:t>付款方式：</w:t>
      </w:r>
      <w:r>
        <w:rPr>
          <w:rFonts w:hint="eastAsia" w:ascii="宋体" w:hAnsi="宋体" w:cs="宋体"/>
          <w:bCs/>
          <w:color w:val="auto"/>
          <w:szCs w:val="21"/>
          <w:highlight w:val="none"/>
          <w:u w:val="single"/>
          <w:lang w:val="en-US" w:eastAsia="zh-CN"/>
        </w:rPr>
        <w:t xml:space="preserve">                                                 </w:t>
      </w:r>
    </w:p>
    <w:p>
      <w:pPr>
        <w:snapToGrid w:val="0"/>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第七条　履约保证金</w:t>
      </w:r>
    </w:p>
    <w:p>
      <w:pPr>
        <w:spacing w:line="360" w:lineRule="auto"/>
        <w:ind w:firstLine="420" w:firstLineChars="200"/>
        <w:rPr>
          <w:rFonts w:hint="eastAsia" w:ascii="宋体" w:hAnsi="宋体" w:eastAsia="宋体" w:cs="宋体"/>
          <w:b w:val="0"/>
          <w:bCs/>
          <w:color w:val="auto"/>
          <w:szCs w:val="21"/>
          <w:highlight w:val="none"/>
          <w:lang w:eastAsia="zh-CN"/>
        </w:rPr>
      </w:pPr>
      <w:r>
        <w:rPr>
          <w:rFonts w:hint="eastAsia" w:ascii="宋体" w:hAnsi="宋体" w:cs="宋体"/>
          <w:b w:val="0"/>
          <w:bCs/>
          <w:color w:val="auto"/>
          <w:szCs w:val="21"/>
          <w:highlight w:val="none"/>
          <w:lang w:eastAsia="zh-CN"/>
        </w:rPr>
        <w:t>本项目不收取履约保证金。</w:t>
      </w:r>
    </w:p>
    <w:p>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第八条  税费</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本合同执行中依法产生的应由甲方或者乙方承担的一切税费均由乙方负担，合同另有约定的除外。</w:t>
      </w:r>
    </w:p>
    <w:p>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第九条　违约责任</w:t>
      </w:r>
    </w:p>
    <w:p>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1、除不可抗力原因外，乙方没有按照合同规定的时间提供服务的，甲方可要求乙方支付违约金。每推迟一天按合同金额的3‰支付违约金，该违约金累计不超过合同金额的10%。                                  </w:t>
      </w:r>
    </w:p>
    <w:p>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2、乙方提供的服务如侵犯了第三方合法权益而引发的任何纠纷或者诉讼，均由乙方负责交涉并承担全部责任。同时，甲方有权单方解除合同，合同金额没有支付的，不再支付；已经支付的，甲方有权追回，</w:t>
      </w:r>
    </w:p>
    <w:p>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且乙方应按合同金额20%承担违约金，违约金无法弥补甲方损失的，乙方应当继续赔偿。</w:t>
      </w:r>
    </w:p>
    <w:p>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3、甲方延期付款的，每天向乙方偿付延期款额3‰违约金，但违约金累计不得超过延期款额5%。</w:t>
      </w:r>
    </w:p>
    <w:p>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乙方所提供的服务成果、数量、技术参数要求(技术参数需求)等不符合甲方要求的，应及时整改；乙方在甲方规定期限内不能完成整改的或无正当理由拒绝整改或经整改后仍不能达到甲方要求的，甲方有权终止合同，追回已付款项，并按本合同总价的10%计算违约金。</w:t>
      </w:r>
    </w:p>
    <w:p>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甲方有权依据采购文件、响应文件及乙方的磋商承诺对乙方的服务人员进行管理或要求更换，对于甲方要求更换服务人员的，乙方应无条件及时更换;乙方拒绝更换的，甲方有权终止合同，并按本合同总价的10%计算违约金。</w:t>
      </w:r>
    </w:p>
    <w:p>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6、乙方未按本合同和响应文件中规定的服务承诺提供</w:t>
      </w:r>
      <w:r>
        <w:rPr>
          <w:rFonts w:hint="eastAsia" w:ascii="宋体" w:hAnsi="宋体" w:cs="宋体"/>
          <w:color w:val="auto"/>
          <w:szCs w:val="21"/>
          <w:highlight w:val="none"/>
          <w:lang w:eastAsia="zh-CN"/>
        </w:rPr>
        <w:t>后续服务</w:t>
      </w:r>
      <w:r>
        <w:rPr>
          <w:rFonts w:hint="eastAsia" w:ascii="宋体" w:hAnsi="宋体" w:cs="宋体"/>
          <w:color w:val="auto"/>
          <w:szCs w:val="21"/>
          <w:highlight w:val="none"/>
        </w:rPr>
        <w:t>的，乙方应按本合同总金额的5%/次向甲方支付违约金。</w:t>
      </w:r>
    </w:p>
    <w:p>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7、乙方提供的服务及其成果在服务期及售后期内，因设计缺陷或其它质量原因造成的问题，由乙方负责处理并承担费用。</w:t>
      </w:r>
    </w:p>
    <w:p>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8、由于乙方提供的产品和服务达不到磋商文件规定的服务质量、技术要求，致使验收不合格的，甲方不予验收，直至乙方按合同要求进行整改使该项目完全达到规定的技术及服务要求，整改期间产生的一切费用由乙方负责并承担逾期交付的违约责任。</w:t>
      </w:r>
    </w:p>
    <w:p>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9、乙方不能就所成交的项目进行分包、转包，如发现乙方有分包、转包现象，甲方有权单方解除合同，同时乙方应向甲方支付合同总金额20%的违约金，由此造成的损失由乙方负责。</w:t>
      </w:r>
    </w:p>
    <w:p>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10、本合同有效期内，乙方因自身原因要求终止或解除合同，应返还甲方已付款项，并按合同总价款的20%承担违约责任。</w:t>
      </w:r>
    </w:p>
    <w:p>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11、如乙方违反合同约定的信息安全及保密要求，每违反一次收取合同总金额0.2%的违约金，累计不超过合同总金额的30%，违约金不足以弥补甲方实际损失的，乙方还应支付赔偿金。</w:t>
      </w:r>
    </w:p>
    <w:p>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12、其它违约行为按合同总金额的5%收取违约金。</w:t>
      </w:r>
    </w:p>
    <w:p>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13、本条所称损失是指一方因另一方违约而遭受的全部经济损失(包括但不限于直接损失、间接损失及实现债权的费用，如诉讼费、律师费、差旅费、调查费、财产保全责任险保险费等)。</w:t>
      </w:r>
    </w:p>
    <w:p>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第十条  不可抗力事件处理</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1、在合同有效期内，任何一方因不可抗力事件导致不能履行合同，则合同履行期可延长，其延长期与不可抗力影响期相同。</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2、不可抗力事件发生后，应立即通知对方，并寄送有关权威机构出具的证明。</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3、不可抗力事件延续一百二十天以上，双方应通过友好协商，确定是否继续履行合同。</w:t>
      </w:r>
    </w:p>
    <w:p>
      <w:pPr>
        <w:spacing w:line="360" w:lineRule="auto"/>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第十一条  合同争议解决</w:t>
      </w:r>
    </w:p>
    <w:p>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1、因服务质量问题发生争议的，应邀请国家认可的质量检测机构进行鉴定。服务符合标准的，鉴定费由甲方承担；服务不符合标准的，鉴定费由乙方承担。</w:t>
      </w:r>
    </w:p>
    <w:p>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2、因履行本合同引起的或者与本合同有关的争议，甲乙双方应首先通过友好协商解决，如果协商不能解决，可向甲方所在地有管辖权的人民法院提起诉讼。</w:t>
      </w:r>
    </w:p>
    <w:p>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3、诉讼期间，本合同继续履行。</w:t>
      </w:r>
    </w:p>
    <w:p>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第十二条  合同生效及其它</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1、合同经双方法定代表人或者授权代表签字并加盖单位公章后生效（委托代理人签字的需后附授权委托书，格式自拟）。</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2、合同执行中涉及采购资金和采购内容修改或者补充的，须经财政部门审批，并签书面补充协议报财政部门备案，方可作为主合同不可分割的一部分。</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3、本合同未尽事宜，遵照《中华人民共和国民法典》有关条文执行。</w:t>
      </w:r>
    </w:p>
    <w:p>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第十三条　合同的变更、终止与转让</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1、除《中华人民共和国政府采购法》第五十条规定的情形外，本合同一经签订，甲乙双方不得擅自变更、中止或者终止。</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2、乙方不得擅自转让其应履行的合同义务。</w:t>
      </w:r>
    </w:p>
    <w:p>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第十四条　签订本合同依据</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1、成交通知书；</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2、竞标报价表；</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3、商务要求偏离表和技术要求偏离表；</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4、服务方案；</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5、响应文件中的其他相关文件。</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6、上述合同文件互相补充和解释。如果合同文件之间存在矛盾或者不一致之处，以上述文件的排列顺序在先者为准。</w:t>
      </w:r>
    </w:p>
    <w:p>
      <w:pPr>
        <w:spacing w:line="360" w:lineRule="auto"/>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第十五条　</w:t>
      </w:r>
      <w:r>
        <w:rPr>
          <w:rFonts w:hint="eastAsia" w:ascii="宋体" w:hAnsi="宋体" w:cs="宋体"/>
          <w:color w:val="auto"/>
          <w:szCs w:val="21"/>
          <w:highlight w:val="none"/>
        </w:rPr>
        <w:t>本合同一式伍份，具有同等法律效力，采购代理机构一份，甲、乙方各两份（可根据需要另增加）。</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本合同甲乙双方签字盖章后生效，本合同自签订之日起2个工作日内，甲方应当将采购合同在广西壮族自治区财政厅指定的媒体上公告。</w:t>
      </w:r>
    </w:p>
    <w:tbl>
      <w:tblPr>
        <w:tblStyle w:val="30"/>
        <w:tblpPr w:leftFromText="180" w:rightFromText="180" w:vertAnchor="text" w:horzAnchor="margin" w:tblpXSpec="center" w:tblpY="2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82"/>
        <w:gridCol w:w="4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80" w:hRule="atLeast"/>
        </w:trPr>
        <w:tc>
          <w:tcPr>
            <w:tcW w:w="4582"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甲方：（章）</w:t>
            </w:r>
          </w:p>
          <w:p>
            <w:pPr>
              <w:snapToGrid w:val="0"/>
              <w:spacing w:line="360" w:lineRule="auto"/>
              <w:rPr>
                <w:rFonts w:hint="eastAsia" w:ascii="宋体" w:hAnsi="宋体" w:cs="宋体"/>
                <w:color w:val="auto"/>
                <w:szCs w:val="21"/>
                <w:highlight w:val="none"/>
              </w:rPr>
            </w:pPr>
          </w:p>
          <w:p>
            <w:pPr>
              <w:snapToGrid w:val="0"/>
              <w:spacing w:line="360" w:lineRule="auto"/>
              <w:rPr>
                <w:rFonts w:hint="eastAsia" w:ascii="宋体" w:hAnsi="宋体" w:cs="宋体"/>
                <w:color w:val="auto"/>
                <w:szCs w:val="21"/>
                <w:highlight w:val="none"/>
              </w:rPr>
            </w:pPr>
          </w:p>
          <w:p>
            <w:pPr>
              <w:snapToGrid w:val="0"/>
              <w:spacing w:line="360" w:lineRule="auto"/>
              <w:ind w:firstLine="945" w:firstLineChars="450"/>
              <w:jc w:val="right"/>
              <w:rPr>
                <w:rFonts w:hint="eastAsia" w:ascii="宋体" w:hAnsi="宋体" w:cs="宋体"/>
                <w:color w:val="auto"/>
                <w:szCs w:val="21"/>
                <w:highlight w:val="none"/>
              </w:rPr>
            </w:pPr>
          </w:p>
          <w:p>
            <w:pPr>
              <w:snapToGrid w:val="0"/>
              <w:spacing w:line="360" w:lineRule="auto"/>
              <w:ind w:firstLine="945" w:firstLineChars="450"/>
              <w:jc w:val="right"/>
              <w:rPr>
                <w:rFonts w:hint="eastAsia" w:ascii="宋体" w:hAnsi="宋体" w:cs="宋体"/>
                <w:color w:val="auto"/>
                <w:szCs w:val="21"/>
                <w:highlight w:val="none"/>
              </w:rPr>
            </w:pPr>
            <w:r>
              <w:rPr>
                <w:rFonts w:hint="eastAsia" w:ascii="宋体" w:hAnsi="宋体" w:cs="宋体"/>
                <w:color w:val="auto"/>
                <w:szCs w:val="21"/>
                <w:highlight w:val="none"/>
              </w:rPr>
              <w:t>年   月   日</w:t>
            </w:r>
          </w:p>
        </w:tc>
        <w:tc>
          <w:tcPr>
            <w:tcW w:w="4583"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乙方：（章）       </w:t>
            </w:r>
          </w:p>
          <w:p>
            <w:pPr>
              <w:snapToGrid w:val="0"/>
              <w:spacing w:line="360" w:lineRule="auto"/>
              <w:rPr>
                <w:rFonts w:hint="eastAsia" w:ascii="宋体" w:hAnsi="宋体" w:cs="宋体"/>
                <w:color w:val="auto"/>
                <w:szCs w:val="21"/>
                <w:highlight w:val="none"/>
              </w:rPr>
            </w:pPr>
          </w:p>
          <w:p>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       </w:t>
            </w:r>
          </w:p>
          <w:p>
            <w:pPr>
              <w:snapToGrid w:val="0"/>
              <w:spacing w:line="360" w:lineRule="auto"/>
              <w:jc w:val="right"/>
              <w:rPr>
                <w:rFonts w:hint="eastAsia" w:ascii="宋体" w:hAnsi="宋体" w:cs="宋体"/>
                <w:color w:val="auto"/>
                <w:szCs w:val="21"/>
                <w:highlight w:val="none"/>
              </w:rPr>
            </w:pPr>
          </w:p>
          <w:p>
            <w:pPr>
              <w:snapToGrid w:val="0"/>
              <w:spacing w:line="360" w:lineRule="auto"/>
              <w:jc w:val="right"/>
              <w:rPr>
                <w:rFonts w:hint="eastAsia" w:ascii="宋体" w:hAnsi="宋体" w:cs="宋体"/>
                <w:color w:val="auto"/>
                <w:szCs w:val="21"/>
                <w:highlight w:val="none"/>
              </w:rPr>
            </w:pPr>
            <w:r>
              <w:rPr>
                <w:rFonts w:hint="eastAsia" w:ascii="宋体" w:hAnsi="宋体" w:cs="宋体"/>
                <w:color w:val="auto"/>
                <w:szCs w:val="21"/>
                <w:highlight w:val="non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单位地址： </w:t>
            </w:r>
          </w:p>
        </w:tc>
        <w:tc>
          <w:tcPr>
            <w:tcW w:w="4583"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单位地址：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法定代表人：</w:t>
            </w:r>
          </w:p>
        </w:tc>
        <w:tc>
          <w:tcPr>
            <w:tcW w:w="4583"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委托代理人：</w:t>
            </w:r>
          </w:p>
        </w:tc>
        <w:tc>
          <w:tcPr>
            <w:tcW w:w="4583"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电话：</w:t>
            </w:r>
          </w:p>
        </w:tc>
        <w:tc>
          <w:tcPr>
            <w:tcW w:w="4583"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开户银行： </w:t>
            </w:r>
          </w:p>
        </w:tc>
        <w:tc>
          <w:tcPr>
            <w:tcW w:w="4583"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开户银行：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账号：</w:t>
            </w:r>
          </w:p>
        </w:tc>
        <w:tc>
          <w:tcPr>
            <w:tcW w:w="4583"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邮政编码：</w:t>
            </w:r>
          </w:p>
        </w:tc>
        <w:tc>
          <w:tcPr>
            <w:tcW w:w="4583"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邮政编码：</w:t>
            </w:r>
          </w:p>
        </w:tc>
      </w:tr>
    </w:tbl>
    <w:p>
      <w:pPr>
        <w:widowControl/>
        <w:jc w:val="left"/>
        <w:rPr>
          <w:rFonts w:hint="eastAsia" w:ascii="宋体" w:hAnsi="宋体" w:cs="宋体"/>
          <w:color w:val="auto"/>
          <w:sz w:val="20"/>
          <w:szCs w:val="20"/>
          <w:highlight w:val="none"/>
        </w:rPr>
      </w:pPr>
    </w:p>
    <w:p>
      <w:pPr>
        <w:snapToGrid w:val="0"/>
        <w:spacing w:line="440" w:lineRule="exact"/>
        <w:jc w:val="center"/>
        <w:rPr>
          <w:rFonts w:ascii="宋体" w:hAnsi="宋体" w:cs="宋体"/>
          <w:b/>
          <w:color w:val="auto"/>
          <w:szCs w:val="21"/>
          <w:highlight w:val="none"/>
        </w:rPr>
      </w:pPr>
    </w:p>
    <w:p>
      <w:pPr>
        <w:snapToGrid w:val="0"/>
        <w:spacing w:line="440" w:lineRule="exact"/>
        <w:jc w:val="center"/>
        <w:rPr>
          <w:rFonts w:ascii="宋体" w:hAnsi="宋体" w:cs="宋体"/>
          <w:b/>
          <w:color w:val="auto"/>
          <w:szCs w:val="21"/>
          <w:highlight w:val="none"/>
        </w:rPr>
      </w:pPr>
    </w:p>
    <w:p>
      <w:pPr>
        <w:snapToGrid w:val="0"/>
        <w:spacing w:line="440" w:lineRule="exact"/>
        <w:jc w:val="center"/>
        <w:rPr>
          <w:rFonts w:ascii="宋体" w:hAnsi="宋体" w:cs="宋体"/>
          <w:b/>
          <w:color w:val="auto"/>
          <w:szCs w:val="21"/>
          <w:highlight w:val="none"/>
        </w:rPr>
      </w:pPr>
    </w:p>
    <w:p>
      <w:pPr>
        <w:jc w:val="center"/>
        <w:rPr>
          <w:rFonts w:ascii="宋体" w:hAnsi="宋体"/>
          <w:b/>
          <w:color w:val="auto"/>
          <w:szCs w:val="21"/>
          <w:highlight w:val="none"/>
        </w:rPr>
      </w:pPr>
      <w:r>
        <w:rPr>
          <w:rFonts w:hint="eastAsia" w:ascii="宋体" w:hAnsi="宋体" w:cs="宋体"/>
          <w:b/>
          <w:color w:val="auto"/>
          <w:szCs w:val="21"/>
          <w:highlight w:val="none"/>
        </w:rPr>
        <w:t>合 同 附 件</w:t>
      </w:r>
    </w:p>
    <w:p>
      <w:pPr>
        <w:snapToGrid w:val="0"/>
        <w:rPr>
          <w:rFonts w:ascii="宋体" w:hAnsi="宋体"/>
          <w:color w:val="auto"/>
          <w:szCs w:val="21"/>
          <w:highlight w:val="none"/>
        </w:rPr>
      </w:pP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15"/>
        <w:gridCol w:w="47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0" w:hRule="atLeast"/>
          <w:jc w:val="center"/>
        </w:trPr>
        <w:tc>
          <w:tcPr>
            <w:tcW w:w="9540" w:type="dxa"/>
            <w:gridSpan w:val="2"/>
          </w:tcPr>
          <w:p>
            <w:pPr>
              <w:snapToGrid w:val="0"/>
              <w:rPr>
                <w:rFonts w:ascii="宋体" w:hAnsi="宋体" w:cs="宋体"/>
                <w:snapToGrid w:val="0"/>
                <w:color w:val="auto"/>
                <w:kern w:val="0"/>
                <w:szCs w:val="21"/>
                <w:highlight w:val="none"/>
              </w:rPr>
            </w:pPr>
          </w:p>
          <w:p>
            <w:pPr>
              <w:snapToGrid w:val="0"/>
              <w:rPr>
                <w:rFonts w:ascii="宋体" w:hAnsi="宋体" w:cs="宋体"/>
                <w:color w:val="auto"/>
                <w:szCs w:val="21"/>
                <w:highlight w:val="none"/>
              </w:rPr>
            </w:pPr>
            <w:r>
              <w:rPr>
                <w:rFonts w:hint="eastAsia" w:ascii="宋体" w:hAnsi="宋体" w:cs="宋体"/>
                <w:snapToGrid w:val="0"/>
                <w:color w:val="auto"/>
                <w:kern w:val="0"/>
                <w:szCs w:val="21"/>
                <w:highlight w:val="none"/>
              </w:rPr>
              <w:t>1、供应商承诺具体事项：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7" w:hRule="atLeast"/>
          <w:jc w:val="center"/>
        </w:trPr>
        <w:tc>
          <w:tcPr>
            <w:tcW w:w="9540" w:type="dxa"/>
            <w:gridSpan w:val="2"/>
          </w:tcPr>
          <w:p>
            <w:pPr>
              <w:snapToGrid w:val="0"/>
              <w:rPr>
                <w:rFonts w:ascii="宋体" w:hAnsi="宋体" w:cs="宋体"/>
                <w:snapToGrid w:val="0"/>
                <w:color w:val="auto"/>
                <w:kern w:val="0"/>
                <w:szCs w:val="21"/>
                <w:highlight w:val="none"/>
              </w:rPr>
            </w:pPr>
          </w:p>
          <w:p>
            <w:pPr>
              <w:snapToGrid w:val="0"/>
              <w:rPr>
                <w:rFonts w:ascii="宋体" w:hAnsi="宋体" w:cs="宋体"/>
                <w:color w:val="auto"/>
                <w:szCs w:val="21"/>
                <w:highlight w:val="none"/>
              </w:rPr>
            </w:pPr>
            <w:r>
              <w:rPr>
                <w:rFonts w:hint="eastAsia" w:ascii="宋体" w:hAnsi="宋体" w:cs="宋体"/>
                <w:snapToGrid w:val="0"/>
                <w:color w:val="auto"/>
                <w:kern w:val="0"/>
                <w:szCs w:val="21"/>
                <w:highlight w:val="none"/>
              </w:rPr>
              <w:t>2、售后服务具体事项：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9540" w:type="dxa"/>
            <w:gridSpan w:val="2"/>
          </w:tcPr>
          <w:p>
            <w:pPr>
              <w:snapToGrid w:val="0"/>
              <w:rPr>
                <w:rFonts w:ascii="宋体" w:hAnsi="宋体" w:cs="宋体"/>
                <w:snapToGrid w:val="0"/>
                <w:color w:val="auto"/>
                <w:kern w:val="0"/>
                <w:szCs w:val="21"/>
                <w:highlight w:val="none"/>
              </w:rPr>
            </w:pPr>
          </w:p>
          <w:p>
            <w:pPr>
              <w:snapToGrid w:val="0"/>
              <w:rPr>
                <w:rFonts w:ascii="宋体" w:hAnsi="宋体" w:cs="宋体"/>
                <w:color w:val="auto"/>
                <w:szCs w:val="21"/>
                <w:highlight w:val="none"/>
              </w:rPr>
            </w:pPr>
            <w:r>
              <w:rPr>
                <w:rFonts w:hint="eastAsia" w:ascii="宋体" w:hAnsi="宋体" w:cs="宋体"/>
                <w:snapToGrid w:val="0"/>
                <w:color w:val="auto"/>
                <w:kern w:val="0"/>
                <w:szCs w:val="21"/>
                <w:highlight w:val="none"/>
              </w:rPr>
              <w:t>3、质保期责任：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9" w:hRule="atLeast"/>
          <w:jc w:val="center"/>
        </w:trPr>
        <w:tc>
          <w:tcPr>
            <w:tcW w:w="9540" w:type="dxa"/>
            <w:gridSpan w:val="2"/>
          </w:tcPr>
          <w:p>
            <w:pPr>
              <w:snapToGrid w:val="0"/>
              <w:rPr>
                <w:rFonts w:ascii="宋体" w:hAnsi="宋体" w:cs="宋体"/>
                <w:snapToGrid w:val="0"/>
                <w:color w:val="auto"/>
                <w:kern w:val="0"/>
                <w:szCs w:val="21"/>
                <w:highlight w:val="none"/>
              </w:rPr>
            </w:pPr>
          </w:p>
          <w:p>
            <w:pPr>
              <w:snapToGrid w:val="0"/>
              <w:rPr>
                <w:rFonts w:ascii="宋体" w:hAnsi="宋体" w:cs="宋体"/>
                <w:color w:val="auto"/>
                <w:szCs w:val="21"/>
                <w:highlight w:val="none"/>
              </w:rPr>
            </w:pPr>
            <w:r>
              <w:rPr>
                <w:rFonts w:hint="eastAsia" w:ascii="宋体" w:hAnsi="宋体" w:cs="宋体"/>
                <w:snapToGrid w:val="0"/>
                <w:color w:val="auto"/>
                <w:kern w:val="0"/>
                <w:szCs w:val="21"/>
                <w:highlight w:val="none"/>
              </w:rPr>
              <w:t>4、其他具体事项：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4" w:hRule="atLeast"/>
          <w:jc w:val="center"/>
        </w:trPr>
        <w:tc>
          <w:tcPr>
            <w:tcW w:w="4815" w:type="dxa"/>
            <w:vAlign w:val="center"/>
          </w:tcPr>
          <w:p>
            <w:pPr>
              <w:ind w:firstLine="482"/>
              <w:rPr>
                <w:rFonts w:ascii="宋体" w:hAnsi="宋体" w:cs="宋体"/>
                <w:color w:val="auto"/>
                <w:szCs w:val="21"/>
                <w:highlight w:val="none"/>
              </w:rPr>
            </w:pPr>
            <w:r>
              <w:rPr>
                <w:rFonts w:hint="eastAsia" w:ascii="宋体" w:hAnsi="宋体" w:cs="宋体"/>
                <w:color w:val="auto"/>
                <w:szCs w:val="21"/>
                <w:highlight w:val="none"/>
              </w:rPr>
              <w:t>甲方（章）</w:t>
            </w:r>
          </w:p>
          <w:p>
            <w:pPr>
              <w:ind w:firstLine="482"/>
              <w:rPr>
                <w:rFonts w:ascii="宋体" w:hAnsi="宋体" w:cs="宋体"/>
                <w:color w:val="auto"/>
                <w:szCs w:val="21"/>
                <w:highlight w:val="none"/>
              </w:rPr>
            </w:pPr>
          </w:p>
          <w:p>
            <w:pPr>
              <w:ind w:firstLine="482"/>
              <w:rPr>
                <w:rFonts w:ascii="宋体" w:hAnsi="宋体" w:cs="宋体"/>
                <w:color w:val="auto"/>
                <w:szCs w:val="21"/>
                <w:highlight w:val="none"/>
              </w:rPr>
            </w:pPr>
          </w:p>
          <w:p>
            <w:pPr>
              <w:ind w:firstLine="482"/>
              <w:rPr>
                <w:rFonts w:ascii="宋体" w:hAnsi="宋体" w:cs="宋体"/>
                <w:color w:val="auto"/>
                <w:szCs w:val="21"/>
                <w:highlight w:val="none"/>
              </w:rPr>
            </w:pPr>
          </w:p>
          <w:p>
            <w:pPr>
              <w:ind w:firstLine="482"/>
              <w:rPr>
                <w:rFonts w:ascii="宋体" w:hAnsi="宋体" w:cs="宋体"/>
                <w:color w:val="auto"/>
                <w:szCs w:val="21"/>
                <w:highlight w:val="none"/>
              </w:rPr>
            </w:pPr>
          </w:p>
          <w:p>
            <w:pPr>
              <w:ind w:firstLine="482"/>
              <w:rPr>
                <w:rFonts w:ascii="宋体" w:hAnsi="宋体" w:cs="宋体"/>
                <w:color w:val="auto"/>
                <w:szCs w:val="21"/>
                <w:highlight w:val="none"/>
              </w:rPr>
            </w:pPr>
          </w:p>
          <w:p>
            <w:pPr>
              <w:ind w:firstLine="482"/>
              <w:rPr>
                <w:rFonts w:ascii="宋体" w:hAnsi="宋体" w:cs="宋体"/>
                <w:color w:val="auto"/>
                <w:szCs w:val="21"/>
                <w:highlight w:val="none"/>
              </w:rPr>
            </w:pPr>
          </w:p>
          <w:p>
            <w:pPr>
              <w:ind w:firstLine="482"/>
              <w:rPr>
                <w:rFonts w:ascii="宋体" w:hAnsi="宋体" w:cs="宋体"/>
                <w:color w:val="auto"/>
                <w:szCs w:val="21"/>
                <w:highlight w:val="none"/>
              </w:rPr>
            </w:pPr>
            <w:r>
              <w:rPr>
                <w:rFonts w:hint="eastAsia" w:ascii="宋体" w:hAnsi="宋体" w:cs="宋体"/>
                <w:color w:val="auto"/>
                <w:szCs w:val="21"/>
                <w:highlight w:val="none"/>
              </w:rPr>
              <w:t xml:space="preserve">                 年   月   日 </w:t>
            </w:r>
          </w:p>
        </w:tc>
        <w:tc>
          <w:tcPr>
            <w:tcW w:w="4725" w:type="dxa"/>
            <w:vAlign w:val="center"/>
          </w:tcPr>
          <w:p>
            <w:pPr>
              <w:ind w:firstLine="482"/>
              <w:rPr>
                <w:rFonts w:ascii="宋体" w:hAnsi="宋体" w:cs="宋体"/>
                <w:color w:val="auto"/>
                <w:szCs w:val="21"/>
                <w:highlight w:val="none"/>
              </w:rPr>
            </w:pPr>
            <w:r>
              <w:rPr>
                <w:rFonts w:hint="eastAsia" w:ascii="宋体" w:hAnsi="宋体" w:cs="宋体"/>
                <w:color w:val="auto"/>
                <w:szCs w:val="21"/>
                <w:highlight w:val="none"/>
              </w:rPr>
              <w:t>乙方（章）</w:t>
            </w:r>
          </w:p>
          <w:p>
            <w:pPr>
              <w:ind w:firstLine="482"/>
              <w:rPr>
                <w:rFonts w:ascii="宋体" w:hAnsi="宋体" w:cs="宋体"/>
                <w:color w:val="auto"/>
                <w:szCs w:val="21"/>
                <w:highlight w:val="none"/>
              </w:rPr>
            </w:pPr>
          </w:p>
          <w:p>
            <w:pPr>
              <w:ind w:firstLine="482"/>
              <w:rPr>
                <w:rFonts w:ascii="宋体" w:hAnsi="宋体" w:cs="宋体"/>
                <w:color w:val="auto"/>
                <w:szCs w:val="21"/>
                <w:highlight w:val="none"/>
              </w:rPr>
            </w:pPr>
          </w:p>
          <w:p>
            <w:pPr>
              <w:ind w:firstLine="482"/>
              <w:rPr>
                <w:rFonts w:ascii="宋体" w:hAnsi="宋体" w:cs="宋体"/>
                <w:color w:val="auto"/>
                <w:szCs w:val="21"/>
                <w:highlight w:val="none"/>
              </w:rPr>
            </w:pPr>
          </w:p>
          <w:p>
            <w:pPr>
              <w:ind w:firstLine="482"/>
              <w:rPr>
                <w:rFonts w:ascii="宋体" w:hAnsi="宋体" w:cs="宋体"/>
                <w:color w:val="auto"/>
                <w:szCs w:val="21"/>
                <w:highlight w:val="none"/>
              </w:rPr>
            </w:pPr>
          </w:p>
          <w:p>
            <w:pPr>
              <w:ind w:firstLine="482"/>
              <w:rPr>
                <w:rFonts w:ascii="宋体" w:hAnsi="宋体" w:cs="宋体"/>
                <w:color w:val="auto"/>
                <w:szCs w:val="21"/>
                <w:highlight w:val="none"/>
              </w:rPr>
            </w:pPr>
          </w:p>
          <w:p>
            <w:pPr>
              <w:ind w:firstLine="482"/>
              <w:rPr>
                <w:rFonts w:ascii="宋体" w:hAnsi="宋体" w:cs="宋体"/>
                <w:color w:val="auto"/>
                <w:szCs w:val="21"/>
                <w:highlight w:val="none"/>
              </w:rPr>
            </w:pPr>
          </w:p>
          <w:p>
            <w:pPr>
              <w:ind w:firstLine="482"/>
              <w:rPr>
                <w:rFonts w:ascii="宋体" w:hAnsi="宋体" w:cs="宋体"/>
                <w:color w:val="auto"/>
                <w:szCs w:val="21"/>
                <w:highlight w:val="none"/>
              </w:rPr>
            </w:pPr>
            <w:r>
              <w:rPr>
                <w:rFonts w:hint="eastAsia" w:ascii="宋体" w:hAnsi="宋体" w:cs="宋体"/>
                <w:color w:val="auto"/>
                <w:szCs w:val="21"/>
                <w:highlight w:val="none"/>
              </w:rPr>
              <w:t xml:space="preserve">                年   月   日</w:t>
            </w:r>
          </w:p>
        </w:tc>
      </w:tr>
    </w:tbl>
    <w:p>
      <w:pPr>
        <w:spacing w:before="4"/>
        <w:rPr>
          <w:rFonts w:ascii="宋体" w:hAnsi="宋体" w:cs="宋体"/>
          <w:color w:val="auto"/>
          <w:sz w:val="6"/>
          <w:szCs w:val="6"/>
          <w:highlight w:val="none"/>
        </w:rPr>
      </w:pPr>
    </w:p>
    <w:sectPr>
      <w:footerReference r:id="rId12" w:type="first"/>
      <w:footerReference r:id="rId11" w:type="default"/>
      <w:pgSz w:w="11906" w:h="16838"/>
      <w:pgMar w:top="1134" w:right="1020" w:bottom="1134" w:left="1020" w:header="851" w:footer="567"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2010601030101010101"/>
    <w:charset w:val="86"/>
    <w:family w:val="script"/>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10" w:usb3="00000000" w:csb0="00040000" w:csb1="00000000"/>
  </w:font>
  <w:font w:name="MingLiU">
    <w:panose1 w:val="02020509000000000000"/>
    <w:charset w:val="88"/>
    <w:family w:val="modern"/>
    <w:pitch w:val="default"/>
    <w:sig w:usb0="A00002FF" w:usb1="28CFFCFA" w:usb2="00000016" w:usb3="00000000" w:csb0="0010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tabs>
        <w:tab w:val="center" w:pos="4439"/>
        <w:tab w:val="clear" w:pos="4153"/>
      </w:tabs>
      <w:jc w:val="both"/>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1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21"/>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5123"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CDr9F+zwEAAKoDAAAOAAAAAAAAAAEAIAAAAB4BAABkcnMv&#10;ZTJvRG9jLnhtbFBLBQYAAAAABgAGAFkBAABfBQAAAAA=&#10;">
              <v:fill on="f" focussize="0,0"/>
              <v:stroke on="f"/>
              <v:imagedata o:title=""/>
              <o:lock v:ext="edit" aspectratio="f"/>
              <v:textbox inset="0mm,0mm,0mm,0mm" style="mso-fit-shape-to-text:t;">
                <w:txbxContent>
                  <w:p>
                    <w:pPr>
                      <w:pStyle w:val="21"/>
                    </w:pPr>
                    <w:r>
                      <w:fldChar w:fldCharType="begin"/>
                    </w:r>
                    <w:r>
                      <w:instrText xml:space="preserve"> PAGE  \* MERGEFORMAT </w:instrText>
                    </w:r>
                    <w:r>
                      <w:fldChar w:fldCharType="separate"/>
                    </w:r>
                    <w:r>
                      <w:t>1</w:t>
                    </w:r>
                    <w:r>
                      <w:fldChar w:fldCharType="end"/>
                    </w:r>
                  </w:p>
                </w:txbxContent>
              </v:textbox>
            </v:shape>
          </w:pict>
        </mc:Fallback>
      </mc:AlternateContent>
    </w:r>
  </w:p>
  <w:p>
    <w:pPr>
      <w:pStyle w:val="2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tabs>
        <w:tab w:val="center" w:pos="4439"/>
        <w:tab w:val="clear" w:pos="4153"/>
      </w:tabs>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51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txbxContent>
                    </wps:txbx>
                    <wps:bodyPr wrap="none" lIns="0" tIns="0" rIns="0" bIns="0" upright="0">
                      <a:spAutoFit/>
                    </wps:bodyPr>
                  </wps:wsp>
                </a:graphicData>
              </a:graphic>
            </wp:anchor>
          </w:drawing>
        </mc:Choice>
        <mc:Fallback>
          <w:pict>
            <v:shape id="文本框 5124"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DY19j7zwEAAKoDAAAOAAAAAAAAAAEAIAAAAB4BAABkcnMv&#10;ZTJvRG9jLnhtbFBLBQYAAAAABgAGAFkBAABfBQAAAAA=&#10;">
              <v:fill on="f" focussize="0,0"/>
              <v:stroke on="f"/>
              <v:imagedata o:title=""/>
              <o:lock v:ext="edit" aspectratio="f"/>
              <v:textbox inset="0mm,0mm,0mm,0mm" style="mso-fit-shape-to-text:t;">
                <w:txbxContent>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tabs>
        <w:tab w:val="center" w:pos="4439"/>
        <w:tab w:val="clear" w:pos="4153"/>
      </w:tabs>
      <w:jc w:val="both"/>
    </w:pPr>
  </w:p>
  <w:p>
    <w:pPr>
      <w:pStyle w:val="21"/>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tabs>
        <w:tab w:val="center" w:pos="4439"/>
        <w:tab w:val="clear" w:pos="4153"/>
      </w:tabs>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51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txbxContent>
                    </wps:txbx>
                    <wps:bodyPr wrap="none" lIns="0" tIns="0" rIns="0" bIns="0" upright="0">
                      <a:spAutoFit/>
                    </wps:bodyPr>
                  </wps:wsp>
                </a:graphicData>
              </a:graphic>
            </wp:anchor>
          </w:drawing>
        </mc:Choice>
        <mc:Fallback>
          <w:pict>
            <v:shape id="文本框 51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B6+KrRzwEAAKoDAAAOAAAAAAAAAAEAIAAAAB4BAABkcnMv&#10;ZTJvRG9jLnhtbFBLBQYAAAAABgAGAFkBAABfBQAAAAA=&#10;">
              <v:fill on="f" focussize="0,0"/>
              <v:stroke on="f"/>
              <v:imagedata o:title=""/>
              <o:lock v:ext="edit" aspectratio="f"/>
              <v:textbox inset="0mm,0mm,0mm,0mm" style="mso-fit-shape-to-text:t;">
                <w:txbxContent>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51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21"/>
                            <w:jc w:val="center"/>
                          </w:pPr>
                          <w:r>
                            <w:fldChar w:fldCharType="begin"/>
                          </w:r>
                          <w:r>
                            <w:instrText xml:space="preserve"> PAGE  \* MERGEFORMAT </w:instrText>
                          </w:r>
                          <w:r>
                            <w:fldChar w:fldCharType="separate"/>
                          </w:r>
                          <w:r>
                            <w:t>29</w:t>
                          </w:r>
                          <w:r>
                            <w:fldChar w:fldCharType="end"/>
                          </w:r>
                        </w:p>
                      </w:txbxContent>
                    </wps:txbx>
                    <wps:bodyPr wrap="none" lIns="0" tIns="0" rIns="0" bIns="0" upright="0">
                      <a:spAutoFit/>
                    </wps:bodyPr>
                  </wps:wsp>
                </a:graphicData>
              </a:graphic>
            </wp:anchor>
          </w:drawing>
        </mc:Choice>
        <mc:Fallback>
          <w:pict>
            <v:shape id="文本框 512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DuKxBGzwEAAKoDAAAOAAAAAAAAAAEAIAAAAB4BAABkcnMv&#10;ZTJvRG9jLnhtbFBLBQYAAAAABgAGAFkBAABfBQAAAAA=&#10;">
              <v:fill on="f" focussize="0,0"/>
              <v:stroke on="f"/>
              <v:imagedata o:title=""/>
              <o:lock v:ext="edit" aspectratio="f"/>
              <v:textbox inset="0mm,0mm,0mm,0mm" style="mso-fit-shape-to-text:t;">
                <w:txbxContent>
                  <w:p>
                    <w:pPr>
                      <w:pStyle w:val="21"/>
                      <w:jc w:val="center"/>
                    </w:pPr>
                    <w:r>
                      <w:fldChar w:fldCharType="begin"/>
                    </w:r>
                    <w:r>
                      <w:instrText xml:space="preserve"> PAGE  \* MERGEFORMAT </w:instrText>
                    </w:r>
                    <w:r>
                      <w:fldChar w:fldCharType="separate"/>
                    </w:r>
                    <w:r>
                      <w:t>29</w:t>
                    </w:r>
                    <w:r>
                      <w:fldChar w:fldCharType="end"/>
                    </w:r>
                  </w:p>
                </w:txbxContent>
              </v:textbox>
            </v:shape>
          </w:pict>
        </mc:Fallback>
      </mc:AlternateContent>
    </w:r>
  </w:p>
  <w:p>
    <w:pPr>
      <w:pStyle w:val="21"/>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51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21"/>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0">
                      <a:spAutoFit/>
                    </wps:bodyPr>
                  </wps:wsp>
                </a:graphicData>
              </a:graphic>
            </wp:anchor>
          </w:drawing>
        </mc:Choice>
        <mc:Fallback>
          <w:pict>
            <v:shape id="文本框 512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OqXm5zwAAAAUBAAAPAAAAAAAAAAEAIAAAACIAAABkcnMvZG93&#10;bnJldi54bWxQSwECFAAUAAAACACHTuJAp59zg9ABAACqAwAADgAAAAAAAAABACAAAAAeAQAAZHJz&#10;L2Uyb0RvYy54bWxQSwUGAAAAAAYABgBZAQAAYAUAAAAA&#10;">
              <v:fill on="f" focussize="0,0"/>
              <v:stroke on="f"/>
              <v:imagedata o:title=""/>
              <o:lock v:ext="edit" aspectratio="f"/>
              <v:textbox inset="0mm,0mm,0mm,0mm" style="mso-fit-shape-to-text:t;">
                <w:txbxContent>
                  <w:p>
                    <w:pPr>
                      <w:pStyle w:val="21"/>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092002"/>
    <w:multiLevelType w:val="singleLevel"/>
    <w:tmpl w:val="82092002"/>
    <w:lvl w:ilvl="0" w:tentative="0">
      <w:start w:val="1"/>
      <w:numFmt w:val="decimal"/>
      <w:suff w:val="nothing"/>
      <w:lvlText w:val="%1、"/>
      <w:lvlJc w:val="left"/>
    </w:lvl>
  </w:abstractNum>
  <w:abstractNum w:abstractNumId="1">
    <w:nsid w:val="5E53FA65"/>
    <w:multiLevelType w:val="singleLevel"/>
    <w:tmpl w:val="5E53FA65"/>
    <w:lvl w:ilvl="0" w:tentative="0">
      <w:start w:val="1"/>
      <w:numFmt w:val="chineseCounting"/>
      <w:suff w:val="nothing"/>
      <w:lvlText w:val="%1、"/>
      <w:lvlJc w:val="left"/>
      <w:rPr>
        <w:rFonts w:hint="eastAsia"/>
      </w:rPr>
    </w:lvl>
  </w:abstractNum>
  <w:abstractNum w:abstractNumId="2">
    <w:nsid w:val="6D377A7B"/>
    <w:multiLevelType w:val="singleLevel"/>
    <w:tmpl w:val="6D377A7B"/>
    <w:lvl w:ilvl="0" w:tentative="0">
      <w:start w:val="1"/>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formatting="1"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ZiNzg2NzY5NzM5NWYzYjBlNTA3MTIyZDljZTlhZmEifQ=="/>
    <w:docVar w:name="KSO_WPS_MARK_KEY" w:val="b95ecb36-b825-4aab-a484-008294de2a68"/>
  </w:docVars>
  <w:rsids>
    <w:rsidRoot w:val="00F34B14"/>
    <w:rsid w:val="00000672"/>
    <w:rsid w:val="00001013"/>
    <w:rsid w:val="00001799"/>
    <w:rsid w:val="00001AF2"/>
    <w:rsid w:val="00001ECA"/>
    <w:rsid w:val="00002D29"/>
    <w:rsid w:val="00002EAF"/>
    <w:rsid w:val="00003B93"/>
    <w:rsid w:val="0000474D"/>
    <w:rsid w:val="00005164"/>
    <w:rsid w:val="00005FDF"/>
    <w:rsid w:val="00006851"/>
    <w:rsid w:val="00006AC0"/>
    <w:rsid w:val="000070B3"/>
    <w:rsid w:val="000076B8"/>
    <w:rsid w:val="000109DC"/>
    <w:rsid w:val="00010D39"/>
    <w:rsid w:val="0001172C"/>
    <w:rsid w:val="00011BC9"/>
    <w:rsid w:val="00011C99"/>
    <w:rsid w:val="00012854"/>
    <w:rsid w:val="00012EA6"/>
    <w:rsid w:val="00013359"/>
    <w:rsid w:val="000139CF"/>
    <w:rsid w:val="00013AA4"/>
    <w:rsid w:val="00013DFE"/>
    <w:rsid w:val="000141EA"/>
    <w:rsid w:val="00014CA1"/>
    <w:rsid w:val="00016ABC"/>
    <w:rsid w:val="00016DE6"/>
    <w:rsid w:val="000177DB"/>
    <w:rsid w:val="000179C9"/>
    <w:rsid w:val="00017CCC"/>
    <w:rsid w:val="00020227"/>
    <w:rsid w:val="00020263"/>
    <w:rsid w:val="00020455"/>
    <w:rsid w:val="00020813"/>
    <w:rsid w:val="000220B2"/>
    <w:rsid w:val="0002264C"/>
    <w:rsid w:val="00022731"/>
    <w:rsid w:val="00022792"/>
    <w:rsid w:val="00024463"/>
    <w:rsid w:val="00025461"/>
    <w:rsid w:val="00025636"/>
    <w:rsid w:val="00025E36"/>
    <w:rsid w:val="00026855"/>
    <w:rsid w:val="00026886"/>
    <w:rsid w:val="0002785D"/>
    <w:rsid w:val="000279F1"/>
    <w:rsid w:val="000307BE"/>
    <w:rsid w:val="000313DC"/>
    <w:rsid w:val="000329E0"/>
    <w:rsid w:val="000352E9"/>
    <w:rsid w:val="00035494"/>
    <w:rsid w:val="00036125"/>
    <w:rsid w:val="000365AC"/>
    <w:rsid w:val="00036A07"/>
    <w:rsid w:val="00036C95"/>
    <w:rsid w:val="0003780B"/>
    <w:rsid w:val="00040571"/>
    <w:rsid w:val="00040973"/>
    <w:rsid w:val="0004156E"/>
    <w:rsid w:val="00041713"/>
    <w:rsid w:val="00041C18"/>
    <w:rsid w:val="00044263"/>
    <w:rsid w:val="0004440C"/>
    <w:rsid w:val="000451F1"/>
    <w:rsid w:val="00046B5E"/>
    <w:rsid w:val="000470CB"/>
    <w:rsid w:val="000479FF"/>
    <w:rsid w:val="000509D9"/>
    <w:rsid w:val="000512AF"/>
    <w:rsid w:val="00051ACB"/>
    <w:rsid w:val="000533E7"/>
    <w:rsid w:val="00055D41"/>
    <w:rsid w:val="00056EF6"/>
    <w:rsid w:val="00057CD6"/>
    <w:rsid w:val="00060DCE"/>
    <w:rsid w:val="000610E3"/>
    <w:rsid w:val="000614F3"/>
    <w:rsid w:val="000623B4"/>
    <w:rsid w:val="00062405"/>
    <w:rsid w:val="00062B42"/>
    <w:rsid w:val="000634A7"/>
    <w:rsid w:val="00063B0B"/>
    <w:rsid w:val="00063F81"/>
    <w:rsid w:val="00064847"/>
    <w:rsid w:val="00064F97"/>
    <w:rsid w:val="00065E08"/>
    <w:rsid w:val="000673E2"/>
    <w:rsid w:val="0007027E"/>
    <w:rsid w:val="0007063F"/>
    <w:rsid w:val="000707FD"/>
    <w:rsid w:val="00070949"/>
    <w:rsid w:val="000711E4"/>
    <w:rsid w:val="000720A1"/>
    <w:rsid w:val="000724D9"/>
    <w:rsid w:val="00072AED"/>
    <w:rsid w:val="00073F47"/>
    <w:rsid w:val="0007492F"/>
    <w:rsid w:val="00074ED8"/>
    <w:rsid w:val="00075B7E"/>
    <w:rsid w:val="00077266"/>
    <w:rsid w:val="00077ACA"/>
    <w:rsid w:val="00077C70"/>
    <w:rsid w:val="000813B5"/>
    <w:rsid w:val="0008191E"/>
    <w:rsid w:val="00081BA3"/>
    <w:rsid w:val="00081D2E"/>
    <w:rsid w:val="00081F89"/>
    <w:rsid w:val="00082619"/>
    <w:rsid w:val="00082D02"/>
    <w:rsid w:val="00083871"/>
    <w:rsid w:val="00083B91"/>
    <w:rsid w:val="0008473C"/>
    <w:rsid w:val="0008520B"/>
    <w:rsid w:val="000857DE"/>
    <w:rsid w:val="000860BD"/>
    <w:rsid w:val="0008694B"/>
    <w:rsid w:val="000871B8"/>
    <w:rsid w:val="00087B0A"/>
    <w:rsid w:val="000904D2"/>
    <w:rsid w:val="000916DA"/>
    <w:rsid w:val="00092442"/>
    <w:rsid w:val="000929EF"/>
    <w:rsid w:val="00092C26"/>
    <w:rsid w:val="000933BE"/>
    <w:rsid w:val="0009560F"/>
    <w:rsid w:val="0009588E"/>
    <w:rsid w:val="000959EE"/>
    <w:rsid w:val="00096DB9"/>
    <w:rsid w:val="00097183"/>
    <w:rsid w:val="000972CB"/>
    <w:rsid w:val="00097608"/>
    <w:rsid w:val="000A1175"/>
    <w:rsid w:val="000A13F3"/>
    <w:rsid w:val="000A23B1"/>
    <w:rsid w:val="000A2B0E"/>
    <w:rsid w:val="000A398F"/>
    <w:rsid w:val="000A448C"/>
    <w:rsid w:val="000A509C"/>
    <w:rsid w:val="000A54A7"/>
    <w:rsid w:val="000A5712"/>
    <w:rsid w:val="000A6007"/>
    <w:rsid w:val="000A65A6"/>
    <w:rsid w:val="000A70E3"/>
    <w:rsid w:val="000A7275"/>
    <w:rsid w:val="000A7A12"/>
    <w:rsid w:val="000A7A72"/>
    <w:rsid w:val="000B1202"/>
    <w:rsid w:val="000B13B8"/>
    <w:rsid w:val="000B1801"/>
    <w:rsid w:val="000B1D0C"/>
    <w:rsid w:val="000B2273"/>
    <w:rsid w:val="000B2BC6"/>
    <w:rsid w:val="000B2D03"/>
    <w:rsid w:val="000B37F2"/>
    <w:rsid w:val="000B3815"/>
    <w:rsid w:val="000B3C7B"/>
    <w:rsid w:val="000B4321"/>
    <w:rsid w:val="000B6A6B"/>
    <w:rsid w:val="000B6C95"/>
    <w:rsid w:val="000B79FC"/>
    <w:rsid w:val="000C1679"/>
    <w:rsid w:val="000C1EE3"/>
    <w:rsid w:val="000C3AE7"/>
    <w:rsid w:val="000C3CC9"/>
    <w:rsid w:val="000C6DE4"/>
    <w:rsid w:val="000C7202"/>
    <w:rsid w:val="000D0A89"/>
    <w:rsid w:val="000D1389"/>
    <w:rsid w:val="000D1798"/>
    <w:rsid w:val="000D2626"/>
    <w:rsid w:val="000D29A2"/>
    <w:rsid w:val="000D320C"/>
    <w:rsid w:val="000D341C"/>
    <w:rsid w:val="000D411D"/>
    <w:rsid w:val="000D4589"/>
    <w:rsid w:val="000D4809"/>
    <w:rsid w:val="000D73DD"/>
    <w:rsid w:val="000E1C51"/>
    <w:rsid w:val="000E28AB"/>
    <w:rsid w:val="000E2E3E"/>
    <w:rsid w:val="000E310E"/>
    <w:rsid w:val="000E3583"/>
    <w:rsid w:val="000E370E"/>
    <w:rsid w:val="000E3AF0"/>
    <w:rsid w:val="000E4E04"/>
    <w:rsid w:val="000E693B"/>
    <w:rsid w:val="000E6EC9"/>
    <w:rsid w:val="000E70B4"/>
    <w:rsid w:val="000E7B62"/>
    <w:rsid w:val="000F0E1E"/>
    <w:rsid w:val="000F1A1B"/>
    <w:rsid w:val="000F2A95"/>
    <w:rsid w:val="000F3281"/>
    <w:rsid w:val="000F32FD"/>
    <w:rsid w:val="000F3733"/>
    <w:rsid w:val="000F5F8B"/>
    <w:rsid w:val="000F6153"/>
    <w:rsid w:val="000F64AA"/>
    <w:rsid w:val="000F7339"/>
    <w:rsid w:val="000F7AF4"/>
    <w:rsid w:val="000F7C33"/>
    <w:rsid w:val="000F7F0C"/>
    <w:rsid w:val="001004D6"/>
    <w:rsid w:val="00101D1B"/>
    <w:rsid w:val="00102676"/>
    <w:rsid w:val="001029C1"/>
    <w:rsid w:val="00103646"/>
    <w:rsid w:val="00103918"/>
    <w:rsid w:val="00104897"/>
    <w:rsid w:val="00104EDE"/>
    <w:rsid w:val="00105CDA"/>
    <w:rsid w:val="00106BEE"/>
    <w:rsid w:val="0010711C"/>
    <w:rsid w:val="00107BDF"/>
    <w:rsid w:val="00107C74"/>
    <w:rsid w:val="0011091C"/>
    <w:rsid w:val="00111266"/>
    <w:rsid w:val="001112EB"/>
    <w:rsid w:val="0011247D"/>
    <w:rsid w:val="00112FFB"/>
    <w:rsid w:val="00113678"/>
    <w:rsid w:val="00113A7D"/>
    <w:rsid w:val="00113C3E"/>
    <w:rsid w:val="00115132"/>
    <w:rsid w:val="00115E11"/>
    <w:rsid w:val="00115EEE"/>
    <w:rsid w:val="00115F56"/>
    <w:rsid w:val="00116CA9"/>
    <w:rsid w:val="00116F38"/>
    <w:rsid w:val="001170A4"/>
    <w:rsid w:val="00117AE7"/>
    <w:rsid w:val="00117B85"/>
    <w:rsid w:val="00117CBD"/>
    <w:rsid w:val="0012006A"/>
    <w:rsid w:val="00121979"/>
    <w:rsid w:val="00122064"/>
    <w:rsid w:val="00124341"/>
    <w:rsid w:val="00124492"/>
    <w:rsid w:val="00124B12"/>
    <w:rsid w:val="001250A0"/>
    <w:rsid w:val="001263B8"/>
    <w:rsid w:val="00130217"/>
    <w:rsid w:val="00130783"/>
    <w:rsid w:val="00130A47"/>
    <w:rsid w:val="00132B47"/>
    <w:rsid w:val="001337F8"/>
    <w:rsid w:val="001348B4"/>
    <w:rsid w:val="001351CB"/>
    <w:rsid w:val="00135530"/>
    <w:rsid w:val="00135947"/>
    <w:rsid w:val="001359A2"/>
    <w:rsid w:val="00135F92"/>
    <w:rsid w:val="00136020"/>
    <w:rsid w:val="0013641C"/>
    <w:rsid w:val="00136445"/>
    <w:rsid w:val="00137389"/>
    <w:rsid w:val="00140132"/>
    <w:rsid w:val="00141C9C"/>
    <w:rsid w:val="001424DE"/>
    <w:rsid w:val="0014277F"/>
    <w:rsid w:val="00142A96"/>
    <w:rsid w:val="001434BE"/>
    <w:rsid w:val="00143AAD"/>
    <w:rsid w:val="00144050"/>
    <w:rsid w:val="00144369"/>
    <w:rsid w:val="0014479F"/>
    <w:rsid w:val="001452B4"/>
    <w:rsid w:val="00145320"/>
    <w:rsid w:val="001476D3"/>
    <w:rsid w:val="001509CF"/>
    <w:rsid w:val="00150D1D"/>
    <w:rsid w:val="001525AA"/>
    <w:rsid w:val="00152A87"/>
    <w:rsid w:val="00152AC1"/>
    <w:rsid w:val="00153BB5"/>
    <w:rsid w:val="00154342"/>
    <w:rsid w:val="00154518"/>
    <w:rsid w:val="00155512"/>
    <w:rsid w:val="00156303"/>
    <w:rsid w:val="00156359"/>
    <w:rsid w:val="00156DD6"/>
    <w:rsid w:val="0016086E"/>
    <w:rsid w:val="00160D0C"/>
    <w:rsid w:val="00160DD1"/>
    <w:rsid w:val="00161172"/>
    <w:rsid w:val="00161998"/>
    <w:rsid w:val="00161E65"/>
    <w:rsid w:val="00162597"/>
    <w:rsid w:val="001629AF"/>
    <w:rsid w:val="001629FD"/>
    <w:rsid w:val="001630EF"/>
    <w:rsid w:val="0016428A"/>
    <w:rsid w:val="001647C9"/>
    <w:rsid w:val="00165627"/>
    <w:rsid w:val="00165987"/>
    <w:rsid w:val="001661A3"/>
    <w:rsid w:val="00167226"/>
    <w:rsid w:val="001677C9"/>
    <w:rsid w:val="0016782B"/>
    <w:rsid w:val="0016784D"/>
    <w:rsid w:val="00167853"/>
    <w:rsid w:val="00167887"/>
    <w:rsid w:val="001720EF"/>
    <w:rsid w:val="00172CA8"/>
    <w:rsid w:val="00173256"/>
    <w:rsid w:val="00173B0E"/>
    <w:rsid w:val="00173E03"/>
    <w:rsid w:val="001747F4"/>
    <w:rsid w:val="0017512C"/>
    <w:rsid w:val="00175541"/>
    <w:rsid w:val="001756AF"/>
    <w:rsid w:val="0017586A"/>
    <w:rsid w:val="00175BA6"/>
    <w:rsid w:val="00175FDC"/>
    <w:rsid w:val="00176CA7"/>
    <w:rsid w:val="00176D0C"/>
    <w:rsid w:val="00176F8E"/>
    <w:rsid w:val="001778C5"/>
    <w:rsid w:val="00177E56"/>
    <w:rsid w:val="00177F0A"/>
    <w:rsid w:val="00180DA0"/>
    <w:rsid w:val="00181EAD"/>
    <w:rsid w:val="00182862"/>
    <w:rsid w:val="00184F57"/>
    <w:rsid w:val="00185091"/>
    <w:rsid w:val="00185544"/>
    <w:rsid w:val="00185617"/>
    <w:rsid w:val="00186FE1"/>
    <w:rsid w:val="00187A14"/>
    <w:rsid w:val="0019171E"/>
    <w:rsid w:val="00192368"/>
    <w:rsid w:val="001923A0"/>
    <w:rsid w:val="001928B1"/>
    <w:rsid w:val="00193537"/>
    <w:rsid w:val="00193846"/>
    <w:rsid w:val="00193CA5"/>
    <w:rsid w:val="00193FD7"/>
    <w:rsid w:val="00195424"/>
    <w:rsid w:val="001955FF"/>
    <w:rsid w:val="00197EDD"/>
    <w:rsid w:val="001A02B3"/>
    <w:rsid w:val="001A04BB"/>
    <w:rsid w:val="001A08D0"/>
    <w:rsid w:val="001A0E82"/>
    <w:rsid w:val="001A1B39"/>
    <w:rsid w:val="001A2120"/>
    <w:rsid w:val="001A2256"/>
    <w:rsid w:val="001A28C6"/>
    <w:rsid w:val="001A2E69"/>
    <w:rsid w:val="001A30F7"/>
    <w:rsid w:val="001A3C34"/>
    <w:rsid w:val="001A3EDE"/>
    <w:rsid w:val="001A4222"/>
    <w:rsid w:val="001A50EA"/>
    <w:rsid w:val="001A5E24"/>
    <w:rsid w:val="001A624D"/>
    <w:rsid w:val="001A6795"/>
    <w:rsid w:val="001A6B27"/>
    <w:rsid w:val="001A6D8B"/>
    <w:rsid w:val="001A6DAA"/>
    <w:rsid w:val="001A7717"/>
    <w:rsid w:val="001A793A"/>
    <w:rsid w:val="001B125A"/>
    <w:rsid w:val="001B1EBA"/>
    <w:rsid w:val="001B2142"/>
    <w:rsid w:val="001B2C23"/>
    <w:rsid w:val="001B2F2B"/>
    <w:rsid w:val="001B327A"/>
    <w:rsid w:val="001B35DE"/>
    <w:rsid w:val="001B3A13"/>
    <w:rsid w:val="001B3F5C"/>
    <w:rsid w:val="001B57C9"/>
    <w:rsid w:val="001B59FF"/>
    <w:rsid w:val="001B6512"/>
    <w:rsid w:val="001B65D7"/>
    <w:rsid w:val="001B6752"/>
    <w:rsid w:val="001B6768"/>
    <w:rsid w:val="001B6F1F"/>
    <w:rsid w:val="001B79E3"/>
    <w:rsid w:val="001B7ECC"/>
    <w:rsid w:val="001C025B"/>
    <w:rsid w:val="001C115F"/>
    <w:rsid w:val="001C1EAB"/>
    <w:rsid w:val="001C25A7"/>
    <w:rsid w:val="001C318C"/>
    <w:rsid w:val="001C35C4"/>
    <w:rsid w:val="001C4287"/>
    <w:rsid w:val="001C4479"/>
    <w:rsid w:val="001C5190"/>
    <w:rsid w:val="001C6081"/>
    <w:rsid w:val="001C73EB"/>
    <w:rsid w:val="001C7B48"/>
    <w:rsid w:val="001C7CFB"/>
    <w:rsid w:val="001D0CFB"/>
    <w:rsid w:val="001D1A0D"/>
    <w:rsid w:val="001D343C"/>
    <w:rsid w:val="001D58A1"/>
    <w:rsid w:val="001D58C2"/>
    <w:rsid w:val="001D5A8A"/>
    <w:rsid w:val="001D61CA"/>
    <w:rsid w:val="001D6E87"/>
    <w:rsid w:val="001D735E"/>
    <w:rsid w:val="001D73C8"/>
    <w:rsid w:val="001D7BC6"/>
    <w:rsid w:val="001E129E"/>
    <w:rsid w:val="001E175C"/>
    <w:rsid w:val="001E1B0E"/>
    <w:rsid w:val="001E3B63"/>
    <w:rsid w:val="001E5A94"/>
    <w:rsid w:val="001F2A2E"/>
    <w:rsid w:val="001F2FDF"/>
    <w:rsid w:val="001F3356"/>
    <w:rsid w:val="001F3C63"/>
    <w:rsid w:val="001F4460"/>
    <w:rsid w:val="001F711A"/>
    <w:rsid w:val="001F75B0"/>
    <w:rsid w:val="0020057C"/>
    <w:rsid w:val="002008A0"/>
    <w:rsid w:val="00200CE5"/>
    <w:rsid w:val="00200F7C"/>
    <w:rsid w:val="002014DB"/>
    <w:rsid w:val="0020150B"/>
    <w:rsid w:val="00201E12"/>
    <w:rsid w:val="00202295"/>
    <w:rsid w:val="002033B5"/>
    <w:rsid w:val="0020382C"/>
    <w:rsid w:val="00203FBD"/>
    <w:rsid w:val="0020437A"/>
    <w:rsid w:val="0020454C"/>
    <w:rsid w:val="00204740"/>
    <w:rsid w:val="00205129"/>
    <w:rsid w:val="0020521F"/>
    <w:rsid w:val="0020532C"/>
    <w:rsid w:val="002114C7"/>
    <w:rsid w:val="0021302C"/>
    <w:rsid w:val="00213B1C"/>
    <w:rsid w:val="00213F1E"/>
    <w:rsid w:val="00214202"/>
    <w:rsid w:val="002148E3"/>
    <w:rsid w:val="0021552D"/>
    <w:rsid w:val="002156AE"/>
    <w:rsid w:val="00215E99"/>
    <w:rsid w:val="0022054D"/>
    <w:rsid w:val="00220A95"/>
    <w:rsid w:val="0022107B"/>
    <w:rsid w:val="00223DDB"/>
    <w:rsid w:val="00223FA4"/>
    <w:rsid w:val="00223FB0"/>
    <w:rsid w:val="00224067"/>
    <w:rsid w:val="0022421C"/>
    <w:rsid w:val="00224C4A"/>
    <w:rsid w:val="00224E83"/>
    <w:rsid w:val="00225664"/>
    <w:rsid w:val="0022663D"/>
    <w:rsid w:val="00227F2D"/>
    <w:rsid w:val="00231851"/>
    <w:rsid w:val="002319FB"/>
    <w:rsid w:val="00231B89"/>
    <w:rsid w:val="00231F11"/>
    <w:rsid w:val="00231F5E"/>
    <w:rsid w:val="002346B4"/>
    <w:rsid w:val="00234F6E"/>
    <w:rsid w:val="002355BE"/>
    <w:rsid w:val="002358EA"/>
    <w:rsid w:val="00236578"/>
    <w:rsid w:val="00236DE9"/>
    <w:rsid w:val="00237342"/>
    <w:rsid w:val="00237D5A"/>
    <w:rsid w:val="00240AEF"/>
    <w:rsid w:val="00240D75"/>
    <w:rsid w:val="002415AE"/>
    <w:rsid w:val="00241D3C"/>
    <w:rsid w:val="00242109"/>
    <w:rsid w:val="00243189"/>
    <w:rsid w:val="002439AB"/>
    <w:rsid w:val="00243C19"/>
    <w:rsid w:val="00244AE8"/>
    <w:rsid w:val="00244DC9"/>
    <w:rsid w:val="00245587"/>
    <w:rsid w:val="002459B4"/>
    <w:rsid w:val="00245F2B"/>
    <w:rsid w:val="002466CD"/>
    <w:rsid w:val="00247F3A"/>
    <w:rsid w:val="00250122"/>
    <w:rsid w:val="00250755"/>
    <w:rsid w:val="00251043"/>
    <w:rsid w:val="00251C4A"/>
    <w:rsid w:val="0025271C"/>
    <w:rsid w:val="002533CD"/>
    <w:rsid w:val="002535EA"/>
    <w:rsid w:val="00254EAB"/>
    <w:rsid w:val="002557AF"/>
    <w:rsid w:val="0025589C"/>
    <w:rsid w:val="00255B62"/>
    <w:rsid w:val="002566B1"/>
    <w:rsid w:val="002575E3"/>
    <w:rsid w:val="00257A74"/>
    <w:rsid w:val="00257C5D"/>
    <w:rsid w:val="002603C1"/>
    <w:rsid w:val="002609A1"/>
    <w:rsid w:val="002612B1"/>
    <w:rsid w:val="00263BBE"/>
    <w:rsid w:val="00266165"/>
    <w:rsid w:val="00266F2C"/>
    <w:rsid w:val="0027125E"/>
    <w:rsid w:val="00271767"/>
    <w:rsid w:val="00272293"/>
    <w:rsid w:val="002723C8"/>
    <w:rsid w:val="00273C2A"/>
    <w:rsid w:val="00273CBE"/>
    <w:rsid w:val="002746B1"/>
    <w:rsid w:val="00274BAD"/>
    <w:rsid w:val="002756BF"/>
    <w:rsid w:val="00282D56"/>
    <w:rsid w:val="0028352B"/>
    <w:rsid w:val="002835B0"/>
    <w:rsid w:val="00283BD5"/>
    <w:rsid w:val="00283C74"/>
    <w:rsid w:val="0028407E"/>
    <w:rsid w:val="0028410F"/>
    <w:rsid w:val="00284572"/>
    <w:rsid w:val="002850AA"/>
    <w:rsid w:val="00285221"/>
    <w:rsid w:val="00286FB5"/>
    <w:rsid w:val="00287763"/>
    <w:rsid w:val="00290606"/>
    <w:rsid w:val="002909B2"/>
    <w:rsid w:val="0029198B"/>
    <w:rsid w:val="00291D6D"/>
    <w:rsid w:val="00291FF1"/>
    <w:rsid w:val="00292AA2"/>
    <w:rsid w:val="00293361"/>
    <w:rsid w:val="00294F10"/>
    <w:rsid w:val="002952B1"/>
    <w:rsid w:val="00295D11"/>
    <w:rsid w:val="00296FB6"/>
    <w:rsid w:val="002A0001"/>
    <w:rsid w:val="002A0BD9"/>
    <w:rsid w:val="002A0C3A"/>
    <w:rsid w:val="002A0DF8"/>
    <w:rsid w:val="002A1130"/>
    <w:rsid w:val="002A1880"/>
    <w:rsid w:val="002A23B7"/>
    <w:rsid w:val="002A3A57"/>
    <w:rsid w:val="002A4B4F"/>
    <w:rsid w:val="002A500F"/>
    <w:rsid w:val="002A57A8"/>
    <w:rsid w:val="002A6DEF"/>
    <w:rsid w:val="002A770B"/>
    <w:rsid w:val="002B013E"/>
    <w:rsid w:val="002B058D"/>
    <w:rsid w:val="002B0C16"/>
    <w:rsid w:val="002B2AC5"/>
    <w:rsid w:val="002B3528"/>
    <w:rsid w:val="002B3539"/>
    <w:rsid w:val="002B4532"/>
    <w:rsid w:val="002B5042"/>
    <w:rsid w:val="002B69CC"/>
    <w:rsid w:val="002B6D71"/>
    <w:rsid w:val="002C0145"/>
    <w:rsid w:val="002C03AE"/>
    <w:rsid w:val="002C0C1C"/>
    <w:rsid w:val="002C17CB"/>
    <w:rsid w:val="002C40E2"/>
    <w:rsid w:val="002C53AD"/>
    <w:rsid w:val="002C54C2"/>
    <w:rsid w:val="002C5D34"/>
    <w:rsid w:val="002C60BB"/>
    <w:rsid w:val="002C661A"/>
    <w:rsid w:val="002C71F0"/>
    <w:rsid w:val="002D0D6F"/>
    <w:rsid w:val="002D25FC"/>
    <w:rsid w:val="002D4AC6"/>
    <w:rsid w:val="002D5BF5"/>
    <w:rsid w:val="002D5EE8"/>
    <w:rsid w:val="002D7018"/>
    <w:rsid w:val="002D7360"/>
    <w:rsid w:val="002D7648"/>
    <w:rsid w:val="002D7C80"/>
    <w:rsid w:val="002E109C"/>
    <w:rsid w:val="002E193E"/>
    <w:rsid w:val="002E1A94"/>
    <w:rsid w:val="002E1D55"/>
    <w:rsid w:val="002E26C4"/>
    <w:rsid w:val="002E2734"/>
    <w:rsid w:val="002E30A5"/>
    <w:rsid w:val="002E4443"/>
    <w:rsid w:val="002E47E4"/>
    <w:rsid w:val="002E4BF9"/>
    <w:rsid w:val="002E4D61"/>
    <w:rsid w:val="002E68A7"/>
    <w:rsid w:val="002E6E6C"/>
    <w:rsid w:val="002F016E"/>
    <w:rsid w:val="002F0522"/>
    <w:rsid w:val="002F16DD"/>
    <w:rsid w:val="002F199D"/>
    <w:rsid w:val="002F213C"/>
    <w:rsid w:val="002F2453"/>
    <w:rsid w:val="002F352D"/>
    <w:rsid w:val="002F381E"/>
    <w:rsid w:val="002F4084"/>
    <w:rsid w:val="002F4A08"/>
    <w:rsid w:val="002F4ADB"/>
    <w:rsid w:val="002F531E"/>
    <w:rsid w:val="002F548D"/>
    <w:rsid w:val="002F5ACC"/>
    <w:rsid w:val="002F704B"/>
    <w:rsid w:val="002F72C3"/>
    <w:rsid w:val="002F768C"/>
    <w:rsid w:val="002F7D1E"/>
    <w:rsid w:val="00300201"/>
    <w:rsid w:val="0030025A"/>
    <w:rsid w:val="00302CCB"/>
    <w:rsid w:val="00302EFC"/>
    <w:rsid w:val="00303243"/>
    <w:rsid w:val="00303BCC"/>
    <w:rsid w:val="00303F2B"/>
    <w:rsid w:val="00303F8D"/>
    <w:rsid w:val="00304840"/>
    <w:rsid w:val="0030572D"/>
    <w:rsid w:val="0030586A"/>
    <w:rsid w:val="0030622D"/>
    <w:rsid w:val="00306811"/>
    <w:rsid w:val="00306F32"/>
    <w:rsid w:val="003074C5"/>
    <w:rsid w:val="00307A3C"/>
    <w:rsid w:val="00307FA4"/>
    <w:rsid w:val="00310290"/>
    <w:rsid w:val="00310CC1"/>
    <w:rsid w:val="00312504"/>
    <w:rsid w:val="00312B89"/>
    <w:rsid w:val="00313026"/>
    <w:rsid w:val="00313913"/>
    <w:rsid w:val="0031421F"/>
    <w:rsid w:val="00314B31"/>
    <w:rsid w:val="00315A65"/>
    <w:rsid w:val="003165D7"/>
    <w:rsid w:val="00317BA7"/>
    <w:rsid w:val="00320BE2"/>
    <w:rsid w:val="00321886"/>
    <w:rsid w:val="00321EDC"/>
    <w:rsid w:val="00323694"/>
    <w:rsid w:val="00323BE7"/>
    <w:rsid w:val="00324C3A"/>
    <w:rsid w:val="00324D63"/>
    <w:rsid w:val="003255AF"/>
    <w:rsid w:val="003256EB"/>
    <w:rsid w:val="003259DB"/>
    <w:rsid w:val="00327E56"/>
    <w:rsid w:val="003314D9"/>
    <w:rsid w:val="00331653"/>
    <w:rsid w:val="00331A48"/>
    <w:rsid w:val="00331BCC"/>
    <w:rsid w:val="003330C9"/>
    <w:rsid w:val="0033364C"/>
    <w:rsid w:val="00334415"/>
    <w:rsid w:val="00335EA1"/>
    <w:rsid w:val="0033691E"/>
    <w:rsid w:val="00336A6A"/>
    <w:rsid w:val="00336CCB"/>
    <w:rsid w:val="003411D1"/>
    <w:rsid w:val="003416BA"/>
    <w:rsid w:val="00342148"/>
    <w:rsid w:val="00342E38"/>
    <w:rsid w:val="00342F99"/>
    <w:rsid w:val="0034575A"/>
    <w:rsid w:val="00345F57"/>
    <w:rsid w:val="00346A51"/>
    <w:rsid w:val="0034727B"/>
    <w:rsid w:val="00350458"/>
    <w:rsid w:val="00350E6C"/>
    <w:rsid w:val="003518A6"/>
    <w:rsid w:val="00351E7F"/>
    <w:rsid w:val="00352953"/>
    <w:rsid w:val="00354062"/>
    <w:rsid w:val="0035459E"/>
    <w:rsid w:val="00355C0D"/>
    <w:rsid w:val="003566A9"/>
    <w:rsid w:val="00356988"/>
    <w:rsid w:val="003569D3"/>
    <w:rsid w:val="00356CE9"/>
    <w:rsid w:val="003570BB"/>
    <w:rsid w:val="00357128"/>
    <w:rsid w:val="0035755E"/>
    <w:rsid w:val="00357A80"/>
    <w:rsid w:val="00361441"/>
    <w:rsid w:val="00361B8B"/>
    <w:rsid w:val="00363F39"/>
    <w:rsid w:val="003640FC"/>
    <w:rsid w:val="0036445C"/>
    <w:rsid w:val="00364627"/>
    <w:rsid w:val="00364AB0"/>
    <w:rsid w:val="00364D71"/>
    <w:rsid w:val="00365579"/>
    <w:rsid w:val="003667B0"/>
    <w:rsid w:val="003667DD"/>
    <w:rsid w:val="00366B48"/>
    <w:rsid w:val="00367764"/>
    <w:rsid w:val="00370316"/>
    <w:rsid w:val="00370DC7"/>
    <w:rsid w:val="00371CBD"/>
    <w:rsid w:val="00371F20"/>
    <w:rsid w:val="003721E3"/>
    <w:rsid w:val="00372B98"/>
    <w:rsid w:val="003737B7"/>
    <w:rsid w:val="0037392D"/>
    <w:rsid w:val="003739D4"/>
    <w:rsid w:val="003740CC"/>
    <w:rsid w:val="003745F4"/>
    <w:rsid w:val="0037491A"/>
    <w:rsid w:val="00374E79"/>
    <w:rsid w:val="0037529A"/>
    <w:rsid w:val="00375388"/>
    <w:rsid w:val="00375559"/>
    <w:rsid w:val="00375FB9"/>
    <w:rsid w:val="00376170"/>
    <w:rsid w:val="00376851"/>
    <w:rsid w:val="00376FA2"/>
    <w:rsid w:val="00377133"/>
    <w:rsid w:val="00377A3B"/>
    <w:rsid w:val="00377E3C"/>
    <w:rsid w:val="00380874"/>
    <w:rsid w:val="00380BBE"/>
    <w:rsid w:val="00381D70"/>
    <w:rsid w:val="0038235E"/>
    <w:rsid w:val="003829D0"/>
    <w:rsid w:val="0038326A"/>
    <w:rsid w:val="0038444F"/>
    <w:rsid w:val="003861F0"/>
    <w:rsid w:val="00387051"/>
    <w:rsid w:val="00387ECF"/>
    <w:rsid w:val="0039021B"/>
    <w:rsid w:val="003903F7"/>
    <w:rsid w:val="00390429"/>
    <w:rsid w:val="00390666"/>
    <w:rsid w:val="003906A0"/>
    <w:rsid w:val="00391E03"/>
    <w:rsid w:val="003931AF"/>
    <w:rsid w:val="0039366C"/>
    <w:rsid w:val="00393EC8"/>
    <w:rsid w:val="00395E42"/>
    <w:rsid w:val="00396409"/>
    <w:rsid w:val="00396A2D"/>
    <w:rsid w:val="00396FC3"/>
    <w:rsid w:val="003A1A94"/>
    <w:rsid w:val="003A204E"/>
    <w:rsid w:val="003A2D25"/>
    <w:rsid w:val="003A5728"/>
    <w:rsid w:val="003A60AB"/>
    <w:rsid w:val="003A60E7"/>
    <w:rsid w:val="003A7092"/>
    <w:rsid w:val="003A72A1"/>
    <w:rsid w:val="003A7611"/>
    <w:rsid w:val="003A7D1F"/>
    <w:rsid w:val="003B0A61"/>
    <w:rsid w:val="003B0B6A"/>
    <w:rsid w:val="003B22F7"/>
    <w:rsid w:val="003B29CF"/>
    <w:rsid w:val="003B3A90"/>
    <w:rsid w:val="003B3D01"/>
    <w:rsid w:val="003B534F"/>
    <w:rsid w:val="003B751E"/>
    <w:rsid w:val="003B7A79"/>
    <w:rsid w:val="003C0659"/>
    <w:rsid w:val="003C0FE1"/>
    <w:rsid w:val="003C151A"/>
    <w:rsid w:val="003C350C"/>
    <w:rsid w:val="003C3903"/>
    <w:rsid w:val="003C3BA0"/>
    <w:rsid w:val="003C4580"/>
    <w:rsid w:val="003C5658"/>
    <w:rsid w:val="003C5C5E"/>
    <w:rsid w:val="003C6746"/>
    <w:rsid w:val="003C7555"/>
    <w:rsid w:val="003C7898"/>
    <w:rsid w:val="003C7B16"/>
    <w:rsid w:val="003D0FF5"/>
    <w:rsid w:val="003D104E"/>
    <w:rsid w:val="003D11A3"/>
    <w:rsid w:val="003D1537"/>
    <w:rsid w:val="003D183C"/>
    <w:rsid w:val="003D2D1B"/>
    <w:rsid w:val="003D48C7"/>
    <w:rsid w:val="003D4C27"/>
    <w:rsid w:val="003D7109"/>
    <w:rsid w:val="003D7C75"/>
    <w:rsid w:val="003D7CE8"/>
    <w:rsid w:val="003E0514"/>
    <w:rsid w:val="003E1032"/>
    <w:rsid w:val="003E12C8"/>
    <w:rsid w:val="003E1904"/>
    <w:rsid w:val="003E1E29"/>
    <w:rsid w:val="003E285E"/>
    <w:rsid w:val="003E3124"/>
    <w:rsid w:val="003E3300"/>
    <w:rsid w:val="003E43D3"/>
    <w:rsid w:val="003E458E"/>
    <w:rsid w:val="003E48E1"/>
    <w:rsid w:val="003E50F4"/>
    <w:rsid w:val="003E59BB"/>
    <w:rsid w:val="003E6225"/>
    <w:rsid w:val="003E65AC"/>
    <w:rsid w:val="003E66AE"/>
    <w:rsid w:val="003E72B9"/>
    <w:rsid w:val="003E7612"/>
    <w:rsid w:val="003E7ED4"/>
    <w:rsid w:val="003F0E52"/>
    <w:rsid w:val="003F0F6B"/>
    <w:rsid w:val="003F1FC6"/>
    <w:rsid w:val="003F1FE3"/>
    <w:rsid w:val="003F2359"/>
    <w:rsid w:val="003F3232"/>
    <w:rsid w:val="003F3865"/>
    <w:rsid w:val="003F38AC"/>
    <w:rsid w:val="003F3D55"/>
    <w:rsid w:val="003F44E2"/>
    <w:rsid w:val="003F4632"/>
    <w:rsid w:val="003F47BA"/>
    <w:rsid w:val="003F4FE6"/>
    <w:rsid w:val="003F5638"/>
    <w:rsid w:val="003F59E9"/>
    <w:rsid w:val="003F6617"/>
    <w:rsid w:val="00402332"/>
    <w:rsid w:val="004025C2"/>
    <w:rsid w:val="00403195"/>
    <w:rsid w:val="004033A9"/>
    <w:rsid w:val="00403E55"/>
    <w:rsid w:val="0040407C"/>
    <w:rsid w:val="0040416C"/>
    <w:rsid w:val="00404681"/>
    <w:rsid w:val="00405445"/>
    <w:rsid w:val="00405AC1"/>
    <w:rsid w:val="00406923"/>
    <w:rsid w:val="00407198"/>
    <w:rsid w:val="0040763D"/>
    <w:rsid w:val="00410D17"/>
    <w:rsid w:val="00410EBA"/>
    <w:rsid w:val="00412039"/>
    <w:rsid w:val="004127AF"/>
    <w:rsid w:val="00412AA9"/>
    <w:rsid w:val="00413442"/>
    <w:rsid w:val="00413821"/>
    <w:rsid w:val="00413BA5"/>
    <w:rsid w:val="004141A3"/>
    <w:rsid w:val="0041421A"/>
    <w:rsid w:val="00414909"/>
    <w:rsid w:val="0041582F"/>
    <w:rsid w:val="00416112"/>
    <w:rsid w:val="00417AE0"/>
    <w:rsid w:val="00417BAA"/>
    <w:rsid w:val="0042042B"/>
    <w:rsid w:val="00420B45"/>
    <w:rsid w:val="00420D7A"/>
    <w:rsid w:val="00421257"/>
    <w:rsid w:val="00422193"/>
    <w:rsid w:val="004223DE"/>
    <w:rsid w:val="00422A10"/>
    <w:rsid w:val="00424D17"/>
    <w:rsid w:val="00425DFD"/>
    <w:rsid w:val="004263A3"/>
    <w:rsid w:val="00427713"/>
    <w:rsid w:val="00427CCC"/>
    <w:rsid w:val="0043013A"/>
    <w:rsid w:val="00430421"/>
    <w:rsid w:val="00430A36"/>
    <w:rsid w:val="00430B4F"/>
    <w:rsid w:val="00431084"/>
    <w:rsid w:val="004310D7"/>
    <w:rsid w:val="004322D6"/>
    <w:rsid w:val="00432589"/>
    <w:rsid w:val="00432A94"/>
    <w:rsid w:val="00432C95"/>
    <w:rsid w:val="00433827"/>
    <w:rsid w:val="00433A40"/>
    <w:rsid w:val="00434B70"/>
    <w:rsid w:val="00435779"/>
    <w:rsid w:val="004360C8"/>
    <w:rsid w:val="00436823"/>
    <w:rsid w:val="004371D5"/>
    <w:rsid w:val="0044006B"/>
    <w:rsid w:val="0044033F"/>
    <w:rsid w:val="00440630"/>
    <w:rsid w:val="00440B89"/>
    <w:rsid w:val="00441F0F"/>
    <w:rsid w:val="00442965"/>
    <w:rsid w:val="004432B1"/>
    <w:rsid w:val="004432B6"/>
    <w:rsid w:val="00444157"/>
    <w:rsid w:val="0044417C"/>
    <w:rsid w:val="0044433F"/>
    <w:rsid w:val="00444DB3"/>
    <w:rsid w:val="00445617"/>
    <w:rsid w:val="00445A2F"/>
    <w:rsid w:val="0044684E"/>
    <w:rsid w:val="00446F22"/>
    <w:rsid w:val="0045019F"/>
    <w:rsid w:val="00450320"/>
    <w:rsid w:val="004503A4"/>
    <w:rsid w:val="0045052E"/>
    <w:rsid w:val="00450555"/>
    <w:rsid w:val="004506FA"/>
    <w:rsid w:val="00450DC6"/>
    <w:rsid w:val="004516A5"/>
    <w:rsid w:val="00451753"/>
    <w:rsid w:val="00451E9C"/>
    <w:rsid w:val="0045226B"/>
    <w:rsid w:val="0045280F"/>
    <w:rsid w:val="004535AE"/>
    <w:rsid w:val="0045444D"/>
    <w:rsid w:val="0045463A"/>
    <w:rsid w:val="00454AC9"/>
    <w:rsid w:val="00455050"/>
    <w:rsid w:val="004554A3"/>
    <w:rsid w:val="00455A6E"/>
    <w:rsid w:val="00455EAD"/>
    <w:rsid w:val="004578EB"/>
    <w:rsid w:val="004604D5"/>
    <w:rsid w:val="00460697"/>
    <w:rsid w:val="0046117B"/>
    <w:rsid w:val="00461FC2"/>
    <w:rsid w:val="004639AD"/>
    <w:rsid w:val="00464AB7"/>
    <w:rsid w:val="00465DE5"/>
    <w:rsid w:val="00467EF8"/>
    <w:rsid w:val="00472429"/>
    <w:rsid w:val="004725E5"/>
    <w:rsid w:val="00472751"/>
    <w:rsid w:val="00473128"/>
    <w:rsid w:val="00475078"/>
    <w:rsid w:val="00475767"/>
    <w:rsid w:val="004761F7"/>
    <w:rsid w:val="004779A0"/>
    <w:rsid w:val="004808E3"/>
    <w:rsid w:val="00481016"/>
    <w:rsid w:val="0048204C"/>
    <w:rsid w:val="004821BB"/>
    <w:rsid w:val="0048237A"/>
    <w:rsid w:val="00482698"/>
    <w:rsid w:val="004826FE"/>
    <w:rsid w:val="004827D5"/>
    <w:rsid w:val="00482AF2"/>
    <w:rsid w:val="004830C9"/>
    <w:rsid w:val="00483347"/>
    <w:rsid w:val="00483E2E"/>
    <w:rsid w:val="00484B69"/>
    <w:rsid w:val="00485406"/>
    <w:rsid w:val="0048590F"/>
    <w:rsid w:val="00486D60"/>
    <w:rsid w:val="00491049"/>
    <w:rsid w:val="00491FA1"/>
    <w:rsid w:val="00492A25"/>
    <w:rsid w:val="004938A3"/>
    <w:rsid w:val="0049558B"/>
    <w:rsid w:val="00496350"/>
    <w:rsid w:val="0049797C"/>
    <w:rsid w:val="004A0DAD"/>
    <w:rsid w:val="004A1405"/>
    <w:rsid w:val="004A1FC6"/>
    <w:rsid w:val="004A2E5F"/>
    <w:rsid w:val="004A38C2"/>
    <w:rsid w:val="004A3C03"/>
    <w:rsid w:val="004A3DB7"/>
    <w:rsid w:val="004A463B"/>
    <w:rsid w:val="004A5088"/>
    <w:rsid w:val="004A5255"/>
    <w:rsid w:val="004A6CB0"/>
    <w:rsid w:val="004A70FF"/>
    <w:rsid w:val="004A7EDE"/>
    <w:rsid w:val="004B0D93"/>
    <w:rsid w:val="004B1FA4"/>
    <w:rsid w:val="004B23EC"/>
    <w:rsid w:val="004B29AC"/>
    <w:rsid w:val="004B35DF"/>
    <w:rsid w:val="004B3627"/>
    <w:rsid w:val="004B4922"/>
    <w:rsid w:val="004B57DF"/>
    <w:rsid w:val="004B5976"/>
    <w:rsid w:val="004B60F7"/>
    <w:rsid w:val="004B6A0C"/>
    <w:rsid w:val="004B722E"/>
    <w:rsid w:val="004B72E8"/>
    <w:rsid w:val="004C01A5"/>
    <w:rsid w:val="004C0412"/>
    <w:rsid w:val="004C2138"/>
    <w:rsid w:val="004C3940"/>
    <w:rsid w:val="004C51FD"/>
    <w:rsid w:val="004C65A8"/>
    <w:rsid w:val="004C6689"/>
    <w:rsid w:val="004C691F"/>
    <w:rsid w:val="004D139A"/>
    <w:rsid w:val="004D14DC"/>
    <w:rsid w:val="004D17C6"/>
    <w:rsid w:val="004D2858"/>
    <w:rsid w:val="004D2E49"/>
    <w:rsid w:val="004D35BA"/>
    <w:rsid w:val="004D38E5"/>
    <w:rsid w:val="004D3C5A"/>
    <w:rsid w:val="004D449A"/>
    <w:rsid w:val="004D4701"/>
    <w:rsid w:val="004D47C7"/>
    <w:rsid w:val="004D4AD8"/>
    <w:rsid w:val="004D4B2B"/>
    <w:rsid w:val="004D4F35"/>
    <w:rsid w:val="004D51EE"/>
    <w:rsid w:val="004D5D45"/>
    <w:rsid w:val="004D618D"/>
    <w:rsid w:val="004D62A9"/>
    <w:rsid w:val="004D6FC3"/>
    <w:rsid w:val="004D7476"/>
    <w:rsid w:val="004D7716"/>
    <w:rsid w:val="004E0306"/>
    <w:rsid w:val="004E0572"/>
    <w:rsid w:val="004E1641"/>
    <w:rsid w:val="004E1686"/>
    <w:rsid w:val="004E1818"/>
    <w:rsid w:val="004E1990"/>
    <w:rsid w:val="004E25A8"/>
    <w:rsid w:val="004E3930"/>
    <w:rsid w:val="004E3ED9"/>
    <w:rsid w:val="004E5866"/>
    <w:rsid w:val="004E6097"/>
    <w:rsid w:val="004E61EF"/>
    <w:rsid w:val="004E63C6"/>
    <w:rsid w:val="004E67AC"/>
    <w:rsid w:val="004E76A7"/>
    <w:rsid w:val="004E7B03"/>
    <w:rsid w:val="004F0064"/>
    <w:rsid w:val="004F06AC"/>
    <w:rsid w:val="004F0E50"/>
    <w:rsid w:val="004F1D2A"/>
    <w:rsid w:val="004F243F"/>
    <w:rsid w:val="004F252C"/>
    <w:rsid w:val="004F36A3"/>
    <w:rsid w:val="004F3E0C"/>
    <w:rsid w:val="004F4308"/>
    <w:rsid w:val="004F7160"/>
    <w:rsid w:val="00500258"/>
    <w:rsid w:val="00500B2D"/>
    <w:rsid w:val="00501A99"/>
    <w:rsid w:val="00503180"/>
    <w:rsid w:val="005038A4"/>
    <w:rsid w:val="00505450"/>
    <w:rsid w:val="005100B7"/>
    <w:rsid w:val="005105DE"/>
    <w:rsid w:val="005113C9"/>
    <w:rsid w:val="00512050"/>
    <w:rsid w:val="00512055"/>
    <w:rsid w:val="0051280C"/>
    <w:rsid w:val="00512842"/>
    <w:rsid w:val="005128BE"/>
    <w:rsid w:val="0051356F"/>
    <w:rsid w:val="00513E7C"/>
    <w:rsid w:val="005140BB"/>
    <w:rsid w:val="005142C6"/>
    <w:rsid w:val="00514FBE"/>
    <w:rsid w:val="00514FD9"/>
    <w:rsid w:val="0051550A"/>
    <w:rsid w:val="0051608F"/>
    <w:rsid w:val="00516480"/>
    <w:rsid w:val="00520815"/>
    <w:rsid w:val="00520843"/>
    <w:rsid w:val="00520EF8"/>
    <w:rsid w:val="005210F7"/>
    <w:rsid w:val="00521753"/>
    <w:rsid w:val="00521F1C"/>
    <w:rsid w:val="0052239D"/>
    <w:rsid w:val="005224EE"/>
    <w:rsid w:val="00522879"/>
    <w:rsid w:val="00523BB1"/>
    <w:rsid w:val="00524B23"/>
    <w:rsid w:val="0052570E"/>
    <w:rsid w:val="005260CD"/>
    <w:rsid w:val="00526265"/>
    <w:rsid w:val="0052655D"/>
    <w:rsid w:val="005265E0"/>
    <w:rsid w:val="00526BC3"/>
    <w:rsid w:val="00531761"/>
    <w:rsid w:val="0053248F"/>
    <w:rsid w:val="00532561"/>
    <w:rsid w:val="005327AB"/>
    <w:rsid w:val="00532AB8"/>
    <w:rsid w:val="00532D98"/>
    <w:rsid w:val="0053332A"/>
    <w:rsid w:val="0053358A"/>
    <w:rsid w:val="00534668"/>
    <w:rsid w:val="00534DDD"/>
    <w:rsid w:val="00535291"/>
    <w:rsid w:val="00535A94"/>
    <w:rsid w:val="00537874"/>
    <w:rsid w:val="0053795F"/>
    <w:rsid w:val="00537D3D"/>
    <w:rsid w:val="00540511"/>
    <w:rsid w:val="00540578"/>
    <w:rsid w:val="00540808"/>
    <w:rsid w:val="0054080E"/>
    <w:rsid w:val="00540D1A"/>
    <w:rsid w:val="00540EA1"/>
    <w:rsid w:val="00541E5A"/>
    <w:rsid w:val="0054358E"/>
    <w:rsid w:val="00543AF4"/>
    <w:rsid w:val="00543F53"/>
    <w:rsid w:val="00544191"/>
    <w:rsid w:val="0054440C"/>
    <w:rsid w:val="005448EC"/>
    <w:rsid w:val="00544C0A"/>
    <w:rsid w:val="00544F39"/>
    <w:rsid w:val="005457FB"/>
    <w:rsid w:val="005458CD"/>
    <w:rsid w:val="00546F90"/>
    <w:rsid w:val="00547EFB"/>
    <w:rsid w:val="005522F2"/>
    <w:rsid w:val="005531DF"/>
    <w:rsid w:val="00553874"/>
    <w:rsid w:val="00554577"/>
    <w:rsid w:val="00554AD8"/>
    <w:rsid w:val="00554F78"/>
    <w:rsid w:val="00555DA1"/>
    <w:rsid w:val="00556366"/>
    <w:rsid w:val="005565DF"/>
    <w:rsid w:val="00556BF7"/>
    <w:rsid w:val="00556E53"/>
    <w:rsid w:val="00557F60"/>
    <w:rsid w:val="00561730"/>
    <w:rsid w:val="00561B97"/>
    <w:rsid w:val="00562149"/>
    <w:rsid w:val="005640EB"/>
    <w:rsid w:val="00567B5D"/>
    <w:rsid w:val="00570757"/>
    <w:rsid w:val="00573733"/>
    <w:rsid w:val="00573F8B"/>
    <w:rsid w:val="00574528"/>
    <w:rsid w:val="00574554"/>
    <w:rsid w:val="00574737"/>
    <w:rsid w:val="00574E06"/>
    <w:rsid w:val="005751BB"/>
    <w:rsid w:val="00576089"/>
    <w:rsid w:val="00576415"/>
    <w:rsid w:val="005764B1"/>
    <w:rsid w:val="00576852"/>
    <w:rsid w:val="00576D06"/>
    <w:rsid w:val="005779E4"/>
    <w:rsid w:val="00577A03"/>
    <w:rsid w:val="00580EC7"/>
    <w:rsid w:val="0058283D"/>
    <w:rsid w:val="0058289C"/>
    <w:rsid w:val="005835A5"/>
    <w:rsid w:val="005836C7"/>
    <w:rsid w:val="0058408E"/>
    <w:rsid w:val="00585374"/>
    <w:rsid w:val="005854CA"/>
    <w:rsid w:val="00585FAB"/>
    <w:rsid w:val="005901F7"/>
    <w:rsid w:val="00590B77"/>
    <w:rsid w:val="00590D9A"/>
    <w:rsid w:val="005913A3"/>
    <w:rsid w:val="005940D4"/>
    <w:rsid w:val="00594A7B"/>
    <w:rsid w:val="0059580E"/>
    <w:rsid w:val="00595D90"/>
    <w:rsid w:val="00596A6F"/>
    <w:rsid w:val="00596D75"/>
    <w:rsid w:val="00596FCE"/>
    <w:rsid w:val="005A11BC"/>
    <w:rsid w:val="005A11CC"/>
    <w:rsid w:val="005A1525"/>
    <w:rsid w:val="005A1E17"/>
    <w:rsid w:val="005A24EF"/>
    <w:rsid w:val="005A252B"/>
    <w:rsid w:val="005A2A8F"/>
    <w:rsid w:val="005A2FDF"/>
    <w:rsid w:val="005A3204"/>
    <w:rsid w:val="005A3341"/>
    <w:rsid w:val="005A3C3D"/>
    <w:rsid w:val="005A46EC"/>
    <w:rsid w:val="005A5EAE"/>
    <w:rsid w:val="005A6407"/>
    <w:rsid w:val="005A726C"/>
    <w:rsid w:val="005B07EC"/>
    <w:rsid w:val="005B2B11"/>
    <w:rsid w:val="005B32A4"/>
    <w:rsid w:val="005B3371"/>
    <w:rsid w:val="005B338D"/>
    <w:rsid w:val="005B33A1"/>
    <w:rsid w:val="005B3852"/>
    <w:rsid w:val="005B3BAF"/>
    <w:rsid w:val="005B4DA3"/>
    <w:rsid w:val="005B5BEE"/>
    <w:rsid w:val="005B77D2"/>
    <w:rsid w:val="005C019B"/>
    <w:rsid w:val="005C08D0"/>
    <w:rsid w:val="005C1AED"/>
    <w:rsid w:val="005C2136"/>
    <w:rsid w:val="005C2D8A"/>
    <w:rsid w:val="005C30F5"/>
    <w:rsid w:val="005C51A5"/>
    <w:rsid w:val="005C557A"/>
    <w:rsid w:val="005C566F"/>
    <w:rsid w:val="005C5C47"/>
    <w:rsid w:val="005C61DD"/>
    <w:rsid w:val="005C6438"/>
    <w:rsid w:val="005C6B8B"/>
    <w:rsid w:val="005C727F"/>
    <w:rsid w:val="005D02E3"/>
    <w:rsid w:val="005D1F34"/>
    <w:rsid w:val="005D2C1F"/>
    <w:rsid w:val="005D34B2"/>
    <w:rsid w:val="005D3B54"/>
    <w:rsid w:val="005D40CD"/>
    <w:rsid w:val="005D6B59"/>
    <w:rsid w:val="005D784B"/>
    <w:rsid w:val="005E03E4"/>
    <w:rsid w:val="005E0454"/>
    <w:rsid w:val="005E05F6"/>
    <w:rsid w:val="005E2442"/>
    <w:rsid w:val="005E3111"/>
    <w:rsid w:val="005E3CA0"/>
    <w:rsid w:val="005E3F85"/>
    <w:rsid w:val="005E4A5F"/>
    <w:rsid w:val="005E57B0"/>
    <w:rsid w:val="005E5B01"/>
    <w:rsid w:val="005E6D3B"/>
    <w:rsid w:val="005F009E"/>
    <w:rsid w:val="005F0DF1"/>
    <w:rsid w:val="005F1516"/>
    <w:rsid w:val="005F229E"/>
    <w:rsid w:val="005F2564"/>
    <w:rsid w:val="005F3822"/>
    <w:rsid w:val="005F4635"/>
    <w:rsid w:val="005F4900"/>
    <w:rsid w:val="005F4E52"/>
    <w:rsid w:val="005F572D"/>
    <w:rsid w:val="005F6181"/>
    <w:rsid w:val="005F6338"/>
    <w:rsid w:val="005F6D58"/>
    <w:rsid w:val="005F7383"/>
    <w:rsid w:val="0060058E"/>
    <w:rsid w:val="00602A3C"/>
    <w:rsid w:val="00603EFD"/>
    <w:rsid w:val="0060475B"/>
    <w:rsid w:val="00604BED"/>
    <w:rsid w:val="00604FB6"/>
    <w:rsid w:val="00605387"/>
    <w:rsid w:val="00606302"/>
    <w:rsid w:val="00606D8C"/>
    <w:rsid w:val="006076FD"/>
    <w:rsid w:val="0061143F"/>
    <w:rsid w:val="006114D8"/>
    <w:rsid w:val="00613553"/>
    <w:rsid w:val="00613601"/>
    <w:rsid w:val="00613791"/>
    <w:rsid w:val="00614AF6"/>
    <w:rsid w:val="006150D6"/>
    <w:rsid w:val="00615245"/>
    <w:rsid w:val="0061590D"/>
    <w:rsid w:val="0061732A"/>
    <w:rsid w:val="00617EEE"/>
    <w:rsid w:val="00620A1F"/>
    <w:rsid w:val="0062169D"/>
    <w:rsid w:val="0062181E"/>
    <w:rsid w:val="0062211B"/>
    <w:rsid w:val="00622BB7"/>
    <w:rsid w:val="00622C1E"/>
    <w:rsid w:val="00623389"/>
    <w:rsid w:val="00623DAA"/>
    <w:rsid w:val="00623FAF"/>
    <w:rsid w:val="006265C4"/>
    <w:rsid w:val="0062670C"/>
    <w:rsid w:val="0062678A"/>
    <w:rsid w:val="006270AF"/>
    <w:rsid w:val="006311E2"/>
    <w:rsid w:val="00633C69"/>
    <w:rsid w:val="00634367"/>
    <w:rsid w:val="006359B3"/>
    <w:rsid w:val="00640082"/>
    <w:rsid w:val="00640291"/>
    <w:rsid w:val="00640EFE"/>
    <w:rsid w:val="00641D6D"/>
    <w:rsid w:val="00641FAC"/>
    <w:rsid w:val="00643664"/>
    <w:rsid w:val="00643CAA"/>
    <w:rsid w:val="00644F16"/>
    <w:rsid w:val="006453F1"/>
    <w:rsid w:val="006455EB"/>
    <w:rsid w:val="006456C2"/>
    <w:rsid w:val="00645A65"/>
    <w:rsid w:val="006477F0"/>
    <w:rsid w:val="006478E4"/>
    <w:rsid w:val="0065171A"/>
    <w:rsid w:val="00652680"/>
    <w:rsid w:val="00652E4A"/>
    <w:rsid w:val="00653CDE"/>
    <w:rsid w:val="00654585"/>
    <w:rsid w:val="0065566E"/>
    <w:rsid w:val="00655AB6"/>
    <w:rsid w:val="00656061"/>
    <w:rsid w:val="00656281"/>
    <w:rsid w:val="0065636A"/>
    <w:rsid w:val="00657003"/>
    <w:rsid w:val="00660238"/>
    <w:rsid w:val="006602EF"/>
    <w:rsid w:val="00661277"/>
    <w:rsid w:val="006619E0"/>
    <w:rsid w:val="00663AE1"/>
    <w:rsid w:val="00663FEA"/>
    <w:rsid w:val="00664803"/>
    <w:rsid w:val="006657C5"/>
    <w:rsid w:val="006661A4"/>
    <w:rsid w:val="00666AC0"/>
    <w:rsid w:val="006670E0"/>
    <w:rsid w:val="006671B8"/>
    <w:rsid w:val="00667275"/>
    <w:rsid w:val="00667532"/>
    <w:rsid w:val="0066783E"/>
    <w:rsid w:val="00667E53"/>
    <w:rsid w:val="006711C4"/>
    <w:rsid w:val="006713AB"/>
    <w:rsid w:val="00672CA5"/>
    <w:rsid w:val="00673711"/>
    <w:rsid w:val="00673F82"/>
    <w:rsid w:val="00674F74"/>
    <w:rsid w:val="0067508F"/>
    <w:rsid w:val="00677576"/>
    <w:rsid w:val="0068051E"/>
    <w:rsid w:val="00680B9D"/>
    <w:rsid w:val="00681F13"/>
    <w:rsid w:val="0068231C"/>
    <w:rsid w:val="00682344"/>
    <w:rsid w:val="00682F28"/>
    <w:rsid w:val="00683515"/>
    <w:rsid w:val="00684842"/>
    <w:rsid w:val="006859AA"/>
    <w:rsid w:val="00685BD6"/>
    <w:rsid w:val="00687116"/>
    <w:rsid w:val="006878A6"/>
    <w:rsid w:val="00687D5F"/>
    <w:rsid w:val="00690022"/>
    <w:rsid w:val="00690437"/>
    <w:rsid w:val="00690679"/>
    <w:rsid w:val="00690DC3"/>
    <w:rsid w:val="00690E65"/>
    <w:rsid w:val="00690FB5"/>
    <w:rsid w:val="006911B7"/>
    <w:rsid w:val="00691387"/>
    <w:rsid w:val="0069188E"/>
    <w:rsid w:val="00691974"/>
    <w:rsid w:val="00692BF6"/>
    <w:rsid w:val="00692CE6"/>
    <w:rsid w:val="00693186"/>
    <w:rsid w:val="00693381"/>
    <w:rsid w:val="00693B6C"/>
    <w:rsid w:val="006942AE"/>
    <w:rsid w:val="00695421"/>
    <w:rsid w:val="006956FF"/>
    <w:rsid w:val="00697BD3"/>
    <w:rsid w:val="00697DFA"/>
    <w:rsid w:val="006A16D5"/>
    <w:rsid w:val="006A1772"/>
    <w:rsid w:val="006A1780"/>
    <w:rsid w:val="006A21DD"/>
    <w:rsid w:val="006A26C6"/>
    <w:rsid w:val="006A3302"/>
    <w:rsid w:val="006A3B28"/>
    <w:rsid w:val="006A418C"/>
    <w:rsid w:val="006A4FEE"/>
    <w:rsid w:val="006A5549"/>
    <w:rsid w:val="006A703E"/>
    <w:rsid w:val="006A7BE3"/>
    <w:rsid w:val="006A7D32"/>
    <w:rsid w:val="006B01D1"/>
    <w:rsid w:val="006B0DF4"/>
    <w:rsid w:val="006B16EA"/>
    <w:rsid w:val="006B1780"/>
    <w:rsid w:val="006B224E"/>
    <w:rsid w:val="006B376E"/>
    <w:rsid w:val="006B4589"/>
    <w:rsid w:val="006B4A81"/>
    <w:rsid w:val="006B5157"/>
    <w:rsid w:val="006B610E"/>
    <w:rsid w:val="006B6805"/>
    <w:rsid w:val="006B6C07"/>
    <w:rsid w:val="006B6DE0"/>
    <w:rsid w:val="006C0132"/>
    <w:rsid w:val="006C16C3"/>
    <w:rsid w:val="006C2187"/>
    <w:rsid w:val="006C32F4"/>
    <w:rsid w:val="006C3C54"/>
    <w:rsid w:val="006C4B6B"/>
    <w:rsid w:val="006C4CE1"/>
    <w:rsid w:val="006C4F9F"/>
    <w:rsid w:val="006C653C"/>
    <w:rsid w:val="006C71A2"/>
    <w:rsid w:val="006C73EC"/>
    <w:rsid w:val="006C7E3D"/>
    <w:rsid w:val="006D0C1D"/>
    <w:rsid w:val="006D2E9D"/>
    <w:rsid w:val="006D4A4E"/>
    <w:rsid w:val="006D4C42"/>
    <w:rsid w:val="006D5389"/>
    <w:rsid w:val="006D53A2"/>
    <w:rsid w:val="006D5809"/>
    <w:rsid w:val="006D607E"/>
    <w:rsid w:val="006D6E12"/>
    <w:rsid w:val="006D70CB"/>
    <w:rsid w:val="006D715C"/>
    <w:rsid w:val="006D7363"/>
    <w:rsid w:val="006D774E"/>
    <w:rsid w:val="006E0754"/>
    <w:rsid w:val="006E2668"/>
    <w:rsid w:val="006E2D39"/>
    <w:rsid w:val="006E2D63"/>
    <w:rsid w:val="006E32B0"/>
    <w:rsid w:val="006E348E"/>
    <w:rsid w:val="006E396A"/>
    <w:rsid w:val="006E3D63"/>
    <w:rsid w:val="006E585E"/>
    <w:rsid w:val="006E58BF"/>
    <w:rsid w:val="006E5DD8"/>
    <w:rsid w:val="006E5EA1"/>
    <w:rsid w:val="006E6DEE"/>
    <w:rsid w:val="006E7D4B"/>
    <w:rsid w:val="006F0527"/>
    <w:rsid w:val="006F0760"/>
    <w:rsid w:val="006F11E2"/>
    <w:rsid w:val="006F2574"/>
    <w:rsid w:val="006F3231"/>
    <w:rsid w:val="006F3DE3"/>
    <w:rsid w:val="006F4787"/>
    <w:rsid w:val="006F4BE6"/>
    <w:rsid w:val="006F61D8"/>
    <w:rsid w:val="006F62B7"/>
    <w:rsid w:val="006F70BC"/>
    <w:rsid w:val="006F726C"/>
    <w:rsid w:val="006F7E7C"/>
    <w:rsid w:val="0070174E"/>
    <w:rsid w:val="007018DB"/>
    <w:rsid w:val="00701DE6"/>
    <w:rsid w:val="00702740"/>
    <w:rsid w:val="0070381B"/>
    <w:rsid w:val="0070796C"/>
    <w:rsid w:val="007109BB"/>
    <w:rsid w:val="00710EBF"/>
    <w:rsid w:val="007110B8"/>
    <w:rsid w:val="0071209F"/>
    <w:rsid w:val="007121DA"/>
    <w:rsid w:val="007125A2"/>
    <w:rsid w:val="00712656"/>
    <w:rsid w:val="00713DD9"/>
    <w:rsid w:val="00713F79"/>
    <w:rsid w:val="007148A8"/>
    <w:rsid w:val="00716AC8"/>
    <w:rsid w:val="00716E54"/>
    <w:rsid w:val="0072033C"/>
    <w:rsid w:val="00720B1B"/>
    <w:rsid w:val="00720EDC"/>
    <w:rsid w:val="00721062"/>
    <w:rsid w:val="00721E5D"/>
    <w:rsid w:val="007229D4"/>
    <w:rsid w:val="007230F8"/>
    <w:rsid w:val="0072318A"/>
    <w:rsid w:val="007233F4"/>
    <w:rsid w:val="00724044"/>
    <w:rsid w:val="007248D3"/>
    <w:rsid w:val="00724DF8"/>
    <w:rsid w:val="00725137"/>
    <w:rsid w:val="00725378"/>
    <w:rsid w:val="00727A43"/>
    <w:rsid w:val="00727FF2"/>
    <w:rsid w:val="00730550"/>
    <w:rsid w:val="00730C2A"/>
    <w:rsid w:val="00730FB4"/>
    <w:rsid w:val="00731434"/>
    <w:rsid w:val="00731E59"/>
    <w:rsid w:val="00731F63"/>
    <w:rsid w:val="007323E0"/>
    <w:rsid w:val="00732911"/>
    <w:rsid w:val="00732B4E"/>
    <w:rsid w:val="0073360F"/>
    <w:rsid w:val="00733721"/>
    <w:rsid w:val="00733DE2"/>
    <w:rsid w:val="00734142"/>
    <w:rsid w:val="007352EA"/>
    <w:rsid w:val="0073792F"/>
    <w:rsid w:val="00740C81"/>
    <w:rsid w:val="00740DA6"/>
    <w:rsid w:val="00741B4B"/>
    <w:rsid w:val="00741D1E"/>
    <w:rsid w:val="00741DD6"/>
    <w:rsid w:val="00741EE2"/>
    <w:rsid w:val="0074207F"/>
    <w:rsid w:val="00742367"/>
    <w:rsid w:val="00742EAA"/>
    <w:rsid w:val="00743360"/>
    <w:rsid w:val="00743818"/>
    <w:rsid w:val="00743857"/>
    <w:rsid w:val="007441FB"/>
    <w:rsid w:val="00744517"/>
    <w:rsid w:val="0074522A"/>
    <w:rsid w:val="00747295"/>
    <w:rsid w:val="00747386"/>
    <w:rsid w:val="00747829"/>
    <w:rsid w:val="00747DE2"/>
    <w:rsid w:val="007502D0"/>
    <w:rsid w:val="007504BF"/>
    <w:rsid w:val="007506CD"/>
    <w:rsid w:val="0075267F"/>
    <w:rsid w:val="007526EC"/>
    <w:rsid w:val="00753C48"/>
    <w:rsid w:val="00754250"/>
    <w:rsid w:val="00754FE4"/>
    <w:rsid w:val="00755216"/>
    <w:rsid w:val="00756236"/>
    <w:rsid w:val="00756271"/>
    <w:rsid w:val="00756348"/>
    <w:rsid w:val="0075641E"/>
    <w:rsid w:val="00756521"/>
    <w:rsid w:val="00756AB7"/>
    <w:rsid w:val="00757053"/>
    <w:rsid w:val="00757673"/>
    <w:rsid w:val="0076106D"/>
    <w:rsid w:val="007623FB"/>
    <w:rsid w:val="00762517"/>
    <w:rsid w:val="00763240"/>
    <w:rsid w:val="0076354C"/>
    <w:rsid w:val="0076376A"/>
    <w:rsid w:val="007648AD"/>
    <w:rsid w:val="0076504E"/>
    <w:rsid w:val="00767BFD"/>
    <w:rsid w:val="00767EA0"/>
    <w:rsid w:val="0077068F"/>
    <w:rsid w:val="00771EDF"/>
    <w:rsid w:val="00771FEC"/>
    <w:rsid w:val="007724B4"/>
    <w:rsid w:val="00772A90"/>
    <w:rsid w:val="00772F8D"/>
    <w:rsid w:val="0077408D"/>
    <w:rsid w:val="00774270"/>
    <w:rsid w:val="007743F6"/>
    <w:rsid w:val="00775679"/>
    <w:rsid w:val="0077574F"/>
    <w:rsid w:val="00775823"/>
    <w:rsid w:val="00777153"/>
    <w:rsid w:val="007774D0"/>
    <w:rsid w:val="007777CC"/>
    <w:rsid w:val="00777B32"/>
    <w:rsid w:val="0078051E"/>
    <w:rsid w:val="00781089"/>
    <w:rsid w:val="00782B6A"/>
    <w:rsid w:val="007834AD"/>
    <w:rsid w:val="007838F3"/>
    <w:rsid w:val="00785184"/>
    <w:rsid w:val="007856FE"/>
    <w:rsid w:val="00785F46"/>
    <w:rsid w:val="007865F4"/>
    <w:rsid w:val="00786D5C"/>
    <w:rsid w:val="00786E96"/>
    <w:rsid w:val="00787BB6"/>
    <w:rsid w:val="00787DFF"/>
    <w:rsid w:val="00787F93"/>
    <w:rsid w:val="00791E6D"/>
    <w:rsid w:val="00791EB5"/>
    <w:rsid w:val="00793307"/>
    <w:rsid w:val="0079343F"/>
    <w:rsid w:val="00793696"/>
    <w:rsid w:val="007955DA"/>
    <w:rsid w:val="00796F65"/>
    <w:rsid w:val="007A11C2"/>
    <w:rsid w:val="007A18BB"/>
    <w:rsid w:val="007A27DD"/>
    <w:rsid w:val="007A41BF"/>
    <w:rsid w:val="007A490A"/>
    <w:rsid w:val="007A6268"/>
    <w:rsid w:val="007A7B95"/>
    <w:rsid w:val="007B0297"/>
    <w:rsid w:val="007B02FA"/>
    <w:rsid w:val="007B08C7"/>
    <w:rsid w:val="007B0F53"/>
    <w:rsid w:val="007B21AE"/>
    <w:rsid w:val="007B2570"/>
    <w:rsid w:val="007B3113"/>
    <w:rsid w:val="007B3304"/>
    <w:rsid w:val="007B3BF0"/>
    <w:rsid w:val="007B55FE"/>
    <w:rsid w:val="007B7490"/>
    <w:rsid w:val="007C0525"/>
    <w:rsid w:val="007C13F7"/>
    <w:rsid w:val="007C152F"/>
    <w:rsid w:val="007C218D"/>
    <w:rsid w:val="007C2D28"/>
    <w:rsid w:val="007C3E22"/>
    <w:rsid w:val="007C4E19"/>
    <w:rsid w:val="007C58C1"/>
    <w:rsid w:val="007C6218"/>
    <w:rsid w:val="007C6484"/>
    <w:rsid w:val="007C67C6"/>
    <w:rsid w:val="007C78BE"/>
    <w:rsid w:val="007C7A5D"/>
    <w:rsid w:val="007C7E59"/>
    <w:rsid w:val="007D0476"/>
    <w:rsid w:val="007D0B91"/>
    <w:rsid w:val="007D1452"/>
    <w:rsid w:val="007D1563"/>
    <w:rsid w:val="007D3DCB"/>
    <w:rsid w:val="007D460C"/>
    <w:rsid w:val="007D4996"/>
    <w:rsid w:val="007D4AD3"/>
    <w:rsid w:val="007D4B4D"/>
    <w:rsid w:val="007D5D19"/>
    <w:rsid w:val="007D5FDC"/>
    <w:rsid w:val="007D6176"/>
    <w:rsid w:val="007D69CD"/>
    <w:rsid w:val="007D6D68"/>
    <w:rsid w:val="007E1D01"/>
    <w:rsid w:val="007E32DA"/>
    <w:rsid w:val="007E4998"/>
    <w:rsid w:val="007E4A9C"/>
    <w:rsid w:val="007E6914"/>
    <w:rsid w:val="007E7F78"/>
    <w:rsid w:val="007F0179"/>
    <w:rsid w:val="007F2C13"/>
    <w:rsid w:val="007F2CEC"/>
    <w:rsid w:val="007F3327"/>
    <w:rsid w:val="007F3435"/>
    <w:rsid w:val="007F531B"/>
    <w:rsid w:val="007F55DE"/>
    <w:rsid w:val="007F762D"/>
    <w:rsid w:val="007F78F0"/>
    <w:rsid w:val="007F78FF"/>
    <w:rsid w:val="008001C5"/>
    <w:rsid w:val="00800F6C"/>
    <w:rsid w:val="00801065"/>
    <w:rsid w:val="00802C0B"/>
    <w:rsid w:val="00805040"/>
    <w:rsid w:val="008051FC"/>
    <w:rsid w:val="008055A9"/>
    <w:rsid w:val="008056C4"/>
    <w:rsid w:val="008057FD"/>
    <w:rsid w:val="00805D8B"/>
    <w:rsid w:val="0081010F"/>
    <w:rsid w:val="00810A0B"/>
    <w:rsid w:val="00810BB6"/>
    <w:rsid w:val="00810E1F"/>
    <w:rsid w:val="00810E8E"/>
    <w:rsid w:val="00812C44"/>
    <w:rsid w:val="008135E1"/>
    <w:rsid w:val="00813779"/>
    <w:rsid w:val="00813E26"/>
    <w:rsid w:val="0081481D"/>
    <w:rsid w:val="00814BE8"/>
    <w:rsid w:val="00814F6E"/>
    <w:rsid w:val="00815B84"/>
    <w:rsid w:val="008166F6"/>
    <w:rsid w:val="00816BE9"/>
    <w:rsid w:val="00817D10"/>
    <w:rsid w:val="00822518"/>
    <w:rsid w:val="008226F5"/>
    <w:rsid w:val="00823109"/>
    <w:rsid w:val="00823FC6"/>
    <w:rsid w:val="00824306"/>
    <w:rsid w:val="00825C74"/>
    <w:rsid w:val="00825CFA"/>
    <w:rsid w:val="00826AB9"/>
    <w:rsid w:val="00826E0E"/>
    <w:rsid w:val="00827D11"/>
    <w:rsid w:val="00827E0F"/>
    <w:rsid w:val="00827F6E"/>
    <w:rsid w:val="00831758"/>
    <w:rsid w:val="008317D9"/>
    <w:rsid w:val="0083279F"/>
    <w:rsid w:val="00833250"/>
    <w:rsid w:val="008334DB"/>
    <w:rsid w:val="00833B7F"/>
    <w:rsid w:val="00833E8E"/>
    <w:rsid w:val="00834906"/>
    <w:rsid w:val="00836075"/>
    <w:rsid w:val="00836417"/>
    <w:rsid w:val="00837526"/>
    <w:rsid w:val="00837B5A"/>
    <w:rsid w:val="008407A7"/>
    <w:rsid w:val="0084322B"/>
    <w:rsid w:val="0084341D"/>
    <w:rsid w:val="00843711"/>
    <w:rsid w:val="00843F81"/>
    <w:rsid w:val="00844087"/>
    <w:rsid w:val="008448F1"/>
    <w:rsid w:val="0084519E"/>
    <w:rsid w:val="00845CAE"/>
    <w:rsid w:val="008462C5"/>
    <w:rsid w:val="00846370"/>
    <w:rsid w:val="00846873"/>
    <w:rsid w:val="008477E7"/>
    <w:rsid w:val="00847C2B"/>
    <w:rsid w:val="00850272"/>
    <w:rsid w:val="008506B9"/>
    <w:rsid w:val="0085086F"/>
    <w:rsid w:val="00851822"/>
    <w:rsid w:val="00851C16"/>
    <w:rsid w:val="008532BF"/>
    <w:rsid w:val="008539B2"/>
    <w:rsid w:val="00853BF4"/>
    <w:rsid w:val="00854294"/>
    <w:rsid w:val="00854295"/>
    <w:rsid w:val="0085572E"/>
    <w:rsid w:val="0085788B"/>
    <w:rsid w:val="00857A9E"/>
    <w:rsid w:val="00857DE2"/>
    <w:rsid w:val="0086003D"/>
    <w:rsid w:val="008607CC"/>
    <w:rsid w:val="00863A8E"/>
    <w:rsid w:val="00863B59"/>
    <w:rsid w:val="00864025"/>
    <w:rsid w:val="0086407F"/>
    <w:rsid w:val="008645E3"/>
    <w:rsid w:val="00864E79"/>
    <w:rsid w:val="0086661F"/>
    <w:rsid w:val="00866A0D"/>
    <w:rsid w:val="00866DB5"/>
    <w:rsid w:val="0086701D"/>
    <w:rsid w:val="0086702B"/>
    <w:rsid w:val="008672E2"/>
    <w:rsid w:val="0086784E"/>
    <w:rsid w:val="0087063A"/>
    <w:rsid w:val="0087121C"/>
    <w:rsid w:val="008719D4"/>
    <w:rsid w:val="00871FD2"/>
    <w:rsid w:val="00872084"/>
    <w:rsid w:val="00872827"/>
    <w:rsid w:val="00872A32"/>
    <w:rsid w:val="00874911"/>
    <w:rsid w:val="008754E4"/>
    <w:rsid w:val="00876EAE"/>
    <w:rsid w:val="00880106"/>
    <w:rsid w:val="00880F95"/>
    <w:rsid w:val="00882B44"/>
    <w:rsid w:val="008838AD"/>
    <w:rsid w:val="00885BC9"/>
    <w:rsid w:val="008864B3"/>
    <w:rsid w:val="008865E5"/>
    <w:rsid w:val="008871B0"/>
    <w:rsid w:val="00890B57"/>
    <w:rsid w:val="008916BA"/>
    <w:rsid w:val="00891DEB"/>
    <w:rsid w:val="0089217C"/>
    <w:rsid w:val="00892790"/>
    <w:rsid w:val="00893671"/>
    <w:rsid w:val="00894D50"/>
    <w:rsid w:val="00895838"/>
    <w:rsid w:val="00895A1E"/>
    <w:rsid w:val="00895A72"/>
    <w:rsid w:val="00895CDF"/>
    <w:rsid w:val="00896679"/>
    <w:rsid w:val="00896D8C"/>
    <w:rsid w:val="008A0FC9"/>
    <w:rsid w:val="008A1956"/>
    <w:rsid w:val="008A1A7C"/>
    <w:rsid w:val="008A2CE2"/>
    <w:rsid w:val="008A30EB"/>
    <w:rsid w:val="008A40D3"/>
    <w:rsid w:val="008A469C"/>
    <w:rsid w:val="008A51D1"/>
    <w:rsid w:val="008A5DCE"/>
    <w:rsid w:val="008A75D3"/>
    <w:rsid w:val="008B04AE"/>
    <w:rsid w:val="008B05DD"/>
    <w:rsid w:val="008B07B8"/>
    <w:rsid w:val="008B17E8"/>
    <w:rsid w:val="008B2E7C"/>
    <w:rsid w:val="008B368E"/>
    <w:rsid w:val="008B399A"/>
    <w:rsid w:val="008B45F0"/>
    <w:rsid w:val="008B4A70"/>
    <w:rsid w:val="008B502F"/>
    <w:rsid w:val="008B6DFC"/>
    <w:rsid w:val="008B7227"/>
    <w:rsid w:val="008B7B00"/>
    <w:rsid w:val="008C02FB"/>
    <w:rsid w:val="008C04E0"/>
    <w:rsid w:val="008C191C"/>
    <w:rsid w:val="008C1DA4"/>
    <w:rsid w:val="008C2138"/>
    <w:rsid w:val="008C29B0"/>
    <w:rsid w:val="008C2CD5"/>
    <w:rsid w:val="008C3618"/>
    <w:rsid w:val="008C39E7"/>
    <w:rsid w:val="008C3E75"/>
    <w:rsid w:val="008C43AD"/>
    <w:rsid w:val="008C6118"/>
    <w:rsid w:val="008C6341"/>
    <w:rsid w:val="008C653D"/>
    <w:rsid w:val="008C731F"/>
    <w:rsid w:val="008C74D9"/>
    <w:rsid w:val="008C7B1D"/>
    <w:rsid w:val="008D1804"/>
    <w:rsid w:val="008D2050"/>
    <w:rsid w:val="008D337B"/>
    <w:rsid w:val="008D3B2D"/>
    <w:rsid w:val="008D58D9"/>
    <w:rsid w:val="008D5AD4"/>
    <w:rsid w:val="008D695E"/>
    <w:rsid w:val="008D6DD5"/>
    <w:rsid w:val="008D6E59"/>
    <w:rsid w:val="008D7155"/>
    <w:rsid w:val="008D76E0"/>
    <w:rsid w:val="008E0B29"/>
    <w:rsid w:val="008E141A"/>
    <w:rsid w:val="008E1A44"/>
    <w:rsid w:val="008E211F"/>
    <w:rsid w:val="008E28E6"/>
    <w:rsid w:val="008E3232"/>
    <w:rsid w:val="008E3674"/>
    <w:rsid w:val="008E3B6C"/>
    <w:rsid w:val="008E3DE7"/>
    <w:rsid w:val="008E5227"/>
    <w:rsid w:val="008E562C"/>
    <w:rsid w:val="008E6540"/>
    <w:rsid w:val="008E77D4"/>
    <w:rsid w:val="008E7ADD"/>
    <w:rsid w:val="008F0869"/>
    <w:rsid w:val="008F091F"/>
    <w:rsid w:val="008F17B2"/>
    <w:rsid w:val="008F22B3"/>
    <w:rsid w:val="008F357B"/>
    <w:rsid w:val="008F44CA"/>
    <w:rsid w:val="008F49D3"/>
    <w:rsid w:val="008F6519"/>
    <w:rsid w:val="008F7012"/>
    <w:rsid w:val="008F7ADA"/>
    <w:rsid w:val="008F7B17"/>
    <w:rsid w:val="00900042"/>
    <w:rsid w:val="0090008E"/>
    <w:rsid w:val="0090034B"/>
    <w:rsid w:val="0090087C"/>
    <w:rsid w:val="00901121"/>
    <w:rsid w:val="00901B35"/>
    <w:rsid w:val="00902623"/>
    <w:rsid w:val="00902A67"/>
    <w:rsid w:val="00902C5E"/>
    <w:rsid w:val="00902F6B"/>
    <w:rsid w:val="00903CF9"/>
    <w:rsid w:val="00904BE4"/>
    <w:rsid w:val="0090504A"/>
    <w:rsid w:val="009051F5"/>
    <w:rsid w:val="00905221"/>
    <w:rsid w:val="00905A7C"/>
    <w:rsid w:val="00905D7E"/>
    <w:rsid w:val="00907037"/>
    <w:rsid w:val="0091112C"/>
    <w:rsid w:val="0091160A"/>
    <w:rsid w:val="0091199D"/>
    <w:rsid w:val="00911B4E"/>
    <w:rsid w:val="00912E04"/>
    <w:rsid w:val="00913258"/>
    <w:rsid w:val="00913851"/>
    <w:rsid w:val="0091389B"/>
    <w:rsid w:val="00913BB0"/>
    <w:rsid w:val="0091456C"/>
    <w:rsid w:val="00914C58"/>
    <w:rsid w:val="00914D78"/>
    <w:rsid w:val="0091564D"/>
    <w:rsid w:val="009156DA"/>
    <w:rsid w:val="00915774"/>
    <w:rsid w:val="00916BC5"/>
    <w:rsid w:val="0091726A"/>
    <w:rsid w:val="00917C01"/>
    <w:rsid w:val="00920184"/>
    <w:rsid w:val="00920EA4"/>
    <w:rsid w:val="00921792"/>
    <w:rsid w:val="00921BEA"/>
    <w:rsid w:val="009227BE"/>
    <w:rsid w:val="009238FD"/>
    <w:rsid w:val="00923998"/>
    <w:rsid w:val="00923DB4"/>
    <w:rsid w:val="0092420B"/>
    <w:rsid w:val="0092430E"/>
    <w:rsid w:val="00926112"/>
    <w:rsid w:val="0092625F"/>
    <w:rsid w:val="00926B28"/>
    <w:rsid w:val="00926D9C"/>
    <w:rsid w:val="00927028"/>
    <w:rsid w:val="00927763"/>
    <w:rsid w:val="00927A2D"/>
    <w:rsid w:val="00927B37"/>
    <w:rsid w:val="0093183B"/>
    <w:rsid w:val="009321B1"/>
    <w:rsid w:val="00932ED7"/>
    <w:rsid w:val="0093422D"/>
    <w:rsid w:val="0093483B"/>
    <w:rsid w:val="00934CF9"/>
    <w:rsid w:val="00934DD7"/>
    <w:rsid w:val="00935CB2"/>
    <w:rsid w:val="009369A9"/>
    <w:rsid w:val="00936CF7"/>
    <w:rsid w:val="00937783"/>
    <w:rsid w:val="00937EAD"/>
    <w:rsid w:val="00937F28"/>
    <w:rsid w:val="00940FE1"/>
    <w:rsid w:val="00942306"/>
    <w:rsid w:val="009424B8"/>
    <w:rsid w:val="009432E2"/>
    <w:rsid w:val="00944668"/>
    <w:rsid w:val="00944DC6"/>
    <w:rsid w:val="00944F3C"/>
    <w:rsid w:val="009458B0"/>
    <w:rsid w:val="00945B52"/>
    <w:rsid w:val="00945B7A"/>
    <w:rsid w:val="00945F05"/>
    <w:rsid w:val="00946348"/>
    <w:rsid w:val="009463FF"/>
    <w:rsid w:val="00947224"/>
    <w:rsid w:val="00947797"/>
    <w:rsid w:val="009478A2"/>
    <w:rsid w:val="009533BD"/>
    <w:rsid w:val="00953808"/>
    <w:rsid w:val="009539A6"/>
    <w:rsid w:val="00953CC3"/>
    <w:rsid w:val="00954032"/>
    <w:rsid w:val="00954537"/>
    <w:rsid w:val="0095472D"/>
    <w:rsid w:val="00955342"/>
    <w:rsid w:val="00955FBB"/>
    <w:rsid w:val="0095694B"/>
    <w:rsid w:val="00956A73"/>
    <w:rsid w:val="00956BD5"/>
    <w:rsid w:val="00956D84"/>
    <w:rsid w:val="009577B5"/>
    <w:rsid w:val="00957B44"/>
    <w:rsid w:val="009608E6"/>
    <w:rsid w:val="00960F57"/>
    <w:rsid w:val="00961C90"/>
    <w:rsid w:val="00965443"/>
    <w:rsid w:val="00965954"/>
    <w:rsid w:val="00965A21"/>
    <w:rsid w:val="00965E55"/>
    <w:rsid w:val="0096608E"/>
    <w:rsid w:val="00966522"/>
    <w:rsid w:val="00966C33"/>
    <w:rsid w:val="00967F53"/>
    <w:rsid w:val="00970F18"/>
    <w:rsid w:val="00971CF1"/>
    <w:rsid w:val="00971F5D"/>
    <w:rsid w:val="009721E9"/>
    <w:rsid w:val="00973772"/>
    <w:rsid w:val="0097560A"/>
    <w:rsid w:val="00975E1E"/>
    <w:rsid w:val="00975E70"/>
    <w:rsid w:val="009761DE"/>
    <w:rsid w:val="009766FA"/>
    <w:rsid w:val="00977A95"/>
    <w:rsid w:val="00977CD6"/>
    <w:rsid w:val="0098048B"/>
    <w:rsid w:val="00980908"/>
    <w:rsid w:val="00980DF9"/>
    <w:rsid w:val="00981CD8"/>
    <w:rsid w:val="0098243D"/>
    <w:rsid w:val="00982D26"/>
    <w:rsid w:val="00983B6E"/>
    <w:rsid w:val="00983FE5"/>
    <w:rsid w:val="009849E9"/>
    <w:rsid w:val="00984AFF"/>
    <w:rsid w:val="00984E4B"/>
    <w:rsid w:val="009859E4"/>
    <w:rsid w:val="00987812"/>
    <w:rsid w:val="00990225"/>
    <w:rsid w:val="00991307"/>
    <w:rsid w:val="00992A13"/>
    <w:rsid w:val="00994AAD"/>
    <w:rsid w:val="00995150"/>
    <w:rsid w:val="00995475"/>
    <w:rsid w:val="00995D67"/>
    <w:rsid w:val="00997613"/>
    <w:rsid w:val="009A013B"/>
    <w:rsid w:val="009A02F4"/>
    <w:rsid w:val="009A06BF"/>
    <w:rsid w:val="009A0D17"/>
    <w:rsid w:val="009A2494"/>
    <w:rsid w:val="009A32B1"/>
    <w:rsid w:val="009A33A3"/>
    <w:rsid w:val="009A36F2"/>
    <w:rsid w:val="009A40C3"/>
    <w:rsid w:val="009A40D5"/>
    <w:rsid w:val="009A5268"/>
    <w:rsid w:val="009A57D0"/>
    <w:rsid w:val="009A5BAA"/>
    <w:rsid w:val="009A6559"/>
    <w:rsid w:val="009A68FC"/>
    <w:rsid w:val="009A6CE4"/>
    <w:rsid w:val="009A6EC3"/>
    <w:rsid w:val="009A7514"/>
    <w:rsid w:val="009A7E7A"/>
    <w:rsid w:val="009B0925"/>
    <w:rsid w:val="009B1584"/>
    <w:rsid w:val="009B18F0"/>
    <w:rsid w:val="009B1F4C"/>
    <w:rsid w:val="009B2471"/>
    <w:rsid w:val="009B314F"/>
    <w:rsid w:val="009B439C"/>
    <w:rsid w:val="009B49A1"/>
    <w:rsid w:val="009B4A6C"/>
    <w:rsid w:val="009B4DA8"/>
    <w:rsid w:val="009B519A"/>
    <w:rsid w:val="009B620C"/>
    <w:rsid w:val="009B6753"/>
    <w:rsid w:val="009B676C"/>
    <w:rsid w:val="009B6A26"/>
    <w:rsid w:val="009B743A"/>
    <w:rsid w:val="009B7DC0"/>
    <w:rsid w:val="009C079D"/>
    <w:rsid w:val="009C0D70"/>
    <w:rsid w:val="009C13D1"/>
    <w:rsid w:val="009C2913"/>
    <w:rsid w:val="009C2BD4"/>
    <w:rsid w:val="009C3E72"/>
    <w:rsid w:val="009C4AE8"/>
    <w:rsid w:val="009C5AFE"/>
    <w:rsid w:val="009C6606"/>
    <w:rsid w:val="009C6CE5"/>
    <w:rsid w:val="009C6D50"/>
    <w:rsid w:val="009C7547"/>
    <w:rsid w:val="009D05EC"/>
    <w:rsid w:val="009D18D4"/>
    <w:rsid w:val="009D1A1F"/>
    <w:rsid w:val="009D2F60"/>
    <w:rsid w:val="009D3A2E"/>
    <w:rsid w:val="009D5ADE"/>
    <w:rsid w:val="009D5BAC"/>
    <w:rsid w:val="009D5C56"/>
    <w:rsid w:val="009D6265"/>
    <w:rsid w:val="009D64BD"/>
    <w:rsid w:val="009D6CB1"/>
    <w:rsid w:val="009D7F34"/>
    <w:rsid w:val="009E0286"/>
    <w:rsid w:val="009E153F"/>
    <w:rsid w:val="009E18C5"/>
    <w:rsid w:val="009E322A"/>
    <w:rsid w:val="009E393E"/>
    <w:rsid w:val="009E444E"/>
    <w:rsid w:val="009E4968"/>
    <w:rsid w:val="009E663C"/>
    <w:rsid w:val="009E684A"/>
    <w:rsid w:val="009E6BB1"/>
    <w:rsid w:val="009E6E14"/>
    <w:rsid w:val="009E794A"/>
    <w:rsid w:val="009E7C14"/>
    <w:rsid w:val="009F0494"/>
    <w:rsid w:val="009F0CD9"/>
    <w:rsid w:val="009F1A79"/>
    <w:rsid w:val="009F1F57"/>
    <w:rsid w:val="009F2DDD"/>
    <w:rsid w:val="009F3447"/>
    <w:rsid w:val="009F65F4"/>
    <w:rsid w:val="009F676B"/>
    <w:rsid w:val="009F6D2D"/>
    <w:rsid w:val="009F6D54"/>
    <w:rsid w:val="00A004DF"/>
    <w:rsid w:val="00A00FD5"/>
    <w:rsid w:val="00A012C0"/>
    <w:rsid w:val="00A019A8"/>
    <w:rsid w:val="00A01B03"/>
    <w:rsid w:val="00A01B89"/>
    <w:rsid w:val="00A02C66"/>
    <w:rsid w:val="00A02C84"/>
    <w:rsid w:val="00A0464C"/>
    <w:rsid w:val="00A050BB"/>
    <w:rsid w:val="00A0521B"/>
    <w:rsid w:val="00A054E0"/>
    <w:rsid w:val="00A05D91"/>
    <w:rsid w:val="00A0621A"/>
    <w:rsid w:val="00A0740B"/>
    <w:rsid w:val="00A07ED3"/>
    <w:rsid w:val="00A10CA8"/>
    <w:rsid w:val="00A10F9B"/>
    <w:rsid w:val="00A10FA1"/>
    <w:rsid w:val="00A11042"/>
    <w:rsid w:val="00A12579"/>
    <w:rsid w:val="00A12CDC"/>
    <w:rsid w:val="00A133D8"/>
    <w:rsid w:val="00A15655"/>
    <w:rsid w:val="00A160B0"/>
    <w:rsid w:val="00A1740C"/>
    <w:rsid w:val="00A17904"/>
    <w:rsid w:val="00A20069"/>
    <w:rsid w:val="00A2244D"/>
    <w:rsid w:val="00A2253D"/>
    <w:rsid w:val="00A2267F"/>
    <w:rsid w:val="00A22CDB"/>
    <w:rsid w:val="00A23AEC"/>
    <w:rsid w:val="00A23C18"/>
    <w:rsid w:val="00A23E0A"/>
    <w:rsid w:val="00A247B8"/>
    <w:rsid w:val="00A2495A"/>
    <w:rsid w:val="00A24C7A"/>
    <w:rsid w:val="00A24D8F"/>
    <w:rsid w:val="00A25B8B"/>
    <w:rsid w:val="00A266D3"/>
    <w:rsid w:val="00A2689F"/>
    <w:rsid w:val="00A26ECA"/>
    <w:rsid w:val="00A27461"/>
    <w:rsid w:val="00A27B41"/>
    <w:rsid w:val="00A27D67"/>
    <w:rsid w:val="00A30ABC"/>
    <w:rsid w:val="00A33B74"/>
    <w:rsid w:val="00A3467F"/>
    <w:rsid w:val="00A34B4C"/>
    <w:rsid w:val="00A35030"/>
    <w:rsid w:val="00A3551A"/>
    <w:rsid w:val="00A366A0"/>
    <w:rsid w:val="00A37209"/>
    <w:rsid w:val="00A37584"/>
    <w:rsid w:val="00A376E8"/>
    <w:rsid w:val="00A37F8E"/>
    <w:rsid w:val="00A41537"/>
    <w:rsid w:val="00A41737"/>
    <w:rsid w:val="00A42B8F"/>
    <w:rsid w:val="00A42D8E"/>
    <w:rsid w:val="00A43254"/>
    <w:rsid w:val="00A43896"/>
    <w:rsid w:val="00A43A26"/>
    <w:rsid w:val="00A447A0"/>
    <w:rsid w:val="00A459F5"/>
    <w:rsid w:val="00A45FC0"/>
    <w:rsid w:val="00A46B74"/>
    <w:rsid w:val="00A47BF7"/>
    <w:rsid w:val="00A47ECC"/>
    <w:rsid w:val="00A50171"/>
    <w:rsid w:val="00A504FA"/>
    <w:rsid w:val="00A5102E"/>
    <w:rsid w:val="00A5132E"/>
    <w:rsid w:val="00A51375"/>
    <w:rsid w:val="00A51533"/>
    <w:rsid w:val="00A52D36"/>
    <w:rsid w:val="00A531D4"/>
    <w:rsid w:val="00A54572"/>
    <w:rsid w:val="00A54DA4"/>
    <w:rsid w:val="00A575B8"/>
    <w:rsid w:val="00A61C60"/>
    <w:rsid w:val="00A61ECB"/>
    <w:rsid w:val="00A638A0"/>
    <w:rsid w:val="00A6410C"/>
    <w:rsid w:val="00A647B1"/>
    <w:rsid w:val="00A64DEF"/>
    <w:rsid w:val="00A654D2"/>
    <w:rsid w:val="00A665DF"/>
    <w:rsid w:val="00A6699F"/>
    <w:rsid w:val="00A67FCC"/>
    <w:rsid w:val="00A70AA5"/>
    <w:rsid w:val="00A70C03"/>
    <w:rsid w:val="00A70D0D"/>
    <w:rsid w:val="00A7103D"/>
    <w:rsid w:val="00A71256"/>
    <w:rsid w:val="00A7217B"/>
    <w:rsid w:val="00A73861"/>
    <w:rsid w:val="00A739A6"/>
    <w:rsid w:val="00A740ED"/>
    <w:rsid w:val="00A74C29"/>
    <w:rsid w:val="00A74C62"/>
    <w:rsid w:val="00A75EF9"/>
    <w:rsid w:val="00A7657C"/>
    <w:rsid w:val="00A81592"/>
    <w:rsid w:val="00A82486"/>
    <w:rsid w:val="00A8311C"/>
    <w:rsid w:val="00A835D0"/>
    <w:rsid w:val="00A84C5F"/>
    <w:rsid w:val="00A85930"/>
    <w:rsid w:val="00A863F7"/>
    <w:rsid w:val="00A86604"/>
    <w:rsid w:val="00A87519"/>
    <w:rsid w:val="00A9246D"/>
    <w:rsid w:val="00A92CCA"/>
    <w:rsid w:val="00A92F9F"/>
    <w:rsid w:val="00A93BD0"/>
    <w:rsid w:val="00A93CC2"/>
    <w:rsid w:val="00A94D4B"/>
    <w:rsid w:val="00A974CC"/>
    <w:rsid w:val="00AA2001"/>
    <w:rsid w:val="00AA2B5C"/>
    <w:rsid w:val="00AA32D2"/>
    <w:rsid w:val="00AA3B8B"/>
    <w:rsid w:val="00AA4016"/>
    <w:rsid w:val="00AA4B06"/>
    <w:rsid w:val="00AA4C1F"/>
    <w:rsid w:val="00AA4E80"/>
    <w:rsid w:val="00AA5328"/>
    <w:rsid w:val="00AA5393"/>
    <w:rsid w:val="00AA5D13"/>
    <w:rsid w:val="00AA63D4"/>
    <w:rsid w:val="00AB03FD"/>
    <w:rsid w:val="00AB2000"/>
    <w:rsid w:val="00AB38CB"/>
    <w:rsid w:val="00AB3BEC"/>
    <w:rsid w:val="00AB44E4"/>
    <w:rsid w:val="00AB499C"/>
    <w:rsid w:val="00AB4AEB"/>
    <w:rsid w:val="00AB4E5F"/>
    <w:rsid w:val="00AB5352"/>
    <w:rsid w:val="00AB56AE"/>
    <w:rsid w:val="00AB62D5"/>
    <w:rsid w:val="00AB65B5"/>
    <w:rsid w:val="00AB6DCD"/>
    <w:rsid w:val="00AB6EE0"/>
    <w:rsid w:val="00AB73DC"/>
    <w:rsid w:val="00AC17A2"/>
    <w:rsid w:val="00AC40B7"/>
    <w:rsid w:val="00AC4680"/>
    <w:rsid w:val="00AC516B"/>
    <w:rsid w:val="00AC531F"/>
    <w:rsid w:val="00AC5AAA"/>
    <w:rsid w:val="00AC5B36"/>
    <w:rsid w:val="00AC6377"/>
    <w:rsid w:val="00AC66A4"/>
    <w:rsid w:val="00AC6CB1"/>
    <w:rsid w:val="00AC75E9"/>
    <w:rsid w:val="00AC7D6D"/>
    <w:rsid w:val="00AD0091"/>
    <w:rsid w:val="00AD1A28"/>
    <w:rsid w:val="00AD23EF"/>
    <w:rsid w:val="00AD2662"/>
    <w:rsid w:val="00AD307B"/>
    <w:rsid w:val="00AD4014"/>
    <w:rsid w:val="00AD41B3"/>
    <w:rsid w:val="00AD5721"/>
    <w:rsid w:val="00AD69F0"/>
    <w:rsid w:val="00AD7127"/>
    <w:rsid w:val="00AD730C"/>
    <w:rsid w:val="00AE123A"/>
    <w:rsid w:val="00AE1539"/>
    <w:rsid w:val="00AE28A7"/>
    <w:rsid w:val="00AE2A98"/>
    <w:rsid w:val="00AE2CF2"/>
    <w:rsid w:val="00AE3012"/>
    <w:rsid w:val="00AE310D"/>
    <w:rsid w:val="00AE3297"/>
    <w:rsid w:val="00AE33A6"/>
    <w:rsid w:val="00AE3729"/>
    <w:rsid w:val="00AE4CCE"/>
    <w:rsid w:val="00AE5C6A"/>
    <w:rsid w:val="00AE5DB7"/>
    <w:rsid w:val="00AE7280"/>
    <w:rsid w:val="00AF01FA"/>
    <w:rsid w:val="00AF033A"/>
    <w:rsid w:val="00AF082B"/>
    <w:rsid w:val="00AF1699"/>
    <w:rsid w:val="00AF1FD3"/>
    <w:rsid w:val="00AF2910"/>
    <w:rsid w:val="00AF34B8"/>
    <w:rsid w:val="00AF3896"/>
    <w:rsid w:val="00AF3FC2"/>
    <w:rsid w:val="00AF4D55"/>
    <w:rsid w:val="00AF4DEC"/>
    <w:rsid w:val="00B0098A"/>
    <w:rsid w:val="00B00A5F"/>
    <w:rsid w:val="00B029B8"/>
    <w:rsid w:val="00B02F60"/>
    <w:rsid w:val="00B02F94"/>
    <w:rsid w:val="00B032B8"/>
    <w:rsid w:val="00B04721"/>
    <w:rsid w:val="00B04B15"/>
    <w:rsid w:val="00B04B46"/>
    <w:rsid w:val="00B0534D"/>
    <w:rsid w:val="00B05685"/>
    <w:rsid w:val="00B05F9F"/>
    <w:rsid w:val="00B06368"/>
    <w:rsid w:val="00B068DA"/>
    <w:rsid w:val="00B06A00"/>
    <w:rsid w:val="00B06FC6"/>
    <w:rsid w:val="00B074C9"/>
    <w:rsid w:val="00B07D9D"/>
    <w:rsid w:val="00B11AE5"/>
    <w:rsid w:val="00B12F43"/>
    <w:rsid w:val="00B12FE6"/>
    <w:rsid w:val="00B1303F"/>
    <w:rsid w:val="00B1364A"/>
    <w:rsid w:val="00B13859"/>
    <w:rsid w:val="00B13EC9"/>
    <w:rsid w:val="00B14319"/>
    <w:rsid w:val="00B14A06"/>
    <w:rsid w:val="00B158E1"/>
    <w:rsid w:val="00B15AEE"/>
    <w:rsid w:val="00B16715"/>
    <w:rsid w:val="00B1768E"/>
    <w:rsid w:val="00B17910"/>
    <w:rsid w:val="00B20F18"/>
    <w:rsid w:val="00B21516"/>
    <w:rsid w:val="00B21A37"/>
    <w:rsid w:val="00B21D23"/>
    <w:rsid w:val="00B21F62"/>
    <w:rsid w:val="00B22CE0"/>
    <w:rsid w:val="00B23738"/>
    <w:rsid w:val="00B23BEF"/>
    <w:rsid w:val="00B23F1F"/>
    <w:rsid w:val="00B247BB"/>
    <w:rsid w:val="00B2504A"/>
    <w:rsid w:val="00B25EE6"/>
    <w:rsid w:val="00B2685C"/>
    <w:rsid w:val="00B30CD6"/>
    <w:rsid w:val="00B3115A"/>
    <w:rsid w:val="00B31825"/>
    <w:rsid w:val="00B31A5C"/>
    <w:rsid w:val="00B32265"/>
    <w:rsid w:val="00B3276D"/>
    <w:rsid w:val="00B33B06"/>
    <w:rsid w:val="00B33C19"/>
    <w:rsid w:val="00B359E2"/>
    <w:rsid w:val="00B35A15"/>
    <w:rsid w:val="00B35B45"/>
    <w:rsid w:val="00B36A99"/>
    <w:rsid w:val="00B40143"/>
    <w:rsid w:val="00B42264"/>
    <w:rsid w:val="00B434B2"/>
    <w:rsid w:val="00B43D45"/>
    <w:rsid w:val="00B459AF"/>
    <w:rsid w:val="00B468F2"/>
    <w:rsid w:val="00B469DE"/>
    <w:rsid w:val="00B47286"/>
    <w:rsid w:val="00B47EB4"/>
    <w:rsid w:val="00B50234"/>
    <w:rsid w:val="00B51BF4"/>
    <w:rsid w:val="00B52C68"/>
    <w:rsid w:val="00B5372B"/>
    <w:rsid w:val="00B542FE"/>
    <w:rsid w:val="00B54566"/>
    <w:rsid w:val="00B55A1B"/>
    <w:rsid w:val="00B561DB"/>
    <w:rsid w:val="00B5692B"/>
    <w:rsid w:val="00B56DF9"/>
    <w:rsid w:val="00B56E80"/>
    <w:rsid w:val="00B600BD"/>
    <w:rsid w:val="00B60C4A"/>
    <w:rsid w:val="00B61274"/>
    <w:rsid w:val="00B61DCE"/>
    <w:rsid w:val="00B62188"/>
    <w:rsid w:val="00B62F79"/>
    <w:rsid w:val="00B62F82"/>
    <w:rsid w:val="00B6306A"/>
    <w:rsid w:val="00B635E3"/>
    <w:rsid w:val="00B662FF"/>
    <w:rsid w:val="00B66679"/>
    <w:rsid w:val="00B70145"/>
    <w:rsid w:val="00B71A92"/>
    <w:rsid w:val="00B71B0A"/>
    <w:rsid w:val="00B721D8"/>
    <w:rsid w:val="00B730CA"/>
    <w:rsid w:val="00B732EA"/>
    <w:rsid w:val="00B7390A"/>
    <w:rsid w:val="00B747C5"/>
    <w:rsid w:val="00B74F2F"/>
    <w:rsid w:val="00B753ED"/>
    <w:rsid w:val="00B7665F"/>
    <w:rsid w:val="00B769BC"/>
    <w:rsid w:val="00B77167"/>
    <w:rsid w:val="00B77349"/>
    <w:rsid w:val="00B7761E"/>
    <w:rsid w:val="00B80A3D"/>
    <w:rsid w:val="00B80B04"/>
    <w:rsid w:val="00B821E4"/>
    <w:rsid w:val="00B823E0"/>
    <w:rsid w:val="00B8260D"/>
    <w:rsid w:val="00B82B78"/>
    <w:rsid w:val="00B845B4"/>
    <w:rsid w:val="00B84662"/>
    <w:rsid w:val="00B84C74"/>
    <w:rsid w:val="00B85191"/>
    <w:rsid w:val="00B858A1"/>
    <w:rsid w:val="00B85FEC"/>
    <w:rsid w:val="00B864A3"/>
    <w:rsid w:val="00B86C2A"/>
    <w:rsid w:val="00B87712"/>
    <w:rsid w:val="00B902A5"/>
    <w:rsid w:val="00B90420"/>
    <w:rsid w:val="00B90848"/>
    <w:rsid w:val="00B91146"/>
    <w:rsid w:val="00B913E4"/>
    <w:rsid w:val="00B91DB9"/>
    <w:rsid w:val="00B91FF3"/>
    <w:rsid w:val="00B925F8"/>
    <w:rsid w:val="00B9370E"/>
    <w:rsid w:val="00B93EFE"/>
    <w:rsid w:val="00B944B9"/>
    <w:rsid w:val="00B94956"/>
    <w:rsid w:val="00B94C7F"/>
    <w:rsid w:val="00B94E93"/>
    <w:rsid w:val="00B956B5"/>
    <w:rsid w:val="00B96DF2"/>
    <w:rsid w:val="00B96E18"/>
    <w:rsid w:val="00B96F5A"/>
    <w:rsid w:val="00BA0B39"/>
    <w:rsid w:val="00BA0CB2"/>
    <w:rsid w:val="00BA0E26"/>
    <w:rsid w:val="00BA138B"/>
    <w:rsid w:val="00BA305B"/>
    <w:rsid w:val="00BA31BF"/>
    <w:rsid w:val="00BA3C0F"/>
    <w:rsid w:val="00BA3FC7"/>
    <w:rsid w:val="00BA4075"/>
    <w:rsid w:val="00BA478B"/>
    <w:rsid w:val="00BA5224"/>
    <w:rsid w:val="00BA575E"/>
    <w:rsid w:val="00BA76B7"/>
    <w:rsid w:val="00BA7DDB"/>
    <w:rsid w:val="00BA7E3B"/>
    <w:rsid w:val="00BB078D"/>
    <w:rsid w:val="00BB079C"/>
    <w:rsid w:val="00BB0D7A"/>
    <w:rsid w:val="00BB10E1"/>
    <w:rsid w:val="00BB186A"/>
    <w:rsid w:val="00BB1C05"/>
    <w:rsid w:val="00BB2471"/>
    <w:rsid w:val="00BB3035"/>
    <w:rsid w:val="00BB3633"/>
    <w:rsid w:val="00BB39C1"/>
    <w:rsid w:val="00BB3DF5"/>
    <w:rsid w:val="00BB3EA7"/>
    <w:rsid w:val="00BB5D16"/>
    <w:rsid w:val="00BB6180"/>
    <w:rsid w:val="00BB69E6"/>
    <w:rsid w:val="00BB7323"/>
    <w:rsid w:val="00BB7BE5"/>
    <w:rsid w:val="00BC0139"/>
    <w:rsid w:val="00BC08BD"/>
    <w:rsid w:val="00BC11E8"/>
    <w:rsid w:val="00BC1B7A"/>
    <w:rsid w:val="00BC2C17"/>
    <w:rsid w:val="00BC3ACD"/>
    <w:rsid w:val="00BC3B20"/>
    <w:rsid w:val="00BC3EE4"/>
    <w:rsid w:val="00BC588C"/>
    <w:rsid w:val="00BC67FF"/>
    <w:rsid w:val="00BC6E73"/>
    <w:rsid w:val="00BC74D3"/>
    <w:rsid w:val="00BD0014"/>
    <w:rsid w:val="00BD01D8"/>
    <w:rsid w:val="00BD255F"/>
    <w:rsid w:val="00BD2895"/>
    <w:rsid w:val="00BD4236"/>
    <w:rsid w:val="00BD483B"/>
    <w:rsid w:val="00BD5CD4"/>
    <w:rsid w:val="00BD65D9"/>
    <w:rsid w:val="00BD6DF3"/>
    <w:rsid w:val="00BD6E09"/>
    <w:rsid w:val="00BD6EF9"/>
    <w:rsid w:val="00BE0ACB"/>
    <w:rsid w:val="00BE180B"/>
    <w:rsid w:val="00BE2260"/>
    <w:rsid w:val="00BE32F3"/>
    <w:rsid w:val="00BE3917"/>
    <w:rsid w:val="00BE50FD"/>
    <w:rsid w:val="00BE51CA"/>
    <w:rsid w:val="00BE537F"/>
    <w:rsid w:val="00BE5D77"/>
    <w:rsid w:val="00BE6D47"/>
    <w:rsid w:val="00BE7032"/>
    <w:rsid w:val="00BE7330"/>
    <w:rsid w:val="00BF01C5"/>
    <w:rsid w:val="00BF061A"/>
    <w:rsid w:val="00BF066A"/>
    <w:rsid w:val="00BF14CC"/>
    <w:rsid w:val="00BF1821"/>
    <w:rsid w:val="00BF30B3"/>
    <w:rsid w:val="00BF4342"/>
    <w:rsid w:val="00BF4704"/>
    <w:rsid w:val="00BF4FFC"/>
    <w:rsid w:val="00BF5050"/>
    <w:rsid w:val="00BF50D1"/>
    <w:rsid w:val="00BF5422"/>
    <w:rsid w:val="00BF59B1"/>
    <w:rsid w:val="00BF6625"/>
    <w:rsid w:val="00BF6A78"/>
    <w:rsid w:val="00BF7695"/>
    <w:rsid w:val="00BF79B4"/>
    <w:rsid w:val="00BF7C61"/>
    <w:rsid w:val="00C01427"/>
    <w:rsid w:val="00C014C7"/>
    <w:rsid w:val="00C047AB"/>
    <w:rsid w:val="00C04E43"/>
    <w:rsid w:val="00C058AF"/>
    <w:rsid w:val="00C05D1E"/>
    <w:rsid w:val="00C075B6"/>
    <w:rsid w:val="00C110FD"/>
    <w:rsid w:val="00C124C1"/>
    <w:rsid w:val="00C128AE"/>
    <w:rsid w:val="00C12BA8"/>
    <w:rsid w:val="00C13094"/>
    <w:rsid w:val="00C136D6"/>
    <w:rsid w:val="00C13D5B"/>
    <w:rsid w:val="00C141D7"/>
    <w:rsid w:val="00C154A3"/>
    <w:rsid w:val="00C16EB9"/>
    <w:rsid w:val="00C1711B"/>
    <w:rsid w:val="00C17AE2"/>
    <w:rsid w:val="00C20140"/>
    <w:rsid w:val="00C20F27"/>
    <w:rsid w:val="00C210A1"/>
    <w:rsid w:val="00C215CF"/>
    <w:rsid w:val="00C22250"/>
    <w:rsid w:val="00C2244B"/>
    <w:rsid w:val="00C22711"/>
    <w:rsid w:val="00C2280A"/>
    <w:rsid w:val="00C22B0D"/>
    <w:rsid w:val="00C22BFF"/>
    <w:rsid w:val="00C23522"/>
    <w:rsid w:val="00C240C1"/>
    <w:rsid w:val="00C24AED"/>
    <w:rsid w:val="00C250D0"/>
    <w:rsid w:val="00C252AC"/>
    <w:rsid w:val="00C25C0F"/>
    <w:rsid w:val="00C26567"/>
    <w:rsid w:val="00C26923"/>
    <w:rsid w:val="00C27214"/>
    <w:rsid w:val="00C27597"/>
    <w:rsid w:val="00C27E5E"/>
    <w:rsid w:val="00C30382"/>
    <w:rsid w:val="00C30772"/>
    <w:rsid w:val="00C30D6F"/>
    <w:rsid w:val="00C31063"/>
    <w:rsid w:val="00C31B7E"/>
    <w:rsid w:val="00C322D1"/>
    <w:rsid w:val="00C3242A"/>
    <w:rsid w:val="00C33201"/>
    <w:rsid w:val="00C33A39"/>
    <w:rsid w:val="00C34619"/>
    <w:rsid w:val="00C348D9"/>
    <w:rsid w:val="00C35D01"/>
    <w:rsid w:val="00C360B3"/>
    <w:rsid w:val="00C37027"/>
    <w:rsid w:val="00C37B19"/>
    <w:rsid w:val="00C37D56"/>
    <w:rsid w:val="00C40D4B"/>
    <w:rsid w:val="00C413CB"/>
    <w:rsid w:val="00C42752"/>
    <w:rsid w:val="00C42973"/>
    <w:rsid w:val="00C44206"/>
    <w:rsid w:val="00C44A36"/>
    <w:rsid w:val="00C46B95"/>
    <w:rsid w:val="00C4712A"/>
    <w:rsid w:val="00C47F88"/>
    <w:rsid w:val="00C5034F"/>
    <w:rsid w:val="00C50830"/>
    <w:rsid w:val="00C52479"/>
    <w:rsid w:val="00C5266E"/>
    <w:rsid w:val="00C52C59"/>
    <w:rsid w:val="00C5349E"/>
    <w:rsid w:val="00C539FF"/>
    <w:rsid w:val="00C544BD"/>
    <w:rsid w:val="00C549BB"/>
    <w:rsid w:val="00C54D3D"/>
    <w:rsid w:val="00C55A30"/>
    <w:rsid w:val="00C56384"/>
    <w:rsid w:val="00C568B6"/>
    <w:rsid w:val="00C60F8C"/>
    <w:rsid w:val="00C61794"/>
    <w:rsid w:val="00C61CB4"/>
    <w:rsid w:val="00C62A48"/>
    <w:rsid w:val="00C62AC4"/>
    <w:rsid w:val="00C62B59"/>
    <w:rsid w:val="00C62F96"/>
    <w:rsid w:val="00C631E1"/>
    <w:rsid w:val="00C638D8"/>
    <w:rsid w:val="00C63AE7"/>
    <w:rsid w:val="00C63D26"/>
    <w:rsid w:val="00C6540A"/>
    <w:rsid w:val="00C668A1"/>
    <w:rsid w:val="00C67223"/>
    <w:rsid w:val="00C707B8"/>
    <w:rsid w:val="00C712AC"/>
    <w:rsid w:val="00C71C15"/>
    <w:rsid w:val="00C71F3D"/>
    <w:rsid w:val="00C72F53"/>
    <w:rsid w:val="00C73BA9"/>
    <w:rsid w:val="00C74035"/>
    <w:rsid w:val="00C748EA"/>
    <w:rsid w:val="00C75531"/>
    <w:rsid w:val="00C77818"/>
    <w:rsid w:val="00C8063F"/>
    <w:rsid w:val="00C80931"/>
    <w:rsid w:val="00C81282"/>
    <w:rsid w:val="00C827B4"/>
    <w:rsid w:val="00C82B40"/>
    <w:rsid w:val="00C83214"/>
    <w:rsid w:val="00C8329F"/>
    <w:rsid w:val="00C84F8A"/>
    <w:rsid w:val="00C85BA4"/>
    <w:rsid w:val="00C8618F"/>
    <w:rsid w:val="00C8625D"/>
    <w:rsid w:val="00C87F3F"/>
    <w:rsid w:val="00C90372"/>
    <w:rsid w:val="00C9041F"/>
    <w:rsid w:val="00C9112E"/>
    <w:rsid w:val="00C9166B"/>
    <w:rsid w:val="00C91945"/>
    <w:rsid w:val="00C91A45"/>
    <w:rsid w:val="00C91FB4"/>
    <w:rsid w:val="00C92150"/>
    <w:rsid w:val="00C92328"/>
    <w:rsid w:val="00C92D42"/>
    <w:rsid w:val="00C938C2"/>
    <w:rsid w:val="00C93F8A"/>
    <w:rsid w:val="00C94EA1"/>
    <w:rsid w:val="00C95745"/>
    <w:rsid w:val="00C95902"/>
    <w:rsid w:val="00C962E3"/>
    <w:rsid w:val="00C978E2"/>
    <w:rsid w:val="00C97997"/>
    <w:rsid w:val="00CA10A2"/>
    <w:rsid w:val="00CA1D83"/>
    <w:rsid w:val="00CA1E61"/>
    <w:rsid w:val="00CA25C0"/>
    <w:rsid w:val="00CA3451"/>
    <w:rsid w:val="00CA35C6"/>
    <w:rsid w:val="00CA4948"/>
    <w:rsid w:val="00CA4FA3"/>
    <w:rsid w:val="00CA4FF9"/>
    <w:rsid w:val="00CA52F9"/>
    <w:rsid w:val="00CA5368"/>
    <w:rsid w:val="00CA568B"/>
    <w:rsid w:val="00CA573A"/>
    <w:rsid w:val="00CA584D"/>
    <w:rsid w:val="00CA5C58"/>
    <w:rsid w:val="00CB19D7"/>
    <w:rsid w:val="00CB19FE"/>
    <w:rsid w:val="00CB1C3F"/>
    <w:rsid w:val="00CB2364"/>
    <w:rsid w:val="00CB304C"/>
    <w:rsid w:val="00CB3933"/>
    <w:rsid w:val="00CB5010"/>
    <w:rsid w:val="00CB53E8"/>
    <w:rsid w:val="00CB594A"/>
    <w:rsid w:val="00CB5CB2"/>
    <w:rsid w:val="00CB6979"/>
    <w:rsid w:val="00CB7DDE"/>
    <w:rsid w:val="00CC0A3D"/>
    <w:rsid w:val="00CC3C53"/>
    <w:rsid w:val="00CC3D24"/>
    <w:rsid w:val="00CC3F91"/>
    <w:rsid w:val="00CC4ACD"/>
    <w:rsid w:val="00CC4B0A"/>
    <w:rsid w:val="00CC544A"/>
    <w:rsid w:val="00CC57EA"/>
    <w:rsid w:val="00CC5954"/>
    <w:rsid w:val="00CC629B"/>
    <w:rsid w:val="00CC6C4E"/>
    <w:rsid w:val="00CD009D"/>
    <w:rsid w:val="00CD05A2"/>
    <w:rsid w:val="00CD29D4"/>
    <w:rsid w:val="00CD2B5C"/>
    <w:rsid w:val="00CD2FF3"/>
    <w:rsid w:val="00CD3323"/>
    <w:rsid w:val="00CD38F5"/>
    <w:rsid w:val="00CD3BF2"/>
    <w:rsid w:val="00CD437E"/>
    <w:rsid w:val="00CD540B"/>
    <w:rsid w:val="00CD5DAD"/>
    <w:rsid w:val="00CD7037"/>
    <w:rsid w:val="00CD72C5"/>
    <w:rsid w:val="00CD79A7"/>
    <w:rsid w:val="00CE0789"/>
    <w:rsid w:val="00CE0E8D"/>
    <w:rsid w:val="00CE1A03"/>
    <w:rsid w:val="00CE2346"/>
    <w:rsid w:val="00CE25B2"/>
    <w:rsid w:val="00CE3529"/>
    <w:rsid w:val="00CE35C8"/>
    <w:rsid w:val="00CE3962"/>
    <w:rsid w:val="00CE4D0A"/>
    <w:rsid w:val="00CE4D1A"/>
    <w:rsid w:val="00CE4E8A"/>
    <w:rsid w:val="00CE5105"/>
    <w:rsid w:val="00CE56BD"/>
    <w:rsid w:val="00CE5EC0"/>
    <w:rsid w:val="00CE68AD"/>
    <w:rsid w:val="00CE6F9F"/>
    <w:rsid w:val="00CE781A"/>
    <w:rsid w:val="00CE7B08"/>
    <w:rsid w:val="00CE7D52"/>
    <w:rsid w:val="00CF0AB7"/>
    <w:rsid w:val="00CF1D74"/>
    <w:rsid w:val="00CF2BE2"/>
    <w:rsid w:val="00CF3DEB"/>
    <w:rsid w:val="00CF55F9"/>
    <w:rsid w:val="00CF7074"/>
    <w:rsid w:val="00CF7495"/>
    <w:rsid w:val="00D00E12"/>
    <w:rsid w:val="00D01CF9"/>
    <w:rsid w:val="00D02BF7"/>
    <w:rsid w:val="00D02FFD"/>
    <w:rsid w:val="00D0334D"/>
    <w:rsid w:val="00D0374D"/>
    <w:rsid w:val="00D06851"/>
    <w:rsid w:val="00D06D7B"/>
    <w:rsid w:val="00D06DA5"/>
    <w:rsid w:val="00D07191"/>
    <w:rsid w:val="00D07F1D"/>
    <w:rsid w:val="00D10558"/>
    <w:rsid w:val="00D11D4D"/>
    <w:rsid w:val="00D126DC"/>
    <w:rsid w:val="00D12B03"/>
    <w:rsid w:val="00D13E70"/>
    <w:rsid w:val="00D15FCD"/>
    <w:rsid w:val="00D16C58"/>
    <w:rsid w:val="00D17019"/>
    <w:rsid w:val="00D17FC8"/>
    <w:rsid w:val="00D20B44"/>
    <w:rsid w:val="00D21168"/>
    <w:rsid w:val="00D240C6"/>
    <w:rsid w:val="00D2438C"/>
    <w:rsid w:val="00D2585A"/>
    <w:rsid w:val="00D259B0"/>
    <w:rsid w:val="00D26C3F"/>
    <w:rsid w:val="00D27185"/>
    <w:rsid w:val="00D3028A"/>
    <w:rsid w:val="00D31CDD"/>
    <w:rsid w:val="00D33488"/>
    <w:rsid w:val="00D33AB3"/>
    <w:rsid w:val="00D33F24"/>
    <w:rsid w:val="00D34160"/>
    <w:rsid w:val="00D3466D"/>
    <w:rsid w:val="00D346B8"/>
    <w:rsid w:val="00D34DCA"/>
    <w:rsid w:val="00D3575F"/>
    <w:rsid w:val="00D35AC8"/>
    <w:rsid w:val="00D36F87"/>
    <w:rsid w:val="00D37E4E"/>
    <w:rsid w:val="00D4056F"/>
    <w:rsid w:val="00D417D8"/>
    <w:rsid w:val="00D41F78"/>
    <w:rsid w:val="00D42E6C"/>
    <w:rsid w:val="00D4351C"/>
    <w:rsid w:val="00D4353A"/>
    <w:rsid w:val="00D43B80"/>
    <w:rsid w:val="00D44988"/>
    <w:rsid w:val="00D45B4C"/>
    <w:rsid w:val="00D45BA4"/>
    <w:rsid w:val="00D45EF6"/>
    <w:rsid w:val="00D471AF"/>
    <w:rsid w:val="00D471E2"/>
    <w:rsid w:val="00D4724F"/>
    <w:rsid w:val="00D50519"/>
    <w:rsid w:val="00D50614"/>
    <w:rsid w:val="00D50622"/>
    <w:rsid w:val="00D51601"/>
    <w:rsid w:val="00D51ECB"/>
    <w:rsid w:val="00D5264C"/>
    <w:rsid w:val="00D52BBC"/>
    <w:rsid w:val="00D537FE"/>
    <w:rsid w:val="00D53CC9"/>
    <w:rsid w:val="00D53DC6"/>
    <w:rsid w:val="00D54A6A"/>
    <w:rsid w:val="00D54B8F"/>
    <w:rsid w:val="00D55848"/>
    <w:rsid w:val="00D55951"/>
    <w:rsid w:val="00D559F0"/>
    <w:rsid w:val="00D57EB6"/>
    <w:rsid w:val="00D608C0"/>
    <w:rsid w:val="00D60D6D"/>
    <w:rsid w:val="00D6128C"/>
    <w:rsid w:val="00D66D8B"/>
    <w:rsid w:val="00D672EF"/>
    <w:rsid w:val="00D70849"/>
    <w:rsid w:val="00D72297"/>
    <w:rsid w:val="00D72A1C"/>
    <w:rsid w:val="00D7308F"/>
    <w:rsid w:val="00D7313E"/>
    <w:rsid w:val="00D73580"/>
    <w:rsid w:val="00D73802"/>
    <w:rsid w:val="00D73C2C"/>
    <w:rsid w:val="00D73D52"/>
    <w:rsid w:val="00D745E7"/>
    <w:rsid w:val="00D7581F"/>
    <w:rsid w:val="00D774ED"/>
    <w:rsid w:val="00D777C3"/>
    <w:rsid w:val="00D7797C"/>
    <w:rsid w:val="00D77C44"/>
    <w:rsid w:val="00D77F88"/>
    <w:rsid w:val="00D81AFA"/>
    <w:rsid w:val="00D81EAA"/>
    <w:rsid w:val="00D81FE2"/>
    <w:rsid w:val="00D8259F"/>
    <w:rsid w:val="00D825F2"/>
    <w:rsid w:val="00D8285C"/>
    <w:rsid w:val="00D828B1"/>
    <w:rsid w:val="00D82A55"/>
    <w:rsid w:val="00D83D49"/>
    <w:rsid w:val="00D84181"/>
    <w:rsid w:val="00D846AD"/>
    <w:rsid w:val="00D84754"/>
    <w:rsid w:val="00D84F27"/>
    <w:rsid w:val="00D853F0"/>
    <w:rsid w:val="00D85862"/>
    <w:rsid w:val="00D86D47"/>
    <w:rsid w:val="00D8710C"/>
    <w:rsid w:val="00D873C6"/>
    <w:rsid w:val="00D9074A"/>
    <w:rsid w:val="00D9099E"/>
    <w:rsid w:val="00D9193A"/>
    <w:rsid w:val="00D923B2"/>
    <w:rsid w:val="00D92463"/>
    <w:rsid w:val="00D93E64"/>
    <w:rsid w:val="00D93F64"/>
    <w:rsid w:val="00D94CA4"/>
    <w:rsid w:val="00D95E99"/>
    <w:rsid w:val="00D965D5"/>
    <w:rsid w:val="00D97DA2"/>
    <w:rsid w:val="00DA0485"/>
    <w:rsid w:val="00DA1A3A"/>
    <w:rsid w:val="00DA2351"/>
    <w:rsid w:val="00DA249E"/>
    <w:rsid w:val="00DA29C6"/>
    <w:rsid w:val="00DA2D3D"/>
    <w:rsid w:val="00DA3855"/>
    <w:rsid w:val="00DA4C30"/>
    <w:rsid w:val="00DA5C8A"/>
    <w:rsid w:val="00DA6A44"/>
    <w:rsid w:val="00DA7A3C"/>
    <w:rsid w:val="00DB0E38"/>
    <w:rsid w:val="00DB145E"/>
    <w:rsid w:val="00DB1A94"/>
    <w:rsid w:val="00DB1D52"/>
    <w:rsid w:val="00DB1E2B"/>
    <w:rsid w:val="00DB1F62"/>
    <w:rsid w:val="00DB21E7"/>
    <w:rsid w:val="00DB2E03"/>
    <w:rsid w:val="00DB3742"/>
    <w:rsid w:val="00DB3E9B"/>
    <w:rsid w:val="00DB3F4B"/>
    <w:rsid w:val="00DB5375"/>
    <w:rsid w:val="00DB67C1"/>
    <w:rsid w:val="00DB6C0B"/>
    <w:rsid w:val="00DB70F4"/>
    <w:rsid w:val="00DB748A"/>
    <w:rsid w:val="00DC1056"/>
    <w:rsid w:val="00DC1442"/>
    <w:rsid w:val="00DC21D8"/>
    <w:rsid w:val="00DC282A"/>
    <w:rsid w:val="00DC2DE8"/>
    <w:rsid w:val="00DC34DC"/>
    <w:rsid w:val="00DC3780"/>
    <w:rsid w:val="00DC3ADA"/>
    <w:rsid w:val="00DC3CC6"/>
    <w:rsid w:val="00DC3F55"/>
    <w:rsid w:val="00DC4782"/>
    <w:rsid w:val="00DC514A"/>
    <w:rsid w:val="00DC6249"/>
    <w:rsid w:val="00DC67B1"/>
    <w:rsid w:val="00DC7FBC"/>
    <w:rsid w:val="00DD0019"/>
    <w:rsid w:val="00DD132B"/>
    <w:rsid w:val="00DD1725"/>
    <w:rsid w:val="00DD2159"/>
    <w:rsid w:val="00DD218B"/>
    <w:rsid w:val="00DD2A18"/>
    <w:rsid w:val="00DD3044"/>
    <w:rsid w:val="00DD3985"/>
    <w:rsid w:val="00DD61E8"/>
    <w:rsid w:val="00DD62C0"/>
    <w:rsid w:val="00DD64DE"/>
    <w:rsid w:val="00DD7859"/>
    <w:rsid w:val="00DD7B41"/>
    <w:rsid w:val="00DE0784"/>
    <w:rsid w:val="00DE0A1D"/>
    <w:rsid w:val="00DE15B2"/>
    <w:rsid w:val="00DE1A9A"/>
    <w:rsid w:val="00DE3617"/>
    <w:rsid w:val="00DE3D2C"/>
    <w:rsid w:val="00DE5E82"/>
    <w:rsid w:val="00DE5FA6"/>
    <w:rsid w:val="00DE6792"/>
    <w:rsid w:val="00DE6AA1"/>
    <w:rsid w:val="00DE7EF7"/>
    <w:rsid w:val="00DF015B"/>
    <w:rsid w:val="00DF02EC"/>
    <w:rsid w:val="00DF10FC"/>
    <w:rsid w:val="00DF1185"/>
    <w:rsid w:val="00DF1299"/>
    <w:rsid w:val="00DF1A70"/>
    <w:rsid w:val="00DF1E5F"/>
    <w:rsid w:val="00DF23A8"/>
    <w:rsid w:val="00DF2F27"/>
    <w:rsid w:val="00DF36B6"/>
    <w:rsid w:val="00DF4296"/>
    <w:rsid w:val="00DF5267"/>
    <w:rsid w:val="00DF53F0"/>
    <w:rsid w:val="00DF5F38"/>
    <w:rsid w:val="00DF6608"/>
    <w:rsid w:val="00DF6CCC"/>
    <w:rsid w:val="00DF6D0C"/>
    <w:rsid w:val="00DF6F64"/>
    <w:rsid w:val="00DF721E"/>
    <w:rsid w:val="00DF7549"/>
    <w:rsid w:val="00DF7B8A"/>
    <w:rsid w:val="00DF7C87"/>
    <w:rsid w:val="00E009B0"/>
    <w:rsid w:val="00E00A12"/>
    <w:rsid w:val="00E00B39"/>
    <w:rsid w:val="00E00C49"/>
    <w:rsid w:val="00E01C9C"/>
    <w:rsid w:val="00E0219D"/>
    <w:rsid w:val="00E04C0F"/>
    <w:rsid w:val="00E0570B"/>
    <w:rsid w:val="00E06FB8"/>
    <w:rsid w:val="00E10913"/>
    <w:rsid w:val="00E10B87"/>
    <w:rsid w:val="00E121CE"/>
    <w:rsid w:val="00E12209"/>
    <w:rsid w:val="00E1478B"/>
    <w:rsid w:val="00E14FAC"/>
    <w:rsid w:val="00E15007"/>
    <w:rsid w:val="00E16277"/>
    <w:rsid w:val="00E16EC7"/>
    <w:rsid w:val="00E17DCC"/>
    <w:rsid w:val="00E219CE"/>
    <w:rsid w:val="00E21D93"/>
    <w:rsid w:val="00E23812"/>
    <w:rsid w:val="00E24071"/>
    <w:rsid w:val="00E24EBC"/>
    <w:rsid w:val="00E25149"/>
    <w:rsid w:val="00E2522C"/>
    <w:rsid w:val="00E2552F"/>
    <w:rsid w:val="00E2599B"/>
    <w:rsid w:val="00E2710C"/>
    <w:rsid w:val="00E272BD"/>
    <w:rsid w:val="00E27428"/>
    <w:rsid w:val="00E305B4"/>
    <w:rsid w:val="00E31AFA"/>
    <w:rsid w:val="00E31CB7"/>
    <w:rsid w:val="00E324EE"/>
    <w:rsid w:val="00E34DB1"/>
    <w:rsid w:val="00E35931"/>
    <w:rsid w:val="00E359FF"/>
    <w:rsid w:val="00E3699A"/>
    <w:rsid w:val="00E402C5"/>
    <w:rsid w:val="00E402F4"/>
    <w:rsid w:val="00E405F1"/>
    <w:rsid w:val="00E417DB"/>
    <w:rsid w:val="00E4198D"/>
    <w:rsid w:val="00E43054"/>
    <w:rsid w:val="00E43655"/>
    <w:rsid w:val="00E44440"/>
    <w:rsid w:val="00E46013"/>
    <w:rsid w:val="00E47099"/>
    <w:rsid w:val="00E47284"/>
    <w:rsid w:val="00E477A9"/>
    <w:rsid w:val="00E477C3"/>
    <w:rsid w:val="00E51E16"/>
    <w:rsid w:val="00E52DED"/>
    <w:rsid w:val="00E53730"/>
    <w:rsid w:val="00E5438D"/>
    <w:rsid w:val="00E54511"/>
    <w:rsid w:val="00E54E50"/>
    <w:rsid w:val="00E54EC9"/>
    <w:rsid w:val="00E55288"/>
    <w:rsid w:val="00E57577"/>
    <w:rsid w:val="00E60A2E"/>
    <w:rsid w:val="00E60BD7"/>
    <w:rsid w:val="00E62043"/>
    <w:rsid w:val="00E626B9"/>
    <w:rsid w:val="00E627C9"/>
    <w:rsid w:val="00E630F3"/>
    <w:rsid w:val="00E6332F"/>
    <w:rsid w:val="00E637C9"/>
    <w:rsid w:val="00E639E6"/>
    <w:rsid w:val="00E6402D"/>
    <w:rsid w:val="00E6680A"/>
    <w:rsid w:val="00E66F0D"/>
    <w:rsid w:val="00E67741"/>
    <w:rsid w:val="00E67CAE"/>
    <w:rsid w:val="00E70615"/>
    <w:rsid w:val="00E7161E"/>
    <w:rsid w:val="00E71B40"/>
    <w:rsid w:val="00E7207B"/>
    <w:rsid w:val="00E7347A"/>
    <w:rsid w:val="00E75A47"/>
    <w:rsid w:val="00E75BB6"/>
    <w:rsid w:val="00E75D8C"/>
    <w:rsid w:val="00E777BB"/>
    <w:rsid w:val="00E777F2"/>
    <w:rsid w:val="00E802C9"/>
    <w:rsid w:val="00E80342"/>
    <w:rsid w:val="00E80BFB"/>
    <w:rsid w:val="00E80F0A"/>
    <w:rsid w:val="00E815D4"/>
    <w:rsid w:val="00E8291B"/>
    <w:rsid w:val="00E82E70"/>
    <w:rsid w:val="00E82F92"/>
    <w:rsid w:val="00E8395F"/>
    <w:rsid w:val="00E8410F"/>
    <w:rsid w:val="00E849D7"/>
    <w:rsid w:val="00E85E41"/>
    <w:rsid w:val="00E85EA1"/>
    <w:rsid w:val="00E86030"/>
    <w:rsid w:val="00E86703"/>
    <w:rsid w:val="00E900DA"/>
    <w:rsid w:val="00E91044"/>
    <w:rsid w:val="00E910D3"/>
    <w:rsid w:val="00E92154"/>
    <w:rsid w:val="00E923CF"/>
    <w:rsid w:val="00E93685"/>
    <w:rsid w:val="00E93B65"/>
    <w:rsid w:val="00E93C8C"/>
    <w:rsid w:val="00E95111"/>
    <w:rsid w:val="00E95FDF"/>
    <w:rsid w:val="00EA1198"/>
    <w:rsid w:val="00EA14C8"/>
    <w:rsid w:val="00EA2110"/>
    <w:rsid w:val="00EA283A"/>
    <w:rsid w:val="00EA2C90"/>
    <w:rsid w:val="00EA2E07"/>
    <w:rsid w:val="00EA383B"/>
    <w:rsid w:val="00EA48F3"/>
    <w:rsid w:val="00EA60BF"/>
    <w:rsid w:val="00EA6847"/>
    <w:rsid w:val="00EA7365"/>
    <w:rsid w:val="00EA763F"/>
    <w:rsid w:val="00EA77E9"/>
    <w:rsid w:val="00EB05D0"/>
    <w:rsid w:val="00EB1151"/>
    <w:rsid w:val="00EB1D49"/>
    <w:rsid w:val="00EB23D9"/>
    <w:rsid w:val="00EB39A0"/>
    <w:rsid w:val="00EB559F"/>
    <w:rsid w:val="00EB566C"/>
    <w:rsid w:val="00EB5A18"/>
    <w:rsid w:val="00EB5F3D"/>
    <w:rsid w:val="00EB6C97"/>
    <w:rsid w:val="00EC1CEB"/>
    <w:rsid w:val="00EC1DC0"/>
    <w:rsid w:val="00EC1DC2"/>
    <w:rsid w:val="00EC1E09"/>
    <w:rsid w:val="00EC21EC"/>
    <w:rsid w:val="00EC24B8"/>
    <w:rsid w:val="00EC268C"/>
    <w:rsid w:val="00EC3753"/>
    <w:rsid w:val="00EC4E71"/>
    <w:rsid w:val="00EC5F1C"/>
    <w:rsid w:val="00ED0365"/>
    <w:rsid w:val="00ED0865"/>
    <w:rsid w:val="00ED1C60"/>
    <w:rsid w:val="00ED2E25"/>
    <w:rsid w:val="00ED2EB9"/>
    <w:rsid w:val="00ED3722"/>
    <w:rsid w:val="00ED3A31"/>
    <w:rsid w:val="00ED4469"/>
    <w:rsid w:val="00ED44F6"/>
    <w:rsid w:val="00ED5424"/>
    <w:rsid w:val="00ED5F23"/>
    <w:rsid w:val="00ED6A63"/>
    <w:rsid w:val="00ED6DC0"/>
    <w:rsid w:val="00ED7A7A"/>
    <w:rsid w:val="00EE0327"/>
    <w:rsid w:val="00EE038C"/>
    <w:rsid w:val="00EE28C5"/>
    <w:rsid w:val="00EE2F09"/>
    <w:rsid w:val="00EE47C5"/>
    <w:rsid w:val="00EE490C"/>
    <w:rsid w:val="00EE4E57"/>
    <w:rsid w:val="00EE516C"/>
    <w:rsid w:val="00EE5415"/>
    <w:rsid w:val="00EE5738"/>
    <w:rsid w:val="00EE58BD"/>
    <w:rsid w:val="00EE5E59"/>
    <w:rsid w:val="00EE73D0"/>
    <w:rsid w:val="00EE7CB0"/>
    <w:rsid w:val="00EF08A8"/>
    <w:rsid w:val="00EF167B"/>
    <w:rsid w:val="00EF41A8"/>
    <w:rsid w:val="00EF44FB"/>
    <w:rsid w:val="00EF4DF5"/>
    <w:rsid w:val="00EF5122"/>
    <w:rsid w:val="00EF5554"/>
    <w:rsid w:val="00EF5AD8"/>
    <w:rsid w:val="00EF6B90"/>
    <w:rsid w:val="00EF7807"/>
    <w:rsid w:val="00EF79F7"/>
    <w:rsid w:val="00F006C0"/>
    <w:rsid w:val="00F0125F"/>
    <w:rsid w:val="00F019AA"/>
    <w:rsid w:val="00F0267E"/>
    <w:rsid w:val="00F02686"/>
    <w:rsid w:val="00F030C0"/>
    <w:rsid w:val="00F03291"/>
    <w:rsid w:val="00F03A85"/>
    <w:rsid w:val="00F0459B"/>
    <w:rsid w:val="00F04E15"/>
    <w:rsid w:val="00F05DF3"/>
    <w:rsid w:val="00F069EA"/>
    <w:rsid w:val="00F06E85"/>
    <w:rsid w:val="00F070E5"/>
    <w:rsid w:val="00F07DDE"/>
    <w:rsid w:val="00F11675"/>
    <w:rsid w:val="00F12557"/>
    <w:rsid w:val="00F13599"/>
    <w:rsid w:val="00F13B28"/>
    <w:rsid w:val="00F14542"/>
    <w:rsid w:val="00F1520A"/>
    <w:rsid w:val="00F156A0"/>
    <w:rsid w:val="00F15730"/>
    <w:rsid w:val="00F176A6"/>
    <w:rsid w:val="00F202C2"/>
    <w:rsid w:val="00F212A8"/>
    <w:rsid w:val="00F212F6"/>
    <w:rsid w:val="00F21905"/>
    <w:rsid w:val="00F22756"/>
    <w:rsid w:val="00F23248"/>
    <w:rsid w:val="00F23890"/>
    <w:rsid w:val="00F2504D"/>
    <w:rsid w:val="00F2637F"/>
    <w:rsid w:val="00F268F7"/>
    <w:rsid w:val="00F30B83"/>
    <w:rsid w:val="00F30BDB"/>
    <w:rsid w:val="00F30CF8"/>
    <w:rsid w:val="00F31EDF"/>
    <w:rsid w:val="00F32CDE"/>
    <w:rsid w:val="00F32D4C"/>
    <w:rsid w:val="00F3327E"/>
    <w:rsid w:val="00F337E0"/>
    <w:rsid w:val="00F338C3"/>
    <w:rsid w:val="00F34B14"/>
    <w:rsid w:val="00F34F58"/>
    <w:rsid w:val="00F35DA7"/>
    <w:rsid w:val="00F36A6A"/>
    <w:rsid w:val="00F40101"/>
    <w:rsid w:val="00F404F7"/>
    <w:rsid w:val="00F40CCA"/>
    <w:rsid w:val="00F40F46"/>
    <w:rsid w:val="00F42D97"/>
    <w:rsid w:val="00F436B2"/>
    <w:rsid w:val="00F43813"/>
    <w:rsid w:val="00F43FEE"/>
    <w:rsid w:val="00F4492F"/>
    <w:rsid w:val="00F45A72"/>
    <w:rsid w:val="00F46723"/>
    <w:rsid w:val="00F4703B"/>
    <w:rsid w:val="00F4706D"/>
    <w:rsid w:val="00F476E1"/>
    <w:rsid w:val="00F47D1D"/>
    <w:rsid w:val="00F47F29"/>
    <w:rsid w:val="00F50016"/>
    <w:rsid w:val="00F50451"/>
    <w:rsid w:val="00F50A80"/>
    <w:rsid w:val="00F5118A"/>
    <w:rsid w:val="00F51A21"/>
    <w:rsid w:val="00F52614"/>
    <w:rsid w:val="00F5276E"/>
    <w:rsid w:val="00F52E9F"/>
    <w:rsid w:val="00F53304"/>
    <w:rsid w:val="00F53B81"/>
    <w:rsid w:val="00F540FE"/>
    <w:rsid w:val="00F556FF"/>
    <w:rsid w:val="00F55D12"/>
    <w:rsid w:val="00F5687F"/>
    <w:rsid w:val="00F56D3F"/>
    <w:rsid w:val="00F575C7"/>
    <w:rsid w:val="00F57FD0"/>
    <w:rsid w:val="00F60305"/>
    <w:rsid w:val="00F61B12"/>
    <w:rsid w:val="00F61C70"/>
    <w:rsid w:val="00F63264"/>
    <w:rsid w:val="00F634E4"/>
    <w:rsid w:val="00F6379E"/>
    <w:rsid w:val="00F64047"/>
    <w:rsid w:val="00F65171"/>
    <w:rsid w:val="00F6560D"/>
    <w:rsid w:val="00F67844"/>
    <w:rsid w:val="00F70799"/>
    <w:rsid w:val="00F70A8B"/>
    <w:rsid w:val="00F70B8D"/>
    <w:rsid w:val="00F71936"/>
    <w:rsid w:val="00F724FB"/>
    <w:rsid w:val="00F726B8"/>
    <w:rsid w:val="00F72A26"/>
    <w:rsid w:val="00F733C3"/>
    <w:rsid w:val="00F746A1"/>
    <w:rsid w:val="00F74820"/>
    <w:rsid w:val="00F75282"/>
    <w:rsid w:val="00F756DD"/>
    <w:rsid w:val="00F77518"/>
    <w:rsid w:val="00F77F4E"/>
    <w:rsid w:val="00F80047"/>
    <w:rsid w:val="00F800C7"/>
    <w:rsid w:val="00F8104D"/>
    <w:rsid w:val="00F8153F"/>
    <w:rsid w:val="00F81587"/>
    <w:rsid w:val="00F81769"/>
    <w:rsid w:val="00F8288F"/>
    <w:rsid w:val="00F8376E"/>
    <w:rsid w:val="00F84802"/>
    <w:rsid w:val="00F85B72"/>
    <w:rsid w:val="00F86540"/>
    <w:rsid w:val="00F865CE"/>
    <w:rsid w:val="00F8766F"/>
    <w:rsid w:val="00F90282"/>
    <w:rsid w:val="00F91082"/>
    <w:rsid w:val="00F9116D"/>
    <w:rsid w:val="00F91250"/>
    <w:rsid w:val="00F91342"/>
    <w:rsid w:val="00F91A9A"/>
    <w:rsid w:val="00F92634"/>
    <w:rsid w:val="00F933F3"/>
    <w:rsid w:val="00F93ABB"/>
    <w:rsid w:val="00F94D79"/>
    <w:rsid w:val="00F954FC"/>
    <w:rsid w:val="00F9658C"/>
    <w:rsid w:val="00F96E05"/>
    <w:rsid w:val="00F97A7F"/>
    <w:rsid w:val="00FA0889"/>
    <w:rsid w:val="00FA16E7"/>
    <w:rsid w:val="00FA31C7"/>
    <w:rsid w:val="00FA472D"/>
    <w:rsid w:val="00FA681F"/>
    <w:rsid w:val="00FB0CBF"/>
    <w:rsid w:val="00FB18F6"/>
    <w:rsid w:val="00FB2A52"/>
    <w:rsid w:val="00FB2B7B"/>
    <w:rsid w:val="00FB2CDD"/>
    <w:rsid w:val="00FB3F92"/>
    <w:rsid w:val="00FB52C7"/>
    <w:rsid w:val="00FB57DC"/>
    <w:rsid w:val="00FB6E19"/>
    <w:rsid w:val="00FB71F6"/>
    <w:rsid w:val="00FB78C5"/>
    <w:rsid w:val="00FB7CF2"/>
    <w:rsid w:val="00FC07AF"/>
    <w:rsid w:val="00FC0AF8"/>
    <w:rsid w:val="00FC0B69"/>
    <w:rsid w:val="00FC1483"/>
    <w:rsid w:val="00FC1C47"/>
    <w:rsid w:val="00FC3102"/>
    <w:rsid w:val="00FC39ED"/>
    <w:rsid w:val="00FC4419"/>
    <w:rsid w:val="00FC47E2"/>
    <w:rsid w:val="00FC4AA5"/>
    <w:rsid w:val="00FC4B88"/>
    <w:rsid w:val="00FC4BB8"/>
    <w:rsid w:val="00FC5148"/>
    <w:rsid w:val="00FC6524"/>
    <w:rsid w:val="00FC6B58"/>
    <w:rsid w:val="00FC75AC"/>
    <w:rsid w:val="00FC7984"/>
    <w:rsid w:val="00FD01BF"/>
    <w:rsid w:val="00FD0525"/>
    <w:rsid w:val="00FD0AB7"/>
    <w:rsid w:val="00FD297D"/>
    <w:rsid w:val="00FD2D13"/>
    <w:rsid w:val="00FD374D"/>
    <w:rsid w:val="00FD6071"/>
    <w:rsid w:val="00FD633B"/>
    <w:rsid w:val="00FE0794"/>
    <w:rsid w:val="00FE1041"/>
    <w:rsid w:val="00FE1A47"/>
    <w:rsid w:val="00FE24CB"/>
    <w:rsid w:val="00FE2FC2"/>
    <w:rsid w:val="00FE323F"/>
    <w:rsid w:val="00FE3473"/>
    <w:rsid w:val="00FE35CC"/>
    <w:rsid w:val="00FE4049"/>
    <w:rsid w:val="00FE4794"/>
    <w:rsid w:val="00FE480F"/>
    <w:rsid w:val="00FE4998"/>
    <w:rsid w:val="00FE56B7"/>
    <w:rsid w:val="00FE57DE"/>
    <w:rsid w:val="00FE7A68"/>
    <w:rsid w:val="00FF0231"/>
    <w:rsid w:val="00FF1C9B"/>
    <w:rsid w:val="00FF1D49"/>
    <w:rsid w:val="00FF203B"/>
    <w:rsid w:val="00FF2562"/>
    <w:rsid w:val="00FF2B6C"/>
    <w:rsid w:val="00FF3A41"/>
    <w:rsid w:val="00FF3E5B"/>
    <w:rsid w:val="00FF4C8E"/>
    <w:rsid w:val="00FF57E4"/>
    <w:rsid w:val="00FF62AA"/>
    <w:rsid w:val="00FF78E5"/>
    <w:rsid w:val="010827C0"/>
    <w:rsid w:val="0119677B"/>
    <w:rsid w:val="012C5FAF"/>
    <w:rsid w:val="01AF3D99"/>
    <w:rsid w:val="01B52C2D"/>
    <w:rsid w:val="01F91C73"/>
    <w:rsid w:val="01F96404"/>
    <w:rsid w:val="0201302D"/>
    <w:rsid w:val="02200AAA"/>
    <w:rsid w:val="02247ACE"/>
    <w:rsid w:val="02337361"/>
    <w:rsid w:val="02511F9D"/>
    <w:rsid w:val="02DB6B5E"/>
    <w:rsid w:val="035100F2"/>
    <w:rsid w:val="036543A8"/>
    <w:rsid w:val="03654FA1"/>
    <w:rsid w:val="03A03330"/>
    <w:rsid w:val="03A314B8"/>
    <w:rsid w:val="03B7227C"/>
    <w:rsid w:val="03BB1D6C"/>
    <w:rsid w:val="03C5243A"/>
    <w:rsid w:val="03D82B98"/>
    <w:rsid w:val="03E47515"/>
    <w:rsid w:val="03F83E8B"/>
    <w:rsid w:val="03FF37B7"/>
    <w:rsid w:val="04140663"/>
    <w:rsid w:val="0451328B"/>
    <w:rsid w:val="046269DF"/>
    <w:rsid w:val="04BF763A"/>
    <w:rsid w:val="04CD61FB"/>
    <w:rsid w:val="04EF7F2B"/>
    <w:rsid w:val="050140F6"/>
    <w:rsid w:val="05067536"/>
    <w:rsid w:val="051929AB"/>
    <w:rsid w:val="05305068"/>
    <w:rsid w:val="05A131E3"/>
    <w:rsid w:val="05AC1B2E"/>
    <w:rsid w:val="05C56868"/>
    <w:rsid w:val="05CB2E5F"/>
    <w:rsid w:val="061C715B"/>
    <w:rsid w:val="06472F82"/>
    <w:rsid w:val="06705FB0"/>
    <w:rsid w:val="068F128E"/>
    <w:rsid w:val="0693415D"/>
    <w:rsid w:val="06EF31F8"/>
    <w:rsid w:val="06F2558C"/>
    <w:rsid w:val="07017BB4"/>
    <w:rsid w:val="07131CDD"/>
    <w:rsid w:val="07A33592"/>
    <w:rsid w:val="07B72767"/>
    <w:rsid w:val="07BB67DE"/>
    <w:rsid w:val="07D63618"/>
    <w:rsid w:val="07E43A81"/>
    <w:rsid w:val="07FB4E2D"/>
    <w:rsid w:val="08077E72"/>
    <w:rsid w:val="0832086E"/>
    <w:rsid w:val="083245C7"/>
    <w:rsid w:val="0843490A"/>
    <w:rsid w:val="08882DD0"/>
    <w:rsid w:val="08946FCA"/>
    <w:rsid w:val="08B80099"/>
    <w:rsid w:val="09364131"/>
    <w:rsid w:val="093F3D8B"/>
    <w:rsid w:val="09666C3E"/>
    <w:rsid w:val="097474D2"/>
    <w:rsid w:val="0981726F"/>
    <w:rsid w:val="098F7F12"/>
    <w:rsid w:val="09C23374"/>
    <w:rsid w:val="09CA084E"/>
    <w:rsid w:val="09CC2AAC"/>
    <w:rsid w:val="09EF16FD"/>
    <w:rsid w:val="0A092713"/>
    <w:rsid w:val="0A09478D"/>
    <w:rsid w:val="0A256191"/>
    <w:rsid w:val="0A397E8E"/>
    <w:rsid w:val="0A3D797F"/>
    <w:rsid w:val="0A423A07"/>
    <w:rsid w:val="0A4A5BF8"/>
    <w:rsid w:val="0A652D3E"/>
    <w:rsid w:val="0A6E5D8A"/>
    <w:rsid w:val="0A7F7F97"/>
    <w:rsid w:val="0AAF0151"/>
    <w:rsid w:val="0AD876A7"/>
    <w:rsid w:val="0B0E1130"/>
    <w:rsid w:val="0B305702"/>
    <w:rsid w:val="0B326F2A"/>
    <w:rsid w:val="0B372620"/>
    <w:rsid w:val="0B3E3044"/>
    <w:rsid w:val="0B5374D4"/>
    <w:rsid w:val="0BFE313E"/>
    <w:rsid w:val="0C1E2888"/>
    <w:rsid w:val="0C4C20FB"/>
    <w:rsid w:val="0C6531BD"/>
    <w:rsid w:val="0C8E61AF"/>
    <w:rsid w:val="0C8F1FE8"/>
    <w:rsid w:val="0C92213C"/>
    <w:rsid w:val="0CAF06D2"/>
    <w:rsid w:val="0CBE28CD"/>
    <w:rsid w:val="0CC2027E"/>
    <w:rsid w:val="0D7B16D9"/>
    <w:rsid w:val="0D84032B"/>
    <w:rsid w:val="0D860CD8"/>
    <w:rsid w:val="0DB13EEB"/>
    <w:rsid w:val="0DB735A4"/>
    <w:rsid w:val="0E6454B7"/>
    <w:rsid w:val="0E8A6F0A"/>
    <w:rsid w:val="0E9F560A"/>
    <w:rsid w:val="0ECE329B"/>
    <w:rsid w:val="0EE428AF"/>
    <w:rsid w:val="0EF645A0"/>
    <w:rsid w:val="0F094436"/>
    <w:rsid w:val="0F2A74C4"/>
    <w:rsid w:val="0F5A5D56"/>
    <w:rsid w:val="0F620A10"/>
    <w:rsid w:val="0F711E78"/>
    <w:rsid w:val="0F7729A5"/>
    <w:rsid w:val="0FA61B22"/>
    <w:rsid w:val="10014FAA"/>
    <w:rsid w:val="101E5B5C"/>
    <w:rsid w:val="104A1F3F"/>
    <w:rsid w:val="104A4BA3"/>
    <w:rsid w:val="107240FA"/>
    <w:rsid w:val="108D4996"/>
    <w:rsid w:val="10A27F31"/>
    <w:rsid w:val="10DC1574"/>
    <w:rsid w:val="10E03CC6"/>
    <w:rsid w:val="11101D8E"/>
    <w:rsid w:val="115B4B8E"/>
    <w:rsid w:val="118916FB"/>
    <w:rsid w:val="11927058"/>
    <w:rsid w:val="11BA7B07"/>
    <w:rsid w:val="11BD2243"/>
    <w:rsid w:val="11C14915"/>
    <w:rsid w:val="11F72B09"/>
    <w:rsid w:val="121045D6"/>
    <w:rsid w:val="122D02D9"/>
    <w:rsid w:val="122D2087"/>
    <w:rsid w:val="12743D83"/>
    <w:rsid w:val="128D0D77"/>
    <w:rsid w:val="12957C2C"/>
    <w:rsid w:val="12AD3208"/>
    <w:rsid w:val="12B96010"/>
    <w:rsid w:val="12FE2018"/>
    <w:rsid w:val="130628D8"/>
    <w:rsid w:val="131928BF"/>
    <w:rsid w:val="131B727A"/>
    <w:rsid w:val="135B2B22"/>
    <w:rsid w:val="137D5290"/>
    <w:rsid w:val="13914897"/>
    <w:rsid w:val="13946135"/>
    <w:rsid w:val="13AF4F03"/>
    <w:rsid w:val="13E04CDB"/>
    <w:rsid w:val="144A092A"/>
    <w:rsid w:val="14704A54"/>
    <w:rsid w:val="14736E66"/>
    <w:rsid w:val="147F458F"/>
    <w:rsid w:val="14947BFE"/>
    <w:rsid w:val="149A00A4"/>
    <w:rsid w:val="14B10388"/>
    <w:rsid w:val="14D174E6"/>
    <w:rsid w:val="14E44281"/>
    <w:rsid w:val="15033573"/>
    <w:rsid w:val="1534169A"/>
    <w:rsid w:val="156068E6"/>
    <w:rsid w:val="156D538C"/>
    <w:rsid w:val="159B506F"/>
    <w:rsid w:val="15C03E03"/>
    <w:rsid w:val="16140CAA"/>
    <w:rsid w:val="16290DB7"/>
    <w:rsid w:val="162A25EB"/>
    <w:rsid w:val="16353C00"/>
    <w:rsid w:val="16735895"/>
    <w:rsid w:val="16816E45"/>
    <w:rsid w:val="16B54D41"/>
    <w:rsid w:val="16C653F4"/>
    <w:rsid w:val="16D01B7A"/>
    <w:rsid w:val="16ED6288"/>
    <w:rsid w:val="16FA4BD2"/>
    <w:rsid w:val="16FD2A55"/>
    <w:rsid w:val="17001FDA"/>
    <w:rsid w:val="17067C1A"/>
    <w:rsid w:val="17233A58"/>
    <w:rsid w:val="173619DD"/>
    <w:rsid w:val="17366761"/>
    <w:rsid w:val="174E2EC4"/>
    <w:rsid w:val="17514A69"/>
    <w:rsid w:val="17567E8F"/>
    <w:rsid w:val="176F6C9D"/>
    <w:rsid w:val="177C01F0"/>
    <w:rsid w:val="179E3EFA"/>
    <w:rsid w:val="17A252C5"/>
    <w:rsid w:val="17CE6630"/>
    <w:rsid w:val="17F4641B"/>
    <w:rsid w:val="181D494B"/>
    <w:rsid w:val="18291A50"/>
    <w:rsid w:val="1844637C"/>
    <w:rsid w:val="184B6E30"/>
    <w:rsid w:val="18573BB3"/>
    <w:rsid w:val="185F6D12"/>
    <w:rsid w:val="18772542"/>
    <w:rsid w:val="187F3D33"/>
    <w:rsid w:val="18820F70"/>
    <w:rsid w:val="18972950"/>
    <w:rsid w:val="18F558C8"/>
    <w:rsid w:val="192F0F26"/>
    <w:rsid w:val="195474DE"/>
    <w:rsid w:val="195B507D"/>
    <w:rsid w:val="19BE25EF"/>
    <w:rsid w:val="19EE7E5D"/>
    <w:rsid w:val="1A1D50D7"/>
    <w:rsid w:val="1A5F0EA6"/>
    <w:rsid w:val="1A7B3BAB"/>
    <w:rsid w:val="1A8B76DB"/>
    <w:rsid w:val="1A98650B"/>
    <w:rsid w:val="1AA94BBC"/>
    <w:rsid w:val="1AAA4452"/>
    <w:rsid w:val="1AC252C2"/>
    <w:rsid w:val="1AC63078"/>
    <w:rsid w:val="1AD11A1D"/>
    <w:rsid w:val="1AFF0AFE"/>
    <w:rsid w:val="1B412001"/>
    <w:rsid w:val="1B4F19F8"/>
    <w:rsid w:val="1BA972F6"/>
    <w:rsid w:val="1BE50DD1"/>
    <w:rsid w:val="1C1F23FA"/>
    <w:rsid w:val="1C4306F9"/>
    <w:rsid w:val="1C4526C3"/>
    <w:rsid w:val="1C5D5C5E"/>
    <w:rsid w:val="1C6B432E"/>
    <w:rsid w:val="1C8101E5"/>
    <w:rsid w:val="1C8409D2"/>
    <w:rsid w:val="1C970A1D"/>
    <w:rsid w:val="1CCE2EE5"/>
    <w:rsid w:val="1CDA72AF"/>
    <w:rsid w:val="1CEF7146"/>
    <w:rsid w:val="1D0A6375"/>
    <w:rsid w:val="1D322C47"/>
    <w:rsid w:val="1DB7314C"/>
    <w:rsid w:val="1DBE272D"/>
    <w:rsid w:val="1DC31AF1"/>
    <w:rsid w:val="1DE1641B"/>
    <w:rsid w:val="1DE5046B"/>
    <w:rsid w:val="1E1F1D09"/>
    <w:rsid w:val="1E3E4FB4"/>
    <w:rsid w:val="1E4852D2"/>
    <w:rsid w:val="1E4F2A7A"/>
    <w:rsid w:val="1E694596"/>
    <w:rsid w:val="1E70765E"/>
    <w:rsid w:val="1E9621D4"/>
    <w:rsid w:val="1EB202A6"/>
    <w:rsid w:val="1EC76CCF"/>
    <w:rsid w:val="1ECC44FA"/>
    <w:rsid w:val="1ED6486B"/>
    <w:rsid w:val="1EDB63FC"/>
    <w:rsid w:val="1F063325"/>
    <w:rsid w:val="1F1617FB"/>
    <w:rsid w:val="1F1C1B35"/>
    <w:rsid w:val="1F1F5219"/>
    <w:rsid w:val="1F300115"/>
    <w:rsid w:val="1F3A0E0F"/>
    <w:rsid w:val="1F5642FC"/>
    <w:rsid w:val="1F5F3A9B"/>
    <w:rsid w:val="1FAE057F"/>
    <w:rsid w:val="1FBC5DF5"/>
    <w:rsid w:val="1FF90588"/>
    <w:rsid w:val="2018762F"/>
    <w:rsid w:val="202A22FB"/>
    <w:rsid w:val="202B5346"/>
    <w:rsid w:val="202C2386"/>
    <w:rsid w:val="20400F91"/>
    <w:rsid w:val="20514B81"/>
    <w:rsid w:val="2056255B"/>
    <w:rsid w:val="20574407"/>
    <w:rsid w:val="206A570B"/>
    <w:rsid w:val="20BD452B"/>
    <w:rsid w:val="20C3623F"/>
    <w:rsid w:val="20DA182C"/>
    <w:rsid w:val="20F46465"/>
    <w:rsid w:val="210900A7"/>
    <w:rsid w:val="212156C5"/>
    <w:rsid w:val="2148258B"/>
    <w:rsid w:val="21611D4D"/>
    <w:rsid w:val="216B4602"/>
    <w:rsid w:val="21771E62"/>
    <w:rsid w:val="21781212"/>
    <w:rsid w:val="21B83F86"/>
    <w:rsid w:val="21EA380F"/>
    <w:rsid w:val="221178A8"/>
    <w:rsid w:val="221213CF"/>
    <w:rsid w:val="22327A92"/>
    <w:rsid w:val="223D23F1"/>
    <w:rsid w:val="2254540E"/>
    <w:rsid w:val="226C668D"/>
    <w:rsid w:val="22AD188F"/>
    <w:rsid w:val="22FF181D"/>
    <w:rsid w:val="230063DC"/>
    <w:rsid w:val="23151AAF"/>
    <w:rsid w:val="231D53A2"/>
    <w:rsid w:val="23447FE4"/>
    <w:rsid w:val="235B5EFE"/>
    <w:rsid w:val="236D5383"/>
    <w:rsid w:val="23863CED"/>
    <w:rsid w:val="239A7798"/>
    <w:rsid w:val="239F377F"/>
    <w:rsid w:val="23A35E53"/>
    <w:rsid w:val="23B24AE2"/>
    <w:rsid w:val="23B7504C"/>
    <w:rsid w:val="23C84DE9"/>
    <w:rsid w:val="2419690F"/>
    <w:rsid w:val="24571307"/>
    <w:rsid w:val="24715ECA"/>
    <w:rsid w:val="24754E93"/>
    <w:rsid w:val="247E43DB"/>
    <w:rsid w:val="24967F5F"/>
    <w:rsid w:val="249C557D"/>
    <w:rsid w:val="24F829C8"/>
    <w:rsid w:val="25110A2A"/>
    <w:rsid w:val="25145328"/>
    <w:rsid w:val="25240D0A"/>
    <w:rsid w:val="256C0944"/>
    <w:rsid w:val="25733194"/>
    <w:rsid w:val="25967363"/>
    <w:rsid w:val="259F2E44"/>
    <w:rsid w:val="25E65E18"/>
    <w:rsid w:val="26446DE3"/>
    <w:rsid w:val="2674607E"/>
    <w:rsid w:val="267A740D"/>
    <w:rsid w:val="267E514F"/>
    <w:rsid w:val="269669E7"/>
    <w:rsid w:val="269E134D"/>
    <w:rsid w:val="26A270C1"/>
    <w:rsid w:val="26CE2F65"/>
    <w:rsid w:val="26D7699F"/>
    <w:rsid w:val="26FB054E"/>
    <w:rsid w:val="27174C5C"/>
    <w:rsid w:val="272C0399"/>
    <w:rsid w:val="277A5AEB"/>
    <w:rsid w:val="2789543C"/>
    <w:rsid w:val="27AF043B"/>
    <w:rsid w:val="27B0578B"/>
    <w:rsid w:val="27B87198"/>
    <w:rsid w:val="27BC5F2F"/>
    <w:rsid w:val="27DC037F"/>
    <w:rsid w:val="28177609"/>
    <w:rsid w:val="281E1EFD"/>
    <w:rsid w:val="287B5CFE"/>
    <w:rsid w:val="28A3717E"/>
    <w:rsid w:val="28CB21A2"/>
    <w:rsid w:val="29260276"/>
    <w:rsid w:val="29283150"/>
    <w:rsid w:val="29316245"/>
    <w:rsid w:val="299802D6"/>
    <w:rsid w:val="29AE5D4B"/>
    <w:rsid w:val="29B75078"/>
    <w:rsid w:val="29D75F7F"/>
    <w:rsid w:val="29E22D43"/>
    <w:rsid w:val="29FB2613"/>
    <w:rsid w:val="2A13795C"/>
    <w:rsid w:val="2A1E2D2D"/>
    <w:rsid w:val="2A353998"/>
    <w:rsid w:val="2A9D41C3"/>
    <w:rsid w:val="2AA212FD"/>
    <w:rsid w:val="2AA607D0"/>
    <w:rsid w:val="2AF61758"/>
    <w:rsid w:val="2B095AA2"/>
    <w:rsid w:val="2B195E43"/>
    <w:rsid w:val="2B6C7A10"/>
    <w:rsid w:val="2B724B56"/>
    <w:rsid w:val="2B774624"/>
    <w:rsid w:val="2B81687D"/>
    <w:rsid w:val="2B8608E2"/>
    <w:rsid w:val="2B876854"/>
    <w:rsid w:val="2BA14AB8"/>
    <w:rsid w:val="2BD126E4"/>
    <w:rsid w:val="2BDD6474"/>
    <w:rsid w:val="2BEC6A86"/>
    <w:rsid w:val="2BEE242F"/>
    <w:rsid w:val="2BF52B8C"/>
    <w:rsid w:val="2C35005E"/>
    <w:rsid w:val="2C7A72BE"/>
    <w:rsid w:val="2C864D5D"/>
    <w:rsid w:val="2C9A7D75"/>
    <w:rsid w:val="2CC17412"/>
    <w:rsid w:val="2CD60BF4"/>
    <w:rsid w:val="2CD86C3B"/>
    <w:rsid w:val="2D183B14"/>
    <w:rsid w:val="2D283E6C"/>
    <w:rsid w:val="2D7C1E99"/>
    <w:rsid w:val="2D9350C5"/>
    <w:rsid w:val="2DA505AE"/>
    <w:rsid w:val="2DC45B3D"/>
    <w:rsid w:val="2DE735DA"/>
    <w:rsid w:val="2DF57CF0"/>
    <w:rsid w:val="2DF87595"/>
    <w:rsid w:val="2E426A62"/>
    <w:rsid w:val="2E4507CD"/>
    <w:rsid w:val="2E4B4177"/>
    <w:rsid w:val="2E4C78E1"/>
    <w:rsid w:val="2E587F47"/>
    <w:rsid w:val="2E65368C"/>
    <w:rsid w:val="2E70537D"/>
    <w:rsid w:val="2E7B23A5"/>
    <w:rsid w:val="2E8452CD"/>
    <w:rsid w:val="2E9976CE"/>
    <w:rsid w:val="2E9A74E5"/>
    <w:rsid w:val="2EA60904"/>
    <w:rsid w:val="2EE00DC3"/>
    <w:rsid w:val="2EF01DEE"/>
    <w:rsid w:val="2F1877C3"/>
    <w:rsid w:val="2F3B2F8F"/>
    <w:rsid w:val="2F401D3C"/>
    <w:rsid w:val="2F4800A8"/>
    <w:rsid w:val="2F5051AF"/>
    <w:rsid w:val="2F5B24E1"/>
    <w:rsid w:val="2F80100D"/>
    <w:rsid w:val="2F9C5CDB"/>
    <w:rsid w:val="2FA23C5C"/>
    <w:rsid w:val="2FA95C88"/>
    <w:rsid w:val="2FBC149F"/>
    <w:rsid w:val="2FD61B58"/>
    <w:rsid w:val="2FD86E9B"/>
    <w:rsid w:val="2FDE37A5"/>
    <w:rsid w:val="2FE14059"/>
    <w:rsid w:val="2FF80CC3"/>
    <w:rsid w:val="30221C48"/>
    <w:rsid w:val="3034687E"/>
    <w:rsid w:val="303B19BB"/>
    <w:rsid w:val="3041370F"/>
    <w:rsid w:val="30570A65"/>
    <w:rsid w:val="3060369A"/>
    <w:rsid w:val="30B87FED"/>
    <w:rsid w:val="30CF0057"/>
    <w:rsid w:val="30D0332C"/>
    <w:rsid w:val="30E5141E"/>
    <w:rsid w:val="30FE2A72"/>
    <w:rsid w:val="31002774"/>
    <w:rsid w:val="310148F0"/>
    <w:rsid w:val="312B50A3"/>
    <w:rsid w:val="313F18A3"/>
    <w:rsid w:val="31683980"/>
    <w:rsid w:val="31894FD2"/>
    <w:rsid w:val="318F27BC"/>
    <w:rsid w:val="31A55C86"/>
    <w:rsid w:val="31FF0F84"/>
    <w:rsid w:val="32057A20"/>
    <w:rsid w:val="3216448E"/>
    <w:rsid w:val="322A0A17"/>
    <w:rsid w:val="32453A27"/>
    <w:rsid w:val="32543208"/>
    <w:rsid w:val="3263064A"/>
    <w:rsid w:val="32A43132"/>
    <w:rsid w:val="32AC0C06"/>
    <w:rsid w:val="33272EB3"/>
    <w:rsid w:val="33344EF5"/>
    <w:rsid w:val="333472C1"/>
    <w:rsid w:val="334868C9"/>
    <w:rsid w:val="335135AD"/>
    <w:rsid w:val="335C05C6"/>
    <w:rsid w:val="338C209D"/>
    <w:rsid w:val="33C00B55"/>
    <w:rsid w:val="33E47F39"/>
    <w:rsid w:val="3438197C"/>
    <w:rsid w:val="3463556B"/>
    <w:rsid w:val="346F4329"/>
    <w:rsid w:val="349A203C"/>
    <w:rsid w:val="34AB094C"/>
    <w:rsid w:val="34D20697"/>
    <w:rsid w:val="350607E9"/>
    <w:rsid w:val="35066A3B"/>
    <w:rsid w:val="353177BD"/>
    <w:rsid w:val="3537750C"/>
    <w:rsid w:val="3537798C"/>
    <w:rsid w:val="35464696"/>
    <w:rsid w:val="356C32E1"/>
    <w:rsid w:val="35725E7F"/>
    <w:rsid w:val="35737CAC"/>
    <w:rsid w:val="35784B06"/>
    <w:rsid w:val="358E67B3"/>
    <w:rsid w:val="359671E2"/>
    <w:rsid w:val="35C13FC9"/>
    <w:rsid w:val="35EF127D"/>
    <w:rsid w:val="36032A68"/>
    <w:rsid w:val="36107446"/>
    <w:rsid w:val="361376DE"/>
    <w:rsid w:val="36154A5C"/>
    <w:rsid w:val="364257B6"/>
    <w:rsid w:val="365810C1"/>
    <w:rsid w:val="36CC7811"/>
    <w:rsid w:val="36CD03FF"/>
    <w:rsid w:val="36D64360"/>
    <w:rsid w:val="36EB413B"/>
    <w:rsid w:val="36ED7342"/>
    <w:rsid w:val="36F01751"/>
    <w:rsid w:val="37205E40"/>
    <w:rsid w:val="37226CD7"/>
    <w:rsid w:val="37246F13"/>
    <w:rsid w:val="373D24BC"/>
    <w:rsid w:val="373D42AF"/>
    <w:rsid w:val="37517D16"/>
    <w:rsid w:val="37537F32"/>
    <w:rsid w:val="376D14AF"/>
    <w:rsid w:val="37EA5922"/>
    <w:rsid w:val="381D69EA"/>
    <w:rsid w:val="38251228"/>
    <w:rsid w:val="38276B93"/>
    <w:rsid w:val="382C2678"/>
    <w:rsid w:val="386F48F8"/>
    <w:rsid w:val="387A3C2D"/>
    <w:rsid w:val="388C36FB"/>
    <w:rsid w:val="38A8605B"/>
    <w:rsid w:val="38AC3431"/>
    <w:rsid w:val="38D66725"/>
    <w:rsid w:val="38E31989"/>
    <w:rsid w:val="38FC35F8"/>
    <w:rsid w:val="390A63CE"/>
    <w:rsid w:val="392F2E16"/>
    <w:rsid w:val="39522A4F"/>
    <w:rsid w:val="39B43358"/>
    <w:rsid w:val="39DE1D35"/>
    <w:rsid w:val="39E00529"/>
    <w:rsid w:val="3A0B64A7"/>
    <w:rsid w:val="3A2B2AA0"/>
    <w:rsid w:val="3A377697"/>
    <w:rsid w:val="3A3D0823"/>
    <w:rsid w:val="3A40479E"/>
    <w:rsid w:val="3A574DDA"/>
    <w:rsid w:val="3A7E2CEE"/>
    <w:rsid w:val="3AC32CD9"/>
    <w:rsid w:val="3AD3075A"/>
    <w:rsid w:val="3AF74C02"/>
    <w:rsid w:val="3B08125F"/>
    <w:rsid w:val="3B117D69"/>
    <w:rsid w:val="3B143534"/>
    <w:rsid w:val="3B1B48C3"/>
    <w:rsid w:val="3B535B37"/>
    <w:rsid w:val="3B6031D3"/>
    <w:rsid w:val="3B657F1A"/>
    <w:rsid w:val="3B6C15C2"/>
    <w:rsid w:val="3B890DC1"/>
    <w:rsid w:val="3BA65070"/>
    <w:rsid w:val="3C0059A5"/>
    <w:rsid w:val="3C134E78"/>
    <w:rsid w:val="3C2D1349"/>
    <w:rsid w:val="3C406CD7"/>
    <w:rsid w:val="3C4A1903"/>
    <w:rsid w:val="3C4D31A2"/>
    <w:rsid w:val="3C526A0A"/>
    <w:rsid w:val="3C5E0698"/>
    <w:rsid w:val="3C6436E5"/>
    <w:rsid w:val="3C683F6D"/>
    <w:rsid w:val="3C686A41"/>
    <w:rsid w:val="3C88242C"/>
    <w:rsid w:val="3C885F88"/>
    <w:rsid w:val="3C8B21EB"/>
    <w:rsid w:val="3C926E07"/>
    <w:rsid w:val="3CA24F0A"/>
    <w:rsid w:val="3CB4104C"/>
    <w:rsid w:val="3CBD0327"/>
    <w:rsid w:val="3CCB6EDB"/>
    <w:rsid w:val="3D07507C"/>
    <w:rsid w:val="3D1141CF"/>
    <w:rsid w:val="3D1E051B"/>
    <w:rsid w:val="3D566798"/>
    <w:rsid w:val="3D580050"/>
    <w:rsid w:val="3D7F5B5C"/>
    <w:rsid w:val="3D812C57"/>
    <w:rsid w:val="3D8E57A9"/>
    <w:rsid w:val="3D9B618F"/>
    <w:rsid w:val="3DA05553"/>
    <w:rsid w:val="3DCC6348"/>
    <w:rsid w:val="3DEC579F"/>
    <w:rsid w:val="3DF6345D"/>
    <w:rsid w:val="3E0D0E3B"/>
    <w:rsid w:val="3E1B68A6"/>
    <w:rsid w:val="3E233DBE"/>
    <w:rsid w:val="3E2B5515"/>
    <w:rsid w:val="3E3F4D6C"/>
    <w:rsid w:val="3E4D4F28"/>
    <w:rsid w:val="3E524A9F"/>
    <w:rsid w:val="3E817133"/>
    <w:rsid w:val="3E8E4943"/>
    <w:rsid w:val="3EBC63BD"/>
    <w:rsid w:val="3ECB7CDF"/>
    <w:rsid w:val="3ECC7453"/>
    <w:rsid w:val="3ED61746"/>
    <w:rsid w:val="3ED92EC4"/>
    <w:rsid w:val="3EE13701"/>
    <w:rsid w:val="3F1A4BB3"/>
    <w:rsid w:val="3F3874BF"/>
    <w:rsid w:val="3F3E3276"/>
    <w:rsid w:val="3F5A2E5F"/>
    <w:rsid w:val="3F713622"/>
    <w:rsid w:val="3FB362C2"/>
    <w:rsid w:val="3FB45515"/>
    <w:rsid w:val="3FB6105E"/>
    <w:rsid w:val="3FB90C6E"/>
    <w:rsid w:val="3FC731E3"/>
    <w:rsid w:val="3FEC0F24"/>
    <w:rsid w:val="3FEE07F8"/>
    <w:rsid w:val="400022D9"/>
    <w:rsid w:val="40153FD6"/>
    <w:rsid w:val="40192BA6"/>
    <w:rsid w:val="40D44BB8"/>
    <w:rsid w:val="40F63E08"/>
    <w:rsid w:val="40F8373D"/>
    <w:rsid w:val="41114D6F"/>
    <w:rsid w:val="416274F1"/>
    <w:rsid w:val="416B088F"/>
    <w:rsid w:val="41760AA5"/>
    <w:rsid w:val="41766EA9"/>
    <w:rsid w:val="41935450"/>
    <w:rsid w:val="41AD09C3"/>
    <w:rsid w:val="41B65373"/>
    <w:rsid w:val="41DE664A"/>
    <w:rsid w:val="41E6725D"/>
    <w:rsid w:val="41F77652"/>
    <w:rsid w:val="4217445F"/>
    <w:rsid w:val="423D5A66"/>
    <w:rsid w:val="42550A18"/>
    <w:rsid w:val="426E308D"/>
    <w:rsid w:val="429D496A"/>
    <w:rsid w:val="42A038DB"/>
    <w:rsid w:val="42C4395D"/>
    <w:rsid w:val="42F473A1"/>
    <w:rsid w:val="431A7B56"/>
    <w:rsid w:val="43362BE2"/>
    <w:rsid w:val="437217EA"/>
    <w:rsid w:val="4392187A"/>
    <w:rsid w:val="43AB7156"/>
    <w:rsid w:val="43DE0B83"/>
    <w:rsid w:val="441E62C0"/>
    <w:rsid w:val="442102EF"/>
    <w:rsid w:val="442D4712"/>
    <w:rsid w:val="4434212B"/>
    <w:rsid w:val="44916AD9"/>
    <w:rsid w:val="449D7506"/>
    <w:rsid w:val="44A71A4C"/>
    <w:rsid w:val="45062140"/>
    <w:rsid w:val="45325D14"/>
    <w:rsid w:val="45571063"/>
    <w:rsid w:val="456F23DB"/>
    <w:rsid w:val="45811C7C"/>
    <w:rsid w:val="45906116"/>
    <w:rsid w:val="45917908"/>
    <w:rsid w:val="45931B8C"/>
    <w:rsid w:val="459B015E"/>
    <w:rsid w:val="459B6D2C"/>
    <w:rsid w:val="45EF2552"/>
    <w:rsid w:val="460B6AC0"/>
    <w:rsid w:val="463B22BD"/>
    <w:rsid w:val="464C1EC6"/>
    <w:rsid w:val="466E61EE"/>
    <w:rsid w:val="46733CB9"/>
    <w:rsid w:val="467550A7"/>
    <w:rsid w:val="468B3EFB"/>
    <w:rsid w:val="468E6891"/>
    <w:rsid w:val="46C95B1B"/>
    <w:rsid w:val="46FA2EE3"/>
    <w:rsid w:val="470A6193"/>
    <w:rsid w:val="471548BC"/>
    <w:rsid w:val="47385210"/>
    <w:rsid w:val="47555600"/>
    <w:rsid w:val="475F1FDB"/>
    <w:rsid w:val="476D1D47"/>
    <w:rsid w:val="47A0743D"/>
    <w:rsid w:val="47A617A5"/>
    <w:rsid w:val="47C56F66"/>
    <w:rsid w:val="47D31E1A"/>
    <w:rsid w:val="47DC4F5C"/>
    <w:rsid w:val="4840005F"/>
    <w:rsid w:val="484F7DD9"/>
    <w:rsid w:val="48552BC8"/>
    <w:rsid w:val="48B40671"/>
    <w:rsid w:val="48BC6F7A"/>
    <w:rsid w:val="48F8074C"/>
    <w:rsid w:val="49042FF5"/>
    <w:rsid w:val="49076335"/>
    <w:rsid w:val="4922291D"/>
    <w:rsid w:val="492B4C09"/>
    <w:rsid w:val="492B6619"/>
    <w:rsid w:val="49604478"/>
    <w:rsid w:val="499B5738"/>
    <w:rsid w:val="499F244D"/>
    <w:rsid w:val="49B900C8"/>
    <w:rsid w:val="49CF169A"/>
    <w:rsid w:val="4A1953E5"/>
    <w:rsid w:val="4A1E617D"/>
    <w:rsid w:val="4A7E670F"/>
    <w:rsid w:val="4A970798"/>
    <w:rsid w:val="4A973F3F"/>
    <w:rsid w:val="4A9D48C2"/>
    <w:rsid w:val="4ABB577A"/>
    <w:rsid w:val="4ABC3301"/>
    <w:rsid w:val="4AC31D20"/>
    <w:rsid w:val="4AC83F74"/>
    <w:rsid w:val="4ACE1952"/>
    <w:rsid w:val="4AF96BC7"/>
    <w:rsid w:val="4B0C003F"/>
    <w:rsid w:val="4B136655"/>
    <w:rsid w:val="4B643D98"/>
    <w:rsid w:val="4B702A09"/>
    <w:rsid w:val="4B862A85"/>
    <w:rsid w:val="4B8F39AF"/>
    <w:rsid w:val="4BA53E30"/>
    <w:rsid w:val="4BB94F2D"/>
    <w:rsid w:val="4BDD0672"/>
    <w:rsid w:val="4BE33F9B"/>
    <w:rsid w:val="4BF36441"/>
    <w:rsid w:val="4C2832E3"/>
    <w:rsid w:val="4C4D68A6"/>
    <w:rsid w:val="4C7E1155"/>
    <w:rsid w:val="4C9F7D59"/>
    <w:rsid w:val="4CA010CC"/>
    <w:rsid w:val="4CB708CE"/>
    <w:rsid w:val="4CD7788D"/>
    <w:rsid w:val="4CDE5035"/>
    <w:rsid w:val="4CE54D31"/>
    <w:rsid w:val="4CEF36E2"/>
    <w:rsid w:val="4CEF4DC5"/>
    <w:rsid w:val="4D1D595E"/>
    <w:rsid w:val="4D2E492A"/>
    <w:rsid w:val="4DAD1323"/>
    <w:rsid w:val="4DB43081"/>
    <w:rsid w:val="4DBA440F"/>
    <w:rsid w:val="4DCC61A3"/>
    <w:rsid w:val="4DDA7116"/>
    <w:rsid w:val="4E257655"/>
    <w:rsid w:val="4E263853"/>
    <w:rsid w:val="4E2D4BE1"/>
    <w:rsid w:val="4E375A60"/>
    <w:rsid w:val="4E4A29CE"/>
    <w:rsid w:val="4E5A1BC6"/>
    <w:rsid w:val="4E612ADD"/>
    <w:rsid w:val="4E7B70F2"/>
    <w:rsid w:val="4EA54611"/>
    <w:rsid w:val="4ED01321"/>
    <w:rsid w:val="4EE01C53"/>
    <w:rsid w:val="4EF56E5A"/>
    <w:rsid w:val="4EFF09F2"/>
    <w:rsid w:val="4F017C92"/>
    <w:rsid w:val="4F372380"/>
    <w:rsid w:val="4F372FFB"/>
    <w:rsid w:val="4F50685F"/>
    <w:rsid w:val="4F552D33"/>
    <w:rsid w:val="4F604F02"/>
    <w:rsid w:val="4F6D6A9E"/>
    <w:rsid w:val="4FAC106B"/>
    <w:rsid w:val="4FAD6032"/>
    <w:rsid w:val="4FDC1C12"/>
    <w:rsid w:val="4FDD1914"/>
    <w:rsid w:val="4FED287A"/>
    <w:rsid w:val="50137E07"/>
    <w:rsid w:val="501F792A"/>
    <w:rsid w:val="502320A0"/>
    <w:rsid w:val="5025116D"/>
    <w:rsid w:val="505C3744"/>
    <w:rsid w:val="505E5526"/>
    <w:rsid w:val="50CE76FD"/>
    <w:rsid w:val="50DE66D4"/>
    <w:rsid w:val="5119769F"/>
    <w:rsid w:val="511F7661"/>
    <w:rsid w:val="51262341"/>
    <w:rsid w:val="512978E2"/>
    <w:rsid w:val="513E4D75"/>
    <w:rsid w:val="517F61AE"/>
    <w:rsid w:val="519C2EC4"/>
    <w:rsid w:val="51B94AD4"/>
    <w:rsid w:val="51D07D5D"/>
    <w:rsid w:val="51DF6918"/>
    <w:rsid w:val="521B663F"/>
    <w:rsid w:val="52395ECD"/>
    <w:rsid w:val="52575E63"/>
    <w:rsid w:val="52650DED"/>
    <w:rsid w:val="52860CDE"/>
    <w:rsid w:val="52887E58"/>
    <w:rsid w:val="52BD6456"/>
    <w:rsid w:val="52C10D75"/>
    <w:rsid w:val="52E71BFE"/>
    <w:rsid w:val="533F163E"/>
    <w:rsid w:val="53586243"/>
    <w:rsid w:val="53626BF3"/>
    <w:rsid w:val="53C27FF8"/>
    <w:rsid w:val="53D76A77"/>
    <w:rsid w:val="544246B9"/>
    <w:rsid w:val="54794B5F"/>
    <w:rsid w:val="549E1A80"/>
    <w:rsid w:val="54A77640"/>
    <w:rsid w:val="54BA1986"/>
    <w:rsid w:val="54C658F4"/>
    <w:rsid w:val="54EB3100"/>
    <w:rsid w:val="5503044A"/>
    <w:rsid w:val="550C4BD7"/>
    <w:rsid w:val="55102A40"/>
    <w:rsid w:val="55275A0F"/>
    <w:rsid w:val="554B0C61"/>
    <w:rsid w:val="554C1D56"/>
    <w:rsid w:val="555109BF"/>
    <w:rsid w:val="555278AF"/>
    <w:rsid w:val="55572986"/>
    <w:rsid w:val="55757355"/>
    <w:rsid w:val="558E2819"/>
    <w:rsid w:val="55C37BD9"/>
    <w:rsid w:val="55CE6CAA"/>
    <w:rsid w:val="55D2686D"/>
    <w:rsid w:val="55E942E3"/>
    <w:rsid w:val="56233DAE"/>
    <w:rsid w:val="564E6D54"/>
    <w:rsid w:val="56507986"/>
    <w:rsid w:val="565340FA"/>
    <w:rsid w:val="565A22EB"/>
    <w:rsid w:val="565C6063"/>
    <w:rsid w:val="566841AB"/>
    <w:rsid w:val="568C38D5"/>
    <w:rsid w:val="568D27BB"/>
    <w:rsid w:val="56AD5F59"/>
    <w:rsid w:val="56AE5057"/>
    <w:rsid w:val="56B04601"/>
    <w:rsid w:val="56B22127"/>
    <w:rsid w:val="56E764C8"/>
    <w:rsid w:val="570C524E"/>
    <w:rsid w:val="575136EE"/>
    <w:rsid w:val="57645F73"/>
    <w:rsid w:val="576E2576"/>
    <w:rsid w:val="579049BE"/>
    <w:rsid w:val="579B0E0D"/>
    <w:rsid w:val="57A66625"/>
    <w:rsid w:val="57AB06F3"/>
    <w:rsid w:val="57B12A52"/>
    <w:rsid w:val="57BB4B36"/>
    <w:rsid w:val="57E01845"/>
    <w:rsid w:val="57EE5248"/>
    <w:rsid w:val="584658BF"/>
    <w:rsid w:val="58777AE3"/>
    <w:rsid w:val="588F4785"/>
    <w:rsid w:val="58C5233B"/>
    <w:rsid w:val="58C70DCE"/>
    <w:rsid w:val="59080725"/>
    <w:rsid w:val="59114324"/>
    <w:rsid w:val="5952374E"/>
    <w:rsid w:val="59777658"/>
    <w:rsid w:val="597C6A1D"/>
    <w:rsid w:val="598F0487"/>
    <w:rsid w:val="598F04FE"/>
    <w:rsid w:val="59A860E0"/>
    <w:rsid w:val="59B43CF0"/>
    <w:rsid w:val="59E30CB0"/>
    <w:rsid w:val="5A161AA5"/>
    <w:rsid w:val="5A1E62F5"/>
    <w:rsid w:val="5A2F2CC8"/>
    <w:rsid w:val="5A5534F6"/>
    <w:rsid w:val="5A6516AD"/>
    <w:rsid w:val="5A7F64E2"/>
    <w:rsid w:val="5A8D7AED"/>
    <w:rsid w:val="5A8E77E6"/>
    <w:rsid w:val="5A981634"/>
    <w:rsid w:val="5A9E0BA0"/>
    <w:rsid w:val="5AB67D0C"/>
    <w:rsid w:val="5ADB6D24"/>
    <w:rsid w:val="5AE05C9A"/>
    <w:rsid w:val="5AF947C9"/>
    <w:rsid w:val="5B060C94"/>
    <w:rsid w:val="5B1F1D55"/>
    <w:rsid w:val="5B20432C"/>
    <w:rsid w:val="5B317B51"/>
    <w:rsid w:val="5B4D68C3"/>
    <w:rsid w:val="5B5E10B5"/>
    <w:rsid w:val="5B6657AD"/>
    <w:rsid w:val="5BD06439"/>
    <w:rsid w:val="5C10702D"/>
    <w:rsid w:val="5C1212B5"/>
    <w:rsid w:val="5C152601"/>
    <w:rsid w:val="5C2238AB"/>
    <w:rsid w:val="5C563555"/>
    <w:rsid w:val="5C581F57"/>
    <w:rsid w:val="5C591F03"/>
    <w:rsid w:val="5C877BB2"/>
    <w:rsid w:val="5C8A1B2F"/>
    <w:rsid w:val="5C9F4EFC"/>
    <w:rsid w:val="5CBB785C"/>
    <w:rsid w:val="5CCB58BF"/>
    <w:rsid w:val="5D2C3FDA"/>
    <w:rsid w:val="5D3F048D"/>
    <w:rsid w:val="5D501790"/>
    <w:rsid w:val="5D693414"/>
    <w:rsid w:val="5D7142FE"/>
    <w:rsid w:val="5D79648E"/>
    <w:rsid w:val="5D7E58D3"/>
    <w:rsid w:val="5D95186C"/>
    <w:rsid w:val="5DB744C7"/>
    <w:rsid w:val="5DE1109B"/>
    <w:rsid w:val="5DED477A"/>
    <w:rsid w:val="5DF66D9E"/>
    <w:rsid w:val="5DFB43B4"/>
    <w:rsid w:val="5DFC351B"/>
    <w:rsid w:val="5E1426A9"/>
    <w:rsid w:val="5E251431"/>
    <w:rsid w:val="5E954808"/>
    <w:rsid w:val="5EA22C56"/>
    <w:rsid w:val="5EBA0DC9"/>
    <w:rsid w:val="5F3B73F3"/>
    <w:rsid w:val="5F447FDD"/>
    <w:rsid w:val="5F463F63"/>
    <w:rsid w:val="5F561B72"/>
    <w:rsid w:val="5F5924E9"/>
    <w:rsid w:val="5FCF5AF8"/>
    <w:rsid w:val="5FF44DA7"/>
    <w:rsid w:val="5FF732CD"/>
    <w:rsid w:val="5FF75D1E"/>
    <w:rsid w:val="600D6620"/>
    <w:rsid w:val="6037544B"/>
    <w:rsid w:val="603B318E"/>
    <w:rsid w:val="6052125F"/>
    <w:rsid w:val="606007BB"/>
    <w:rsid w:val="60771CEC"/>
    <w:rsid w:val="609E54CA"/>
    <w:rsid w:val="60AC7F66"/>
    <w:rsid w:val="60C50CA9"/>
    <w:rsid w:val="60C95281"/>
    <w:rsid w:val="60EE58F6"/>
    <w:rsid w:val="611F485D"/>
    <w:rsid w:val="6149254E"/>
    <w:rsid w:val="61730EFA"/>
    <w:rsid w:val="6180680C"/>
    <w:rsid w:val="6181445A"/>
    <w:rsid w:val="61AB60F1"/>
    <w:rsid w:val="61BF10D9"/>
    <w:rsid w:val="61FC6D54"/>
    <w:rsid w:val="620470D5"/>
    <w:rsid w:val="623B56C7"/>
    <w:rsid w:val="62400F9F"/>
    <w:rsid w:val="625B6730"/>
    <w:rsid w:val="627209BD"/>
    <w:rsid w:val="628726BA"/>
    <w:rsid w:val="62AC22DC"/>
    <w:rsid w:val="62EF025F"/>
    <w:rsid w:val="632838CD"/>
    <w:rsid w:val="638A3663"/>
    <w:rsid w:val="638E37D8"/>
    <w:rsid w:val="63972D7A"/>
    <w:rsid w:val="63A22BFD"/>
    <w:rsid w:val="63BA6ABF"/>
    <w:rsid w:val="63CB6517"/>
    <w:rsid w:val="63D30291"/>
    <w:rsid w:val="63D61FE2"/>
    <w:rsid w:val="63E35DF8"/>
    <w:rsid w:val="63F33C04"/>
    <w:rsid w:val="64055F8C"/>
    <w:rsid w:val="645542BC"/>
    <w:rsid w:val="6472739A"/>
    <w:rsid w:val="64E45EF7"/>
    <w:rsid w:val="64F16511"/>
    <w:rsid w:val="64F56A29"/>
    <w:rsid w:val="64F91EF5"/>
    <w:rsid w:val="64FD3107"/>
    <w:rsid w:val="6507580D"/>
    <w:rsid w:val="6523128F"/>
    <w:rsid w:val="65353AE7"/>
    <w:rsid w:val="657607C4"/>
    <w:rsid w:val="65F659AF"/>
    <w:rsid w:val="660E46E0"/>
    <w:rsid w:val="665C0356"/>
    <w:rsid w:val="66640969"/>
    <w:rsid w:val="6691014E"/>
    <w:rsid w:val="66BA15B6"/>
    <w:rsid w:val="66C64D00"/>
    <w:rsid w:val="66C87CCE"/>
    <w:rsid w:val="66C969E6"/>
    <w:rsid w:val="670C5884"/>
    <w:rsid w:val="6731217B"/>
    <w:rsid w:val="67424E02"/>
    <w:rsid w:val="674F5576"/>
    <w:rsid w:val="675D3EA4"/>
    <w:rsid w:val="677060D3"/>
    <w:rsid w:val="677243C5"/>
    <w:rsid w:val="677435B2"/>
    <w:rsid w:val="67902011"/>
    <w:rsid w:val="67C21F06"/>
    <w:rsid w:val="67EF75F1"/>
    <w:rsid w:val="680372D4"/>
    <w:rsid w:val="68352BB8"/>
    <w:rsid w:val="68412CE1"/>
    <w:rsid w:val="684F4F11"/>
    <w:rsid w:val="6859473E"/>
    <w:rsid w:val="68644A48"/>
    <w:rsid w:val="68AA5354"/>
    <w:rsid w:val="68BE60F6"/>
    <w:rsid w:val="68CF4DBB"/>
    <w:rsid w:val="68D128E1"/>
    <w:rsid w:val="68DD74D8"/>
    <w:rsid w:val="68E151AE"/>
    <w:rsid w:val="69034A64"/>
    <w:rsid w:val="69124F16"/>
    <w:rsid w:val="692C3C07"/>
    <w:rsid w:val="69540E1C"/>
    <w:rsid w:val="6973675D"/>
    <w:rsid w:val="69BA15C7"/>
    <w:rsid w:val="69CD5C14"/>
    <w:rsid w:val="69CF0D33"/>
    <w:rsid w:val="69CF2482"/>
    <w:rsid w:val="69D72179"/>
    <w:rsid w:val="69FF347E"/>
    <w:rsid w:val="6A077EF9"/>
    <w:rsid w:val="6A2B7301"/>
    <w:rsid w:val="6A4378D2"/>
    <w:rsid w:val="6A503CD9"/>
    <w:rsid w:val="6AB57FE0"/>
    <w:rsid w:val="6ADB40DC"/>
    <w:rsid w:val="6B9946B3"/>
    <w:rsid w:val="6BAC13E3"/>
    <w:rsid w:val="6BDD0871"/>
    <w:rsid w:val="6BF402A7"/>
    <w:rsid w:val="6C1E27F0"/>
    <w:rsid w:val="6C276F3A"/>
    <w:rsid w:val="6C5C5C0D"/>
    <w:rsid w:val="6C7007C7"/>
    <w:rsid w:val="6C763D3D"/>
    <w:rsid w:val="6C7C7008"/>
    <w:rsid w:val="6C8549F4"/>
    <w:rsid w:val="6C8B2DA7"/>
    <w:rsid w:val="6C8E32FA"/>
    <w:rsid w:val="6CEA5182"/>
    <w:rsid w:val="6CED5B4D"/>
    <w:rsid w:val="6D0B5802"/>
    <w:rsid w:val="6D7361B0"/>
    <w:rsid w:val="6D7636BA"/>
    <w:rsid w:val="6D7952F5"/>
    <w:rsid w:val="6D945A51"/>
    <w:rsid w:val="6DA32372"/>
    <w:rsid w:val="6DBC51E2"/>
    <w:rsid w:val="6DD96DB6"/>
    <w:rsid w:val="6DE76850"/>
    <w:rsid w:val="6E296D1B"/>
    <w:rsid w:val="6E66310E"/>
    <w:rsid w:val="6E932DE0"/>
    <w:rsid w:val="6EA7112B"/>
    <w:rsid w:val="6ECE2FB7"/>
    <w:rsid w:val="6EE47802"/>
    <w:rsid w:val="6EE97C7B"/>
    <w:rsid w:val="6EF91340"/>
    <w:rsid w:val="6EFB3C2C"/>
    <w:rsid w:val="6EFC020C"/>
    <w:rsid w:val="6EFD3419"/>
    <w:rsid w:val="6F1B6617"/>
    <w:rsid w:val="6F234695"/>
    <w:rsid w:val="6F4F27B2"/>
    <w:rsid w:val="6F5E1A6F"/>
    <w:rsid w:val="6F80296B"/>
    <w:rsid w:val="6FB20BD4"/>
    <w:rsid w:val="6FB27657"/>
    <w:rsid w:val="6FBA59BE"/>
    <w:rsid w:val="6FE949B4"/>
    <w:rsid w:val="70296B3E"/>
    <w:rsid w:val="7049646A"/>
    <w:rsid w:val="7057153F"/>
    <w:rsid w:val="70611204"/>
    <w:rsid w:val="70BC724E"/>
    <w:rsid w:val="710C6DC7"/>
    <w:rsid w:val="7119271A"/>
    <w:rsid w:val="71621977"/>
    <w:rsid w:val="7165620F"/>
    <w:rsid w:val="717039F8"/>
    <w:rsid w:val="718F6E95"/>
    <w:rsid w:val="7197202C"/>
    <w:rsid w:val="71EC42E8"/>
    <w:rsid w:val="71FD3831"/>
    <w:rsid w:val="721B697B"/>
    <w:rsid w:val="721C028A"/>
    <w:rsid w:val="72233A82"/>
    <w:rsid w:val="72565C05"/>
    <w:rsid w:val="72605B9A"/>
    <w:rsid w:val="727367B7"/>
    <w:rsid w:val="72971B60"/>
    <w:rsid w:val="72C264DB"/>
    <w:rsid w:val="72C54B39"/>
    <w:rsid w:val="72C6616E"/>
    <w:rsid w:val="72D07765"/>
    <w:rsid w:val="72EB459F"/>
    <w:rsid w:val="72F35B4A"/>
    <w:rsid w:val="72FA0C86"/>
    <w:rsid w:val="73027B3B"/>
    <w:rsid w:val="730648A1"/>
    <w:rsid w:val="734B6169"/>
    <w:rsid w:val="735E7467"/>
    <w:rsid w:val="73707765"/>
    <w:rsid w:val="737E5413"/>
    <w:rsid w:val="73942F67"/>
    <w:rsid w:val="73C951CB"/>
    <w:rsid w:val="74281823"/>
    <w:rsid w:val="74327C85"/>
    <w:rsid w:val="744C0855"/>
    <w:rsid w:val="74673DB7"/>
    <w:rsid w:val="747A3D00"/>
    <w:rsid w:val="747B1BB4"/>
    <w:rsid w:val="74A0585D"/>
    <w:rsid w:val="74BA1345"/>
    <w:rsid w:val="74D13AD5"/>
    <w:rsid w:val="74E50DAE"/>
    <w:rsid w:val="74FA2C30"/>
    <w:rsid w:val="7521699E"/>
    <w:rsid w:val="752C4326"/>
    <w:rsid w:val="752D668A"/>
    <w:rsid w:val="754D5C4B"/>
    <w:rsid w:val="755723C0"/>
    <w:rsid w:val="75D27C98"/>
    <w:rsid w:val="75E82186"/>
    <w:rsid w:val="75FD6934"/>
    <w:rsid w:val="761024BB"/>
    <w:rsid w:val="76183420"/>
    <w:rsid w:val="7630676D"/>
    <w:rsid w:val="764F0490"/>
    <w:rsid w:val="766F3739"/>
    <w:rsid w:val="76BA0E58"/>
    <w:rsid w:val="76C240A7"/>
    <w:rsid w:val="76CE33B8"/>
    <w:rsid w:val="76D637B8"/>
    <w:rsid w:val="76DA416A"/>
    <w:rsid w:val="76F229C2"/>
    <w:rsid w:val="770E33B0"/>
    <w:rsid w:val="771D13E7"/>
    <w:rsid w:val="77336515"/>
    <w:rsid w:val="775246B7"/>
    <w:rsid w:val="776D5ECB"/>
    <w:rsid w:val="77705C44"/>
    <w:rsid w:val="7772528F"/>
    <w:rsid w:val="77BA09E4"/>
    <w:rsid w:val="77DC4DFE"/>
    <w:rsid w:val="780A719E"/>
    <w:rsid w:val="781E69D1"/>
    <w:rsid w:val="78395DAD"/>
    <w:rsid w:val="78914753"/>
    <w:rsid w:val="78957D19"/>
    <w:rsid w:val="78B90C9C"/>
    <w:rsid w:val="78B95140"/>
    <w:rsid w:val="78BD30E4"/>
    <w:rsid w:val="78E81581"/>
    <w:rsid w:val="7901747F"/>
    <w:rsid w:val="7908420F"/>
    <w:rsid w:val="798E4CA2"/>
    <w:rsid w:val="79AD7444"/>
    <w:rsid w:val="79C36276"/>
    <w:rsid w:val="79E32474"/>
    <w:rsid w:val="7A0B6B44"/>
    <w:rsid w:val="7A263B6B"/>
    <w:rsid w:val="7A2B5BC9"/>
    <w:rsid w:val="7A3C7DD6"/>
    <w:rsid w:val="7A454EDD"/>
    <w:rsid w:val="7A650681"/>
    <w:rsid w:val="7A7A34B3"/>
    <w:rsid w:val="7AA1584C"/>
    <w:rsid w:val="7AD87333"/>
    <w:rsid w:val="7AEF309B"/>
    <w:rsid w:val="7AF46346"/>
    <w:rsid w:val="7AF53DCD"/>
    <w:rsid w:val="7B0F5EBF"/>
    <w:rsid w:val="7B130FB9"/>
    <w:rsid w:val="7B324450"/>
    <w:rsid w:val="7B4F1915"/>
    <w:rsid w:val="7B5A4FB8"/>
    <w:rsid w:val="7B5B0730"/>
    <w:rsid w:val="7B656EB9"/>
    <w:rsid w:val="7B705F89"/>
    <w:rsid w:val="7BD32BE2"/>
    <w:rsid w:val="7BD71E38"/>
    <w:rsid w:val="7BDF6C6B"/>
    <w:rsid w:val="7BE84708"/>
    <w:rsid w:val="7BEE62DE"/>
    <w:rsid w:val="7BF64EDE"/>
    <w:rsid w:val="7C09018C"/>
    <w:rsid w:val="7C400C1E"/>
    <w:rsid w:val="7C4128C5"/>
    <w:rsid w:val="7C75137E"/>
    <w:rsid w:val="7CBE0F77"/>
    <w:rsid w:val="7D0C419B"/>
    <w:rsid w:val="7D181A6A"/>
    <w:rsid w:val="7D3D633F"/>
    <w:rsid w:val="7D513B99"/>
    <w:rsid w:val="7D537911"/>
    <w:rsid w:val="7D80675E"/>
    <w:rsid w:val="7D8F476B"/>
    <w:rsid w:val="7D951CD7"/>
    <w:rsid w:val="7DA03048"/>
    <w:rsid w:val="7DA37C8F"/>
    <w:rsid w:val="7DD11708"/>
    <w:rsid w:val="7DEE4A4F"/>
    <w:rsid w:val="7E036801"/>
    <w:rsid w:val="7E171E3C"/>
    <w:rsid w:val="7E2412AD"/>
    <w:rsid w:val="7E402F77"/>
    <w:rsid w:val="7EAE6230"/>
    <w:rsid w:val="7EBD579E"/>
    <w:rsid w:val="7EC167BD"/>
    <w:rsid w:val="7ECA3C03"/>
    <w:rsid w:val="7ED14F91"/>
    <w:rsid w:val="7EFE4FFA"/>
    <w:rsid w:val="7F0E3631"/>
    <w:rsid w:val="7F272D9E"/>
    <w:rsid w:val="7F823E73"/>
    <w:rsid w:val="7F961332"/>
    <w:rsid w:val="7FA206DC"/>
    <w:rsid w:val="7FCF6F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nhideWhenUsed="0" w:uiPriority="9" w:semiHidden="0" w:name="heading 4"/>
    <w:lsdException w:qFormat="1" w:unhideWhenUsed="0" w:uiPriority="9" w:semiHidden="0" w:name="heading 5"/>
    <w:lsdException w:qFormat="1" w:uiPriority="9" w:name="heading 6"/>
    <w:lsdException w:qFormat="1" w:unhideWhenUsed="0" w:uiPriority="0" w:semiHidden="0" w:name="heading 7"/>
    <w:lsdException w:qFormat="1" w:unhideWhenUsed="0" w:uiPriority="9" w:semiHidden="0"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qFormat="1" w:unhideWhenUsed="0" w:uiPriority="9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qFormat="1" w:uiPriority="99" w:semiHidden="0"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iPriority="99"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iPriority="99" w:semiHidden="0"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38"/>
    <w:autoRedefine/>
    <w:qFormat/>
    <w:uiPriority w:val="9"/>
    <w:pPr>
      <w:keepNext/>
      <w:keepLines/>
      <w:spacing w:before="340" w:after="330" w:line="578" w:lineRule="auto"/>
      <w:jc w:val="center"/>
      <w:outlineLvl w:val="0"/>
    </w:pPr>
    <w:rPr>
      <w:b/>
      <w:bCs/>
      <w:kern w:val="44"/>
      <w:sz w:val="36"/>
      <w:szCs w:val="44"/>
    </w:rPr>
  </w:style>
  <w:style w:type="paragraph" w:styleId="6">
    <w:name w:val="heading 2"/>
    <w:basedOn w:val="1"/>
    <w:next w:val="1"/>
    <w:link w:val="39"/>
    <w:autoRedefine/>
    <w:qFormat/>
    <w:uiPriority w:val="9"/>
    <w:pPr>
      <w:keepNext/>
      <w:keepLines/>
      <w:spacing w:before="260" w:after="260" w:line="416" w:lineRule="auto"/>
      <w:outlineLvl w:val="1"/>
    </w:pPr>
    <w:rPr>
      <w:rFonts w:ascii="Cambria" w:hAnsi="Cambria"/>
      <w:b/>
      <w:bCs/>
      <w:sz w:val="32"/>
      <w:szCs w:val="32"/>
    </w:rPr>
  </w:style>
  <w:style w:type="paragraph" w:styleId="7">
    <w:name w:val="heading 4"/>
    <w:basedOn w:val="1"/>
    <w:next w:val="1"/>
    <w:autoRedefine/>
    <w:qFormat/>
    <w:uiPriority w:val="9"/>
    <w:pPr>
      <w:keepNext/>
      <w:keepLines/>
      <w:spacing w:before="280" w:after="290" w:line="376" w:lineRule="auto"/>
      <w:outlineLvl w:val="3"/>
    </w:pPr>
    <w:rPr>
      <w:rFonts w:ascii="Cambria" w:hAnsi="Cambria"/>
      <w:b/>
      <w:bCs/>
      <w:sz w:val="28"/>
      <w:szCs w:val="28"/>
    </w:rPr>
  </w:style>
  <w:style w:type="paragraph" w:styleId="8">
    <w:name w:val="heading 5"/>
    <w:basedOn w:val="1"/>
    <w:next w:val="9"/>
    <w:link w:val="40"/>
    <w:autoRedefine/>
    <w:qFormat/>
    <w:uiPriority w:val="9"/>
    <w:pPr>
      <w:keepNext/>
      <w:keepLines/>
      <w:spacing w:before="280" w:after="290" w:line="376" w:lineRule="auto"/>
      <w:outlineLvl w:val="4"/>
    </w:pPr>
    <w:rPr>
      <w:b/>
      <w:bCs/>
      <w:sz w:val="28"/>
      <w:szCs w:val="28"/>
    </w:rPr>
  </w:style>
  <w:style w:type="paragraph" w:styleId="10">
    <w:name w:val="heading 7"/>
    <w:basedOn w:val="1"/>
    <w:next w:val="1"/>
    <w:link w:val="41"/>
    <w:autoRedefine/>
    <w:qFormat/>
    <w:uiPriority w:val="0"/>
    <w:pPr>
      <w:keepNext/>
      <w:keepLines/>
      <w:spacing w:before="240" w:after="64" w:line="320" w:lineRule="auto"/>
      <w:outlineLvl w:val="6"/>
    </w:pPr>
    <w:rPr>
      <w:b/>
      <w:bCs/>
      <w:sz w:val="24"/>
    </w:rPr>
  </w:style>
  <w:style w:type="paragraph" w:styleId="11">
    <w:name w:val="heading 8"/>
    <w:basedOn w:val="1"/>
    <w:next w:val="1"/>
    <w:link w:val="42"/>
    <w:autoRedefine/>
    <w:qFormat/>
    <w:uiPriority w:val="9"/>
    <w:pPr>
      <w:keepNext/>
      <w:keepLines/>
      <w:spacing w:before="240" w:after="64" w:line="320" w:lineRule="auto"/>
      <w:outlineLvl w:val="7"/>
    </w:pPr>
    <w:rPr>
      <w:rFonts w:ascii="等线 Light" w:hAnsi="等线 Light" w:eastAsia="等线 Light"/>
      <w:sz w:val="24"/>
    </w:rPr>
  </w:style>
  <w:style w:type="character" w:default="1" w:styleId="32">
    <w:name w:val="Default Paragraph Font"/>
    <w:autoRedefine/>
    <w:semiHidden/>
    <w:unhideWhenUsed/>
    <w:qFormat/>
    <w:uiPriority w:val="1"/>
  </w:style>
  <w:style w:type="table" w:default="1" w:styleId="30">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w:basedOn w:val="3"/>
    <w:next w:val="4"/>
    <w:autoRedefine/>
    <w:unhideWhenUsed/>
    <w:qFormat/>
    <w:uiPriority w:val="99"/>
    <w:pPr>
      <w:ind w:firstLine="420" w:firstLineChars="100"/>
    </w:pPr>
  </w:style>
  <w:style w:type="paragraph" w:styleId="3">
    <w:name w:val="Body Text"/>
    <w:basedOn w:val="1"/>
    <w:next w:val="2"/>
    <w:link w:val="45"/>
    <w:autoRedefine/>
    <w:unhideWhenUsed/>
    <w:qFormat/>
    <w:uiPriority w:val="0"/>
    <w:pPr>
      <w:spacing w:after="120"/>
    </w:pPr>
  </w:style>
  <w:style w:type="paragraph" w:styleId="4">
    <w:name w:val="toc 6"/>
    <w:basedOn w:val="1"/>
    <w:next w:val="1"/>
    <w:autoRedefine/>
    <w:semiHidden/>
    <w:qFormat/>
    <w:uiPriority w:val="99"/>
    <w:pPr>
      <w:ind w:left="2100" w:leftChars="1000"/>
    </w:pPr>
  </w:style>
  <w:style w:type="paragraph" w:styleId="9">
    <w:name w:val="Normal Indent"/>
    <w:basedOn w:val="1"/>
    <w:autoRedefine/>
    <w:qFormat/>
    <w:uiPriority w:val="0"/>
    <w:pPr>
      <w:ind w:firstLine="420"/>
    </w:pPr>
    <w:rPr>
      <w:szCs w:val="20"/>
    </w:rPr>
  </w:style>
  <w:style w:type="paragraph" w:styleId="12">
    <w:name w:val="index 8"/>
    <w:basedOn w:val="1"/>
    <w:next w:val="1"/>
    <w:autoRedefine/>
    <w:qFormat/>
    <w:uiPriority w:val="0"/>
    <w:pPr>
      <w:ind w:left="2940"/>
    </w:pPr>
  </w:style>
  <w:style w:type="paragraph" w:styleId="13">
    <w:name w:val="List Number"/>
    <w:basedOn w:val="1"/>
    <w:autoRedefine/>
    <w:qFormat/>
    <w:uiPriority w:val="0"/>
    <w:pPr>
      <w:widowControl/>
      <w:tabs>
        <w:tab w:val="left" w:pos="454"/>
        <w:tab w:val="left" w:pos="720"/>
        <w:tab w:val="left" w:pos="840"/>
      </w:tabs>
      <w:spacing w:afterLines="50"/>
      <w:ind w:left="454" w:hanging="284"/>
      <w:jc w:val="left"/>
    </w:pPr>
    <w:rPr>
      <w:kern w:val="0"/>
      <w:sz w:val="24"/>
      <w:szCs w:val="20"/>
    </w:rPr>
  </w:style>
  <w:style w:type="paragraph" w:styleId="14">
    <w:name w:val="annotation text"/>
    <w:basedOn w:val="1"/>
    <w:link w:val="43"/>
    <w:autoRedefine/>
    <w:qFormat/>
    <w:uiPriority w:val="0"/>
    <w:pPr>
      <w:jc w:val="left"/>
    </w:pPr>
  </w:style>
  <w:style w:type="paragraph" w:styleId="15">
    <w:name w:val="Body Text 3"/>
    <w:basedOn w:val="1"/>
    <w:link w:val="44"/>
    <w:autoRedefine/>
    <w:unhideWhenUsed/>
    <w:qFormat/>
    <w:uiPriority w:val="99"/>
    <w:pPr>
      <w:spacing w:after="120"/>
    </w:pPr>
    <w:rPr>
      <w:sz w:val="16"/>
      <w:szCs w:val="16"/>
    </w:rPr>
  </w:style>
  <w:style w:type="paragraph" w:styleId="16">
    <w:name w:val="Body Text Indent"/>
    <w:basedOn w:val="1"/>
    <w:link w:val="46"/>
    <w:autoRedefine/>
    <w:qFormat/>
    <w:uiPriority w:val="0"/>
    <w:pPr>
      <w:ind w:firstLine="830" w:firstLineChars="352"/>
    </w:pPr>
    <w:rPr>
      <w:rFonts w:ascii="仿宋_GB2312" w:eastAsia="仿宋_GB2312"/>
      <w:kern w:val="0"/>
      <w:sz w:val="32"/>
      <w:szCs w:val="20"/>
    </w:rPr>
  </w:style>
  <w:style w:type="paragraph" w:styleId="17">
    <w:name w:val="List 2"/>
    <w:basedOn w:val="1"/>
    <w:autoRedefine/>
    <w:unhideWhenUsed/>
    <w:qFormat/>
    <w:uiPriority w:val="99"/>
    <w:pPr>
      <w:ind w:left="100" w:leftChars="200" w:hanging="200" w:hangingChars="200"/>
      <w:contextualSpacing/>
    </w:pPr>
  </w:style>
  <w:style w:type="paragraph" w:styleId="18">
    <w:name w:val="Plain Text"/>
    <w:basedOn w:val="1"/>
    <w:next w:val="7"/>
    <w:link w:val="47"/>
    <w:autoRedefine/>
    <w:qFormat/>
    <w:uiPriority w:val="0"/>
    <w:rPr>
      <w:rFonts w:ascii="宋体" w:hAnsi="Courier New"/>
      <w:kern w:val="0"/>
      <w:sz w:val="20"/>
      <w:szCs w:val="21"/>
    </w:rPr>
  </w:style>
  <w:style w:type="paragraph" w:styleId="19">
    <w:name w:val="Date"/>
    <w:basedOn w:val="1"/>
    <w:next w:val="1"/>
    <w:link w:val="48"/>
    <w:autoRedefine/>
    <w:unhideWhenUsed/>
    <w:qFormat/>
    <w:uiPriority w:val="99"/>
    <w:pPr>
      <w:ind w:left="100" w:leftChars="2500"/>
    </w:pPr>
  </w:style>
  <w:style w:type="paragraph" w:styleId="20">
    <w:name w:val="Balloon Text"/>
    <w:basedOn w:val="1"/>
    <w:autoRedefine/>
    <w:semiHidden/>
    <w:qFormat/>
    <w:uiPriority w:val="0"/>
    <w:rPr>
      <w:sz w:val="18"/>
      <w:szCs w:val="18"/>
    </w:rPr>
  </w:style>
  <w:style w:type="paragraph" w:styleId="21">
    <w:name w:val="footer"/>
    <w:basedOn w:val="1"/>
    <w:next w:val="1"/>
    <w:link w:val="49"/>
    <w:autoRedefine/>
    <w:unhideWhenUsed/>
    <w:qFormat/>
    <w:uiPriority w:val="99"/>
    <w:pPr>
      <w:tabs>
        <w:tab w:val="center" w:pos="4153"/>
        <w:tab w:val="right" w:pos="8306"/>
      </w:tabs>
      <w:snapToGrid w:val="0"/>
      <w:jc w:val="left"/>
    </w:pPr>
    <w:rPr>
      <w:kern w:val="0"/>
      <w:sz w:val="18"/>
      <w:szCs w:val="18"/>
    </w:rPr>
  </w:style>
  <w:style w:type="paragraph" w:styleId="22">
    <w:name w:val="header"/>
    <w:basedOn w:val="1"/>
    <w:link w:val="50"/>
    <w:autoRedefine/>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23">
    <w:name w:val="toc 1"/>
    <w:basedOn w:val="1"/>
    <w:next w:val="1"/>
    <w:autoRedefine/>
    <w:unhideWhenUsed/>
    <w:qFormat/>
    <w:uiPriority w:val="39"/>
  </w:style>
  <w:style w:type="paragraph" w:styleId="24">
    <w:name w:val="toc 2"/>
    <w:basedOn w:val="1"/>
    <w:next w:val="1"/>
    <w:autoRedefine/>
    <w:unhideWhenUsed/>
    <w:qFormat/>
    <w:uiPriority w:val="39"/>
    <w:pPr>
      <w:tabs>
        <w:tab w:val="right" w:leader="dot" w:pos="8296"/>
      </w:tabs>
      <w:ind w:left="420" w:leftChars="200"/>
    </w:pPr>
  </w:style>
  <w:style w:type="paragraph" w:styleId="25">
    <w:name w:val="Body Text 2"/>
    <w:basedOn w:val="1"/>
    <w:next w:val="3"/>
    <w:autoRedefine/>
    <w:qFormat/>
    <w:uiPriority w:val="0"/>
    <w:pPr>
      <w:spacing w:line="480" w:lineRule="auto"/>
    </w:pPr>
    <w:rPr>
      <w:kern w:val="0"/>
      <w:sz w:val="20"/>
    </w:rPr>
  </w:style>
  <w:style w:type="paragraph" w:styleId="26">
    <w:name w:val="Normal (Web)"/>
    <w:basedOn w:val="1"/>
    <w:autoRedefine/>
    <w:unhideWhenUsed/>
    <w:qFormat/>
    <w:uiPriority w:val="99"/>
    <w:rPr>
      <w:rFonts w:ascii="Calibri" w:hAnsi="Calibri"/>
      <w:kern w:val="0"/>
      <w:sz w:val="24"/>
    </w:rPr>
  </w:style>
  <w:style w:type="paragraph" w:styleId="27">
    <w:name w:val="Title"/>
    <w:basedOn w:val="1"/>
    <w:next w:val="1"/>
    <w:autoRedefine/>
    <w:qFormat/>
    <w:uiPriority w:val="0"/>
    <w:pPr>
      <w:spacing w:before="60" w:after="120" w:line="560" w:lineRule="exact"/>
      <w:jc w:val="center"/>
      <w:outlineLvl w:val="0"/>
    </w:pPr>
    <w:rPr>
      <w:rFonts w:eastAsia="方正小标宋简体"/>
      <w:bCs/>
      <w:sz w:val="44"/>
      <w:szCs w:val="32"/>
    </w:rPr>
  </w:style>
  <w:style w:type="paragraph" w:styleId="28">
    <w:name w:val="annotation subject"/>
    <w:basedOn w:val="14"/>
    <w:next w:val="14"/>
    <w:link w:val="51"/>
    <w:autoRedefine/>
    <w:qFormat/>
    <w:uiPriority w:val="99"/>
    <w:rPr>
      <w:b/>
      <w:bCs/>
    </w:rPr>
  </w:style>
  <w:style w:type="paragraph" w:styleId="29">
    <w:name w:val="Body Text First Indent 2"/>
    <w:basedOn w:val="16"/>
    <w:next w:val="3"/>
    <w:autoRedefine/>
    <w:qFormat/>
    <w:uiPriority w:val="0"/>
    <w:pPr>
      <w:spacing w:line="360" w:lineRule="auto"/>
      <w:ind w:firstLine="0"/>
    </w:pPr>
    <w:rPr>
      <w:sz w:val="24"/>
    </w:rPr>
  </w:style>
  <w:style w:type="table" w:styleId="31">
    <w:name w:val="Table Grid"/>
    <w:basedOn w:val="30"/>
    <w:autoRedefine/>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3">
    <w:name w:val="endnote reference"/>
    <w:autoRedefine/>
    <w:unhideWhenUsed/>
    <w:qFormat/>
    <w:uiPriority w:val="99"/>
    <w:rPr>
      <w:vertAlign w:val="superscript"/>
    </w:rPr>
  </w:style>
  <w:style w:type="character" w:styleId="34">
    <w:name w:val="Hyperlink"/>
    <w:autoRedefine/>
    <w:unhideWhenUsed/>
    <w:qFormat/>
    <w:uiPriority w:val="99"/>
    <w:rPr>
      <w:color w:val="0000FF"/>
      <w:u w:val="single"/>
    </w:rPr>
  </w:style>
  <w:style w:type="character" w:styleId="35">
    <w:name w:val="annotation reference"/>
    <w:autoRedefine/>
    <w:qFormat/>
    <w:uiPriority w:val="0"/>
    <w:rPr>
      <w:sz w:val="21"/>
      <w:szCs w:val="21"/>
    </w:rPr>
  </w:style>
  <w:style w:type="paragraph" w:customStyle="1" w:styleId="36">
    <w:name w:val="目录 81"/>
    <w:next w:val="1"/>
    <w:autoRedefine/>
    <w:qFormat/>
    <w:uiPriority w:val="0"/>
    <w:pPr>
      <w:wordWrap w:val="0"/>
      <w:ind w:left="2975"/>
      <w:jc w:val="both"/>
    </w:pPr>
    <w:rPr>
      <w:rFonts w:ascii="Times New Roman" w:hAnsi="Times New Roman" w:eastAsia="宋体" w:cs="Times New Roman"/>
      <w:sz w:val="21"/>
      <w:szCs w:val="22"/>
      <w:lang w:val="en-US" w:eastAsia="zh-CN" w:bidi="ar-SA"/>
    </w:rPr>
  </w:style>
  <w:style w:type="paragraph" w:customStyle="1" w:styleId="37">
    <w:name w:val="Default"/>
    <w:autoRedefine/>
    <w:qFormat/>
    <w:uiPriority w:val="0"/>
    <w:pPr>
      <w:widowControl w:val="0"/>
      <w:autoSpaceDE w:val="0"/>
      <w:autoSpaceDN w:val="0"/>
      <w:adjustRightInd w:val="0"/>
    </w:pPr>
    <w:rPr>
      <w:rFonts w:ascii="宋体" w:hAnsi="Calibri" w:eastAsia="宋体" w:cs="Times New Roman"/>
      <w:color w:val="000000"/>
      <w:sz w:val="24"/>
      <w:szCs w:val="24"/>
      <w:lang w:val="en-US" w:eastAsia="zh-CN" w:bidi="ar-SA"/>
    </w:rPr>
  </w:style>
  <w:style w:type="character" w:customStyle="1" w:styleId="38">
    <w:name w:val="标题 1 Char"/>
    <w:link w:val="5"/>
    <w:autoRedefine/>
    <w:qFormat/>
    <w:uiPriority w:val="9"/>
    <w:rPr>
      <w:rFonts w:ascii="Times New Roman" w:hAnsi="Times New Roman" w:eastAsia="宋体"/>
      <w:b/>
      <w:bCs/>
      <w:kern w:val="44"/>
      <w:sz w:val="36"/>
      <w:szCs w:val="44"/>
    </w:rPr>
  </w:style>
  <w:style w:type="character" w:customStyle="1" w:styleId="39">
    <w:name w:val="标题 2 Char1"/>
    <w:link w:val="6"/>
    <w:autoRedefine/>
    <w:qFormat/>
    <w:uiPriority w:val="9"/>
    <w:rPr>
      <w:rFonts w:ascii="Cambria" w:hAnsi="Cambria" w:eastAsia="宋体" w:cs="Times New Roman"/>
      <w:b/>
      <w:bCs/>
      <w:kern w:val="2"/>
      <w:sz w:val="32"/>
      <w:szCs w:val="32"/>
    </w:rPr>
  </w:style>
  <w:style w:type="character" w:customStyle="1" w:styleId="40">
    <w:name w:val="标题 5 Char"/>
    <w:link w:val="8"/>
    <w:autoRedefine/>
    <w:semiHidden/>
    <w:qFormat/>
    <w:uiPriority w:val="9"/>
    <w:rPr>
      <w:rFonts w:ascii="Times New Roman" w:hAnsi="Times New Roman"/>
      <w:b/>
      <w:bCs/>
      <w:kern w:val="2"/>
      <w:sz w:val="28"/>
      <w:szCs w:val="28"/>
    </w:rPr>
  </w:style>
  <w:style w:type="character" w:customStyle="1" w:styleId="41">
    <w:name w:val="标题 7 Char"/>
    <w:link w:val="10"/>
    <w:autoRedefine/>
    <w:qFormat/>
    <w:uiPriority w:val="0"/>
    <w:rPr>
      <w:b/>
      <w:bCs/>
      <w:kern w:val="2"/>
      <w:sz w:val="24"/>
      <w:szCs w:val="24"/>
    </w:rPr>
  </w:style>
  <w:style w:type="character" w:customStyle="1" w:styleId="42">
    <w:name w:val="标题 8 Char1"/>
    <w:link w:val="11"/>
    <w:autoRedefine/>
    <w:semiHidden/>
    <w:qFormat/>
    <w:uiPriority w:val="9"/>
    <w:rPr>
      <w:rFonts w:ascii="等线 Light" w:hAnsi="等线 Light" w:eastAsia="等线 Light" w:cs="Times New Roman"/>
      <w:kern w:val="2"/>
      <w:sz w:val="24"/>
      <w:szCs w:val="24"/>
    </w:rPr>
  </w:style>
  <w:style w:type="character" w:customStyle="1" w:styleId="43">
    <w:name w:val="批注文字 Char1"/>
    <w:link w:val="14"/>
    <w:autoRedefine/>
    <w:qFormat/>
    <w:uiPriority w:val="0"/>
    <w:rPr>
      <w:rFonts w:ascii="Times New Roman" w:hAnsi="Times New Roman"/>
      <w:kern w:val="2"/>
      <w:sz w:val="21"/>
      <w:szCs w:val="24"/>
    </w:rPr>
  </w:style>
  <w:style w:type="character" w:customStyle="1" w:styleId="44">
    <w:name w:val="正文文本 3 Char"/>
    <w:link w:val="15"/>
    <w:autoRedefine/>
    <w:semiHidden/>
    <w:qFormat/>
    <w:uiPriority w:val="99"/>
    <w:rPr>
      <w:kern w:val="2"/>
      <w:sz w:val="16"/>
      <w:szCs w:val="16"/>
    </w:rPr>
  </w:style>
  <w:style w:type="character" w:customStyle="1" w:styleId="45">
    <w:name w:val="正文文本 Char1"/>
    <w:link w:val="3"/>
    <w:autoRedefine/>
    <w:qFormat/>
    <w:uiPriority w:val="0"/>
    <w:rPr>
      <w:rFonts w:ascii="Times New Roman" w:hAnsi="Times New Roman"/>
      <w:kern w:val="2"/>
      <w:sz w:val="21"/>
      <w:szCs w:val="24"/>
    </w:rPr>
  </w:style>
  <w:style w:type="character" w:customStyle="1" w:styleId="46">
    <w:name w:val="正文文本缩进 Char"/>
    <w:link w:val="16"/>
    <w:autoRedefine/>
    <w:qFormat/>
    <w:uiPriority w:val="0"/>
    <w:rPr>
      <w:rFonts w:ascii="仿宋_GB2312" w:hAnsi="Times New Roman" w:eastAsia="仿宋_GB2312" w:cs="Times New Roman"/>
      <w:sz w:val="32"/>
      <w:szCs w:val="20"/>
    </w:rPr>
  </w:style>
  <w:style w:type="character" w:customStyle="1" w:styleId="47">
    <w:name w:val="纯文本 Char1"/>
    <w:link w:val="18"/>
    <w:autoRedefine/>
    <w:qFormat/>
    <w:uiPriority w:val="0"/>
    <w:rPr>
      <w:rFonts w:ascii="宋体" w:hAnsi="Courier New" w:eastAsia="宋体" w:cs="Courier New"/>
      <w:szCs w:val="21"/>
    </w:rPr>
  </w:style>
  <w:style w:type="character" w:customStyle="1" w:styleId="48">
    <w:name w:val="日期 Char"/>
    <w:link w:val="19"/>
    <w:autoRedefine/>
    <w:semiHidden/>
    <w:qFormat/>
    <w:uiPriority w:val="99"/>
    <w:rPr>
      <w:rFonts w:ascii="Times New Roman" w:hAnsi="Times New Roman"/>
      <w:kern w:val="2"/>
      <w:sz w:val="21"/>
      <w:szCs w:val="24"/>
    </w:rPr>
  </w:style>
  <w:style w:type="character" w:customStyle="1" w:styleId="49">
    <w:name w:val="页脚 Char"/>
    <w:link w:val="21"/>
    <w:autoRedefine/>
    <w:qFormat/>
    <w:uiPriority w:val="99"/>
    <w:rPr>
      <w:sz w:val="18"/>
      <w:szCs w:val="18"/>
    </w:rPr>
  </w:style>
  <w:style w:type="character" w:customStyle="1" w:styleId="50">
    <w:name w:val="页眉 Char"/>
    <w:link w:val="22"/>
    <w:autoRedefine/>
    <w:qFormat/>
    <w:uiPriority w:val="99"/>
    <w:rPr>
      <w:sz w:val="18"/>
      <w:szCs w:val="18"/>
    </w:rPr>
  </w:style>
  <w:style w:type="character" w:customStyle="1" w:styleId="51">
    <w:name w:val="批注主题 Char"/>
    <w:link w:val="28"/>
    <w:autoRedefine/>
    <w:qFormat/>
    <w:uiPriority w:val="99"/>
    <w:rPr>
      <w:rFonts w:ascii="Times New Roman" w:hAnsi="Times New Roman"/>
      <w:b/>
      <w:bCs/>
      <w:kern w:val="2"/>
      <w:sz w:val="21"/>
      <w:szCs w:val="24"/>
    </w:rPr>
  </w:style>
  <w:style w:type="paragraph" w:customStyle="1" w:styleId="52">
    <w:name w:val="表格文字"/>
    <w:basedOn w:val="1"/>
    <w:autoRedefine/>
    <w:qFormat/>
    <w:uiPriority w:val="99"/>
    <w:pPr>
      <w:spacing w:before="25" w:after="25"/>
      <w:jc w:val="left"/>
    </w:pPr>
    <w:rPr>
      <w:bCs/>
      <w:spacing w:val="10"/>
      <w:kern w:val="0"/>
      <w:sz w:val="24"/>
    </w:rPr>
  </w:style>
  <w:style w:type="character" w:customStyle="1" w:styleId="53">
    <w:name w:val="标题 1 字符1"/>
    <w:autoRedefine/>
    <w:qFormat/>
    <w:uiPriority w:val="0"/>
    <w:rPr>
      <w:b/>
      <w:bCs/>
      <w:kern w:val="44"/>
      <w:sz w:val="44"/>
      <w:szCs w:val="44"/>
    </w:rPr>
  </w:style>
  <w:style w:type="character" w:customStyle="1" w:styleId="54">
    <w:name w:val="textcontents"/>
    <w:autoRedefine/>
    <w:qFormat/>
    <w:uiPriority w:val="0"/>
  </w:style>
  <w:style w:type="character" w:customStyle="1" w:styleId="55">
    <w:name w:val="批注文字 Char"/>
    <w:autoRedefine/>
    <w:qFormat/>
    <w:uiPriority w:val="0"/>
    <w:rPr>
      <w:rFonts w:ascii="Times New Roman" w:hAnsi="Times New Roman"/>
      <w:kern w:val="2"/>
      <w:sz w:val="21"/>
      <w:szCs w:val="24"/>
    </w:rPr>
  </w:style>
  <w:style w:type="character" w:customStyle="1" w:styleId="56">
    <w:name w:val="纯文本 字符"/>
    <w:autoRedefine/>
    <w:qFormat/>
    <w:uiPriority w:val="0"/>
    <w:rPr>
      <w:rFonts w:ascii="宋体" w:hAnsi="Courier New" w:eastAsia="宋体" w:cs="Courier New"/>
      <w:szCs w:val="21"/>
    </w:rPr>
  </w:style>
  <w:style w:type="character" w:customStyle="1" w:styleId="57">
    <w:name w:val="纯文本 Char"/>
    <w:autoRedefine/>
    <w:qFormat/>
    <w:uiPriority w:val="0"/>
    <w:rPr>
      <w:rFonts w:ascii="宋体" w:hAnsi="Courier New" w:eastAsia="宋体" w:cs="Courier New"/>
      <w:szCs w:val="21"/>
    </w:rPr>
  </w:style>
  <w:style w:type="character" w:customStyle="1" w:styleId="58">
    <w:name w:val="纯文本 字符2"/>
    <w:autoRedefine/>
    <w:qFormat/>
    <w:uiPriority w:val="0"/>
    <w:rPr>
      <w:rFonts w:ascii="宋体" w:hAnsi="Courier New" w:eastAsia="宋体" w:cs="Courier New"/>
      <w:szCs w:val="21"/>
    </w:rPr>
  </w:style>
  <w:style w:type="character" w:customStyle="1" w:styleId="59">
    <w:name w:val="批注文字 字符1"/>
    <w:autoRedefine/>
    <w:qFormat/>
    <w:uiPriority w:val="0"/>
    <w:rPr>
      <w:rFonts w:ascii="Times New Roman" w:hAnsi="Times New Roman"/>
      <w:kern w:val="2"/>
      <w:sz w:val="21"/>
      <w:szCs w:val="24"/>
    </w:rPr>
  </w:style>
  <w:style w:type="character" w:customStyle="1" w:styleId="60">
    <w:name w:val="正文文本 (26) + 间距 0 pt"/>
    <w:autoRedefine/>
    <w:qFormat/>
    <w:uiPriority w:val="0"/>
    <w:rPr>
      <w:rFonts w:ascii="宋体" w:hAnsi="宋体" w:eastAsia="宋体" w:cs="宋体"/>
      <w:color w:val="000000"/>
      <w:spacing w:val="0"/>
      <w:w w:val="100"/>
      <w:position w:val="0"/>
      <w:sz w:val="22"/>
      <w:szCs w:val="22"/>
      <w:u w:val="none"/>
      <w:lang w:val="zh-CN" w:eastAsia="zh-CN" w:bidi="zh-CN"/>
    </w:rPr>
  </w:style>
  <w:style w:type="character" w:customStyle="1" w:styleId="61">
    <w:name w:val="纯文本 字符1"/>
    <w:autoRedefine/>
    <w:qFormat/>
    <w:uiPriority w:val="0"/>
    <w:rPr>
      <w:rFonts w:ascii="宋体" w:hAnsi="Courier New"/>
    </w:rPr>
  </w:style>
  <w:style w:type="character" w:customStyle="1" w:styleId="62">
    <w:name w:val="正文文本 Char"/>
    <w:autoRedefine/>
    <w:qFormat/>
    <w:uiPriority w:val="0"/>
    <w:rPr>
      <w:rFonts w:ascii="Times New Roman" w:hAnsi="Times New Roman"/>
      <w:kern w:val="2"/>
      <w:sz w:val="21"/>
      <w:szCs w:val="24"/>
    </w:rPr>
  </w:style>
  <w:style w:type="character" w:customStyle="1" w:styleId="63">
    <w:name w:val="批注文字 字符"/>
    <w:autoRedefine/>
    <w:qFormat/>
    <w:uiPriority w:val="0"/>
    <w:rPr>
      <w:rFonts w:ascii="Times New Roman" w:hAnsi="Times New Roman"/>
      <w:kern w:val="2"/>
      <w:sz w:val="21"/>
      <w:szCs w:val="24"/>
    </w:rPr>
  </w:style>
  <w:style w:type="character" w:customStyle="1" w:styleId="64">
    <w:name w:val="标题 2 Char"/>
    <w:autoRedefine/>
    <w:qFormat/>
    <w:uiPriority w:val="9"/>
    <w:rPr>
      <w:rFonts w:ascii="Cambria" w:hAnsi="Cambria" w:eastAsia="宋体" w:cs="Times New Roman"/>
      <w:b/>
      <w:bCs/>
      <w:kern w:val="2"/>
      <w:sz w:val="32"/>
      <w:szCs w:val="32"/>
    </w:rPr>
  </w:style>
  <w:style w:type="character" w:customStyle="1" w:styleId="65">
    <w:name w:val="标题 8 Char"/>
    <w:autoRedefine/>
    <w:qFormat/>
    <w:uiPriority w:val="0"/>
    <w:rPr>
      <w:rFonts w:ascii="Arial" w:hAnsi="Arial" w:eastAsia="黑体"/>
      <w:kern w:val="2"/>
      <w:sz w:val="24"/>
      <w:szCs w:val="24"/>
    </w:rPr>
  </w:style>
  <w:style w:type="character" w:customStyle="1" w:styleId="66">
    <w:name w:val="apple-style-span"/>
    <w:autoRedefine/>
    <w:qFormat/>
    <w:uiPriority w:val="0"/>
  </w:style>
  <w:style w:type="paragraph" w:customStyle="1" w:styleId="67">
    <w:name w:val="默认段落字体 Para Char Char Char Char Char Char Char Char Char1 Char Char Char Char"/>
    <w:basedOn w:val="1"/>
    <w:autoRedefine/>
    <w:qFormat/>
    <w:uiPriority w:val="0"/>
    <w:rPr>
      <w:rFonts w:ascii="Tahoma" w:hAnsi="Tahoma"/>
      <w:sz w:val="24"/>
      <w:szCs w:val="20"/>
    </w:rPr>
  </w:style>
  <w:style w:type="paragraph" w:customStyle="1" w:styleId="68">
    <w:name w:val="表内文字"/>
    <w:basedOn w:val="1"/>
    <w:autoRedefine/>
    <w:qFormat/>
    <w:uiPriority w:val="0"/>
    <w:pPr>
      <w:snapToGrid w:val="0"/>
      <w:spacing w:before="50" w:after="50"/>
      <w:jc w:val="center"/>
    </w:pPr>
    <w:rPr>
      <w:rFonts w:ascii="仿宋_GB2312" w:hAnsi="宋体" w:eastAsia="仿宋_GB2312"/>
      <w:b/>
      <w:color w:val="000000"/>
      <w:sz w:val="32"/>
      <w:szCs w:val="32"/>
    </w:rPr>
  </w:style>
  <w:style w:type="paragraph" w:styleId="69">
    <w:name w:val="List Paragraph"/>
    <w:basedOn w:val="1"/>
    <w:autoRedefine/>
    <w:qFormat/>
    <w:uiPriority w:val="34"/>
    <w:pPr>
      <w:ind w:firstLine="420" w:firstLineChars="200"/>
    </w:pPr>
  </w:style>
  <w:style w:type="paragraph" w:customStyle="1" w:styleId="70">
    <w:name w:val="Table Paragraph"/>
    <w:basedOn w:val="1"/>
    <w:autoRedefine/>
    <w:qFormat/>
    <w:uiPriority w:val="1"/>
    <w:pPr>
      <w:jc w:val="left"/>
    </w:pPr>
    <w:rPr>
      <w:rFonts w:ascii="Calibri" w:hAnsi="Calibri"/>
      <w:kern w:val="0"/>
      <w:sz w:val="22"/>
      <w:szCs w:val="22"/>
      <w:lang w:eastAsia="en-US"/>
    </w:rPr>
  </w:style>
  <w:style w:type="character" w:customStyle="1" w:styleId="71">
    <w:name w:val="正文文本 字符"/>
    <w:autoRedefine/>
    <w:qFormat/>
    <w:uiPriority w:val="0"/>
    <w:rPr>
      <w:rFonts w:ascii="Times New Roman" w:hAnsi="Times New Roman"/>
      <w:kern w:val="2"/>
      <w:sz w:val="21"/>
      <w:szCs w:val="24"/>
    </w:rPr>
  </w:style>
  <w:style w:type="character" w:customStyle="1" w:styleId="72">
    <w:name w:val="批注文字 Char2"/>
    <w:autoRedefine/>
    <w:qFormat/>
    <w:uiPriority w:val="0"/>
    <w:rPr>
      <w:rFonts w:ascii="Times New Roman" w:hAnsi="Times New Roman"/>
      <w:kern w:val="2"/>
      <w:sz w:val="21"/>
      <w:szCs w:val="24"/>
    </w:rPr>
  </w:style>
  <w:style w:type="paragraph" w:customStyle="1" w:styleId="73">
    <w:name w:val="样式 正文缩进正文（首行缩进两字）首行缩进两字 + 首行缩进:  2 字符1"/>
    <w:basedOn w:val="9"/>
    <w:autoRedefine/>
    <w:qFormat/>
    <w:uiPriority w:val="0"/>
    <w:pPr>
      <w:autoSpaceDE w:val="0"/>
      <w:autoSpaceDN w:val="0"/>
      <w:spacing w:beforeLines="50" w:afterLines="50" w:line="500" w:lineRule="exact"/>
      <w:ind w:firstLine="200"/>
      <w:jc w:val="left"/>
    </w:pPr>
    <w:rPr>
      <w:rFonts w:ascii="楷体_GB2312" w:eastAsia="楷体_GB2312"/>
      <w:color w:val="000000"/>
      <w:kern w:val="0"/>
      <w:sz w:val="28"/>
    </w:rPr>
  </w:style>
  <w:style w:type="paragraph" w:customStyle="1" w:styleId="74">
    <w:name w:val="列出段落3"/>
    <w:basedOn w:val="1"/>
    <w:autoRedefine/>
    <w:qFormat/>
    <w:uiPriority w:val="0"/>
    <w:pPr>
      <w:widowControl/>
      <w:spacing w:line="400" w:lineRule="exact"/>
      <w:ind w:firstLine="420" w:firstLineChars="200"/>
      <w:jc w:val="left"/>
    </w:pPr>
  </w:style>
  <w:style w:type="paragraph" w:customStyle="1" w:styleId="75">
    <w:name w:val="正文文本2"/>
    <w:basedOn w:val="1"/>
    <w:autoRedefine/>
    <w:qFormat/>
    <w:uiPriority w:val="0"/>
    <w:pPr>
      <w:shd w:val="clear" w:color="auto" w:fill="FFFFFF"/>
      <w:spacing w:after="300" w:line="0" w:lineRule="atLeast"/>
    </w:pPr>
    <w:rPr>
      <w:rFonts w:ascii="MingLiU" w:hAnsi="MingLiU" w:eastAsia="MingLiU"/>
      <w:color w:val="000000"/>
      <w:kern w:val="0"/>
      <w:sz w:val="22"/>
      <w:szCs w:val="22"/>
      <w:shd w:val="clear" w:color="auto" w:fill="FFFFFF"/>
      <w:lang w:val="zh-TW"/>
    </w:rPr>
  </w:style>
  <w:style w:type="paragraph" w:customStyle="1" w:styleId="76">
    <w:name w:val="列出段落1"/>
    <w:autoRedefine/>
    <w:qFormat/>
    <w:uiPriority w:val="0"/>
    <w:pPr>
      <w:ind w:firstLine="200" w:firstLineChars="200"/>
    </w:pPr>
    <w:rPr>
      <w:rFonts w:ascii="Calibri" w:hAnsi="Calibri" w:eastAsia="宋体" w:cs="Times New Roman"/>
      <w:kern w:val="2"/>
      <w:sz w:val="21"/>
      <w:szCs w:val="22"/>
      <w:lang w:val="en-US" w:eastAsia="zh-CN" w:bidi="ar-SA"/>
    </w:rPr>
  </w:style>
  <w:style w:type="table" w:customStyle="1" w:styleId="77">
    <w:name w:val="Table Normal"/>
    <w:autoRedefine/>
    <w:unhideWhenUsed/>
    <w:qFormat/>
    <w:uiPriority w:val="0"/>
    <w:tblPr>
      <w:tblCellMar>
        <w:top w:w="0" w:type="dxa"/>
        <w:left w:w="0" w:type="dxa"/>
        <w:bottom w:w="0" w:type="dxa"/>
        <w:right w:w="0" w:type="dxa"/>
      </w:tblCellMar>
    </w:tblPr>
  </w:style>
  <w:style w:type="paragraph" w:customStyle="1" w:styleId="78">
    <w:name w:val="正文文本首行缩进1"/>
    <w:basedOn w:val="3"/>
    <w:autoRedefine/>
    <w:qFormat/>
    <w:uiPriority w:val="0"/>
    <w:pPr>
      <w:ind w:firstLine="100" w:firstLineChars="100"/>
    </w:pPr>
  </w:style>
  <w:style w:type="paragraph" w:customStyle="1" w:styleId="79">
    <w:name w:val="Table Text"/>
    <w:basedOn w:val="1"/>
    <w:autoRedefine/>
    <w:semiHidden/>
    <w:qFormat/>
    <w:uiPriority w:val="0"/>
    <w:rPr>
      <w:rFonts w:ascii="宋体" w:hAnsi="宋体" w:cs="宋体"/>
      <w:sz w:val="24"/>
      <w:lang w:eastAsia="en-US"/>
    </w:rPr>
  </w:style>
  <w:style w:type="table" w:customStyle="1" w:styleId="80">
    <w:name w:val="网格型1"/>
    <w:basedOn w:val="30"/>
    <w:autoRedefine/>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81">
    <w:name w:val="正文缩进2"/>
    <w:autoRedefine/>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jpeg"/><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广西国泰招标</Company>
  <Pages>125</Pages>
  <Words>75581</Words>
  <Characters>78687</Characters>
  <Lines>348</Lines>
  <Paragraphs>98</Paragraphs>
  <TotalTime>6</TotalTime>
  <ScaleCrop>false</ScaleCrop>
  <LinksUpToDate>false</LinksUpToDate>
  <CharactersWithSpaces>84604</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2023-08-02T08:56:00Z</dcterms:created>
  <dc:creator>广西国泰招标</dc:creator>
  <cp:lastModifiedBy>Administrator</cp:lastModifiedBy>
  <cp:lastPrinted>2024-09-06T02:35:00Z</cp:lastPrinted>
  <dcterms:modified xsi:type="dcterms:W3CDTF">2024-09-06T09:34:07Z</dcterms:modified>
  <dc:title>竞争性谈判文件规范</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971832214F6942248E913F0642F37FC9_13</vt:lpwstr>
  </property>
</Properties>
</file>